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eastAsia="仿宋_GB2312" w:asciiTheme="minorHAnsi" w:hAnsiTheme="minorHAnsi"/>
          <w:sz w:val="44"/>
          <w:szCs w:val="44"/>
          <w:lang w:val="en-GB"/>
        </w:rPr>
      </w:pPr>
    </w:p>
    <w:p>
      <w:pPr>
        <w:spacing w:line="360" w:lineRule="auto"/>
        <w:jc w:val="center"/>
        <w:rPr>
          <w:rFonts w:hint="eastAsia" w:ascii="华文新魏" w:hAnsi="黑体" w:eastAsia="华文新魏"/>
          <w:b/>
          <w:kern w:val="15"/>
          <w:sz w:val="72"/>
          <w:szCs w:val="72"/>
        </w:rPr>
      </w:pPr>
      <w:r>
        <w:rPr>
          <w:rFonts w:hint="eastAsia" w:ascii="华文新魏" w:hAnsi="黑体" w:eastAsia="华文新魏"/>
          <w:b/>
          <w:kern w:val="15"/>
          <w:sz w:val="72"/>
          <w:szCs w:val="72"/>
        </w:rPr>
        <w:t>柳州市政府集中采购中心</w:t>
      </w:r>
    </w:p>
    <w:p>
      <w:pPr>
        <w:spacing w:line="360" w:lineRule="auto"/>
        <w:jc w:val="center"/>
        <w:rPr>
          <w:b/>
          <w:sz w:val="52"/>
          <w:szCs w:val="52"/>
        </w:rPr>
      </w:pPr>
      <w:r>
        <w:rPr>
          <w:rFonts w:hint="eastAsia" w:ascii="黑体" w:hAnsi="黑体" w:eastAsia="黑体"/>
          <w:sz w:val="72"/>
          <w:szCs w:val="72"/>
        </w:rPr>
        <mc:AlternateContent>
          <mc:Choice Requires="wps">
            <w:drawing>
              <wp:anchor distT="0" distB="0" distL="114300" distR="114300" simplePos="0" relativeHeight="251660288" behindDoc="0" locked="0" layoutInCell="1" allowOverlap="1">
                <wp:simplePos x="0" y="0"/>
                <wp:positionH relativeFrom="column">
                  <wp:posOffset>212725</wp:posOffset>
                </wp:positionH>
                <wp:positionV relativeFrom="paragraph">
                  <wp:posOffset>12700</wp:posOffset>
                </wp:positionV>
                <wp:extent cx="5306060" cy="0"/>
                <wp:effectExtent l="12700" t="18415" r="15240" b="10160"/>
                <wp:wrapNone/>
                <wp:docPr id="9" name="自选图形 14"/>
                <wp:cNvGraphicFramePr/>
                <a:graphic xmlns:a="http://schemas.openxmlformats.org/drawingml/2006/main">
                  <a:graphicData uri="http://schemas.microsoft.com/office/word/2010/wordprocessingShape">
                    <wps:wsp>
                      <wps:cNvCnPr>
                        <a:cxnSpLocks noChangeShapeType="1"/>
                      </wps:cNvCnPr>
                      <wps:spPr bwMode="auto">
                        <a:xfrm>
                          <a:off x="0" y="0"/>
                          <a:ext cx="5306060" cy="0"/>
                        </a:xfrm>
                        <a:prstGeom prst="straightConnector1">
                          <a:avLst/>
                        </a:prstGeom>
                        <a:noFill/>
                        <a:ln w="19050">
                          <a:solidFill>
                            <a:srgbClr val="000000"/>
                          </a:solidFill>
                          <a:round/>
                        </a:ln>
                      </wps:spPr>
                      <wps:bodyPr/>
                    </wps:wsp>
                  </a:graphicData>
                </a:graphic>
              </wp:anchor>
            </w:drawing>
          </mc:Choice>
          <mc:Fallback>
            <w:pict>
              <v:shape id="自选图形 14" o:spid="_x0000_s1026" o:spt="32" type="#_x0000_t32" style="position:absolute;left:0pt;margin-left:16.75pt;margin-top:1pt;height:0pt;width:417.8pt;z-index:251660288;mso-width-relative:page;mso-height-relative:page;" filled="f" stroked="t" coordsize="21600,21600" o:gfxdata="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uRd5dEA&#10;AAAGAQAADwAAAAAAAAABACAAAAAiAAAAZHJzL2Rvd25yZXYueG1sUEsBAhQAFAAAAAgAh07iQBz9&#10;KvztAQAAtwMAAA4AAAAAAAAAAQAgAAAAIAEAAGRycy9lMm9Eb2MueG1sUEsFBgAAAAAGAAYAWQEA&#10;AH8FAAAAAA==&#10;">
                <v:fill on="f" focussize="0,0"/>
                <v:stroke weight="1.5pt" color="#000000" joinstyle="round"/>
                <v:imagedata o:title=""/>
                <o:lock v:ext="edit" aspectratio="f"/>
              </v:shape>
            </w:pict>
          </mc:Fallback>
        </mc:AlternateContent>
      </w:r>
    </w:p>
    <w:p>
      <w:pPr>
        <w:spacing w:line="800" w:lineRule="exact"/>
        <w:jc w:val="center"/>
        <w:rPr>
          <w:rFonts w:hint="eastAsia" w:ascii="华文中宋" w:hAnsi="华文中宋" w:eastAsia="华文中宋"/>
          <w:b/>
          <w:spacing w:val="200"/>
          <w:sz w:val="84"/>
          <w:szCs w:val="84"/>
        </w:rPr>
      </w:pPr>
    </w:p>
    <w:p>
      <w:pPr>
        <w:jc w:val="center"/>
        <w:rPr>
          <w:rFonts w:hint="eastAsia" w:ascii="华文中宋" w:hAnsi="华文中宋" w:eastAsia="华文中宋"/>
          <w:b/>
          <w:spacing w:val="200"/>
          <w:sz w:val="144"/>
          <w:szCs w:val="144"/>
        </w:rPr>
      </w:pPr>
      <w:r>
        <w:rPr>
          <w:rFonts w:hint="eastAsia" w:ascii="华文中宋" w:hAnsi="华文中宋" w:eastAsia="华文中宋"/>
          <w:b/>
          <w:spacing w:val="200"/>
          <w:sz w:val="144"/>
          <w:szCs w:val="144"/>
        </w:rPr>
        <w:t>招标文件</w:t>
      </w:r>
    </w:p>
    <w:p>
      <w:pPr>
        <w:spacing w:line="600" w:lineRule="exact"/>
        <w:jc w:val="center"/>
        <w:rPr>
          <w:b/>
          <w:sz w:val="44"/>
          <w:szCs w:val="44"/>
        </w:rPr>
      </w:pPr>
    </w:p>
    <w:p>
      <w:pPr>
        <w:spacing w:line="600" w:lineRule="exact"/>
        <w:rPr>
          <w:b/>
          <w:sz w:val="44"/>
          <w:szCs w:val="44"/>
        </w:rPr>
      </w:pPr>
    </w:p>
    <w:p>
      <w:pPr>
        <w:spacing w:line="800" w:lineRule="exact"/>
        <w:ind w:left="907" w:leftChars="432"/>
        <w:rPr>
          <w:rFonts w:hint="eastAsia" w:ascii="楷体" w:hAnsi="楷体" w:eastAsia="楷体"/>
          <w:b/>
          <w:sz w:val="44"/>
          <w:szCs w:val="44"/>
          <w:lang w:val="en-GB"/>
        </w:rPr>
      </w:pPr>
      <w:r>
        <w:rPr>
          <w:rFonts w:hint="eastAsia" w:ascii="楷体" w:hAnsi="楷体" w:eastAsia="楷体"/>
          <w:b/>
          <w:sz w:val="44"/>
          <w:szCs w:val="44"/>
        </w:rPr>
        <w:t>项目名称：</w:t>
      </w:r>
      <w:r>
        <w:rPr>
          <w:rFonts w:ascii="楷体" w:hAnsi="楷体" w:eastAsia="楷体"/>
          <w:b/>
          <w:color w:val="000000"/>
          <w:sz w:val="44"/>
          <w:szCs w:val="44"/>
        </w:rPr>
        <w:t>柳州城市职业学院2026-2029年物业管理服务采购</w:t>
      </w:r>
    </w:p>
    <w:p>
      <w:pPr>
        <w:spacing w:line="800" w:lineRule="exact"/>
        <w:ind w:left="907" w:leftChars="432"/>
        <w:rPr>
          <w:rFonts w:hint="eastAsia" w:ascii="楷体" w:hAnsi="楷体" w:eastAsia="楷体"/>
          <w:b/>
          <w:sz w:val="44"/>
          <w:szCs w:val="44"/>
          <w:lang w:val="en-GB"/>
        </w:rPr>
      </w:pPr>
      <w:r>
        <w:rPr>
          <w:rFonts w:hint="eastAsia" w:ascii="楷体" w:hAnsi="楷体" w:eastAsia="楷体"/>
          <w:b/>
          <w:sz w:val="44"/>
          <w:szCs w:val="44"/>
        </w:rPr>
        <w:t>项目编号：LZZC2026-G3-990077-LZSZ</w:t>
      </w:r>
    </w:p>
    <w:p>
      <w:pPr>
        <w:spacing w:line="800" w:lineRule="exact"/>
        <w:rPr>
          <w:rFonts w:hint="eastAsia" w:ascii="楷体" w:hAnsi="楷体" w:eastAsia="楷体"/>
          <w:b/>
          <w:sz w:val="44"/>
          <w:szCs w:val="44"/>
        </w:rPr>
      </w:pPr>
    </w:p>
    <w:p>
      <w:pPr>
        <w:spacing w:line="800" w:lineRule="exact"/>
        <w:ind w:firstLine="1988" w:firstLineChars="450"/>
        <w:jc w:val="both"/>
        <w:rPr>
          <w:rFonts w:hint="eastAsia" w:ascii="楷体" w:hAnsi="楷体" w:eastAsia="楷体"/>
          <w:b/>
          <w:sz w:val="44"/>
          <w:szCs w:val="44"/>
          <w:lang w:val="en-GB"/>
        </w:rPr>
      </w:pPr>
      <w:r>
        <w:rPr>
          <w:rFonts w:hint="eastAsia" w:ascii="楷体" w:hAnsi="楷体" w:eastAsia="楷体"/>
          <w:b/>
          <w:sz w:val="44"/>
          <w:szCs w:val="44"/>
        </w:rPr>
        <w:t>采购人：</w:t>
      </w:r>
      <w:r>
        <w:rPr>
          <w:rFonts w:ascii="楷体" w:hAnsi="楷体" w:eastAsia="楷体"/>
          <w:b/>
          <w:sz w:val="44"/>
          <w:szCs w:val="44"/>
        </w:rPr>
        <w:t>柳州城市职业学院</w:t>
      </w:r>
    </w:p>
    <w:p>
      <w:pPr>
        <w:spacing w:line="800" w:lineRule="exact"/>
        <w:ind w:firstLine="658" w:firstLineChars="149"/>
        <w:rPr>
          <w:rFonts w:hint="eastAsia" w:ascii="楷体" w:hAnsi="楷体" w:eastAsia="楷体"/>
          <w:b/>
          <w:sz w:val="44"/>
          <w:szCs w:val="44"/>
        </w:rPr>
      </w:pPr>
      <w:r>
        <w:rPr>
          <w:rFonts w:hint="eastAsia" w:ascii="楷体" w:hAnsi="楷体" w:eastAsia="楷体"/>
          <w:b/>
          <w:sz w:val="44"/>
          <w:szCs w:val="44"/>
        </w:rPr>
        <w:t>采购代理机构：柳州市政府集中采购中心</w:t>
      </w:r>
    </w:p>
    <w:p>
      <w:pPr>
        <w:spacing w:line="600" w:lineRule="exact"/>
        <w:jc w:val="center"/>
        <w:rPr>
          <w:rFonts w:hint="eastAsia" w:ascii="楷体" w:hAnsi="楷体" w:eastAsia="楷体"/>
          <w:b/>
          <w:sz w:val="44"/>
          <w:szCs w:val="44"/>
        </w:rPr>
      </w:pPr>
    </w:p>
    <w:p>
      <w:pPr>
        <w:spacing w:line="600" w:lineRule="exact"/>
        <w:jc w:val="center"/>
        <w:rPr>
          <w:rFonts w:hint="eastAsia" w:ascii="楷体" w:hAnsi="楷体" w:eastAsia="楷体"/>
          <w:b/>
          <w:sz w:val="44"/>
          <w:szCs w:val="44"/>
        </w:rPr>
      </w:pPr>
      <w:r>
        <w:rPr>
          <w:rFonts w:ascii="楷体" w:hAnsi="楷体" w:eastAsia="楷体"/>
          <w:b/>
          <w:sz w:val="44"/>
          <w:szCs w:val="44"/>
        </w:rPr>
        <w:t>2026年</w:t>
      </w:r>
      <w:r>
        <w:rPr>
          <w:rFonts w:hint="eastAsia" w:ascii="楷体" w:hAnsi="楷体" w:eastAsia="楷体"/>
          <w:b/>
          <w:sz w:val="44"/>
          <w:szCs w:val="44"/>
          <w:lang w:val="en-US" w:eastAsia="zh-CN"/>
        </w:rPr>
        <w:t>3</w:t>
      </w:r>
      <w:r>
        <w:rPr>
          <w:rFonts w:ascii="楷体" w:hAnsi="楷体" w:eastAsia="楷体"/>
          <w:b/>
          <w:sz w:val="44"/>
          <w:szCs w:val="44"/>
        </w:rPr>
        <w:t>月</w:t>
      </w:r>
      <w:r>
        <w:rPr>
          <w:rFonts w:hint="eastAsia" w:ascii="楷体" w:hAnsi="楷体" w:eastAsia="楷体"/>
          <w:b/>
          <w:sz w:val="44"/>
          <w:szCs w:val="44"/>
          <w:lang w:val="en-US" w:eastAsia="zh-CN"/>
        </w:rPr>
        <w:t>30</w:t>
      </w:r>
      <w:r>
        <w:rPr>
          <w:rFonts w:ascii="楷体" w:hAnsi="楷体" w:eastAsia="楷体"/>
          <w:b/>
          <w:sz w:val="44"/>
          <w:szCs w:val="44"/>
        </w:rPr>
        <w:t>日</w:t>
      </w:r>
    </w:p>
    <w:p>
      <w:pPr>
        <w:spacing w:line="360" w:lineRule="auto"/>
        <w:jc w:val="center"/>
        <w:rPr>
          <w:b/>
          <w:sz w:val="52"/>
          <w:szCs w:val="52"/>
        </w:rPr>
        <w:sectPr>
          <w:headerReference r:id="rId4" w:type="first"/>
          <w:headerReference r:id="rId3" w:type="default"/>
          <w:footerReference r:id="rId5" w:type="default"/>
          <w:pgSz w:w="11906" w:h="16838"/>
          <w:pgMar w:top="1440" w:right="991" w:bottom="1440" w:left="1440" w:header="851" w:footer="992" w:gutter="0"/>
          <w:pgNumType w:start="1"/>
          <w:cols w:space="720" w:num="1"/>
          <w:titlePg/>
          <w:docGrid w:linePitch="312" w:charSpace="0"/>
        </w:sectPr>
      </w:pPr>
    </w:p>
    <w:p>
      <w:pPr>
        <w:pStyle w:val="8"/>
      </w:pPr>
    </w:p>
    <w:p>
      <w:pPr>
        <w:spacing w:line="360" w:lineRule="auto"/>
        <w:jc w:val="center"/>
        <w:rPr>
          <w:b/>
          <w:sz w:val="52"/>
          <w:szCs w:val="52"/>
        </w:rPr>
      </w:pPr>
      <w:r>
        <w:rPr>
          <w:rFonts w:hint="eastAsia"/>
          <w:b/>
          <w:sz w:val="52"/>
          <w:szCs w:val="52"/>
        </w:rPr>
        <w:t>目  录</w:t>
      </w:r>
    </w:p>
    <w:p>
      <w:pPr>
        <w:spacing w:line="360" w:lineRule="auto"/>
        <w:jc w:val="center"/>
        <w:rPr>
          <w:b/>
          <w:sz w:val="52"/>
          <w:szCs w:val="52"/>
        </w:rPr>
      </w:pPr>
    </w:p>
    <w:p>
      <w:pPr>
        <w:pStyle w:val="33"/>
        <w:tabs>
          <w:tab w:val="right" w:leader="dot" w:pos="974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TOC \o "1-1" \h \z \u </w:instrText>
      </w:r>
      <w:r>
        <w:rPr>
          <w:rFonts w:hint="eastAsia" w:ascii="仿宋_GB2312" w:hAnsi="仿宋_GB2312" w:eastAsia="仿宋_GB2312" w:cs="仿宋_GB2312"/>
          <w:sz w:val="32"/>
          <w:szCs w:val="32"/>
        </w:rPr>
        <w:fldChar w:fldCharType="separate"/>
      </w:r>
      <w:r>
        <w:fldChar w:fldCharType="begin"/>
      </w:r>
      <w:r>
        <w:instrText xml:space="preserve"> HYPERLINK \l "_Toc29306" </w:instrText>
      </w:r>
      <w:r>
        <w:fldChar w:fldCharType="separate"/>
      </w:r>
      <w:r>
        <w:rPr>
          <w:rFonts w:hint="eastAsia" w:ascii="仿宋_GB2312" w:hAnsi="仿宋_GB2312" w:eastAsia="仿宋_GB2312" w:cs="仿宋_GB2312"/>
          <w:sz w:val="32"/>
          <w:szCs w:val="32"/>
        </w:rPr>
        <w:t>第一章 公开招标公告</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_Toc29306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33"/>
        <w:tabs>
          <w:tab w:val="right" w:leader="dot" w:pos="9746"/>
        </w:tabs>
        <w:spacing w:line="360" w:lineRule="auto"/>
        <w:rPr>
          <w:rFonts w:hint="eastAsia" w:ascii="仿宋_GB2312" w:hAnsi="仿宋_GB2312" w:eastAsia="仿宋_GB2312" w:cs="仿宋_GB2312"/>
          <w:sz w:val="32"/>
          <w:szCs w:val="32"/>
        </w:rPr>
      </w:pPr>
      <w:r>
        <w:fldChar w:fldCharType="begin"/>
      </w:r>
      <w:r>
        <w:instrText xml:space="preserve"> HYPERLINK \l "_Toc13541" </w:instrText>
      </w:r>
      <w:r>
        <w:fldChar w:fldCharType="separate"/>
      </w:r>
      <w:r>
        <w:rPr>
          <w:rFonts w:hint="eastAsia" w:ascii="仿宋_GB2312" w:hAnsi="仿宋_GB2312" w:eastAsia="仿宋_GB2312" w:cs="仿宋_GB2312"/>
          <w:sz w:val="32"/>
          <w:szCs w:val="32"/>
        </w:rPr>
        <w:t>第二章 采购需求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_Toc13541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33"/>
        <w:tabs>
          <w:tab w:val="right" w:leader="dot" w:pos="9746"/>
        </w:tabs>
        <w:spacing w:line="360" w:lineRule="auto"/>
        <w:rPr>
          <w:rFonts w:hint="default" w:ascii="仿宋_GB2312" w:hAnsi="仿宋_GB2312" w:eastAsia="仿宋_GB2312" w:cs="仿宋_GB2312"/>
          <w:sz w:val="32"/>
          <w:szCs w:val="32"/>
          <w:lang w:val="en-US" w:eastAsia="zh-CN"/>
        </w:rPr>
      </w:pPr>
      <w:r>
        <w:fldChar w:fldCharType="begin"/>
      </w:r>
      <w:r>
        <w:instrText xml:space="preserve"> HYPERLINK \l "_Toc29711" </w:instrText>
      </w:r>
      <w:r>
        <w:fldChar w:fldCharType="separate"/>
      </w:r>
      <w:r>
        <w:rPr>
          <w:rFonts w:hint="eastAsia" w:ascii="仿宋_GB2312" w:hAnsi="仿宋_GB2312" w:eastAsia="仿宋_GB2312" w:cs="仿宋_GB2312"/>
          <w:sz w:val="32"/>
          <w:szCs w:val="32"/>
        </w:rPr>
        <w:t>第三章 投标人须知</w:t>
      </w:r>
      <w:r>
        <w:rPr>
          <w:rFonts w:hint="eastAsia" w:ascii="仿宋_GB2312" w:hAnsi="仿宋_GB2312" w:eastAsia="仿宋_GB2312" w:cs="仿宋_GB2312"/>
          <w:sz w:val="32"/>
          <w:szCs w:val="32"/>
        </w:rPr>
        <w:tab/>
      </w:r>
      <w:r>
        <w:rPr>
          <w:rFonts w:hint="default" w:ascii="仿宋_GB2312" w:hAnsi="仿宋_GB2312" w:eastAsia="仿宋_GB2312" w:cs="仿宋_GB2312"/>
          <w:sz w:val="32"/>
          <w:szCs w:val="32"/>
          <w:lang w:val="en-US"/>
        </w:rPr>
        <w:fldChar w:fldCharType="begin"/>
      </w:r>
      <w:r>
        <w:rPr>
          <w:rFonts w:hint="default" w:ascii="仿宋_GB2312" w:hAnsi="仿宋_GB2312" w:eastAsia="仿宋_GB2312" w:cs="仿宋_GB2312"/>
          <w:sz w:val="32"/>
          <w:szCs w:val="32"/>
          <w:lang w:val="en-US"/>
        </w:rPr>
        <w:instrText xml:space="preserve"> PAGEREF _Toc29711 </w:instrText>
      </w:r>
      <w:r>
        <w:rPr>
          <w:rFonts w:hint="default" w:ascii="仿宋_GB2312" w:hAnsi="仿宋_GB2312" w:eastAsia="仿宋_GB2312" w:cs="仿宋_GB2312"/>
          <w:sz w:val="32"/>
          <w:szCs w:val="32"/>
          <w:lang w:val="en-US"/>
        </w:rPr>
        <w:fldChar w:fldCharType="separate"/>
      </w:r>
      <w:r>
        <w:rPr>
          <w:rFonts w:hint="default" w:ascii="仿宋_GB2312" w:hAnsi="仿宋_GB2312" w:eastAsia="仿宋_GB2312" w:cs="仿宋_GB2312"/>
          <w:sz w:val="32"/>
          <w:szCs w:val="32"/>
          <w:lang w:val="en-US"/>
        </w:rPr>
        <w:t>67</w:t>
      </w:r>
      <w:r>
        <w:rPr>
          <w:rFonts w:hint="default" w:ascii="仿宋_GB2312" w:hAnsi="仿宋_GB2312" w:eastAsia="仿宋_GB2312" w:cs="仿宋_GB2312"/>
          <w:sz w:val="32"/>
          <w:szCs w:val="32"/>
          <w:lang w:val="en-US"/>
        </w:rPr>
        <w:fldChar w:fldCharType="end"/>
      </w:r>
      <w:r>
        <w:rPr>
          <w:rFonts w:hint="eastAsia" w:ascii="仿宋_GB2312" w:hAnsi="仿宋_GB2312" w:eastAsia="仿宋_GB2312" w:cs="仿宋_GB2312"/>
          <w:sz w:val="32"/>
          <w:szCs w:val="32"/>
        </w:rPr>
        <w:fldChar w:fldCharType="end"/>
      </w:r>
    </w:p>
    <w:p>
      <w:pPr>
        <w:pStyle w:val="33"/>
        <w:tabs>
          <w:tab w:val="right" w:leader="dot" w:pos="9746"/>
        </w:tabs>
        <w:spacing w:line="360" w:lineRule="auto"/>
        <w:rPr>
          <w:rFonts w:hint="eastAsia" w:ascii="仿宋_GB2312" w:hAnsi="仿宋_GB2312" w:eastAsia="仿宋_GB2312" w:cs="仿宋_GB2312"/>
          <w:sz w:val="32"/>
          <w:szCs w:val="32"/>
        </w:rPr>
      </w:pPr>
      <w:r>
        <w:fldChar w:fldCharType="begin"/>
      </w:r>
      <w:r>
        <w:instrText xml:space="preserve"> HYPERLINK \l "_Toc27328" </w:instrText>
      </w:r>
      <w:r>
        <w:fldChar w:fldCharType="separate"/>
      </w:r>
      <w:r>
        <w:rPr>
          <w:rFonts w:hint="eastAsia" w:ascii="仿宋_GB2312" w:hAnsi="仿宋_GB2312" w:eastAsia="仿宋_GB2312" w:cs="仿宋_GB2312"/>
          <w:sz w:val="32"/>
          <w:szCs w:val="32"/>
        </w:rPr>
        <w:t>第四章 评标方法及评标标准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_Toc27328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33"/>
        <w:tabs>
          <w:tab w:val="right" w:leader="dot" w:pos="9746"/>
        </w:tabs>
        <w:spacing w:line="360" w:lineRule="auto"/>
        <w:rPr>
          <w:rFonts w:hint="eastAsia" w:ascii="仿宋_GB2312" w:hAnsi="仿宋_GB2312" w:eastAsia="仿宋_GB2312" w:cs="仿宋_GB2312"/>
          <w:sz w:val="32"/>
          <w:szCs w:val="32"/>
          <w:lang w:eastAsia="zh-CN"/>
        </w:rPr>
      </w:pPr>
      <w:r>
        <w:fldChar w:fldCharType="begin"/>
      </w:r>
      <w:r>
        <w:instrText xml:space="preserve"> HYPERLINK \l "_Toc21458" </w:instrText>
      </w:r>
      <w:r>
        <w:fldChar w:fldCharType="separate"/>
      </w:r>
      <w:r>
        <w:rPr>
          <w:rFonts w:hint="eastAsia" w:ascii="仿宋_GB2312" w:hAnsi="仿宋_GB2312" w:eastAsia="仿宋_GB2312" w:cs="仿宋_GB2312"/>
          <w:sz w:val="32"/>
          <w:szCs w:val="32"/>
        </w:rPr>
        <w:t>第五章 合同主要条款格式及广西壮族自治区政府采购项目合同验收书格式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_Toc21458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7</w:t>
      </w:r>
    </w:p>
    <w:p>
      <w:pPr>
        <w:pStyle w:val="33"/>
        <w:tabs>
          <w:tab w:val="right" w:leader="dot" w:pos="9746"/>
        </w:tabs>
        <w:spacing w:line="360" w:lineRule="auto"/>
        <w:rPr>
          <w:rFonts w:hint="eastAsia" w:ascii="仿宋_GB2312" w:hAnsi="仿宋_GB2312" w:eastAsia="仿宋_GB2312" w:cs="仿宋_GB2312"/>
          <w:sz w:val="32"/>
          <w:szCs w:val="32"/>
          <w:lang w:eastAsia="zh-CN"/>
        </w:rPr>
      </w:pPr>
      <w:r>
        <w:fldChar w:fldCharType="begin"/>
      </w:r>
      <w:r>
        <w:instrText xml:space="preserve"> HYPERLINK \l "_Toc13344" </w:instrText>
      </w:r>
      <w:r>
        <w:fldChar w:fldCharType="separate"/>
      </w:r>
      <w:r>
        <w:rPr>
          <w:rFonts w:hint="eastAsia" w:ascii="仿宋_GB2312" w:hAnsi="仿宋_GB2312" w:eastAsia="仿宋_GB2312" w:cs="仿宋_GB2312"/>
          <w:sz w:val="32"/>
          <w:szCs w:val="32"/>
        </w:rPr>
        <w:t>第六章 投标文件格式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_Toc13344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4</w:t>
      </w:r>
    </w:p>
    <w:p>
      <w:pPr>
        <w:pStyle w:val="33"/>
        <w:tabs>
          <w:tab w:val="right" w:leader="dot" w:pos="9016"/>
        </w:tabs>
        <w:spacing w:line="360" w:lineRule="auto"/>
        <w:rPr>
          <w:rFonts w:hint="eastAsia" w:ascii="仿宋_GB2312" w:hAnsi="宋体" w:eastAsia="仿宋_GB2312"/>
          <w:b w:val="0"/>
          <w:bCs w:val="0"/>
          <w:caps w:val="0"/>
          <w:sz w:val="32"/>
          <w:szCs w:val="32"/>
        </w:rPr>
      </w:pPr>
      <w:r>
        <w:rPr>
          <w:rFonts w:hint="eastAsia" w:ascii="仿宋_GB2312" w:hAnsi="仿宋_GB2312" w:eastAsia="仿宋_GB2312" w:cs="仿宋_GB2312"/>
          <w:sz w:val="32"/>
          <w:szCs w:val="32"/>
        </w:rPr>
        <w:fldChar w:fldCharType="end"/>
      </w:r>
      <w:r>
        <w:rPr>
          <w:rFonts w:hint="eastAsia" w:ascii="仿宋_GB2312" w:hAnsi="宋体" w:eastAsia="仿宋_GB2312"/>
          <w:b w:val="0"/>
          <w:bCs w:val="0"/>
          <w:caps w:val="0"/>
          <w:sz w:val="32"/>
          <w:szCs w:val="32"/>
        </w:rPr>
        <w:t xml:space="preserve"> </w:t>
      </w:r>
    </w:p>
    <w:p/>
    <w:p/>
    <w:p/>
    <w:p/>
    <w:p/>
    <w:p/>
    <w:p/>
    <w:p/>
    <w:p/>
    <w:p/>
    <w:p/>
    <w:p>
      <w:pPr>
        <w:rPr>
          <w:lang w:val="en-GB"/>
        </w:rPr>
        <w:sectPr>
          <w:footerReference r:id="rId7" w:type="first"/>
          <w:footerReference r:id="rId6" w:type="default"/>
          <w:pgSz w:w="11906" w:h="16838"/>
          <w:pgMar w:top="1440" w:right="991" w:bottom="1440" w:left="1440" w:header="851" w:footer="992" w:gutter="0"/>
          <w:pgNumType w:start="1"/>
          <w:cols w:space="720" w:num="1"/>
          <w:titlePg/>
          <w:docGrid w:linePitch="312" w:charSpace="0"/>
        </w:sectPr>
      </w:pPr>
    </w:p>
    <w:p>
      <w:pPr>
        <w:pStyle w:val="8"/>
        <w:rPr>
          <w:lang w:val="en-GB"/>
        </w:rPr>
      </w:pPr>
    </w:p>
    <w:p>
      <w:pPr>
        <w:pStyle w:val="3"/>
        <w:spacing w:line="276" w:lineRule="auto"/>
        <w:jc w:val="center"/>
        <w:rPr>
          <w:sz w:val="32"/>
          <w:szCs w:val="32"/>
        </w:rPr>
      </w:pPr>
      <w:bookmarkStart w:id="0" w:name="_Toc29306"/>
      <w:r>
        <w:rPr>
          <w:rFonts w:hint="eastAsia"/>
          <w:sz w:val="32"/>
          <w:szCs w:val="32"/>
        </w:rPr>
        <w:t>第一章 公开招标公告</w:t>
      </w:r>
    </w:p>
    <w:p>
      <w:pPr>
        <w:pStyle w:val="4"/>
        <w:spacing w:line="240" w:lineRule="auto"/>
        <w:ind w:right="-21" w:rightChars="-10" w:firstLine="711" w:firstLineChars="253"/>
        <w:jc w:val="both"/>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项目概况</w:t>
      </w:r>
    </w:p>
    <w:p>
      <w:pPr>
        <w:spacing w:line="400" w:lineRule="exact"/>
        <w:ind w:right="-21" w:rightChars="-10" w:firstLine="555"/>
        <w:rPr>
          <w:rFonts w:ascii="仿宋_GB2312" w:eastAsia="仿宋_GB2312"/>
          <w:sz w:val="28"/>
          <w:szCs w:val="28"/>
          <w:u w:val="single"/>
        </w:rPr>
      </w:pPr>
      <w:bookmarkStart w:id="1" w:name="_Hlk50568865"/>
      <w:r>
        <w:rPr>
          <w:rFonts w:ascii="仿宋_GB2312" w:eastAsia="仿宋_GB2312"/>
          <w:sz w:val="28"/>
          <w:szCs w:val="28"/>
        </w:rPr>
        <w:t>柳州城市职业学院2026-2029年物业管理服务采购</w:t>
      </w:r>
      <w:r>
        <w:rPr>
          <w:rFonts w:hint="eastAsia" w:ascii="仿宋_GB2312" w:eastAsia="仿宋_GB2312"/>
          <w:sz w:val="28"/>
          <w:szCs w:val="28"/>
        </w:rPr>
        <w:t>项目的潜在投标人应在广西政府采购云平台（https://www.gcy.zfcg.gxzf.gov.cn/）获取招标文件，并于</w:t>
      </w:r>
      <w:r>
        <w:rPr>
          <w:rFonts w:ascii="仿宋_GB2312" w:eastAsia="仿宋_GB2312"/>
          <w:sz w:val="28"/>
          <w:szCs w:val="28"/>
        </w:rPr>
        <w:t>2026年</w:t>
      </w:r>
      <w:r>
        <w:rPr>
          <w:rFonts w:hint="eastAsia" w:ascii="仿宋_GB2312" w:eastAsia="仿宋_GB2312"/>
          <w:sz w:val="28"/>
          <w:szCs w:val="28"/>
          <w:lang w:val="en-US" w:eastAsia="zh-CN"/>
        </w:rPr>
        <w:t>4</w:t>
      </w:r>
      <w:r>
        <w:rPr>
          <w:rFonts w:ascii="仿宋_GB2312" w:eastAsia="仿宋_GB2312"/>
          <w:sz w:val="28"/>
          <w:szCs w:val="28"/>
        </w:rPr>
        <w:t>月</w:t>
      </w:r>
      <w:r>
        <w:rPr>
          <w:rFonts w:hint="eastAsia" w:ascii="仿宋_GB2312" w:eastAsia="仿宋_GB2312"/>
          <w:sz w:val="28"/>
          <w:szCs w:val="28"/>
          <w:lang w:val="en-US" w:eastAsia="zh-CN"/>
        </w:rPr>
        <w:t>22</w:t>
      </w:r>
      <w:r>
        <w:rPr>
          <w:rFonts w:ascii="仿宋_GB2312" w:eastAsia="仿宋_GB2312"/>
          <w:sz w:val="28"/>
          <w:szCs w:val="28"/>
        </w:rPr>
        <w:t>日 09:20</w:t>
      </w:r>
      <w:r>
        <w:rPr>
          <w:rFonts w:hint="eastAsia" w:ascii="仿宋_GB2312" w:eastAsia="仿宋_GB2312"/>
          <w:sz w:val="28"/>
          <w:szCs w:val="28"/>
        </w:rPr>
        <w:t>（北京时间）前</w:t>
      </w:r>
      <w:r>
        <w:rPr>
          <w:rFonts w:hint="eastAsia" w:ascii="仿宋_GB2312" w:hAnsi="仿宋_GB2312" w:eastAsia="仿宋_GB2312" w:cs="仿宋_GB2312"/>
          <w:sz w:val="28"/>
          <w:szCs w:val="28"/>
        </w:rPr>
        <w:t>在线提交投标文件</w:t>
      </w:r>
      <w:r>
        <w:rPr>
          <w:rFonts w:hint="eastAsia" w:ascii="仿宋_GB2312" w:eastAsia="仿宋_GB2312"/>
          <w:sz w:val="28"/>
          <w:szCs w:val="28"/>
        </w:rPr>
        <w:t>。</w:t>
      </w:r>
    </w:p>
    <w:p>
      <w:pPr>
        <w:spacing w:line="400" w:lineRule="exact"/>
        <w:ind w:right="-21" w:rightChars="-10" w:firstLine="562" w:firstLineChars="200"/>
        <w:rPr>
          <w:rFonts w:hint="eastAsia" w:ascii="黑体" w:hAnsi="黑体" w:eastAsia="黑体" w:cs="黑体"/>
          <w:b/>
          <w:bCs/>
          <w:sz w:val="28"/>
          <w:szCs w:val="28"/>
        </w:rPr>
      </w:pPr>
      <w:bookmarkStart w:id="2" w:name="_Hlk53504521"/>
      <w:r>
        <w:rPr>
          <w:rFonts w:hint="eastAsia" w:ascii="黑体" w:hAnsi="黑体" w:eastAsia="黑体" w:cs="黑体"/>
          <w:b/>
          <w:bCs/>
          <w:sz w:val="28"/>
          <w:szCs w:val="28"/>
        </w:rPr>
        <w:t>一、项目基本情况</w:t>
      </w:r>
    </w:p>
    <w:p>
      <w:pPr>
        <w:pStyle w:val="80"/>
        <w:spacing w:line="400" w:lineRule="exact"/>
        <w:ind w:right="-21" w:rightChars="-10" w:firstLine="560"/>
        <w:rPr>
          <w:rFonts w:ascii="仿宋_GB2312" w:eastAsia="仿宋_GB2312"/>
          <w:sz w:val="28"/>
          <w:szCs w:val="28"/>
        </w:rPr>
      </w:pPr>
      <w:r>
        <w:rPr>
          <w:rFonts w:hint="eastAsia" w:ascii="仿宋_GB2312" w:eastAsia="仿宋_GB2312"/>
          <w:sz w:val="28"/>
          <w:szCs w:val="28"/>
        </w:rPr>
        <w:t>项目编号：LZZC2026-G3-990077-LZSZ</w:t>
      </w:r>
      <w:r>
        <w:rPr>
          <w:rFonts w:ascii="仿宋_GB2312" w:eastAsia="仿宋_GB2312"/>
          <w:sz w:val="28"/>
          <w:szCs w:val="28"/>
        </w:rPr>
        <w:t xml:space="preserve"> </w:t>
      </w:r>
    </w:p>
    <w:p>
      <w:pPr>
        <w:pStyle w:val="80"/>
        <w:spacing w:line="400" w:lineRule="exact"/>
        <w:ind w:right="-21" w:rightChars="-10" w:firstLine="560"/>
        <w:rPr>
          <w:rFonts w:ascii="仿宋_GB2312" w:eastAsia="仿宋_GB2312"/>
          <w:sz w:val="28"/>
          <w:szCs w:val="28"/>
        </w:rPr>
      </w:pPr>
      <w:r>
        <w:rPr>
          <w:rFonts w:hint="eastAsia" w:ascii="仿宋_GB2312" w:eastAsia="仿宋_GB2312"/>
          <w:sz w:val="28"/>
          <w:szCs w:val="28"/>
        </w:rPr>
        <w:t>项目名称：</w:t>
      </w:r>
      <w:r>
        <w:rPr>
          <w:rFonts w:ascii="仿宋_GB2312" w:eastAsia="仿宋_GB2312"/>
          <w:sz w:val="28"/>
          <w:szCs w:val="28"/>
        </w:rPr>
        <w:t>柳州城市职业学院2026-2029年物业管理服务采购</w:t>
      </w:r>
    </w:p>
    <w:p>
      <w:pPr>
        <w:pStyle w:val="80"/>
        <w:spacing w:line="400" w:lineRule="exact"/>
        <w:ind w:right="-21" w:rightChars="-10" w:firstLine="560"/>
        <w:rPr>
          <w:rFonts w:ascii="仿宋_GB2312" w:eastAsia="仿宋_GB2312"/>
          <w:sz w:val="28"/>
          <w:szCs w:val="28"/>
        </w:rPr>
      </w:pPr>
      <w:r>
        <w:rPr>
          <w:rFonts w:hint="eastAsia" w:ascii="仿宋_GB2312" w:eastAsia="仿宋_GB2312"/>
          <w:sz w:val="28"/>
          <w:szCs w:val="28"/>
        </w:rPr>
        <w:t>预算总金额</w:t>
      </w:r>
      <w:bookmarkStart w:id="3" w:name="_Hlk50568912"/>
      <w:r>
        <w:rPr>
          <w:rFonts w:hint="eastAsia" w:ascii="仿宋_GB2312" w:eastAsia="仿宋_GB2312"/>
          <w:sz w:val="28"/>
          <w:szCs w:val="28"/>
        </w:rPr>
        <w:t>（元）：</w:t>
      </w:r>
      <w:r>
        <w:rPr>
          <w:rFonts w:ascii="仿宋_GB2312" w:hAnsi="Times New Roman" w:eastAsia="仿宋_GB2312"/>
          <w:sz w:val="28"/>
          <w:szCs w:val="28"/>
        </w:rPr>
        <w:t>14051200</w:t>
      </w:r>
    </w:p>
    <w:p>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采购需求：</w:t>
      </w:r>
    </w:p>
    <w:p>
      <w:pPr>
        <w:spacing w:line="400" w:lineRule="exact"/>
        <w:ind w:right="-21" w:rightChars="-10"/>
        <w:rPr>
          <w:rFonts w:ascii="仿宋_GB2312" w:eastAsia="仿宋_GB2312"/>
          <w:b/>
          <w:sz w:val="28"/>
          <w:szCs w:val="28"/>
        </w:rPr>
      </w:pPr>
      <w:r>
        <w:rPr>
          <w:rFonts w:ascii="仿宋" w:hAnsi="仿宋" w:eastAsia="仿宋"/>
          <w:bCs/>
          <w:sz w:val="24"/>
        </w:rPr>
        <w:t>标项名称：柳州城市职业学院2026-2029年物业管理服务采购
</w:t>
      </w:r>
      <w:r>
        <w:rPr>
          <w:rFonts w:ascii="仿宋" w:hAnsi="仿宋" w:eastAsia="仿宋"/>
          <w:bCs/>
          <w:sz w:val="24"/>
        </w:rPr>
        <w:cr/>
      </w:r>
      <w:r>
        <w:rPr>
          <w:rFonts w:ascii="仿宋" w:hAnsi="仿宋" w:eastAsia="仿宋"/>
          <w:bCs/>
          <w:sz w:val="24"/>
        </w:rPr>
        <w:t>数量：1
</w:t>
      </w:r>
      <w:r>
        <w:rPr>
          <w:rFonts w:ascii="仿宋" w:hAnsi="仿宋" w:eastAsia="仿宋"/>
          <w:bCs/>
          <w:sz w:val="24"/>
        </w:rPr>
        <w:cr/>
      </w:r>
      <w:r>
        <w:rPr>
          <w:rFonts w:ascii="仿宋" w:hAnsi="仿宋" w:eastAsia="仿宋"/>
          <w:bCs/>
          <w:sz w:val="24"/>
        </w:rPr>
        <w:t>预算金额（元）：14051200
</w:t>
      </w:r>
      <w:r>
        <w:rPr>
          <w:rFonts w:ascii="仿宋" w:hAnsi="仿宋" w:eastAsia="仿宋"/>
          <w:bCs/>
          <w:sz w:val="24"/>
        </w:rPr>
        <w:cr/>
      </w:r>
      <w:r>
        <w:rPr>
          <w:rFonts w:ascii="仿宋" w:hAnsi="仿宋" w:eastAsia="仿宋"/>
          <w:bCs/>
          <w:sz w:val="24"/>
        </w:rPr>
        <w:t>简要规格描述或项目基本概况介绍、用途：</w:t>
      </w:r>
      <w:r>
        <w:rPr>
          <w:rFonts w:hint="eastAsia" w:ascii="仿宋" w:hAnsi="仿宋" w:eastAsia="仿宋"/>
          <w:bCs/>
          <w:sz w:val="24"/>
        </w:rPr>
        <w:t>柳州城市职业学院2026-2029年物业管理服务采购</w:t>
      </w:r>
      <w:r>
        <w:rPr>
          <w:rFonts w:ascii="仿宋" w:hAnsi="仿宋" w:eastAsia="仿宋"/>
          <w:bCs/>
          <w:sz w:val="24"/>
        </w:rPr>
        <w:t>（具体内容详见招标文件第二章《采购需求》）
</w:t>
      </w:r>
      <w:r>
        <w:rPr>
          <w:rFonts w:ascii="仿宋" w:hAnsi="仿宋" w:eastAsia="仿宋"/>
          <w:bCs/>
          <w:sz w:val="24"/>
        </w:rPr>
        <w:cr/>
      </w:r>
      <w:r>
        <w:rPr>
          <w:rFonts w:ascii="仿宋" w:hAnsi="仿宋" w:eastAsia="仿宋"/>
          <w:bCs/>
          <w:sz w:val="24"/>
        </w:rPr>
        <w:t>最高限价（如有）：14051200
</w:t>
      </w:r>
      <w:r>
        <w:rPr>
          <w:rFonts w:ascii="仿宋" w:hAnsi="仿宋" w:eastAsia="仿宋"/>
          <w:bCs/>
          <w:sz w:val="24"/>
        </w:rPr>
        <w:cr/>
      </w:r>
      <w:r>
        <w:rPr>
          <w:rFonts w:ascii="仿宋" w:hAnsi="仿宋" w:eastAsia="仿宋"/>
          <w:bCs/>
          <w:sz w:val="24"/>
        </w:rPr>
        <w:t>合同履约期限：自提供服务之日起3年，具体服务起止时间以合同约定日期为准。 
</w:t>
      </w:r>
      <w:r>
        <w:rPr>
          <w:rFonts w:ascii="仿宋" w:hAnsi="仿宋" w:eastAsia="仿宋"/>
          <w:bCs/>
          <w:sz w:val="24"/>
        </w:rPr>
        <w:cr/>
      </w:r>
      <w:r>
        <w:rPr>
          <w:rFonts w:ascii="仿宋" w:hAnsi="仿宋" w:eastAsia="仿宋"/>
          <w:bCs/>
          <w:sz w:val="24"/>
        </w:rPr>
        <w:t>本标项（否）接受联合体投标
</w:t>
      </w:r>
      <w:r>
        <w:rPr>
          <w:rFonts w:ascii="仿宋" w:hAnsi="仿宋" w:eastAsia="仿宋"/>
          <w:bCs/>
          <w:sz w:val="24"/>
        </w:rPr>
        <w:cr/>
      </w:r>
      <w:r>
        <w:rPr>
          <w:rFonts w:ascii="仿宋" w:hAnsi="仿宋" w:eastAsia="仿宋"/>
          <w:bCs/>
          <w:sz w:val="24"/>
        </w:rPr>
        <w:t>备注：本项目为线上电子招标项目，</w:t>
      </w:r>
      <w:r>
        <w:rPr>
          <w:rFonts w:ascii="仿宋" w:hAnsi="仿宋" w:eastAsia="仿宋"/>
          <w:b/>
          <w:bCs w:val="0"/>
          <w:sz w:val="24"/>
        </w:rPr>
        <w:t>采用远程异地评标</w:t>
      </w:r>
      <w:r>
        <w:rPr>
          <w:rFonts w:ascii="仿宋" w:hAnsi="仿宋" w:eastAsia="仿宋"/>
          <w:bCs/>
          <w:sz w:val="24"/>
        </w:rPr>
        <w:t>，有意向参与本项目的供应商应当做好参与全流程电子招投标交易的充分准备。</w:t>
      </w:r>
    </w:p>
    <w:p>
      <w:pPr>
        <w:pStyle w:val="4"/>
        <w:spacing w:line="400" w:lineRule="exact"/>
        <w:ind w:right="-21" w:rightChars="-10" w:firstLine="562" w:firstLineChars="200"/>
        <w:jc w:val="both"/>
        <w:rPr>
          <w:rFonts w:hint="eastAsia" w:ascii="黑体" w:hAnsi="黑体" w:eastAsia="黑体" w:cs="黑体"/>
          <w:bCs/>
          <w:sz w:val="28"/>
          <w:szCs w:val="28"/>
        </w:rPr>
      </w:pPr>
      <w:bookmarkStart w:id="4" w:name="_Hlk53504529"/>
      <w:r>
        <w:rPr>
          <w:rFonts w:hint="eastAsia" w:ascii="黑体" w:hAnsi="黑体" w:eastAsia="黑体" w:cs="黑体"/>
          <w:bCs/>
          <w:sz w:val="28"/>
          <w:szCs w:val="28"/>
        </w:rPr>
        <w:t>二、申请人的资格要求</w:t>
      </w:r>
    </w:p>
    <w:p>
      <w:pPr>
        <w:pStyle w:val="80"/>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1.</w:t>
      </w:r>
      <w:r>
        <w:rPr>
          <w:rFonts w:hint="eastAsia" w:ascii="仿宋_GB2312" w:eastAsia="仿宋_GB2312"/>
          <w:sz w:val="28"/>
          <w:szCs w:val="28"/>
        </w:rPr>
        <w:t>满足《中华人民共和国政府采购法》第二十二条规定；</w:t>
      </w:r>
    </w:p>
    <w:p>
      <w:pPr>
        <w:pStyle w:val="80"/>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eastAsia="仿宋_GB2312"/>
          <w:sz w:val="28"/>
          <w:szCs w:val="28"/>
        </w:rPr>
        <w:t>落实政府采购政策需满足的资格要求：</w:t>
      </w:r>
      <w:r>
        <w:rPr>
          <w:rFonts w:ascii="仿宋_GB2312" w:eastAsia="仿宋_GB2312"/>
          <w:b/>
          <w:bCs/>
          <w:sz w:val="28"/>
          <w:szCs w:val="28"/>
        </w:rPr>
        <w:t>本项目属于专门面向中小企业采购的项目，监狱企业、残疾人福利单位视同小型、微型企业；中小企业须符合本项目采购标的所属行业对应的中小企业划分标准；</w:t>
      </w:r>
    </w:p>
    <w:p>
      <w:pPr>
        <w:pStyle w:val="80"/>
        <w:spacing w:line="400" w:lineRule="exact"/>
        <w:ind w:right="-21" w:rightChars="-10" w:firstLine="560"/>
        <w:rPr>
          <w:rFonts w:ascii="仿宋_GB2312" w:eastAsia="仿宋_GB2312"/>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本项目的特定资格要求：</w:t>
      </w:r>
      <w:r>
        <w:rPr>
          <w:rFonts w:ascii="仿宋_GB2312" w:eastAsia="仿宋_GB2312"/>
          <w:sz w:val="28"/>
          <w:szCs w:val="28"/>
        </w:rPr>
        <w:t>无；</w:t>
      </w:r>
    </w:p>
    <w:p>
      <w:pPr>
        <w:pStyle w:val="4"/>
        <w:spacing w:line="400" w:lineRule="exact"/>
        <w:ind w:right="-21" w:rightChars="-10" w:firstLine="562" w:firstLineChars="200"/>
        <w:jc w:val="both"/>
        <w:rPr>
          <w:rFonts w:hint="eastAsia" w:ascii="黑体" w:hAnsi="黑体" w:eastAsia="黑体" w:cs="黑体"/>
          <w:bCs/>
          <w:sz w:val="28"/>
          <w:szCs w:val="28"/>
        </w:rPr>
      </w:pPr>
      <w:bookmarkStart w:id="5" w:name="_Toc35393792"/>
      <w:bookmarkStart w:id="6" w:name="_Toc35393623"/>
      <w:r>
        <w:rPr>
          <w:rFonts w:hint="eastAsia" w:ascii="黑体" w:hAnsi="黑体" w:eastAsia="黑体" w:cs="黑体"/>
          <w:bCs/>
          <w:sz w:val="28"/>
          <w:szCs w:val="28"/>
        </w:rPr>
        <w:t>三、获取招标文件</w:t>
      </w:r>
    </w:p>
    <w:p>
      <w:pPr>
        <w:spacing w:line="400" w:lineRule="exact"/>
        <w:ind w:right="-21" w:rightChars="-10" w:firstLine="540"/>
        <w:rPr>
          <w:rFonts w:ascii="仿宋_GB2312" w:hAnsi="Calibri" w:eastAsia="仿宋_GB2312"/>
          <w:sz w:val="28"/>
          <w:szCs w:val="28"/>
        </w:rPr>
      </w:pPr>
      <w:r>
        <w:rPr>
          <w:rFonts w:hint="eastAsia" w:ascii="仿宋_GB2312" w:eastAsia="仿宋_GB2312"/>
          <w:sz w:val="28"/>
          <w:szCs w:val="28"/>
        </w:rPr>
        <w:t>时间：</w:t>
      </w:r>
      <w:r>
        <w:rPr>
          <w:rFonts w:hint="eastAsia" w:ascii="仿宋_GB2312" w:hAnsi="Calibri" w:eastAsia="仿宋_GB2312"/>
          <w:sz w:val="28"/>
          <w:szCs w:val="28"/>
          <w:lang w:val="en-US" w:eastAsia="zh-CN"/>
        </w:rPr>
        <w:t>2026</w:t>
      </w:r>
      <w:r>
        <w:rPr>
          <w:rFonts w:hint="eastAsia" w:ascii="仿宋_GB2312" w:hAnsi="Calibri" w:eastAsia="仿宋_GB2312"/>
          <w:sz w:val="28"/>
          <w:szCs w:val="28"/>
        </w:rPr>
        <w:t>年</w:t>
      </w:r>
      <w:r>
        <w:rPr>
          <w:rFonts w:hint="eastAsia" w:ascii="仿宋_GB2312" w:hAnsi="Calibri" w:eastAsia="仿宋_GB2312"/>
          <w:sz w:val="28"/>
          <w:szCs w:val="28"/>
          <w:lang w:val="en-US" w:eastAsia="zh-CN"/>
        </w:rPr>
        <w:t>3</w:t>
      </w:r>
      <w:r>
        <w:rPr>
          <w:rFonts w:hint="eastAsia" w:ascii="仿宋_GB2312" w:hAnsi="Calibri" w:eastAsia="仿宋_GB2312"/>
          <w:sz w:val="28"/>
          <w:szCs w:val="28"/>
        </w:rPr>
        <w:t>月</w:t>
      </w:r>
      <w:r>
        <w:rPr>
          <w:rFonts w:hint="eastAsia" w:ascii="仿宋_GB2312" w:hAnsi="Calibri" w:eastAsia="仿宋_GB2312"/>
          <w:sz w:val="28"/>
          <w:szCs w:val="28"/>
          <w:lang w:val="en-US" w:eastAsia="zh-CN"/>
        </w:rPr>
        <w:t>30</w:t>
      </w:r>
      <w:r>
        <w:rPr>
          <w:rFonts w:hint="eastAsia" w:ascii="仿宋_GB2312" w:hAnsi="Calibri" w:eastAsia="仿宋_GB2312"/>
          <w:sz w:val="28"/>
          <w:szCs w:val="28"/>
        </w:rPr>
        <w:t>日</w:t>
      </w:r>
      <w:r>
        <w:rPr>
          <w:rFonts w:hint="eastAsia" w:ascii="仿宋_GB2312" w:eastAsia="仿宋_GB2312"/>
          <w:sz w:val="28"/>
          <w:szCs w:val="28"/>
        </w:rPr>
        <w:t>至</w:t>
      </w:r>
      <w:r>
        <w:rPr>
          <w:rFonts w:hint="eastAsia" w:ascii="仿宋_GB2312" w:hAnsi="Calibri" w:eastAsia="仿宋_GB2312"/>
          <w:sz w:val="28"/>
          <w:szCs w:val="28"/>
          <w:lang w:val="en-US" w:eastAsia="zh-CN"/>
        </w:rPr>
        <w:t>2026</w:t>
      </w:r>
      <w:r>
        <w:rPr>
          <w:rFonts w:ascii="仿宋_GB2312" w:hAnsi="Calibri" w:eastAsia="仿宋_GB2312"/>
          <w:sz w:val="28"/>
          <w:szCs w:val="28"/>
        </w:rPr>
        <w:t>年</w:t>
      </w:r>
      <w:r>
        <w:rPr>
          <w:rFonts w:hint="eastAsia" w:ascii="仿宋_GB2312" w:hAnsi="Calibri" w:eastAsia="仿宋_GB2312"/>
          <w:sz w:val="28"/>
          <w:szCs w:val="28"/>
          <w:lang w:val="en-US" w:eastAsia="zh-CN"/>
        </w:rPr>
        <w:t>4</w:t>
      </w:r>
      <w:r>
        <w:rPr>
          <w:rFonts w:ascii="仿宋_GB2312" w:hAnsi="Calibri" w:eastAsia="仿宋_GB2312"/>
          <w:sz w:val="28"/>
          <w:szCs w:val="28"/>
        </w:rPr>
        <w:t>月</w:t>
      </w:r>
      <w:r>
        <w:rPr>
          <w:rFonts w:hint="eastAsia" w:ascii="仿宋_GB2312" w:hAnsi="Calibri" w:eastAsia="仿宋_GB2312"/>
          <w:sz w:val="28"/>
          <w:szCs w:val="28"/>
          <w:lang w:val="en-US" w:eastAsia="zh-CN"/>
        </w:rPr>
        <w:t>08</w:t>
      </w:r>
      <w:r>
        <w:rPr>
          <w:rFonts w:ascii="仿宋_GB2312" w:hAnsi="Calibri" w:eastAsia="仿宋_GB2312"/>
          <w:sz w:val="28"/>
          <w:szCs w:val="28"/>
        </w:rPr>
        <w:t>日</w:t>
      </w:r>
      <w:r>
        <w:rPr>
          <w:rFonts w:hint="eastAsia" w:ascii="仿宋_GB2312" w:hAnsi="仿宋_GB2312" w:eastAsia="仿宋_GB2312" w:cs="仿宋_GB2312"/>
          <w:color w:val="000000"/>
          <w:sz w:val="28"/>
          <w:szCs w:val="28"/>
        </w:rPr>
        <w:t>，每天上午08:00至12:00，下午12:00至</w:t>
      </w:r>
      <w:r>
        <w:rPr>
          <w:rFonts w:hint="eastAsia" w:ascii="仿宋_GB2312" w:hAnsi="仿宋_GB2312" w:eastAsia="仿宋_GB2312" w:cs="仿宋_GB2312"/>
          <w:sz w:val="28"/>
          <w:szCs w:val="28"/>
        </w:rPr>
        <w:t>21:00</w:t>
      </w:r>
      <w:r>
        <w:rPr>
          <w:rFonts w:hint="eastAsia" w:ascii="仿宋_GB2312" w:hAnsi="仿宋_GB2312" w:eastAsia="仿宋_GB2312" w:cs="仿宋_GB2312"/>
          <w:color w:val="000000"/>
          <w:sz w:val="28"/>
          <w:szCs w:val="28"/>
        </w:rPr>
        <w:t>（北京时间，法定节假日除外）</w:t>
      </w:r>
    </w:p>
    <w:p>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地点（网址）：</w:t>
      </w:r>
      <w:r>
        <w:rPr>
          <w:rFonts w:hint="eastAsia" w:ascii="仿宋_GB2312" w:hAnsi="仿宋_GB2312" w:eastAsia="仿宋_GB2312" w:cs="仿宋_GB2312"/>
          <w:sz w:val="28"/>
          <w:szCs w:val="28"/>
        </w:rPr>
        <w:t>广西政府采购云平台（https://www.gcy.zfcg.gxzf.gov.cn/）</w:t>
      </w:r>
    </w:p>
    <w:p>
      <w:pPr>
        <w:spacing w:line="480" w:lineRule="exact"/>
        <w:ind w:right="-21" w:rightChars="-10" w:firstLine="560" w:firstLineChars="200"/>
        <w:rPr>
          <w:rFonts w:hint="eastAsia" w:ascii="仿宋_GB2312" w:hAnsi="仿宋_GB2312" w:eastAsia="仿宋_GB2312" w:cs="仿宋_GB2312"/>
          <w:color w:val="000000"/>
          <w:sz w:val="28"/>
          <w:szCs w:val="28"/>
          <w:u w:val="single"/>
        </w:rPr>
      </w:pPr>
      <w:r>
        <w:rPr>
          <w:rFonts w:hint="eastAsia" w:ascii="仿宋_GB2312" w:hAnsi="仿宋_GB2312" w:eastAsia="仿宋_GB2312" w:cs="仿宋_GB2312"/>
          <w:color w:val="000000"/>
          <w:sz w:val="28"/>
          <w:szCs w:val="28"/>
        </w:rPr>
        <w:t>方式：</w:t>
      </w:r>
      <w:r>
        <w:rPr>
          <w:rFonts w:hint="eastAsia" w:ascii="仿宋_GB2312" w:hAnsi="仿宋_GB2312" w:eastAsia="仿宋_GB2312" w:cs="仿宋_GB2312"/>
          <w:sz w:val="28"/>
          <w:szCs w:val="28"/>
        </w:rPr>
        <w:t>线上获取。登录广西政府采购云平台（https://www.gcy.zfcg.gxzf.gov.cn/），在“工作台”—“项目采购”—“获取采购文件”选择本项目，点击“申请获取采购文件”进行申请提交后，在已申请栏中选择下载本项目招标文件。提示：1.未注册的供应商可在广西政府采购云平台完成注册后再行获取招标文件。2.供应商只有在“广西政府采购云平台”完成获取招标文件申请并下载了招标文件后才视作依法获取招标文件（法律法规所指的供应商获取招标文件时间以供应商完成获取招标文件申请后下载招标文件的时间为准）。3.已获取招标文件的投标人不等于符合本项目的投标人资格。</w:t>
      </w:r>
    </w:p>
    <w:p>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售价（元）：0</w:t>
      </w:r>
    </w:p>
    <w:p>
      <w:pPr>
        <w:pStyle w:val="4"/>
        <w:spacing w:line="400" w:lineRule="exact"/>
        <w:ind w:right="-21" w:rightChars="-10" w:firstLine="562" w:firstLineChars="200"/>
        <w:jc w:val="both"/>
        <w:rPr>
          <w:rFonts w:hint="eastAsia" w:ascii="黑体" w:hAnsi="黑体" w:eastAsia="黑体" w:cs="黑体"/>
          <w:bCs/>
          <w:sz w:val="28"/>
          <w:szCs w:val="28"/>
        </w:rPr>
      </w:pPr>
      <w:bookmarkStart w:id="7" w:name="_Toc35393793"/>
      <w:bookmarkStart w:id="8" w:name="_Toc35393624"/>
      <w:bookmarkStart w:id="9" w:name="_Toc28359082"/>
      <w:bookmarkStart w:id="10" w:name="_Toc28359005"/>
      <w:r>
        <w:rPr>
          <w:rFonts w:hint="eastAsia" w:ascii="黑体" w:hAnsi="黑体" w:eastAsia="黑体" w:cs="黑体"/>
          <w:bCs/>
          <w:sz w:val="28"/>
          <w:szCs w:val="28"/>
        </w:rPr>
        <w:t>四、</w:t>
      </w:r>
      <w:r>
        <w:rPr>
          <w:rFonts w:hint="eastAsia" w:ascii="黑体" w:hAnsi="黑体" w:eastAsia="黑体" w:cs="黑体"/>
          <w:bCs/>
          <w:color w:val="000000"/>
          <w:sz w:val="28"/>
          <w:szCs w:val="28"/>
        </w:rPr>
        <w:t>提交投标文件截止时间、开标时间和地点</w:t>
      </w:r>
    </w:p>
    <w:p>
      <w:pPr>
        <w:spacing w:line="400" w:lineRule="exact"/>
        <w:ind w:right="-21" w:rightChars="-10" w:firstLine="560" w:firstLineChars="200"/>
        <w:rPr>
          <w:rFonts w:hint="eastAsia" w:ascii="仿宋" w:hAnsi="仿宋" w:eastAsia="仿宋"/>
          <w:bCs/>
          <w:sz w:val="28"/>
          <w:szCs w:val="28"/>
          <w:u w:val="single"/>
        </w:rPr>
      </w:pPr>
      <w:r>
        <w:rPr>
          <w:rFonts w:hint="eastAsia" w:ascii="仿宋_GB2312" w:hAnsi="仿宋_GB2312" w:eastAsia="仿宋_GB2312" w:cs="仿宋_GB2312"/>
          <w:color w:val="000000"/>
          <w:sz w:val="28"/>
          <w:szCs w:val="28"/>
        </w:rPr>
        <w:t>提交投标文件截止时间：</w:t>
      </w:r>
      <w:r>
        <w:rPr>
          <w:rFonts w:ascii="仿宋_GB2312" w:hAnsi="仿宋_GB2312" w:eastAsia="仿宋_GB2312" w:cs="仿宋_GB2312"/>
          <w:bCs/>
          <w:sz w:val="28"/>
          <w:szCs w:val="28"/>
        </w:rPr>
        <w:t>2026年</w:t>
      </w:r>
      <w:r>
        <w:rPr>
          <w:rFonts w:hint="eastAsia" w:ascii="仿宋_GB2312" w:hAnsi="仿宋_GB2312" w:eastAsia="仿宋_GB2312" w:cs="仿宋_GB2312"/>
          <w:bCs/>
          <w:sz w:val="28"/>
          <w:szCs w:val="28"/>
          <w:lang w:val="en-US" w:eastAsia="zh-CN"/>
        </w:rPr>
        <w:t>4</w:t>
      </w:r>
      <w:r>
        <w:rPr>
          <w:rFonts w:ascii="仿宋_GB2312" w:hAnsi="仿宋_GB2312" w:eastAsia="仿宋_GB2312" w:cs="仿宋_GB2312"/>
          <w:bCs/>
          <w:sz w:val="28"/>
          <w:szCs w:val="28"/>
        </w:rPr>
        <w:t>月</w:t>
      </w:r>
      <w:r>
        <w:rPr>
          <w:rFonts w:hint="eastAsia" w:ascii="仿宋_GB2312" w:hAnsi="仿宋_GB2312" w:eastAsia="仿宋_GB2312" w:cs="仿宋_GB2312"/>
          <w:bCs/>
          <w:sz w:val="28"/>
          <w:szCs w:val="28"/>
          <w:lang w:val="en-US" w:eastAsia="zh-CN"/>
        </w:rPr>
        <w:t>22</w:t>
      </w:r>
      <w:r>
        <w:rPr>
          <w:rFonts w:ascii="仿宋_GB2312" w:hAnsi="仿宋_GB2312" w:eastAsia="仿宋_GB2312" w:cs="仿宋_GB2312"/>
          <w:bCs/>
          <w:sz w:val="28"/>
          <w:szCs w:val="28"/>
        </w:rPr>
        <w:t>日 09:20</w:t>
      </w:r>
      <w:r>
        <w:rPr>
          <w:rFonts w:hint="eastAsia" w:ascii="仿宋_GB2312" w:eastAsia="仿宋_GB2312"/>
          <w:sz w:val="28"/>
          <w:szCs w:val="28"/>
        </w:rPr>
        <w:t>（北京时间）</w:t>
      </w:r>
    </w:p>
    <w:p>
      <w:pPr>
        <w:spacing w:line="480" w:lineRule="exact"/>
        <w:ind w:right="-21" w:rightChars="-10" w:firstLine="560" w:firstLineChars="200"/>
        <w:rPr>
          <w:rFonts w:hint="eastAsia" w:ascii="仿宋_GB2312" w:hAnsi="仿宋_GB2312" w:eastAsia="仿宋_GB2312" w:cs="仿宋_GB2312"/>
          <w:bCs/>
          <w:color w:val="000000"/>
          <w:sz w:val="28"/>
          <w:szCs w:val="28"/>
        </w:rPr>
      </w:pPr>
      <w:r>
        <w:rPr>
          <w:rFonts w:hint="eastAsia" w:ascii="仿宋_GB2312" w:hAnsi="仿宋_GB2312" w:eastAsia="仿宋_GB2312" w:cs="仿宋_GB2312"/>
          <w:color w:val="000000"/>
          <w:sz w:val="28"/>
          <w:szCs w:val="28"/>
        </w:rPr>
        <w:t>投标地点（网址）：</w:t>
      </w:r>
      <w:r>
        <w:rPr>
          <w:rFonts w:hint="eastAsia" w:ascii="仿宋_GB2312" w:hAnsi="仿宋_GB2312" w:eastAsia="仿宋_GB2312" w:cs="仿宋_GB2312"/>
          <w:sz w:val="28"/>
          <w:szCs w:val="28"/>
        </w:rPr>
        <w:t>广西政府采购云平台（https://www.gcy.zfcg.gxzf.gov.cn/）</w:t>
      </w:r>
      <w:r>
        <w:rPr>
          <w:rFonts w:ascii="仿宋" w:hAnsi="仿宋" w:eastAsia="仿宋" w:cs="仿宋"/>
          <w:sz w:val="27"/>
          <w:szCs w:val="27"/>
        </w:rPr>
        <w:t>（</w:t>
      </w:r>
      <w:r>
        <w:rPr>
          <w:rFonts w:hint="eastAsia" w:ascii="仿宋_GB2312" w:hAnsi="仿宋_GB2312" w:eastAsia="仿宋_GB2312" w:cs="仿宋_GB2312"/>
          <w:bCs/>
          <w:sz w:val="28"/>
          <w:szCs w:val="28"/>
        </w:rPr>
        <w:t>投标人应当在提交投标文件截止时间前完成电子投标文件的传输提交，提交截止时间前可以补充、修改或者撤回电子投标文件。补充或者修改电子投标文件的，应当先行撤回原文件，补充、修改后重新传输提交。提交投标文件截止时间前未完成传输的，视为撤回电子投标文件。提交投标文件截止时间后提交的电子投标文件，及</w:t>
      </w:r>
      <w:r>
        <w:rPr>
          <w:rFonts w:hint="eastAsia" w:ascii="仿宋_GB2312" w:hAnsi="仿宋_GB2312" w:eastAsia="仿宋_GB2312" w:cs="仿宋_GB2312"/>
          <w:sz w:val="28"/>
          <w:szCs w:val="28"/>
        </w:rPr>
        <w:t>未按规定编制并加密的电子投标文件，</w:t>
      </w:r>
      <w:r>
        <w:rPr>
          <w:rFonts w:hint="eastAsia" w:ascii="仿宋_GB2312" w:hAnsi="仿宋_GB2312" w:eastAsia="仿宋_GB2312" w:cs="仿宋_GB2312"/>
          <w:bCs/>
          <w:sz w:val="28"/>
          <w:szCs w:val="28"/>
        </w:rPr>
        <w:t>将被广西政府采购云平台拒收。</w:t>
      </w:r>
      <w:r>
        <w:rPr>
          <w:rFonts w:ascii="仿宋" w:hAnsi="仿宋" w:eastAsia="仿宋" w:cs="仿宋"/>
          <w:sz w:val="27"/>
          <w:szCs w:val="27"/>
        </w:rPr>
        <w:t>）</w:t>
      </w:r>
    </w:p>
    <w:p>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开标时间：</w:t>
      </w:r>
      <w:r>
        <w:rPr>
          <w:rFonts w:ascii="仿宋_GB2312" w:eastAsia="仿宋_GB2312"/>
          <w:bCs/>
          <w:sz w:val="28"/>
          <w:szCs w:val="28"/>
        </w:rPr>
        <w:t>2026年</w:t>
      </w:r>
      <w:r>
        <w:rPr>
          <w:rFonts w:hint="eastAsia" w:ascii="仿宋_GB2312" w:eastAsia="仿宋_GB2312"/>
          <w:bCs/>
          <w:sz w:val="28"/>
          <w:szCs w:val="28"/>
          <w:lang w:val="en-US" w:eastAsia="zh-CN"/>
        </w:rPr>
        <w:t>4</w:t>
      </w:r>
      <w:r>
        <w:rPr>
          <w:rFonts w:ascii="仿宋_GB2312" w:eastAsia="仿宋_GB2312"/>
          <w:bCs/>
          <w:sz w:val="28"/>
          <w:szCs w:val="28"/>
        </w:rPr>
        <w:t>月</w:t>
      </w:r>
      <w:r>
        <w:rPr>
          <w:rFonts w:hint="eastAsia" w:ascii="仿宋_GB2312" w:eastAsia="仿宋_GB2312"/>
          <w:bCs/>
          <w:sz w:val="28"/>
          <w:szCs w:val="28"/>
          <w:lang w:val="en-US" w:eastAsia="zh-CN"/>
        </w:rPr>
        <w:t>22</w:t>
      </w:r>
      <w:bookmarkStart w:id="98" w:name="_GoBack"/>
      <w:bookmarkEnd w:id="98"/>
      <w:r>
        <w:rPr>
          <w:rFonts w:ascii="仿宋_GB2312" w:eastAsia="仿宋_GB2312"/>
          <w:bCs/>
          <w:sz w:val="28"/>
          <w:szCs w:val="28"/>
        </w:rPr>
        <w:t>日 09:20</w:t>
      </w:r>
    </w:p>
    <w:p>
      <w:pPr>
        <w:spacing w:line="480" w:lineRule="exact"/>
        <w:ind w:right="-21" w:rightChars="-10"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color w:val="000000"/>
          <w:sz w:val="28"/>
          <w:szCs w:val="28"/>
        </w:rPr>
        <w:t> 开标地点：</w:t>
      </w:r>
      <w:r>
        <w:rPr>
          <w:rFonts w:hint="eastAsia" w:ascii="仿宋_GB2312" w:hAnsi="仿宋_GB2312" w:eastAsia="仿宋_GB2312" w:cs="仿宋_GB2312"/>
          <w:sz w:val="28"/>
          <w:szCs w:val="28"/>
        </w:rPr>
        <w:t>广西政府采购云平台（https://www.gcy.zfcg.gxzf.gov.cn/）</w:t>
      </w:r>
    </w:p>
    <w:p>
      <w:pPr>
        <w:pStyle w:val="4"/>
        <w:spacing w:line="400" w:lineRule="exact"/>
        <w:ind w:right="-21" w:rightChars="-10" w:firstLine="562" w:firstLineChars="200"/>
        <w:jc w:val="both"/>
        <w:rPr>
          <w:rFonts w:hint="eastAsia" w:ascii="黑体" w:hAnsi="黑体" w:eastAsia="黑体" w:cs="黑体"/>
          <w:bCs/>
          <w:sz w:val="28"/>
          <w:szCs w:val="28"/>
        </w:rPr>
      </w:pPr>
      <w:bookmarkStart w:id="11" w:name="_Toc28359084"/>
      <w:bookmarkStart w:id="12" w:name="_Toc35393794"/>
      <w:bookmarkStart w:id="13" w:name="_Toc28359007"/>
      <w:bookmarkStart w:id="14" w:name="_Toc35393625"/>
      <w:r>
        <w:rPr>
          <w:rFonts w:hint="eastAsia" w:ascii="黑体" w:hAnsi="黑体" w:eastAsia="黑体" w:cs="黑体"/>
          <w:bCs/>
          <w:sz w:val="28"/>
          <w:szCs w:val="28"/>
        </w:rPr>
        <w:t>五、公告期限</w:t>
      </w:r>
    </w:p>
    <w:p>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自本公告发布之日起5个工作日。</w:t>
      </w:r>
    </w:p>
    <w:p>
      <w:pPr>
        <w:pStyle w:val="4"/>
        <w:spacing w:line="400" w:lineRule="exact"/>
        <w:ind w:right="-21" w:rightChars="-10" w:firstLine="562" w:firstLineChars="200"/>
        <w:jc w:val="both"/>
        <w:rPr>
          <w:rFonts w:hint="eastAsia" w:ascii="仿宋_GB2312" w:hAnsi="仿宋_GB2312" w:eastAsia="仿宋_GB2312" w:cs="仿宋_GB2312"/>
          <w:bCs/>
          <w:sz w:val="28"/>
          <w:szCs w:val="28"/>
        </w:rPr>
      </w:pPr>
      <w:bookmarkStart w:id="15" w:name="_Toc35393795"/>
      <w:bookmarkStart w:id="16" w:name="_Toc35393626"/>
      <w:r>
        <w:rPr>
          <w:rFonts w:hint="eastAsia" w:ascii="黑体" w:hAnsi="黑体" w:eastAsia="黑体" w:cs="黑体"/>
          <w:bCs/>
          <w:sz w:val="28"/>
          <w:szCs w:val="28"/>
        </w:rPr>
        <w:t>六、其他补充事宜</w:t>
      </w:r>
    </w:p>
    <w:p>
      <w:pPr>
        <w:pStyle w:val="80"/>
        <w:spacing w:line="400" w:lineRule="exact"/>
        <w:ind w:right="-21" w:rightChars="-10" w:firstLine="562"/>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（一）投标保证金：</w:t>
      </w:r>
      <w:r>
        <w:rPr>
          <w:rFonts w:hint="eastAsia" w:ascii="仿宋_GB2312" w:hAnsi="仿宋_GB2312" w:eastAsia="仿宋_GB2312" w:cs="仿宋_GB2312"/>
          <w:sz w:val="28"/>
          <w:szCs w:val="28"/>
        </w:rPr>
        <w:t>本项目无需提交投标保证金。</w:t>
      </w:r>
    </w:p>
    <w:p>
      <w:pPr>
        <w:pStyle w:val="80"/>
        <w:spacing w:line="420" w:lineRule="exact"/>
        <w:ind w:firstLine="562"/>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（二）发布媒体：</w:t>
      </w:r>
      <w:r>
        <w:rPr>
          <w:rFonts w:hint="eastAsia" w:ascii="仿宋_GB2312" w:hAnsi="仿宋_GB2312" w:eastAsia="仿宋_GB2312" w:cs="仿宋_GB2312"/>
          <w:sz w:val="28"/>
          <w:szCs w:val="28"/>
        </w:rPr>
        <w:t>中国政府采购网（www.ccgp.gov.cn）、广西壮族自治区政府采购网（zfcg.gxzf.gov.cn）、柳州市政府采购网（zfcg.lzscz.liuzhou.gov.cn）。</w:t>
      </w:r>
    </w:p>
    <w:p>
      <w:pPr>
        <w:pStyle w:val="80"/>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w:t>
      </w:r>
      <w:r>
        <w:rPr>
          <w:rFonts w:ascii="仿宋_GB2312" w:hAnsi="仿宋_GB2312" w:eastAsia="仿宋_GB2312" w:cs="仿宋_GB2312"/>
          <w:sz w:val="28"/>
          <w:szCs w:val="28"/>
        </w:rPr>
        <w:t>本项目需要落实的政府采购政策：落实促进中小企业发展政策、支持监狱企业发展政策、促进残疾人就业政府采购政策。如需进一步了解详细内容，详见公开招标文件第二章《采购需求》及第四章《评标方法及评标标准》。</w:t>
      </w:r>
    </w:p>
    <w:p>
      <w:pPr>
        <w:spacing w:line="4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（四）对在“信用中国”网站(www.creditchina.gov.cn)、中国政府采购网(www.ccgp.gov.cn)等渠道列入失信被执行人、重大税收违法案件当事人名单、政府采购严重违法失信行为记录名单的投标人，不得参与政府采购活动。</w:t>
      </w:r>
    </w:p>
    <w:p>
      <w:pPr>
        <w:spacing w:line="420" w:lineRule="exact"/>
        <w:ind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（五）根据《柳州市财政局 人民银行柳州市中心支行 关于进一步做好线上“政采贷”融资工作的通知》（柳财采〔2022〕19号），供应商可凭中标通知书、政府采购合同，通过中征应收账款融资服务平台向银行在线申请“政采贷”融资。</w:t>
      </w:r>
    </w:p>
    <w:p>
      <w:pPr>
        <w:spacing w:line="42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（六）投标人参与电子投标特别说明</w:t>
      </w:r>
    </w:p>
    <w:p>
      <w:pPr>
        <w:pStyle w:val="80"/>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1.本项目通过广西政府采购云平台实行电子投标，投标人应按照本项目公开招标文件和广西政府采购云平台的要求，通过“广西政府采购云平台客户端”编制、加密并提交电子投标文件。</w:t>
      </w:r>
    </w:p>
    <w:p>
      <w:pPr>
        <w:pStyle w:val="80"/>
        <w:wordWrap w:val="0"/>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2.参与电子标的投标人必须为广西政府采购云平台的正式供应商且申领CA证书，</w:t>
      </w:r>
      <w:r>
        <w:rPr>
          <w:rFonts w:hint="eastAsia" w:ascii="仿宋_GB2312" w:hAnsi="仿宋_GB2312" w:eastAsia="仿宋_GB2312" w:cs="仿宋_GB2312"/>
          <w:b/>
          <w:bCs/>
          <w:sz w:val="28"/>
          <w:szCs w:val="28"/>
        </w:rPr>
        <w:t>各投标人应在开标前及时完成</w:t>
      </w:r>
      <w:r>
        <w:rPr>
          <w:rFonts w:hint="eastAsia" w:ascii="仿宋_GB2312" w:hAnsi="仿宋_GB2312" w:eastAsia="仿宋_GB2312" w:cs="仿宋_GB2312"/>
          <w:sz w:val="28"/>
          <w:szCs w:val="28"/>
        </w:rPr>
        <w:t>平台注册、CA证书申领、CA证书绑定、下载投标客户端，熟悉并掌握广西政府采购云平台电子标系统操作。</w:t>
      </w:r>
    </w:p>
    <w:p>
      <w:pPr>
        <w:pStyle w:val="80"/>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1</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投标人应及时熟悉掌握电子标系统操作指南（见广西政府采购云平台电子卖场首页—服务中心—帮助中心—项目采购）</w:t>
      </w:r>
    </w:p>
    <w:p>
      <w:pPr>
        <w:pStyle w:val="80"/>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w:t>
      </w:r>
      <w:r>
        <w:rPr>
          <w:rFonts w:ascii="仿宋_GB2312" w:hAnsi="仿宋_GB2312" w:eastAsia="仿宋_GB2312" w:cs="仿宋_GB2312"/>
          <w:sz w:val="28"/>
          <w:szCs w:val="28"/>
        </w:rPr>
        <w:t>应及时完成CA申领和绑定（见广西壮族自治区政府采购网—办事服务—下载专区-政采云CA证书办理操作指南）</w:t>
      </w:r>
      <w:r>
        <w:rPr>
          <w:rFonts w:hint="eastAsia" w:ascii="仿宋_GB2312" w:hAnsi="仿宋_GB2312" w:eastAsia="仿宋_GB2312" w:cs="仿宋_GB2312"/>
          <w:sz w:val="28"/>
          <w:szCs w:val="28"/>
        </w:rPr>
        <w:t>：</w:t>
      </w:r>
    </w:p>
    <w:p>
      <w:pPr>
        <w:pStyle w:val="80"/>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http://www.ccgp-guangxi.gov.cn/luban/detail?parentId=66479&amp;articleId=giG2hxujOLVnOuVjZr6wgQ</w:t>
      </w:r>
    </w:p>
    <w:p>
      <w:pPr>
        <w:pStyle w:val="80"/>
        <w:wordWrap w:val="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3</w:t>
      </w:r>
      <w:r>
        <w:rPr>
          <w:rFonts w:ascii="仿宋_GB2312" w:hAnsi="仿宋_GB2312" w:eastAsia="仿宋_GB2312" w:cs="仿宋_GB2312"/>
          <w:sz w:val="28"/>
          <w:szCs w:val="28"/>
        </w:rPr>
        <w:t>）</w:t>
      </w:r>
      <w:r>
        <w:rPr>
          <w:rFonts w:hint="eastAsia" w:ascii="仿宋_GB2312" w:hAnsi="仿宋_GB2312" w:eastAsia="仿宋_GB2312" w:cs="仿宋_GB2312"/>
          <w:b/>
          <w:bCs/>
          <w:sz w:val="28"/>
          <w:szCs w:val="28"/>
        </w:rPr>
        <w:t>各投标人通过新平台参与政府采购项目投标需下载使用新版客户端，广西政府采购云平台客户端</w:t>
      </w:r>
      <w:r>
        <w:rPr>
          <w:rFonts w:hint="eastAsia" w:ascii="仿宋_GB2312" w:hAnsi="仿宋_GB2312" w:eastAsia="仿宋_GB2312" w:cs="仿宋_GB2312"/>
          <w:sz w:val="28"/>
          <w:szCs w:val="28"/>
        </w:rPr>
        <w:t>软件请投标人自行前往下载并安装：</w:t>
      </w:r>
    </w:p>
    <w:p>
      <w:pPr>
        <w:pStyle w:val="80"/>
        <w:wordWrap w:val="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http://www.ccgp-guangxi.gov.cn/site/detail?parentId=66479&amp;articleId=+06E5n62B1RzrGh0ew1OFg==&amp;utm=site.site-PC-38919.1024-pc-wsg-secondLevelPage-front.1.5057b2c0cef811ee9fd599f289f082d5</w:t>
      </w:r>
    </w:p>
    <w:p>
      <w:pPr>
        <w:spacing w:line="42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bCs/>
          <w:sz w:val="28"/>
          <w:szCs w:val="28"/>
        </w:rPr>
        <w:t>电子标项目不要求参与投标的投标人到现场，但投标人应派法定代表人或委托代理人准时在线出席电子开评标会议，随时关注开评标进度，如在开评标过程中有电子询标，应在规定的时间内对电子询标函进行澄清回复。</w:t>
      </w:r>
    </w:p>
    <w:p>
      <w:pPr>
        <w:pStyle w:val="80"/>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4.因未注册广西政府采购云平台、未办理CA证书、CA证书故障、操作不当等原因造成无法投标或投标失败等后果由投标人自行承担；</w:t>
      </w:r>
    </w:p>
    <w:p>
      <w:pPr>
        <w:pStyle w:val="80"/>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5.投标人在使用广西政府采购云平台参与投标过程中遇到涉及平台使用的任何问题，可致电广西政府采购云平台技术支持热线咨询，联系方式：</w:t>
      </w:r>
      <w:r>
        <w:rPr>
          <w:rFonts w:ascii="仿宋_GB2312" w:hAnsi="仿宋_GB2312" w:eastAsia="仿宋_GB2312" w:cs="仿宋_GB2312"/>
          <w:b/>
          <w:bCs/>
          <w:sz w:val="28"/>
          <w:szCs w:val="28"/>
        </w:rPr>
        <w:t>95763</w:t>
      </w:r>
      <w:r>
        <w:rPr>
          <w:rFonts w:hint="eastAsia" w:ascii="仿宋_GB2312" w:hAnsi="仿宋_GB2312" w:eastAsia="仿宋_GB2312" w:cs="仿宋_GB2312"/>
          <w:b/>
          <w:bCs/>
          <w:sz w:val="28"/>
          <w:szCs w:val="28"/>
        </w:rPr>
        <w:t>。</w:t>
      </w:r>
    </w:p>
    <w:p>
      <w:pPr>
        <w:pStyle w:val="4"/>
        <w:spacing w:line="400" w:lineRule="exact"/>
        <w:ind w:right="-21" w:rightChars="-10" w:firstLine="562" w:firstLineChars="200"/>
        <w:jc w:val="both"/>
        <w:rPr>
          <w:rFonts w:hint="eastAsia" w:ascii="黑体" w:hAnsi="黑体" w:eastAsia="黑体" w:cs="黑体"/>
          <w:b w:val="0"/>
          <w:sz w:val="28"/>
          <w:szCs w:val="28"/>
        </w:rPr>
      </w:pPr>
      <w:bookmarkStart w:id="17" w:name="_Toc28359008"/>
      <w:bookmarkStart w:id="18" w:name="_Toc35393627"/>
      <w:bookmarkStart w:id="19" w:name="_Hlk50569036"/>
      <w:bookmarkStart w:id="20" w:name="_Toc35393796"/>
      <w:bookmarkStart w:id="21" w:name="_Toc28359085"/>
      <w:r>
        <w:rPr>
          <w:rFonts w:hint="eastAsia" w:ascii="黑体" w:hAnsi="黑体" w:eastAsia="黑体" w:cs="黑体"/>
          <w:bCs/>
          <w:sz w:val="28"/>
          <w:szCs w:val="28"/>
        </w:rPr>
        <w:t>七、对本次招标提出询问，请按以下方式联系</w:t>
      </w:r>
      <w:bookmarkEnd w:id="17"/>
      <w:bookmarkEnd w:id="18"/>
    </w:p>
    <w:p>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1.采购人信息</w:t>
      </w:r>
    </w:p>
    <w:p>
      <w:pPr>
        <w:tabs>
          <w:tab w:val="left" w:pos="851"/>
        </w:tabs>
        <w:spacing w:line="400" w:lineRule="exact"/>
        <w:ind w:right="-21" w:rightChars="-10" w:firstLine="560" w:firstLineChars="200"/>
        <w:rPr>
          <w:rFonts w:ascii="仿宋_GB2312" w:eastAsia="仿宋_GB2312"/>
          <w:color w:val="FF0000"/>
          <w:sz w:val="28"/>
          <w:szCs w:val="28"/>
        </w:rPr>
      </w:pPr>
      <w:r>
        <w:rPr>
          <w:rFonts w:hint="eastAsia" w:ascii="仿宋_GB2312" w:eastAsia="仿宋_GB2312"/>
          <w:sz w:val="28"/>
          <w:szCs w:val="28"/>
        </w:rPr>
        <w:t>名 称：</w:t>
      </w:r>
      <w:r>
        <w:rPr>
          <w:rFonts w:ascii="仿宋_GB2312" w:eastAsia="仿宋_GB2312"/>
          <w:sz w:val="28"/>
          <w:szCs w:val="28"/>
        </w:rPr>
        <w:t>柳州城市职业学院</w:t>
      </w:r>
    </w:p>
    <w:p>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地</w:t>
      </w:r>
      <w:r>
        <w:rPr>
          <w:rFonts w:ascii="仿宋_GB2312" w:eastAsia="仿宋_GB2312"/>
          <w:sz w:val="28"/>
          <w:szCs w:val="28"/>
        </w:rPr>
        <w:t xml:space="preserve"> </w:t>
      </w:r>
      <w:r>
        <w:rPr>
          <w:rFonts w:hint="eastAsia" w:ascii="仿宋_GB2312" w:eastAsia="仿宋_GB2312"/>
          <w:sz w:val="28"/>
          <w:szCs w:val="28"/>
        </w:rPr>
        <w:t>址：</w:t>
      </w:r>
      <w:r>
        <w:rPr>
          <w:rFonts w:ascii="仿宋_GB2312" w:eastAsia="仿宋_GB2312"/>
          <w:sz w:val="28"/>
          <w:szCs w:val="28"/>
        </w:rPr>
        <w:t>广西柳州鱼峰区官塘大道文苑路1号</w:t>
      </w:r>
    </w:p>
    <w:p>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 xml:space="preserve">丘薇 </w:t>
      </w:r>
    </w:p>
    <w:p>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0772-5331031</w:t>
      </w:r>
    </w:p>
    <w:p>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2.采购代理机构信息</w:t>
      </w:r>
    </w:p>
    <w:p>
      <w:pPr>
        <w:tabs>
          <w:tab w:val="left" w:pos="851"/>
        </w:tabs>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名 称：柳州市政府集中采购中心</w:t>
      </w:r>
    </w:p>
    <w:p>
      <w:pPr>
        <w:spacing w:line="400" w:lineRule="exact"/>
        <w:ind w:left="2100" w:right="-21" w:rightChars="-10" w:hanging="2100" w:hangingChars="750"/>
        <w:rPr>
          <w:rFonts w:ascii="仿宋_GB2312" w:eastAsia="仿宋_GB2312"/>
          <w:sz w:val="28"/>
          <w:szCs w:val="28"/>
        </w:rPr>
      </w:pPr>
      <w:r>
        <w:rPr>
          <w:rFonts w:hint="eastAsia" w:ascii="仿宋_GB2312" w:eastAsia="仿宋_GB2312"/>
          <w:sz w:val="28"/>
          <w:szCs w:val="28"/>
        </w:rPr>
        <w:t xml:space="preserve">    地 址：广西</w:t>
      </w:r>
      <w:r>
        <w:rPr>
          <w:rFonts w:ascii="仿宋_GB2312" w:eastAsia="仿宋_GB2312"/>
          <w:sz w:val="28"/>
          <w:szCs w:val="28"/>
        </w:rPr>
        <w:t>柳州市三中路6</w:t>
      </w:r>
      <w:r>
        <w:rPr>
          <w:rFonts w:hint="eastAsia" w:ascii="仿宋_GB2312" w:eastAsia="仿宋_GB2312"/>
          <w:sz w:val="28"/>
          <w:szCs w:val="28"/>
        </w:rPr>
        <w:t>4-2</w:t>
      </w:r>
      <w:r>
        <w:rPr>
          <w:rFonts w:ascii="仿宋_GB2312" w:eastAsia="仿宋_GB2312"/>
          <w:sz w:val="28"/>
          <w:szCs w:val="28"/>
        </w:rPr>
        <w:t>号</w:t>
      </w:r>
    </w:p>
    <w:p>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樊婧懿</w:t>
      </w:r>
    </w:p>
    <w:p>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0772-2805595</w:t>
      </w:r>
      <w:bookmarkEnd w:id="19"/>
    </w:p>
    <w:p>
      <w:pPr>
        <w:spacing w:line="400" w:lineRule="exact"/>
        <w:ind w:right="560"/>
        <w:rPr>
          <w:rFonts w:ascii="仿宋_GB2312" w:eastAsia="仿宋_GB2312"/>
          <w:sz w:val="28"/>
          <w:szCs w:val="28"/>
        </w:rPr>
        <w:sectPr>
          <w:footerReference r:id="rId9" w:type="first"/>
          <w:footerReference r:id="rId8" w:type="default"/>
          <w:pgSz w:w="11906" w:h="16838"/>
          <w:pgMar w:top="1440" w:right="991" w:bottom="1440" w:left="1440" w:header="851" w:footer="992" w:gutter="0"/>
          <w:pgNumType w:start="1"/>
          <w:cols w:space="720" w:num="1"/>
          <w:docGrid w:linePitch="312" w:charSpace="0"/>
        </w:sectPr>
      </w:pPr>
    </w:p>
    <w:p>
      <w:pPr>
        <w:pStyle w:val="3"/>
        <w:spacing w:line="276" w:lineRule="auto"/>
        <w:jc w:val="center"/>
        <w:rPr>
          <w:rFonts w:hint="eastAsia" w:ascii="宋体" w:hAnsi="宋体"/>
          <w:sz w:val="32"/>
          <w:szCs w:val="32"/>
        </w:rPr>
      </w:pPr>
      <w:bookmarkStart w:id="22" w:name="_Toc13541"/>
      <w:r>
        <w:rPr>
          <w:rFonts w:hint="eastAsia" w:ascii="宋体" w:hAnsi="宋体"/>
          <w:sz w:val="32"/>
          <w:szCs w:val="32"/>
        </w:rPr>
        <w:t>第二章 采购需求</w:t>
      </w:r>
      <w:bookmarkEnd w:id="22"/>
    </w:p>
    <w:p>
      <w:pPr>
        <w:spacing w:line="276" w:lineRule="auto"/>
        <w:ind w:right="-330" w:rightChars="-157" w:firstLine="482" w:firstLineChars="200"/>
        <w:rPr>
          <w:rFonts w:ascii="仿宋_GB2312" w:eastAsia="仿宋_GB2312"/>
          <w:b/>
          <w:bCs/>
          <w:sz w:val="24"/>
        </w:rPr>
      </w:pPr>
      <w:bookmarkStart w:id="23" w:name="_Hlk50569056"/>
      <w:r>
        <w:rPr>
          <w:rFonts w:hint="eastAsia" w:ascii="仿宋_GB2312" w:eastAsia="仿宋_GB2312"/>
          <w:b/>
          <w:bCs/>
          <w:sz w:val="24"/>
        </w:rPr>
        <w:t>说明：</w:t>
      </w:r>
    </w:p>
    <w:p>
      <w:pPr>
        <w:adjustRightInd w:val="0"/>
        <w:spacing w:line="276" w:lineRule="auto"/>
        <w:ind w:right="-330" w:rightChars="-157" w:firstLine="482" w:firstLineChars="200"/>
        <w:rPr>
          <w:rFonts w:ascii="仿宋_GB2312" w:eastAsia="仿宋_GB2312"/>
          <w:b/>
          <w:bCs/>
          <w:sz w:val="24"/>
        </w:rPr>
      </w:pPr>
      <w:r>
        <w:rPr>
          <w:rFonts w:hint="eastAsia" w:ascii="仿宋_GB2312" w:eastAsia="仿宋_GB2312"/>
          <w:b/>
          <w:bCs/>
          <w:sz w:val="24"/>
        </w:rPr>
        <w:t>1.评审时，</w:t>
      </w:r>
      <w:r>
        <w:rPr>
          <w:rFonts w:hint="eastAsia" w:ascii="仿宋_GB2312" w:eastAsia="仿宋_GB2312"/>
          <w:b/>
          <w:bCs/>
          <w:sz w:val="24"/>
          <w:lang w:eastAsia="zh-CN"/>
        </w:rPr>
        <w:t>评标委员会</w:t>
      </w:r>
      <w:r>
        <w:rPr>
          <w:rFonts w:hint="eastAsia" w:ascii="仿宋_GB2312" w:eastAsia="仿宋_GB2312"/>
          <w:b/>
          <w:bCs/>
          <w:sz w:val="24"/>
        </w:rPr>
        <w:t>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投标人提供虚假材料、串通等违法违规行为的，要及时向采购人或采购代理机构报告。</w:t>
      </w:r>
    </w:p>
    <w:p>
      <w:pPr>
        <w:adjustRightInd w:val="0"/>
        <w:spacing w:line="276" w:lineRule="auto"/>
        <w:ind w:right="-330" w:rightChars="-157" w:firstLine="482" w:firstLineChars="200"/>
        <w:rPr>
          <w:rFonts w:ascii="仿宋_GB2312" w:eastAsia="仿宋_GB2312"/>
          <w:b/>
          <w:bCs/>
          <w:sz w:val="24"/>
        </w:rPr>
      </w:pPr>
      <w:r>
        <w:rPr>
          <w:rFonts w:hint="eastAsia" w:ascii="仿宋_GB2312" w:eastAsia="仿宋_GB2312"/>
          <w:b/>
          <w:sz w:val="24"/>
        </w:rPr>
        <w:t>2.</w:t>
      </w:r>
      <w:r>
        <w:rPr>
          <w:rFonts w:hint="eastAsia" w:ascii="仿宋_GB2312" w:eastAsia="仿宋_GB2312"/>
          <w:b/>
          <w:bCs/>
          <w:sz w:val="24"/>
        </w:rPr>
        <w:t>标记“</w:t>
      </w:r>
      <w:r>
        <w:rPr>
          <w:rFonts w:hint="eastAsia" w:ascii="宋体" w:hAnsi="宋体" w:cs="宋体"/>
          <w:b/>
          <w:bCs/>
          <w:sz w:val="24"/>
        </w:rPr>
        <w:t>★</w:t>
      </w:r>
      <w:r>
        <w:rPr>
          <w:rFonts w:hint="eastAsia" w:ascii="仿宋_GB2312" w:eastAsia="仿宋_GB2312"/>
          <w:b/>
          <w:bCs/>
          <w:sz w:val="24"/>
        </w:rPr>
        <w:t>”符号的为实质性响应内容，该内容</w:t>
      </w:r>
      <w:r>
        <w:rPr>
          <w:rFonts w:hint="eastAsia" w:ascii="仿宋_GB2312" w:hAnsi="仿宋_GB2312" w:eastAsia="仿宋_GB2312" w:cs="仿宋_GB2312"/>
          <w:b/>
          <w:bCs/>
          <w:sz w:val="24"/>
        </w:rPr>
        <w:t>仅限于“第二章 采购需求”，</w:t>
      </w:r>
      <w:r>
        <w:rPr>
          <w:rFonts w:hint="eastAsia" w:ascii="仿宋_GB2312" w:eastAsia="仿宋_GB2312"/>
          <w:b/>
          <w:bCs/>
          <w:sz w:val="24"/>
        </w:rPr>
        <w:t>评审时投标人的响应内容</w:t>
      </w:r>
      <w:r>
        <w:rPr>
          <w:rFonts w:hint="eastAsia" w:ascii="仿宋_GB2312" w:hAnsi="仿宋_GB2312" w:eastAsia="仿宋_GB2312" w:cs="仿宋_GB2312"/>
          <w:b/>
          <w:bCs/>
          <w:sz w:val="24"/>
        </w:rPr>
        <w:t>发生负偏离一项以上的，视为投标无效。</w:t>
      </w:r>
    </w:p>
    <w:bookmarkEnd w:id="1"/>
    <w:bookmarkEnd w:id="2"/>
    <w:bookmarkEnd w:id="3"/>
    <w:bookmarkEnd w:id="4"/>
    <w:bookmarkEnd w:id="23"/>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697"/>
        <w:gridCol w:w="113"/>
        <w:gridCol w:w="7445"/>
        <w:gridCol w:w="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42" w:type="dxa"/>
            <w:gridSpan w:val="5"/>
            <w:tcBorders>
              <w:top w:val="single" w:color="auto" w:sz="4" w:space="0"/>
              <w:left w:val="single" w:color="auto" w:sz="4" w:space="0"/>
              <w:bottom w:val="single" w:color="auto" w:sz="4" w:space="0"/>
              <w:right w:val="single" w:color="auto" w:sz="4" w:space="0"/>
            </w:tcBorders>
            <w:noWrap/>
            <w:vAlign w:val="center"/>
          </w:tcPr>
          <w:p>
            <w:pPr>
              <w:spacing w:line="400" w:lineRule="exact"/>
              <w:rPr>
                <w:rFonts w:ascii="仿宋_GB2312" w:hAnsi="宋体" w:eastAsia="仿宋_GB2312" w:cs="宋体"/>
                <w:b/>
                <w:color w:val="auto"/>
                <w:kern w:val="0"/>
                <w:sz w:val="24"/>
                <w:szCs w:val="24"/>
              </w:rPr>
            </w:pPr>
            <w:r>
              <w:rPr>
                <w:rFonts w:hint="eastAsia" w:ascii="宋体" w:hAnsi="宋体" w:cs="宋体"/>
                <w:b/>
                <w:bCs/>
                <w:color w:val="auto"/>
                <w:sz w:val="24"/>
                <w:szCs w:val="24"/>
              </w:rPr>
              <w:t>★</w:t>
            </w:r>
            <w:r>
              <w:rPr>
                <w:rFonts w:hint="eastAsia" w:ascii="仿宋_GB2312" w:hAnsi="宋体" w:eastAsia="仿宋_GB2312" w:cs="宋体"/>
                <w:b/>
                <w:color w:val="auto"/>
                <w:kern w:val="0"/>
                <w:sz w:val="24"/>
                <w:szCs w:val="24"/>
              </w:rPr>
              <w:t>一、项目要求及服务需求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trPr>
        <w:tc>
          <w:tcPr>
            <w:tcW w:w="432" w:type="dxa"/>
            <w:tcBorders>
              <w:top w:val="single" w:color="auto" w:sz="4" w:space="0"/>
              <w:left w:val="single" w:color="auto" w:sz="4" w:space="0"/>
              <w:bottom w:val="single" w:color="auto" w:sz="4" w:space="0"/>
              <w:right w:val="single" w:color="auto" w:sz="4" w:space="0"/>
            </w:tcBorders>
            <w:noWrap/>
            <w:vAlign w:val="center"/>
          </w:tcPr>
          <w:p>
            <w:pPr>
              <w:pStyle w:val="26"/>
              <w:snapToGrid w:val="0"/>
              <w:spacing w:line="400" w:lineRule="exact"/>
              <w:jc w:val="center"/>
              <w:rPr>
                <w:rFonts w:ascii="仿宋_GB2312" w:hAnsi="宋体" w:eastAsia="仿宋_GB2312" w:cs="Arial"/>
                <w:b/>
                <w:bCs/>
                <w:color w:val="auto"/>
                <w:sz w:val="24"/>
                <w:szCs w:val="24"/>
              </w:rPr>
            </w:pPr>
            <w:r>
              <w:rPr>
                <w:rFonts w:hint="eastAsia" w:ascii="仿宋_GB2312" w:hAnsi="宋体" w:eastAsia="仿宋_GB2312" w:cs="Arial"/>
                <w:b/>
                <w:bCs/>
                <w:color w:val="auto"/>
                <w:sz w:val="24"/>
                <w:szCs w:val="24"/>
              </w:rPr>
              <w:t>项号</w:t>
            </w:r>
          </w:p>
        </w:tc>
        <w:tc>
          <w:tcPr>
            <w:tcW w:w="697" w:type="dxa"/>
            <w:tcBorders>
              <w:top w:val="single" w:color="auto" w:sz="4" w:space="0"/>
              <w:left w:val="single" w:color="auto" w:sz="4" w:space="0"/>
              <w:bottom w:val="single" w:color="auto" w:sz="4" w:space="0"/>
              <w:right w:val="single" w:color="auto" w:sz="4" w:space="0"/>
            </w:tcBorders>
            <w:noWrap/>
            <w:vAlign w:val="center"/>
          </w:tcPr>
          <w:p>
            <w:pPr>
              <w:pStyle w:val="26"/>
              <w:snapToGrid w:val="0"/>
              <w:spacing w:line="400" w:lineRule="exact"/>
              <w:jc w:val="center"/>
              <w:rPr>
                <w:rFonts w:ascii="仿宋_GB2312" w:hAnsi="宋体" w:eastAsia="仿宋_GB2312" w:cs="Arial"/>
                <w:b/>
                <w:bCs/>
                <w:color w:val="auto"/>
                <w:sz w:val="24"/>
                <w:szCs w:val="24"/>
              </w:rPr>
            </w:pPr>
            <w:r>
              <w:rPr>
                <w:rFonts w:hint="eastAsia" w:ascii="仿宋_GB2312" w:hAnsi="仿宋_GB2312" w:eastAsia="仿宋_GB2312" w:cs="仿宋_GB2312"/>
                <w:b/>
                <w:sz w:val="24"/>
                <w:szCs w:val="24"/>
                <w:highlight w:val="none"/>
                <w:lang w:eastAsia="zh-CN"/>
              </w:rPr>
              <w:t>标的</w:t>
            </w:r>
            <w:r>
              <w:rPr>
                <w:rFonts w:hint="eastAsia" w:ascii="仿宋_GB2312" w:hAnsi="仿宋_GB2312" w:eastAsia="仿宋_GB2312" w:cs="仿宋_GB2312"/>
                <w:b/>
                <w:sz w:val="24"/>
                <w:szCs w:val="24"/>
                <w:highlight w:val="none"/>
              </w:rPr>
              <w:t>名称</w:t>
            </w:r>
          </w:p>
        </w:tc>
        <w:tc>
          <w:tcPr>
            <w:tcW w:w="7558" w:type="dxa"/>
            <w:gridSpan w:val="2"/>
            <w:tcBorders>
              <w:top w:val="single" w:color="auto" w:sz="4" w:space="0"/>
              <w:left w:val="single" w:color="auto" w:sz="4" w:space="0"/>
              <w:bottom w:val="single" w:color="auto" w:sz="4" w:space="0"/>
              <w:right w:val="single" w:color="auto" w:sz="4" w:space="0"/>
            </w:tcBorders>
            <w:noWrap/>
            <w:vAlign w:val="center"/>
          </w:tcPr>
          <w:p>
            <w:pPr>
              <w:pStyle w:val="26"/>
              <w:snapToGrid w:val="0"/>
              <w:spacing w:line="400" w:lineRule="exact"/>
              <w:jc w:val="center"/>
              <w:rPr>
                <w:rFonts w:ascii="仿宋_GB2312" w:hAnsi="宋体" w:eastAsia="仿宋_GB2312" w:cs="Arial"/>
                <w:b/>
                <w:bCs/>
                <w:color w:val="auto"/>
                <w:sz w:val="24"/>
                <w:szCs w:val="24"/>
              </w:rPr>
            </w:pPr>
            <w:r>
              <w:rPr>
                <w:rFonts w:hint="eastAsia" w:ascii="仿宋_GB2312" w:hAnsi="宋体" w:eastAsia="仿宋_GB2312" w:cs="Arial"/>
                <w:b/>
                <w:bCs/>
                <w:color w:val="auto"/>
                <w:sz w:val="24"/>
                <w:szCs w:val="24"/>
              </w:rPr>
              <w:t>服务内容要求</w:t>
            </w:r>
          </w:p>
        </w:tc>
        <w:tc>
          <w:tcPr>
            <w:tcW w:w="555" w:type="dxa"/>
            <w:tcBorders>
              <w:top w:val="single" w:color="auto" w:sz="4" w:space="0"/>
              <w:left w:val="single" w:color="auto" w:sz="4" w:space="0"/>
              <w:bottom w:val="single" w:color="auto" w:sz="4" w:space="0"/>
              <w:right w:val="single" w:color="auto" w:sz="4" w:space="0"/>
            </w:tcBorders>
            <w:noWrap/>
            <w:vAlign w:val="center"/>
          </w:tcPr>
          <w:p>
            <w:pPr>
              <w:pStyle w:val="26"/>
              <w:snapToGrid w:val="0"/>
              <w:spacing w:line="400" w:lineRule="exact"/>
              <w:jc w:val="center"/>
              <w:rPr>
                <w:rFonts w:ascii="仿宋_GB2312" w:hAnsi="宋体" w:eastAsia="仿宋_GB2312" w:cs="Arial"/>
                <w:b/>
                <w:bCs/>
                <w:color w:val="auto"/>
                <w:sz w:val="24"/>
                <w:szCs w:val="24"/>
              </w:rPr>
            </w:pPr>
            <w:r>
              <w:rPr>
                <w:rFonts w:hint="eastAsia" w:ascii="仿宋_GB2312" w:hAnsi="仿宋_GB2312" w:eastAsia="仿宋_GB2312" w:cs="仿宋_GB2312"/>
                <w:b/>
                <w:sz w:val="24"/>
                <w:szCs w:val="24"/>
                <w:highlight w:val="none"/>
              </w:rPr>
              <w:t>数量及单位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432" w:type="dxa"/>
            <w:tcBorders>
              <w:top w:val="single" w:color="auto" w:sz="4" w:space="0"/>
              <w:left w:val="single" w:color="auto" w:sz="4" w:space="0"/>
              <w:bottom w:val="single" w:color="auto" w:sz="4" w:space="0"/>
              <w:right w:val="single" w:color="auto" w:sz="4" w:space="0"/>
            </w:tcBorders>
            <w:noWrap/>
            <w:vAlign w:val="center"/>
          </w:tcPr>
          <w:p>
            <w:pPr>
              <w:pStyle w:val="26"/>
              <w:snapToGrid w:val="0"/>
              <w:spacing w:line="400" w:lineRule="exact"/>
              <w:jc w:val="center"/>
              <w:rPr>
                <w:rFonts w:ascii="仿宋_GB2312" w:hAnsi="宋体" w:eastAsia="仿宋_GB2312" w:cs="Arial"/>
                <w:bCs/>
                <w:color w:val="auto"/>
                <w:sz w:val="24"/>
                <w:szCs w:val="24"/>
              </w:rPr>
            </w:pPr>
            <w:r>
              <w:rPr>
                <w:rFonts w:hint="eastAsia" w:ascii="仿宋_GB2312" w:hAnsi="宋体" w:eastAsia="仿宋_GB2312" w:cs="Arial"/>
                <w:bCs/>
                <w:color w:val="auto"/>
                <w:sz w:val="24"/>
                <w:szCs w:val="24"/>
              </w:rPr>
              <w:t>1</w:t>
            </w:r>
          </w:p>
        </w:tc>
        <w:tc>
          <w:tcPr>
            <w:tcW w:w="697" w:type="dxa"/>
            <w:tcBorders>
              <w:top w:val="single" w:color="auto" w:sz="4" w:space="0"/>
              <w:left w:val="single" w:color="auto" w:sz="4" w:space="0"/>
              <w:bottom w:val="single" w:color="auto" w:sz="4" w:space="0"/>
              <w:right w:val="single" w:color="auto" w:sz="4" w:space="0"/>
            </w:tcBorders>
            <w:noWrap/>
            <w:vAlign w:val="center"/>
          </w:tcPr>
          <w:p>
            <w:pPr>
              <w:pStyle w:val="26"/>
              <w:snapToGrid w:val="0"/>
              <w:spacing w:line="400" w:lineRule="exact"/>
              <w:jc w:val="center"/>
              <w:rPr>
                <w:rFonts w:ascii="仿宋_GB2312" w:hAnsi="宋体" w:eastAsia="仿宋_GB2312" w:cs="Arial"/>
                <w:bCs/>
                <w:color w:val="auto"/>
                <w:sz w:val="24"/>
                <w:szCs w:val="24"/>
              </w:rPr>
            </w:pPr>
            <w:r>
              <w:rPr>
                <w:rFonts w:hint="eastAsia" w:ascii="仿宋_GB2312" w:hAnsi="仿宋_GB2312" w:eastAsia="仿宋_GB2312" w:cs="仿宋_GB2312"/>
                <w:color w:val="auto"/>
                <w:sz w:val="24"/>
                <w:szCs w:val="24"/>
              </w:rPr>
              <w:t>柳州城市职业学院2026-2029年物业管理服务采购</w:t>
            </w:r>
          </w:p>
        </w:tc>
        <w:tc>
          <w:tcPr>
            <w:tcW w:w="755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ordWrap/>
              <w:topLinePunct w:val="0"/>
              <w:bidi w:val="0"/>
              <w:adjustRightInd/>
              <w:snapToGrid/>
              <w:spacing w:line="400" w:lineRule="exact"/>
              <w:ind w:firstLine="361" w:firstLineChars="150"/>
              <w:textAlignment w:val="auto"/>
              <w:rPr>
                <w:rFonts w:ascii="仿宋_GB2312" w:hAnsi="宋体" w:eastAsia="仿宋_GB2312" w:cs="宋体"/>
                <w:b/>
                <w:bCs/>
                <w:color w:val="auto"/>
                <w:sz w:val="24"/>
                <w:szCs w:val="24"/>
              </w:rPr>
            </w:pPr>
            <w:r>
              <w:rPr>
                <w:rFonts w:hint="eastAsia" w:ascii="仿宋_GB2312" w:hAnsi="宋体" w:eastAsia="仿宋_GB2312" w:cs="宋体"/>
                <w:b/>
                <w:bCs/>
                <w:color w:val="auto"/>
                <w:sz w:val="24"/>
                <w:szCs w:val="24"/>
              </w:rPr>
              <w:t>一、项目概况</w:t>
            </w:r>
          </w:p>
          <w:p>
            <w:pPr>
              <w:keepNext w:val="0"/>
              <w:keepLines w:val="0"/>
              <w:pageBreakBefore w:val="0"/>
              <w:wordWrap/>
              <w:topLinePunct w:val="0"/>
              <w:bidi w:val="0"/>
              <w:adjustRightInd/>
              <w:snapToGrid/>
              <w:spacing w:line="400" w:lineRule="exact"/>
              <w:ind w:firstLine="361" w:firstLineChars="150"/>
              <w:textAlignment w:val="auto"/>
              <w:rPr>
                <w:rFonts w:ascii="仿宋_GB2312" w:hAnsi="宋体" w:eastAsia="仿宋_GB2312" w:cs="宋体"/>
                <w:b/>
                <w:bCs/>
                <w:color w:val="auto"/>
                <w:sz w:val="24"/>
                <w:szCs w:val="24"/>
              </w:rPr>
            </w:pPr>
            <w:r>
              <w:rPr>
                <w:rFonts w:hint="eastAsia" w:ascii="仿宋_GB2312" w:hAnsi="宋体" w:eastAsia="仿宋_GB2312" w:cs="宋体"/>
                <w:b/>
                <w:bCs/>
                <w:color w:val="auto"/>
                <w:sz w:val="24"/>
                <w:szCs w:val="24"/>
              </w:rPr>
              <w:t>（一）项目名称</w:t>
            </w:r>
          </w:p>
          <w:p>
            <w:pPr>
              <w:keepNext w:val="0"/>
              <w:keepLines w:val="0"/>
              <w:pageBreakBefore w:val="0"/>
              <w:wordWrap/>
              <w:topLinePunct w:val="0"/>
              <w:bidi w:val="0"/>
              <w:adjustRightInd/>
              <w:snapToGrid/>
              <w:spacing w:line="400" w:lineRule="exact"/>
              <w:ind w:firstLine="360" w:firstLineChars="150"/>
              <w:textAlignment w:val="auto"/>
              <w:rPr>
                <w:rFonts w:ascii="仿宋_GB2312" w:hAnsi="宋体" w:eastAsia="仿宋_GB2312" w:cs="宋体"/>
                <w:bCs/>
                <w:color w:val="auto"/>
                <w:sz w:val="24"/>
                <w:szCs w:val="24"/>
              </w:rPr>
            </w:pPr>
            <w:r>
              <w:rPr>
                <w:rFonts w:hint="eastAsia" w:ascii="仿宋_GB2312" w:hAnsi="宋体" w:eastAsia="仿宋_GB2312" w:cs="宋体"/>
                <w:bCs/>
                <w:color w:val="auto"/>
                <w:sz w:val="24"/>
                <w:szCs w:val="24"/>
              </w:rPr>
              <w:t>柳州城市职业学院</w:t>
            </w:r>
            <w:r>
              <w:rPr>
                <w:rFonts w:hint="eastAsia" w:ascii="仿宋_GB2312" w:hAnsi="宋体" w:eastAsia="仿宋_GB2312" w:cs="宋体"/>
                <w:bCs/>
                <w:color w:val="auto"/>
                <w:sz w:val="24"/>
                <w:szCs w:val="24"/>
                <w:lang w:val="en-US" w:eastAsia="zh-CN"/>
              </w:rPr>
              <w:t>2026-2029年</w:t>
            </w:r>
            <w:r>
              <w:rPr>
                <w:rFonts w:hint="eastAsia" w:ascii="仿宋_GB2312" w:hAnsi="宋体" w:eastAsia="仿宋_GB2312" w:cs="宋体"/>
                <w:bCs/>
                <w:color w:val="auto"/>
                <w:sz w:val="24"/>
                <w:szCs w:val="24"/>
              </w:rPr>
              <w:t>物业管理服务采购</w:t>
            </w:r>
          </w:p>
          <w:p>
            <w:pPr>
              <w:keepNext w:val="0"/>
              <w:keepLines w:val="0"/>
              <w:pageBreakBefore w:val="0"/>
              <w:wordWrap/>
              <w:topLinePunct w:val="0"/>
              <w:bidi w:val="0"/>
              <w:adjustRightInd/>
              <w:snapToGrid/>
              <w:spacing w:line="400" w:lineRule="exact"/>
              <w:ind w:firstLine="361" w:firstLineChars="150"/>
              <w:textAlignment w:val="auto"/>
              <w:rPr>
                <w:rFonts w:ascii="仿宋_GB2312" w:hAnsi="宋体" w:eastAsia="仿宋_GB2312" w:cs="宋体"/>
                <w:b/>
                <w:bCs/>
                <w:color w:val="auto"/>
                <w:sz w:val="24"/>
                <w:szCs w:val="24"/>
              </w:rPr>
            </w:pPr>
            <w:r>
              <w:rPr>
                <w:rFonts w:hint="eastAsia" w:ascii="仿宋_GB2312" w:hAnsi="宋体" w:eastAsia="仿宋_GB2312" w:cs="宋体"/>
                <w:b/>
                <w:bCs/>
                <w:color w:val="auto"/>
                <w:sz w:val="24"/>
                <w:szCs w:val="24"/>
              </w:rPr>
              <w:t>（二）服务地点</w:t>
            </w:r>
          </w:p>
          <w:p>
            <w:pPr>
              <w:keepNext w:val="0"/>
              <w:keepLines w:val="0"/>
              <w:pageBreakBefore w:val="0"/>
              <w:wordWrap/>
              <w:topLinePunct w:val="0"/>
              <w:bidi w:val="0"/>
              <w:adjustRightInd/>
              <w:snapToGrid/>
              <w:spacing w:line="400" w:lineRule="exact"/>
              <w:ind w:firstLine="360" w:firstLineChars="150"/>
              <w:textAlignment w:val="auto"/>
              <w:rPr>
                <w:rFonts w:ascii="仿宋_GB2312" w:hAnsi="宋体" w:eastAsia="仿宋_GB2312" w:cs="宋体"/>
                <w:color w:val="auto"/>
                <w:sz w:val="24"/>
                <w:szCs w:val="24"/>
              </w:rPr>
            </w:pPr>
            <w:r>
              <w:rPr>
                <w:rFonts w:hint="eastAsia" w:ascii="仿宋_GB2312" w:hAnsi="宋体" w:eastAsia="仿宋_GB2312" w:cs="宋体"/>
                <w:color w:val="auto"/>
                <w:sz w:val="24"/>
                <w:szCs w:val="24"/>
              </w:rPr>
              <w:t>1．柳州市鱼峰区官塘大道文苑路1号。</w:t>
            </w:r>
          </w:p>
          <w:p>
            <w:pPr>
              <w:keepNext w:val="0"/>
              <w:keepLines w:val="0"/>
              <w:pageBreakBefore w:val="0"/>
              <w:wordWrap/>
              <w:topLinePunct w:val="0"/>
              <w:bidi w:val="0"/>
              <w:adjustRightInd/>
              <w:snapToGrid/>
              <w:spacing w:line="400" w:lineRule="exact"/>
              <w:ind w:firstLine="360" w:firstLineChars="150"/>
              <w:textAlignment w:val="auto"/>
              <w:rPr>
                <w:rFonts w:ascii="仿宋_GB2312" w:hAnsi="宋体" w:eastAsia="仿宋_GB2312" w:cs="宋体"/>
                <w:color w:val="auto"/>
                <w:sz w:val="24"/>
                <w:szCs w:val="24"/>
              </w:rPr>
            </w:pPr>
            <w:r>
              <w:rPr>
                <w:rFonts w:hint="eastAsia" w:ascii="仿宋_GB2312" w:hAnsi="宋体" w:eastAsia="仿宋_GB2312" w:cs="宋体"/>
                <w:color w:val="auto"/>
                <w:sz w:val="24"/>
                <w:szCs w:val="24"/>
              </w:rPr>
              <w:t>2．柳州市鱼峰区荣军路东三巷132号。</w:t>
            </w:r>
          </w:p>
          <w:p>
            <w:pPr>
              <w:keepNext w:val="0"/>
              <w:keepLines w:val="0"/>
              <w:pageBreakBefore w:val="0"/>
              <w:wordWrap/>
              <w:topLinePunct w:val="0"/>
              <w:bidi w:val="0"/>
              <w:adjustRightInd/>
              <w:snapToGrid/>
              <w:spacing w:line="400" w:lineRule="exact"/>
              <w:ind w:firstLine="361" w:firstLineChars="150"/>
              <w:textAlignment w:val="auto"/>
              <w:rPr>
                <w:rFonts w:ascii="仿宋_GB2312" w:hAnsi="宋体" w:eastAsia="仿宋_GB2312" w:cs="宋体"/>
                <w:b/>
                <w:bCs/>
                <w:color w:val="auto"/>
                <w:sz w:val="24"/>
                <w:szCs w:val="24"/>
              </w:rPr>
            </w:pPr>
            <w:r>
              <w:rPr>
                <w:rFonts w:hint="eastAsia" w:ascii="仿宋_GB2312" w:eastAsia="仿宋_GB2312"/>
                <w:b/>
                <w:color w:val="auto"/>
                <w:sz w:val="24"/>
                <w:szCs w:val="24"/>
              </w:rPr>
              <w:t>（三）</w:t>
            </w:r>
            <w:r>
              <w:rPr>
                <w:rFonts w:hint="eastAsia" w:ascii="仿宋_GB2312" w:hAnsi="宋体" w:eastAsia="仿宋_GB2312" w:cs="宋体"/>
                <w:b/>
                <w:bCs/>
                <w:color w:val="auto"/>
                <w:sz w:val="24"/>
                <w:szCs w:val="24"/>
              </w:rPr>
              <w:t>服务范围</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hAnsi="宋体" w:eastAsia="仿宋_GB2312" w:cs="宋体"/>
                <w:bCs/>
                <w:color w:val="auto"/>
                <w:sz w:val="24"/>
                <w:szCs w:val="24"/>
              </w:rPr>
              <w:t>1．</w:t>
            </w:r>
            <w:r>
              <w:rPr>
                <w:rFonts w:hint="eastAsia" w:ascii="仿宋_GB2312" w:hAnsi="宋体" w:eastAsia="仿宋_GB2312" w:cs="宋体"/>
                <w:color w:val="auto"/>
                <w:sz w:val="24"/>
                <w:szCs w:val="24"/>
              </w:rPr>
              <w:t>柳州市鱼峰区官塘大道文苑路1号，</w:t>
            </w:r>
            <w:r>
              <w:rPr>
                <w:rFonts w:hint="eastAsia" w:ascii="仿宋_GB2312" w:hAnsi="宋体" w:eastAsia="仿宋_GB2312" w:cs="宋体"/>
                <w:bCs/>
                <w:color w:val="auto"/>
                <w:sz w:val="24"/>
                <w:szCs w:val="24"/>
              </w:rPr>
              <w:t>校园红线范围内的建筑物及公共区域的物业管理与服务，包括但不限于校园环境卫生、校园绿化养护、设</w:t>
            </w:r>
            <w:r>
              <w:rPr>
                <w:rFonts w:hint="eastAsia" w:ascii="仿宋_GB2312" w:hAnsi="宋体" w:eastAsia="仿宋_GB2312" w:cs="宋体"/>
                <w:color w:val="auto"/>
                <w:sz w:val="24"/>
                <w:szCs w:val="24"/>
              </w:rPr>
              <w:t>施维修维护和</w:t>
            </w:r>
            <w:r>
              <w:rPr>
                <w:rFonts w:hint="eastAsia" w:ascii="仿宋_GB2312" w:hAnsi="宋体" w:eastAsia="仿宋_GB2312" w:cs="宋体"/>
                <w:color w:val="auto"/>
                <w:sz w:val="24"/>
                <w:szCs w:val="24"/>
                <w:lang w:eastAsia="zh-CN"/>
              </w:rPr>
              <w:t>学生公寓</w:t>
            </w:r>
            <w:r>
              <w:rPr>
                <w:rFonts w:hint="eastAsia" w:ascii="仿宋_GB2312" w:hAnsi="宋体" w:eastAsia="仿宋_GB2312" w:cs="宋体"/>
                <w:color w:val="auto"/>
                <w:sz w:val="24"/>
                <w:szCs w:val="24"/>
              </w:rPr>
              <w:t>管理、学员公寓</w:t>
            </w:r>
            <w:r>
              <w:rPr>
                <w:rFonts w:hint="eastAsia" w:ascii="仿宋_GB2312" w:hAnsi="宋体" w:eastAsia="仿宋_GB2312" w:cs="宋体"/>
                <w:color w:val="auto"/>
                <w:sz w:val="24"/>
                <w:szCs w:val="24"/>
                <w:lang w:eastAsia="zh-CN"/>
              </w:rPr>
              <w:t>管理</w:t>
            </w:r>
            <w:r>
              <w:rPr>
                <w:rFonts w:hint="eastAsia" w:ascii="仿宋_GB2312" w:hAnsi="宋体" w:eastAsia="仿宋_GB2312" w:cs="宋体"/>
                <w:color w:val="auto"/>
                <w:sz w:val="24"/>
                <w:szCs w:val="24"/>
              </w:rPr>
              <w:t>服务</w:t>
            </w:r>
            <w:r>
              <w:rPr>
                <w:rFonts w:hint="eastAsia" w:ascii="仿宋_GB2312" w:hAnsi="宋体" w:eastAsia="仿宋_GB2312" w:cs="宋体"/>
                <w:strike w:val="0"/>
                <w:color w:val="auto"/>
                <w:sz w:val="24"/>
                <w:szCs w:val="24"/>
              </w:rPr>
              <w:t>，以及垃圾</w:t>
            </w:r>
            <w:r>
              <w:rPr>
                <w:rFonts w:hint="eastAsia" w:ascii="仿宋_GB2312" w:hAnsi="宋体" w:eastAsia="仿宋_GB2312" w:cs="宋体"/>
                <w:strike w:val="0"/>
                <w:color w:val="auto"/>
                <w:sz w:val="24"/>
                <w:szCs w:val="24"/>
                <w:lang w:val="en-US" w:eastAsia="zh-CN"/>
              </w:rPr>
              <w:t>清理</w:t>
            </w:r>
            <w:r>
              <w:rPr>
                <w:rFonts w:hint="eastAsia" w:ascii="仿宋_GB2312" w:hAnsi="宋体" w:eastAsia="仿宋_GB2312" w:cs="宋体"/>
                <w:strike w:val="0"/>
                <w:color w:val="auto"/>
                <w:sz w:val="24"/>
                <w:szCs w:val="24"/>
              </w:rPr>
              <w:t>、有害生物防治、化粪池清理、</w:t>
            </w:r>
            <w:r>
              <w:rPr>
                <w:rFonts w:hint="eastAsia" w:ascii="仿宋_GB2312" w:hAnsi="宋体" w:eastAsia="仿宋_GB2312" w:cs="宋体"/>
                <w:strike w:val="0"/>
                <w:color w:val="auto"/>
                <w:sz w:val="24"/>
                <w:szCs w:val="24"/>
                <w:lang w:val="en-US" w:eastAsia="zh-CN"/>
              </w:rPr>
              <w:t>新生公寓保洁</w:t>
            </w:r>
            <w:r>
              <w:rPr>
                <w:rFonts w:hint="eastAsia" w:ascii="仿宋_GB2312" w:hAnsi="宋体" w:eastAsia="仿宋_GB2312" w:cs="宋体"/>
                <w:color w:val="auto"/>
                <w:sz w:val="24"/>
                <w:szCs w:val="24"/>
              </w:rPr>
              <w:t>等服务。校园</w:t>
            </w:r>
            <w:r>
              <w:rPr>
                <w:rFonts w:hint="eastAsia" w:ascii="仿宋_GB2312" w:eastAsia="仿宋_GB2312"/>
                <w:color w:val="auto"/>
                <w:sz w:val="24"/>
                <w:szCs w:val="24"/>
              </w:rPr>
              <w:t>建筑面积约5万平方米、道路面积约10万平方米、绿化面积约11万平方米。</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s="宋体" w:hAnsiTheme="minorEastAsia"/>
                <w:color w:val="auto"/>
                <w:sz w:val="24"/>
                <w:szCs w:val="24"/>
              </w:rPr>
              <w:t>2．</w:t>
            </w:r>
            <w:r>
              <w:rPr>
                <w:rFonts w:hint="eastAsia" w:ascii="仿宋_GB2312" w:hAnsi="宋体" w:eastAsia="仿宋_GB2312" w:cs="宋体"/>
                <w:color w:val="auto"/>
                <w:sz w:val="24"/>
                <w:szCs w:val="24"/>
              </w:rPr>
              <w:t>鱼峰区荣军路东三巷132号，教学楼面积约0.1</w:t>
            </w:r>
            <w:r>
              <w:rPr>
                <w:rFonts w:hint="eastAsia" w:ascii="仿宋_GB2312" w:eastAsia="仿宋_GB2312"/>
                <w:color w:val="auto"/>
                <w:sz w:val="24"/>
                <w:szCs w:val="24"/>
              </w:rPr>
              <w:t>万平方米。</w:t>
            </w:r>
          </w:p>
          <w:p>
            <w:pPr>
              <w:keepNext w:val="0"/>
              <w:keepLines w:val="0"/>
              <w:pageBreakBefore w:val="0"/>
              <w:wordWrap/>
              <w:topLinePunct w:val="0"/>
              <w:bidi w:val="0"/>
              <w:adjustRightInd/>
              <w:snapToGrid/>
              <w:spacing w:line="400" w:lineRule="exact"/>
              <w:ind w:firstLine="361" w:firstLineChars="150"/>
              <w:textAlignment w:val="auto"/>
              <w:rPr>
                <w:rFonts w:ascii="仿宋_GB2312" w:eastAsia="仿宋_GB2312"/>
                <w:b/>
                <w:color w:val="auto"/>
                <w:sz w:val="24"/>
                <w:szCs w:val="24"/>
              </w:rPr>
            </w:pPr>
            <w:r>
              <w:rPr>
                <w:rFonts w:hint="eastAsia" w:ascii="仿宋_GB2312" w:eastAsia="仿宋_GB2312"/>
                <w:b/>
                <w:color w:val="auto"/>
                <w:sz w:val="24"/>
                <w:szCs w:val="24"/>
              </w:rPr>
              <w:t>（四）服务人员</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本项目服务人员为</w:t>
            </w:r>
            <w:r>
              <w:rPr>
                <w:rFonts w:ascii="仿宋_GB2312" w:eastAsia="仿宋_GB2312"/>
                <w:color w:val="auto"/>
                <w:sz w:val="24"/>
                <w:szCs w:val="24"/>
              </w:rPr>
              <w:t>9</w:t>
            </w:r>
            <w:r>
              <w:rPr>
                <w:rFonts w:hint="eastAsia" w:ascii="仿宋_GB2312" w:eastAsia="仿宋_GB2312"/>
                <w:color w:val="auto"/>
                <w:sz w:val="24"/>
                <w:szCs w:val="24"/>
                <w:lang w:val="en-US" w:eastAsia="zh-CN"/>
              </w:rPr>
              <w:t>3</w:t>
            </w:r>
            <w:r>
              <w:rPr>
                <w:rFonts w:hint="eastAsia" w:ascii="仿宋_GB2312" w:eastAsia="仿宋_GB2312"/>
                <w:color w:val="auto"/>
                <w:sz w:val="24"/>
                <w:szCs w:val="24"/>
              </w:rPr>
              <w:t>人，其中行政</w:t>
            </w:r>
            <w:r>
              <w:rPr>
                <w:rFonts w:ascii="仿宋_GB2312" w:eastAsia="仿宋_GB2312"/>
                <w:color w:val="auto"/>
                <w:sz w:val="24"/>
                <w:szCs w:val="24"/>
              </w:rPr>
              <w:t>2</w:t>
            </w:r>
            <w:r>
              <w:rPr>
                <w:rFonts w:hint="eastAsia" w:ascii="仿宋_GB2312" w:eastAsia="仿宋_GB2312"/>
                <w:color w:val="auto"/>
                <w:sz w:val="24"/>
                <w:szCs w:val="24"/>
              </w:rPr>
              <w:t>人、工程13人、保洁4</w:t>
            </w:r>
            <w:r>
              <w:rPr>
                <w:rFonts w:hint="eastAsia" w:ascii="仿宋_GB2312" w:eastAsia="仿宋_GB2312"/>
                <w:color w:val="auto"/>
                <w:sz w:val="24"/>
                <w:szCs w:val="24"/>
                <w:lang w:val="en-US" w:eastAsia="zh-CN"/>
              </w:rPr>
              <w:t>2</w:t>
            </w:r>
            <w:r>
              <w:rPr>
                <w:rFonts w:hint="eastAsia" w:ascii="仿宋_GB2312" w:eastAsia="仿宋_GB2312"/>
                <w:color w:val="auto"/>
                <w:sz w:val="24"/>
                <w:szCs w:val="24"/>
              </w:rPr>
              <w:t>人、绿化</w:t>
            </w:r>
            <w:r>
              <w:rPr>
                <w:rFonts w:ascii="仿宋_GB2312" w:eastAsia="仿宋_GB2312"/>
                <w:color w:val="auto"/>
                <w:sz w:val="24"/>
                <w:szCs w:val="24"/>
              </w:rPr>
              <w:t>8</w:t>
            </w:r>
            <w:r>
              <w:rPr>
                <w:rFonts w:hint="eastAsia" w:ascii="仿宋_GB2312" w:eastAsia="仿宋_GB2312"/>
                <w:color w:val="auto"/>
                <w:sz w:val="24"/>
                <w:szCs w:val="24"/>
              </w:rPr>
              <w:t>人、</w:t>
            </w:r>
            <w:r>
              <w:rPr>
                <w:rFonts w:hint="eastAsia" w:ascii="仿宋_GB2312" w:eastAsia="仿宋_GB2312"/>
                <w:color w:val="auto"/>
                <w:sz w:val="24"/>
                <w:szCs w:val="24"/>
                <w:lang w:val="en-US" w:eastAsia="zh-CN"/>
              </w:rPr>
              <w:t>学生公寓（学员公寓）</w:t>
            </w:r>
            <w:r>
              <w:rPr>
                <w:rFonts w:hint="eastAsia" w:ascii="仿宋_GB2312" w:eastAsia="仿宋_GB2312"/>
                <w:color w:val="auto"/>
                <w:sz w:val="24"/>
                <w:szCs w:val="24"/>
              </w:rPr>
              <w:t>管理</w:t>
            </w:r>
            <w:r>
              <w:rPr>
                <w:rFonts w:ascii="仿宋_GB2312" w:eastAsia="仿宋_GB2312"/>
                <w:color w:val="auto"/>
                <w:sz w:val="24"/>
                <w:szCs w:val="24"/>
              </w:rPr>
              <w:t>28</w:t>
            </w:r>
            <w:r>
              <w:rPr>
                <w:rFonts w:hint="eastAsia" w:ascii="仿宋_GB2312" w:eastAsia="仿宋_GB2312"/>
                <w:color w:val="auto"/>
                <w:sz w:val="24"/>
                <w:szCs w:val="24"/>
              </w:rPr>
              <w:t>人。</w:t>
            </w:r>
          </w:p>
          <w:p>
            <w:pPr>
              <w:keepNext w:val="0"/>
              <w:keepLines w:val="0"/>
              <w:pageBreakBefore w:val="0"/>
              <w:wordWrap/>
              <w:topLinePunct w:val="0"/>
              <w:bidi w:val="0"/>
              <w:adjustRightInd/>
              <w:snapToGrid/>
              <w:spacing w:line="400" w:lineRule="exact"/>
              <w:ind w:firstLine="361" w:firstLineChars="150"/>
              <w:textAlignment w:val="auto"/>
              <w:rPr>
                <w:rFonts w:ascii="仿宋_GB2312" w:eastAsia="仿宋_GB2312"/>
                <w:b/>
                <w:color w:val="auto"/>
                <w:sz w:val="24"/>
                <w:szCs w:val="24"/>
              </w:rPr>
            </w:pPr>
            <w:r>
              <w:rPr>
                <w:rFonts w:hint="eastAsia" w:ascii="仿宋_GB2312" w:eastAsia="仿宋_GB2312"/>
                <w:b/>
                <w:color w:val="auto"/>
                <w:sz w:val="24"/>
                <w:szCs w:val="24"/>
              </w:rPr>
              <w:t>（五）服务期限</w:t>
            </w:r>
          </w:p>
          <w:p>
            <w:pPr>
              <w:keepNext w:val="0"/>
              <w:keepLines w:val="0"/>
              <w:pageBreakBefore w:val="0"/>
              <w:wordWrap/>
              <w:topLinePunct w:val="0"/>
              <w:bidi w:val="0"/>
              <w:adjustRightInd/>
              <w:snapToGrid/>
              <w:spacing w:line="400" w:lineRule="exact"/>
              <w:ind w:firstLine="360" w:firstLineChars="150"/>
              <w:textAlignment w:val="auto"/>
              <w:rPr>
                <w:rFonts w:hint="default" w:ascii="仿宋_GB2312" w:eastAsia="仿宋_GB2312"/>
                <w:color w:val="auto"/>
                <w:sz w:val="24"/>
                <w:szCs w:val="24"/>
                <w:lang w:val="en-US" w:eastAsia="zh-CN"/>
              </w:rPr>
            </w:pPr>
            <w:r>
              <w:rPr>
                <w:rFonts w:hint="eastAsia" w:ascii="仿宋_GB2312" w:eastAsia="仿宋_GB2312"/>
                <w:color w:val="auto"/>
                <w:sz w:val="24"/>
                <w:szCs w:val="24"/>
              </w:rPr>
              <w:t>3年（2026年5月1日至2029年4月30日</w:t>
            </w:r>
            <w:r>
              <w:rPr>
                <w:rFonts w:hint="eastAsia" w:ascii="仿宋_GB2312" w:eastAsia="仿宋_GB2312"/>
                <w:color w:val="auto"/>
                <w:sz w:val="24"/>
                <w:szCs w:val="24"/>
                <w:lang w:eastAsia="zh-CN"/>
              </w:rPr>
              <w:t>，其中物业服务时间：</w:t>
            </w:r>
            <w:r>
              <w:rPr>
                <w:rFonts w:hint="eastAsia" w:ascii="仿宋_GB2312" w:eastAsia="仿宋_GB2312"/>
                <w:color w:val="auto"/>
                <w:sz w:val="24"/>
                <w:szCs w:val="24"/>
                <w:lang w:val="en-US" w:eastAsia="zh-CN"/>
              </w:rPr>
              <w:t>2026年5月1日至2029年4月30日，绿化服务时间：2026年7月5日至2029年4月30日）。</w:t>
            </w:r>
          </w:p>
          <w:p>
            <w:pPr>
              <w:keepNext w:val="0"/>
              <w:keepLines w:val="0"/>
              <w:pageBreakBefore w:val="0"/>
              <w:wordWrap/>
              <w:topLinePunct w:val="0"/>
              <w:bidi w:val="0"/>
              <w:adjustRightInd/>
              <w:snapToGrid/>
              <w:spacing w:line="400" w:lineRule="exact"/>
              <w:ind w:firstLine="361" w:firstLineChars="150"/>
              <w:textAlignment w:val="auto"/>
              <w:rPr>
                <w:rFonts w:ascii="仿宋_GB2312" w:eastAsia="仿宋_GB2312"/>
                <w:b/>
                <w:color w:val="auto"/>
                <w:sz w:val="24"/>
                <w:szCs w:val="24"/>
              </w:rPr>
            </w:pPr>
            <w:r>
              <w:rPr>
                <w:rFonts w:hint="eastAsia" w:ascii="仿宋_GB2312" w:eastAsia="仿宋_GB2312"/>
                <w:b/>
                <w:color w:val="auto"/>
                <w:sz w:val="24"/>
                <w:szCs w:val="24"/>
              </w:rPr>
              <w:t>（六）预算金额</w:t>
            </w:r>
          </w:p>
          <w:p>
            <w:pPr>
              <w:keepNext w:val="0"/>
              <w:keepLines w:val="0"/>
              <w:pageBreakBefore w:val="0"/>
              <w:wordWrap/>
              <w:topLinePunct w:val="0"/>
              <w:bidi w:val="0"/>
              <w:adjustRightInd/>
              <w:snapToGrid/>
              <w:spacing w:line="400" w:lineRule="exact"/>
              <w:ind w:firstLine="360" w:firstLineChars="150"/>
              <w:textAlignment w:val="auto"/>
              <w:rPr>
                <w:rFonts w:hint="eastAsia" w:ascii="仿宋_GB2312" w:eastAsia="仿宋_GB2312"/>
                <w:color w:val="auto"/>
                <w:sz w:val="24"/>
                <w:szCs w:val="24"/>
              </w:rPr>
            </w:pPr>
            <w:r>
              <w:rPr>
                <w:rFonts w:hint="eastAsia" w:ascii="仿宋_GB2312" w:eastAsia="仿宋_GB2312"/>
                <w:color w:val="auto"/>
                <w:sz w:val="24"/>
                <w:szCs w:val="24"/>
              </w:rPr>
              <w:t xml:space="preserve"> 人民币471.04万元/年（备注：原校园绿化项目与物业管理服务项目合同到期时间不一致，校园绿化项目纳入物业管理服务项目后需减2个月的绿化养护费8万元。在合同上约定第一年在总费用上减8万元），三年共计463.04+471.04+471.04=1405.12万元（含人员工资、设备维护、耗材等全部费用）。</w:t>
            </w:r>
          </w:p>
          <w:p>
            <w:pPr>
              <w:keepNext w:val="0"/>
              <w:keepLines w:val="0"/>
              <w:pageBreakBefore w:val="0"/>
              <w:wordWrap/>
              <w:topLinePunct w:val="0"/>
              <w:bidi w:val="0"/>
              <w:adjustRightInd/>
              <w:snapToGrid/>
              <w:spacing w:line="400" w:lineRule="exact"/>
              <w:ind w:firstLine="361" w:firstLineChars="150"/>
              <w:textAlignment w:val="auto"/>
              <w:rPr>
                <w:rFonts w:ascii="仿宋_GB2312" w:eastAsia="仿宋_GB2312"/>
                <w:b/>
                <w:color w:val="auto"/>
                <w:sz w:val="24"/>
                <w:szCs w:val="24"/>
              </w:rPr>
            </w:pPr>
            <w:r>
              <w:rPr>
                <w:rFonts w:hint="eastAsia" w:ascii="仿宋_GB2312" w:eastAsia="仿宋_GB2312"/>
                <w:b/>
                <w:color w:val="auto"/>
                <w:sz w:val="24"/>
                <w:szCs w:val="24"/>
              </w:rPr>
              <w:t>（七）招标方式</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公开招标。</w:t>
            </w:r>
          </w:p>
          <w:p>
            <w:pPr>
              <w:keepNext w:val="0"/>
              <w:keepLines w:val="0"/>
              <w:pageBreakBefore w:val="0"/>
              <w:wordWrap/>
              <w:topLinePunct w:val="0"/>
              <w:bidi w:val="0"/>
              <w:adjustRightInd/>
              <w:snapToGrid/>
              <w:spacing w:line="400" w:lineRule="exact"/>
              <w:ind w:firstLine="361" w:firstLineChars="150"/>
              <w:textAlignment w:val="auto"/>
              <w:rPr>
                <w:rFonts w:ascii="仿宋_GB2312" w:eastAsia="仿宋_GB2312"/>
                <w:b/>
                <w:color w:val="auto"/>
                <w:sz w:val="24"/>
                <w:szCs w:val="24"/>
              </w:rPr>
            </w:pPr>
            <w:r>
              <w:rPr>
                <w:rFonts w:hint="eastAsia" w:ascii="仿宋_GB2312" w:eastAsia="仿宋_GB2312"/>
                <w:b/>
                <w:color w:val="auto"/>
                <w:sz w:val="24"/>
                <w:szCs w:val="24"/>
              </w:rPr>
              <w:t>二、工作目标</w:t>
            </w:r>
          </w:p>
          <w:p>
            <w:pPr>
              <w:keepNext w:val="0"/>
              <w:keepLines w:val="0"/>
              <w:pageBreakBefore w:val="0"/>
              <w:widowControl/>
              <w:wordWrap/>
              <w:topLinePunct w:val="0"/>
              <w:bidi w:val="0"/>
              <w:adjustRightInd/>
              <w:snapToGrid/>
              <w:spacing w:line="400" w:lineRule="exact"/>
              <w:ind w:firstLine="360" w:firstLineChars="150"/>
              <w:jc w:val="left"/>
              <w:textAlignment w:val="auto"/>
              <w:rPr>
                <w:rFonts w:ascii="仿宋_GB2312" w:hAnsi="Segoe UI" w:eastAsia="仿宋_GB2312" w:cs="Segoe UI"/>
                <w:color w:val="auto"/>
                <w:kern w:val="0"/>
                <w:sz w:val="24"/>
                <w:szCs w:val="24"/>
                <w:shd w:val="clear" w:color="auto" w:fill="FFFFFF"/>
              </w:rPr>
            </w:pPr>
            <w:r>
              <w:rPr>
                <w:rFonts w:hint="eastAsia" w:ascii="仿宋_GB2312" w:hAnsi="Segoe UI" w:eastAsia="仿宋_GB2312" w:cs="Segoe UI"/>
                <w:color w:val="auto"/>
                <w:kern w:val="0"/>
                <w:sz w:val="24"/>
                <w:szCs w:val="24"/>
                <w:shd w:val="clear" w:color="auto" w:fill="FFFFFF"/>
              </w:rPr>
              <w:t>提供安全、整洁、有序的校园环境，保障师生教学、科研和生活需求。实现物业设施设备高效运行，降低维护成本。建立标准化服务体系，提升师生满意度。落实节能环保措施，推动文明校园、绿色校园和节能型校园建设。构建智能化管理平台，提升物业响应速度和服务质量。</w:t>
            </w:r>
          </w:p>
          <w:p>
            <w:pPr>
              <w:keepNext w:val="0"/>
              <w:keepLines w:val="0"/>
              <w:pageBreakBefore w:val="0"/>
              <w:wordWrap/>
              <w:topLinePunct w:val="0"/>
              <w:bidi w:val="0"/>
              <w:adjustRightInd/>
              <w:snapToGrid/>
              <w:spacing w:line="400" w:lineRule="exact"/>
              <w:ind w:firstLine="482" w:firstLineChars="200"/>
              <w:textAlignment w:val="auto"/>
              <w:rPr>
                <w:rFonts w:ascii="仿宋_GB2312" w:eastAsia="仿宋_GB2312"/>
                <w:b/>
                <w:color w:val="auto"/>
                <w:sz w:val="24"/>
                <w:szCs w:val="24"/>
              </w:rPr>
            </w:pPr>
            <w:r>
              <w:rPr>
                <w:rFonts w:hint="eastAsia" w:ascii="仿宋_GB2312" w:eastAsia="仿宋_GB2312"/>
                <w:b/>
                <w:color w:val="auto"/>
                <w:sz w:val="24"/>
                <w:szCs w:val="24"/>
              </w:rPr>
              <w:t>三、服务内容与范围</w:t>
            </w:r>
          </w:p>
          <w:p>
            <w:pPr>
              <w:keepNext w:val="0"/>
              <w:keepLines w:val="0"/>
              <w:pageBreakBefore w:val="0"/>
              <w:wordWrap/>
              <w:topLinePunct w:val="0"/>
              <w:bidi w:val="0"/>
              <w:adjustRightInd/>
              <w:snapToGrid/>
              <w:spacing w:line="400" w:lineRule="exact"/>
              <w:ind w:firstLine="241" w:firstLineChars="100"/>
              <w:textAlignment w:val="auto"/>
              <w:rPr>
                <w:rFonts w:ascii="仿宋_GB2312" w:eastAsia="仿宋_GB2312"/>
                <w:b/>
                <w:color w:val="auto"/>
                <w:sz w:val="24"/>
                <w:szCs w:val="24"/>
              </w:rPr>
            </w:pPr>
            <w:r>
              <w:rPr>
                <w:rFonts w:hint="eastAsia" w:ascii="仿宋_GB2312" w:eastAsia="仿宋_GB2312"/>
                <w:b/>
                <w:color w:val="auto"/>
                <w:sz w:val="24"/>
                <w:szCs w:val="24"/>
              </w:rPr>
              <w:t>（一）基础服务</w:t>
            </w:r>
          </w:p>
          <w:p>
            <w:pPr>
              <w:keepNext w:val="0"/>
              <w:keepLines w:val="0"/>
              <w:pageBreakBefore w:val="0"/>
              <w:wordWrap/>
              <w:topLinePunct w:val="0"/>
              <w:bidi w:val="0"/>
              <w:adjustRightInd/>
              <w:snapToGrid/>
              <w:spacing w:line="400" w:lineRule="exact"/>
              <w:ind w:firstLine="361" w:firstLineChars="150"/>
              <w:textAlignment w:val="auto"/>
              <w:rPr>
                <w:rFonts w:ascii="仿宋_GB2312" w:eastAsia="仿宋_GB2312"/>
                <w:b/>
                <w:color w:val="auto"/>
                <w:sz w:val="24"/>
                <w:szCs w:val="24"/>
              </w:rPr>
            </w:pPr>
            <w:r>
              <w:rPr>
                <w:rFonts w:hint="eastAsia" w:ascii="仿宋_GB2312" w:eastAsia="仿宋_GB2312"/>
                <w:b/>
                <w:color w:val="auto"/>
                <w:sz w:val="24"/>
                <w:szCs w:val="24"/>
              </w:rPr>
              <w:t>1．校园环境卫生</w:t>
            </w:r>
          </w:p>
          <w:p>
            <w:pPr>
              <w:keepNext w:val="0"/>
              <w:keepLines w:val="0"/>
              <w:pageBreakBefore w:val="0"/>
              <w:wordWrap/>
              <w:topLinePunct w:val="0"/>
              <w:bidi w:val="0"/>
              <w:adjustRightInd/>
              <w:snapToGrid/>
              <w:spacing w:line="400" w:lineRule="exact"/>
              <w:ind w:firstLine="360" w:firstLineChars="150"/>
              <w:textAlignment w:val="auto"/>
              <w:rPr>
                <w:rFonts w:ascii="仿宋_GB2312" w:hAnsi="宋体" w:eastAsia="仿宋_GB2312" w:cs="宋体"/>
                <w:color w:val="auto"/>
                <w:sz w:val="24"/>
                <w:szCs w:val="24"/>
              </w:rPr>
            </w:pPr>
            <w:r>
              <w:rPr>
                <w:rFonts w:hint="eastAsia" w:ascii="仿宋_GB2312" w:hAnsi="宋体" w:eastAsia="仿宋_GB2312" w:cs="宋体"/>
                <w:bCs/>
                <w:color w:val="auto"/>
                <w:sz w:val="24"/>
                <w:szCs w:val="24"/>
              </w:rPr>
              <w:t>校园红线内的环境卫生保洁区域，</w:t>
            </w:r>
            <w:r>
              <w:rPr>
                <w:rFonts w:hint="eastAsia" w:ascii="仿宋_GB2312" w:hAnsi="宋体" w:eastAsia="仿宋_GB2312" w:cs="宋体"/>
                <w:color w:val="auto"/>
                <w:sz w:val="24"/>
                <w:szCs w:val="24"/>
              </w:rPr>
              <w:t>包括但不限于建筑及附属构件</w:t>
            </w:r>
            <w:r>
              <w:rPr>
                <w:rFonts w:hint="eastAsia" w:ascii="仿宋_GB2312" w:hAnsi="宋体" w:eastAsia="仿宋_GB2312" w:cs="宋体"/>
                <w:bCs/>
                <w:color w:val="auto"/>
                <w:sz w:val="24"/>
                <w:szCs w:val="24"/>
              </w:rPr>
              <w:t>的公共区域、卫生间，</w:t>
            </w:r>
            <w:r>
              <w:rPr>
                <w:rFonts w:hint="eastAsia" w:ascii="仿宋_GB2312" w:hAnsi="宋体" w:eastAsia="仿宋_GB2312" w:cs="宋体"/>
                <w:color w:val="auto"/>
                <w:sz w:val="24"/>
                <w:szCs w:val="24"/>
              </w:rPr>
              <w:t>校内道路、运动场、停车场、草地及绿化带等露天公共区域，以及垃圾收集、</w:t>
            </w:r>
            <w:r>
              <w:rPr>
                <w:rFonts w:hint="default" w:ascii="仿宋_GB2312" w:hAnsi="宋体" w:eastAsia="仿宋_GB2312" w:cs="宋体"/>
                <w:color w:val="auto"/>
                <w:sz w:val="24"/>
                <w:szCs w:val="24"/>
              </w:rPr>
              <w:t>清理</w:t>
            </w:r>
            <w:r>
              <w:rPr>
                <w:rFonts w:hint="eastAsia" w:ascii="仿宋_GB2312" w:eastAsia="仿宋_GB2312"/>
                <w:color w:val="auto"/>
                <w:sz w:val="24"/>
                <w:szCs w:val="24"/>
              </w:rPr>
              <w:t>等</w:t>
            </w:r>
            <w:r>
              <w:rPr>
                <w:rFonts w:hint="eastAsia" w:ascii="仿宋_GB2312" w:hAnsi="宋体" w:eastAsia="仿宋_GB2312" w:cs="宋体"/>
                <w:color w:val="auto"/>
                <w:sz w:val="24"/>
                <w:szCs w:val="24"/>
              </w:rPr>
              <w:t>服务，并协助做好</w:t>
            </w:r>
            <w:r>
              <w:rPr>
                <w:rFonts w:hint="eastAsia" w:ascii="仿宋_GB2312" w:hAnsi="宋体" w:eastAsia="仿宋_GB2312" w:cs="仿宋_GB2312"/>
                <w:color w:val="auto"/>
                <w:kern w:val="0"/>
                <w:sz w:val="24"/>
                <w:szCs w:val="24"/>
              </w:rPr>
              <w:t>市政规定范围内</w:t>
            </w:r>
            <w:r>
              <w:rPr>
                <w:rFonts w:hint="eastAsia" w:ascii="仿宋_GB2312" w:hAnsi="宋体" w:eastAsia="仿宋_GB2312" w:cs="宋体"/>
                <w:color w:val="auto"/>
                <w:sz w:val="24"/>
                <w:szCs w:val="24"/>
              </w:rPr>
              <w:t>校园门前三包工作。特别约定：</w:t>
            </w:r>
          </w:p>
          <w:p>
            <w:pPr>
              <w:keepNext w:val="0"/>
              <w:keepLines w:val="0"/>
              <w:pageBreakBefore w:val="0"/>
              <w:wordWrap/>
              <w:topLinePunct w:val="0"/>
              <w:bidi w:val="0"/>
              <w:adjustRightInd/>
              <w:snapToGrid/>
              <w:spacing w:line="400" w:lineRule="exact"/>
              <w:ind w:firstLine="240" w:firstLineChars="100"/>
              <w:textAlignment w:val="auto"/>
              <w:rPr>
                <w:rFonts w:ascii="仿宋_GB2312" w:hAnsi="宋体" w:eastAsia="仿宋_GB2312" w:cs="宋体"/>
                <w:color w:val="auto"/>
                <w:sz w:val="24"/>
                <w:szCs w:val="24"/>
              </w:rPr>
            </w:pPr>
            <w:r>
              <w:rPr>
                <w:rFonts w:hint="eastAsia" w:ascii="仿宋_GB2312" w:hAnsi="宋体" w:eastAsia="仿宋_GB2312" w:cs="宋体"/>
                <w:bCs/>
                <w:color w:val="auto"/>
                <w:sz w:val="24"/>
                <w:szCs w:val="24"/>
              </w:rPr>
              <w:t>（1）校内建筑室内公共区域（含第一办公楼5-7楼办公室与会议室）及卫生间等，</w:t>
            </w:r>
            <w:r>
              <w:rPr>
                <w:rFonts w:hint="eastAsia" w:ascii="仿宋_GB2312" w:hAnsi="宋体" w:eastAsia="仿宋_GB2312" w:cs="宋体"/>
                <w:color w:val="auto"/>
                <w:sz w:val="24"/>
                <w:szCs w:val="24"/>
              </w:rPr>
              <w:t>需</w:t>
            </w:r>
            <w:r>
              <w:rPr>
                <w:rFonts w:hint="eastAsia" w:ascii="仿宋_GB2312" w:hAnsi="宋体" w:eastAsia="仿宋_GB2312" w:cs="宋体"/>
                <w:bCs/>
                <w:color w:val="auto"/>
                <w:sz w:val="24"/>
                <w:szCs w:val="24"/>
              </w:rPr>
              <w:t>全天候保洁。</w:t>
            </w:r>
          </w:p>
          <w:p>
            <w:pPr>
              <w:keepNext w:val="0"/>
              <w:keepLines w:val="0"/>
              <w:pageBreakBefore w:val="0"/>
              <w:wordWrap/>
              <w:topLinePunct w:val="0"/>
              <w:bidi w:val="0"/>
              <w:adjustRightInd/>
              <w:snapToGrid/>
              <w:spacing w:line="400" w:lineRule="exact"/>
              <w:ind w:firstLine="240" w:firstLineChars="100"/>
              <w:textAlignment w:val="auto"/>
              <w:rPr>
                <w:rFonts w:ascii="仿宋_GB2312" w:hAnsi="宋体" w:eastAsia="仿宋_GB2312" w:cs="宋体"/>
                <w:bCs/>
                <w:color w:val="auto"/>
                <w:sz w:val="24"/>
                <w:szCs w:val="24"/>
              </w:rPr>
            </w:pPr>
            <w:r>
              <w:rPr>
                <w:rFonts w:hint="eastAsia" w:ascii="仿宋_GB2312" w:hAnsi="宋体" w:eastAsia="仿宋_GB2312" w:cs="宋体"/>
                <w:bCs/>
                <w:color w:val="auto"/>
                <w:sz w:val="24"/>
                <w:szCs w:val="24"/>
              </w:rPr>
              <w:t>（2）校内室外硬化路面及人行道等，</w:t>
            </w:r>
            <w:r>
              <w:rPr>
                <w:rFonts w:hint="eastAsia" w:ascii="仿宋_GB2312" w:hAnsi="宋体" w:eastAsia="仿宋_GB2312" w:cs="宋体"/>
                <w:color w:val="auto"/>
                <w:sz w:val="24"/>
                <w:szCs w:val="24"/>
              </w:rPr>
              <w:t>需</w:t>
            </w:r>
            <w:r>
              <w:rPr>
                <w:rFonts w:hint="eastAsia" w:ascii="仿宋_GB2312" w:hAnsi="宋体" w:eastAsia="仿宋_GB2312" w:cs="宋体"/>
                <w:bCs/>
                <w:color w:val="auto"/>
                <w:sz w:val="24"/>
                <w:szCs w:val="24"/>
              </w:rPr>
              <w:t>全天候全面保洁。</w:t>
            </w:r>
          </w:p>
          <w:p>
            <w:pPr>
              <w:keepNext w:val="0"/>
              <w:keepLines w:val="0"/>
              <w:pageBreakBefore w:val="0"/>
              <w:wordWrap/>
              <w:topLinePunct w:val="0"/>
              <w:bidi w:val="0"/>
              <w:adjustRightInd/>
              <w:snapToGrid/>
              <w:spacing w:line="400" w:lineRule="exact"/>
              <w:ind w:firstLine="240" w:firstLineChars="100"/>
              <w:textAlignment w:val="auto"/>
              <w:rPr>
                <w:rFonts w:ascii="仿宋_GB2312" w:hAnsi="宋体" w:eastAsia="仿宋_GB2312" w:cs="宋体"/>
                <w:bCs/>
                <w:color w:val="auto"/>
                <w:sz w:val="24"/>
                <w:szCs w:val="24"/>
              </w:rPr>
            </w:pPr>
            <w:r>
              <w:rPr>
                <w:rFonts w:hint="eastAsia" w:ascii="仿宋_GB2312" w:hAnsi="宋体" w:eastAsia="仿宋_GB2312" w:cs="宋体"/>
                <w:bCs/>
                <w:color w:val="auto"/>
                <w:sz w:val="24"/>
                <w:szCs w:val="24"/>
              </w:rPr>
              <w:t>（3）校园绿地保洁，</w:t>
            </w:r>
            <w:r>
              <w:rPr>
                <w:rFonts w:hint="eastAsia" w:ascii="仿宋_GB2312" w:hAnsi="宋体" w:eastAsia="仿宋_GB2312" w:cs="宋体"/>
                <w:color w:val="auto"/>
                <w:sz w:val="24"/>
                <w:szCs w:val="24"/>
              </w:rPr>
              <w:t>至少每周一次全面</w:t>
            </w:r>
            <w:r>
              <w:rPr>
                <w:rFonts w:hint="eastAsia" w:ascii="仿宋_GB2312" w:hAnsi="宋体" w:eastAsia="仿宋_GB2312" w:cs="宋体"/>
                <w:bCs/>
                <w:color w:val="auto"/>
                <w:sz w:val="24"/>
                <w:szCs w:val="24"/>
              </w:rPr>
              <w:t>保洁。</w:t>
            </w:r>
          </w:p>
          <w:p>
            <w:pPr>
              <w:keepNext w:val="0"/>
              <w:keepLines w:val="0"/>
              <w:pageBreakBefore w:val="0"/>
              <w:wordWrap/>
              <w:topLinePunct w:val="0"/>
              <w:bidi w:val="0"/>
              <w:adjustRightInd/>
              <w:snapToGrid/>
              <w:spacing w:line="400" w:lineRule="exact"/>
              <w:ind w:firstLine="240" w:firstLineChars="100"/>
              <w:textAlignment w:val="auto"/>
              <w:rPr>
                <w:rFonts w:ascii="仿宋_GB2312" w:hAnsi="宋体" w:eastAsia="仿宋_GB2312" w:cs="宋体"/>
                <w:bCs/>
                <w:color w:val="auto"/>
                <w:sz w:val="24"/>
                <w:szCs w:val="24"/>
              </w:rPr>
            </w:pPr>
            <w:r>
              <w:rPr>
                <w:rFonts w:hint="eastAsia" w:ascii="仿宋_GB2312" w:hAnsi="宋体" w:eastAsia="仿宋_GB2312" w:cs="宋体"/>
                <w:bCs/>
                <w:color w:val="auto"/>
                <w:sz w:val="24"/>
                <w:szCs w:val="24"/>
              </w:rPr>
              <w:t>（4）校内运动场地，</w:t>
            </w:r>
            <w:r>
              <w:rPr>
                <w:rFonts w:hint="eastAsia" w:ascii="仿宋_GB2312" w:hAnsi="宋体" w:eastAsia="仿宋_GB2312" w:cs="宋体"/>
                <w:color w:val="auto"/>
                <w:sz w:val="24"/>
                <w:szCs w:val="24"/>
              </w:rPr>
              <w:t>至少每周一次全面</w:t>
            </w:r>
            <w:r>
              <w:rPr>
                <w:rFonts w:hint="eastAsia" w:ascii="仿宋_GB2312" w:hAnsi="宋体" w:eastAsia="仿宋_GB2312" w:cs="宋体"/>
                <w:bCs/>
                <w:color w:val="auto"/>
                <w:sz w:val="24"/>
                <w:szCs w:val="24"/>
              </w:rPr>
              <w:t>保洁。</w:t>
            </w:r>
          </w:p>
          <w:p>
            <w:pPr>
              <w:keepNext w:val="0"/>
              <w:keepLines w:val="0"/>
              <w:pageBreakBefore w:val="0"/>
              <w:wordWrap/>
              <w:topLinePunct w:val="0"/>
              <w:bidi w:val="0"/>
              <w:adjustRightInd/>
              <w:snapToGrid/>
              <w:spacing w:line="400" w:lineRule="exact"/>
              <w:ind w:firstLine="240" w:firstLineChars="100"/>
              <w:textAlignment w:val="auto"/>
              <w:rPr>
                <w:rFonts w:ascii="仿宋_GB2312" w:hAnsi="宋体" w:eastAsia="仿宋_GB2312" w:cs="宋体"/>
                <w:color w:val="auto"/>
                <w:sz w:val="24"/>
                <w:szCs w:val="24"/>
              </w:rPr>
            </w:pPr>
            <w:r>
              <w:rPr>
                <w:rFonts w:hint="eastAsia" w:ascii="仿宋_GB2312" w:hAnsi="宋体" w:eastAsia="仿宋_GB2312" w:cs="宋体"/>
                <w:bCs/>
                <w:color w:val="auto"/>
                <w:sz w:val="24"/>
                <w:szCs w:val="24"/>
              </w:rPr>
              <w:t>（5）临时保洁，</w:t>
            </w:r>
            <w:r>
              <w:rPr>
                <w:rFonts w:hint="eastAsia" w:ascii="仿宋_GB2312" w:hAnsi="宋体" w:eastAsia="仿宋_GB2312" w:cs="宋体"/>
                <w:color w:val="auto"/>
                <w:sz w:val="24"/>
                <w:szCs w:val="24"/>
              </w:rPr>
              <w:t>视卫生状况</w:t>
            </w:r>
            <w:r>
              <w:rPr>
                <w:rFonts w:hint="eastAsia" w:ascii="仿宋_GB2312" w:hAnsi="宋体" w:eastAsia="仿宋_GB2312" w:cs="宋体"/>
                <w:bCs/>
                <w:color w:val="auto"/>
                <w:sz w:val="24"/>
                <w:szCs w:val="24"/>
              </w:rPr>
              <w:t>定期安排</w:t>
            </w:r>
            <w:r>
              <w:rPr>
                <w:rFonts w:hint="eastAsia" w:ascii="仿宋_GB2312" w:hAnsi="宋体" w:eastAsia="仿宋_GB2312" w:cs="宋体"/>
                <w:color w:val="auto"/>
                <w:sz w:val="24"/>
                <w:szCs w:val="24"/>
              </w:rPr>
              <w:t>。</w:t>
            </w:r>
          </w:p>
          <w:p>
            <w:pPr>
              <w:keepNext w:val="0"/>
              <w:keepLines w:val="0"/>
              <w:pageBreakBefore w:val="0"/>
              <w:wordWrap/>
              <w:topLinePunct w:val="0"/>
              <w:bidi w:val="0"/>
              <w:adjustRightInd/>
              <w:snapToGrid/>
              <w:spacing w:line="400" w:lineRule="exact"/>
              <w:ind w:firstLine="360" w:firstLineChars="150"/>
              <w:textAlignment w:val="auto"/>
              <w:rPr>
                <w:rFonts w:ascii="仿宋_GB2312" w:hAnsi="宋体" w:eastAsia="仿宋_GB2312" w:cs="宋体"/>
                <w:bCs/>
                <w:color w:val="auto"/>
                <w:sz w:val="24"/>
                <w:szCs w:val="24"/>
              </w:rPr>
            </w:pPr>
            <w:r>
              <w:rPr>
                <w:rFonts w:hint="eastAsia" w:ascii="仿宋_GB2312" w:hAnsi="宋体" w:eastAsia="仿宋_GB2312" w:cs="宋体"/>
                <w:color w:val="auto"/>
                <w:sz w:val="24"/>
                <w:szCs w:val="24"/>
              </w:rPr>
              <w:t>以上包含鱼峰区荣军路东三巷132号的教学楼，需全天候全面保洁。</w:t>
            </w:r>
          </w:p>
          <w:p>
            <w:pPr>
              <w:keepNext w:val="0"/>
              <w:keepLines w:val="0"/>
              <w:pageBreakBefore w:val="0"/>
              <w:wordWrap/>
              <w:topLinePunct w:val="0"/>
              <w:bidi w:val="0"/>
              <w:adjustRightInd/>
              <w:snapToGrid/>
              <w:spacing w:line="400" w:lineRule="exact"/>
              <w:ind w:firstLine="361" w:firstLineChars="150"/>
              <w:textAlignment w:val="auto"/>
              <w:rPr>
                <w:rFonts w:ascii="仿宋_GB2312" w:eastAsia="仿宋_GB2312"/>
                <w:b/>
                <w:color w:val="auto"/>
                <w:sz w:val="24"/>
                <w:szCs w:val="24"/>
              </w:rPr>
            </w:pPr>
            <w:r>
              <w:rPr>
                <w:rFonts w:hint="eastAsia" w:ascii="仿宋_GB2312" w:eastAsia="仿宋_GB2312"/>
                <w:b/>
                <w:color w:val="auto"/>
                <w:sz w:val="24"/>
                <w:szCs w:val="24"/>
              </w:rPr>
              <w:t>2．</w:t>
            </w:r>
            <w:r>
              <w:rPr>
                <w:rFonts w:hint="eastAsia" w:ascii="仿宋_GB2312" w:hAnsi="宋体" w:eastAsia="仿宋_GB2312" w:cs="宋体"/>
                <w:b/>
                <w:bCs/>
                <w:color w:val="auto"/>
                <w:sz w:val="24"/>
                <w:szCs w:val="24"/>
              </w:rPr>
              <w:t>设</w:t>
            </w:r>
            <w:r>
              <w:rPr>
                <w:rFonts w:hint="eastAsia" w:ascii="仿宋_GB2312" w:hAnsi="宋体" w:eastAsia="仿宋_GB2312" w:cs="宋体"/>
                <w:b/>
                <w:color w:val="auto"/>
                <w:sz w:val="24"/>
                <w:szCs w:val="24"/>
              </w:rPr>
              <w:t>施维修维护</w:t>
            </w:r>
          </w:p>
          <w:p>
            <w:pPr>
              <w:keepNext w:val="0"/>
              <w:keepLines w:val="0"/>
              <w:pageBreakBefore w:val="0"/>
              <w:wordWrap/>
              <w:topLinePunct w:val="0"/>
              <w:bidi w:val="0"/>
              <w:adjustRightInd/>
              <w:snapToGrid/>
              <w:spacing w:line="400" w:lineRule="exact"/>
              <w:ind w:firstLine="360" w:firstLineChars="150"/>
              <w:textAlignment w:val="auto"/>
              <w:rPr>
                <w:rFonts w:ascii="仿宋_GB2312" w:hAnsi="宋体" w:eastAsia="仿宋_GB2312" w:cs="宋体"/>
                <w:color w:val="auto"/>
                <w:sz w:val="24"/>
                <w:szCs w:val="24"/>
              </w:rPr>
            </w:pPr>
            <w:r>
              <w:rPr>
                <w:rFonts w:hint="eastAsia" w:ascii="仿宋_GB2312" w:hAnsi="宋体" w:eastAsia="仿宋_GB2312" w:cs="宋体"/>
                <w:color w:val="auto"/>
                <w:sz w:val="24"/>
                <w:szCs w:val="24"/>
              </w:rPr>
              <w:t>校园红线内的零星维修维护项目，包括但不限于建筑物及其附属构件、公共设施、道路及人行道、水电设备（含生活水箱、备用发电机）及管网、家具及桌椅等</w:t>
            </w:r>
            <w:r>
              <w:rPr>
                <w:rFonts w:hint="eastAsia" w:ascii="仿宋_GB2312" w:eastAsia="仿宋_GB2312"/>
                <w:color w:val="auto"/>
                <w:sz w:val="24"/>
                <w:szCs w:val="24"/>
              </w:rPr>
              <w:t>日常巡检与</w:t>
            </w:r>
            <w:r>
              <w:rPr>
                <w:rFonts w:hint="eastAsia" w:ascii="仿宋_GB2312" w:hAnsi="宋体" w:eastAsia="仿宋_GB2312" w:cs="宋体"/>
                <w:color w:val="auto"/>
                <w:sz w:val="24"/>
                <w:szCs w:val="24"/>
              </w:rPr>
              <w:t>维修，以及学生公寓空调的清洗和维修等。特种大型设备、教学专用设备、高压配电设备和学校立项的工程类项目除外。</w:t>
            </w:r>
          </w:p>
          <w:p>
            <w:pPr>
              <w:keepNext w:val="0"/>
              <w:keepLines w:val="0"/>
              <w:pageBreakBefore w:val="0"/>
              <w:wordWrap/>
              <w:topLinePunct w:val="0"/>
              <w:bidi w:val="0"/>
              <w:adjustRightInd/>
              <w:snapToGrid/>
              <w:spacing w:line="400" w:lineRule="exact"/>
              <w:ind w:firstLine="360" w:firstLineChars="150"/>
              <w:textAlignment w:val="auto"/>
              <w:rPr>
                <w:rFonts w:ascii="仿宋_GB2312" w:hAnsi="宋体" w:eastAsia="仿宋_GB2312" w:cs="宋体"/>
                <w:bCs/>
                <w:color w:val="auto"/>
                <w:sz w:val="24"/>
                <w:szCs w:val="24"/>
              </w:rPr>
            </w:pPr>
            <w:r>
              <w:rPr>
                <w:rFonts w:hint="eastAsia" w:ascii="仿宋_GB2312" w:hAnsi="宋体" w:eastAsia="仿宋_GB2312" w:cs="宋体"/>
                <w:color w:val="auto"/>
                <w:sz w:val="24"/>
                <w:szCs w:val="24"/>
              </w:rPr>
              <w:t>特别约定：维修维护</w:t>
            </w:r>
            <w:r>
              <w:rPr>
                <w:rFonts w:hint="eastAsia" w:ascii="仿宋_GB2312" w:hAnsi="宋体" w:eastAsia="仿宋_GB2312" w:cs="宋体"/>
                <w:bCs/>
                <w:color w:val="auto"/>
                <w:sz w:val="24"/>
                <w:szCs w:val="24"/>
              </w:rPr>
              <w:t>为全天候，即全年365天、每天24小时；供水</w:t>
            </w:r>
            <w:r>
              <w:rPr>
                <w:rStyle w:val="118"/>
                <w:rFonts w:hint="default" w:ascii="仿宋_GB2312" w:hAnsi="仿宋_GB2312" w:eastAsia="仿宋_GB2312" w:cs="仿宋_GB2312"/>
                <w:color w:val="auto"/>
                <w:sz w:val="24"/>
                <w:szCs w:val="24"/>
              </w:rPr>
              <w:t>包括但不限于学校供水总阀至全流程覆盖的终端，供电包括但不限于学校高压总配电站至全流程覆盖的终端</w:t>
            </w:r>
            <w:r>
              <w:rPr>
                <w:rStyle w:val="118"/>
                <w:rFonts w:hint="eastAsia" w:ascii="仿宋_GB2312" w:hAnsi="仿宋_GB2312" w:eastAsia="仿宋_GB2312" w:cs="仿宋_GB2312"/>
                <w:color w:val="auto"/>
                <w:sz w:val="24"/>
                <w:szCs w:val="24"/>
                <w:lang w:eastAsia="zh-CN"/>
              </w:rPr>
              <w:t>（</w:t>
            </w:r>
            <w:r>
              <w:rPr>
                <w:rStyle w:val="118"/>
                <w:rFonts w:hint="eastAsia" w:ascii="仿宋_GB2312" w:hAnsi="仿宋_GB2312" w:eastAsia="仿宋_GB2312" w:cs="仿宋_GB2312"/>
                <w:color w:val="auto"/>
                <w:sz w:val="24"/>
                <w:szCs w:val="24"/>
                <w:lang w:val="en-US" w:eastAsia="zh-CN"/>
              </w:rPr>
              <w:t>高压配电设备和学校立项的工程项目除外</w:t>
            </w:r>
            <w:r>
              <w:rPr>
                <w:rStyle w:val="118"/>
                <w:rFonts w:hint="eastAsia" w:ascii="仿宋_GB2312" w:hAnsi="仿宋_GB2312" w:eastAsia="仿宋_GB2312" w:cs="仿宋_GB2312"/>
                <w:color w:val="auto"/>
                <w:sz w:val="24"/>
                <w:szCs w:val="24"/>
                <w:lang w:eastAsia="zh-CN"/>
              </w:rPr>
              <w:t>）</w:t>
            </w:r>
            <w:r>
              <w:rPr>
                <w:rStyle w:val="118"/>
                <w:rFonts w:hint="default" w:ascii="仿宋_GB2312" w:hAnsi="仿宋_GB2312" w:eastAsia="仿宋_GB2312" w:cs="仿宋_GB2312"/>
                <w:color w:val="auto"/>
                <w:sz w:val="24"/>
                <w:szCs w:val="24"/>
              </w:rPr>
              <w:t>，排水包括但不限于学校排水管道井至全流程覆盖的终端。</w:t>
            </w:r>
          </w:p>
          <w:p>
            <w:pPr>
              <w:keepNext w:val="0"/>
              <w:keepLines w:val="0"/>
              <w:pageBreakBefore w:val="0"/>
              <w:wordWrap/>
              <w:topLinePunct w:val="0"/>
              <w:bidi w:val="0"/>
              <w:adjustRightInd/>
              <w:snapToGrid/>
              <w:spacing w:line="400" w:lineRule="exact"/>
              <w:ind w:firstLine="360" w:firstLineChars="150"/>
              <w:textAlignment w:val="auto"/>
              <w:rPr>
                <w:rFonts w:ascii="仿宋_GB2312" w:hAnsi="宋体" w:eastAsia="仿宋_GB2312" w:cs="宋体"/>
                <w:color w:val="auto"/>
                <w:sz w:val="24"/>
                <w:szCs w:val="24"/>
              </w:rPr>
            </w:pPr>
            <w:r>
              <w:rPr>
                <w:rFonts w:hint="eastAsia" w:ascii="仿宋_GB2312" w:hAnsi="宋体" w:eastAsia="仿宋_GB2312" w:cs="宋体"/>
                <w:color w:val="auto"/>
                <w:sz w:val="24"/>
                <w:szCs w:val="24"/>
              </w:rPr>
              <w:t>以上包含鱼峰区荣军路东三巷132号的教学楼零星维修。</w:t>
            </w:r>
          </w:p>
          <w:p>
            <w:pPr>
              <w:keepNext w:val="0"/>
              <w:keepLines w:val="0"/>
              <w:pageBreakBefore w:val="0"/>
              <w:wordWrap/>
              <w:topLinePunct w:val="0"/>
              <w:bidi w:val="0"/>
              <w:adjustRightInd/>
              <w:snapToGrid/>
              <w:spacing w:line="400" w:lineRule="exact"/>
              <w:ind w:firstLine="361" w:firstLineChars="150"/>
              <w:textAlignment w:val="auto"/>
              <w:rPr>
                <w:rFonts w:ascii="仿宋_GB2312" w:eastAsia="仿宋_GB2312"/>
                <w:b/>
                <w:color w:val="auto"/>
                <w:sz w:val="24"/>
                <w:szCs w:val="24"/>
              </w:rPr>
            </w:pPr>
            <w:r>
              <w:rPr>
                <w:rFonts w:hint="eastAsia" w:ascii="仿宋_GB2312" w:eastAsia="仿宋_GB2312"/>
                <w:b/>
                <w:color w:val="auto"/>
                <w:sz w:val="24"/>
                <w:szCs w:val="24"/>
              </w:rPr>
              <w:t>3．校园绿化养护</w:t>
            </w:r>
          </w:p>
          <w:p>
            <w:pPr>
              <w:keepNext w:val="0"/>
              <w:keepLines w:val="0"/>
              <w:pageBreakBefore w:val="0"/>
              <w:wordWrap/>
              <w:topLinePunct w:val="0"/>
              <w:bidi w:val="0"/>
              <w:adjustRightInd/>
              <w:snapToGrid/>
              <w:spacing w:line="400" w:lineRule="exact"/>
              <w:ind w:firstLine="360" w:firstLineChars="150"/>
              <w:textAlignment w:val="auto"/>
              <w:rPr>
                <w:rFonts w:ascii="仿宋_GB2312" w:hAnsi="宋体" w:eastAsia="仿宋_GB2312" w:cs="宋体"/>
                <w:color w:val="auto"/>
                <w:sz w:val="24"/>
                <w:szCs w:val="24"/>
              </w:rPr>
            </w:pPr>
            <w:r>
              <w:rPr>
                <w:rFonts w:hint="eastAsia" w:ascii="仿宋_GB2312" w:hAnsi="宋体" w:eastAsia="仿宋_GB2312" w:cs="宋体"/>
                <w:bCs/>
                <w:color w:val="auto"/>
                <w:sz w:val="24"/>
                <w:szCs w:val="24"/>
              </w:rPr>
              <w:t>校园红线内的绿化和绿植的养护与管理等，包括但不限于</w:t>
            </w:r>
            <w:r>
              <w:rPr>
                <w:rFonts w:hint="eastAsia" w:ascii="仿宋_GB2312" w:eastAsia="仿宋_GB2312"/>
                <w:color w:val="auto"/>
                <w:sz w:val="24"/>
                <w:szCs w:val="24"/>
              </w:rPr>
              <w:t>草坪、绿篱、树木的</w:t>
            </w:r>
            <w:r>
              <w:rPr>
                <w:rFonts w:hint="eastAsia" w:ascii="仿宋_GB2312" w:hAnsi="宋体" w:eastAsia="仿宋_GB2312" w:cs="宋体"/>
                <w:color w:val="auto"/>
                <w:sz w:val="24"/>
                <w:szCs w:val="24"/>
              </w:rPr>
              <w:t>修剪、浇水、施肥、防涝、防寒、防风等养护和校园虫害防治</w:t>
            </w:r>
            <w:r>
              <w:rPr>
                <w:rFonts w:hint="eastAsia" w:ascii="仿宋_GB2312" w:hAnsi="宋体" w:eastAsia="仿宋_GB2312" w:cs="宋体"/>
                <w:bCs/>
                <w:color w:val="auto"/>
                <w:sz w:val="24"/>
                <w:szCs w:val="24"/>
              </w:rPr>
              <w:t>，以及部分植物调整与迁植、</w:t>
            </w:r>
            <w:r>
              <w:rPr>
                <w:rFonts w:hint="eastAsia" w:ascii="仿宋_GB2312" w:eastAsia="仿宋_GB2312"/>
                <w:color w:val="auto"/>
                <w:sz w:val="24"/>
                <w:szCs w:val="24"/>
              </w:rPr>
              <w:t>节日景观布置</w:t>
            </w:r>
            <w:r>
              <w:rPr>
                <w:rFonts w:hint="eastAsia" w:ascii="仿宋_GB2312" w:hAnsi="宋体" w:eastAsia="仿宋_GB2312" w:cs="宋体"/>
                <w:color w:val="auto"/>
                <w:sz w:val="24"/>
                <w:szCs w:val="24"/>
              </w:rPr>
              <w:t>等。学校立项的绿化改造类项目除外。</w:t>
            </w:r>
          </w:p>
          <w:p>
            <w:pPr>
              <w:keepNext w:val="0"/>
              <w:keepLines w:val="0"/>
              <w:pageBreakBefore w:val="0"/>
              <w:wordWrap/>
              <w:topLinePunct w:val="0"/>
              <w:bidi w:val="0"/>
              <w:adjustRightInd/>
              <w:snapToGrid/>
              <w:spacing w:line="400" w:lineRule="exact"/>
              <w:ind w:firstLine="480" w:firstLineChars="200"/>
              <w:textAlignment w:val="auto"/>
              <w:rPr>
                <w:rFonts w:ascii="仿宋_GB2312" w:hAnsi="宋体" w:eastAsia="仿宋_GB2312" w:cs="宋体"/>
                <w:bCs/>
                <w:color w:val="auto"/>
                <w:sz w:val="24"/>
                <w:szCs w:val="24"/>
              </w:rPr>
            </w:pPr>
            <w:r>
              <w:rPr>
                <w:rFonts w:hint="eastAsia" w:ascii="仿宋_GB2312" w:hAnsi="宋体" w:eastAsia="仿宋_GB2312" w:cs="宋体"/>
                <w:color w:val="auto"/>
                <w:sz w:val="24"/>
                <w:szCs w:val="24"/>
              </w:rPr>
              <w:t>特别约定：</w:t>
            </w:r>
            <w:r>
              <w:rPr>
                <w:rFonts w:hint="eastAsia" w:ascii="仿宋_GB2312" w:hAnsi="宋体" w:eastAsia="仿宋_GB2312" w:cs="宋体"/>
                <w:bCs/>
                <w:color w:val="auto"/>
                <w:sz w:val="24"/>
                <w:szCs w:val="24"/>
              </w:rPr>
              <w:t>绿化管理服务为全天候服务，即全年365天养护。</w:t>
            </w:r>
          </w:p>
          <w:p>
            <w:pPr>
              <w:keepNext w:val="0"/>
              <w:keepLines w:val="0"/>
              <w:pageBreakBefore w:val="0"/>
              <w:wordWrap/>
              <w:topLinePunct w:val="0"/>
              <w:bidi w:val="0"/>
              <w:adjustRightInd/>
              <w:snapToGrid/>
              <w:spacing w:line="400" w:lineRule="exact"/>
              <w:ind w:firstLine="361" w:firstLineChars="150"/>
              <w:textAlignment w:val="auto"/>
              <w:rPr>
                <w:rFonts w:ascii="仿宋_GB2312" w:eastAsia="仿宋_GB2312"/>
                <w:b/>
                <w:color w:val="auto"/>
                <w:sz w:val="24"/>
                <w:szCs w:val="24"/>
              </w:rPr>
            </w:pPr>
            <w:r>
              <w:rPr>
                <w:rFonts w:hint="eastAsia" w:ascii="仿宋_GB2312" w:eastAsia="仿宋_GB2312"/>
                <w:b/>
                <w:color w:val="auto"/>
                <w:sz w:val="24"/>
                <w:szCs w:val="24"/>
              </w:rPr>
              <w:t>4．</w:t>
            </w:r>
            <w:r>
              <w:rPr>
                <w:rFonts w:hint="eastAsia" w:ascii="仿宋_GB2312" w:eastAsia="仿宋_GB2312"/>
                <w:b/>
                <w:color w:val="auto"/>
                <w:sz w:val="24"/>
                <w:szCs w:val="24"/>
                <w:lang w:eastAsia="zh-CN"/>
              </w:rPr>
              <w:t>学生公寓</w:t>
            </w:r>
            <w:r>
              <w:rPr>
                <w:rFonts w:hint="eastAsia" w:ascii="仿宋_GB2312" w:eastAsia="仿宋_GB2312"/>
                <w:b/>
                <w:color w:val="auto"/>
                <w:sz w:val="24"/>
                <w:szCs w:val="24"/>
              </w:rPr>
              <w:t>管理</w:t>
            </w:r>
          </w:p>
          <w:p>
            <w:pPr>
              <w:keepNext w:val="0"/>
              <w:keepLines w:val="0"/>
              <w:pageBreakBefore w:val="0"/>
              <w:wordWrap/>
              <w:topLinePunct w:val="0"/>
              <w:bidi w:val="0"/>
              <w:adjustRightInd/>
              <w:snapToGrid/>
              <w:spacing w:line="400" w:lineRule="exact"/>
              <w:ind w:firstLine="360" w:firstLineChars="150"/>
              <w:textAlignment w:val="auto"/>
              <w:rPr>
                <w:rFonts w:ascii="仿宋_GB2312" w:hAnsi="宋体" w:eastAsia="仿宋_GB2312" w:cs="宋体"/>
                <w:bCs/>
                <w:color w:val="auto"/>
                <w:sz w:val="24"/>
                <w:szCs w:val="24"/>
              </w:rPr>
            </w:pPr>
            <w:r>
              <w:rPr>
                <w:rFonts w:hint="eastAsia" w:ascii="仿宋_GB2312" w:hAnsi="宋体" w:eastAsia="仿宋_GB2312" w:cs="宋体"/>
                <w:bCs/>
                <w:color w:val="auto"/>
                <w:sz w:val="24"/>
                <w:szCs w:val="24"/>
                <w:lang w:eastAsia="zh-CN"/>
              </w:rPr>
              <w:t>学生公寓</w:t>
            </w:r>
            <w:r>
              <w:rPr>
                <w:rFonts w:hint="eastAsia" w:ascii="仿宋_GB2312" w:hAnsi="宋体" w:eastAsia="仿宋_GB2312" w:cs="宋体"/>
                <w:bCs/>
                <w:color w:val="auto"/>
                <w:sz w:val="24"/>
                <w:szCs w:val="24"/>
              </w:rPr>
              <w:t>管理与服务，包括但不限于第1-9栋</w:t>
            </w:r>
            <w:r>
              <w:rPr>
                <w:rFonts w:hint="eastAsia" w:ascii="仿宋_GB2312" w:hAnsi="宋体" w:eastAsia="仿宋_GB2312" w:cs="宋体"/>
                <w:bCs/>
                <w:color w:val="auto"/>
                <w:sz w:val="24"/>
                <w:szCs w:val="24"/>
                <w:lang w:eastAsia="zh-CN"/>
              </w:rPr>
              <w:t>学生公寓</w:t>
            </w:r>
            <w:r>
              <w:rPr>
                <w:rFonts w:hint="eastAsia" w:ascii="仿宋_GB2312" w:hAnsi="宋体" w:eastAsia="仿宋_GB2312" w:cs="宋体"/>
                <w:bCs/>
                <w:color w:val="auto"/>
                <w:sz w:val="24"/>
                <w:szCs w:val="24"/>
              </w:rPr>
              <w:t>、国际交流中心</w:t>
            </w:r>
            <w:r>
              <w:rPr>
                <w:rFonts w:hint="eastAsia" w:ascii="仿宋_GB2312" w:hAnsi="宋体" w:eastAsia="仿宋_GB2312" w:cs="宋体"/>
                <w:bCs/>
                <w:color w:val="auto"/>
                <w:sz w:val="24"/>
                <w:szCs w:val="24"/>
                <w:lang w:eastAsia="zh-CN"/>
              </w:rPr>
              <w:t>学生公寓</w:t>
            </w:r>
            <w:r>
              <w:rPr>
                <w:rFonts w:hint="eastAsia" w:ascii="仿宋_GB2312" w:hAnsi="宋体" w:eastAsia="仿宋_GB2312" w:cs="宋体"/>
                <w:bCs/>
                <w:color w:val="auto"/>
                <w:sz w:val="24"/>
                <w:szCs w:val="24"/>
              </w:rPr>
              <w:t>的门岗值守和</w:t>
            </w:r>
            <w:r>
              <w:rPr>
                <w:rFonts w:hint="eastAsia" w:ascii="仿宋_GB2312" w:eastAsia="仿宋_GB2312"/>
                <w:color w:val="auto"/>
                <w:sz w:val="24"/>
                <w:szCs w:val="24"/>
              </w:rPr>
              <w:t>违规电器检查、</w:t>
            </w:r>
            <w:r>
              <w:rPr>
                <w:rFonts w:hint="eastAsia" w:ascii="仿宋_GB2312" w:hAnsi="宋体" w:eastAsia="仿宋_GB2312" w:cs="宋体"/>
                <w:bCs/>
                <w:color w:val="auto"/>
                <w:sz w:val="24"/>
                <w:szCs w:val="24"/>
              </w:rPr>
              <w:t>公共区域保洁，以及协助做好学生思想教育、生活指导和文化活动支持等。</w:t>
            </w:r>
          </w:p>
          <w:p>
            <w:pPr>
              <w:keepNext w:val="0"/>
              <w:keepLines w:val="0"/>
              <w:pageBreakBefore w:val="0"/>
              <w:wordWrap/>
              <w:topLinePunct w:val="0"/>
              <w:bidi w:val="0"/>
              <w:adjustRightInd/>
              <w:snapToGrid/>
              <w:spacing w:line="400" w:lineRule="exact"/>
              <w:ind w:firstLine="360" w:firstLineChars="150"/>
              <w:textAlignment w:val="auto"/>
              <w:rPr>
                <w:rFonts w:ascii="仿宋_GB2312" w:hAnsi="宋体" w:eastAsia="仿宋_GB2312" w:cs="宋体"/>
                <w:bCs/>
                <w:color w:val="auto"/>
                <w:sz w:val="24"/>
                <w:szCs w:val="24"/>
              </w:rPr>
            </w:pPr>
            <w:r>
              <w:rPr>
                <w:rFonts w:hint="eastAsia" w:ascii="仿宋_GB2312" w:hAnsi="宋体" w:eastAsia="仿宋_GB2312" w:cs="宋体"/>
                <w:color w:val="auto"/>
                <w:sz w:val="24"/>
                <w:szCs w:val="24"/>
              </w:rPr>
              <w:t>特别约定：</w:t>
            </w:r>
            <w:r>
              <w:rPr>
                <w:rFonts w:hint="eastAsia" w:ascii="仿宋_GB2312" w:hAnsi="宋体" w:eastAsia="仿宋_GB2312" w:cs="宋体"/>
                <w:bCs/>
                <w:color w:val="auto"/>
                <w:sz w:val="24"/>
                <w:szCs w:val="24"/>
                <w:lang w:eastAsia="zh-CN"/>
              </w:rPr>
              <w:t>学生公寓</w:t>
            </w:r>
            <w:r>
              <w:rPr>
                <w:rFonts w:hint="eastAsia" w:ascii="仿宋_GB2312" w:hAnsi="宋体" w:eastAsia="仿宋_GB2312" w:cs="宋体"/>
                <w:bCs/>
                <w:color w:val="auto"/>
                <w:sz w:val="24"/>
                <w:szCs w:val="24"/>
              </w:rPr>
              <w:t>管理为全天候，即全年365天、每天24小时。</w:t>
            </w:r>
          </w:p>
          <w:p>
            <w:pPr>
              <w:keepNext w:val="0"/>
              <w:keepLines w:val="0"/>
              <w:pageBreakBefore w:val="0"/>
              <w:wordWrap/>
              <w:topLinePunct w:val="0"/>
              <w:bidi w:val="0"/>
              <w:adjustRightInd/>
              <w:snapToGrid/>
              <w:spacing w:line="400" w:lineRule="exact"/>
              <w:ind w:firstLine="361" w:firstLineChars="150"/>
              <w:textAlignment w:val="auto"/>
              <w:rPr>
                <w:rFonts w:ascii="仿宋_GB2312" w:eastAsia="仿宋_GB2312"/>
                <w:b/>
                <w:color w:val="auto"/>
                <w:sz w:val="24"/>
                <w:szCs w:val="24"/>
              </w:rPr>
            </w:pPr>
            <w:r>
              <w:rPr>
                <w:rFonts w:hint="eastAsia" w:ascii="仿宋_GB2312" w:eastAsia="仿宋_GB2312"/>
                <w:b/>
                <w:color w:val="auto"/>
                <w:sz w:val="24"/>
                <w:szCs w:val="24"/>
              </w:rPr>
              <w:t>5．学员公寓服务</w:t>
            </w:r>
          </w:p>
          <w:p>
            <w:pPr>
              <w:keepNext w:val="0"/>
              <w:keepLines w:val="0"/>
              <w:pageBreakBefore w:val="0"/>
              <w:wordWrap/>
              <w:topLinePunct w:val="0"/>
              <w:bidi w:val="0"/>
              <w:adjustRightInd/>
              <w:snapToGrid/>
              <w:spacing w:line="400" w:lineRule="exact"/>
              <w:ind w:firstLine="360" w:firstLineChars="150"/>
              <w:textAlignment w:val="auto"/>
              <w:rPr>
                <w:rFonts w:ascii="仿宋_GB2312" w:hAnsi="宋体" w:eastAsia="仿宋_GB2312" w:cs="宋体"/>
                <w:bCs/>
                <w:color w:val="auto"/>
                <w:sz w:val="24"/>
                <w:szCs w:val="24"/>
              </w:rPr>
            </w:pPr>
            <w:r>
              <w:rPr>
                <w:rFonts w:hint="eastAsia" w:ascii="仿宋_GB2312" w:hAnsi="宋体" w:eastAsia="仿宋_GB2312" w:cs="宋体"/>
                <w:bCs/>
                <w:color w:val="auto"/>
                <w:sz w:val="24"/>
                <w:szCs w:val="24"/>
              </w:rPr>
              <w:t>学员公寓的</w:t>
            </w:r>
            <w:r>
              <w:rPr>
                <w:rFonts w:hint="eastAsia" w:ascii="仿宋_GB2312" w:hAnsi="宋体" w:eastAsia="仿宋_GB2312" w:cs="宋体"/>
                <w:bCs/>
                <w:color w:val="auto"/>
                <w:sz w:val="24"/>
                <w:szCs w:val="24"/>
                <w:lang w:val="en-US" w:eastAsia="zh-CN"/>
              </w:rPr>
              <w:t>房间</w:t>
            </w:r>
            <w:r>
              <w:rPr>
                <w:rFonts w:hint="eastAsia" w:ascii="仿宋_GB2312" w:hAnsi="宋体" w:eastAsia="仿宋_GB2312" w:cs="宋体"/>
                <w:bCs/>
                <w:color w:val="auto"/>
                <w:sz w:val="24"/>
                <w:szCs w:val="24"/>
              </w:rPr>
              <w:t>管理与服务，包括但不限于国际交流中心3-5层楼的</w:t>
            </w:r>
            <w:r>
              <w:rPr>
                <w:rFonts w:hint="eastAsia" w:ascii="仿宋_GB2312" w:eastAsia="仿宋_GB2312"/>
                <w:color w:val="auto"/>
                <w:sz w:val="24"/>
                <w:szCs w:val="24"/>
                <w:lang w:val="en-US" w:eastAsia="zh-CN"/>
              </w:rPr>
              <w:t>房间</w:t>
            </w:r>
            <w:r>
              <w:rPr>
                <w:rFonts w:hint="eastAsia" w:ascii="仿宋_GB2312" w:eastAsia="仿宋_GB2312"/>
                <w:color w:val="auto"/>
                <w:sz w:val="24"/>
                <w:szCs w:val="24"/>
              </w:rPr>
              <w:t>清洁、前台接待、设备维护、</w:t>
            </w:r>
            <w:r>
              <w:rPr>
                <w:rFonts w:hint="eastAsia" w:ascii="仿宋_GB2312" w:hAnsi="宋体" w:eastAsia="仿宋_GB2312" w:cs="宋体"/>
                <w:bCs/>
                <w:color w:val="auto"/>
                <w:sz w:val="24"/>
                <w:szCs w:val="24"/>
                <w:lang w:val="en-US" w:eastAsia="zh-CN"/>
              </w:rPr>
              <w:t>房间</w:t>
            </w:r>
            <w:r>
              <w:rPr>
                <w:rFonts w:hint="eastAsia" w:ascii="仿宋_GB2312" w:hAnsi="宋体" w:eastAsia="仿宋_GB2312" w:cs="宋体"/>
                <w:bCs/>
                <w:color w:val="auto"/>
                <w:sz w:val="24"/>
                <w:szCs w:val="24"/>
              </w:rPr>
              <w:t>服务与</w:t>
            </w:r>
            <w:r>
              <w:rPr>
                <w:rFonts w:hint="eastAsia" w:ascii="仿宋_GB2312" w:eastAsia="仿宋_GB2312"/>
                <w:color w:val="auto"/>
                <w:sz w:val="24"/>
                <w:szCs w:val="24"/>
              </w:rPr>
              <w:t>会议服务等。</w:t>
            </w:r>
          </w:p>
          <w:p>
            <w:pPr>
              <w:keepNext w:val="0"/>
              <w:keepLines w:val="0"/>
              <w:pageBreakBefore w:val="0"/>
              <w:wordWrap/>
              <w:topLinePunct w:val="0"/>
              <w:bidi w:val="0"/>
              <w:adjustRightInd/>
              <w:snapToGrid/>
              <w:spacing w:line="400" w:lineRule="exact"/>
              <w:ind w:firstLine="360" w:firstLineChars="150"/>
              <w:textAlignment w:val="auto"/>
              <w:rPr>
                <w:rFonts w:ascii="仿宋_GB2312" w:hAnsi="宋体" w:eastAsia="仿宋_GB2312" w:cs="宋体"/>
                <w:bCs/>
                <w:color w:val="auto"/>
                <w:sz w:val="24"/>
                <w:szCs w:val="24"/>
              </w:rPr>
            </w:pPr>
            <w:r>
              <w:rPr>
                <w:rFonts w:hint="eastAsia" w:ascii="仿宋_GB2312" w:hAnsi="宋体" w:eastAsia="仿宋_GB2312" w:cs="宋体"/>
                <w:color w:val="auto"/>
                <w:sz w:val="24"/>
                <w:szCs w:val="24"/>
              </w:rPr>
              <w:t>特别约定：</w:t>
            </w:r>
            <w:r>
              <w:rPr>
                <w:rFonts w:hint="eastAsia" w:ascii="仿宋_GB2312" w:hAnsi="宋体" w:eastAsia="仿宋_GB2312" w:cs="宋体"/>
                <w:bCs/>
                <w:color w:val="auto"/>
                <w:sz w:val="24"/>
                <w:szCs w:val="24"/>
              </w:rPr>
              <w:t>学员公寓服务视学员住宿安排而定，每天24小时服务。</w:t>
            </w:r>
          </w:p>
          <w:p>
            <w:pPr>
              <w:keepNext w:val="0"/>
              <w:keepLines w:val="0"/>
              <w:pageBreakBefore w:val="0"/>
              <w:wordWrap/>
              <w:topLinePunct w:val="0"/>
              <w:bidi w:val="0"/>
              <w:adjustRightInd/>
              <w:snapToGrid/>
              <w:spacing w:line="400" w:lineRule="exact"/>
              <w:ind w:firstLine="361" w:firstLineChars="150"/>
              <w:textAlignment w:val="auto"/>
              <w:rPr>
                <w:rFonts w:ascii="仿宋_GB2312" w:eastAsia="仿宋_GB2312"/>
                <w:b/>
                <w:color w:val="auto"/>
                <w:sz w:val="24"/>
                <w:szCs w:val="24"/>
              </w:rPr>
            </w:pPr>
            <w:r>
              <w:rPr>
                <w:rFonts w:hint="eastAsia" w:ascii="仿宋_GB2312" w:eastAsia="仿宋_GB2312"/>
                <w:b/>
                <w:color w:val="auto"/>
                <w:sz w:val="24"/>
                <w:szCs w:val="24"/>
              </w:rPr>
              <w:t>（二）专项服务</w:t>
            </w:r>
          </w:p>
          <w:p>
            <w:pPr>
              <w:keepNext w:val="0"/>
              <w:keepLines w:val="0"/>
              <w:pageBreakBefore w:val="0"/>
              <w:wordWrap/>
              <w:topLinePunct w:val="0"/>
              <w:bidi w:val="0"/>
              <w:adjustRightInd/>
              <w:snapToGrid/>
              <w:spacing w:line="400" w:lineRule="exact"/>
              <w:ind w:firstLine="361" w:firstLineChars="150"/>
              <w:textAlignment w:val="auto"/>
              <w:rPr>
                <w:rFonts w:hint="default" w:ascii="仿宋_GB2312" w:hAnsi="宋体" w:eastAsia="仿宋_GB2312"/>
                <w:b/>
                <w:color w:val="auto"/>
                <w:sz w:val="24"/>
                <w:szCs w:val="24"/>
                <w:lang w:val="en-US" w:eastAsia="zh-CN"/>
              </w:rPr>
            </w:pPr>
            <w:r>
              <w:rPr>
                <w:rFonts w:hint="eastAsia" w:ascii="仿宋_GB2312" w:eastAsia="仿宋_GB2312"/>
                <w:b/>
                <w:color w:val="auto"/>
                <w:sz w:val="24"/>
                <w:szCs w:val="24"/>
              </w:rPr>
              <w:t>1．</w:t>
            </w:r>
            <w:r>
              <w:rPr>
                <w:rFonts w:hint="eastAsia" w:ascii="仿宋_GB2312" w:hAnsi="宋体" w:eastAsia="仿宋_GB2312"/>
                <w:b/>
                <w:color w:val="auto"/>
                <w:sz w:val="24"/>
                <w:szCs w:val="24"/>
              </w:rPr>
              <w:t>化粪池及排污管网清理</w:t>
            </w:r>
          </w:p>
          <w:p>
            <w:pPr>
              <w:keepNext w:val="0"/>
              <w:keepLines w:val="0"/>
              <w:pageBreakBefore w:val="0"/>
              <w:wordWrap/>
              <w:topLinePunct w:val="0"/>
              <w:bidi w:val="0"/>
              <w:adjustRightInd/>
              <w:snapToGrid/>
              <w:spacing w:line="400" w:lineRule="exact"/>
              <w:ind w:firstLine="360" w:firstLineChars="150"/>
              <w:textAlignment w:val="auto"/>
              <w:rPr>
                <w:rFonts w:ascii="仿宋_GB2312" w:hAnsi="宋体" w:eastAsia="仿宋_GB2312" w:cs="宋体"/>
                <w:color w:val="auto"/>
                <w:sz w:val="24"/>
                <w:szCs w:val="24"/>
              </w:rPr>
            </w:pPr>
            <w:r>
              <w:rPr>
                <w:rFonts w:hint="eastAsia" w:ascii="仿宋_GB2312" w:hAnsi="宋体" w:eastAsia="仿宋_GB2312" w:cs="宋体"/>
                <w:color w:val="auto"/>
                <w:sz w:val="24"/>
                <w:szCs w:val="24"/>
              </w:rPr>
              <w:t>校园红线内的化粪池及相关单元附属管道清理，楼宇中的所有卫生间的小便池、蹲坑、马桶定期清污，以及窨井、雨水管道和排污管道疏通与清理。</w:t>
            </w:r>
          </w:p>
          <w:p>
            <w:pPr>
              <w:keepNext w:val="0"/>
              <w:keepLines w:val="0"/>
              <w:pageBreakBefore w:val="0"/>
              <w:wordWrap/>
              <w:topLinePunct w:val="0"/>
              <w:bidi w:val="0"/>
              <w:adjustRightInd/>
              <w:snapToGrid/>
              <w:spacing w:line="400" w:lineRule="exact"/>
              <w:ind w:firstLine="361" w:firstLineChars="150"/>
              <w:textAlignment w:val="auto"/>
              <w:rPr>
                <w:rFonts w:ascii="仿宋_GB2312" w:hAnsi="宋体" w:eastAsia="仿宋_GB2312"/>
                <w:b/>
                <w:color w:val="auto"/>
                <w:sz w:val="24"/>
                <w:szCs w:val="24"/>
              </w:rPr>
            </w:pPr>
            <w:r>
              <w:rPr>
                <w:rFonts w:hint="eastAsia" w:ascii="仿宋_GB2312" w:hAnsi="宋体" w:eastAsia="仿宋_GB2312" w:cs="宋体"/>
                <w:b/>
                <w:color w:val="auto"/>
                <w:sz w:val="24"/>
                <w:szCs w:val="24"/>
              </w:rPr>
              <w:t>2．</w:t>
            </w:r>
            <w:r>
              <w:rPr>
                <w:rFonts w:hint="eastAsia" w:ascii="仿宋_GB2312" w:hAnsi="宋体" w:eastAsia="仿宋_GB2312"/>
                <w:b/>
                <w:color w:val="auto"/>
                <w:sz w:val="24"/>
                <w:szCs w:val="24"/>
              </w:rPr>
              <w:t>有害生物综合</w:t>
            </w:r>
            <w:r>
              <w:rPr>
                <w:rFonts w:hint="eastAsia" w:ascii="仿宋_GB2312" w:hAnsi="宋体" w:eastAsia="仿宋_GB2312"/>
                <w:b/>
                <w:color w:val="auto"/>
                <w:sz w:val="24"/>
                <w:szCs w:val="24"/>
                <w:lang w:val="en-US" w:eastAsia="zh-CN"/>
              </w:rPr>
              <w:t>治理</w:t>
            </w:r>
          </w:p>
          <w:p>
            <w:pPr>
              <w:keepNext w:val="0"/>
              <w:keepLines w:val="0"/>
              <w:pageBreakBefore w:val="0"/>
              <w:wordWrap/>
              <w:topLinePunct w:val="0"/>
              <w:bidi w:val="0"/>
              <w:adjustRightInd/>
              <w:snapToGrid/>
              <w:spacing w:line="400" w:lineRule="exact"/>
              <w:ind w:firstLine="360" w:firstLineChars="150"/>
              <w:textAlignment w:val="auto"/>
              <w:rPr>
                <w:rFonts w:ascii="仿宋_GB2312" w:hAnsi="宋体" w:eastAsia="仿宋_GB2312"/>
                <w:color w:val="auto"/>
                <w:sz w:val="24"/>
                <w:szCs w:val="24"/>
              </w:rPr>
            </w:pPr>
            <w:r>
              <w:rPr>
                <w:rFonts w:hint="eastAsia" w:ascii="仿宋_GB2312" w:hAnsi="宋体" w:eastAsia="仿宋_GB2312"/>
                <w:color w:val="auto"/>
                <w:sz w:val="24"/>
                <w:szCs w:val="24"/>
              </w:rPr>
              <w:t>校园红线范围内的建筑物及附属构件、公共设施、绿地与道路等场所的除</w:t>
            </w:r>
            <w:r>
              <w:rPr>
                <w:rFonts w:hint="eastAsia" w:ascii="仿宋_GB2312" w:hAnsi="仿宋_GB2312" w:eastAsia="仿宋_GB2312" w:cs="仿宋_GB2312"/>
                <w:color w:val="auto"/>
                <w:sz w:val="24"/>
              </w:rPr>
              <w:t>“四害”和</w:t>
            </w:r>
            <w:r>
              <w:rPr>
                <w:rFonts w:hint="eastAsia" w:ascii="仿宋_GB2312" w:hAnsi="宋体" w:eastAsia="仿宋_GB2312"/>
                <w:color w:val="auto"/>
                <w:sz w:val="24"/>
                <w:szCs w:val="24"/>
              </w:rPr>
              <w:t>红火蚁、白蚁、蛇虫等有害生物综合防治。</w:t>
            </w:r>
          </w:p>
          <w:p>
            <w:pPr>
              <w:keepNext w:val="0"/>
              <w:keepLines w:val="0"/>
              <w:pageBreakBefore w:val="0"/>
              <w:wordWrap/>
              <w:topLinePunct w:val="0"/>
              <w:bidi w:val="0"/>
              <w:adjustRightInd/>
              <w:snapToGrid/>
              <w:spacing w:line="400" w:lineRule="exact"/>
              <w:ind w:firstLine="361" w:firstLineChars="150"/>
              <w:textAlignment w:val="auto"/>
              <w:rPr>
                <w:rFonts w:hint="eastAsia" w:ascii="仿宋_GB2312" w:hAnsi="宋体" w:eastAsia="仿宋_GB2312"/>
                <w:b/>
                <w:strike w:val="0"/>
                <w:color w:val="auto"/>
                <w:sz w:val="24"/>
                <w:szCs w:val="24"/>
                <w:lang w:eastAsia="zh-CN"/>
              </w:rPr>
            </w:pPr>
            <w:r>
              <w:rPr>
                <w:rFonts w:hint="eastAsia" w:ascii="仿宋_GB2312" w:hAnsi="宋体" w:eastAsia="仿宋_GB2312"/>
                <w:b/>
                <w:strike w:val="0"/>
                <w:color w:val="auto"/>
                <w:sz w:val="24"/>
                <w:szCs w:val="24"/>
              </w:rPr>
              <w:t>3．校园垃圾</w:t>
            </w:r>
            <w:r>
              <w:rPr>
                <w:rFonts w:hint="eastAsia" w:ascii="仿宋_GB2312" w:hAnsi="宋体" w:eastAsia="仿宋_GB2312"/>
                <w:b/>
                <w:strike w:val="0"/>
                <w:color w:val="auto"/>
                <w:sz w:val="24"/>
                <w:szCs w:val="24"/>
                <w:lang w:val="en-US" w:eastAsia="zh-CN"/>
              </w:rPr>
              <w:t>清理</w:t>
            </w:r>
          </w:p>
          <w:p>
            <w:pPr>
              <w:keepNext w:val="0"/>
              <w:keepLines w:val="0"/>
              <w:pageBreakBefore w:val="0"/>
              <w:wordWrap/>
              <w:topLinePunct w:val="0"/>
              <w:bidi w:val="0"/>
              <w:adjustRightInd/>
              <w:snapToGrid/>
              <w:spacing w:line="400" w:lineRule="exact"/>
              <w:ind w:firstLine="360" w:firstLineChars="150"/>
              <w:textAlignment w:val="auto"/>
              <w:rPr>
                <w:rFonts w:ascii="仿宋_GB2312" w:hAnsi="宋体" w:eastAsia="仿宋_GB2312"/>
                <w:color w:val="auto"/>
                <w:sz w:val="24"/>
                <w:szCs w:val="24"/>
              </w:rPr>
            </w:pPr>
            <w:r>
              <w:rPr>
                <w:rFonts w:hint="eastAsia" w:ascii="仿宋_GB2312" w:hAnsi="宋体" w:eastAsia="仿宋_GB2312"/>
                <w:strike w:val="0"/>
                <w:color w:val="auto"/>
                <w:sz w:val="24"/>
                <w:szCs w:val="24"/>
              </w:rPr>
              <w:t>校园红线范围内的垃圾日产日清。</w:t>
            </w:r>
          </w:p>
          <w:p>
            <w:pPr>
              <w:keepNext w:val="0"/>
              <w:keepLines w:val="0"/>
              <w:pageBreakBefore w:val="0"/>
              <w:wordWrap/>
              <w:topLinePunct w:val="0"/>
              <w:bidi w:val="0"/>
              <w:adjustRightInd/>
              <w:snapToGrid/>
              <w:spacing w:line="400" w:lineRule="exact"/>
              <w:ind w:firstLine="361" w:firstLineChars="150"/>
              <w:textAlignment w:val="auto"/>
              <w:rPr>
                <w:rFonts w:ascii="仿宋_GB2312" w:eastAsia="仿宋_GB2312"/>
                <w:b/>
                <w:color w:val="auto"/>
                <w:sz w:val="24"/>
                <w:szCs w:val="24"/>
              </w:rPr>
            </w:pPr>
            <w:r>
              <w:rPr>
                <w:rFonts w:hint="eastAsia" w:ascii="仿宋_GB2312" w:hAnsi="宋体" w:eastAsia="仿宋_GB2312" w:cs="宋体"/>
                <w:b/>
                <w:bCs/>
                <w:color w:val="auto"/>
                <w:sz w:val="24"/>
                <w:szCs w:val="24"/>
                <w:lang w:val="en-US" w:eastAsia="zh-CN"/>
              </w:rPr>
              <w:t>4</w:t>
            </w:r>
            <w:r>
              <w:rPr>
                <w:rFonts w:hint="eastAsia" w:ascii="仿宋_GB2312" w:hAnsi="宋体" w:eastAsia="仿宋_GB2312" w:cs="宋体"/>
                <w:b/>
                <w:bCs/>
                <w:color w:val="auto"/>
                <w:sz w:val="24"/>
                <w:szCs w:val="24"/>
              </w:rPr>
              <w:t>．后勤</w:t>
            </w:r>
            <w:r>
              <w:rPr>
                <w:rFonts w:hint="eastAsia" w:ascii="仿宋_GB2312" w:eastAsia="仿宋_GB2312"/>
                <w:b/>
                <w:color w:val="auto"/>
                <w:sz w:val="24"/>
                <w:szCs w:val="24"/>
              </w:rPr>
              <w:t>保障与服务</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开学、毕业、晚会、考试、接待等大型活动的保洁和保障支持；学校物资或固资的零星搬运；</w:t>
            </w:r>
            <w:r>
              <w:rPr>
                <w:rFonts w:hint="eastAsia" w:ascii="仿宋_GB2312" w:hAnsi="宋体" w:eastAsia="仿宋_GB2312" w:cs="宋体"/>
                <w:color w:val="auto"/>
                <w:sz w:val="24"/>
                <w:szCs w:val="24"/>
              </w:rPr>
              <w:t>视情况由学校按需安排对特定区域、特定场所（校史馆、报告厅、领导办公室等）或新生公寓的深度保洁；</w:t>
            </w:r>
            <w:r>
              <w:rPr>
                <w:rFonts w:hint="eastAsia" w:ascii="仿宋_GB2312" w:hAnsi="宋体" w:eastAsia="仿宋_GB2312" w:cs="宋体"/>
                <w:color w:val="auto"/>
                <w:sz w:val="24"/>
                <w:szCs w:val="24"/>
                <w:lang w:eastAsia="zh-CN"/>
              </w:rPr>
              <w:t>学生公寓</w:t>
            </w:r>
            <w:r>
              <w:rPr>
                <w:rFonts w:hint="eastAsia" w:ascii="仿宋_GB2312" w:hAnsi="宋体" w:eastAsia="仿宋_GB2312" w:cs="宋体"/>
                <w:color w:val="auto"/>
                <w:sz w:val="24"/>
                <w:szCs w:val="24"/>
              </w:rPr>
              <w:t>空调清洁与维护；开水机清洗消毒、生活水箱清洁及水质检测。</w:t>
            </w:r>
          </w:p>
          <w:p>
            <w:pPr>
              <w:keepNext w:val="0"/>
              <w:keepLines w:val="0"/>
              <w:pageBreakBefore w:val="0"/>
              <w:wordWrap/>
              <w:topLinePunct w:val="0"/>
              <w:bidi w:val="0"/>
              <w:adjustRightInd/>
              <w:snapToGrid/>
              <w:spacing w:line="400" w:lineRule="exact"/>
              <w:ind w:firstLine="361" w:firstLineChars="150"/>
              <w:textAlignment w:val="auto"/>
              <w:rPr>
                <w:rFonts w:ascii="仿宋_GB2312" w:hAnsi="宋体" w:eastAsia="仿宋_GB2312" w:cs="宋体"/>
                <w:b/>
                <w:color w:val="auto"/>
                <w:sz w:val="24"/>
                <w:szCs w:val="24"/>
              </w:rPr>
            </w:pPr>
            <w:r>
              <w:rPr>
                <w:rFonts w:hint="eastAsia" w:ascii="仿宋_GB2312" w:hAnsi="宋体" w:eastAsia="仿宋_GB2312" w:cs="宋体"/>
                <w:b/>
                <w:color w:val="auto"/>
                <w:sz w:val="24"/>
                <w:szCs w:val="24"/>
              </w:rPr>
              <w:t>以上包含鱼峰区荣军路东三巷132号的</w:t>
            </w:r>
            <w:r>
              <w:rPr>
                <w:rFonts w:hint="eastAsia" w:ascii="仿宋_GB2312" w:hAnsi="宋体" w:eastAsia="仿宋_GB2312"/>
                <w:b/>
                <w:color w:val="auto"/>
                <w:sz w:val="24"/>
                <w:szCs w:val="24"/>
              </w:rPr>
              <w:t>有害生物综合</w:t>
            </w:r>
            <w:r>
              <w:rPr>
                <w:rFonts w:hint="eastAsia" w:ascii="仿宋_GB2312" w:hAnsi="宋体" w:eastAsia="仿宋_GB2312"/>
                <w:b/>
                <w:color w:val="auto"/>
                <w:sz w:val="24"/>
                <w:szCs w:val="24"/>
                <w:lang w:val="en-US" w:eastAsia="zh-CN"/>
              </w:rPr>
              <w:t>治理</w:t>
            </w:r>
            <w:r>
              <w:rPr>
                <w:rFonts w:hint="eastAsia" w:ascii="仿宋_GB2312" w:hAnsi="宋体" w:eastAsia="仿宋_GB2312" w:cs="宋体"/>
                <w:b/>
                <w:color w:val="auto"/>
                <w:sz w:val="24"/>
                <w:szCs w:val="24"/>
              </w:rPr>
              <w:t>。</w:t>
            </w:r>
          </w:p>
          <w:p>
            <w:pPr>
              <w:keepNext w:val="0"/>
              <w:keepLines w:val="0"/>
              <w:pageBreakBefore w:val="0"/>
              <w:widowControl/>
              <w:wordWrap/>
              <w:topLinePunct w:val="0"/>
              <w:bidi w:val="0"/>
              <w:adjustRightInd/>
              <w:snapToGrid/>
              <w:spacing w:line="400" w:lineRule="exact"/>
              <w:ind w:firstLine="361" w:firstLineChars="150"/>
              <w:jc w:val="left"/>
              <w:textAlignment w:val="auto"/>
              <w:rPr>
                <w:rFonts w:ascii="仿宋_GB2312" w:eastAsia="仿宋_GB2312" w:cs="宋体" w:hAnsiTheme="minorEastAsia"/>
                <w:b/>
                <w:color w:val="auto"/>
                <w:sz w:val="24"/>
                <w:szCs w:val="24"/>
              </w:rPr>
            </w:pPr>
            <w:r>
              <w:rPr>
                <w:rFonts w:hint="eastAsia" w:ascii="仿宋_GB2312" w:hAnsi="Segoe UI" w:eastAsia="仿宋_GB2312" w:cs="Segoe UI"/>
                <w:b/>
                <w:color w:val="auto"/>
                <w:kern w:val="0"/>
                <w:sz w:val="24"/>
                <w:szCs w:val="24"/>
                <w:shd w:val="clear" w:color="auto" w:fill="FFFFFF"/>
              </w:rPr>
              <w:t>四、</w:t>
            </w:r>
            <w:r>
              <w:rPr>
                <w:rFonts w:hint="eastAsia" w:ascii="仿宋_GB2312" w:eastAsia="仿宋_GB2312" w:cs="宋体" w:hAnsiTheme="minorEastAsia"/>
                <w:b/>
                <w:color w:val="auto"/>
                <w:sz w:val="24"/>
                <w:szCs w:val="24"/>
              </w:rPr>
              <w:t>人员配备及要求</w:t>
            </w:r>
          </w:p>
          <w:p>
            <w:pPr>
              <w:keepNext w:val="0"/>
              <w:keepLines w:val="0"/>
              <w:pageBreakBefore w:val="0"/>
              <w:wordWrap/>
              <w:topLinePunct w:val="0"/>
              <w:bidi w:val="0"/>
              <w:adjustRightInd/>
              <w:snapToGrid/>
              <w:spacing w:line="400" w:lineRule="exact"/>
              <w:ind w:firstLine="482" w:firstLineChars="200"/>
              <w:textAlignment w:val="auto"/>
              <w:rPr>
                <w:rFonts w:ascii="仿宋_GB2312" w:hAnsi="宋体" w:eastAsia="仿宋_GB2312" w:cs="宋体"/>
                <w:b/>
                <w:color w:val="auto"/>
                <w:sz w:val="24"/>
                <w:szCs w:val="24"/>
              </w:rPr>
            </w:pPr>
            <w:r>
              <w:rPr>
                <w:rFonts w:hint="eastAsia" w:ascii="仿宋_GB2312" w:hAnsi="宋体" w:eastAsia="仿宋_GB2312" w:cs="宋体"/>
                <w:b/>
                <w:color w:val="auto"/>
                <w:sz w:val="24"/>
                <w:szCs w:val="24"/>
              </w:rPr>
              <w:t>（一）岗位设置</w:t>
            </w:r>
          </w:p>
          <w:p>
            <w:pPr>
              <w:keepNext w:val="0"/>
              <w:keepLines w:val="0"/>
              <w:pageBreakBefore w:val="0"/>
              <w:wordWrap/>
              <w:topLinePunct w:val="0"/>
              <w:bidi w:val="0"/>
              <w:adjustRightInd/>
              <w:snapToGrid/>
              <w:spacing w:line="400" w:lineRule="exact"/>
              <w:ind w:firstLine="480" w:firstLineChars="200"/>
              <w:textAlignment w:val="auto"/>
              <w:rPr>
                <w:rFonts w:ascii="仿宋_GB2312" w:hAnsi="宋体" w:eastAsia="仿宋_GB2312" w:cs="宋体"/>
                <w:b/>
                <w:bCs/>
                <w:color w:val="auto"/>
                <w:sz w:val="24"/>
                <w:szCs w:val="24"/>
              </w:rPr>
            </w:pPr>
            <w:r>
              <w:rPr>
                <w:rFonts w:hint="eastAsia" w:ascii="仿宋_GB2312" w:hAnsi="宋体" w:eastAsia="仿宋_GB2312" w:cs="宋体"/>
                <w:bCs/>
                <w:color w:val="auto"/>
                <w:sz w:val="24"/>
                <w:szCs w:val="24"/>
              </w:rPr>
              <w:t>岗位设置为行政、工程、保洁、绿化、</w:t>
            </w:r>
            <w:r>
              <w:rPr>
                <w:rFonts w:hint="eastAsia" w:ascii="仿宋_GB2312" w:hAnsi="宋体" w:eastAsia="仿宋_GB2312" w:cs="宋体"/>
                <w:bCs/>
                <w:color w:val="auto"/>
                <w:sz w:val="24"/>
                <w:szCs w:val="24"/>
                <w:lang w:val="en-US" w:eastAsia="zh-CN"/>
              </w:rPr>
              <w:t>学生公寓（学员公寓）</w:t>
            </w:r>
            <w:r>
              <w:rPr>
                <w:rFonts w:hint="eastAsia" w:ascii="仿宋_GB2312" w:hAnsi="宋体" w:eastAsia="仿宋_GB2312" w:cs="宋体"/>
                <w:bCs/>
                <w:color w:val="auto"/>
                <w:sz w:val="24"/>
                <w:szCs w:val="24"/>
              </w:rPr>
              <w:t>管理等5类，共</w:t>
            </w:r>
            <w:r>
              <w:rPr>
                <w:rFonts w:hint="eastAsia" w:ascii="仿宋_GB2312" w:hAnsi="宋体" w:eastAsia="仿宋_GB2312" w:cs="宋体"/>
                <w:bCs/>
                <w:color w:val="auto"/>
                <w:sz w:val="24"/>
                <w:szCs w:val="24"/>
                <w:lang w:val="en-US" w:eastAsia="zh-CN"/>
              </w:rPr>
              <w:t>93</w:t>
            </w:r>
            <w:r>
              <w:rPr>
                <w:rFonts w:hint="eastAsia" w:ascii="仿宋_GB2312" w:hAnsi="宋体" w:eastAsia="仿宋_GB2312" w:cs="宋体"/>
                <w:bCs/>
                <w:color w:val="auto"/>
                <w:sz w:val="24"/>
                <w:szCs w:val="24"/>
              </w:rPr>
              <w:t>人。具体岗位与职数：</w:t>
            </w:r>
          </w:p>
          <w:tbl>
            <w:tblPr>
              <w:tblStyle w:val="48"/>
              <w:tblW w:w="74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892"/>
              <w:gridCol w:w="2233"/>
              <w:gridCol w:w="800"/>
              <w:gridCol w:w="2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5"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序号</w:t>
                  </w:r>
                </w:p>
              </w:tc>
              <w:tc>
                <w:tcPr>
                  <w:tcW w:w="892"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类别</w:t>
                  </w:r>
                </w:p>
              </w:tc>
              <w:tc>
                <w:tcPr>
                  <w:tcW w:w="2233"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岗位设置</w:t>
                  </w:r>
                </w:p>
              </w:tc>
              <w:tc>
                <w:tcPr>
                  <w:tcW w:w="800"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拟配职数</w:t>
                  </w:r>
                </w:p>
              </w:tc>
              <w:tc>
                <w:tcPr>
                  <w:tcW w:w="2981"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505" w:type="dxa"/>
                  <w:vMerge w:val="restart"/>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r>
                    <w:rPr>
                      <w:rFonts w:hint="eastAsia" w:ascii="仿宋_GB2312" w:hAnsi="仿宋_GB2312" w:eastAsia="仿宋_GB2312" w:cs="仿宋_GB2312"/>
                      <w:bCs/>
                      <w:color w:val="auto"/>
                      <w:kern w:val="0"/>
                      <w:sz w:val="24"/>
                    </w:rPr>
                    <w:t>1</w:t>
                  </w:r>
                </w:p>
              </w:tc>
              <w:tc>
                <w:tcPr>
                  <w:tcW w:w="892" w:type="dxa"/>
                  <w:shd w:val="clear" w:color="auto" w:fill="auto"/>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r>
                    <w:rPr>
                      <w:rFonts w:hint="eastAsia" w:ascii="仿宋_GB2312" w:hAnsi="仿宋_GB2312" w:eastAsia="仿宋_GB2312" w:cs="仿宋_GB2312"/>
                      <w:bCs/>
                      <w:color w:val="auto"/>
                      <w:kern w:val="0"/>
                      <w:sz w:val="24"/>
                    </w:rPr>
                    <w:t>行政</w:t>
                  </w:r>
                </w:p>
              </w:tc>
              <w:tc>
                <w:tcPr>
                  <w:tcW w:w="2233" w:type="dxa"/>
                  <w:vAlign w:val="center"/>
                </w:tcPr>
                <w:p>
                  <w:pPr>
                    <w:keepNext w:val="0"/>
                    <w:keepLines w:val="0"/>
                    <w:pageBreakBefore w:val="0"/>
                    <w:widowControl/>
                    <w:wordWrap/>
                    <w:topLinePunct w:val="0"/>
                    <w:bidi w:val="0"/>
                    <w:adjustRightInd/>
                    <w:snapToGrid/>
                    <w:spacing w:line="400" w:lineRule="exact"/>
                    <w:jc w:val="center"/>
                    <w:textAlignment w:val="auto"/>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kern w:val="0"/>
                      <w:sz w:val="24"/>
                    </w:rPr>
                    <w:t>项目经理</w:t>
                  </w:r>
                  <w:r>
                    <w:rPr>
                      <w:rFonts w:hint="eastAsia" w:ascii="仿宋_GB2312" w:hAnsi="仿宋_GB2312" w:eastAsia="仿宋_GB2312" w:cs="仿宋_GB2312"/>
                      <w:color w:val="auto"/>
                      <w:kern w:val="0"/>
                      <w:sz w:val="24"/>
                      <w:lang w:eastAsia="zh-CN"/>
                    </w:rPr>
                    <w:t>（</w:t>
                  </w:r>
                  <w:r>
                    <w:rPr>
                      <w:rFonts w:hint="eastAsia" w:ascii="仿宋_GB2312" w:hAnsi="仿宋_GB2312" w:eastAsia="仿宋_GB2312" w:cs="仿宋_GB2312"/>
                      <w:color w:val="auto"/>
                      <w:kern w:val="0"/>
                      <w:sz w:val="24"/>
                    </w:rPr>
                    <w:t>1正</w:t>
                  </w:r>
                  <w:r>
                    <w:rPr>
                      <w:rFonts w:ascii="仿宋_GB2312" w:hAnsi="仿宋_GB2312" w:eastAsia="仿宋_GB2312" w:cs="仿宋_GB2312"/>
                      <w:color w:val="auto"/>
                      <w:kern w:val="0"/>
                      <w:sz w:val="24"/>
                    </w:rPr>
                    <w:t>1</w:t>
                  </w:r>
                  <w:r>
                    <w:rPr>
                      <w:rFonts w:hint="eastAsia" w:ascii="仿宋_GB2312" w:hAnsi="仿宋_GB2312" w:eastAsia="仿宋_GB2312" w:cs="仿宋_GB2312"/>
                      <w:color w:val="auto"/>
                      <w:kern w:val="0"/>
                      <w:sz w:val="24"/>
                    </w:rPr>
                    <w:t>副</w:t>
                  </w:r>
                  <w:r>
                    <w:rPr>
                      <w:rFonts w:hint="eastAsia" w:ascii="仿宋_GB2312" w:hAnsi="仿宋_GB2312" w:eastAsia="仿宋_GB2312" w:cs="仿宋_GB2312"/>
                      <w:color w:val="auto"/>
                      <w:kern w:val="0"/>
                      <w:sz w:val="24"/>
                      <w:lang w:eastAsia="zh-CN"/>
                    </w:rPr>
                    <w:t>）</w:t>
                  </w:r>
                </w:p>
              </w:tc>
              <w:tc>
                <w:tcPr>
                  <w:tcW w:w="800"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r>
                    <w:rPr>
                      <w:rFonts w:ascii="仿宋_GB2312" w:hAnsi="仿宋_GB2312" w:eastAsia="仿宋_GB2312" w:cs="仿宋_GB2312"/>
                      <w:bCs/>
                      <w:color w:val="auto"/>
                      <w:kern w:val="0"/>
                      <w:sz w:val="24"/>
                    </w:rPr>
                    <w:t>2</w:t>
                  </w:r>
                </w:p>
              </w:tc>
              <w:tc>
                <w:tcPr>
                  <w:tcW w:w="2981" w:type="dxa"/>
                  <w:vAlign w:val="center"/>
                </w:tcPr>
                <w:p>
                  <w:pPr>
                    <w:keepNext w:val="0"/>
                    <w:keepLines w:val="0"/>
                    <w:pageBreakBefore w:val="0"/>
                    <w:widowControl/>
                    <w:wordWrap/>
                    <w:topLinePunct w:val="0"/>
                    <w:bidi w:val="0"/>
                    <w:adjustRightInd/>
                    <w:snapToGrid/>
                    <w:spacing w:line="400" w:lineRule="exact"/>
                    <w:jc w:val="center"/>
                    <w:textAlignment w:val="auto"/>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kern w:val="0"/>
                      <w:sz w:val="24"/>
                      <w:lang w:val="en-US" w:eastAsia="zh-CN"/>
                    </w:rPr>
                    <w:t>行政班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p>
              </w:tc>
              <w:tc>
                <w:tcPr>
                  <w:tcW w:w="3125" w:type="dxa"/>
                  <w:gridSpan w:val="2"/>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小计</w:t>
                  </w:r>
                </w:p>
              </w:tc>
              <w:tc>
                <w:tcPr>
                  <w:tcW w:w="800"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r>
                    <w:rPr>
                      <w:rFonts w:ascii="仿宋_GB2312" w:hAnsi="仿宋_GB2312" w:eastAsia="仿宋_GB2312" w:cs="仿宋_GB2312"/>
                      <w:b/>
                      <w:bCs w:val="0"/>
                      <w:color w:val="auto"/>
                      <w:kern w:val="0"/>
                      <w:sz w:val="24"/>
                    </w:rPr>
                    <w:t>2</w:t>
                  </w:r>
                </w:p>
              </w:tc>
              <w:tc>
                <w:tcPr>
                  <w:tcW w:w="2981"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05" w:type="dxa"/>
                  <w:vMerge w:val="restart"/>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r>
                    <w:rPr>
                      <w:rFonts w:hint="eastAsia" w:ascii="仿宋_GB2312" w:hAnsi="仿宋_GB2312" w:eastAsia="仿宋_GB2312" w:cs="仿宋_GB2312"/>
                      <w:bCs/>
                      <w:color w:val="auto"/>
                      <w:kern w:val="0"/>
                      <w:sz w:val="24"/>
                    </w:rPr>
                    <w:t>2</w:t>
                  </w:r>
                </w:p>
              </w:tc>
              <w:tc>
                <w:tcPr>
                  <w:tcW w:w="892" w:type="dxa"/>
                  <w:vMerge w:val="restart"/>
                  <w:vAlign w:val="center"/>
                </w:tcPr>
                <w:p>
                  <w:pPr>
                    <w:keepNext w:val="0"/>
                    <w:keepLines w:val="0"/>
                    <w:pageBreakBefore w:val="0"/>
                    <w:kinsoku w:val="0"/>
                    <w:wordWrap/>
                    <w:overflowPunct w:val="0"/>
                    <w:topLinePunct w:val="0"/>
                    <w:autoSpaceDE w:val="0"/>
                    <w:autoSpaceDN w:val="0"/>
                    <w:bidi w:val="0"/>
                    <w:adjustRightInd/>
                    <w:snapToGrid/>
                    <w:spacing w:line="400" w:lineRule="exact"/>
                    <w:jc w:val="center"/>
                    <w:textAlignment w:val="auto"/>
                    <w:rPr>
                      <w:rFonts w:hint="eastAsia" w:ascii="仿宋_GB2312" w:hAnsi="仿宋_GB2312" w:eastAsia="仿宋_GB2312" w:cs="仿宋_GB2312"/>
                      <w:bCs/>
                      <w:color w:val="auto"/>
                      <w:kern w:val="0"/>
                      <w:sz w:val="24"/>
                      <w:lang w:eastAsia="zh-CN"/>
                    </w:rPr>
                  </w:pPr>
                  <w:r>
                    <w:rPr>
                      <w:rFonts w:hint="eastAsia" w:ascii="仿宋_GB2312" w:hAnsi="仿宋_GB2312" w:eastAsia="仿宋_GB2312" w:cs="仿宋_GB2312"/>
                      <w:color w:val="auto"/>
                      <w:sz w:val="24"/>
                      <w:lang w:val="en-US" w:eastAsia="zh-CN"/>
                    </w:rPr>
                    <w:t>维修</w:t>
                  </w:r>
                </w:p>
              </w:tc>
              <w:tc>
                <w:tcPr>
                  <w:tcW w:w="2233" w:type="dxa"/>
                  <w:vAlign w:val="center"/>
                </w:tcPr>
                <w:p>
                  <w:pPr>
                    <w:keepNext w:val="0"/>
                    <w:keepLines w:val="0"/>
                    <w:pageBreakBefore w:val="0"/>
                    <w:widowControl/>
                    <w:wordWrap/>
                    <w:topLinePunct w:val="0"/>
                    <w:bidi w:val="0"/>
                    <w:adjustRightInd/>
                    <w:snapToGrid/>
                    <w:spacing w:line="400" w:lineRule="exact"/>
                    <w:jc w:val="center"/>
                    <w:textAlignment w:val="auto"/>
                    <w:rPr>
                      <w:rFonts w:hint="default" w:ascii="仿宋_GB2312" w:hAnsi="仿宋_GB2312" w:eastAsia="仿宋_GB2312" w:cs="仿宋_GB2312"/>
                      <w:color w:val="auto"/>
                      <w:kern w:val="0"/>
                      <w:sz w:val="24"/>
                      <w:lang w:val="en-US" w:eastAsia="zh-CN"/>
                    </w:rPr>
                  </w:pPr>
                  <w:r>
                    <w:rPr>
                      <w:rFonts w:hint="eastAsia" w:ascii="仿宋_GB2312" w:hAnsi="仿宋_GB2312" w:eastAsia="仿宋_GB2312" w:cs="仿宋_GB2312"/>
                      <w:color w:val="auto"/>
                      <w:sz w:val="24"/>
                    </w:rPr>
                    <w:t>水电及设备维修</w:t>
                  </w:r>
                  <w:r>
                    <w:rPr>
                      <w:rFonts w:hint="eastAsia" w:ascii="仿宋_GB2312" w:hAnsi="仿宋_GB2312" w:eastAsia="仿宋_GB2312" w:cs="仿宋_GB2312"/>
                      <w:color w:val="auto"/>
                      <w:sz w:val="24"/>
                      <w:lang w:eastAsia="zh-CN"/>
                    </w:rPr>
                    <w:t>（电工</w:t>
                  </w:r>
                  <w:r>
                    <w:rPr>
                      <w:rFonts w:hint="eastAsia" w:ascii="仿宋_GB2312" w:hAnsi="仿宋_GB2312" w:eastAsia="仿宋_GB2312" w:cs="仿宋_GB2312"/>
                      <w:color w:val="auto"/>
                      <w:sz w:val="24"/>
                      <w:lang w:val="en-US" w:eastAsia="zh-CN"/>
                    </w:rPr>
                    <w:t>2名，</w:t>
                  </w:r>
                  <w:r>
                    <w:rPr>
                      <w:rFonts w:hint="eastAsia" w:ascii="仿宋_GB2312" w:hAnsi="仿宋_GB2312" w:eastAsia="仿宋_GB2312" w:cs="仿宋_GB2312"/>
                      <w:color w:val="auto"/>
                      <w:kern w:val="0"/>
                      <w:sz w:val="24"/>
                      <w:szCs w:val="24"/>
                    </w:rPr>
                    <w:t>空调</w:t>
                  </w:r>
                  <w:r>
                    <w:rPr>
                      <w:rFonts w:hint="eastAsia" w:ascii="仿宋_GB2312" w:hAnsi="仿宋_GB2312" w:eastAsia="仿宋_GB2312" w:cs="仿宋_GB2312"/>
                      <w:color w:val="auto"/>
                      <w:kern w:val="0"/>
                      <w:sz w:val="24"/>
                      <w:szCs w:val="24"/>
                      <w:lang w:eastAsia="zh-CN"/>
                    </w:rPr>
                    <w:t>维修</w:t>
                  </w:r>
                  <w:r>
                    <w:rPr>
                      <w:rFonts w:hint="eastAsia" w:ascii="仿宋_GB2312" w:hAnsi="仿宋_GB2312" w:eastAsia="仿宋_GB2312" w:cs="仿宋_GB2312"/>
                      <w:color w:val="auto"/>
                      <w:kern w:val="0"/>
                      <w:sz w:val="24"/>
                      <w:szCs w:val="24"/>
                    </w:rPr>
                    <w:t>工1名</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水管工2名</w:t>
                  </w:r>
                  <w:r>
                    <w:rPr>
                      <w:rFonts w:hint="eastAsia" w:ascii="仿宋_GB2312" w:hAnsi="仿宋_GB2312" w:eastAsia="仿宋_GB2312" w:cs="仿宋_GB2312"/>
                      <w:color w:val="auto"/>
                      <w:sz w:val="24"/>
                      <w:lang w:val="en-US" w:eastAsia="zh-CN"/>
                    </w:rPr>
                    <w:t>）</w:t>
                  </w:r>
                </w:p>
              </w:tc>
              <w:tc>
                <w:tcPr>
                  <w:tcW w:w="800"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5</w:t>
                  </w:r>
                </w:p>
              </w:tc>
              <w:tc>
                <w:tcPr>
                  <w:tcW w:w="2981" w:type="dxa"/>
                  <w:vMerge w:val="restart"/>
                  <w:vAlign w:val="center"/>
                </w:tcPr>
                <w:p>
                  <w:pPr>
                    <w:keepNext w:val="0"/>
                    <w:keepLines w:val="0"/>
                    <w:pageBreakBefore w:val="0"/>
                    <w:wordWrap/>
                    <w:topLinePunct w:val="0"/>
                    <w:bidi w:val="0"/>
                    <w:adjustRightInd/>
                    <w:snapToGrid/>
                    <w:spacing w:line="400" w:lineRule="exact"/>
                    <w:jc w:val="left"/>
                    <w:textAlignment w:val="auto"/>
                    <w:rPr>
                      <w:rFonts w:hint="default" w:ascii="仿宋_GB2312" w:hAnsi="仿宋_GB2312" w:eastAsia="仿宋_GB2312" w:cs="仿宋_GB2312"/>
                      <w:color w:val="auto"/>
                      <w:kern w:val="0"/>
                      <w:sz w:val="24"/>
                      <w:lang w:val="en-US" w:eastAsia="zh-CN"/>
                    </w:rPr>
                  </w:pPr>
                  <w:r>
                    <w:rPr>
                      <w:rFonts w:hint="default" w:ascii="仿宋_GB2312" w:hAnsi="仿宋_GB2312" w:eastAsia="仿宋_GB2312" w:cs="仿宋_GB2312"/>
                      <w:color w:val="auto"/>
                      <w:kern w:val="0"/>
                      <w:sz w:val="24"/>
                      <w:lang w:val="en-US" w:eastAsia="zh-CN"/>
                    </w:rPr>
                    <w:t>全年365天保证学校各类零星维修，24小时值班制。周末、节假日及每天夜间18:00-24:00安排2名水电工值班。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505"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p>
              </w:tc>
              <w:tc>
                <w:tcPr>
                  <w:tcW w:w="892" w:type="dxa"/>
                  <w:vMerge w:val="continue"/>
                  <w:vAlign w:val="center"/>
                </w:tcPr>
                <w:p>
                  <w:pPr>
                    <w:keepNext w:val="0"/>
                    <w:keepLines w:val="0"/>
                    <w:pageBreakBefore w:val="0"/>
                    <w:kinsoku w:val="0"/>
                    <w:wordWrap/>
                    <w:overflowPunct w:val="0"/>
                    <w:topLinePunct w:val="0"/>
                    <w:autoSpaceDE w:val="0"/>
                    <w:autoSpaceDN w:val="0"/>
                    <w:bidi w:val="0"/>
                    <w:adjustRightInd/>
                    <w:snapToGrid/>
                    <w:spacing w:line="400" w:lineRule="exact"/>
                    <w:jc w:val="center"/>
                    <w:textAlignment w:val="auto"/>
                    <w:rPr>
                      <w:rFonts w:ascii="仿宋_GB2312" w:hAnsi="仿宋_GB2312" w:eastAsia="仿宋_GB2312" w:cs="仿宋_GB2312"/>
                      <w:bCs/>
                      <w:color w:val="auto"/>
                      <w:kern w:val="0"/>
                      <w:sz w:val="24"/>
                    </w:rPr>
                  </w:pPr>
                </w:p>
              </w:tc>
              <w:tc>
                <w:tcPr>
                  <w:tcW w:w="2233" w:type="dxa"/>
                  <w:vAlign w:val="center"/>
                </w:tcPr>
                <w:p>
                  <w:pPr>
                    <w:keepNext w:val="0"/>
                    <w:keepLines w:val="0"/>
                    <w:pageBreakBefore w:val="0"/>
                    <w:widowControl/>
                    <w:wordWrap/>
                    <w:topLinePunct w:val="0"/>
                    <w:bidi w:val="0"/>
                    <w:adjustRightInd/>
                    <w:snapToGrid/>
                    <w:spacing w:line="400" w:lineRule="exact"/>
                    <w:jc w:val="center"/>
                    <w:textAlignment w:val="auto"/>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kern w:val="0"/>
                      <w:sz w:val="24"/>
                    </w:rPr>
                    <w:t>建筑及设施维修</w:t>
                  </w:r>
                  <w:r>
                    <w:rPr>
                      <w:rFonts w:hint="eastAsia" w:ascii="仿宋_GB2312" w:hAnsi="仿宋_GB2312" w:eastAsia="仿宋_GB2312" w:cs="仿宋_GB2312"/>
                      <w:color w:val="auto"/>
                      <w:kern w:val="0"/>
                      <w:sz w:val="24"/>
                      <w:lang w:eastAsia="zh-CN"/>
                    </w:rPr>
                    <w:t>（</w:t>
                  </w:r>
                  <w:r>
                    <w:rPr>
                      <w:rFonts w:hint="eastAsia" w:ascii="仿宋_GB2312" w:hAnsi="仿宋_GB2312" w:eastAsia="仿宋_GB2312" w:cs="仿宋_GB2312"/>
                      <w:color w:val="auto"/>
                      <w:kern w:val="0"/>
                      <w:sz w:val="24"/>
                    </w:rPr>
                    <w:t>泥瓦工</w:t>
                  </w:r>
                  <w:r>
                    <w:rPr>
                      <w:rFonts w:hint="eastAsia" w:ascii="仿宋_GB2312" w:hAnsi="仿宋_GB2312" w:eastAsia="仿宋_GB2312" w:cs="仿宋_GB2312"/>
                      <w:color w:val="auto"/>
                      <w:kern w:val="0"/>
                      <w:sz w:val="24"/>
                      <w:lang w:val="en-US" w:eastAsia="zh-CN"/>
                    </w:rPr>
                    <w:t>3</w:t>
                  </w:r>
                  <w:r>
                    <w:rPr>
                      <w:rFonts w:hint="eastAsia" w:ascii="仿宋_GB2312" w:hAnsi="仿宋_GB2312" w:eastAsia="仿宋_GB2312" w:cs="仿宋_GB2312"/>
                      <w:color w:val="auto"/>
                      <w:kern w:val="0"/>
                      <w:sz w:val="24"/>
                    </w:rPr>
                    <w:t>名、木工2名</w:t>
                  </w:r>
                  <w:r>
                    <w:rPr>
                      <w:rFonts w:hint="eastAsia" w:ascii="仿宋_GB2312" w:hAnsi="仿宋_GB2312" w:eastAsia="仿宋_GB2312" w:cs="仿宋_GB2312"/>
                      <w:color w:val="auto"/>
                      <w:kern w:val="0"/>
                      <w:sz w:val="24"/>
                      <w:lang w:eastAsia="zh-CN"/>
                    </w:rPr>
                    <w:t>）</w:t>
                  </w:r>
                </w:p>
              </w:tc>
              <w:tc>
                <w:tcPr>
                  <w:tcW w:w="800"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5</w:t>
                  </w:r>
                </w:p>
              </w:tc>
              <w:tc>
                <w:tcPr>
                  <w:tcW w:w="2981" w:type="dxa"/>
                  <w:vMerge w:val="continue"/>
                  <w:vAlign w:val="center"/>
                </w:tcPr>
                <w:p>
                  <w:pPr>
                    <w:keepNext w:val="0"/>
                    <w:keepLines w:val="0"/>
                    <w:pageBreakBefore w:val="0"/>
                    <w:wordWrap/>
                    <w:topLinePunct w:val="0"/>
                    <w:bidi w:val="0"/>
                    <w:adjustRightInd/>
                    <w:snapToGrid/>
                    <w:spacing w:line="400" w:lineRule="exact"/>
                    <w:jc w:val="left"/>
                    <w:textAlignment w:val="auto"/>
                    <w:rPr>
                      <w:rFonts w:ascii="仿宋_GB2312" w:hAnsi="仿宋_GB2312" w:eastAsia="仿宋_GB2312" w:cs="仿宋_GB2312"/>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505"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p>
              </w:tc>
              <w:tc>
                <w:tcPr>
                  <w:tcW w:w="892" w:type="dxa"/>
                  <w:vMerge w:val="continue"/>
                  <w:vAlign w:val="center"/>
                </w:tcPr>
                <w:p>
                  <w:pPr>
                    <w:keepNext w:val="0"/>
                    <w:keepLines w:val="0"/>
                    <w:pageBreakBefore w:val="0"/>
                    <w:kinsoku w:val="0"/>
                    <w:wordWrap/>
                    <w:overflowPunct w:val="0"/>
                    <w:topLinePunct w:val="0"/>
                    <w:autoSpaceDE w:val="0"/>
                    <w:autoSpaceDN w:val="0"/>
                    <w:bidi w:val="0"/>
                    <w:adjustRightInd/>
                    <w:snapToGrid/>
                    <w:spacing w:line="400" w:lineRule="exact"/>
                    <w:jc w:val="center"/>
                    <w:textAlignment w:val="auto"/>
                    <w:rPr>
                      <w:rFonts w:ascii="仿宋_GB2312" w:hAnsi="仿宋_GB2312" w:eastAsia="仿宋_GB2312" w:cs="仿宋_GB2312"/>
                      <w:bCs/>
                      <w:color w:val="auto"/>
                      <w:kern w:val="0"/>
                      <w:sz w:val="24"/>
                    </w:rPr>
                  </w:pPr>
                </w:p>
              </w:tc>
              <w:tc>
                <w:tcPr>
                  <w:tcW w:w="2233" w:type="dxa"/>
                  <w:vAlign w:val="center"/>
                </w:tcPr>
                <w:p>
                  <w:pPr>
                    <w:keepNext w:val="0"/>
                    <w:keepLines w:val="0"/>
                    <w:pageBreakBefore w:val="0"/>
                    <w:widowControl/>
                    <w:wordWrap/>
                    <w:topLinePunct w:val="0"/>
                    <w:bidi w:val="0"/>
                    <w:adjustRightInd/>
                    <w:snapToGrid/>
                    <w:spacing w:line="400" w:lineRule="exact"/>
                    <w:jc w:val="center"/>
                    <w:textAlignment w:val="auto"/>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kern w:val="0"/>
                      <w:sz w:val="24"/>
                    </w:rPr>
                    <w:t>综合及应急维修</w:t>
                  </w:r>
                  <w:r>
                    <w:rPr>
                      <w:rFonts w:hint="eastAsia" w:ascii="仿宋_GB2312" w:hAnsi="仿宋_GB2312" w:eastAsia="仿宋_GB2312" w:cs="仿宋_GB2312"/>
                      <w:color w:val="auto"/>
                      <w:kern w:val="0"/>
                      <w:sz w:val="24"/>
                      <w:lang w:eastAsia="zh-CN"/>
                    </w:rPr>
                    <w:t>（</w:t>
                  </w:r>
                  <w:r>
                    <w:rPr>
                      <w:rStyle w:val="118"/>
                      <w:rFonts w:hint="default" w:ascii="仿宋_GB2312" w:hAnsi="仿宋_GB2312" w:eastAsia="仿宋_GB2312" w:cs="仿宋_GB2312"/>
                      <w:color w:val="auto"/>
                      <w:sz w:val="24"/>
                      <w:szCs w:val="24"/>
                    </w:rPr>
                    <w:t>电焊工1名</w:t>
                  </w:r>
                  <w:r>
                    <w:rPr>
                      <w:rStyle w:val="118"/>
                      <w:rFonts w:hint="eastAsia" w:ascii="仿宋_GB2312" w:hAnsi="仿宋_GB2312" w:eastAsia="仿宋_GB2312" w:cs="仿宋_GB2312"/>
                      <w:color w:val="auto"/>
                      <w:sz w:val="24"/>
                      <w:szCs w:val="24"/>
                      <w:lang w:eastAsia="zh-CN"/>
                    </w:rPr>
                    <w:t>，</w:t>
                  </w:r>
                  <w:r>
                    <w:rPr>
                      <w:rStyle w:val="118"/>
                      <w:rFonts w:hint="eastAsia" w:ascii="仿宋_GB2312" w:hAnsi="仿宋_GB2312" w:eastAsia="仿宋_GB2312" w:cs="仿宋_GB2312"/>
                      <w:color w:val="auto"/>
                      <w:sz w:val="24"/>
                      <w:szCs w:val="24"/>
                      <w:lang w:val="en-US" w:eastAsia="zh-CN"/>
                    </w:rPr>
                    <w:t>综合维修工2名。）</w:t>
                  </w:r>
                </w:p>
              </w:tc>
              <w:tc>
                <w:tcPr>
                  <w:tcW w:w="800"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3</w:t>
                  </w:r>
                </w:p>
              </w:tc>
              <w:tc>
                <w:tcPr>
                  <w:tcW w:w="2981" w:type="dxa"/>
                  <w:vMerge w:val="continue"/>
                  <w:vAlign w:val="center"/>
                </w:tcPr>
                <w:p>
                  <w:pPr>
                    <w:keepNext w:val="0"/>
                    <w:keepLines w:val="0"/>
                    <w:pageBreakBefore w:val="0"/>
                    <w:wordWrap/>
                    <w:topLinePunct w:val="0"/>
                    <w:bidi w:val="0"/>
                    <w:adjustRightInd/>
                    <w:snapToGrid/>
                    <w:spacing w:line="400" w:lineRule="exact"/>
                    <w:jc w:val="left"/>
                    <w:textAlignment w:val="auto"/>
                    <w:rPr>
                      <w:rFonts w:hint="default" w:ascii="仿宋_GB2312" w:hAnsi="仿宋_GB2312" w:eastAsia="仿宋_GB2312" w:cs="仿宋_GB2312"/>
                      <w:color w:val="auto"/>
                      <w:kern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05"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p>
              </w:tc>
              <w:tc>
                <w:tcPr>
                  <w:tcW w:w="3125" w:type="dxa"/>
                  <w:gridSpan w:val="2"/>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小计</w:t>
                  </w:r>
                </w:p>
              </w:tc>
              <w:tc>
                <w:tcPr>
                  <w:tcW w:w="800"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r>
                    <w:rPr>
                      <w:rFonts w:hint="eastAsia" w:ascii="仿宋_GB2312" w:hAnsi="仿宋_GB2312" w:eastAsia="仿宋_GB2312" w:cs="仿宋_GB2312"/>
                      <w:b/>
                      <w:bCs w:val="0"/>
                      <w:color w:val="auto"/>
                      <w:kern w:val="0"/>
                      <w:sz w:val="24"/>
                    </w:rPr>
                    <w:t>1</w:t>
                  </w:r>
                  <w:r>
                    <w:rPr>
                      <w:rFonts w:ascii="仿宋_GB2312" w:hAnsi="仿宋_GB2312" w:eastAsia="仿宋_GB2312" w:cs="仿宋_GB2312"/>
                      <w:b/>
                      <w:bCs w:val="0"/>
                      <w:color w:val="auto"/>
                      <w:kern w:val="0"/>
                      <w:sz w:val="24"/>
                    </w:rPr>
                    <w:t>3</w:t>
                  </w:r>
                </w:p>
              </w:tc>
              <w:tc>
                <w:tcPr>
                  <w:tcW w:w="2981"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505" w:type="dxa"/>
                  <w:vMerge w:val="restart"/>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r>
                    <w:rPr>
                      <w:rFonts w:hint="eastAsia" w:ascii="仿宋_GB2312" w:hAnsi="仿宋_GB2312" w:eastAsia="仿宋_GB2312" w:cs="仿宋_GB2312"/>
                      <w:bCs/>
                      <w:color w:val="auto"/>
                      <w:kern w:val="0"/>
                      <w:sz w:val="24"/>
                    </w:rPr>
                    <w:t>3</w:t>
                  </w:r>
                </w:p>
              </w:tc>
              <w:tc>
                <w:tcPr>
                  <w:tcW w:w="892" w:type="dxa"/>
                  <w:vMerge w:val="restart"/>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r>
                    <w:rPr>
                      <w:rFonts w:hint="eastAsia" w:ascii="仿宋_GB2312" w:hAnsi="仿宋_GB2312" w:eastAsia="仿宋_GB2312" w:cs="仿宋_GB2312"/>
                      <w:bCs/>
                      <w:color w:val="auto"/>
                      <w:kern w:val="0"/>
                      <w:sz w:val="24"/>
                    </w:rPr>
                    <w:t>保洁</w:t>
                  </w:r>
                </w:p>
              </w:tc>
              <w:tc>
                <w:tcPr>
                  <w:tcW w:w="2233" w:type="dxa"/>
                  <w:vAlign w:val="center"/>
                </w:tcPr>
                <w:p>
                  <w:pPr>
                    <w:keepNext w:val="0"/>
                    <w:keepLines w:val="0"/>
                    <w:pageBreakBefore w:val="0"/>
                    <w:wordWrap/>
                    <w:topLinePunct w:val="0"/>
                    <w:bidi w:val="0"/>
                    <w:adjustRightInd/>
                    <w:snapToGrid/>
                    <w:spacing w:line="400" w:lineRule="exact"/>
                    <w:jc w:val="center"/>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第1-4栋教学楼</w:t>
                  </w:r>
                </w:p>
              </w:tc>
              <w:tc>
                <w:tcPr>
                  <w:tcW w:w="800" w:type="dxa"/>
                  <w:vAlign w:val="center"/>
                </w:tcPr>
                <w:p>
                  <w:pPr>
                    <w:keepNext w:val="0"/>
                    <w:keepLines w:val="0"/>
                    <w:pageBreakBefore w:val="0"/>
                    <w:wordWrap/>
                    <w:topLinePunct w:val="0"/>
                    <w:bidi w:val="0"/>
                    <w:adjustRightInd/>
                    <w:snapToGrid/>
                    <w:spacing w:line="400" w:lineRule="exact"/>
                    <w:jc w:val="center"/>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2981" w:type="dxa"/>
                  <w:vAlign w:val="center"/>
                </w:tcPr>
                <w:p>
                  <w:pPr>
                    <w:keepNext w:val="0"/>
                    <w:keepLines w:val="0"/>
                    <w:pageBreakBefore w:val="0"/>
                    <w:wordWrap/>
                    <w:topLinePunct w:val="0"/>
                    <w:bidi w:val="0"/>
                    <w:adjustRightInd/>
                    <w:snapToGrid/>
                    <w:spacing w:line="400" w:lineRule="exact"/>
                    <w:jc w:val="left"/>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含卫生间，不含教室内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505"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p>
              </w:tc>
              <w:tc>
                <w:tcPr>
                  <w:tcW w:w="892"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p>
              </w:tc>
              <w:tc>
                <w:tcPr>
                  <w:tcW w:w="2233" w:type="dxa"/>
                  <w:vAlign w:val="center"/>
                </w:tcPr>
                <w:p>
                  <w:pPr>
                    <w:keepNext w:val="0"/>
                    <w:keepLines w:val="0"/>
                    <w:pageBreakBefore w:val="0"/>
                    <w:wordWrap/>
                    <w:topLinePunct w:val="0"/>
                    <w:bidi w:val="0"/>
                    <w:adjustRightInd/>
                    <w:snapToGrid/>
                    <w:spacing w:line="400" w:lineRule="exact"/>
                    <w:jc w:val="center"/>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第1-7栋实训楼</w:t>
                  </w:r>
                </w:p>
              </w:tc>
              <w:tc>
                <w:tcPr>
                  <w:tcW w:w="800" w:type="dxa"/>
                  <w:vAlign w:val="center"/>
                </w:tcPr>
                <w:p>
                  <w:pPr>
                    <w:keepNext w:val="0"/>
                    <w:keepLines w:val="0"/>
                    <w:pageBreakBefore w:val="0"/>
                    <w:wordWrap/>
                    <w:topLinePunct w:val="0"/>
                    <w:bidi w:val="0"/>
                    <w:adjustRightInd/>
                    <w:snapToGrid/>
                    <w:spacing w:line="400" w:lineRule="exact"/>
                    <w:jc w:val="center"/>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7</w:t>
                  </w:r>
                </w:p>
              </w:tc>
              <w:tc>
                <w:tcPr>
                  <w:tcW w:w="2981" w:type="dxa"/>
                  <w:vAlign w:val="center"/>
                </w:tcPr>
                <w:p>
                  <w:pPr>
                    <w:keepNext w:val="0"/>
                    <w:keepLines w:val="0"/>
                    <w:pageBreakBefore w:val="0"/>
                    <w:wordWrap/>
                    <w:topLinePunct w:val="0"/>
                    <w:bidi w:val="0"/>
                    <w:adjustRightInd/>
                    <w:snapToGrid/>
                    <w:spacing w:line="400" w:lineRule="exact"/>
                    <w:jc w:val="left"/>
                    <w:textAlignment w:val="auto"/>
                    <w:rPr>
                      <w:rFonts w:ascii="仿宋_GB2312" w:hAnsi="仿宋_GB2312" w:eastAsia="仿宋_GB2312" w:cs="仿宋_GB2312"/>
                      <w:color w:val="auto"/>
                      <w:sz w:val="24"/>
                    </w:rPr>
                  </w:pPr>
                  <w:bookmarkStart w:id="24" w:name="OLE_LINK13"/>
                  <w:bookmarkStart w:id="25" w:name="OLE_LINK14"/>
                  <w:r>
                    <w:rPr>
                      <w:rFonts w:hint="eastAsia" w:ascii="仿宋_GB2312" w:hAnsi="仿宋_GB2312" w:eastAsia="仿宋_GB2312" w:cs="仿宋_GB2312"/>
                      <w:color w:val="auto"/>
                      <w:sz w:val="24"/>
                    </w:rPr>
                    <w:t>含卫生间，不含实训室内</w:t>
                  </w:r>
                  <w:bookmarkEnd w:id="24"/>
                  <w:bookmarkEnd w:id="2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p>
              </w:tc>
              <w:tc>
                <w:tcPr>
                  <w:tcW w:w="892"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p>
              </w:tc>
              <w:tc>
                <w:tcPr>
                  <w:tcW w:w="2233" w:type="dxa"/>
                  <w:vAlign w:val="center"/>
                </w:tcPr>
                <w:p>
                  <w:pPr>
                    <w:keepNext w:val="0"/>
                    <w:keepLines w:val="0"/>
                    <w:pageBreakBefore w:val="0"/>
                    <w:wordWrap/>
                    <w:topLinePunct w:val="0"/>
                    <w:bidi w:val="0"/>
                    <w:adjustRightInd/>
                    <w:snapToGrid/>
                    <w:spacing w:line="400" w:lineRule="exact"/>
                    <w:jc w:val="center"/>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第一办公楼</w:t>
                  </w:r>
                </w:p>
              </w:tc>
              <w:tc>
                <w:tcPr>
                  <w:tcW w:w="800" w:type="dxa"/>
                  <w:vAlign w:val="center"/>
                </w:tcPr>
                <w:p>
                  <w:pPr>
                    <w:keepNext w:val="0"/>
                    <w:keepLines w:val="0"/>
                    <w:pageBreakBefore w:val="0"/>
                    <w:wordWrap/>
                    <w:topLinePunct w:val="0"/>
                    <w:bidi w:val="0"/>
                    <w:adjustRightInd/>
                    <w:snapToGrid/>
                    <w:spacing w:line="400" w:lineRule="exact"/>
                    <w:jc w:val="center"/>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6</w:t>
                  </w:r>
                </w:p>
              </w:tc>
              <w:tc>
                <w:tcPr>
                  <w:tcW w:w="2981" w:type="dxa"/>
                  <w:vAlign w:val="center"/>
                </w:tcPr>
                <w:p>
                  <w:pPr>
                    <w:keepNext w:val="0"/>
                    <w:keepLines w:val="0"/>
                    <w:pageBreakBefore w:val="0"/>
                    <w:wordWrap/>
                    <w:topLinePunct w:val="0"/>
                    <w:bidi w:val="0"/>
                    <w:adjustRightInd/>
                    <w:snapToGrid/>
                    <w:spacing w:line="400" w:lineRule="exact"/>
                    <w:jc w:val="left"/>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含9间办公室、2间会议室和卫生间、</w:t>
                  </w:r>
                  <w:r>
                    <w:rPr>
                      <w:rFonts w:hint="eastAsia" w:ascii="仿宋_GB2312" w:hAnsi="仿宋_GB2312" w:eastAsia="仿宋_GB2312" w:cs="仿宋_GB2312"/>
                      <w:color w:val="auto"/>
                      <w:kern w:val="0"/>
                      <w:sz w:val="24"/>
                    </w:rPr>
                    <w:t>报告厅、校史馆保洁</w:t>
                  </w:r>
                  <w:r>
                    <w:rPr>
                      <w:rFonts w:hint="eastAsia" w:ascii="仿宋_GB2312" w:hAnsi="仿宋_GB2312" w:eastAsia="仿宋_GB2312" w:cs="仿宋_GB2312"/>
                      <w:color w:val="auto"/>
                      <w:sz w:val="24"/>
                    </w:rPr>
                    <w:t>，不含其他办公室内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05"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p>
              </w:tc>
              <w:tc>
                <w:tcPr>
                  <w:tcW w:w="892"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p>
              </w:tc>
              <w:tc>
                <w:tcPr>
                  <w:tcW w:w="2233" w:type="dxa"/>
                  <w:vAlign w:val="center"/>
                </w:tcPr>
                <w:p>
                  <w:pPr>
                    <w:keepNext w:val="0"/>
                    <w:keepLines w:val="0"/>
                    <w:pageBreakBefore w:val="0"/>
                    <w:wordWrap/>
                    <w:topLinePunct w:val="0"/>
                    <w:bidi w:val="0"/>
                    <w:adjustRightInd/>
                    <w:snapToGrid/>
                    <w:spacing w:line="400" w:lineRule="exact"/>
                    <w:jc w:val="center"/>
                    <w:textAlignment w:val="auto"/>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大学生活动中心</w:t>
                  </w:r>
                </w:p>
              </w:tc>
              <w:tc>
                <w:tcPr>
                  <w:tcW w:w="800" w:type="dxa"/>
                  <w:vAlign w:val="center"/>
                </w:tcPr>
                <w:p>
                  <w:pPr>
                    <w:keepNext w:val="0"/>
                    <w:keepLines w:val="0"/>
                    <w:pageBreakBefore w:val="0"/>
                    <w:wordWrap/>
                    <w:topLinePunct w:val="0"/>
                    <w:bidi w:val="0"/>
                    <w:adjustRightInd/>
                    <w:snapToGrid/>
                    <w:spacing w:line="400" w:lineRule="exact"/>
                    <w:jc w:val="center"/>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2981" w:type="dxa"/>
                  <w:vAlign w:val="center"/>
                </w:tcPr>
                <w:p>
                  <w:pPr>
                    <w:keepNext w:val="0"/>
                    <w:keepLines w:val="0"/>
                    <w:pageBreakBefore w:val="0"/>
                    <w:wordWrap/>
                    <w:topLinePunct w:val="0"/>
                    <w:bidi w:val="0"/>
                    <w:adjustRightInd/>
                    <w:snapToGrid/>
                    <w:spacing w:line="400" w:lineRule="exact"/>
                    <w:jc w:val="left"/>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含卫生站、隔离室，不含办公室、学生服务中心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05"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p>
              </w:tc>
              <w:tc>
                <w:tcPr>
                  <w:tcW w:w="892"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p>
              </w:tc>
              <w:tc>
                <w:tcPr>
                  <w:tcW w:w="2233" w:type="dxa"/>
                  <w:vAlign w:val="center"/>
                </w:tcPr>
                <w:p>
                  <w:pPr>
                    <w:keepNext w:val="0"/>
                    <w:keepLines w:val="0"/>
                    <w:pageBreakBefore w:val="0"/>
                    <w:wordWrap/>
                    <w:topLinePunct w:val="0"/>
                    <w:bidi w:val="0"/>
                    <w:adjustRightInd/>
                    <w:snapToGrid/>
                    <w:spacing w:line="400" w:lineRule="exact"/>
                    <w:jc w:val="center"/>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图书馆保洁</w:t>
                  </w:r>
                </w:p>
              </w:tc>
              <w:tc>
                <w:tcPr>
                  <w:tcW w:w="800" w:type="dxa"/>
                  <w:vAlign w:val="center"/>
                </w:tcPr>
                <w:p>
                  <w:pPr>
                    <w:keepNext w:val="0"/>
                    <w:keepLines w:val="0"/>
                    <w:pageBreakBefore w:val="0"/>
                    <w:wordWrap/>
                    <w:topLinePunct w:val="0"/>
                    <w:bidi w:val="0"/>
                    <w:adjustRightInd/>
                    <w:snapToGrid/>
                    <w:spacing w:line="400" w:lineRule="exact"/>
                    <w:jc w:val="center"/>
                    <w:textAlignment w:val="auto"/>
                    <w:rPr>
                      <w:rFonts w:ascii="仿宋_GB2312" w:hAnsi="仿宋_GB2312" w:eastAsia="仿宋_GB2312" w:cs="仿宋_GB2312"/>
                      <w:color w:val="auto"/>
                      <w:sz w:val="24"/>
                    </w:rPr>
                  </w:pPr>
                  <w:r>
                    <w:rPr>
                      <w:rFonts w:ascii="仿宋_GB2312" w:hAnsi="仿宋_GB2312" w:eastAsia="仿宋_GB2312" w:cs="仿宋_GB2312"/>
                      <w:color w:val="auto"/>
                      <w:sz w:val="24"/>
                    </w:rPr>
                    <w:t>1</w:t>
                  </w:r>
                </w:p>
              </w:tc>
              <w:tc>
                <w:tcPr>
                  <w:tcW w:w="2981" w:type="dxa"/>
                  <w:vAlign w:val="center"/>
                </w:tcPr>
                <w:p>
                  <w:pPr>
                    <w:keepNext w:val="0"/>
                    <w:keepLines w:val="0"/>
                    <w:pageBreakBefore w:val="0"/>
                    <w:wordWrap/>
                    <w:topLinePunct w:val="0"/>
                    <w:bidi w:val="0"/>
                    <w:adjustRightInd/>
                    <w:snapToGrid/>
                    <w:spacing w:line="400" w:lineRule="exact"/>
                    <w:jc w:val="left"/>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含卫生间，不含办公室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505"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p>
              </w:tc>
              <w:tc>
                <w:tcPr>
                  <w:tcW w:w="892"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p>
              </w:tc>
              <w:tc>
                <w:tcPr>
                  <w:tcW w:w="2233" w:type="dxa"/>
                  <w:vAlign w:val="center"/>
                </w:tcPr>
                <w:p>
                  <w:pPr>
                    <w:keepNext w:val="0"/>
                    <w:keepLines w:val="0"/>
                    <w:pageBreakBefore w:val="0"/>
                    <w:wordWrap/>
                    <w:topLinePunct w:val="0"/>
                    <w:bidi w:val="0"/>
                    <w:adjustRightInd/>
                    <w:snapToGrid/>
                    <w:spacing w:line="400" w:lineRule="exact"/>
                    <w:jc w:val="center"/>
                    <w:textAlignment w:val="auto"/>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实践教育综合楼</w:t>
                  </w:r>
                </w:p>
              </w:tc>
              <w:tc>
                <w:tcPr>
                  <w:tcW w:w="800" w:type="dxa"/>
                  <w:vAlign w:val="center"/>
                </w:tcPr>
                <w:p>
                  <w:pPr>
                    <w:keepNext w:val="0"/>
                    <w:keepLines w:val="0"/>
                    <w:pageBreakBefore w:val="0"/>
                    <w:wordWrap/>
                    <w:topLinePunct w:val="0"/>
                    <w:bidi w:val="0"/>
                    <w:adjustRightInd/>
                    <w:snapToGrid/>
                    <w:spacing w:line="400" w:lineRule="exact"/>
                    <w:jc w:val="center"/>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2981" w:type="dxa"/>
                  <w:vAlign w:val="center"/>
                </w:tcPr>
                <w:p>
                  <w:pPr>
                    <w:keepNext w:val="0"/>
                    <w:keepLines w:val="0"/>
                    <w:pageBreakBefore w:val="0"/>
                    <w:wordWrap/>
                    <w:topLinePunct w:val="0"/>
                    <w:bidi w:val="0"/>
                    <w:adjustRightInd/>
                    <w:snapToGrid/>
                    <w:spacing w:line="400" w:lineRule="exact"/>
                    <w:jc w:val="left"/>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含室内体育馆，不含教室内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505"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p>
              </w:tc>
              <w:tc>
                <w:tcPr>
                  <w:tcW w:w="892"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p>
              </w:tc>
              <w:tc>
                <w:tcPr>
                  <w:tcW w:w="2233" w:type="dxa"/>
                  <w:vAlign w:val="center"/>
                </w:tcPr>
                <w:p>
                  <w:pPr>
                    <w:keepNext w:val="0"/>
                    <w:keepLines w:val="0"/>
                    <w:pageBreakBefore w:val="0"/>
                    <w:wordWrap/>
                    <w:topLinePunct w:val="0"/>
                    <w:bidi w:val="0"/>
                    <w:adjustRightInd/>
                    <w:snapToGrid/>
                    <w:spacing w:line="400" w:lineRule="exact"/>
                    <w:jc w:val="center"/>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学术</w:t>
                  </w:r>
                  <w:r>
                    <w:rPr>
                      <w:rFonts w:hint="eastAsia" w:ascii="仿宋_GB2312" w:hAnsi="仿宋_GB2312" w:eastAsia="仿宋_GB2312" w:cs="仿宋_GB2312"/>
                      <w:color w:val="auto"/>
                      <w:sz w:val="24"/>
                      <w:lang w:val="en-US" w:eastAsia="zh-CN"/>
                    </w:rPr>
                    <w:t>大礼堂</w:t>
                  </w:r>
                  <w:r>
                    <w:rPr>
                      <w:rFonts w:hint="eastAsia" w:ascii="仿宋_GB2312" w:hAnsi="仿宋_GB2312" w:eastAsia="仿宋_GB2312" w:cs="仿宋_GB2312"/>
                      <w:color w:val="auto"/>
                      <w:sz w:val="24"/>
                    </w:rPr>
                    <w:t>、国际交流中心</w:t>
                  </w:r>
                </w:p>
              </w:tc>
              <w:tc>
                <w:tcPr>
                  <w:tcW w:w="800" w:type="dxa"/>
                  <w:vAlign w:val="center"/>
                </w:tcPr>
                <w:p>
                  <w:pPr>
                    <w:keepNext w:val="0"/>
                    <w:keepLines w:val="0"/>
                    <w:pageBreakBefore w:val="0"/>
                    <w:wordWrap/>
                    <w:topLinePunct w:val="0"/>
                    <w:bidi w:val="0"/>
                    <w:adjustRightInd/>
                    <w:snapToGrid/>
                    <w:spacing w:line="400" w:lineRule="exact"/>
                    <w:jc w:val="center"/>
                    <w:textAlignment w:val="auto"/>
                    <w:rPr>
                      <w:rFonts w:ascii="仿宋_GB2312" w:hAnsi="仿宋_GB2312" w:eastAsia="仿宋_GB2312" w:cs="仿宋_GB2312"/>
                      <w:color w:val="auto"/>
                      <w:sz w:val="24"/>
                    </w:rPr>
                  </w:pPr>
                  <w:r>
                    <w:rPr>
                      <w:rFonts w:ascii="仿宋_GB2312" w:hAnsi="仿宋_GB2312" w:eastAsia="仿宋_GB2312" w:cs="仿宋_GB2312"/>
                      <w:color w:val="auto"/>
                      <w:sz w:val="24"/>
                    </w:rPr>
                    <w:t>3</w:t>
                  </w:r>
                </w:p>
              </w:tc>
              <w:tc>
                <w:tcPr>
                  <w:tcW w:w="2981" w:type="dxa"/>
                  <w:vAlign w:val="center"/>
                </w:tcPr>
                <w:p>
                  <w:pPr>
                    <w:keepNext w:val="0"/>
                    <w:keepLines w:val="0"/>
                    <w:pageBreakBefore w:val="0"/>
                    <w:wordWrap/>
                    <w:topLinePunct w:val="0"/>
                    <w:bidi w:val="0"/>
                    <w:adjustRightInd/>
                    <w:snapToGrid/>
                    <w:spacing w:line="400" w:lineRule="exact"/>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含大礼堂，不含办公室内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05"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p>
              </w:tc>
              <w:tc>
                <w:tcPr>
                  <w:tcW w:w="892"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p>
              </w:tc>
              <w:tc>
                <w:tcPr>
                  <w:tcW w:w="2233" w:type="dxa"/>
                  <w:vAlign w:val="center"/>
                </w:tcPr>
                <w:p>
                  <w:pPr>
                    <w:keepNext w:val="0"/>
                    <w:keepLines w:val="0"/>
                    <w:pageBreakBefore w:val="0"/>
                    <w:wordWrap/>
                    <w:topLinePunct w:val="0"/>
                    <w:bidi w:val="0"/>
                    <w:adjustRightInd/>
                    <w:snapToGrid/>
                    <w:spacing w:line="400" w:lineRule="exact"/>
                    <w:jc w:val="center"/>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室外公共区域1</w:t>
                  </w:r>
                </w:p>
              </w:tc>
              <w:tc>
                <w:tcPr>
                  <w:tcW w:w="800" w:type="dxa"/>
                  <w:vAlign w:val="center"/>
                </w:tcPr>
                <w:p>
                  <w:pPr>
                    <w:keepNext w:val="0"/>
                    <w:keepLines w:val="0"/>
                    <w:pageBreakBefore w:val="0"/>
                    <w:wordWrap/>
                    <w:topLinePunct w:val="0"/>
                    <w:bidi w:val="0"/>
                    <w:adjustRightInd/>
                    <w:snapToGrid/>
                    <w:spacing w:line="400" w:lineRule="exact"/>
                    <w:jc w:val="center"/>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15</w:t>
                  </w:r>
                </w:p>
              </w:tc>
              <w:tc>
                <w:tcPr>
                  <w:tcW w:w="2981" w:type="dxa"/>
                  <w:vAlign w:val="center"/>
                </w:tcPr>
                <w:p>
                  <w:pPr>
                    <w:keepNext w:val="0"/>
                    <w:keepLines w:val="0"/>
                    <w:pageBreakBefore w:val="0"/>
                    <w:wordWrap/>
                    <w:topLinePunct w:val="0"/>
                    <w:bidi w:val="0"/>
                    <w:adjustRightInd/>
                    <w:snapToGrid/>
                    <w:spacing w:line="400" w:lineRule="exact"/>
                    <w:jc w:val="left"/>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含</w:t>
                  </w:r>
                  <w:r>
                    <w:rPr>
                      <w:rFonts w:hint="eastAsia" w:ascii="仿宋_GB2312" w:hAnsi="仿宋_GB2312" w:eastAsia="仿宋_GB2312" w:cs="仿宋_GB2312"/>
                      <w:color w:val="auto"/>
                      <w:kern w:val="0"/>
                      <w:sz w:val="24"/>
                    </w:rPr>
                    <w:t>垃圾</w:t>
                  </w:r>
                  <w:r>
                    <w:rPr>
                      <w:rFonts w:hint="default" w:ascii="仿宋_GB2312" w:hAnsi="仿宋_GB2312" w:eastAsia="仿宋_GB2312" w:cs="仿宋_GB2312"/>
                      <w:color w:val="auto"/>
                      <w:kern w:val="0"/>
                      <w:sz w:val="24"/>
                    </w:rPr>
                    <w:t>清理</w:t>
                  </w:r>
                  <w:r>
                    <w:rPr>
                      <w:rFonts w:hint="eastAsia" w:ascii="仿宋_GB2312" w:hAnsi="仿宋_GB2312" w:eastAsia="仿宋_GB2312" w:cs="仿宋_GB2312"/>
                      <w:color w:val="auto"/>
                      <w:kern w:val="0"/>
                      <w:sz w:val="24"/>
                    </w:rPr>
                    <w:t>、</w:t>
                  </w:r>
                  <w:r>
                    <w:rPr>
                      <w:rFonts w:hint="eastAsia" w:ascii="仿宋_GB2312" w:hAnsi="宋体" w:eastAsia="仿宋_GB2312"/>
                      <w:color w:val="auto"/>
                      <w:sz w:val="24"/>
                      <w:szCs w:val="24"/>
                    </w:rPr>
                    <w:t>化粪池及排污管网清理、有害生物综合防治等专项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05"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p>
              </w:tc>
              <w:tc>
                <w:tcPr>
                  <w:tcW w:w="892"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p>
              </w:tc>
              <w:tc>
                <w:tcPr>
                  <w:tcW w:w="2233" w:type="dxa"/>
                  <w:vAlign w:val="center"/>
                </w:tcPr>
                <w:p>
                  <w:pPr>
                    <w:keepNext w:val="0"/>
                    <w:keepLines w:val="0"/>
                    <w:pageBreakBefore w:val="0"/>
                    <w:wordWrap/>
                    <w:topLinePunct w:val="0"/>
                    <w:bidi w:val="0"/>
                    <w:adjustRightInd/>
                    <w:snapToGrid/>
                    <w:spacing w:line="400" w:lineRule="exact"/>
                    <w:jc w:val="center"/>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室外公共区域2</w:t>
                  </w:r>
                </w:p>
              </w:tc>
              <w:tc>
                <w:tcPr>
                  <w:tcW w:w="800" w:type="dxa"/>
                  <w:vAlign w:val="center"/>
                </w:tcPr>
                <w:p>
                  <w:pPr>
                    <w:keepNext w:val="0"/>
                    <w:keepLines w:val="0"/>
                    <w:pageBreakBefore w:val="0"/>
                    <w:wordWrap/>
                    <w:topLinePunct w:val="0"/>
                    <w:bidi w:val="0"/>
                    <w:adjustRightInd/>
                    <w:snapToGrid/>
                    <w:spacing w:line="400" w:lineRule="exact"/>
                    <w:jc w:val="center"/>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2981" w:type="dxa"/>
                  <w:vAlign w:val="center"/>
                </w:tcPr>
                <w:p>
                  <w:pPr>
                    <w:keepNext w:val="0"/>
                    <w:keepLines w:val="0"/>
                    <w:pageBreakBefore w:val="0"/>
                    <w:wordWrap/>
                    <w:topLinePunct w:val="0"/>
                    <w:bidi w:val="0"/>
                    <w:adjustRightInd/>
                    <w:snapToGrid/>
                    <w:spacing w:line="400" w:lineRule="exact"/>
                    <w:jc w:val="left"/>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新增东部区域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505"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p>
              </w:tc>
              <w:tc>
                <w:tcPr>
                  <w:tcW w:w="892"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p>
              </w:tc>
              <w:tc>
                <w:tcPr>
                  <w:tcW w:w="2233" w:type="dxa"/>
                  <w:vAlign w:val="center"/>
                </w:tcPr>
                <w:p>
                  <w:pPr>
                    <w:keepNext w:val="0"/>
                    <w:keepLines w:val="0"/>
                    <w:pageBreakBefore w:val="0"/>
                    <w:wordWrap/>
                    <w:topLinePunct w:val="0"/>
                    <w:bidi w:val="0"/>
                    <w:adjustRightInd/>
                    <w:snapToGrid/>
                    <w:spacing w:line="400" w:lineRule="exact"/>
                    <w:jc w:val="center"/>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开放学院</w:t>
                  </w:r>
                </w:p>
              </w:tc>
              <w:tc>
                <w:tcPr>
                  <w:tcW w:w="800" w:type="dxa"/>
                  <w:vAlign w:val="center"/>
                </w:tcPr>
                <w:p>
                  <w:pPr>
                    <w:keepNext w:val="0"/>
                    <w:keepLines w:val="0"/>
                    <w:pageBreakBefore w:val="0"/>
                    <w:wordWrap/>
                    <w:topLinePunct w:val="0"/>
                    <w:bidi w:val="0"/>
                    <w:adjustRightInd/>
                    <w:snapToGrid/>
                    <w:spacing w:line="400" w:lineRule="exact"/>
                    <w:jc w:val="center"/>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2981" w:type="dxa"/>
                  <w:vAlign w:val="center"/>
                </w:tcPr>
                <w:p>
                  <w:pPr>
                    <w:keepNext w:val="0"/>
                    <w:keepLines w:val="0"/>
                    <w:pageBreakBefore w:val="0"/>
                    <w:wordWrap/>
                    <w:topLinePunct w:val="0"/>
                    <w:bidi w:val="0"/>
                    <w:adjustRightInd/>
                    <w:snapToGrid/>
                    <w:spacing w:line="400" w:lineRule="exact"/>
                    <w:jc w:val="left"/>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含卫生间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5"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p>
              </w:tc>
              <w:tc>
                <w:tcPr>
                  <w:tcW w:w="3125" w:type="dxa"/>
                  <w:gridSpan w:val="2"/>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小计</w:t>
                  </w:r>
                </w:p>
              </w:tc>
              <w:tc>
                <w:tcPr>
                  <w:tcW w:w="800" w:type="dxa"/>
                  <w:vAlign w:val="center"/>
                </w:tcPr>
                <w:p>
                  <w:pPr>
                    <w:keepNext w:val="0"/>
                    <w:keepLines w:val="0"/>
                    <w:pageBreakBefore w:val="0"/>
                    <w:widowControl/>
                    <w:wordWrap/>
                    <w:topLinePunct w:val="0"/>
                    <w:bidi w:val="0"/>
                    <w:adjustRightInd/>
                    <w:snapToGrid/>
                    <w:spacing w:line="400" w:lineRule="exact"/>
                    <w:jc w:val="center"/>
                    <w:textAlignment w:val="auto"/>
                    <w:rPr>
                      <w:rFonts w:hint="eastAsia" w:ascii="仿宋_GB2312" w:hAnsi="仿宋_GB2312" w:eastAsia="仿宋_GB2312" w:cs="仿宋_GB2312"/>
                      <w:bCs/>
                      <w:color w:val="auto"/>
                      <w:kern w:val="0"/>
                      <w:sz w:val="24"/>
                      <w:lang w:eastAsia="zh-CN"/>
                    </w:rPr>
                  </w:pPr>
                  <w:r>
                    <w:rPr>
                      <w:rFonts w:ascii="仿宋_GB2312" w:hAnsi="仿宋_GB2312" w:eastAsia="仿宋_GB2312" w:cs="仿宋_GB2312"/>
                      <w:b/>
                      <w:bCs w:val="0"/>
                      <w:color w:val="auto"/>
                      <w:kern w:val="0"/>
                      <w:sz w:val="24"/>
                    </w:rPr>
                    <w:t>4</w:t>
                  </w:r>
                  <w:r>
                    <w:rPr>
                      <w:rFonts w:hint="eastAsia" w:ascii="仿宋_GB2312" w:hAnsi="仿宋_GB2312" w:eastAsia="仿宋_GB2312" w:cs="仿宋_GB2312"/>
                      <w:b/>
                      <w:bCs w:val="0"/>
                      <w:color w:val="auto"/>
                      <w:kern w:val="0"/>
                      <w:sz w:val="24"/>
                      <w:lang w:val="en-US" w:eastAsia="zh-CN"/>
                    </w:rPr>
                    <w:t>2</w:t>
                  </w:r>
                </w:p>
              </w:tc>
              <w:tc>
                <w:tcPr>
                  <w:tcW w:w="2981" w:type="dxa"/>
                  <w:vAlign w:val="center"/>
                </w:tcPr>
                <w:p>
                  <w:pPr>
                    <w:keepNext w:val="0"/>
                    <w:keepLines w:val="0"/>
                    <w:pageBreakBefore w:val="0"/>
                    <w:wordWrap/>
                    <w:topLinePunct w:val="0"/>
                    <w:bidi w:val="0"/>
                    <w:adjustRightInd/>
                    <w:snapToGrid/>
                    <w:spacing w:line="400" w:lineRule="exact"/>
                    <w:ind w:firstLine="240" w:firstLineChars="100"/>
                    <w:jc w:val="center"/>
                    <w:textAlignment w:val="auto"/>
                    <w:rPr>
                      <w:rFonts w:ascii="仿宋_GB2312" w:hAnsi="仿宋_GB2312" w:eastAsia="仿宋_GB2312" w:cs="仿宋_GB2312"/>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5" w:type="dxa"/>
                  <w:vMerge w:val="restart"/>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r>
                    <w:rPr>
                      <w:rFonts w:hint="eastAsia" w:ascii="仿宋_GB2312" w:hAnsi="仿宋_GB2312" w:eastAsia="仿宋_GB2312" w:cs="仿宋_GB2312"/>
                      <w:bCs/>
                      <w:color w:val="auto"/>
                      <w:kern w:val="0"/>
                      <w:sz w:val="24"/>
                    </w:rPr>
                    <w:t>4</w:t>
                  </w:r>
                </w:p>
              </w:tc>
              <w:tc>
                <w:tcPr>
                  <w:tcW w:w="892" w:type="dxa"/>
                  <w:vMerge w:val="restart"/>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绿化</w:t>
                  </w:r>
                </w:p>
              </w:tc>
              <w:tc>
                <w:tcPr>
                  <w:tcW w:w="2233"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宋体" w:eastAsia="仿宋_GB2312"/>
                      <w:color w:val="auto"/>
                      <w:sz w:val="24"/>
                      <w:szCs w:val="24"/>
                    </w:rPr>
                  </w:pPr>
                  <w:r>
                    <w:rPr>
                      <w:rFonts w:hint="eastAsia" w:ascii="仿宋_GB2312" w:hAnsi="宋体" w:eastAsia="仿宋_GB2312"/>
                      <w:color w:val="auto"/>
                      <w:sz w:val="24"/>
                      <w:szCs w:val="24"/>
                    </w:rPr>
                    <w:t>绿化养护管理员</w:t>
                  </w:r>
                </w:p>
              </w:tc>
              <w:tc>
                <w:tcPr>
                  <w:tcW w:w="800"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r>
                    <w:rPr>
                      <w:rFonts w:ascii="仿宋_GB2312" w:hAnsi="仿宋_GB2312" w:eastAsia="仿宋_GB2312" w:cs="仿宋_GB2312"/>
                      <w:bCs/>
                      <w:color w:val="auto"/>
                      <w:kern w:val="0"/>
                      <w:sz w:val="24"/>
                    </w:rPr>
                    <w:t>7</w:t>
                  </w:r>
                </w:p>
              </w:tc>
              <w:tc>
                <w:tcPr>
                  <w:tcW w:w="2981" w:type="dxa"/>
                  <w:vAlign w:val="center"/>
                </w:tcPr>
                <w:p>
                  <w:pPr>
                    <w:keepNext w:val="0"/>
                    <w:keepLines w:val="0"/>
                    <w:pageBreakBefore w:val="0"/>
                    <w:wordWrap/>
                    <w:topLinePunct w:val="0"/>
                    <w:bidi w:val="0"/>
                    <w:adjustRightInd/>
                    <w:snapToGrid/>
                    <w:spacing w:line="400" w:lineRule="exact"/>
                    <w:jc w:val="left"/>
                    <w:textAlignment w:val="auto"/>
                    <w:rPr>
                      <w:rFonts w:ascii="仿宋_GB2312" w:hAnsi="仿宋_GB2312" w:eastAsia="仿宋_GB2312" w:cs="仿宋_GB2312"/>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5"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p>
              </w:tc>
              <w:tc>
                <w:tcPr>
                  <w:tcW w:w="892"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p>
              </w:tc>
              <w:tc>
                <w:tcPr>
                  <w:tcW w:w="2233"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宋体" w:eastAsia="仿宋_GB2312"/>
                      <w:color w:val="auto"/>
                      <w:sz w:val="24"/>
                      <w:szCs w:val="24"/>
                    </w:rPr>
                  </w:pPr>
                  <w:r>
                    <w:rPr>
                      <w:rFonts w:hint="eastAsia" w:ascii="仿宋_GB2312" w:hAnsi="宋体" w:eastAsia="仿宋_GB2312"/>
                      <w:color w:val="auto"/>
                      <w:sz w:val="24"/>
                      <w:szCs w:val="24"/>
                    </w:rPr>
                    <w:t>茶园及绿植养护员</w:t>
                  </w:r>
                </w:p>
              </w:tc>
              <w:tc>
                <w:tcPr>
                  <w:tcW w:w="800"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r>
                    <w:rPr>
                      <w:rFonts w:hint="eastAsia" w:ascii="仿宋_GB2312" w:hAnsi="仿宋_GB2312" w:eastAsia="仿宋_GB2312" w:cs="仿宋_GB2312"/>
                      <w:bCs/>
                      <w:color w:val="auto"/>
                      <w:kern w:val="0"/>
                      <w:sz w:val="24"/>
                    </w:rPr>
                    <w:t>1</w:t>
                  </w:r>
                </w:p>
              </w:tc>
              <w:tc>
                <w:tcPr>
                  <w:tcW w:w="2981" w:type="dxa"/>
                  <w:vAlign w:val="center"/>
                </w:tcPr>
                <w:p>
                  <w:pPr>
                    <w:keepNext w:val="0"/>
                    <w:keepLines w:val="0"/>
                    <w:pageBreakBefore w:val="0"/>
                    <w:wordWrap/>
                    <w:topLinePunct w:val="0"/>
                    <w:bidi w:val="0"/>
                    <w:adjustRightInd/>
                    <w:snapToGrid/>
                    <w:spacing w:line="400" w:lineRule="exact"/>
                    <w:jc w:val="left"/>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含室内绿植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5"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p>
              </w:tc>
              <w:tc>
                <w:tcPr>
                  <w:tcW w:w="3125" w:type="dxa"/>
                  <w:gridSpan w:val="2"/>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宋体" w:eastAsia="仿宋_GB2312"/>
                      <w:color w:val="auto"/>
                      <w:sz w:val="24"/>
                      <w:szCs w:val="24"/>
                    </w:rPr>
                  </w:pPr>
                  <w:r>
                    <w:rPr>
                      <w:rFonts w:hint="eastAsia" w:ascii="仿宋_GB2312" w:hAnsi="仿宋_GB2312" w:eastAsia="仿宋_GB2312" w:cs="仿宋_GB2312"/>
                      <w:color w:val="auto"/>
                      <w:kern w:val="0"/>
                      <w:sz w:val="24"/>
                    </w:rPr>
                    <w:t>小计</w:t>
                  </w:r>
                </w:p>
              </w:tc>
              <w:tc>
                <w:tcPr>
                  <w:tcW w:w="800"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r>
                    <w:rPr>
                      <w:rFonts w:ascii="仿宋_GB2312" w:hAnsi="仿宋_GB2312" w:eastAsia="仿宋_GB2312" w:cs="仿宋_GB2312"/>
                      <w:b/>
                      <w:bCs w:val="0"/>
                      <w:color w:val="auto"/>
                      <w:kern w:val="0"/>
                      <w:sz w:val="24"/>
                    </w:rPr>
                    <w:t>8</w:t>
                  </w:r>
                </w:p>
              </w:tc>
              <w:tc>
                <w:tcPr>
                  <w:tcW w:w="2981" w:type="dxa"/>
                  <w:vAlign w:val="center"/>
                </w:tcPr>
                <w:p>
                  <w:pPr>
                    <w:keepNext w:val="0"/>
                    <w:keepLines w:val="0"/>
                    <w:pageBreakBefore w:val="0"/>
                    <w:wordWrap/>
                    <w:topLinePunct w:val="0"/>
                    <w:bidi w:val="0"/>
                    <w:adjustRightInd/>
                    <w:snapToGrid/>
                    <w:spacing w:line="400" w:lineRule="exact"/>
                    <w:jc w:val="left"/>
                    <w:textAlignment w:val="auto"/>
                    <w:rPr>
                      <w:rFonts w:ascii="仿宋_GB2312" w:hAnsi="仿宋_GB2312" w:eastAsia="仿宋_GB2312" w:cs="仿宋_GB2312"/>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05" w:type="dxa"/>
                  <w:vMerge w:val="restart"/>
                  <w:tcBorders>
                    <w:bottom w:val="single" w:color="auto" w:sz="4" w:space="0"/>
                  </w:tcBorders>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5</w:t>
                  </w:r>
                </w:p>
              </w:tc>
              <w:tc>
                <w:tcPr>
                  <w:tcW w:w="892" w:type="dxa"/>
                  <w:vMerge w:val="restart"/>
                  <w:vAlign w:val="center"/>
                </w:tcPr>
                <w:p>
                  <w:pPr>
                    <w:keepNext w:val="0"/>
                    <w:keepLines w:val="0"/>
                    <w:pageBreakBefore w:val="0"/>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r>
                    <w:rPr>
                      <w:rFonts w:hint="eastAsia" w:ascii="仿宋_GB2312" w:hAnsi="仿宋_GB2312" w:eastAsia="仿宋_GB2312" w:cs="仿宋_GB2312"/>
                      <w:color w:val="auto"/>
                      <w:sz w:val="24"/>
                      <w:lang w:val="en-US" w:eastAsia="zh-CN"/>
                    </w:rPr>
                    <w:t>学生公寓（学员公寓）</w:t>
                  </w:r>
                  <w:r>
                    <w:rPr>
                      <w:rFonts w:hint="eastAsia" w:ascii="仿宋_GB2312" w:hAnsi="仿宋_GB2312" w:eastAsia="仿宋_GB2312" w:cs="仿宋_GB2312"/>
                      <w:color w:val="auto"/>
                      <w:sz w:val="24"/>
                    </w:rPr>
                    <w:t>管理</w:t>
                  </w:r>
                </w:p>
              </w:tc>
              <w:tc>
                <w:tcPr>
                  <w:tcW w:w="2233" w:type="dxa"/>
                  <w:tcBorders>
                    <w:bottom w:val="single" w:color="auto" w:sz="4" w:space="0"/>
                  </w:tcBorders>
                  <w:vAlign w:val="center"/>
                </w:tcPr>
                <w:p>
                  <w:pPr>
                    <w:keepNext w:val="0"/>
                    <w:keepLines w:val="0"/>
                    <w:pageBreakBefore w:val="0"/>
                    <w:widowControl/>
                    <w:wordWrap/>
                    <w:topLinePunct w:val="0"/>
                    <w:bidi w:val="0"/>
                    <w:adjustRightInd/>
                    <w:snapToGrid/>
                    <w:spacing w:line="400" w:lineRule="exact"/>
                    <w:jc w:val="center"/>
                    <w:textAlignment w:val="auto"/>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kern w:val="0"/>
                      <w:sz w:val="24"/>
                      <w:lang w:eastAsia="zh-CN"/>
                    </w:rPr>
                    <w:t>学生公寓</w:t>
                  </w:r>
                  <w:r>
                    <w:rPr>
                      <w:rFonts w:hint="eastAsia" w:ascii="仿宋_GB2312" w:hAnsi="仿宋_GB2312" w:eastAsia="仿宋_GB2312" w:cs="仿宋_GB2312"/>
                      <w:color w:val="auto"/>
                      <w:kern w:val="0"/>
                      <w:sz w:val="24"/>
                    </w:rPr>
                    <w:t>管理员</w:t>
                  </w:r>
                  <w:r>
                    <w:rPr>
                      <w:rFonts w:hint="eastAsia" w:ascii="仿宋_GB2312" w:hAnsi="仿宋_GB2312" w:eastAsia="仿宋_GB2312" w:cs="仿宋_GB2312"/>
                      <w:color w:val="auto"/>
                      <w:kern w:val="0"/>
                      <w:sz w:val="24"/>
                      <w:lang w:eastAsia="zh-CN"/>
                    </w:rPr>
                    <w:t>（</w:t>
                  </w:r>
                  <w:r>
                    <w:rPr>
                      <w:rFonts w:hint="eastAsia" w:ascii="仿宋_GB2312" w:hAnsi="仿宋_GB2312" w:eastAsia="仿宋_GB2312" w:cs="仿宋_GB2312"/>
                      <w:color w:val="auto"/>
                      <w:sz w:val="24"/>
                    </w:rPr>
                    <w:t>第1-9栋楼6个出口，每个出口4</w:t>
                  </w:r>
                  <w:r>
                    <w:rPr>
                      <w:rFonts w:hint="eastAsia" w:ascii="仿宋_GB2312" w:hAnsi="仿宋_GB2312" w:eastAsia="仿宋_GB2312" w:cs="仿宋_GB2312"/>
                      <w:color w:val="auto"/>
                      <w:kern w:val="0"/>
                      <w:sz w:val="24"/>
                    </w:rPr>
                    <w:t>名</w:t>
                  </w:r>
                  <w:r>
                    <w:rPr>
                      <w:rFonts w:hint="eastAsia" w:ascii="仿宋_GB2312" w:hAnsi="仿宋_GB2312" w:eastAsia="仿宋_GB2312" w:cs="仿宋_GB2312"/>
                      <w:color w:val="auto"/>
                      <w:kern w:val="0"/>
                      <w:sz w:val="24"/>
                      <w:lang w:eastAsia="zh-CN"/>
                    </w:rPr>
                    <w:t>）</w:t>
                  </w:r>
                </w:p>
              </w:tc>
              <w:tc>
                <w:tcPr>
                  <w:tcW w:w="800" w:type="dxa"/>
                  <w:tcBorders>
                    <w:bottom w:val="single" w:color="auto" w:sz="4" w:space="0"/>
                  </w:tcBorders>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24</w:t>
                  </w:r>
                </w:p>
              </w:tc>
              <w:tc>
                <w:tcPr>
                  <w:tcW w:w="2981" w:type="dxa"/>
                  <w:vAlign w:val="center"/>
                </w:tcPr>
                <w:p>
                  <w:pPr>
                    <w:keepNext w:val="0"/>
                    <w:keepLines w:val="0"/>
                    <w:pageBreakBefore w:val="0"/>
                    <w:wordWrap/>
                    <w:topLinePunct w:val="0"/>
                    <w:bidi w:val="0"/>
                    <w:adjustRightInd/>
                    <w:snapToGrid/>
                    <w:spacing w:line="400" w:lineRule="exact"/>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实行24小时三班轮值制，执行学校的</w:t>
                  </w:r>
                  <w:r>
                    <w:rPr>
                      <w:rFonts w:hint="eastAsia" w:ascii="仿宋_GB2312" w:hAnsi="仿宋_GB2312" w:eastAsia="仿宋_GB2312" w:cs="仿宋_GB2312"/>
                      <w:color w:val="auto"/>
                      <w:sz w:val="24"/>
                      <w:lang w:eastAsia="zh-CN"/>
                    </w:rPr>
                    <w:t>学生公寓</w:t>
                  </w:r>
                  <w:r>
                    <w:rPr>
                      <w:rFonts w:hint="eastAsia" w:ascii="仿宋_GB2312" w:hAnsi="仿宋_GB2312" w:eastAsia="仿宋_GB2312" w:cs="仿宋_GB2312"/>
                      <w:color w:val="auto"/>
                      <w:sz w:val="24"/>
                    </w:rPr>
                    <w:t>管理规定、安全保卫制度和卫生保洁要求，协助做好</w:t>
                  </w:r>
                  <w:r>
                    <w:rPr>
                      <w:rFonts w:hint="eastAsia" w:ascii="仿宋_GB2312" w:hAnsi="仿宋_GB2312" w:eastAsia="仿宋_GB2312" w:cs="仿宋_GB2312"/>
                      <w:color w:val="auto"/>
                      <w:sz w:val="24"/>
                      <w:lang w:eastAsia="zh-CN"/>
                    </w:rPr>
                    <w:t>学生公寓</w:t>
                  </w:r>
                  <w:r>
                    <w:rPr>
                      <w:rFonts w:hint="eastAsia" w:ascii="仿宋_GB2312" w:hAnsi="仿宋_GB2312" w:eastAsia="仿宋_GB2312" w:cs="仿宋_GB2312"/>
                      <w:color w:val="auto"/>
                      <w:sz w:val="24"/>
                    </w:rPr>
                    <w:t>文化建设和学生的教育工作。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505" w:type="dxa"/>
                  <w:vMerge w:val="continue"/>
                  <w:tcBorders>
                    <w:bottom w:val="single" w:color="auto" w:sz="4" w:space="0"/>
                  </w:tcBorders>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p>
              </w:tc>
              <w:tc>
                <w:tcPr>
                  <w:tcW w:w="892" w:type="dxa"/>
                  <w:vMerge w:val="continue"/>
                  <w:vAlign w:val="center"/>
                </w:tcPr>
                <w:p>
                  <w:pPr>
                    <w:keepNext w:val="0"/>
                    <w:keepLines w:val="0"/>
                    <w:pageBreakBefore w:val="0"/>
                    <w:wordWrap/>
                    <w:topLinePunct w:val="0"/>
                    <w:bidi w:val="0"/>
                    <w:adjustRightInd/>
                    <w:snapToGrid/>
                    <w:spacing w:line="400" w:lineRule="exact"/>
                    <w:jc w:val="center"/>
                    <w:textAlignment w:val="auto"/>
                    <w:rPr>
                      <w:rFonts w:ascii="仿宋_GB2312" w:hAnsi="仿宋_GB2312" w:eastAsia="仿宋_GB2312" w:cs="仿宋_GB2312"/>
                      <w:color w:val="auto"/>
                      <w:sz w:val="24"/>
                    </w:rPr>
                  </w:pPr>
                </w:p>
              </w:tc>
              <w:tc>
                <w:tcPr>
                  <w:tcW w:w="2233"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学员公寓管理人员</w:t>
                  </w:r>
                </w:p>
              </w:tc>
              <w:tc>
                <w:tcPr>
                  <w:tcW w:w="800"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4</w:t>
                  </w:r>
                </w:p>
              </w:tc>
              <w:tc>
                <w:tcPr>
                  <w:tcW w:w="2981" w:type="dxa"/>
                </w:tcPr>
                <w:p>
                  <w:pPr>
                    <w:keepNext w:val="0"/>
                    <w:keepLines w:val="0"/>
                    <w:pageBreakBefore w:val="0"/>
                    <w:wordWrap/>
                    <w:topLinePunct w:val="0"/>
                    <w:bidi w:val="0"/>
                    <w:adjustRightInd/>
                    <w:snapToGrid/>
                    <w:spacing w:line="400" w:lineRule="exact"/>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实行24小时三班轮值制，执行学员公寓管理规定、接待要求、管理细则、安全保卫制度和卫生保洁要求，协助做好学员公寓文化建设和学生的教育工作。执行学校的留</w:t>
                  </w:r>
                  <w:r>
                    <w:rPr>
                      <w:rFonts w:hint="eastAsia" w:ascii="仿宋_GB2312" w:hAnsi="仿宋_GB2312" w:eastAsia="仿宋_GB2312" w:cs="仿宋_GB2312"/>
                      <w:color w:val="auto"/>
                      <w:sz w:val="24"/>
                      <w:lang w:eastAsia="zh-CN"/>
                    </w:rPr>
                    <w:t>学生公寓</w:t>
                  </w:r>
                  <w:r>
                    <w:rPr>
                      <w:rFonts w:hint="eastAsia" w:ascii="仿宋_GB2312" w:hAnsi="仿宋_GB2312" w:eastAsia="仿宋_GB2312" w:cs="仿宋_GB2312"/>
                      <w:color w:val="auto"/>
                      <w:sz w:val="24"/>
                    </w:rPr>
                    <w:t>、培训学员管理规定、安全保卫制度和卫生保洁要求，协助做好留</w:t>
                  </w:r>
                  <w:r>
                    <w:rPr>
                      <w:rFonts w:hint="eastAsia" w:ascii="仿宋_GB2312" w:hAnsi="仿宋_GB2312" w:eastAsia="仿宋_GB2312" w:cs="仿宋_GB2312"/>
                      <w:color w:val="auto"/>
                      <w:sz w:val="24"/>
                      <w:lang w:eastAsia="zh-CN"/>
                    </w:rPr>
                    <w:t>学生公寓</w:t>
                  </w:r>
                  <w:r>
                    <w:rPr>
                      <w:rFonts w:hint="eastAsia" w:ascii="仿宋_GB2312" w:hAnsi="仿宋_GB2312" w:eastAsia="仿宋_GB2312" w:cs="仿宋_GB2312"/>
                      <w:color w:val="auto"/>
                      <w:sz w:val="24"/>
                    </w:rPr>
                    <w:t>、培训学员公寓文化建设和学生的教育工作。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505" w:type="dxa"/>
                  <w:tcBorders>
                    <w:bottom w:val="single" w:color="auto" w:sz="4" w:space="0"/>
                  </w:tcBorders>
                  <w:vAlign w:val="center"/>
                </w:tcPr>
                <w:p>
                  <w:pPr>
                    <w:keepNext w:val="0"/>
                    <w:keepLines w:val="0"/>
                    <w:pageBreakBefore w:val="0"/>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p>
              </w:tc>
              <w:tc>
                <w:tcPr>
                  <w:tcW w:w="3125" w:type="dxa"/>
                  <w:gridSpan w:val="2"/>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小计</w:t>
                  </w:r>
                </w:p>
              </w:tc>
              <w:tc>
                <w:tcPr>
                  <w:tcW w:w="800"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r>
                    <w:rPr>
                      <w:rFonts w:ascii="仿宋_GB2312" w:hAnsi="仿宋_GB2312" w:eastAsia="仿宋_GB2312" w:cs="仿宋_GB2312"/>
                      <w:b/>
                      <w:bCs w:val="0"/>
                      <w:color w:val="auto"/>
                      <w:kern w:val="0"/>
                      <w:sz w:val="24"/>
                    </w:rPr>
                    <w:t>2</w:t>
                  </w:r>
                  <w:r>
                    <w:rPr>
                      <w:rFonts w:hint="eastAsia" w:ascii="仿宋_GB2312" w:hAnsi="仿宋_GB2312" w:eastAsia="仿宋_GB2312" w:cs="仿宋_GB2312"/>
                      <w:b/>
                      <w:bCs w:val="0"/>
                      <w:color w:val="auto"/>
                      <w:kern w:val="0"/>
                      <w:sz w:val="24"/>
                    </w:rPr>
                    <w:t>8</w:t>
                  </w:r>
                </w:p>
              </w:tc>
              <w:tc>
                <w:tcPr>
                  <w:tcW w:w="2981" w:type="dxa"/>
                </w:tcPr>
                <w:p>
                  <w:pPr>
                    <w:keepNext w:val="0"/>
                    <w:keepLines w:val="0"/>
                    <w:pageBreakBefore w:val="0"/>
                    <w:wordWrap/>
                    <w:topLinePunct w:val="0"/>
                    <w:bidi w:val="0"/>
                    <w:adjustRightInd/>
                    <w:snapToGrid/>
                    <w:spacing w:line="400" w:lineRule="exact"/>
                    <w:textAlignment w:val="auto"/>
                    <w:rPr>
                      <w:rFonts w:ascii="仿宋_GB2312" w:hAnsi="仿宋_GB2312" w:eastAsia="仿宋_GB2312" w:cs="仿宋_GB2312"/>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505"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p>
              </w:tc>
              <w:tc>
                <w:tcPr>
                  <w:tcW w:w="3125" w:type="dxa"/>
                  <w:gridSpan w:val="2"/>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合计</w:t>
                  </w:r>
                </w:p>
              </w:tc>
              <w:tc>
                <w:tcPr>
                  <w:tcW w:w="800" w:type="dxa"/>
                  <w:vAlign w:val="center"/>
                </w:tcPr>
                <w:p>
                  <w:pPr>
                    <w:keepNext w:val="0"/>
                    <w:keepLines w:val="0"/>
                    <w:pageBreakBefore w:val="0"/>
                    <w:widowControl/>
                    <w:wordWrap/>
                    <w:topLinePunct w:val="0"/>
                    <w:bidi w:val="0"/>
                    <w:adjustRightInd/>
                    <w:snapToGrid/>
                    <w:spacing w:line="400" w:lineRule="exact"/>
                    <w:jc w:val="center"/>
                    <w:textAlignment w:val="auto"/>
                    <w:rPr>
                      <w:rFonts w:hint="eastAsia" w:ascii="仿宋_GB2312" w:hAnsi="仿宋_GB2312" w:eastAsia="仿宋_GB2312" w:cs="仿宋_GB2312"/>
                      <w:color w:val="auto"/>
                      <w:kern w:val="0"/>
                      <w:sz w:val="24"/>
                      <w:lang w:eastAsia="zh-CN"/>
                    </w:rPr>
                  </w:pPr>
                  <w:r>
                    <w:rPr>
                      <w:rFonts w:ascii="仿宋_GB2312" w:hAnsi="仿宋_GB2312" w:eastAsia="仿宋_GB2312" w:cs="仿宋_GB2312"/>
                      <w:b/>
                      <w:bCs/>
                      <w:color w:val="auto"/>
                      <w:kern w:val="0"/>
                      <w:sz w:val="24"/>
                    </w:rPr>
                    <w:t>9</w:t>
                  </w:r>
                  <w:r>
                    <w:rPr>
                      <w:rFonts w:hint="eastAsia" w:ascii="仿宋_GB2312" w:hAnsi="仿宋_GB2312" w:eastAsia="仿宋_GB2312" w:cs="仿宋_GB2312"/>
                      <w:b/>
                      <w:bCs/>
                      <w:color w:val="auto"/>
                      <w:kern w:val="0"/>
                      <w:sz w:val="24"/>
                      <w:lang w:val="en-US" w:eastAsia="zh-CN"/>
                    </w:rPr>
                    <w:t>3</w:t>
                  </w:r>
                </w:p>
              </w:tc>
              <w:tc>
                <w:tcPr>
                  <w:tcW w:w="2981" w:type="dxa"/>
                  <w:vAlign w:val="center"/>
                </w:tcPr>
                <w:p>
                  <w:pPr>
                    <w:keepNext w:val="0"/>
                    <w:keepLines w:val="0"/>
                    <w:pageBreakBefore w:val="0"/>
                    <w:wordWrap/>
                    <w:topLinePunct w:val="0"/>
                    <w:bidi w:val="0"/>
                    <w:adjustRightInd/>
                    <w:snapToGrid/>
                    <w:spacing w:line="400" w:lineRule="exact"/>
                    <w:jc w:val="left"/>
                    <w:textAlignment w:val="auto"/>
                    <w:rPr>
                      <w:rFonts w:ascii="仿宋_GB2312" w:hAnsi="仿宋_GB2312" w:eastAsia="仿宋_GB2312" w:cs="仿宋_GB2312"/>
                      <w:color w:val="auto"/>
                      <w:sz w:val="24"/>
                    </w:rPr>
                  </w:pPr>
                  <w:r>
                    <w:rPr>
                      <w:rFonts w:hint="eastAsia" w:ascii="仿宋_GB2312" w:hAnsi="宋体" w:eastAsia="仿宋_GB2312" w:cs="宋体"/>
                      <w:color w:val="auto"/>
                      <w:sz w:val="24"/>
                      <w:szCs w:val="24"/>
                    </w:rPr>
                    <w:t>各类别人员不得兼职兼岗</w:t>
                  </w:r>
                </w:p>
              </w:tc>
            </w:tr>
          </w:tbl>
          <w:p>
            <w:pPr>
              <w:keepNext w:val="0"/>
              <w:keepLines w:val="0"/>
              <w:pageBreakBefore w:val="0"/>
              <w:wordWrap/>
              <w:topLinePunct w:val="0"/>
              <w:bidi w:val="0"/>
              <w:adjustRightInd/>
              <w:snapToGrid/>
              <w:spacing w:line="400" w:lineRule="exact"/>
              <w:ind w:firstLine="480" w:firstLineChars="200"/>
              <w:textAlignment w:val="auto"/>
              <w:rPr>
                <w:rFonts w:ascii="仿宋_GB2312" w:hAnsi="宋体" w:eastAsia="仿宋_GB2312" w:cs="宋体"/>
                <w:bCs/>
                <w:color w:val="auto"/>
                <w:sz w:val="24"/>
                <w:szCs w:val="24"/>
              </w:rPr>
            </w:pPr>
          </w:p>
          <w:p>
            <w:pPr>
              <w:keepNext w:val="0"/>
              <w:keepLines w:val="0"/>
              <w:pageBreakBefore w:val="0"/>
              <w:wordWrap/>
              <w:topLinePunct w:val="0"/>
              <w:bidi w:val="0"/>
              <w:adjustRightInd/>
              <w:snapToGrid/>
              <w:spacing w:line="400" w:lineRule="exact"/>
              <w:ind w:firstLine="482" w:firstLineChars="200"/>
              <w:textAlignment w:val="auto"/>
              <w:rPr>
                <w:rFonts w:hint="default" w:ascii="仿宋_GB2312" w:hAnsi="宋体" w:eastAsia="仿宋_GB2312" w:cs="宋体"/>
                <w:b/>
                <w:bCs/>
                <w:color w:val="auto"/>
                <w:sz w:val="24"/>
                <w:szCs w:val="24"/>
                <w:lang w:val="en-US"/>
              </w:rPr>
            </w:pPr>
            <w:r>
              <w:rPr>
                <w:rFonts w:hint="eastAsia" w:ascii="仿宋_GB2312" w:hAnsi="宋体" w:eastAsia="仿宋_GB2312" w:cs="宋体"/>
                <w:b/>
                <w:bCs/>
                <w:color w:val="auto"/>
                <w:sz w:val="24"/>
                <w:szCs w:val="24"/>
              </w:rPr>
              <w:t>（二）</w:t>
            </w:r>
            <w:r>
              <w:rPr>
                <w:rFonts w:hint="eastAsia" w:ascii="仿宋_GB2312" w:hAnsi="宋体" w:eastAsia="仿宋_GB2312" w:cs="宋体"/>
                <w:b/>
                <w:bCs/>
                <w:color w:val="auto"/>
                <w:sz w:val="24"/>
                <w:szCs w:val="24"/>
                <w:lang w:val="en-US" w:eastAsia="zh-CN"/>
              </w:rPr>
              <w:t>岗位人员要求</w:t>
            </w:r>
          </w:p>
          <w:p>
            <w:pPr>
              <w:pStyle w:val="216"/>
              <w:keepNext w:val="0"/>
              <w:keepLines w:val="0"/>
              <w:pageBreakBefore w:val="0"/>
              <w:wordWrap/>
              <w:topLinePunct w:val="0"/>
              <w:bidi w:val="0"/>
              <w:adjustRightInd/>
              <w:snapToGrid/>
              <w:spacing w:line="400" w:lineRule="exact"/>
              <w:ind w:firstLine="482" w:firstLineChars="200"/>
              <w:textAlignment w:val="auto"/>
              <w:rPr>
                <w:rFonts w:hint="default" w:ascii="仿宋_GB2312" w:hAnsi="仿宋_GB2312" w:eastAsia="仿宋_GB2312" w:cs="仿宋_GB2312"/>
                <w:color w:val="auto"/>
                <w:lang w:val="en-US" w:eastAsia="zh-CN"/>
              </w:rPr>
            </w:pPr>
            <w:r>
              <w:rPr>
                <w:rStyle w:val="118"/>
                <w:rFonts w:hint="default" w:ascii="仿宋_GB2312" w:hAnsi="仿宋_GB2312" w:eastAsia="仿宋_GB2312" w:cs="仿宋_GB2312"/>
                <w:b/>
                <w:bCs/>
                <w:color w:val="auto"/>
                <w:sz w:val="24"/>
                <w:szCs w:val="24"/>
              </w:rPr>
              <w:t>1.</w:t>
            </w:r>
            <w:r>
              <w:rPr>
                <w:rStyle w:val="118"/>
                <w:rFonts w:hint="eastAsia" w:ascii="仿宋_GB2312" w:hAnsi="仿宋_GB2312" w:eastAsia="仿宋_GB2312" w:cs="仿宋_GB2312"/>
                <w:b/>
                <w:bCs/>
                <w:color w:val="auto"/>
                <w:sz w:val="24"/>
                <w:szCs w:val="24"/>
                <w:lang w:val="en-US" w:eastAsia="zh-CN"/>
              </w:rPr>
              <w:t>项目经理</w:t>
            </w:r>
            <w:r>
              <w:rPr>
                <w:rStyle w:val="118"/>
                <w:rFonts w:hint="eastAsia" w:ascii="仿宋_GB2312" w:hAnsi="仿宋_GB2312" w:eastAsia="仿宋_GB2312" w:cs="仿宋_GB2312"/>
                <w:b/>
                <w:bCs/>
                <w:color w:val="auto"/>
                <w:sz w:val="24"/>
                <w:szCs w:val="24"/>
                <w:lang w:eastAsia="zh-CN"/>
              </w:rPr>
              <w:t>（</w:t>
            </w:r>
            <w:r>
              <w:rPr>
                <w:rStyle w:val="118"/>
                <w:rFonts w:hint="eastAsia" w:ascii="仿宋_GB2312" w:hAnsi="仿宋_GB2312" w:eastAsia="仿宋_GB2312" w:cs="仿宋_GB2312"/>
                <w:b/>
                <w:bCs/>
                <w:color w:val="auto"/>
                <w:sz w:val="24"/>
                <w:szCs w:val="24"/>
                <w:lang w:val="en-US" w:eastAsia="zh-CN"/>
              </w:rPr>
              <w:t>2人）：</w:t>
            </w:r>
          </w:p>
          <w:p>
            <w:pPr>
              <w:pStyle w:val="216"/>
              <w:keepNext w:val="0"/>
              <w:keepLines w:val="0"/>
              <w:pageBreakBefore w:val="0"/>
              <w:wordWrap/>
              <w:topLinePunct w:val="0"/>
              <w:bidi w:val="0"/>
              <w:adjustRightInd/>
              <w:snapToGrid/>
              <w:spacing w:line="400" w:lineRule="exact"/>
              <w:ind w:firstLine="480" w:firstLineChars="200"/>
              <w:textAlignment w:val="auto"/>
              <w:rPr>
                <w:rFonts w:ascii="仿宋_GB2312" w:hAnsi="仿宋_GB2312" w:eastAsia="仿宋_GB2312" w:cs="仿宋_GB2312"/>
                <w:color w:val="auto"/>
              </w:rPr>
            </w:pPr>
            <w:r>
              <w:rPr>
                <w:rFonts w:hint="eastAsia" w:ascii="仿宋_GB2312" w:hAnsi="仿宋_GB2312" w:eastAsia="仿宋_GB2312" w:cs="仿宋_GB2312"/>
                <w:color w:val="auto"/>
              </w:rPr>
              <w:t>58</w:t>
            </w:r>
            <w:r>
              <w:rPr>
                <w:rFonts w:hint="eastAsia" w:ascii="仿宋_GB2312" w:hAnsi="仿宋_GB2312" w:eastAsia="仿宋_GB2312" w:cs="仿宋_GB2312"/>
                <w:color w:val="auto"/>
                <w:lang w:val="en-US" w:eastAsia="zh-CN"/>
              </w:rPr>
              <w:t>周岁</w:t>
            </w:r>
            <w:r>
              <w:rPr>
                <w:rFonts w:hint="eastAsia" w:ascii="仿宋_GB2312" w:hAnsi="仿宋_GB2312" w:eastAsia="仿宋_GB2312" w:cs="仿宋_GB2312"/>
                <w:color w:val="auto"/>
              </w:rPr>
              <w:t>以下，具有中级以上职称证书；具有3年以上物业管理项目经理工作经验；熟悉环境卫生、维护维修、绿化养护、</w:t>
            </w:r>
            <w:r>
              <w:rPr>
                <w:rFonts w:hint="eastAsia" w:ascii="仿宋_GB2312" w:hAnsi="仿宋_GB2312" w:eastAsia="仿宋_GB2312" w:cs="仿宋_GB2312"/>
                <w:color w:val="auto"/>
                <w:lang w:eastAsia="zh-CN"/>
              </w:rPr>
              <w:t>学生公寓</w:t>
            </w:r>
            <w:r>
              <w:rPr>
                <w:rFonts w:hint="eastAsia" w:ascii="仿宋_GB2312" w:hAnsi="仿宋_GB2312" w:eastAsia="仿宋_GB2312" w:cs="仿宋_GB2312"/>
                <w:color w:val="auto"/>
              </w:rPr>
              <w:t>管理、学员公寓管理等工作。</w:t>
            </w:r>
          </w:p>
          <w:p>
            <w:pPr>
              <w:pStyle w:val="216"/>
              <w:keepNext w:val="0"/>
              <w:keepLines w:val="0"/>
              <w:pageBreakBefore w:val="0"/>
              <w:tabs>
                <w:tab w:val="left" w:pos="312"/>
              </w:tabs>
              <w:wordWrap/>
              <w:topLinePunct w:val="0"/>
              <w:bidi w:val="0"/>
              <w:adjustRightInd/>
              <w:snapToGrid/>
              <w:spacing w:line="400" w:lineRule="exact"/>
              <w:ind w:firstLine="482" w:firstLineChars="200"/>
              <w:textAlignment w:val="auto"/>
              <w:rPr>
                <w:rStyle w:val="118"/>
                <w:rFonts w:hint="default" w:ascii="仿宋_GB2312" w:hAnsi="仿宋_GB2312" w:eastAsia="宋体" w:cs="仿宋_GB2312"/>
                <w:b/>
                <w:bCs/>
                <w:color w:val="auto"/>
                <w:sz w:val="24"/>
                <w:szCs w:val="24"/>
                <w:lang w:val="en-US" w:eastAsia="zh-CN"/>
              </w:rPr>
            </w:pPr>
            <w:r>
              <w:rPr>
                <w:rStyle w:val="118"/>
                <w:rFonts w:hint="default" w:ascii="仿宋_GB2312" w:hAnsi="仿宋_GB2312" w:eastAsia="仿宋_GB2312" w:cs="仿宋_GB2312"/>
                <w:b/>
                <w:bCs/>
                <w:color w:val="auto"/>
                <w:sz w:val="24"/>
                <w:szCs w:val="24"/>
              </w:rPr>
              <w:t>2. 维修维护人员</w:t>
            </w:r>
            <w:r>
              <w:rPr>
                <w:rFonts w:hint="eastAsia" w:ascii="仿宋_GB2312" w:hAnsi="仿宋_GB2312" w:eastAsia="仿宋_GB2312" w:cs="仿宋_GB2312"/>
                <w:b/>
                <w:bCs/>
                <w:color w:val="auto"/>
                <w:lang w:eastAsia="zh-CN"/>
              </w:rPr>
              <w:t>（</w:t>
            </w:r>
            <w:r>
              <w:rPr>
                <w:rFonts w:hint="eastAsia" w:ascii="仿宋_GB2312" w:hAnsi="仿宋_GB2312" w:eastAsia="仿宋_GB2312" w:cs="仿宋_GB2312"/>
                <w:b/>
                <w:bCs/>
                <w:color w:val="auto"/>
                <w:lang w:val="en-US" w:eastAsia="zh-CN"/>
              </w:rPr>
              <w:t>13人）：</w:t>
            </w:r>
          </w:p>
          <w:p>
            <w:pPr>
              <w:pStyle w:val="216"/>
              <w:keepNext w:val="0"/>
              <w:keepLines w:val="0"/>
              <w:pageBreakBefore w:val="0"/>
              <w:tabs>
                <w:tab w:val="left" w:pos="312"/>
              </w:tabs>
              <w:wordWrap/>
              <w:topLinePunct w:val="0"/>
              <w:bidi w:val="0"/>
              <w:adjustRightInd/>
              <w:snapToGrid/>
              <w:spacing w:line="400" w:lineRule="exact"/>
              <w:ind w:firstLine="480" w:firstLineChars="200"/>
              <w:textAlignment w:val="auto"/>
              <w:rPr>
                <w:rStyle w:val="118"/>
                <w:rFonts w:hint="default" w:ascii="仿宋_GB2312" w:hAnsi="仿宋_GB2312" w:eastAsia="仿宋_GB2312" w:cs="仿宋_GB2312"/>
                <w:color w:val="auto"/>
                <w:sz w:val="24"/>
                <w:szCs w:val="24"/>
              </w:rPr>
            </w:pPr>
            <w:r>
              <w:rPr>
                <w:rStyle w:val="118"/>
                <w:rFonts w:hint="default" w:ascii="仿宋_GB2312" w:hAnsi="仿宋_GB2312" w:eastAsia="仿宋_GB2312" w:cs="仿宋_GB2312"/>
                <w:color w:val="auto"/>
                <w:sz w:val="24"/>
                <w:szCs w:val="24"/>
              </w:rPr>
              <w:t>55</w:t>
            </w:r>
            <w:r>
              <w:rPr>
                <w:rStyle w:val="118"/>
                <w:rFonts w:hint="eastAsia" w:ascii="仿宋_GB2312" w:hAnsi="仿宋_GB2312" w:eastAsia="仿宋_GB2312" w:cs="仿宋_GB2312"/>
                <w:color w:val="auto"/>
                <w:sz w:val="24"/>
                <w:szCs w:val="24"/>
                <w:lang w:val="en-US" w:eastAsia="zh-CN"/>
              </w:rPr>
              <w:t>周岁</w:t>
            </w:r>
            <w:r>
              <w:rPr>
                <w:rStyle w:val="118"/>
                <w:rFonts w:hint="default" w:ascii="仿宋_GB2312" w:hAnsi="仿宋_GB2312" w:eastAsia="仿宋_GB2312" w:cs="仿宋_GB2312"/>
                <w:color w:val="auto"/>
                <w:sz w:val="24"/>
                <w:szCs w:val="24"/>
              </w:rPr>
              <w:t>以下，要求身体健康，工作态度良好，认真负责，吃苦耐劳，熟悉维修及建筑等业务，无学历要求，无不良记录。</w:t>
            </w:r>
          </w:p>
          <w:p>
            <w:pPr>
              <w:pStyle w:val="216"/>
              <w:keepNext w:val="0"/>
              <w:keepLines w:val="0"/>
              <w:pageBreakBefore w:val="0"/>
              <w:tabs>
                <w:tab w:val="left" w:pos="312"/>
              </w:tabs>
              <w:wordWrap/>
              <w:topLinePunct w:val="0"/>
              <w:bidi w:val="0"/>
              <w:adjustRightInd/>
              <w:snapToGrid/>
              <w:spacing w:line="400" w:lineRule="exact"/>
              <w:ind w:firstLine="480" w:firstLineChars="200"/>
              <w:textAlignment w:val="auto"/>
              <w:rPr>
                <w:rStyle w:val="118"/>
                <w:rFonts w:hint="eastAsia" w:ascii="仿宋_GB2312" w:hAnsi="仿宋_GB2312" w:eastAsia="仿宋_GB2312" w:cs="仿宋_GB2312"/>
                <w:color w:val="auto"/>
                <w:sz w:val="24"/>
                <w:szCs w:val="24"/>
                <w:lang w:eastAsia="zh-CN"/>
              </w:rPr>
            </w:pPr>
            <w:r>
              <w:rPr>
                <w:rStyle w:val="118"/>
                <w:rFonts w:hint="default" w:ascii="仿宋_GB2312" w:hAnsi="仿宋_GB2312" w:eastAsia="仿宋_GB2312" w:cs="仿宋_GB2312"/>
                <w:color w:val="auto"/>
                <w:sz w:val="24"/>
                <w:szCs w:val="24"/>
              </w:rPr>
              <w:t>特殊岗位：电工</w:t>
            </w:r>
            <w:r>
              <w:rPr>
                <w:rStyle w:val="118"/>
                <w:rFonts w:hint="eastAsia" w:ascii="仿宋_GB2312" w:hAnsi="仿宋_GB2312" w:eastAsia="仿宋_GB2312" w:cs="仿宋_GB2312"/>
                <w:color w:val="auto"/>
                <w:sz w:val="24"/>
                <w:szCs w:val="24"/>
                <w:lang w:val="en-US" w:eastAsia="zh-CN"/>
              </w:rPr>
              <w:t>2名</w:t>
            </w:r>
            <w:r>
              <w:rPr>
                <w:rStyle w:val="118"/>
                <w:rFonts w:hint="default" w:ascii="仿宋_GB2312" w:hAnsi="仿宋_GB2312" w:eastAsia="仿宋_GB2312" w:cs="仿宋_GB2312"/>
                <w:color w:val="auto"/>
                <w:sz w:val="24"/>
                <w:szCs w:val="24"/>
              </w:rPr>
              <w:t>应</w:t>
            </w:r>
            <w:r>
              <w:rPr>
                <w:rFonts w:hint="eastAsia" w:ascii="仿宋_GB2312" w:eastAsia="仿宋_GB2312"/>
                <w:color w:val="auto"/>
              </w:rPr>
              <w:t>具有《特种作业操作证》（低压电工），空调维修工</w:t>
            </w:r>
            <w:r>
              <w:rPr>
                <w:rFonts w:hint="eastAsia" w:ascii="仿宋_GB2312" w:eastAsia="仿宋_GB2312"/>
                <w:color w:val="auto"/>
                <w:lang w:val="en-US" w:eastAsia="zh-CN"/>
              </w:rPr>
              <w:t>1名</w:t>
            </w:r>
            <w:r>
              <w:rPr>
                <w:rFonts w:hint="eastAsia" w:ascii="仿宋_GB2312" w:eastAsia="仿宋_GB2312"/>
                <w:color w:val="auto"/>
              </w:rPr>
              <w:t>应具有《特种作业操作证》（制冷与空调作业），电焊工</w:t>
            </w:r>
            <w:r>
              <w:rPr>
                <w:rFonts w:hint="eastAsia" w:ascii="仿宋_GB2312" w:eastAsia="仿宋_GB2312"/>
                <w:color w:val="auto"/>
                <w:lang w:val="en-US" w:eastAsia="zh-CN"/>
              </w:rPr>
              <w:t>1名</w:t>
            </w:r>
            <w:r>
              <w:rPr>
                <w:rFonts w:hint="eastAsia" w:ascii="仿宋_GB2312" w:eastAsia="仿宋_GB2312"/>
                <w:color w:val="auto"/>
              </w:rPr>
              <w:t>应具有《特种作业操作证》（</w:t>
            </w:r>
            <w:r>
              <w:rPr>
                <w:rStyle w:val="118"/>
                <w:rFonts w:hint="eastAsia" w:ascii="仿宋_GB2312" w:hAnsi="仿宋_GB2312" w:eastAsia="仿宋_GB2312" w:cs="仿宋_GB2312"/>
                <w:color w:val="auto"/>
                <w:sz w:val="24"/>
                <w:szCs w:val="24"/>
                <w:lang w:val="en-US" w:eastAsia="zh-CN"/>
              </w:rPr>
              <w:t>熔化焊接与热切割作业</w:t>
            </w:r>
            <w:r>
              <w:rPr>
                <w:rFonts w:hint="eastAsia" w:ascii="仿宋_GB2312" w:eastAsia="仿宋_GB2312"/>
                <w:color w:val="auto"/>
              </w:rPr>
              <w:t>）上岗</w:t>
            </w:r>
            <w:r>
              <w:rPr>
                <w:rFonts w:hint="eastAsia" w:ascii="仿宋_GB2312" w:eastAsia="仿宋_GB2312"/>
                <w:color w:val="auto"/>
                <w:lang w:eastAsia="zh-CN"/>
              </w:rPr>
              <w:t>，从事开水机清洗消毒、生活水箱清洁及水质检测作业的人员要办理《健康证》；</w:t>
            </w:r>
            <w:r>
              <w:rPr>
                <w:rFonts w:hint="eastAsia" w:ascii="仿宋_GB2312" w:eastAsia="仿宋_GB2312"/>
                <w:color w:val="auto"/>
                <w:lang w:val="en-US" w:eastAsia="zh-CN"/>
              </w:rPr>
              <w:t>综合维修工作协助其他工种如电工、电焊、空调维修等开展工作。</w:t>
            </w:r>
          </w:p>
          <w:p>
            <w:pPr>
              <w:pStyle w:val="216"/>
              <w:keepNext w:val="0"/>
              <w:keepLines w:val="0"/>
              <w:pageBreakBefore w:val="0"/>
              <w:tabs>
                <w:tab w:val="left" w:pos="312"/>
              </w:tabs>
              <w:wordWrap/>
              <w:topLinePunct w:val="0"/>
              <w:bidi w:val="0"/>
              <w:adjustRightInd/>
              <w:snapToGrid/>
              <w:spacing w:line="400" w:lineRule="exact"/>
              <w:ind w:firstLine="482" w:firstLineChars="200"/>
              <w:textAlignment w:val="auto"/>
              <w:rPr>
                <w:rStyle w:val="118"/>
                <w:rFonts w:hint="default" w:ascii="仿宋_GB2312" w:hAnsi="仿宋_GB2312" w:eastAsia="仿宋_GB2312" w:cs="仿宋_GB2312"/>
                <w:color w:val="auto"/>
                <w:sz w:val="24"/>
                <w:szCs w:val="24"/>
                <w:lang w:val="en-US" w:eastAsia="zh-CN"/>
              </w:rPr>
            </w:pPr>
            <w:r>
              <w:rPr>
                <w:rStyle w:val="118"/>
                <w:rFonts w:hint="default" w:ascii="仿宋_GB2312" w:hAnsi="仿宋_GB2312" w:eastAsia="仿宋_GB2312" w:cs="仿宋_GB2312"/>
                <w:b/>
                <w:color w:val="auto"/>
                <w:sz w:val="24"/>
                <w:szCs w:val="24"/>
              </w:rPr>
              <w:t>3．绿化养护人员</w:t>
            </w:r>
            <w:r>
              <w:rPr>
                <w:rStyle w:val="118"/>
                <w:rFonts w:hint="eastAsia" w:ascii="仿宋_GB2312" w:hAnsi="仿宋_GB2312" w:eastAsia="仿宋_GB2312" w:cs="仿宋_GB2312"/>
                <w:b/>
                <w:color w:val="auto"/>
                <w:sz w:val="24"/>
                <w:szCs w:val="24"/>
                <w:lang w:eastAsia="zh-CN"/>
              </w:rPr>
              <w:t>（</w:t>
            </w:r>
            <w:r>
              <w:rPr>
                <w:rStyle w:val="118"/>
                <w:rFonts w:hint="eastAsia" w:ascii="仿宋_GB2312" w:hAnsi="仿宋_GB2312" w:eastAsia="仿宋_GB2312" w:cs="仿宋_GB2312"/>
                <w:b/>
                <w:color w:val="auto"/>
                <w:sz w:val="24"/>
                <w:szCs w:val="24"/>
                <w:lang w:val="en-US" w:eastAsia="zh-CN"/>
              </w:rPr>
              <w:t>8人）：</w:t>
            </w:r>
          </w:p>
          <w:p>
            <w:pPr>
              <w:pStyle w:val="216"/>
              <w:keepNext w:val="0"/>
              <w:keepLines w:val="0"/>
              <w:pageBreakBefore w:val="0"/>
              <w:tabs>
                <w:tab w:val="left" w:pos="312"/>
              </w:tabs>
              <w:wordWrap/>
              <w:topLinePunct w:val="0"/>
              <w:bidi w:val="0"/>
              <w:adjustRightInd/>
              <w:snapToGrid/>
              <w:spacing w:line="400" w:lineRule="exact"/>
              <w:ind w:firstLine="480" w:firstLineChars="200"/>
              <w:textAlignment w:val="auto"/>
              <w:rPr>
                <w:rStyle w:val="795"/>
                <w:rFonts w:ascii="仿宋_GB2312" w:hAnsi="仿宋_GB2312" w:eastAsia="仿宋_GB2312" w:cs="仿宋_GB2312"/>
                <w:color w:val="auto"/>
                <w:sz w:val="24"/>
                <w:szCs w:val="24"/>
              </w:rPr>
            </w:pPr>
            <w:r>
              <w:rPr>
                <w:rStyle w:val="118"/>
                <w:rFonts w:hint="default" w:ascii="仿宋_GB2312" w:hAnsi="仿宋_GB2312" w:eastAsia="仿宋_GB2312" w:cs="仿宋_GB2312"/>
                <w:color w:val="auto"/>
                <w:sz w:val="24"/>
                <w:szCs w:val="24"/>
              </w:rPr>
              <w:t>58周岁以下，</w:t>
            </w:r>
            <w:r>
              <w:rPr>
                <w:rStyle w:val="795"/>
                <w:rFonts w:hint="eastAsia" w:ascii="仿宋_GB2312" w:hAnsi="仿宋_GB2312" w:eastAsia="仿宋_GB2312" w:cs="仿宋_GB2312"/>
                <w:color w:val="auto"/>
                <w:sz w:val="24"/>
                <w:szCs w:val="24"/>
              </w:rPr>
              <w:t>要求身体健康，工作态度良好，认真负责，吃苦耐劳，熟悉绿植养护工作</w:t>
            </w:r>
            <w:r>
              <w:rPr>
                <w:rStyle w:val="118"/>
                <w:rFonts w:hint="default" w:ascii="仿宋_GB2312" w:hAnsi="仿宋_GB2312" w:eastAsia="仿宋_GB2312" w:cs="仿宋_GB2312"/>
                <w:color w:val="auto"/>
                <w:sz w:val="24"/>
                <w:szCs w:val="24"/>
              </w:rPr>
              <w:t>，无不良记录</w:t>
            </w:r>
            <w:r>
              <w:rPr>
                <w:rStyle w:val="795"/>
                <w:rFonts w:hint="eastAsia" w:ascii="仿宋_GB2312" w:hAnsi="仿宋_GB2312" w:eastAsia="仿宋_GB2312" w:cs="仿宋_GB2312"/>
                <w:color w:val="auto"/>
                <w:sz w:val="24"/>
                <w:szCs w:val="24"/>
              </w:rPr>
              <w:t>。</w:t>
            </w:r>
          </w:p>
          <w:p>
            <w:pPr>
              <w:pStyle w:val="216"/>
              <w:keepNext w:val="0"/>
              <w:keepLines w:val="0"/>
              <w:pageBreakBefore w:val="0"/>
              <w:tabs>
                <w:tab w:val="left" w:pos="312"/>
              </w:tabs>
              <w:wordWrap/>
              <w:topLinePunct w:val="0"/>
              <w:bidi w:val="0"/>
              <w:adjustRightInd/>
              <w:snapToGrid/>
              <w:spacing w:line="400" w:lineRule="exact"/>
              <w:ind w:firstLine="480" w:firstLineChars="200"/>
              <w:textAlignment w:val="auto"/>
              <w:rPr>
                <w:rStyle w:val="795"/>
                <w:rFonts w:ascii="仿宋_GB2312" w:hAnsi="仿宋_GB2312" w:eastAsia="仿宋_GB2312" w:cs="仿宋_GB2312"/>
                <w:color w:val="auto"/>
                <w:sz w:val="24"/>
                <w:szCs w:val="24"/>
              </w:rPr>
            </w:pPr>
            <w:r>
              <w:rPr>
                <w:rStyle w:val="795"/>
                <w:rFonts w:hint="eastAsia" w:ascii="仿宋_GB2312" w:hAnsi="仿宋_GB2312" w:eastAsia="仿宋_GB2312" w:cs="仿宋_GB2312"/>
                <w:color w:val="auto"/>
                <w:sz w:val="24"/>
                <w:szCs w:val="24"/>
              </w:rPr>
              <w:t>特殊岗位：</w:t>
            </w:r>
            <w:r>
              <w:rPr>
                <w:rStyle w:val="118"/>
                <w:rFonts w:hint="eastAsia" w:ascii="仿宋_GB2312" w:hAnsi="仿宋_GB2312" w:eastAsia="仿宋_GB2312" w:cs="仿宋_GB2312"/>
                <w:color w:val="auto"/>
                <w:sz w:val="24"/>
                <w:szCs w:val="24"/>
                <w:lang w:val="en-US" w:eastAsia="zh-CN"/>
              </w:rPr>
              <w:t>该岗位内至少有一人应具有园林园艺或植保专业学历。</w:t>
            </w:r>
          </w:p>
          <w:p>
            <w:pPr>
              <w:pStyle w:val="216"/>
              <w:keepNext w:val="0"/>
              <w:keepLines w:val="0"/>
              <w:pageBreakBefore w:val="0"/>
              <w:tabs>
                <w:tab w:val="left" w:pos="312"/>
              </w:tabs>
              <w:wordWrap/>
              <w:topLinePunct w:val="0"/>
              <w:bidi w:val="0"/>
              <w:adjustRightInd/>
              <w:snapToGrid/>
              <w:spacing w:line="400" w:lineRule="exact"/>
              <w:ind w:firstLine="482" w:firstLineChars="200"/>
              <w:textAlignment w:val="auto"/>
              <w:rPr>
                <w:rStyle w:val="118"/>
                <w:rFonts w:hint="default" w:ascii="仿宋_GB2312" w:hAnsi="仿宋_GB2312" w:eastAsia="仿宋_GB2312" w:cs="仿宋_GB2312"/>
                <w:b/>
                <w:bCs/>
                <w:color w:val="auto"/>
                <w:sz w:val="24"/>
                <w:szCs w:val="24"/>
                <w:lang w:val="en-US" w:eastAsia="zh-CN"/>
              </w:rPr>
            </w:pPr>
            <w:r>
              <w:rPr>
                <w:rStyle w:val="118"/>
                <w:rFonts w:hint="default" w:ascii="仿宋_GB2312" w:hAnsi="仿宋_GB2312" w:eastAsia="仿宋_GB2312" w:cs="仿宋_GB2312"/>
                <w:b/>
                <w:bCs/>
                <w:color w:val="auto"/>
                <w:sz w:val="24"/>
                <w:szCs w:val="24"/>
              </w:rPr>
              <w:t>4</w:t>
            </w:r>
            <w:bookmarkStart w:id="26" w:name="OLE_LINK5"/>
            <w:r>
              <w:rPr>
                <w:rStyle w:val="118"/>
                <w:rFonts w:hint="default" w:ascii="仿宋_GB2312" w:hAnsi="仿宋_GB2312" w:eastAsia="仿宋_GB2312" w:cs="仿宋_GB2312"/>
                <w:b/>
                <w:bCs/>
                <w:color w:val="auto"/>
                <w:sz w:val="24"/>
                <w:szCs w:val="24"/>
              </w:rPr>
              <w:t>．保洁人员</w:t>
            </w:r>
            <w:r>
              <w:rPr>
                <w:rStyle w:val="118"/>
                <w:rFonts w:hint="eastAsia" w:ascii="仿宋_GB2312" w:hAnsi="仿宋_GB2312" w:eastAsia="仿宋_GB2312" w:cs="仿宋_GB2312"/>
                <w:b/>
                <w:bCs/>
                <w:color w:val="auto"/>
                <w:sz w:val="24"/>
                <w:szCs w:val="24"/>
                <w:lang w:eastAsia="zh-CN"/>
              </w:rPr>
              <w:t>（</w:t>
            </w:r>
            <w:r>
              <w:rPr>
                <w:rStyle w:val="118"/>
                <w:rFonts w:hint="eastAsia" w:ascii="仿宋_GB2312" w:hAnsi="仿宋_GB2312" w:eastAsia="仿宋_GB2312" w:cs="仿宋_GB2312"/>
                <w:b/>
                <w:bCs/>
                <w:color w:val="auto"/>
                <w:sz w:val="24"/>
                <w:szCs w:val="24"/>
                <w:lang w:val="en-US" w:eastAsia="zh-CN"/>
              </w:rPr>
              <w:t>42人）：</w:t>
            </w:r>
          </w:p>
          <w:p>
            <w:pPr>
              <w:pStyle w:val="216"/>
              <w:keepNext w:val="0"/>
              <w:keepLines w:val="0"/>
              <w:pageBreakBefore w:val="0"/>
              <w:tabs>
                <w:tab w:val="left" w:pos="312"/>
              </w:tabs>
              <w:wordWrap/>
              <w:topLinePunct w:val="0"/>
              <w:bidi w:val="0"/>
              <w:adjustRightInd/>
              <w:snapToGrid/>
              <w:spacing w:line="400" w:lineRule="exact"/>
              <w:ind w:firstLine="480" w:firstLineChars="200"/>
              <w:textAlignment w:val="auto"/>
              <w:rPr>
                <w:rStyle w:val="795"/>
                <w:rFonts w:ascii="仿宋_GB2312" w:hAnsi="仿宋_GB2312" w:eastAsia="仿宋_GB2312" w:cs="仿宋_GB2312"/>
                <w:color w:val="auto"/>
                <w:sz w:val="24"/>
                <w:szCs w:val="24"/>
              </w:rPr>
            </w:pPr>
            <w:r>
              <w:rPr>
                <w:rStyle w:val="118"/>
                <w:rFonts w:hint="default" w:ascii="仿宋_GB2312" w:hAnsi="仿宋_GB2312" w:eastAsia="仿宋_GB2312" w:cs="仿宋_GB2312"/>
                <w:color w:val="auto"/>
                <w:sz w:val="24"/>
                <w:szCs w:val="24"/>
              </w:rPr>
              <w:t>55</w:t>
            </w:r>
            <w:r>
              <w:rPr>
                <w:rStyle w:val="118"/>
                <w:rFonts w:hint="eastAsia" w:ascii="仿宋_GB2312" w:hAnsi="仿宋_GB2312" w:eastAsia="仿宋_GB2312" w:cs="仿宋_GB2312"/>
                <w:color w:val="auto"/>
                <w:sz w:val="24"/>
                <w:szCs w:val="24"/>
                <w:lang w:val="en-US" w:eastAsia="zh-CN"/>
              </w:rPr>
              <w:t>周岁</w:t>
            </w:r>
            <w:r>
              <w:rPr>
                <w:rStyle w:val="118"/>
                <w:rFonts w:hint="default" w:ascii="仿宋_GB2312" w:hAnsi="仿宋_GB2312" w:eastAsia="仿宋_GB2312" w:cs="仿宋_GB2312"/>
                <w:color w:val="auto"/>
                <w:sz w:val="24"/>
                <w:szCs w:val="24"/>
              </w:rPr>
              <w:t>以下，</w:t>
            </w:r>
            <w:r>
              <w:rPr>
                <w:rStyle w:val="795"/>
                <w:rFonts w:hint="eastAsia" w:ascii="仿宋_GB2312" w:hAnsi="仿宋_GB2312" w:eastAsia="仿宋_GB2312" w:cs="仿宋_GB2312"/>
                <w:color w:val="auto"/>
                <w:sz w:val="24"/>
                <w:szCs w:val="24"/>
              </w:rPr>
              <w:t>要求身体健康，工作态度良好，认真负责，吃苦耐劳，熟悉保洁业务，</w:t>
            </w:r>
            <w:r>
              <w:rPr>
                <w:rStyle w:val="118"/>
                <w:rFonts w:hint="default" w:ascii="仿宋_GB2312" w:hAnsi="仿宋_GB2312" w:eastAsia="仿宋_GB2312" w:cs="仿宋_GB2312"/>
                <w:color w:val="auto"/>
                <w:sz w:val="24"/>
                <w:szCs w:val="24"/>
              </w:rPr>
              <w:t>无学历要求，无不良记录</w:t>
            </w:r>
            <w:r>
              <w:rPr>
                <w:rStyle w:val="795"/>
                <w:rFonts w:hint="eastAsia" w:ascii="仿宋_GB2312" w:hAnsi="仿宋_GB2312" w:eastAsia="仿宋_GB2312" w:cs="仿宋_GB2312"/>
                <w:color w:val="auto"/>
                <w:sz w:val="24"/>
                <w:szCs w:val="24"/>
              </w:rPr>
              <w:t>。</w:t>
            </w:r>
            <w:bookmarkEnd w:id="26"/>
          </w:p>
          <w:p>
            <w:pPr>
              <w:pStyle w:val="216"/>
              <w:keepNext w:val="0"/>
              <w:keepLines w:val="0"/>
              <w:pageBreakBefore w:val="0"/>
              <w:tabs>
                <w:tab w:val="left" w:pos="312"/>
              </w:tabs>
              <w:wordWrap/>
              <w:topLinePunct w:val="0"/>
              <w:bidi w:val="0"/>
              <w:adjustRightInd/>
              <w:snapToGrid/>
              <w:spacing w:line="400" w:lineRule="exact"/>
              <w:ind w:firstLine="480" w:firstLineChars="200"/>
              <w:textAlignment w:val="auto"/>
              <w:rPr>
                <w:rStyle w:val="795"/>
                <w:rFonts w:ascii="仿宋_GB2312" w:hAnsi="仿宋_GB2312" w:eastAsia="仿宋_GB2312" w:cs="仿宋_GB2312"/>
                <w:color w:val="auto"/>
                <w:sz w:val="24"/>
                <w:szCs w:val="24"/>
              </w:rPr>
            </w:pPr>
            <w:r>
              <w:rPr>
                <w:rStyle w:val="795"/>
                <w:rFonts w:hint="eastAsia" w:ascii="仿宋_GB2312" w:hAnsi="仿宋_GB2312" w:eastAsia="仿宋_GB2312" w:cs="仿宋_GB2312"/>
                <w:color w:val="auto"/>
                <w:sz w:val="24"/>
                <w:szCs w:val="24"/>
              </w:rPr>
              <w:t>特殊岗位：</w:t>
            </w:r>
            <w:r>
              <w:rPr>
                <w:rStyle w:val="795"/>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rPr>
              <w:t>第一办公楼</w:t>
            </w:r>
            <w:r>
              <w:rPr>
                <w:rFonts w:hint="eastAsia" w:ascii="仿宋_GB2312" w:hAnsi="仿宋_GB2312" w:eastAsia="仿宋_GB2312" w:cs="仿宋_GB2312"/>
                <w:color w:val="auto"/>
                <w:sz w:val="24"/>
                <w:lang w:val="en-US" w:eastAsia="zh-CN"/>
              </w:rPr>
              <w:t>6名保洁员）</w:t>
            </w:r>
            <w:r>
              <w:rPr>
                <w:rStyle w:val="795"/>
                <w:rFonts w:hint="eastAsia" w:ascii="仿宋_GB2312" w:hAnsi="仿宋_GB2312" w:eastAsia="仿宋_GB2312" w:cs="仿宋_GB2312"/>
                <w:color w:val="auto"/>
                <w:sz w:val="24"/>
                <w:szCs w:val="24"/>
              </w:rPr>
              <w:t>办公室、</w:t>
            </w:r>
            <w:r>
              <w:rPr>
                <w:rStyle w:val="118"/>
                <w:rFonts w:hint="default" w:ascii="仿宋_GB2312" w:hAnsi="仿宋_GB2312" w:eastAsia="仿宋_GB2312" w:cs="仿宋_GB2312"/>
                <w:color w:val="auto"/>
                <w:sz w:val="24"/>
                <w:szCs w:val="24"/>
              </w:rPr>
              <w:t>会场保洁人员年龄不超过50</w:t>
            </w:r>
            <w:r>
              <w:rPr>
                <w:rStyle w:val="118"/>
                <w:rFonts w:hint="eastAsia" w:ascii="仿宋_GB2312" w:hAnsi="仿宋_GB2312" w:eastAsia="仿宋_GB2312" w:cs="仿宋_GB2312"/>
                <w:color w:val="auto"/>
                <w:sz w:val="24"/>
                <w:szCs w:val="24"/>
                <w:lang w:val="en-US" w:eastAsia="zh-CN"/>
              </w:rPr>
              <w:t>周岁</w:t>
            </w:r>
            <w:r>
              <w:rPr>
                <w:rStyle w:val="118"/>
                <w:rFonts w:hint="default" w:ascii="仿宋_GB2312" w:hAnsi="仿宋_GB2312" w:eastAsia="仿宋_GB2312" w:cs="仿宋_GB2312"/>
                <w:color w:val="auto"/>
                <w:sz w:val="24"/>
                <w:szCs w:val="24"/>
              </w:rPr>
              <w:t>，相貌端正，仪表大方，身体健康且执有</w:t>
            </w:r>
            <w:r>
              <w:rPr>
                <w:rFonts w:hint="eastAsia" w:ascii="仿宋_GB2312" w:eastAsia="仿宋_GB2312"/>
                <w:color w:val="auto"/>
              </w:rPr>
              <w:t>健康体检证明材料</w:t>
            </w:r>
            <w:r>
              <w:rPr>
                <w:rStyle w:val="795"/>
                <w:rFonts w:hint="eastAsia" w:ascii="仿宋_GB2312" w:hAnsi="仿宋_GB2312" w:eastAsia="仿宋_GB2312" w:cs="仿宋_GB2312"/>
                <w:color w:val="auto"/>
                <w:sz w:val="24"/>
                <w:szCs w:val="24"/>
              </w:rPr>
              <w:t>。</w:t>
            </w:r>
          </w:p>
          <w:p>
            <w:pPr>
              <w:pStyle w:val="216"/>
              <w:keepNext w:val="0"/>
              <w:keepLines w:val="0"/>
              <w:pageBreakBefore w:val="0"/>
              <w:tabs>
                <w:tab w:val="left" w:pos="312"/>
              </w:tabs>
              <w:wordWrap/>
              <w:topLinePunct w:val="0"/>
              <w:bidi w:val="0"/>
              <w:adjustRightInd/>
              <w:snapToGrid/>
              <w:spacing w:line="400" w:lineRule="exact"/>
              <w:ind w:firstLine="482" w:firstLineChars="200"/>
              <w:textAlignment w:val="auto"/>
              <w:rPr>
                <w:rStyle w:val="118"/>
                <w:rFonts w:hint="default" w:ascii="仿宋_GB2312" w:hAnsi="仿宋_GB2312" w:eastAsia="仿宋_GB2312" w:cs="仿宋_GB2312"/>
                <w:b/>
                <w:bCs/>
                <w:color w:val="auto"/>
                <w:sz w:val="24"/>
                <w:szCs w:val="24"/>
                <w:lang w:val="en-US" w:eastAsia="zh-CN"/>
              </w:rPr>
            </w:pPr>
            <w:r>
              <w:rPr>
                <w:rStyle w:val="118"/>
                <w:rFonts w:hint="default" w:ascii="仿宋_GB2312" w:hAnsi="仿宋_GB2312" w:eastAsia="仿宋_GB2312" w:cs="仿宋_GB2312"/>
                <w:b/>
                <w:bCs/>
                <w:color w:val="auto"/>
                <w:sz w:val="24"/>
                <w:szCs w:val="24"/>
              </w:rPr>
              <w:t>5.</w:t>
            </w:r>
            <w:r>
              <w:rPr>
                <w:rStyle w:val="118"/>
                <w:rFonts w:hint="eastAsia" w:ascii="仿宋_GB2312" w:hAnsi="仿宋_GB2312" w:eastAsia="仿宋_GB2312" w:cs="仿宋_GB2312"/>
                <w:b/>
                <w:bCs/>
                <w:color w:val="auto"/>
                <w:sz w:val="24"/>
                <w:szCs w:val="24"/>
                <w:lang w:eastAsia="zh-CN"/>
              </w:rPr>
              <w:t>学生公寓</w:t>
            </w:r>
            <w:r>
              <w:rPr>
                <w:rStyle w:val="118"/>
                <w:rFonts w:hint="default" w:ascii="仿宋_GB2312" w:hAnsi="仿宋_GB2312" w:eastAsia="仿宋_GB2312" w:cs="仿宋_GB2312"/>
                <w:b/>
                <w:bCs/>
                <w:color w:val="auto"/>
                <w:sz w:val="24"/>
                <w:szCs w:val="24"/>
              </w:rPr>
              <w:t>管理员</w:t>
            </w:r>
            <w:r>
              <w:rPr>
                <w:rStyle w:val="118"/>
                <w:rFonts w:hint="eastAsia" w:ascii="仿宋_GB2312" w:hAnsi="仿宋_GB2312" w:eastAsia="仿宋_GB2312" w:cs="仿宋_GB2312"/>
                <w:b/>
                <w:bCs/>
                <w:color w:val="auto"/>
                <w:sz w:val="24"/>
                <w:szCs w:val="24"/>
                <w:lang w:eastAsia="zh-CN"/>
              </w:rPr>
              <w:t>（</w:t>
            </w:r>
            <w:r>
              <w:rPr>
                <w:rStyle w:val="118"/>
                <w:rFonts w:hint="eastAsia" w:ascii="仿宋_GB2312" w:hAnsi="仿宋_GB2312" w:eastAsia="仿宋_GB2312" w:cs="仿宋_GB2312"/>
                <w:b/>
                <w:bCs/>
                <w:color w:val="auto"/>
                <w:sz w:val="24"/>
                <w:szCs w:val="24"/>
                <w:lang w:val="en-US" w:eastAsia="zh-CN"/>
              </w:rPr>
              <w:t>24人）：</w:t>
            </w:r>
          </w:p>
          <w:p>
            <w:pPr>
              <w:pStyle w:val="216"/>
              <w:keepNext w:val="0"/>
              <w:keepLines w:val="0"/>
              <w:pageBreakBefore w:val="0"/>
              <w:tabs>
                <w:tab w:val="left" w:pos="312"/>
              </w:tabs>
              <w:wordWrap/>
              <w:topLinePunct w:val="0"/>
              <w:bidi w:val="0"/>
              <w:adjustRightInd/>
              <w:snapToGrid/>
              <w:spacing w:line="400" w:lineRule="exact"/>
              <w:ind w:firstLine="480" w:firstLineChars="200"/>
              <w:textAlignment w:val="auto"/>
              <w:rPr>
                <w:rStyle w:val="118"/>
                <w:rFonts w:hint="default" w:ascii="仿宋_GB2312" w:hAnsi="仿宋_GB2312" w:eastAsia="仿宋_GB2312" w:cs="仿宋_GB2312"/>
                <w:color w:val="auto"/>
                <w:sz w:val="24"/>
                <w:szCs w:val="24"/>
              </w:rPr>
            </w:pPr>
            <w:r>
              <w:rPr>
                <w:rStyle w:val="118"/>
                <w:rFonts w:hint="default" w:ascii="仿宋_GB2312" w:hAnsi="仿宋_GB2312" w:eastAsia="仿宋_GB2312" w:cs="仿宋_GB2312"/>
                <w:color w:val="auto"/>
                <w:sz w:val="24"/>
                <w:szCs w:val="24"/>
              </w:rPr>
              <w:t>55周岁以下，高中以上学历（含高中毕业），身体健康，能处理和应对校区公寓管理维护、清洁工作，能正确使用各类消防、清洁卫生器械和设备；具有较强的沟通能力，能吃苦耐劳，能以自己的实际行动教育学生；有爱心、认真负责并定期接受专业培训；能使用办公软件和网络；无任何不良记录；女性职数比例不少于需求数的50%。</w:t>
            </w:r>
          </w:p>
          <w:p>
            <w:pPr>
              <w:pStyle w:val="216"/>
              <w:keepNext w:val="0"/>
              <w:keepLines w:val="0"/>
              <w:pageBreakBefore w:val="0"/>
              <w:tabs>
                <w:tab w:val="left" w:pos="312"/>
              </w:tabs>
              <w:wordWrap/>
              <w:topLinePunct w:val="0"/>
              <w:bidi w:val="0"/>
              <w:adjustRightInd/>
              <w:snapToGrid/>
              <w:spacing w:line="400" w:lineRule="exact"/>
              <w:ind w:firstLine="480" w:firstLineChars="200"/>
              <w:textAlignment w:val="auto"/>
              <w:rPr>
                <w:rStyle w:val="118"/>
                <w:rFonts w:hint="default" w:ascii="仿宋_GB2312" w:hAnsi="仿宋_GB2312" w:eastAsia="仿宋_GB2312" w:cs="仿宋_GB2312"/>
                <w:b/>
                <w:bCs/>
                <w:color w:val="auto"/>
                <w:sz w:val="24"/>
                <w:szCs w:val="24"/>
              </w:rPr>
            </w:pPr>
            <w:r>
              <w:rPr>
                <w:rFonts w:hint="eastAsia" w:ascii="仿宋_GB2312" w:eastAsia="仿宋_GB2312"/>
                <w:bCs/>
                <w:color w:val="auto"/>
              </w:rPr>
              <w:t>国际学生公寓管理员应具备基本涉外安全意识，具备一定的</w:t>
            </w:r>
            <w:r>
              <w:rPr>
                <w:rFonts w:hint="eastAsia" w:ascii="仿宋_GB2312" w:hAnsi="仿宋_GB2312" w:eastAsia="仿宋_GB2312" w:cs="仿宋_GB2312"/>
                <w:color w:val="auto"/>
                <w:lang w:val="en-US" w:eastAsia="zh-CN"/>
              </w:rPr>
              <w:t>留学生</w:t>
            </w:r>
            <w:r>
              <w:rPr>
                <w:rFonts w:hint="eastAsia" w:ascii="仿宋_GB2312" w:eastAsia="仿宋_GB2312"/>
                <w:bCs/>
                <w:color w:val="auto"/>
                <w:lang w:val="en-US" w:eastAsia="zh-CN"/>
              </w:rPr>
              <w:t>日常管理经验</w:t>
            </w:r>
            <w:r>
              <w:rPr>
                <w:rFonts w:hint="eastAsia" w:ascii="仿宋_GB2312" w:eastAsia="仿宋_GB2312"/>
                <w:bCs/>
                <w:color w:val="auto"/>
              </w:rPr>
              <w:t>。</w:t>
            </w:r>
          </w:p>
          <w:p>
            <w:pPr>
              <w:pStyle w:val="216"/>
              <w:keepNext w:val="0"/>
              <w:keepLines w:val="0"/>
              <w:pageBreakBefore w:val="0"/>
              <w:tabs>
                <w:tab w:val="left" w:pos="312"/>
              </w:tabs>
              <w:wordWrap/>
              <w:topLinePunct w:val="0"/>
              <w:bidi w:val="0"/>
              <w:adjustRightInd/>
              <w:snapToGrid/>
              <w:spacing w:line="400" w:lineRule="exact"/>
              <w:ind w:firstLine="482" w:firstLineChars="200"/>
              <w:textAlignment w:val="auto"/>
              <w:rPr>
                <w:rStyle w:val="118"/>
                <w:rFonts w:hint="default" w:ascii="仿宋_GB2312" w:hAnsi="仿宋_GB2312" w:eastAsia="仿宋_GB2312" w:cs="仿宋_GB2312"/>
                <w:b/>
                <w:bCs/>
                <w:color w:val="auto"/>
                <w:sz w:val="24"/>
                <w:szCs w:val="24"/>
                <w:lang w:val="en-US" w:eastAsia="zh-CN"/>
              </w:rPr>
            </w:pPr>
            <w:r>
              <w:rPr>
                <w:rStyle w:val="118"/>
                <w:rFonts w:hint="default" w:ascii="仿宋_GB2312" w:hAnsi="仿宋_GB2312" w:eastAsia="仿宋_GB2312" w:cs="仿宋_GB2312"/>
                <w:b/>
                <w:bCs/>
                <w:color w:val="auto"/>
                <w:sz w:val="24"/>
                <w:szCs w:val="24"/>
              </w:rPr>
              <w:t>6.学员公寓管理员</w:t>
            </w:r>
            <w:r>
              <w:rPr>
                <w:rStyle w:val="118"/>
                <w:rFonts w:hint="eastAsia" w:ascii="仿宋_GB2312" w:hAnsi="仿宋_GB2312" w:eastAsia="仿宋_GB2312" w:cs="仿宋_GB2312"/>
                <w:b/>
                <w:bCs/>
                <w:color w:val="auto"/>
                <w:sz w:val="24"/>
                <w:szCs w:val="24"/>
                <w:lang w:eastAsia="zh-CN"/>
              </w:rPr>
              <w:t>（</w:t>
            </w:r>
            <w:r>
              <w:rPr>
                <w:rStyle w:val="118"/>
                <w:rFonts w:hint="eastAsia" w:ascii="仿宋_GB2312" w:hAnsi="仿宋_GB2312" w:eastAsia="仿宋_GB2312" w:cs="仿宋_GB2312"/>
                <w:b/>
                <w:bCs/>
                <w:color w:val="auto"/>
                <w:sz w:val="24"/>
                <w:szCs w:val="24"/>
                <w:lang w:val="en-US" w:eastAsia="zh-CN"/>
              </w:rPr>
              <w:t>4人）：</w:t>
            </w:r>
          </w:p>
          <w:p>
            <w:pPr>
              <w:pStyle w:val="216"/>
              <w:keepNext w:val="0"/>
              <w:keepLines w:val="0"/>
              <w:pageBreakBefore w:val="0"/>
              <w:tabs>
                <w:tab w:val="left" w:pos="312"/>
              </w:tabs>
              <w:wordWrap/>
              <w:topLinePunct w:val="0"/>
              <w:bidi w:val="0"/>
              <w:adjustRightInd/>
              <w:snapToGrid/>
              <w:spacing w:line="400" w:lineRule="exact"/>
              <w:ind w:firstLine="480" w:firstLineChars="200"/>
              <w:textAlignment w:val="auto"/>
              <w:rPr>
                <w:rStyle w:val="118"/>
                <w:rFonts w:hint="default" w:ascii="仿宋_GB2312" w:hAnsi="仿宋_GB2312" w:eastAsia="仿宋_GB2312" w:cs="仿宋_GB2312"/>
                <w:color w:val="auto"/>
                <w:sz w:val="24"/>
                <w:szCs w:val="24"/>
              </w:rPr>
            </w:pPr>
            <w:r>
              <w:rPr>
                <w:rFonts w:hint="eastAsia" w:ascii="仿宋_GB2312" w:eastAsia="仿宋_GB2312"/>
                <w:color w:val="auto"/>
              </w:rPr>
              <w:t>学员公寓管理员</w:t>
            </w:r>
            <w:r>
              <w:rPr>
                <w:rFonts w:hint="eastAsia" w:ascii="仿宋_GB2312" w:eastAsia="仿宋_GB2312"/>
                <w:color w:val="auto"/>
                <w:lang w:val="en-US" w:eastAsia="zh-CN"/>
              </w:rPr>
              <w:t>协助国际教育学院管理留学生，同时</w:t>
            </w:r>
            <w:r>
              <w:rPr>
                <w:rFonts w:hint="eastAsia" w:ascii="仿宋_GB2312" w:eastAsia="仿宋_GB2312"/>
                <w:color w:val="auto"/>
              </w:rPr>
              <w:t>接待校内师生亲属、在校培训人员及访客提供全方位住宿服务，作为公寓运营的核心力量。管理员应在</w:t>
            </w:r>
            <w:r>
              <w:rPr>
                <w:rStyle w:val="118"/>
                <w:rFonts w:hint="default" w:ascii="仿宋_GB2312" w:hAnsi="仿宋_GB2312" w:eastAsia="仿宋_GB2312" w:cs="仿宋_GB2312"/>
                <w:color w:val="auto"/>
                <w:sz w:val="24"/>
                <w:szCs w:val="24"/>
              </w:rPr>
              <w:t>50周岁以下，高中或中专及以上学历，身体健康，吃苦耐劳，责任心强，</w:t>
            </w:r>
            <w:r>
              <w:rPr>
                <w:rFonts w:hint="eastAsia" w:ascii="仿宋_GB2312" w:eastAsia="仿宋_GB2312"/>
                <w:color w:val="auto"/>
              </w:rPr>
              <w:t>具备 “一专多能” 的综合素质，能够灵活应对前台接待、</w:t>
            </w:r>
            <w:r>
              <w:rPr>
                <w:rFonts w:hint="eastAsia" w:ascii="仿宋_GB2312" w:eastAsia="仿宋_GB2312"/>
                <w:color w:val="auto"/>
                <w:lang w:val="en-US" w:eastAsia="zh-CN"/>
              </w:rPr>
              <w:t>留学生</w:t>
            </w:r>
            <w:r>
              <w:rPr>
                <w:rFonts w:hint="eastAsia" w:ascii="仿宋_GB2312" w:eastAsia="仿宋_GB2312"/>
                <w:color w:val="auto"/>
                <w:lang w:eastAsia="zh-CN"/>
              </w:rPr>
              <w:t>管理</w:t>
            </w:r>
            <w:r>
              <w:rPr>
                <w:rFonts w:hint="eastAsia" w:ascii="仿宋_GB2312" w:eastAsia="仿宋_GB2312"/>
                <w:color w:val="auto"/>
              </w:rPr>
              <w:t>服务、简单会议服务等多项工作，确保公寓高效、有序运转。</w:t>
            </w:r>
          </w:p>
          <w:p>
            <w:pPr>
              <w:pStyle w:val="216"/>
              <w:keepNext w:val="0"/>
              <w:keepLines w:val="0"/>
              <w:pageBreakBefore w:val="0"/>
              <w:tabs>
                <w:tab w:val="left" w:pos="312"/>
              </w:tabs>
              <w:wordWrap/>
              <w:topLinePunct w:val="0"/>
              <w:bidi w:val="0"/>
              <w:adjustRightInd/>
              <w:snapToGrid/>
              <w:spacing w:line="400" w:lineRule="exact"/>
              <w:ind w:firstLine="241" w:firstLineChars="100"/>
              <w:textAlignment w:val="auto"/>
              <w:rPr>
                <w:rStyle w:val="118"/>
                <w:rFonts w:hint="default" w:ascii="仿宋_GB2312" w:hAnsi="仿宋_GB2312" w:eastAsia="仿宋_GB2312" w:cs="仿宋_GB2312"/>
                <w:b/>
                <w:color w:val="auto"/>
                <w:sz w:val="24"/>
                <w:szCs w:val="24"/>
              </w:rPr>
            </w:pPr>
            <w:r>
              <w:rPr>
                <w:rStyle w:val="118"/>
                <w:rFonts w:hint="default" w:ascii="仿宋_GB2312" w:hAnsi="仿宋_GB2312" w:eastAsia="仿宋_GB2312" w:cs="仿宋_GB2312"/>
                <w:b/>
                <w:color w:val="auto"/>
                <w:sz w:val="24"/>
                <w:szCs w:val="24"/>
              </w:rPr>
              <w:t>（三）岗位</w:t>
            </w:r>
            <w:r>
              <w:rPr>
                <w:rStyle w:val="118"/>
                <w:rFonts w:hint="eastAsia" w:ascii="仿宋_GB2312" w:hAnsi="仿宋_GB2312" w:eastAsia="仿宋_GB2312" w:cs="仿宋_GB2312"/>
                <w:b/>
                <w:color w:val="auto"/>
                <w:sz w:val="24"/>
                <w:szCs w:val="24"/>
                <w:lang w:val="en-US" w:eastAsia="zh-CN"/>
              </w:rPr>
              <w:t>工作</w:t>
            </w:r>
            <w:r>
              <w:rPr>
                <w:rStyle w:val="118"/>
                <w:rFonts w:hint="default" w:ascii="仿宋_GB2312" w:hAnsi="仿宋_GB2312" w:eastAsia="仿宋_GB2312" w:cs="仿宋_GB2312"/>
                <w:b/>
                <w:color w:val="auto"/>
                <w:sz w:val="24"/>
                <w:szCs w:val="24"/>
              </w:rPr>
              <w:t>要求与服务标准</w:t>
            </w:r>
          </w:p>
          <w:p>
            <w:pPr>
              <w:pStyle w:val="216"/>
              <w:keepNext w:val="0"/>
              <w:keepLines w:val="0"/>
              <w:pageBreakBefore w:val="0"/>
              <w:wordWrap/>
              <w:topLinePunct w:val="0"/>
              <w:bidi w:val="0"/>
              <w:adjustRightInd/>
              <w:snapToGrid/>
              <w:spacing w:line="400" w:lineRule="exact"/>
              <w:ind w:right="42" w:rightChars="20" w:firstLine="482" w:firstLineChars="200"/>
              <w:textAlignment w:val="auto"/>
              <w:rPr>
                <w:rStyle w:val="118"/>
                <w:rFonts w:hint="default" w:ascii="仿宋_GB2312" w:hAnsi="仿宋_GB2312" w:eastAsia="仿宋_GB2312" w:cs="仿宋_GB2312"/>
                <w:b/>
                <w:color w:val="auto"/>
                <w:sz w:val="24"/>
                <w:szCs w:val="24"/>
              </w:rPr>
            </w:pPr>
            <w:r>
              <w:rPr>
                <w:rStyle w:val="118"/>
                <w:rFonts w:hint="default" w:ascii="仿宋_GB2312" w:hAnsi="仿宋_GB2312" w:eastAsia="仿宋_GB2312" w:cs="仿宋_GB2312"/>
                <w:b/>
                <w:color w:val="auto"/>
                <w:sz w:val="24"/>
                <w:szCs w:val="24"/>
              </w:rPr>
              <w:t>1．行政岗位要求与服务标准</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（1）</w:t>
            </w:r>
            <w:r>
              <w:rPr>
                <w:rFonts w:hint="eastAsia" w:ascii="仿宋_GB2312" w:eastAsia="仿宋_GB2312"/>
                <w:color w:val="auto"/>
                <w:sz w:val="24"/>
                <w:szCs w:val="24"/>
              </w:rPr>
              <w:t>制定与执行物业管理制度与标准：负责制定、修订并监督执行涵盖环境卫生（建筑内外公共区域、卫生间、露天场地）、垃圾</w:t>
            </w:r>
            <w:r>
              <w:rPr>
                <w:rFonts w:hint="default" w:ascii="仿宋_GB2312" w:eastAsia="仿宋_GB2312"/>
                <w:color w:val="auto"/>
                <w:sz w:val="24"/>
                <w:szCs w:val="24"/>
              </w:rPr>
              <w:t>清理</w:t>
            </w:r>
            <w:r>
              <w:rPr>
                <w:rFonts w:hint="eastAsia" w:ascii="仿宋_GB2312" w:eastAsia="仿宋_GB2312"/>
                <w:color w:val="auto"/>
                <w:sz w:val="24"/>
                <w:szCs w:val="24"/>
              </w:rPr>
              <w:t>、设施设备运行维护、绿化养护、</w:t>
            </w:r>
            <w:r>
              <w:rPr>
                <w:rFonts w:hint="eastAsia" w:ascii="仿宋_GB2312" w:eastAsia="仿宋_GB2312"/>
                <w:color w:val="auto"/>
                <w:sz w:val="24"/>
                <w:szCs w:val="24"/>
                <w:lang w:eastAsia="zh-CN"/>
              </w:rPr>
              <w:t>学生公寓</w:t>
            </w:r>
            <w:r>
              <w:rPr>
                <w:rFonts w:hint="eastAsia" w:ascii="仿宋_GB2312" w:eastAsia="仿宋_GB2312"/>
                <w:color w:val="auto"/>
                <w:sz w:val="24"/>
                <w:szCs w:val="24"/>
              </w:rPr>
              <w:t>管理、学员公寓服务等方面的标准化服务流程、操作规范及质量标准。</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（2）</w:t>
            </w:r>
            <w:r>
              <w:rPr>
                <w:rFonts w:hint="eastAsia" w:ascii="仿宋_GB2312" w:eastAsia="仿宋_GB2312"/>
                <w:color w:val="auto"/>
                <w:sz w:val="24"/>
                <w:szCs w:val="24"/>
              </w:rPr>
              <w:t>统筹环境保洁与垃圾管理：全面管理保洁服务团队，确保建筑公共区域、卫生间、道路、运动场、停车场、绿地等室内外环境安全、整洁、有序；监督垃圾分类、收集、</w:t>
            </w:r>
            <w:r>
              <w:rPr>
                <w:rFonts w:hint="default" w:ascii="仿宋_GB2312" w:eastAsia="仿宋_GB2312"/>
                <w:color w:val="auto"/>
                <w:sz w:val="24"/>
                <w:szCs w:val="24"/>
              </w:rPr>
              <w:t>清理</w:t>
            </w:r>
            <w:r>
              <w:rPr>
                <w:rFonts w:hint="eastAsia" w:ascii="仿宋_GB2312" w:eastAsia="仿宋_GB2312"/>
                <w:color w:val="auto"/>
                <w:sz w:val="24"/>
                <w:szCs w:val="24"/>
              </w:rPr>
              <w:t>、消毒流程等合规高效，符合环保要求。</w:t>
            </w:r>
          </w:p>
          <w:p>
            <w:pPr>
              <w:keepNext w:val="0"/>
              <w:keepLines w:val="0"/>
              <w:pageBreakBefore w:val="0"/>
              <w:wordWrap/>
              <w:topLinePunct w:val="0"/>
              <w:bidi w:val="0"/>
              <w:adjustRightInd/>
              <w:snapToGrid/>
              <w:spacing w:line="400" w:lineRule="exact"/>
              <w:textAlignment w:val="auto"/>
              <w:rPr>
                <w:rFonts w:ascii="仿宋_GB2312" w:eastAsia="仿宋_GB2312"/>
                <w:color w:val="auto"/>
                <w:sz w:val="24"/>
                <w:szCs w:val="24"/>
              </w:rPr>
            </w:pPr>
            <w:r>
              <w:rPr>
                <w:rFonts w:hint="eastAsia" w:ascii="仿宋_GB2312" w:eastAsia="仿宋_GB2312"/>
                <w:color w:val="auto"/>
                <w:sz w:val="24"/>
                <w:szCs w:val="24"/>
              </w:rPr>
              <w:t xml:space="preserve">    </w:t>
            </w:r>
            <w:r>
              <w:rPr>
                <w:rStyle w:val="118"/>
                <w:rFonts w:hint="default" w:ascii="仿宋_GB2312" w:hAnsi="仿宋_GB2312" w:eastAsia="仿宋_GB2312" w:cs="仿宋_GB2312"/>
                <w:color w:val="auto"/>
                <w:sz w:val="24"/>
                <w:szCs w:val="24"/>
              </w:rPr>
              <w:t>（3）</w:t>
            </w:r>
            <w:r>
              <w:rPr>
                <w:rFonts w:hint="eastAsia" w:ascii="仿宋_GB2312" w:eastAsia="仿宋_GB2312"/>
                <w:color w:val="auto"/>
                <w:sz w:val="24"/>
                <w:szCs w:val="24"/>
              </w:rPr>
              <w:t>物业设施设备全生命周期管理：制定并执行水电暖通、电梯、楼宇自控等设施设备的预防性维护、定期巡检、维修保养计划，确保高效稳定运行，最大化延长使用寿命，有效控制维护成本。</w:t>
            </w:r>
          </w:p>
          <w:p>
            <w:pPr>
              <w:keepNext w:val="0"/>
              <w:keepLines w:val="0"/>
              <w:pageBreakBefore w:val="0"/>
              <w:wordWrap/>
              <w:topLinePunct w:val="0"/>
              <w:bidi w:val="0"/>
              <w:adjustRightInd/>
              <w:snapToGrid/>
              <w:spacing w:line="400" w:lineRule="exact"/>
              <w:ind w:firstLine="48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（4）</w:t>
            </w:r>
            <w:r>
              <w:rPr>
                <w:rFonts w:hint="eastAsia" w:ascii="仿宋_GB2312" w:eastAsia="仿宋_GB2312"/>
                <w:color w:val="auto"/>
                <w:sz w:val="24"/>
                <w:szCs w:val="24"/>
              </w:rPr>
              <w:t>成本控制与质量监督：负责物业管理的人员、物料、能耗、维修等精细化成本管理，落实节能降耗措施；负责保洁、绿化、设施维保、公寓管理等服务项目的合同履约、日常服务质量的监督、考核与评价，确保服务达标。</w:t>
            </w:r>
          </w:p>
          <w:p>
            <w:pPr>
              <w:keepNext w:val="0"/>
              <w:keepLines w:val="0"/>
              <w:pageBreakBefore w:val="0"/>
              <w:wordWrap/>
              <w:topLinePunct w:val="0"/>
              <w:bidi w:val="0"/>
              <w:adjustRightInd/>
              <w:snapToGrid/>
              <w:spacing w:line="400" w:lineRule="exact"/>
              <w:textAlignment w:val="auto"/>
              <w:rPr>
                <w:rFonts w:ascii="仿宋_GB2312" w:eastAsia="仿宋_GB2312"/>
                <w:color w:val="auto"/>
                <w:sz w:val="24"/>
                <w:szCs w:val="24"/>
              </w:rPr>
            </w:pPr>
            <w:r>
              <w:rPr>
                <w:rFonts w:hint="eastAsia" w:ascii="仿宋_GB2312" w:eastAsia="仿宋_GB2312"/>
                <w:color w:val="auto"/>
                <w:sz w:val="24"/>
                <w:szCs w:val="24"/>
              </w:rPr>
              <w:t xml:space="preserve">    </w:t>
            </w:r>
            <w:r>
              <w:rPr>
                <w:rStyle w:val="118"/>
                <w:rFonts w:hint="default" w:ascii="仿宋_GB2312" w:hAnsi="仿宋_GB2312" w:eastAsia="仿宋_GB2312" w:cs="仿宋_GB2312"/>
                <w:color w:val="auto"/>
                <w:sz w:val="24"/>
                <w:szCs w:val="24"/>
              </w:rPr>
              <w:t>（5）</w:t>
            </w:r>
            <w:r>
              <w:rPr>
                <w:rFonts w:hint="eastAsia" w:ascii="仿宋_GB2312" w:eastAsia="仿宋_GB2312"/>
                <w:color w:val="auto"/>
                <w:sz w:val="24"/>
                <w:szCs w:val="24"/>
              </w:rPr>
              <w:t>推动节能环保与绿色校园建设：协助校园节照明、空调、节水和垃圾分类、资源回收等管理，制定并落实相关措施，助力文明校园、绿色校园和节能型校园目标的达成。</w:t>
            </w:r>
          </w:p>
          <w:p>
            <w:pPr>
              <w:keepNext w:val="0"/>
              <w:keepLines w:val="0"/>
              <w:pageBreakBefore w:val="0"/>
              <w:wordWrap/>
              <w:topLinePunct w:val="0"/>
              <w:bidi w:val="0"/>
              <w:adjustRightInd/>
              <w:snapToGrid/>
              <w:spacing w:line="400" w:lineRule="exact"/>
              <w:ind w:firstLine="48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（6）</w:t>
            </w:r>
            <w:r>
              <w:rPr>
                <w:rFonts w:hint="eastAsia" w:ascii="仿宋_GB2312" w:eastAsia="仿宋_GB2312"/>
                <w:color w:val="auto"/>
                <w:sz w:val="24"/>
                <w:szCs w:val="24"/>
              </w:rPr>
              <w:t>师生服务响应与满意度管理： 建立高效的修管理系统、服务热线等服务响应机制，处理师生投诉与建议；定期开展师生满意度调查，分析数据，制定并实施改进计划，持续提升服务质量，确保师生满意度达到</w:t>
            </w:r>
            <w:r>
              <w:rPr>
                <w:rFonts w:hint="eastAsia" w:ascii="仿宋_GB2312" w:eastAsia="仿宋_GB2312"/>
                <w:color w:val="auto"/>
                <w:sz w:val="24"/>
                <w:szCs w:val="24"/>
                <w:lang w:val="en-US" w:eastAsia="zh-CN"/>
              </w:rPr>
              <w:t>85</w:t>
            </w:r>
            <w:r>
              <w:rPr>
                <w:rFonts w:hint="eastAsia" w:ascii="仿宋_GB2312" w:eastAsia="仿宋_GB2312"/>
                <w:color w:val="auto"/>
                <w:sz w:val="24"/>
                <w:szCs w:val="24"/>
              </w:rPr>
              <w:t>%以上。</w:t>
            </w:r>
          </w:p>
          <w:p>
            <w:pPr>
              <w:keepNext w:val="0"/>
              <w:keepLines w:val="0"/>
              <w:pageBreakBefore w:val="0"/>
              <w:wordWrap/>
              <w:topLinePunct w:val="0"/>
              <w:bidi w:val="0"/>
              <w:adjustRightInd/>
              <w:snapToGrid/>
              <w:spacing w:line="400" w:lineRule="exact"/>
              <w:ind w:firstLine="480"/>
              <w:textAlignment w:val="auto"/>
              <w:rPr>
                <w:rFonts w:ascii="仿宋_GB2312" w:eastAsia="仿宋_GB2312"/>
                <w:color w:val="auto"/>
                <w:sz w:val="24"/>
                <w:szCs w:val="24"/>
              </w:rPr>
            </w:pPr>
            <w:r>
              <w:rPr>
                <w:rFonts w:hint="eastAsia" w:ascii="仿宋_GB2312" w:eastAsia="仿宋_GB2312"/>
                <w:color w:val="auto"/>
                <w:sz w:val="24"/>
                <w:szCs w:val="24"/>
              </w:rPr>
              <w:t>（7）物资管理台账与档案管理： 建立并维护物业相关设施设备、耗材等资产的详细台账，做好维保记录、运行数据、检查报告等履行合同档案资料，确保信息准确、可追溯。</w:t>
            </w:r>
          </w:p>
          <w:p>
            <w:pPr>
              <w:keepNext w:val="0"/>
              <w:keepLines w:val="0"/>
              <w:pageBreakBefore w:val="0"/>
              <w:wordWrap/>
              <w:topLinePunct w:val="0"/>
              <w:bidi w:val="0"/>
              <w:adjustRightInd/>
              <w:snapToGrid/>
              <w:spacing w:line="400" w:lineRule="exact"/>
              <w:ind w:firstLine="480"/>
              <w:textAlignment w:val="auto"/>
              <w:rPr>
                <w:rFonts w:ascii="仿宋_GB2312" w:eastAsia="仿宋_GB2312"/>
                <w:color w:val="auto"/>
                <w:sz w:val="24"/>
                <w:szCs w:val="24"/>
              </w:rPr>
            </w:pPr>
            <w:r>
              <w:rPr>
                <w:rFonts w:hint="eastAsia" w:ascii="仿宋_GB2312" w:eastAsia="仿宋_GB2312"/>
                <w:color w:val="auto"/>
                <w:sz w:val="24"/>
                <w:szCs w:val="24"/>
              </w:rPr>
              <w:t>（8）应急管理与安全保障协调：制定并演练物业管理范围内的公共卫生事件、设施故障、自然灾害等应急预案，确保校园的安全秩序。</w:t>
            </w:r>
          </w:p>
          <w:p>
            <w:pPr>
              <w:pStyle w:val="216"/>
              <w:keepNext w:val="0"/>
              <w:keepLines w:val="0"/>
              <w:pageBreakBefore w:val="0"/>
              <w:tabs>
                <w:tab w:val="left" w:pos="312"/>
              </w:tabs>
              <w:wordWrap/>
              <w:topLinePunct w:val="0"/>
              <w:bidi w:val="0"/>
              <w:adjustRightInd/>
              <w:snapToGrid/>
              <w:spacing w:line="400" w:lineRule="exact"/>
              <w:ind w:firstLine="482" w:firstLineChars="200"/>
              <w:textAlignment w:val="auto"/>
              <w:rPr>
                <w:rStyle w:val="118"/>
                <w:rFonts w:hint="default" w:ascii="仿宋_GB2312" w:hAnsi="仿宋_GB2312" w:eastAsia="仿宋_GB2312" w:cs="仿宋_GB2312"/>
                <w:b/>
                <w:color w:val="auto"/>
                <w:sz w:val="24"/>
                <w:szCs w:val="24"/>
              </w:rPr>
            </w:pPr>
            <w:r>
              <w:rPr>
                <w:rStyle w:val="118"/>
                <w:rFonts w:hint="default" w:ascii="仿宋_GB2312" w:hAnsi="仿宋_GB2312" w:eastAsia="仿宋_GB2312" w:cs="仿宋_GB2312"/>
                <w:b/>
                <w:color w:val="auto"/>
                <w:sz w:val="24"/>
                <w:szCs w:val="24"/>
              </w:rPr>
              <w:t>2．环境卫生岗位要求与服务标准</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（1）</w:t>
            </w:r>
            <w:r>
              <w:rPr>
                <w:rFonts w:hint="eastAsia" w:ascii="仿宋_GB2312" w:eastAsia="仿宋_GB2312"/>
                <w:color w:val="auto"/>
                <w:sz w:val="24"/>
                <w:szCs w:val="24"/>
              </w:rPr>
              <w:t>清洁建筑公共区域：负责办公楼、教学楼、实训楼、图书馆等建筑内走廊、楼梯、大厅、电梯厅等公共区域的地面清扫、拖洗，以及墙面、门窗、扶手、设施等除尘，保持洁净无杂物、无污渍、无灰尘。</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（2）</w:t>
            </w:r>
            <w:r>
              <w:rPr>
                <w:rFonts w:hint="eastAsia" w:ascii="仿宋_GB2312" w:eastAsia="仿宋_GB2312"/>
                <w:color w:val="auto"/>
                <w:sz w:val="24"/>
                <w:szCs w:val="24"/>
              </w:rPr>
              <w:t>卫生间清扫与消毒：高频次清洁、消毒卫生间及盥洗室的地面、墙面、隔断、便器、洗手台、镜子等设施，及时补充洗手液或卫生纸等耗材，确保无异味、无污垢、无积水。</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（3）</w:t>
            </w:r>
            <w:r>
              <w:rPr>
                <w:rFonts w:hint="eastAsia" w:ascii="仿宋_GB2312" w:eastAsia="仿宋_GB2312"/>
                <w:color w:val="auto"/>
                <w:sz w:val="24"/>
                <w:szCs w:val="24"/>
              </w:rPr>
              <w:t>清扫校内道路与露天场地：每日清扫校园主干道、支路、人行道、广场、运动场（跑道、球场周边）、停车场等露天公共区域，清除落叶、纸屑、烟头等垃圾杂物。</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（4）</w:t>
            </w:r>
            <w:r>
              <w:rPr>
                <w:rFonts w:hint="eastAsia" w:ascii="仿宋_GB2312" w:eastAsia="仿宋_GB2312"/>
                <w:color w:val="auto"/>
                <w:sz w:val="24"/>
                <w:szCs w:val="24"/>
              </w:rPr>
              <w:t>维护绿地与绿化带整洁：每日巡视并捡拾草坪、绿化带、花坛内的塑料袋、饮料瓶等白色垃圾及明显杂物，定期清理落叶，协助处理修剪后的枝叶。</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（5）</w:t>
            </w:r>
            <w:r>
              <w:rPr>
                <w:rFonts w:hint="eastAsia" w:ascii="仿宋_GB2312" w:eastAsia="仿宋_GB2312"/>
                <w:color w:val="auto"/>
                <w:sz w:val="24"/>
                <w:szCs w:val="24"/>
              </w:rPr>
              <w:t>分类收集与</w:t>
            </w:r>
            <w:r>
              <w:rPr>
                <w:rFonts w:hint="default" w:ascii="仿宋_GB2312" w:eastAsia="仿宋_GB2312"/>
                <w:color w:val="auto"/>
                <w:sz w:val="24"/>
                <w:szCs w:val="24"/>
              </w:rPr>
              <w:t>清理</w:t>
            </w:r>
            <w:r>
              <w:rPr>
                <w:rFonts w:hint="eastAsia" w:ascii="仿宋_GB2312" w:eastAsia="仿宋_GB2312"/>
                <w:color w:val="auto"/>
                <w:sz w:val="24"/>
                <w:szCs w:val="24"/>
              </w:rPr>
              <w:t>垃圾：按照学校规定路线和时间，分类收集楼内、室外各区域垃圾桶</w:t>
            </w:r>
            <w:r>
              <w:rPr>
                <w:rFonts w:hint="eastAsia" w:ascii="仿宋_GB2312" w:eastAsia="仿宋_GB2312"/>
                <w:color w:val="auto"/>
                <w:sz w:val="24"/>
                <w:szCs w:val="24"/>
                <w:lang w:eastAsia="zh-CN"/>
              </w:rPr>
              <w:t>，</w:t>
            </w:r>
            <w:r>
              <w:rPr>
                <w:rFonts w:hint="eastAsia" w:ascii="仿宋_GB2312" w:eastAsia="仿宋_GB2312"/>
                <w:color w:val="auto"/>
                <w:sz w:val="24"/>
                <w:szCs w:val="24"/>
              </w:rPr>
              <w:t>回收垃圾站的垃圾，确保垃圾日产日清、无积压</w:t>
            </w:r>
            <w:r>
              <w:rPr>
                <w:rFonts w:hint="eastAsia" w:ascii="仿宋_GB2312" w:eastAsia="仿宋_GB2312"/>
                <w:color w:val="auto"/>
                <w:sz w:val="24"/>
                <w:szCs w:val="24"/>
                <w:lang w:eastAsia="zh-CN"/>
              </w:rPr>
              <w:t>。</w:t>
            </w:r>
            <w:r>
              <w:rPr>
                <w:rFonts w:hint="eastAsia" w:ascii="仿宋_GB2312" w:eastAsia="仿宋_GB2312"/>
                <w:color w:val="auto"/>
                <w:sz w:val="24"/>
                <w:szCs w:val="24"/>
                <w:lang w:val="en-US" w:eastAsia="zh-CN"/>
              </w:rPr>
              <w:t>垃圾</w:t>
            </w:r>
            <w:r>
              <w:rPr>
                <w:rFonts w:hint="default" w:ascii="仿宋_GB2312" w:eastAsia="仿宋_GB2312"/>
                <w:color w:val="auto"/>
                <w:sz w:val="24"/>
                <w:szCs w:val="24"/>
              </w:rPr>
              <w:t>清理</w:t>
            </w:r>
            <w:r>
              <w:rPr>
                <w:rFonts w:hint="eastAsia" w:ascii="仿宋_GB2312" w:eastAsia="仿宋_GB2312"/>
                <w:color w:val="auto"/>
                <w:sz w:val="24"/>
                <w:szCs w:val="24"/>
              </w:rPr>
              <w:t>至指定垃圾处理</w:t>
            </w:r>
            <w:r>
              <w:rPr>
                <w:rFonts w:hint="default" w:ascii="仿宋_GB2312" w:eastAsia="仿宋_GB2312"/>
                <w:color w:val="auto"/>
                <w:sz w:val="24"/>
                <w:szCs w:val="24"/>
              </w:rPr>
              <w:t>场所</w:t>
            </w:r>
            <w:r>
              <w:rPr>
                <w:rFonts w:hint="eastAsia" w:ascii="仿宋_GB2312" w:eastAsia="仿宋_GB2312"/>
                <w:color w:val="auto"/>
                <w:sz w:val="24"/>
                <w:szCs w:val="24"/>
              </w:rPr>
              <w:t>。</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（6）</w:t>
            </w:r>
            <w:r>
              <w:rPr>
                <w:rFonts w:hint="eastAsia" w:ascii="仿宋_GB2312" w:eastAsia="仿宋_GB2312"/>
                <w:color w:val="auto"/>
                <w:sz w:val="24"/>
                <w:szCs w:val="24"/>
              </w:rPr>
              <w:t>清洁消毒垃圾容器与站点：定期清洁垃圾桶外部及垃圾回收站的地面，冲洗消毒垃圾桶，保持垃圾点周边卫生，防止异味和污染。</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（7）执行公共区域消毒任务：在常规清洁基础上，根据要求对传染病高发期和对门把手、电梯按钮、扶手等高频接触点、卫生间、垃圾点等公共区域进行定期消毒。</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（8）协助落实“门前三包”： 负责市政规定范围内校园出入口及周边的环境卫生，及时清扫垃圾、落叶、积水；维护绿化设施；发现并上报乱堆乱放、乱贴乱画、乱设摊点等影响市容秩序的行为。</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w:t>
            </w:r>
            <w:r>
              <w:rPr>
                <w:rFonts w:hint="eastAsia" w:ascii="仿宋_GB2312" w:eastAsia="仿宋_GB2312"/>
                <w:color w:val="auto"/>
                <w:sz w:val="24"/>
                <w:szCs w:val="24"/>
                <w:lang w:val="en-US" w:eastAsia="zh-CN"/>
              </w:rPr>
              <w:t>9</w:t>
            </w:r>
            <w:r>
              <w:rPr>
                <w:rFonts w:hint="eastAsia" w:ascii="仿宋_GB2312" w:eastAsia="仿宋_GB2312"/>
                <w:color w:val="auto"/>
                <w:sz w:val="24"/>
                <w:szCs w:val="24"/>
              </w:rPr>
              <w:t>）响应临时需求与报告问题：配合完成大型活动后或特殊情况的突击清洁任务；工作中发现设施损坏、安全隐患或漏水、可疑物品等异常情况及时上报。</w:t>
            </w:r>
          </w:p>
          <w:p>
            <w:pPr>
              <w:pStyle w:val="216"/>
              <w:keepNext w:val="0"/>
              <w:keepLines w:val="0"/>
              <w:pageBreakBefore w:val="0"/>
              <w:tabs>
                <w:tab w:val="left" w:pos="312"/>
              </w:tabs>
              <w:wordWrap/>
              <w:topLinePunct w:val="0"/>
              <w:bidi w:val="0"/>
              <w:adjustRightInd/>
              <w:snapToGrid/>
              <w:spacing w:line="400" w:lineRule="exact"/>
              <w:ind w:firstLine="482" w:firstLineChars="200"/>
              <w:textAlignment w:val="auto"/>
              <w:rPr>
                <w:rStyle w:val="118"/>
                <w:rFonts w:hint="default" w:ascii="仿宋_GB2312" w:hAnsi="仿宋_GB2312" w:eastAsia="仿宋_GB2312" w:cs="仿宋_GB2312"/>
                <w:b/>
                <w:color w:val="auto"/>
                <w:sz w:val="24"/>
                <w:szCs w:val="24"/>
              </w:rPr>
            </w:pPr>
            <w:r>
              <w:rPr>
                <w:rStyle w:val="118"/>
                <w:rFonts w:hint="default" w:ascii="仿宋_GB2312" w:hAnsi="仿宋_GB2312" w:eastAsia="仿宋_GB2312" w:cs="仿宋_GB2312"/>
                <w:b/>
                <w:color w:val="auto"/>
                <w:sz w:val="24"/>
                <w:szCs w:val="24"/>
              </w:rPr>
              <w:t>3．设施设备维修维护岗位要求与服务标准</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（1）</w:t>
            </w:r>
            <w:r>
              <w:rPr>
                <w:rFonts w:hint="eastAsia" w:ascii="仿宋_GB2312" w:eastAsia="仿宋_GB2312"/>
                <w:color w:val="auto"/>
                <w:sz w:val="24"/>
                <w:szCs w:val="24"/>
              </w:rPr>
              <w:t>日常巡检与报修响应：对负责区域内的建筑物本体（如外墙砖脱落、门窗损坏、屋顶渗漏点）、公共设施（路灯、座椅、宣传栏、护栏）、道路及人行道（地砖松动、路缘石破损）、水电管网（如明管漏水、阀门滴漏）进行定期巡查，主动发现隐患。及时响应师生或部门通过报修平台、电话、现场提出的零星维修请求。</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（2）</w:t>
            </w:r>
            <w:r>
              <w:rPr>
                <w:rFonts w:hint="eastAsia" w:ascii="仿宋_GB2312" w:eastAsia="仿宋_GB2312"/>
                <w:color w:val="auto"/>
                <w:sz w:val="24"/>
                <w:szCs w:val="24"/>
              </w:rPr>
              <w:t>建筑物及附属构件小修：负责修复建筑物内外墙面的小面积破损、瓷砖脱落、涂料剥落。维修或更换损坏的门窗（含锁具、合页、玻璃）、小面积吊顶、踢脚线、扶手栏杆等。处理屋顶、墙面、管道井等部位的小范围渗漏（非结构性、非大面积）。</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（3）</w:t>
            </w:r>
            <w:r>
              <w:rPr>
                <w:rFonts w:hint="eastAsia" w:ascii="仿宋_GB2312" w:eastAsia="仿宋_GB2312"/>
                <w:color w:val="auto"/>
                <w:sz w:val="24"/>
                <w:szCs w:val="24"/>
              </w:rPr>
              <w:t>公共区域设施维修：修复损坏的公共座椅、休闲设施、标识标牌、自行车棚、非机动车停车架等。维修道路、广场、人行道的地砖松动、碎裂、沉陷（小面积，非基础问题）。维护路沿石、雨水篦子、井盖（非重型）的完好与功能。</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（4）</w:t>
            </w:r>
            <w:r>
              <w:rPr>
                <w:rFonts w:hint="eastAsia" w:ascii="仿宋_GB2312" w:eastAsia="仿宋_GB2312"/>
                <w:color w:val="auto"/>
                <w:sz w:val="24"/>
                <w:szCs w:val="24"/>
              </w:rPr>
              <w:t>水电设备及管网日常维修：维修或更换室内外公共区域的照明灯具、开关、插座、小型配电箱（非高压）内的空气开关、接触器（低压）。修复生活给排水管道的明管漏水、阀门渗漏、水龙头、角阀、软管故障，疏通公共区域小型下水管道堵塞（非主管道）。对生活水箱（非清洗，指外部附件如浮球阀、液位计、人孔盖密封）进行日常检查和简单维修</w:t>
            </w:r>
            <w:r>
              <w:rPr>
                <w:rFonts w:hint="eastAsia" w:ascii="仿宋_GB2312" w:eastAsia="仿宋_GB2312"/>
                <w:color w:val="auto"/>
                <w:sz w:val="24"/>
                <w:szCs w:val="24"/>
                <w:lang w:eastAsia="zh-CN"/>
              </w:rPr>
              <w:t>，</w:t>
            </w:r>
            <w:r>
              <w:rPr>
                <w:rFonts w:hint="eastAsia" w:ascii="仿宋_GB2312" w:eastAsia="仿宋_GB2312"/>
                <w:color w:val="auto"/>
                <w:sz w:val="24"/>
                <w:szCs w:val="24"/>
                <w:lang w:val="en-US" w:eastAsia="zh-CN"/>
              </w:rPr>
              <w:t>并开展开水机清洗消毒、生活水箱清洁及水质检测</w:t>
            </w:r>
            <w:r>
              <w:rPr>
                <w:rFonts w:hint="eastAsia" w:ascii="仿宋_GB2312" w:eastAsia="仿宋_GB2312"/>
                <w:color w:val="auto"/>
                <w:sz w:val="24"/>
                <w:szCs w:val="24"/>
              </w:rPr>
              <w:t>。</w:t>
            </w:r>
          </w:p>
          <w:p>
            <w:pPr>
              <w:keepNext w:val="0"/>
              <w:keepLines w:val="0"/>
              <w:pageBreakBefore w:val="0"/>
              <w:wordWrap/>
              <w:topLinePunct w:val="0"/>
              <w:bidi w:val="0"/>
              <w:adjustRightInd/>
              <w:snapToGrid/>
              <w:spacing w:line="400" w:lineRule="exact"/>
              <w:ind w:firstLine="480" w:firstLineChars="200"/>
              <w:textAlignment w:val="auto"/>
              <w:rPr>
                <w:rFonts w:hint="eastAsia" w:ascii="仿宋_GB2312" w:eastAsia="仿宋_GB2312"/>
                <w:color w:val="auto"/>
                <w:sz w:val="24"/>
                <w:szCs w:val="24"/>
              </w:rPr>
            </w:pPr>
            <w:r>
              <w:rPr>
                <w:rStyle w:val="118"/>
                <w:rFonts w:hint="default" w:ascii="仿宋_GB2312" w:hAnsi="仿宋_GB2312" w:eastAsia="仿宋_GB2312" w:cs="仿宋_GB2312"/>
                <w:color w:val="auto"/>
                <w:sz w:val="24"/>
                <w:szCs w:val="24"/>
              </w:rPr>
              <w:t>（5）</w:t>
            </w:r>
            <w:r>
              <w:rPr>
                <w:rFonts w:hint="eastAsia" w:ascii="仿宋_GB2312" w:eastAsia="仿宋_GB2312"/>
                <w:color w:val="auto"/>
                <w:sz w:val="24"/>
                <w:szCs w:val="24"/>
              </w:rPr>
              <w:t>备用发电机日常检查与简单维护：进行备用发电机的日常外观检查、油位/水位/电池状态检查。执行简单的维护操作，协助专业公司进行定期保养和试运行。</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（6）</w:t>
            </w:r>
            <w:r>
              <w:rPr>
                <w:rFonts w:hint="eastAsia" w:ascii="仿宋_GB2312" w:eastAsia="仿宋_GB2312"/>
                <w:color w:val="auto"/>
                <w:sz w:val="24"/>
                <w:szCs w:val="24"/>
              </w:rPr>
              <w:t>家具及桌椅维修：维修教室桌椅、公共区域（图书馆、办公室、会议室、活动室）及学生公寓内的公用家具（桌椅、柜子、书架等）的松动、开胶、小部件损坏（螺丝、合页、滑轨、拉手），进行简单的加固、调整、更换配件。</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（7）学生公寓</w:t>
            </w:r>
            <w:r>
              <w:rPr>
                <w:rFonts w:hint="eastAsia" w:ascii="仿宋_GB2312" w:eastAsia="仿宋_GB2312"/>
                <w:color w:val="auto"/>
                <w:sz w:val="24"/>
                <w:szCs w:val="24"/>
                <w:lang w:val="en-US" w:eastAsia="zh-CN"/>
              </w:rPr>
              <w:t>和礼堂的室内</w:t>
            </w:r>
            <w:r>
              <w:rPr>
                <w:rFonts w:hint="eastAsia" w:ascii="仿宋_GB2312" w:eastAsia="仿宋_GB2312"/>
                <w:color w:val="auto"/>
                <w:sz w:val="24"/>
                <w:szCs w:val="24"/>
              </w:rPr>
              <w:t>空调</w:t>
            </w:r>
            <w:r>
              <w:rPr>
                <w:rFonts w:hint="eastAsia" w:ascii="仿宋_GB2312" w:eastAsia="仿宋_GB2312"/>
                <w:color w:val="auto"/>
                <w:sz w:val="24"/>
                <w:szCs w:val="24"/>
                <w:lang w:val="en-US" w:eastAsia="zh-CN"/>
              </w:rPr>
              <w:t>机</w:t>
            </w:r>
            <w:r>
              <w:rPr>
                <w:rFonts w:hint="eastAsia" w:ascii="仿宋_GB2312" w:eastAsia="仿宋_GB2312"/>
                <w:color w:val="auto"/>
                <w:sz w:val="24"/>
                <w:szCs w:val="24"/>
              </w:rPr>
              <w:t>清洗与简单维修：按计划对学生公寓</w:t>
            </w:r>
            <w:r>
              <w:rPr>
                <w:rFonts w:hint="eastAsia" w:ascii="仿宋_GB2312" w:eastAsia="仿宋_GB2312"/>
                <w:color w:val="auto"/>
                <w:sz w:val="24"/>
                <w:szCs w:val="24"/>
                <w:lang w:val="en-US" w:eastAsia="zh-CN"/>
              </w:rPr>
              <w:t>室内</w:t>
            </w:r>
            <w:r>
              <w:rPr>
                <w:rFonts w:hint="eastAsia" w:ascii="仿宋_GB2312" w:eastAsia="仿宋_GB2312"/>
                <w:color w:val="auto"/>
                <w:sz w:val="24"/>
                <w:szCs w:val="24"/>
              </w:rPr>
              <w:t>分体式空调的滤网、外壳、出风口进行清洗消毒（不涉及拆洗内机蒸发器）。处理空调遥控器失灵、电源插头接触不良、简单故障判断，协助联系专业人员对空调进行深度维修。</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8）维修过程管理：接到报修后，及时到达现场评估，准备工具和常用耗材、小配件等材料。按照安全规程和操作规范进行维修，确保维修质量。维修过程中保持现场整洁，减少对师生教学、生活的影响，完工后清理现场。</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（9）维修材料管理：负责常用灯泡、开关插座、水龙头、角阀、软管、螺丝、合页、小五金、密封胶等维修耗材和小配件的领用、保管和登记。合理使用材料，杜绝浪费，优先利用可修复的旧件。</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10）维修记录与反馈：详细、准确地记录每次巡检发现的问题、维修内容、使用的材料、工时、完成情况。及时在报修系统中更新维修状态（受理、处理中、已完成）。对于无法处理或需要专业公司/立项的问题，及时上报主管并告知报修方。定期汇总维修数据，为预防性维护和物料采购提供依据。</w:t>
            </w:r>
          </w:p>
          <w:p>
            <w:pPr>
              <w:pStyle w:val="216"/>
              <w:keepNext w:val="0"/>
              <w:keepLines w:val="0"/>
              <w:pageBreakBefore w:val="0"/>
              <w:tabs>
                <w:tab w:val="left" w:pos="312"/>
              </w:tabs>
              <w:wordWrap/>
              <w:topLinePunct w:val="0"/>
              <w:bidi w:val="0"/>
              <w:adjustRightInd/>
              <w:snapToGrid/>
              <w:spacing w:line="400" w:lineRule="exact"/>
              <w:ind w:firstLine="482" w:firstLineChars="200"/>
              <w:textAlignment w:val="auto"/>
              <w:rPr>
                <w:rStyle w:val="118"/>
                <w:rFonts w:hint="default" w:ascii="仿宋_GB2312" w:hAnsi="仿宋_GB2312" w:eastAsia="仿宋_GB2312" w:cs="仿宋_GB2312"/>
                <w:b/>
                <w:color w:val="auto"/>
                <w:sz w:val="24"/>
                <w:szCs w:val="24"/>
              </w:rPr>
            </w:pPr>
            <w:r>
              <w:rPr>
                <w:rStyle w:val="118"/>
                <w:rFonts w:hint="default" w:ascii="仿宋_GB2312" w:hAnsi="仿宋_GB2312" w:eastAsia="仿宋_GB2312" w:cs="仿宋_GB2312"/>
                <w:b/>
                <w:color w:val="auto"/>
                <w:sz w:val="24"/>
                <w:szCs w:val="24"/>
              </w:rPr>
              <w:t>4．绿化养护岗位要求与服务标准</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（1）</w:t>
            </w:r>
            <w:r>
              <w:rPr>
                <w:rFonts w:hint="eastAsia" w:ascii="仿宋_GB2312" w:eastAsia="仿宋_GB2312"/>
                <w:color w:val="auto"/>
                <w:sz w:val="24"/>
                <w:szCs w:val="24"/>
              </w:rPr>
              <w:t>草坪养护管理：定期修剪草坪（根据季节和草种确定频率和高度），保持平整美观。执行草坪浇水、施肥（根据土壤测试和草种需求）、打孔、梳草、覆沙等养护作业。及时清除杂草（人工或选择性药剂），防治草坪病虫害。修复草坪斑秃、破损区域（补播草籽或铺草皮）。</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（2）</w:t>
            </w:r>
            <w:r>
              <w:rPr>
                <w:rFonts w:hint="eastAsia" w:ascii="仿宋_GB2312" w:eastAsia="仿宋_GB2312"/>
                <w:color w:val="auto"/>
                <w:sz w:val="24"/>
                <w:szCs w:val="24"/>
              </w:rPr>
              <w:t>绿篱、灌木与模纹养护：根据植物生长特性和景观要求，定期进行绿篱、灌木、模纹的整形修剪，保持线条流畅、形态美观、通风透光。负责绿篱、灌木的浇水、施肥（穴施、沟施或叶面喷施）。清除绿篱、灌木丛内的杂草、枯枝败叶及杂物。防治绿篱、灌木的病虫害。</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（3）</w:t>
            </w:r>
            <w:r>
              <w:rPr>
                <w:rFonts w:hint="eastAsia" w:ascii="仿宋_GB2312" w:eastAsia="仿宋_GB2312"/>
                <w:color w:val="auto"/>
                <w:sz w:val="24"/>
                <w:szCs w:val="24"/>
              </w:rPr>
              <w:t>乔木（树木）养护管理：对树木进行常规修剪（枯枝、病虫枝、交叉枝、下垂枝、过密枝），特殊造型修剪需按指示进行。根据树种、树龄、季节和土壤墒情进行科学浇水（尤其是新植树木和干旱期）。对树木进行合理施肥（环施、穴施），促进健康生长。对树木进行支撑加固、防寒刷白、防风修剪或加固（台风季节前）等防护措施。观察树木生长状况，及时发现并上报严重病虫害、空洞、倾斜等安全隐患。</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（4）</w:t>
            </w:r>
            <w:r>
              <w:rPr>
                <w:rFonts w:hint="eastAsia" w:ascii="仿宋_GB2312" w:eastAsia="仿宋_GB2312"/>
                <w:color w:val="auto"/>
                <w:sz w:val="24"/>
                <w:szCs w:val="24"/>
              </w:rPr>
              <w:t>植物灌溉系统操作与维护：操作和维护校园绿化区域的喷灌、滴灌等灌溉系统，根据天气和植物需水情况调整灌溉计划。定期检查灌溉管道、喷头、阀门、控制器等，进行简单维修（更换喷头、清理过滤器、疏通管道），确保系统正常运行，减少水资源浪费。复杂故障上报。</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（5）</w:t>
            </w:r>
            <w:r>
              <w:rPr>
                <w:rFonts w:hint="eastAsia" w:ascii="仿宋_GB2312" w:eastAsia="仿宋_GB2312"/>
                <w:color w:val="auto"/>
                <w:sz w:val="24"/>
                <w:szCs w:val="24"/>
              </w:rPr>
              <w:t>病虫害监测与综合防治：定期巡查绿地，监测植物病虫害发生情况，做到早发现、早防治。在专业人员指导下，采用物理防治、生物防治和科学、低毒、环保的化学防治方法进行病虫害防控，严格遵守农药安全使用规程，做好记录。及时清理病虫枝、叶、果，减少病源、虫源。</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（6）</w:t>
            </w:r>
            <w:r>
              <w:rPr>
                <w:rFonts w:hint="eastAsia" w:ascii="仿宋_GB2312" w:eastAsia="仿宋_GB2312"/>
                <w:color w:val="auto"/>
                <w:sz w:val="24"/>
                <w:szCs w:val="24"/>
              </w:rPr>
              <w:t>绿地卫生与杂草控制：清除负责区域内绿地（草坪、花坛、绿篱下）的垃圾、落叶、石块等杂物，保持环境整洁。持续进行人工或选择性药剂除草工作，控制非目标杂草生长，维护绿化景观效果。</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7）花卉布置与养护（季节性）：负责花圃、花坛、花盆等区域的时令草花种植、更换与日常养护（浇水、施肥、摘除残花、清除杂草）。协助进行重要节日（如开学、毕业、五一、国庆等）或活动的校园花卉景观布置。</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（8）植物调整与小型迁植：根据校园景观微调需求或配合小范围施工，对植株（小乔木、灌木、花卉等）的局部调整、移植或补种工作。负责移栽后的养护管理，确保成活率。</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9）绿化设施维护与工具管理：维护保养所负责的绿化机械（割草机、绿篱机、打药机、油锯等）和手工工具（枝剪、绿篱剪、铁锹、耙子等），确保其处于良好工作状态，进行简单故障排除，复杂问题及时报修。安全、规范操作各类绿化机械，遵守操作规程。妥善保管和合理使用肥料、农药、油料等物料，做好出入库记录，节约资源。</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10）安全作业与应急响应：严格遵守安全作业规程，特别是在使用机械、农药、梯子作业时，做好个人防护，设置作业警示标志。在恶劣天气（如暴雨、大风）前后，进行必要的巡查和应急处理（如疏通排水、扶正加固倒伏小树、清理断枝）。对养护作业中发现的绿地安全隐患（危树、塌陷、裸露线缆、损坏的园林设施）及时上报。</w:t>
            </w:r>
          </w:p>
          <w:p>
            <w:pPr>
              <w:pStyle w:val="216"/>
              <w:keepNext w:val="0"/>
              <w:keepLines w:val="0"/>
              <w:pageBreakBefore w:val="0"/>
              <w:tabs>
                <w:tab w:val="left" w:pos="312"/>
              </w:tabs>
              <w:wordWrap/>
              <w:topLinePunct w:val="0"/>
              <w:bidi w:val="0"/>
              <w:adjustRightInd/>
              <w:snapToGrid/>
              <w:spacing w:line="400" w:lineRule="exact"/>
              <w:ind w:firstLine="482" w:firstLineChars="200"/>
              <w:textAlignment w:val="auto"/>
              <w:rPr>
                <w:rStyle w:val="118"/>
                <w:rFonts w:hint="default" w:ascii="仿宋_GB2312" w:hAnsi="仿宋_GB2312" w:eastAsia="仿宋_GB2312" w:cs="仿宋_GB2312"/>
                <w:b/>
                <w:color w:val="auto"/>
                <w:sz w:val="24"/>
                <w:szCs w:val="24"/>
              </w:rPr>
            </w:pPr>
            <w:r>
              <w:rPr>
                <w:rStyle w:val="118"/>
                <w:rFonts w:hint="default" w:ascii="仿宋_GB2312" w:hAnsi="仿宋_GB2312" w:eastAsia="仿宋_GB2312" w:cs="仿宋_GB2312"/>
                <w:b/>
                <w:color w:val="auto"/>
                <w:sz w:val="24"/>
                <w:szCs w:val="24"/>
              </w:rPr>
              <w:t>5．学生公寓管理和岗位要求与服务标准</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（1）学生公寓门禁管理。严禁学生进入异性公寓；杜绝从事推销、发传单、广告的人员进入学生公寓。</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（2）学生公寓安全巡查。定时对公寓楼进行安全巡查，应急灯、疏散通道等是否完好有效，及时发现并消除安全隐患。</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（3）学生公寓秩序维护。维护公寓楼内公共秩序，预防盗窃，打架斗殴等事件发生，发现可疑情况及时报告保卫处。</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（4）学生公寓应急处理。熟练掌握突发情况的应急处理流程，在发生火灾、地震、突发疾病等紧急情况时，第一时间采取初步措施，并迅速报告相关部门。</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（5）学生行为监督。检查学生在公寓内的违规行为（如喝酒、赌博、大声喧哗影响他人休息），并进行必要的劝导和教育。</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（6）钥匙管理。妥善保管钥匙，学生公寓大门、应急通道门和公寓备用钥匙的管理，按规定办理学生临时借用钥匙手续。</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（7）协助报修。协助学生报修，及时联系物业维修人员进行处理，跟进维修进度。</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（8）国际学生公寓管理员与国际教育学院辅导员每月定期开展一次工作总结会，对上个月的公寓管理情况进行汇报，针对突出问题与辅导员进行沟通研判。</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（9）做好访客进出核实、登记与管理，防止闲杂人员进入。</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（10）完成学校管理部门交办的其他临时工作。</w:t>
            </w:r>
          </w:p>
          <w:p>
            <w:pPr>
              <w:pStyle w:val="216"/>
              <w:keepNext w:val="0"/>
              <w:keepLines w:val="0"/>
              <w:pageBreakBefore w:val="0"/>
              <w:tabs>
                <w:tab w:val="left" w:pos="312"/>
              </w:tabs>
              <w:wordWrap/>
              <w:topLinePunct w:val="0"/>
              <w:bidi w:val="0"/>
              <w:adjustRightInd/>
              <w:snapToGrid/>
              <w:spacing w:line="400" w:lineRule="exact"/>
              <w:ind w:firstLine="482" w:firstLineChars="200"/>
              <w:textAlignment w:val="auto"/>
              <w:rPr>
                <w:rStyle w:val="118"/>
                <w:rFonts w:hint="default" w:ascii="仿宋_GB2312" w:hAnsi="仿宋_GB2312" w:eastAsia="仿宋_GB2312" w:cs="仿宋_GB2312"/>
                <w:b/>
                <w:color w:val="auto"/>
                <w:sz w:val="24"/>
                <w:szCs w:val="24"/>
              </w:rPr>
            </w:pPr>
            <w:r>
              <w:rPr>
                <w:rStyle w:val="118"/>
                <w:rFonts w:hint="default" w:ascii="仿宋_GB2312" w:hAnsi="仿宋_GB2312" w:eastAsia="仿宋_GB2312" w:cs="仿宋_GB2312"/>
                <w:b/>
                <w:color w:val="auto"/>
                <w:sz w:val="24"/>
                <w:szCs w:val="24"/>
              </w:rPr>
              <w:t>6．学员公寓管理的管理要求与服务标准</w:t>
            </w:r>
          </w:p>
          <w:p>
            <w:pPr>
              <w:keepNext w:val="0"/>
              <w:keepLines w:val="0"/>
              <w:pageBreakBefore w:val="0"/>
              <w:wordWrap/>
              <w:topLinePunct w:val="0"/>
              <w:bidi w:val="0"/>
              <w:adjustRightInd/>
              <w:snapToGrid/>
              <w:spacing w:line="400" w:lineRule="exact"/>
              <w:ind w:firstLine="361" w:firstLineChars="150"/>
              <w:textAlignment w:val="auto"/>
              <w:rPr>
                <w:rFonts w:ascii="仿宋_GB2312" w:eastAsia="仿宋_GB2312"/>
                <w:color w:val="auto"/>
                <w:sz w:val="24"/>
                <w:szCs w:val="24"/>
              </w:rPr>
            </w:pPr>
            <w:r>
              <w:rPr>
                <w:rStyle w:val="118"/>
                <w:rFonts w:hint="default" w:ascii="仿宋_GB2312" w:hAnsi="仿宋_GB2312" w:eastAsia="仿宋_GB2312" w:cs="仿宋_GB2312"/>
                <w:b/>
                <w:bCs/>
                <w:color w:val="auto"/>
                <w:sz w:val="24"/>
                <w:szCs w:val="24"/>
              </w:rPr>
              <w:t>（1）</w:t>
            </w:r>
            <w:r>
              <w:rPr>
                <w:rFonts w:hint="eastAsia" w:ascii="仿宋_GB2312" w:eastAsia="仿宋_GB2312"/>
                <w:b/>
                <w:bCs/>
                <w:color w:val="auto"/>
                <w:sz w:val="24"/>
                <w:szCs w:val="24"/>
              </w:rPr>
              <w:t>综合性服务管理</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①</w:t>
            </w:r>
            <w:r>
              <w:rPr>
                <w:rFonts w:hint="eastAsia" w:ascii="仿宋_GB2312" w:eastAsia="仿宋_GB2312"/>
                <w:color w:val="auto"/>
                <w:sz w:val="24"/>
                <w:szCs w:val="24"/>
              </w:rPr>
              <w:t>承担前台接待工作，包括办理学员及访客的入住、退房手续，准确登记身份信息，妥善处理预订、咨询等事务，确保流程规范、高效。</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②</w:t>
            </w:r>
            <w:r>
              <w:rPr>
                <w:rFonts w:hint="eastAsia" w:ascii="仿宋_GB2312" w:eastAsia="仿宋_GB2312"/>
                <w:color w:val="auto"/>
                <w:sz w:val="24"/>
                <w:szCs w:val="24"/>
              </w:rPr>
              <w:t>负责</w:t>
            </w:r>
            <w:r>
              <w:rPr>
                <w:rFonts w:hint="eastAsia" w:ascii="仿宋_GB2312" w:eastAsia="仿宋_GB2312"/>
                <w:color w:val="auto"/>
                <w:sz w:val="24"/>
                <w:szCs w:val="24"/>
                <w:lang w:eastAsia="zh-CN"/>
              </w:rPr>
              <w:t>管理</w:t>
            </w:r>
            <w:r>
              <w:rPr>
                <w:rFonts w:hint="eastAsia" w:ascii="仿宋_GB2312" w:eastAsia="仿宋_GB2312"/>
                <w:color w:val="auto"/>
                <w:sz w:val="24"/>
                <w:szCs w:val="24"/>
              </w:rPr>
              <w:t>日常清洁与维护，严格按照卫生标准完成房间清扫、布草更换、物品补充等工作，同时兼顾公共区域的卫生保洁，为住客营造干净整洁的居住环境。</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③</w:t>
            </w:r>
            <w:r>
              <w:rPr>
                <w:rFonts w:hint="eastAsia" w:ascii="仿宋_GB2312" w:eastAsia="仿宋_GB2312"/>
                <w:color w:val="auto"/>
                <w:sz w:val="24"/>
                <w:szCs w:val="24"/>
              </w:rPr>
              <w:t>若遇公寓内举办小型会议或活动，需协助布置场地、准备物资，并提供必要的现场服务，保障活动顺利开展。</w:t>
            </w:r>
          </w:p>
          <w:p>
            <w:pPr>
              <w:keepNext w:val="0"/>
              <w:keepLines w:val="0"/>
              <w:pageBreakBefore w:val="0"/>
              <w:wordWrap/>
              <w:topLinePunct w:val="0"/>
              <w:bidi w:val="0"/>
              <w:adjustRightInd/>
              <w:snapToGrid/>
              <w:spacing w:line="400" w:lineRule="exact"/>
              <w:ind w:firstLine="361" w:firstLineChars="150"/>
              <w:textAlignment w:val="auto"/>
              <w:rPr>
                <w:rFonts w:ascii="仿宋_GB2312" w:eastAsia="仿宋_GB2312"/>
                <w:color w:val="auto"/>
                <w:sz w:val="24"/>
                <w:szCs w:val="24"/>
              </w:rPr>
            </w:pPr>
            <w:r>
              <w:rPr>
                <w:rStyle w:val="118"/>
                <w:rFonts w:hint="default" w:ascii="仿宋_GB2312" w:hAnsi="仿宋_GB2312" w:eastAsia="仿宋_GB2312" w:cs="仿宋_GB2312"/>
                <w:b/>
                <w:bCs/>
                <w:color w:val="auto"/>
                <w:sz w:val="24"/>
                <w:szCs w:val="24"/>
              </w:rPr>
              <w:t>（2）</w:t>
            </w:r>
            <w:r>
              <w:rPr>
                <w:rFonts w:hint="eastAsia" w:ascii="仿宋_GB2312" w:eastAsia="仿宋_GB2312"/>
                <w:b/>
                <w:bCs/>
                <w:color w:val="auto"/>
                <w:sz w:val="24"/>
                <w:szCs w:val="24"/>
              </w:rPr>
              <w:t>服务导向工作</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①</w:t>
            </w:r>
            <w:r>
              <w:rPr>
                <w:rFonts w:ascii="仿宋_GB2312" w:eastAsia="仿宋_GB2312"/>
                <w:color w:val="auto"/>
                <w:sz w:val="24"/>
                <w:szCs w:val="24"/>
              </w:rPr>
              <w:t>始终秉持以客为尊的服务理念，热情、耐心地对待每一位住客，及时响应住客提出的需求，如物品借用、设施报修等，确保在规定时间内给予反馈和处理，提升住客满意度</w:t>
            </w:r>
            <w:r>
              <w:rPr>
                <w:rFonts w:hint="eastAsia" w:ascii="仿宋_GB2312" w:eastAsia="仿宋_GB2312"/>
                <w:color w:val="auto"/>
                <w:sz w:val="24"/>
                <w:szCs w:val="24"/>
              </w:rPr>
              <w:t>始终。</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②</w:t>
            </w:r>
            <w:r>
              <w:rPr>
                <w:rFonts w:hint="eastAsia" w:ascii="仿宋_GB2312" w:eastAsia="仿宋_GB2312"/>
                <w:color w:val="auto"/>
                <w:sz w:val="24"/>
                <w:szCs w:val="24"/>
              </w:rPr>
              <w:t>定期收集住客意见与建议，主动了解住客需求变化，积极改进服务质量，不断优化住宿体验。</w:t>
            </w:r>
          </w:p>
          <w:p>
            <w:pPr>
              <w:keepNext w:val="0"/>
              <w:keepLines w:val="0"/>
              <w:pageBreakBefore w:val="0"/>
              <w:wordWrap/>
              <w:topLinePunct w:val="0"/>
              <w:bidi w:val="0"/>
              <w:adjustRightInd/>
              <w:snapToGrid/>
              <w:spacing w:line="400" w:lineRule="exact"/>
              <w:ind w:firstLine="361" w:firstLineChars="150"/>
              <w:textAlignment w:val="auto"/>
              <w:rPr>
                <w:rFonts w:ascii="仿宋_GB2312" w:eastAsia="仿宋_GB2312"/>
                <w:b/>
                <w:bCs/>
                <w:color w:val="auto"/>
                <w:sz w:val="24"/>
                <w:szCs w:val="24"/>
              </w:rPr>
            </w:pPr>
            <w:r>
              <w:rPr>
                <w:rStyle w:val="118"/>
                <w:rFonts w:hint="default" w:ascii="仿宋_GB2312" w:hAnsi="仿宋_GB2312" w:eastAsia="仿宋_GB2312" w:cs="仿宋_GB2312"/>
                <w:b/>
                <w:bCs/>
                <w:color w:val="auto"/>
                <w:sz w:val="24"/>
                <w:szCs w:val="24"/>
              </w:rPr>
              <w:t>（3）</w:t>
            </w:r>
            <w:r>
              <w:rPr>
                <w:rFonts w:hint="eastAsia" w:ascii="仿宋_GB2312" w:eastAsia="仿宋_GB2312"/>
                <w:b/>
                <w:bCs/>
                <w:color w:val="auto"/>
                <w:sz w:val="24"/>
                <w:szCs w:val="24"/>
              </w:rPr>
              <w:t>安全保障工作</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①</w:t>
            </w:r>
            <w:r>
              <w:rPr>
                <w:rFonts w:hint="eastAsia" w:ascii="仿宋_GB2312" w:eastAsia="仿宋_GB2312"/>
                <w:color w:val="auto"/>
                <w:sz w:val="24"/>
                <w:szCs w:val="24"/>
              </w:rPr>
              <w:t>严格落实消防安全制度，定期检查公寓内消防设施设备，确保其完好有效；组织并参与消防演练，提高应急处置能力，预防事故发生。</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②</w:t>
            </w:r>
            <w:r>
              <w:rPr>
                <w:rFonts w:hint="eastAsia" w:ascii="仿宋_GB2312" w:eastAsia="仿宋_GB2312"/>
                <w:color w:val="auto"/>
                <w:sz w:val="24"/>
                <w:szCs w:val="24"/>
              </w:rPr>
              <w:t>加强公寓安全巡查，保障住客人身及财物安全，对可疑人员和行为及时进行询问与管控；严格执行门禁制度，维护公寓正常秩序。</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③</w:t>
            </w:r>
            <w:r>
              <w:rPr>
                <w:rFonts w:hint="eastAsia" w:ascii="仿宋_GB2312" w:eastAsia="仿宋_GB2312"/>
                <w:color w:val="auto"/>
                <w:sz w:val="24"/>
                <w:szCs w:val="24"/>
              </w:rPr>
              <w:t>规范各类设备操作流程，定期对设施设备进行安全检查，及时发现并消除安全隐患，确保公寓运营安全。</w:t>
            </w:r>
          </w:p>
          <w:p>
            <w:pPr>
              <w:keepNext w:val="0"/>
              <w:keepLines w:val="0"/>
              <w:pageBreakBefore w:val="0"/>
              <w:wordWrap/>
              <w:topLinePunct w:val="0"/>
              <w:bidi w:val="0"/>
              <w:adjustRightInd/>
              <w:snapToGrid/>
              <w:spacing w:line="400" w:lineRule="exact"/>
              <w:ind w:firstLine="361" w:firstLineChars="150"/>
              <w:textAlignment w:val="auto"/>
              <w:rPr>
                <w:rFonts w:ascii="仿宋_GB2312" w:eastAsia="仿宋_GB2312"/>
                <w:b/>
                <w:bCs/>
                <w:color w:val="auto"/>
                <w:sz w:val="24"/>
                <w:szCs w:val="24"/>
              </w:rPr>
            </w:pPr>
            <w:r>
              <w:rPr>
                <w:rStyle w:val="118"/>
                <w:rFonts w:hint="default" w:ascii="仿宋_GB2312" w:hAnsi="仿宋_GB2312" w:eastAsia="仿宋_GB2312" w:cs="仿宋_GB2312"/>
                <w:b/>
                <w:bCs/>
                <w:color w:val="auto"/>
                <w:sz w:val="24"/>
                <w:szCs w:val="24"/>
              </w:rPr>
              <w:t>（4）</w:t>
            </w:r>
            <w:r>
              <w:rPr>
                <w:rFonts w:hint="eastAsia" w:ascii="仿宋_GB2312" w:eastAsia="仿宋_GB2312"/>
                <w:b/>
                <w:bCs/>
                <w:color w:val="auto"/>
                <w:sz w:val="24"/>
                <w:szCs w:val="24"/>
              </w:rPr>
              <w:t>沟通协作工作</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①</w:t>
            </w:r>
            <w:r>
              <w:rPr>
                <w:rFonts w:hint="eastAsia" w:ascii="仿宋_GB2312" w:eastAsia="仿宋_GB2312"/>
                <w:color w:val="auto"/>
                <w:sz w:val="24"/>
                <w:szCs w:val="24"/>
              </w:rPr>
              <w:t>与前台工作人员保持密切配合，及时共享住客信息，确保服务无缝衔接；定期向主管汇报工作情况，接受工作指导与监督。</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②</w:t>
            </w:r>
            <w:r>
              <w:rPr>
                <w:rFonts w:hint="eastAsia" w:ascii="仿宋_GB2312" w:eastAsia="仿宋_GB2312"/>
                <w:color w:val="auto"/>
                <w:sz w:val="24"/>
                <w:szCs w:val="24"/>
              </w:rPr>
              <w:t>与维修人员建立高效沟通机制，及时反馈设施设备故障问题，跟进维修进度，保障公寓设施正常使用；与其他服务人员相互协作，共同完成公寓各项服务工作。</w:t>
            </w:r>
          </w:p>
          <w:p>
            <w:pPr>
              <w:keepNext w:val="0"/>
              <w:keepLines w:val="0"/>
              <w:pageBreakBefore w:val="0"/>
              <w:wordWrap/>
              <w:topLinePunct w:val="0"/>
              <w:bidi w:val="0"/>
              <w:adjustRightInd/>
              <w:snapToGrid/>
              <w:spacing w:line="400" w:lineRule="exact"/>
              <w:ind w:firstLine="361" w:firstLineChars="150"/>
              <w:textAlignment w:val="auto"/>
              <w:rPr>
                <w:rFonts w:ascii="仿宋_GB2312" w:eastAsia="仿宋_GB2312"/>
                <w:b/>
                <w:bCs/>
                <w:color w:val="auto"/>
                <w:sz w:val="24"/>
                <w:szCs w:val="24"/>
              </w:rPr>
            </w:pPr>
            <w:r>
              <w:rPr>
                <w:rStyle w:val="118"/>
                <w:rFonts w:hint="default" w:ascii="仿宋_GB2312" w:hAnsi="仿宋_GB2312" w:eastAsia="仿宋_GB2312" w:cs="仿宋_GB2312"/>
                <w:b/>
                <w:bCs/>
                <w:color w:val="auto"/>
                <w:sz w:val="24"/>
                <w:szCs w:val="24"/>
              </w:rPr>
              <w:t>（5）</w:t>
            </w:r>
            <w:r>
              <w:rPr>
                <w:rFonts w:hint="eastAsia" w:ascii="仿宋_GB2312" w:eastAsia="仿宋_GB2312"/>
                <w:b/>
                <w:bCs/>
                <w:color w:val="auto"/>
                <w:sz w:val="24"/>
                <w:szCs w:val="24"/>
              </w:rPr>
              <w:t>校园特色服务</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①</w:t>
            </w:r>
            <w:r>
              <w:rPr>
                <w:rFonts w:hint="eastAsia" w:ascii="仿宋_GB2312" w:eastAsia="仿宋_GB2312"/>
                <w:color w:val="auto"/>
                <w:sz w:val="24"/>
                <w:szCs w:val="24"/>
              </w:rPr>
              <w:t>深入了解校园环境，包括教学楼、图书馆、食堂、校内景点等位置及开放时间，能够为住客提供准确、详细的校园信息指引。</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②</w:t>
            </w:r>
            <w:r>
              <w:rPr>
                <w:rFonts w:hint="eastAsia" w:ascii="仿宋_GB2312" w:eastAsia="仿宋_GB2312"/>
                <w:color w:val="auto"/>
                <w:sz w:val="24"/>
                <w:szCs w:val="24"/>
              </w:rPr>
              <w:t>积极宣传校园文化和特色活动，增强住客对校园的了解与认同感。</w:t>
            </w:r>
          </w:p>
          <w:p>
            <w:pPr>
              <w:pStyle w:val="216"/>
              <w:keepNext w:val="0"/>
              <w:keepLines w:val="0"/>
              <w:pageBreakBefore w:val="0"/>
              <w:tabs>
                <w:tab w:val="left" w:pos="312"/>
              </w:tabs>
              <w:wordWrap/>
              <w:topLinePunct w:val="0"/>
              <w:bidi w:val="0"/>
              <w:adjustRightInd/>
              <w:snapToGrid/>
              <w:spacing w:line="400" w:lineRule="exact"/>
              <w:ind w:firstLine="241" w:firstLineChars="100"/>
              <w:textAlignment w:val="auto"/>
              <w:rPr>
                <w:rStyle w:val="118"/>
                <w:rFonts w:hint="default" w:ascii="仿宋_GB2312" w:hAnsi="仿宋_GB2312" w:eastAsia="仿宋_GB2312" w:cs="仿宋_GB2312"/>
                <w:b/>
                <w:color w:val="auto"/>
                <w:sz w:val="24"/>
                <w:szCs w:val="24"/>
              </w:rPr>
            </w:pPr>
            <w:r>
              <w:rPr>
                <w:rStyle w:val="118"/>
                <w:rFonts w:hint="default" w:ascii="仿宋_GB2312" w:hAnsi="仿宋_GB2312" w:eastAsia="仿宋_GB2312" w:cs="仿宋_GB2312"/>
                <w:b/>
                <w:color w:val="auto"/>
                <w:sz w:val="24"/>
                <w:szCs w:val="24"/>
              </w:rPr>
              <w:t>（四）专项服务标准与要求</w:t>
            </w:r>
          </w:p>
          <w:p>
            <w:pPr>
              <w:keepNext w:val="0"/>
              <w:keepLines w:val="0"/>
              <w:pageBreakBefore w:val="0"/>
              <w:wordWrap/>
              <w:topLinePunct w:val="0"/>
              <w:bidi w:val="0"/>
              <w:adjustRightInd/>
              <w:snapToGrid/>
              <w:spacing w:line="400" w:lineRule="exact"/>
              <w:ind w:firstLine="361" w:firstLineChars="150"/>
              <w:textAlignment w:val="auto"/>
              <w:rPr>
                <w:rFonts w:ascii="仿宋_GB2312" w:eastAsia="仿宋_GB2312"/>
                <w:b/>
                <w:color w:val="auto"/>
                <w:sz w:val="24"/>
                <w:szCs w:val="24"/>
              </w:rPr>
            </w:pPr>
            <w:r>
              <w:rPr>
                <w:rFonts w:hint="eastAsia" w:ascii="仿宋_GB2312" w:eastAsia="仿宋_GB2312"/>
                <w:b/>
                <w:color w:val="auto"/>
                <w:sz w:val="24"/>
                <w:szCs w:val="24"/>
              </w:rPr>
              <w:t xml:space="preserve">1．化粪池及排污管网清理服务标准 </w:t>
            </w:r>
          </w:p>
          <w:p>
            <w:pPr>
              <w:keepNext w:val="0"/>
              <w:keepLines w:val="0"/>
              <w:pageBreakBefore w:val="0"/>
              <w:wordWrap/>
              <w:topLinePunct w:val="0"/>
              <w:bidi w:val="0"/>
              <w:adjustRightInd/>
              <w:snapToGrid/>
              <w:spacing w:line="400" w:lineRule="exact"/>
              <w:ind w:firstLine="240" w:firstLineChars="100"/>
              <w:textAlignment w:val="auto"/>
              <w:rPr>
                <w:rFonts w:ascii="仿宋_GB2312" w:eastAsia="仿宋_GB2312"/>
                <w:color w:val="auto"/>
                <w:sz w:val="24"/>
                <w:szCs w:val="24"/>
              </w:rPr>
            </w:pPr>
            <w:r>
              <w:rPr>
                <w:rFonts w:hint="eastAsia" w:ascii="仿宋_GB2312" w:eastAsia="仿宋_GB2312"/>
                <w:color w:val="auto"/>
                <w:sz w:val="24"/>
                <w:szCs w:val="24"/>
              </w:rPr>
              <w:t>（1）化粪池清掏频次与彻底性：根据化粪池容量</w:t>
            </w:r>
            <w:r>
              <w:rPr>
                <w:rFonts w:hint="eastAsia" w:ascii="仿宋_GB2312" w:eastAsia="仿宋_GB2312"/>
                <w:color w:val="auto"/>
                <w:sz w:val="24"/>
                <w:szCs w:val="24"/>
                <w:lang w:eastAsia="zh-CN"/>
              </w:rPr>
              <w:t>（</w:t>
            </w:r>
            <w:r>
              <w:rPr>
                <w:rFonts w:hint="eastAsia" w:ascii="仿宋_GB2312" w:eastAsia="仿宋_GB2312"/>
                <w:color w:val="auto"/>
                <w:sz w:val="24"/>
                <w:szCs w:val="24"/>
                <w:lang w:val="en-US" w:eastAsia="zh-CN"/>
              </w:rPr>
              <w:t>化粪池数量37个</w:t>
            </w:r>
            <w:r>
              <w:rPr>
                <w:rFonts w:hint="eastAsia" w:ascii="仿宋_GB2312" w:eastAsia="仿宋_GB2312"/>
                <w:color w:val="auto"/>
                <w:sz w:val="24"/>
                <w:szCs w:val="24"/>
                <w:lang w:eastAsia="zh-CN"/>
              </w:rPr>
              <w:t>）</w:t>
            </w:r>
            <w:r>
              <w:rPr>
                <w:rFonts w:hint="eastAsia" w:ascii="仿宋_GB2312" w:eastAsia="仿宋_GB2312"/>
                <w:color w:val="auto"/>
                <w:sz w:val="24"/>
                <w:szCs w:val="24"/>
              </w:rPr>
              <w:t>、使用频率（办公楼、教学楼、实训楼、</w:t>
            </w:r>
            <w:r>
              <w:rPr>
                <w:rFonts w:hint="eastAsia" w:ascii="仿宋_GB2312" w:eastAsia="仿宋_GB2312"/>
                <w:color w:val="auto"/>
                <w:sz w:val="24"/>
                <w:szCs w:val="24"/>
                <w:lang w:eastAsia="zh-CN"/>
              </w:rPr>
              <w:t>学生公寓</w:t>
            </w:r>
            <w:r>
              <w:rPr>
                <w:rFonts w:hint="eastAsia" w:ascii="仿宋_GB2312" w:eastAsia="仿宋_GB2312"/>
                <w:color w:val="auto"/>
                <w:sz w:val="24"/>
                <w:szCs w:val="24"/>
              </w:rPr>
              <w:t>、食堂附近需更频繁）及沉淀情况，制定科学清掏计划</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一般春、秋学期各一次，具体根据化粪池实际情况开展清掏</w:t>
            </w:r>
            <w:r>
              <w:rPr>
                <w:rFonts w:hint="eastAsia" w:ascii="仿宋_GB2312" w:hAnsi="仿宋_GB2312" w:eastAsia="仿宋_GB2312" w:cs="仿宋_GB2312"/>
                <w:sz w:val="24"/>
                <w:lang w:eastAsia="zh-CN"/>
              </w:rPr>
              <w:t>）</w:t>
            </w:r>
            <w:r>
              <w:rPr>
                <w:rFonts w:hint="eastAsia" w:ascii="仿宋_GB2312" w:eastAsia="仿宋_GB2312"/>
                <w:color w:val="auto"/>
                <w:sz w:val="24"/>
                <w:szCs w:val="24"/>
              </w:rPr>
              <w:t>。清掏彻底，清除底部沉渣及浮渣至规定深度（通常≥90%容积），确保有效容积。清掏后检查池体结构安全。</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2）楼宇卫生器具定期清污与防堵：对教学楼、公寓楼、办公楼等公共卫生间的小便池、蹲坑、马桶进行定期预防性清污（使用专用工具清除尿垢、污渍、毛发等），频次根据使用强度设定（小便池每月1-2次，马桶/蹲坑每季度1次）。确保排水顺畅，无明显异味、污渍堆积。</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3）排污/雨水管道疏通频次与效果：对校园主干及支线排污管道、雨水管道按计划进行疏通（排污管每年1-2次，雨水管雨季前及落叶季后重点疏通）。使用高压清洗车、疏通机等设备彻底清除管道内壁油污、淤泥、杂物、树根等，确保管径恢复≥90%，排水流速正常。重点区域（食堂、油脂排放点下游）增加频次。</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（4）窨井/检查井清理与维护：定期清理窨井/检查井内淤积的污泥、杂物。清理后井底无积泥，井壁清洁，爬梯完好。井盖复位平整、稳固，与路面平齐，无缺损、无异响。</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5）应急堵塞疏通响应时效：接到校内排污管道、雨水管道、卫生器具严重堵塞报修后，在2小时内应急疏通响应并处置；一般堵塞需在2小时内到达现场修复；非严重堵塞在4小时内修复；重大堵塞（影响整楼/区域）在8小时内修复。</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6）作业安全与环保规范：严格遵守有限空间作业规程（化粪池、窨井）：作业前强制通风、佩戴防护装备（呼吸器、安全带）、专人监护。污物密闭运输，倾倒在指定合法消纳场所，严禁随意倾倒。作业现场设置警示标志，工完场清，减少对环境影响。</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7）清理过程记录与报告完整性：每次清理（化粪池、管道、窨井）需详细记录：作业地点、时间、人员、设备、清理前状态、清理过程、清理量（方数/车数）、清理后状态、发现的问题（如管道破损、井盖损坏）、污物处置凭证。提供清晰的服务报告（含前后对比照片）。</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（8）异味控制与环境卫生：清掏、疏通作业过程中及完成后，采取有效措施（如及时覆盖、冲洗、使用除臭剂）控制异味扩散。作业完毕后彻底清理现场，恢复原状，无污物遗撒、无污水横流。</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（9）设施复位与报修跟进：作业中拆卸的井盖、管堵等设施，作业后必须牢固复位。发现井盖破损、井体塌陷、管道破裂等超出清理范围的问题，需清晰记录、拍照并立即上报物业管理部门。</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（10）服务投诉率与师生满意度：服务过程专业、高效、文明，尽量减少对师生教学、生活的影响。有效处理相关投诉。</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②</w:t>
            </w:r>
            <w:r>
              <w:rPr>
                <w:rFonts w:hint="eastAsia" w:ascii="仿宋_GB2312" w:eastAsia="仿宋_GB2312"/>
                <w:color w:val="auto"/>
                <w:sz w:val="24"/>
                <w:szCs w:val="24"/>
              </w:rPr>
              <w:t>考核指标：</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有效服务投诉</w:t>
            </w:r>
            <w:r>
              <w:rPr>
                <w:rFonts w:hint="eastAsia" w:ascii="仿宋_GB2312" w:eastAsia="仿宋_GB2312"/>
                <w:color w:val="auto"/>
                <w:sz w:val="24"/>
                <w:szCs w:val="24"/>
                <w:lang w:val="en-US" w:eastAsia="zh-CN"/>
              </w:rPr>
              <w:t>次数</w:t>
            </w:r>
            <w:r>
              <w:rPr>
                <w:rFonts w:hint="eastAsia" w:ascii="仿宋_GB2312" w:eastAsia="仿宋_GB2312"/>
                <w:color w:val="auto"/>
                <w:sz w:val="24"/>
                <w:szCs w:val="24"/>
              </w:rPr>
              <w:t>（因服务态度、质量、延误等）≤ 1次/学期。</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涉及区域的部门对服务商综合满意度评分 ≥ 85分/月。</w:t>
            </w:r>
          </w:p>
          <w:p>
            <w:pPr>
              <w:keepNext w:val="0"/>
              <w:keepLines w:val="0"/>
              <w:pageBreakBefore w:val="0"/>
              <w:wordWrap/>
              <w:topLinePunct w:val="0"/>
              <w:bidi w:val="0"/>
              <w:adjustRightInd/>
              <w:snapToGrid/>
              <w:spacing w:line="400" w:lineRule="exact"/>
              <w:ind w:firstLine="482" w:firstLineChars="200"/>
              <w:textAlignment w:val="auto"/>
              <w:rPr>
                <w:rFonts w:ascii="仿宋_GB2312" w:eastAsia="仿宋_GB2312"/>
                <w:b/>
                <w:color w:val="auto"/>
                <w:sz w:val="24"/>
                <w:szCs w:val="24"/>
              </w:rPr>
            </w:pPr>
            <w:r>
              <w:rPr>
                <w:rFonts w:hint="eastAsia" w:ascii="仿宋_GB2312" w:eastAsia="仿宋_GB2312"/>
                <w:b/>
                <w:color w:val="auto"/>
                <w:sz w:val="24"/>
                <w:szCs w:val="24"/>
              </w:rPr>
              <w:t>2．有害生物综合防治的服务标准</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（1）虫害密度控制达标率（核心四害）：采用国家标准或行业规范（如GB/T 27770-2011</w:t>
            </w:r>
            <w:r>
              <w:rPr>
                <w:rFonts w:hint="eastAsia" w:ascii="仿宋_GB2312" w:eastAsia="仿宋_GB2312"/>
                <w:color w:val="auto"/>
                <w:sz w:val="24"/>
                <w:szCs w:val="24"/>
                <w:lang w:eastAsia="zh-CN"/>
              </w:rPr>
              <w:t>《病媒生物密度控制水平鼠类》</w:t>
            </w:r>
            <w:r>
              <w:rPr>
                <w:rFonts w:hint="eastAsia" w:ascii="仿宋_GB2312" w:eastAsia="仿宋_GB2312"/>
                <w:color w:val="auto"/>
                <w:sz w:val="24"/>
                <w:szCs w:val="24"/>
              </w:rPr>
              <w:t>等）的监测方法（鼠迹法、粘捕法、目测法等），定期监测鼠、蟑、蚊、蝇密度。通过环境治理、物理防治、化学防治等综合防治措施，将密度控制在国家病媒生物密度控制水平标准C级或更优水平。</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（2）重点区域防治效果：对食堂周边、</w:t>
            </w:r>
            <w:r>
              <w:rPr>
                <w:rFonts w:hint="eastAsia" w:ascii="仿宋_GB2312" w:eastAsia="仿宋_GB2312"/>
                <w:color w:val="auto"/>
                <w:sz w:val="24"/>
                <w:szCs w:val="24"/>
                <w:lang w:eastAsia="zh-CN"/>
              </w:rPr>
              <w:t>学生公寓</w:t>
            </w:r>
            <w:r>
              <w:rPr>
                <w:rFonts w:hint="eastAsia" w:ascii="仿宋_GB2312" w:eastAsia="仿宋_GB2312"/>
                <w:color w:val="auto"/>
                <w:sz w:val="24"/>
                <w:szCs w:val="24"/>
              </w:rPr>
              <w:t>等公共区域、管道井、垃圾回收站等重点高风险区域，实施更高频次监测和强化防治措施，确保虫害密度显著低于一般区域标准，无活体害虫（尤其鼠、蟑）可见。</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（3）红火蚁监测与根除率：定期巡查校园绿地、绿化带、道路边缘等区域，及时发现红火蚁蚁丘。采用高效、环保的饵剂或粉剂进行精准灭巢处理，确保单个蚁巢处理后2-4周内无活蚁活动，根除率达标。</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4）白蚁监测与预防性处理：对树木、木质结构建筑、新建建筑周边等重点区域设置白蚁监测装置（饵站或监测站），定期检查。发现活蚁立即进行诱杀或局部处理。对新建、改建项目提供白蚁预防建议或处理。</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（5）蛇虫等特殊有害生物应急响应：建立马蜂、蛇虫等应急响应机制。接到师生报告后，专业人员应在1小时内到达现场进行安全捕捉或清除（尤其马蜂窝、蛇）。事后分析原因，提出环境改善建议。</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w:t>
            </w:r>
            <w:r>
              <w:rPr>
                <w:rFonts w:hint="eastAsia" w:ascii="仿宋_GB2312" w:eastAsia="仿宋_GB2312"/>
                <w:color w:val="auto"/>
                <w:sz w:val="24"/>
                <w:szCs w:val="24"/>
                <w:lang w:val="en-US" w:eastAsia="zh-CN"/>
              </w:rPr>
              <w:t>6</w:t>
            </w:r>
            <w:r>
              <w:rPr>
                <w:rFonts w:hint="eastAsia" w:ascii="仿宋_GB2312" w:eastAsia="仿宋_GB2312"/>
                <w:color w:val="auto"/>
                <w:sz w:val="24"/>
                <w:szCs w:val="24"/>
              </w:rPr>
              <w:t>）化学防治安全性与规范性：优先使用粘板、诱捕器、防鼠设施等物理防治和生物防治手段。必须使用化学药剂时，选择低毒、高效、环保、持效期适中的产品，符合国家规定。精准施药，避免大面积喷洒。</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作业前公告，作业中设置警示，作业后检查清理。</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w:t>
            </w:r>
            <w:r>
              <w:rPr>
                <w:rFonts w:hint="eastAsia" w:ascii="仿宋_GB2312" w:eastAsia="仿宋_GB2312"/>
                <w:color w:val="auto"/>
                <w:sz w:val="24"/>
                <w:szCs w:val="24"/>
                <w:lang w:val="en-US" w:eastAsia="zh-CN"/>
              </w:rPr>
              <w:t>7</w:t>
            </w:r>
            <w:r>
              <w:rPr>
                <w:rFonts w:hint="eastAsia" w:ascii="仿宋_GB2312" w:eastAsia="仿宋_GB2312"/>
                <w:color w:val="auto"/>
                <w:sz w:val="24"/>
                <w:szCs w:val="24"/>
              </w:rPr>
              <w:t>）防制设施维护与有效性：安装和维护的物理防制设施（挡鼠板、防鼠网、诱捕器、灭蚊灯、毒饵站）完好、有效、位置合理、标识清晰。每月检查、清洁、维护或更换。</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w:t>
            </w:r>
            <w:r>
              <w:rPr>
                <w:rFonts w:hint="eastAsia" w:ascii="仿宋_GB2312" w:eastAsia="仿宋_GB2312"/>
                <w:color w:val="auto"/>
                <w:sz w:val="24"/>
                <w:szCs w:val="24"/>
                <w:lang w:val="en-US" w:eastAsia="zh-CN"/>
              </w:rPr>
              <w:t>8</w:t>
            </w:r>
            <w:r>
              <w:rPr>
                <w:rFonts w:hint="eastAsia" w:ascii="仿宋_GB2312" w:eastAsia="仿宋_GB2312"/>
                <w:color w:val="auto"/>
                <w:sz w:val="24"/>
                <w:szCs w:val="24"/>
              </w:rPr>
              <w:t>）服务记录与报告质量：每次服务（检查、监测、处理）均需详细记录：时间、地点、人员、发现情况、采取的措施、使用的物料、处理结果、发现的问题/建议。提供月度综合服务报告，包含虫情分析、密度趋势、防治效果评估、环境治理建议、下一步计划。</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b/>
                <w:color w:val="auto"/>
                <w:sz w:val="24"/>
                <w:szCs w:val="24"/>
              </w:rPr>
            </w:pPr>
            <w:r>
              <w:rPr>
                <w:rFonts w:hint="eastAsia" w:ascii="仿宋_GB2312" w:eastAsia="仿宋_GB2312"/>
                <w:color w:val="auto"/>
                <w:sz w:val="24"/>
                <w:szCs w:val="24"/>
              </w:rPr>
              <w:t>（</w:t>
            </w:r>
            <w:r>
              <w:rPr>
                <w:rFonts w:hint="eastAsia" w:ascii="仿宋_GB2312" w:eastAsia="仿宋_GB2312"/>
                <w:color w:val="auto"/>
                <w:sz w:val="24"/>
                <w:szCs w:val="24"/>
                <w:lang w:val="en-US" w:eastAsia="zh-CN"/>
              </w:rPr>
              <w:t>9</w:t>
            </w:r>
            <w:r>
              <w:rPr>
                <w:rFonts w:hint="eastAsia" w:ascii="仿宋_GB2312" w:eastAsia="仿宋_GB2312"/>
                <w:color w:val="auto"/>
                <w:sz w:val="24"/>
                <w:szCs w:val="24"/>
              </w:rPr>
              <w:t>）师生投诉处理与综合满意度：建立便捷的虫害问题投诉渠道，对师生投诉快速响应专业处理，及时反馈结果。整体服务专业、有效、安全。</w:t>
            </w:r>
          </w:p>
          <w:p>
            <w:pPr>
              <w:keepNext w:val="0"/>
              <w:keepLines w:val="0"/>
              <w:pageBreakBefore w:val="0"/>
              <w:wordWrap/>
              <w:topLinePunct w:val="0"/>
              <w:bidi w:val="0"/>
              <w:adjustRightInd/>
              <w:snapToGrid/>
              <w:spacing w:line="400" w:lineRule="exact"/>
              <w:ind w:firstLine="361" w:firstLineChars="150"/>
              <w:textAlignment w:val="auto"/>
            </w:pPr>
            <w:r>
              <w:rPr>
                <w:rFonts w:hint="eastAsia" w:ascii="仿宋_GB2312" w:eastAsia="仿宋_GB2312"/>
                <w:b/>
                <w:color w:val="auto"/>
                <w:sz w:val="24"/>
                <w:szCs w:val="24"/>
              </w:rPr>
              <w:t>3．校园垃圾</w:t>
            </w:r>
            <w:r>
              <w:rPr>
                <w:rFonts w:hint="eastAsia" w:ascii="仿宋_GB2312" w:eastAsia="仿宋_GB2312"/>
                <w:b/>
                <w:color w:val="auto"/>
                <w:sz w:val="24"/>
                <w:szCs w:val="24"/>
                <w:lang w:val="en-US" w:eastAsia="zh-CN"/>
              </w:rPr>
              <w:t>处理</w:t>
            </w:r>
            <w:r>
              <w:rPr>
                <w:rFonts w:hint="eastAsia" w:ascii="仿宋_GB2312" w:eastAsia="仿宋_GB2312"/>
                <w:b/>
                <w:color w:val="auto"/>
                <w:sz w:val="24"/>
                <w:szCs w:val="24"/>
              </w:rPr>
              <w:t xml:space="preserve">服务标准 </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w:t>
            </w:r>
            <w:r>
              <w:rPr>
                <w:rFonts w:hint="eastAsia" w:ascii="仿宋_GB2312" w:eastAsia="仿宋_GB2312"/>
                <w:color w:val="auto"/>
                <w:sz w:val="24"/>
                <w:szCs w:val="24"/>
                <w:lang w:val="en-US" w:eastAsia="zh-CN"/>
              </w:rPr>
              <w:t>1</w:t>
            </w:r>
            <w:r>
              <w:rPr>
                <w:rFonts w:hint="eastAsia" w:ascii="仿宋_GB2312" w:eastAsia="仿宋_GB2312"/>
                <w:color w:val="auto"/>
                <w:sz w:val="24"/>
                <w:szCs w:val="24"/>
              </w:rPr>
              <w:t>）垃圾日产日清达成率（核心指标）：严格按照合同约定时间和路线，每日清空校园内所有指定垃圾收集点（垃圾房、垃圾桶集中点、垃圾压缩站等）的生活垃圾、厨余垃圾等易腐垃圾，做到“车走地净”。</w:t>
            </w:r>
          </w:p>
          <w:p>
            <w:pPr>
              <w:keepNext w:val="0"/>
              <w:keepLines w:val="0"/>
              <w:pageBreakBefore w:val="0"/>
              <w:wordWrap/>
              <w:topLinePunct w:val="0"/>
              <w:bidi w:val="0"/>
              <w:adjustRightInd/>
              <w:snapToGrid/>
              <w:spacing w:line="400" w:lineRule="exact"/>
              <w:textAlignment w:val="auto"/>
              <w:rPr>
                <w:rFonts w:ascii="仿宋_GB2312" w:eastAsia="仿宋_GB2312"/>
                <w:color w:val="auto"/>
                <w:sz w:val="24"/>
                <w:szCs w:val="24"/>
              </w:rPr>
            </w:pPr>
            <w:r>
              <w:rPr>
                <w:rFonts w:hint="eastAsia" w:ascii="仿宋_GB2312" w:eastAsia="仿宋_GB2312"/>
                <w:color w:val="auto"/>
                <w:sz w:val="24"/>
                <w:szCs w:val="24"/>
              </w:rPr>
              <w:t>确保</w:t>
            </w:r>
            <w:r>
              <w:rPr>
                <w:rFonts w:hint="eastAsia" w:ascii="仿宋_GB2312" w:eastAsia="仿宋_GB2312"/>
                <w:color w:val="auto"/>
                <w:sz w:val="24"/>
                <w:szCs w:val="24"/>
                <w:lang w:val="en-US" w:eastAsia="zh-CN"/>
              </w:rPr>
              <w:t>校内</w:t>
            </w:r>
            <w:r>
              <w:rPr>
                <w:rFonts w:hint="eastAsia" w:ascii="仿宋_GB2312" w:eastAsia="仿宋_GB2312"/>
                <w:color w:val="auto"/>
                <w:sz w:val="24"/>
                <w:szCs w:val="24"/>
              </w:rPr>
              <w:t>垃圾无隔夜存放</w:t>
            </w:r>
            <w:r>
              <w:rPr>
                <w:rFonts w:hint="eastAsia" w:ascii="仿宋_GB2312" w:eastAsia="仿宋_GB2312"/>
                <w:color w:val="auto"/>
                <w:sz w:val="24"/>
                <w:szCs w:val="24"/>
                <w:lang w:val="en-US" w:eastAsia="zh-CN"/>
              </w:rPr>
              <w:t>和及时处理</w:t>
            </w:r>
            <w:r>
              <w:rPr>
                <w:rFonts w:hint="eastAsia" w:ascii="仿宋_GB2312" w:eastAsia="仿宋_GB2312"/>
                <w:color w:val="auto"/>
                <w:sz w:val="24"/>
                <w:szCs w:val="24"/>
              </w:rPr>
              <w:t>，特殊极端天气/不可抗力需报备。</w:t>
            </w:r>
          </w:p>
          <w:p>
            <w:pPr>
              <w:keepNext w:val="0"/>
              <w:keepLines w:val="0"/>
              <w:pageBreakBefore w:val="0"/>
              <w:numPr>
                <w:ilvl w:val="0"/>
                <w:numId w:val="2"/>
              </w:numPr>
              <w:wordWrap/>
              <w:topLinePunct w:val="0"/>
              <w:bidi w:val="0"/>
              <w:adjustRightInd/>
              <w:snapToGrid/>
              <w:spacing w:line="400" w:lineRule="exact"/>
              <w:ind w:firstLine="360" w:firstLineChars="150"/>
              <w:textAlignment w:val="auto"/>
              <w:rPr>
                <w:rFonts w:hint="eastAsia" w:ascii="仿宋_GB2312" w:eastAsia="仿宋_GB2312"/>
                <w:color w:val="auto"/>
                <w:sz w:val="24"/>
                <w:szCs w:val="24"/>
              </w:rPr>
            </w:pPr>
            <w:r>
              <w:rPr>
                <w:rFonts w:hint="eastAsia" w:ascii="仿宋_GB2312" w:eastAsia="仿宋_GB2312"/>
                <w:color w:val="auto"/>
                <w:sz w:val="24"/>
                <w:szCs w:val="24"/>
              </w:rPr>
              <w:t>分类收集：按照柳州市垃圾分类管理规定及合同要求，对不同类别垃圾（可回收物、有害垃圾、其他垃圾）进行收集、分类。</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w:t>
            </w:r>
            <w:r>
              <w:rPr>
                <w:rFonts w:hint="eastAsia" w:ascii="仿宋_GB2312" w:eastAsia="仿宋_GB2312"/>
                <w:color w:val="auto"/>
                <w:sz w:val="24"/>
                <w:szCs w:val="24"/>
                <w:lang w:val="en-US" w:eastAsia="zh-CN"/>
              </w:rPr>
              <w:t>3</w:t>
            </w:r>
            <w:r>
              <w:rPr>
                <w:rFonts w:hint="eastAsia" w:ascii="仿宋_GB2312" w:eastAsia="仿宋_GB2312"/>
                <w:color w:val="auto"/>
                <w:sz w:val="24"/>
                <w:szCs w:val="24"/>
              </w:rPr>
              <w:t>）</w:t>
            </w:r>
            <w:r>
              <w:rPr>
                <w:rFonts w:hint="eastAsia" w:ascii="仿宋_GB2312" w:eastAsia="仿宋_GB2312"/>
                <w:color w:val="auto"/>
                <w:sz w:val="24"/>
                <w:szCs w:val="24"/>
                <w:lang w:val="en-US" w:eastAsia="zh-CN"/>
              </w:rPr>
              <w:t>清理</w:t>
            </w:r>
            <w:r>
              <w:rPr>
                <w:rFonts w:hint="eastAsia" w:ascii="仿宋_GB2312" w:eastAsia="仿宋_GB2312"/>
                <w:color w:val="auto"/>
                <w:sz w:val="24"/>
                <w:szCs w:val="24"/>
              </w:rPr>
              <w:t>作业规范与环境卫生：从业人员着装统一、整洁。作业过程文明规范：轻拿轻放垃圾桶，避免野蛮操作；垃圾装车时采取防抛洒措施；作业完毕后清理地面散落垃圾及污水，恢复收集点及周边环境整洁。作业时间尽量避开师生人流高峰。</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strike/>
                <w:color w:val="auto"/>
                <w:sz w:val="24"/>
                <w:szCs w:val="24"/>
              </w:rPr>
            </w:pPr>
            <w:r>
              <w:rPr>
                <w:rFonts w:hint="eastAsia" w:ascii="仿宋_GB2312" w:eastAsia="仿宋_GB2312"/>
                <w:color w:val="auto"/>
                <w:sz w:val="24"/>
                <w:szCs w:val="24"/>
              </w:rPr>
              <w:t>（</w:t>
            </w:r>
            <w:r>
              <w:rPr>
                <w:rFonts w:hint="eastAsia" w:ascii="仿宋_GB2312" w:eastAsia="仿宋_GB2312"/>
                <w:color w:val="auto"/>
                <w:sz w:val="24"/>
                <w:szCs w:val="24"/>
                <w:lang w:val="en-US" w:eastAsia="zh-CN"/>
              </w:rPr>
              <w:t>4</w:t>
            </w:r>
            <w:r>
              <w:rPr>
                <w:rFonts w:hint="eastAsia" w:ascii="仿宋_GB2312" w:eastAsia="仿宋_GB2312"/>
                <w:color w:val="auto"/>
                <w:sz w:val="24"/>
                <w:szCs w:val="24"/>
              </w:rPr>
              <w:t>）</w:t>
            </w:r>
            <w:r>
              <w:rPr>
                <w:rFonts w:hint="eastAsia" w:ascii="仿宋_GB2312" w:eastAsia="仿宋_GB2312"/>
                <w:color w:val="auto"/>
                <w:sz w:val="24"/>
                <w:szCs w:val="24"/>
                <w:lang w:val="en-US" w:eastAsia="zh-CN"/>
              </w:rPr>
              <w:t>处理</w:t>
            </w:r>
            <w:r>
              <w:rPr>
                <w:rFonts w:hint="eastAsia" w:ascii="仿宋_GB2312" w:eastAsia="仿宋_GB2312"/>
                <w:color w:val="auto"/>
                <w:sz w:val="24"/>
                <w:szCs w:val="24"/>
              </w:rPr>
              <w:t>时效与终端处置合规：</w:t>
            </w:r>
            <w:r>
              <w:rPr>
                <w:rFonts w:hint="eastAsia" w:ascii="仿宋_GB2312" w:eastAsia="仿宋_GB2312"/>
                <w:color w:val="auto"/>
                <w:sz w:val="24"/>
                <w:szCs w:val="24"/>
                <w:lang w:val="en-US" w:eastAsia="zh-CN"/>
              </w:rPr>
              <w:t>垃圾清理至指定地点</w:t>
            </w:r>
            <w:r>
              <w:rPr>
                <w:rFonts w:hint="eastAsia" w:ascii="仿宋_GB2312" w:eastAsia="仿宋_GB2312"/>
                <w:strike w:val="0"/>
                <w:color w:val="auto"/>
                <w:sz w:val="24"/>
                <w:szCs w:val="24"/>
              </w:rPr>
              <w:t>。</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w:t>
            </w:r>
            <w:r>
              <w:rPr>
                <w:rFonts w:hint="eastAsia" w:ascii="仿宋_GB2312" w:eastAsia="仿宋_GB2312"/>
                <w:color w:val="auto"/>
                <w:sz w:val="24"/>
                <w:szCs w:val="24"/>
                <w:lang w:val="en-US" w:eastAsia="zh-CN"/>
              </w:rPr>
              <w:t>5</w:t>
            </w:r>
            <w:r>
              <w:rPr>
                <w:rFonts w:hint="eastAsia" w:ascii="仿宋_GB2312" w:eastAsia="仿宋_GB2312"/>
                <w:color w:val="auto"/>
                <w:sz w:val="24"/>
                <w:szCs w:val="24"/>
              </w:rPr>
              <w:t>）收集点/容器维护与清洁：定期清洁所负责的垃圾收集容器（垃圾桶、箱）外表及周边地面（至少每周一次，污染严重时及时清洗）。发现收集容器破损及时</w:t>
            </w:r>
            <w:r>
              <w:rPr>
                <w:rFonts w:hint="eastAsia" w:ascii="仿宋_GB2312" w:eastAsia="仿宋_GB2312"/>
                <w:color w:val="auto"/>
                <w:sz w:val="24"/>
                <w:szCs w:val="24"/>
                <w:lang w:val="en-US" w:eastAsia="zh-CN"/>
              </w:rPr>
              <w:t>报告学校</w:t>
            </w:r>
            <w:r>
              <w:rPr>
                <w:rFonts w:hint="eastAsia" w:ascii="仿宋_GB2312" w:eastAsia="仿宋_GB2312"/>
                <w:color w:val="auto"/>
                <w:sz w:val="24"/>
                <w:szCs w:val="24"/>
              </w:rPr>
              <w:t>更换。保持垃圾房/压缩站内部相对整洁。</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w:t>
            </w:r>
            <w:r>
              <w:rPr>
                <w:rFonts w:hint="eastAsia" w:ascii="仿宋_GB2312" w:eastAsia="仿宋_GB2312"/>
                <w:color w:val="auto"/>
                <w:sz w:val="24"/>
                <w:szCs w:val="24"/>
                <w:lang w:val="en-US" w:eastAsia="zh-CN"/>
              </w:rPr>
              <w:t>6</w:t>
            </w:r>
            <w:r>
              <w:rPr>
                <w:rFonts w:hint="eastAsia" w:ascii="仿宋_GB2312" w:eastAsia="仿宋_GB2312"/>
                <w:color w:val="auto"/>
                <w:sz w:val="24"/>
                <w:szCs w:val="24"/>
              </w:rPr>
              <w:t>）应急响应与大型活动保障：建立应急预案，保障学校重大活动期间的垃圾</w:t>
            </w:r>
            <w:r>
              <w:rPr>
                <w:rFonts w:hint="eastAsia" w:ascii="仿宋_GB2312" w:eastAsia="仿宋_GB2312"/>
                <w:color w:val="auto"/>
                <w:sz w:val="24"/>
                <w:szCs w:val="24"/>
                <w:lang w:val="en-US" w:eastAsia="zh-CN"/>
              </w:rPr>
              <w:t>清理</w:t>
            </w:r>
            <w:r>
              <w:rPr>
                <w:rFonts w:hint="eastAsia" w:ascii="仿宋_GB2312" w:eastAsia="仿宋_GB2312"/>
                <w:color w:val="auto"/>
                <w:sz w:val="24"/>
                <w:szCs w:val="24"/>
              </w:rPr>
              <w:t>。遇垃圾量剧增、设备故障、恶劣天气等情况，能迅速调配资源，确保垃圾及时</w:t>
            </w:r>
            <w:r>
              <w:rPr>
                <w:rFonts w:hint="eastAsia" w:ascii="仿宋_GB2312" w:eastAsia="仿宋_GB2312"/>
                <w:color w:val="auto"/>
                <w:sz w:val="24"/>
                <w:szCs w:val="24"/>
                <w:lang w:val="en-US" w:eastAsia="zh-CN"/>
              </w:rPr>
              <w:t>处理</w:t>
            </w:r>
            <w:r>
              <w:rPr>
                <w:rFonts w:hint="eastAsia" w:ascii="仿宋_GB2312" w:eastAsia="仿宋_GB2312"/>
                <w:color w:val="auto"/>
                <w:sz w:val="24"/>
                <w:szCs w:val="24"/>
              </w:rPr>
              <w:t>，避免堆积。</w:t>
            </w:r>
          </w:p>
          <w:p>
            <w:pPr>
              <w:keepNext w:val="0"/>
              <w:keepLines w:val="0"/>
              <w:pageBreakBefore w:val="0"/>
              <w:wordWrap/>
              <w:topLinePunct w:val="0"/>
              <w:bidi w:val="0"/>
              <w:adjustRightInd/>
              <w:snapToGrid/>
              <w:spacing w:line="400" w:lineRule="exact"/>
              <w:ind w:firstLine="482" w:firstLineChars="200"/>
              <w:textAlignment w:val="auto"/>
              <w:rPr>
                <w:rFonts w:ascii="仿宋_GB2312" w:eastAsia="仿宋_GB2312"/>
                <w:b/>
                <w:color w:val="auto"/>
                <w:sz w:val="24"/>
                <w:szCs w:val="24"/>
              </w:rPr>
            </w:pPr>
            <w:r>
              <w:rPr>
                <w:rFonts w:hint="eastAsia" w:ascii="仿宋_GB2312" w:eastAsia="仿宋_GB2312"/>
                <w:b/>
                <w:color w:val="auto"/>
                <w:sz w:val="24"/>
                <w:szCs w:val="24"/>
              </w:rPr>
              <w:t>4．礼堂、会议室、领导办公室、校史馆等区域保洁服务标准</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1）环境洁净度（目视及触感）：地面（地毯吸尘彻底无杂物、硬质地面光亮无痕无污渍）、桌面、台面、窗台、设备表面（电话、投影仪、打印机等）手触无尘；玻璃、镜面光洁透亮无水渍、无指印；踢脚线、门框、开关面板无积尘；垃圾桶内外清洁、无异味、垃圾袋每日更换。</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（2）办公楼卫生间/茶水间极致洁净：洁具（马桶、小便斗、面盆）光亮如新，无菌垢、无水渍、无异味；镜面、五金件（水龙头、扶手）光可鉴人无痕；台面干燥整洁；地面干燥防滑；垃圾及时</w:t>
            </w:r>
            <w:r>
              <w:rPr>
                <w:rFonts w:hint="default" w:ascii="仿宋_GB2312" w:eastAsia="仿宋_GB2312"/>
                <w:color w:val="auto"/>
                <w:sz w:val="24"/>
                <w:szCs w:val="24"/>
              </w:rPr>
              <w:t>清理</w:t>
            </w:r>
            <w:r>
              <w:rPr>
                <w:rFonts w:hint="eastAsia" w:ascii="仿宋_GB2312" w:eastAsia="仿宋_GB2312"/>
                <w:color w:val="auto"/>
                <w:sz w:val="24"/>
                <w:szCs w:val="24"/>
              </w:rPr>
              <w:t>。</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（3）空气清新度与微环境：室内空气清新无异味（烟味、食物味、霉味等）。定期开窗通风。根据要求使用合规的香氛（如领导办公室/特定会议室）。绿植（如有）叶面清洁无尘、盆器干净、托盘无积水。</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4）家具陈设与物品归位：桌椅、沙发、茶几等家具摆放整齐、角度统一（按设定标准）；笔、便签、遥控器等物品归位准确、方向一致；杂志报刊摆放整齐；装饰品无尘、无移位。尊重个人物品，清洁时不随意移动私人物品（领导办公室）。</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（5）地毯深度清洁与保养：除每日吸尘外，每月1次或根据使用频率进行专业地毯深度清洗，确保无污渍、无霉斑、色泽均匀、绒头蓬松。特殊污渍24小时内应急处理。</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6）会议/活动前后专项服务：会议开始前1-2小时完成高标准清洁；桌椅摆放整齐（按会议形式）；投影、音响设备表面清洁；白板/玻璃板洁净无痕。会议结束后1小时内恢复场地；清理垃圾、杂物、水杯；擦拭桌面、座椅；清洁地面；复位家具及设备。</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（7）设施设备隐形清洁：对空调出/回风口格栅、灯具表面及缝隙、投影仪散热口、窗帘顶部轨道、高位装饰品等易忽略区域，每周进行彻底除尘清洁，确保无蛛网、无积尘。</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（8）响应时效与服务沟通：接到临时紧急保洁需求（领导临时到访、会后立即需要清洁），需在15分钟内响应并到达现场处理。沟通礼貌、专业，明确用户需求（领导办公室需特别谨慎），完成后及时反馈。</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9）安全、环保与保密：使用环保、低刺激性清洁剂；规范操作电器（吸尘器、洗地机）、登高工具；清洁时设置警示牌；严格保护领导办公室及会议室内可能接触到的敏感信息（文件、屏幕内容），不翻阅、不外传。离开时确保门窗关闭。</w:t>
            </w:r>
          </w:p>
          <w:p>
            <w:pPr>
              <w:keepNext w:val="0"/>
              <w:keepLines w:val="0"/>
              <w:pageBreakBefore w:val="0"/>
              <w:widowControl/>
              <w:wordWrap/>
              <w:topLinePunct w:val="0"/>
              <w:bidi w:val="0"/>
              <w:adjustRightInd/>
              <w:snapToGrid/>
              <w:spacing w:line="400" w:lineRule="exact"/>
              <w:ind w:firstLine="361" w:firstLineChars="150"/>
              <w:jc w:val="left"/>
              <w:textAlignment w:val="auto"/>
              <w:rPr>
                <w:color w:val="auto"/>
              </w:rPr>
            </w:pPr>
            <w:r>
              <w:rPr>
                <w:rFonts w:hint="eastAsia" w:ascii="仿宋_GB2312" w:hAnsi="Segoe UI" w:eastAsia="仿宋_GB2312" w:cs="Segoe UI"/>
                <w:b/>
                <w:color w:val="auto"/>
                <w:kern w:val="0"/>
                <w:sz w:val="24"/>
                <w:szCs w:val="24"/>
                <w:shd w:val="clear" w:color="auto" w:fill="FFFFFF"/>
              </w:rPr>
              <w:t>五、考核依据</w:t>
            </w:r>
          </w:p>
          <w:p>
            <w:pPr>
              <w:keepNext w:val="0"/>
              <w:keepLines w:val="0"/>
              <w:pageBreakBefore w:val="0"/>
              <w:widowControl/>
              <w:wordWrap/>
              <w:topLinePunct w:val="0"/>
              <w:bidi w:val="0"/>
              <w:adjustRightInd/>
              <w:snapToGrid/>
              <w:spacing w:line="400" w:lineRule="exact"/>
              <w:ind w:firstLine="360" w:firstLineChars="150"/>
              <w:jc w:val="left"/>
              <w:textAlignment w:val="auto"/>
              <w:rPr>
                <w:rFonts w:hint="eastAsia" w:ascii="仿宋_GB2312" w:hAnsi="仿宋_GB2312" w:eastAsia="仿宋_GB2312" w:cs="仿宋_GB2312"/>
                <w:b/>
                <w:color w:val="auto"/>
                <w:kern w:val="0"/>
                <w:sz w:val="24"/>
                <w:szCs w:val="24"/>
                <w:shd w:val="clear" w:color="auto" w:fill="FFFFFF"/>
                <w:lang w:val="en-US" w:eastAsia="zh-CN"/>
              </w:rPr>
            </w:pPr>
            <w:r>
              <w:rPr>
                <w:rFonts w:hint="eastAsia" w:ascii="仿宋_GB2312" w:hAnsi="仿宋_GB2312" w:eastAsia="仿宋_GB2312" w:cs="仿宋_GB2312"/>
                <w:color w:val="auto"/>
                <w:sz w:val="24"/>
                <w:szCs w:val="24"/>
                <w:lang w:val="en-US" w:eastAsia="zh-CN"/>
              </w:rPr>
              <w:t>详见附件管理办法及考核细则，同时要求中标人遵守校内规章管理制度。</w:t>
            </w:r>
          </w:p>
          <w:p>
            <w:pPr>
              <w:keepNext w:val="0"/>
              <w:keepLines w:val="0"/>
              <w:pageBreakBefore w:val="0"/>
              <w:widowControl/>
              <w:wordWrap/>
              <w:topLinePunct w:val="0"/>
              <w:bidi w:val="0"/>
              <w:adjustRightInd/>
              <w:snapToGrid/>
              <w:spacing w:line="400" w:lineRule="exact"/>
              <w:ind w:firstLine="482" w:firstLineChars="200"/>
              <w:jc w:val="left"/>
              <w:textAlignment w:val="auto"/>
              <w:rPr>
                <w:rFonts w:ascii="仿宋_GB2312" w:hAnsi="Segoe UI" w:eastAsia="仿宋_GB2312" w:cs="Segoe UI"/>
                <w:b/>
                <w:color w:val="auto"/>
                <w:kern w:val="0"/>
                <w:sz w:val="24"/>
                <w:szCs w:val="24"/>
                <w:shd w:val="clear" w:color="auto" w:fill="FFFFFF"/>
              </w:rPr>
            </w:pPr>
            <w:r>
              <w:rPr>
                <w:rFonts w:hint="eastAsia" w:ascii="仿宋_GB2312" w:hAnsi="Segoe UI" w:eastAsia="仿宋_GB2312" w:cs="Segoe UI"/>
                <w:b/>
                <w:color w:val="auto"/>
                <w:kern w:val="0"/>
                <w:sz w:val="24"/>
                <w:szCs w:val="24"/>
                <w:shd w:val="clear" w:color="auto" w:fill="FFFFFF"/>
              </w:rPr>
              <w:t>六、工作要求</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（一）环境整洁达标率：公共区域（建筑内、道路、运动场、停车场、绿地）目视无垃圾、无积水、无污渍、无积尘；卫生间洁净无异味、设施完好、耗品充足；垃圾点无散落、无溢出、无异味、定期消毒。</w:t>
            </w:r>
          </w:p>
          <w:p>
            <w:pPr>
              <w:keepNext w:val="0"/>
              <w:keepLines w:val="0"/>
              <w:pageBreakBefore w:val="0"/>
              <w:wordWrap/>
              <w:topLinePunct w:val="0"/>
              <w:bidi w:val="0"/>
              <w:adjustRightInd/>
              <w:snapToGrid/>
              <w:spacing w:line="400" w:lineRule="exact"/>
              <w:ind w:firstLine="480" w:firstLineChars="200"/>
              <w:textAlignment w:val="auto"/>
              <w:rPr>
                <w:rStyle w:val="118"/>
                <w:rFonts w:hint="default" w:ascii="仿宋_GB2312" w:hAnsi="仿宋_GB2312" w:eastAsia="仿宋_GB2312" w:cs="仿宋_GB2312"/>
                <w:color w:val="auto"/>
                <w:sz w:val="24"/>
                <w:szCs w:val="24"/>
              </w:rPr>
            </w:pPr>
            <w:r>
              <w:rPr>
                <w:rFonts w:hint="eastAsia" w:ascii="仿宋_GB2312" w:eastAsia="仿宋_GB2312"/>
                <w:color w:val="auto"/>
                <w:sz w:val="24"/>
                <w:szCs w:val="24"/>
              </w:rPr>
              <w:t>（二）设施设备完好率与故障修复及时率：水电暖通、电梯、照明等关键设施运行正常；建立预防性维护计划并严格执行；突发故障按紧急程度限时修复，紧急故障2小时内响应，4小时内修复；一般故障24小时内修复。</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（三）</w:t>
            </w:r>
            <w:r>
              <w:rPr>
                <w:rFonts w:hint="eastAsia" w:ascii="仿宋_GB2312" w:eastAsia="仿宋_GB2312"/>
                <w:color w:val="auto"/>
                <w:sz w:val="24"/>
                <w:szCs w:val="24"/>
              </w:rPr>
              <w:t>垃圾</w:t>
            </w:r>
            <w:r>
              <w:rPr>
                <w:rFonts w:hint="eastAsia" w:ascii="仿宋_GB2312" w:eastAsia="仿宋_GB2312"/>
                <w:color w:val="auto"/>
                <w:sz w:val="24"/>
                <w:szCs w:val="24"/>
                <w:lang w:val="en-US" w:eastAsia="zh-CN"/>
              </w:rPr>
              <w:t>清理</w:t>
            </w:r>
            <w:r>
              <w:rPr>
                <w:rFonts w:hint="eastAsia" w:ascii="仿宋_GB2312" w:eastAsia="仿宋_GB2312"/>
                <w:color w:val="auto"/>
                <w:sz w:val="24"/>
                <w:szCs w:val="24"/>
              </w:rPr>
              <w:t>及时率与分类准确率：生活垃圾日产日清，无积压；建筑垃圾、绿化垃圾按规定及时</w:t>
            </w:r>
            <w:r>
              <w:rPr>
                <w:rFonts w:hint="eastAsia" w:ascii="仿宋_GB2312" w:eastAsia="仿宋_GB2312"/>
                <w:color w:val="auto"/>
                <w:sz w:val="24"/>
                <w:szCs w:val="24"/>
                <w:lang w:val="en-US" w:eastAsia="zh-CN"/>
              </w:rPr>
              <w:t>清理</w:t>
            </w:r>
            <w:r>
              <w:rPr>
                <w:rFonts w:hint="eastAsia" w:ascii="仿宋_GB2312" w:eastAsia="仿宋_GB2312"/>
                <w:color w:val="auto"/>
                <w:sz w:val="24"/>
                <w:szCs w:val="24"/>
              </w:rPr>
              <w:t>；垃圾分类投放点设置规范，标识清晰，师生投放准确率高，</w:t>
            </w:r>
            <w:r>
              <w:rPr>
                <w:rFonts w:hint="default" w:ascii="仿宋_GB2312" w:eastAsia="仿宋_GB2312"/>
                <w:color w:val="auto"/>
                <w:sz w:val="24"/>
                <w:szCs w:val="24"/>
              </w:rPr>
              <w:t>清理</w:t>
            </w:r>
            <w:r>
              <w:rPr>
                <w:rFonts w:hint="eastAsia" w:ascii="仿宋_GB2312" w:eastAsia="仿宋_GB2312"/>
                <w:color w:val="auto"/>
                <w:sz w:val="24"/>
                <w:szCs w:val="24"/>
              </w:rPr>
              <w:t>过程分类处理。</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（四）师生服务满意度：建立便捷的报修、投诉、建议渠道（线上/线下）；服务响应迅速，沟通礼貌有效；问题处理闭环，及时反馈结果；整体服务体验良好。</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（五）物业管理成本控制率：严格执行预算，优化资源配置；有效管控人力成本、物料消耗、能源费用、维修费用；实现成本节约或控制在预算范围内。</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（六）能源消耗同比下降率：实施有效的节能措施，提高能源利用效率。</w:t>
            </w:r>
          </w:p>
          <w:p>
            <w:pPr>
              <w:pStyle w:val="17"/>
              <w:keepNext w:val="0"/>
              <w:keepLines w:val="0"/>
              <w:pageBreakBefore w:val="0"/>
              <w:wordWrap/>
              <w:topLinePunct w:val="0"/>
              <w:bidi w:val="0"/>
              <w:adjustRightInd/>
              <w:snapToGrid/>
              <w:spacing w:line="4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color w:val="auto"/>
                <w:sz w:val="24"/>
                <w:szCs w:val="24"/>
              </w:rPr>
              <w:t>（七）智能化平台应用率与服务效率提升：</w:t>
            </w:r>
            <w:r>
              <w:rPr>
                <w:rFonts w:hint="eastAsia" w:ascii="仿宋_GB2312" w:hAnsi="仿宋_GB2312" w:eastAsia="仿宋_GB2312" w:cs="仿宋_GB2312"/>
                <w:sz w:val="24"/>
                <w:szCs w:val="24"/>
                <w:lang w:val="en-US" w:eastAsia="zh-CN"/>
              </w:rPr>
              <w:t>物业单位服务人员应熟练使用学校智慧后勤管理系统。</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（八）服务履约评估达标率：对保洁、绿化、维保等进行严格、量化的日常监督和定期考核；确保其服务符合合同约定的质量标准、安全要求和环保规定。</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（九）安全责任事故发生率：确保所辖物业区域设施设备运行安全（特别是电梯、用水用电）；环境安全（如地面防滑、高空坠物防范）；管理范围内无重大安全责任事故。</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w:t>
            </w:r>
            <w:r>
              <w:rPr>
                <w:rFonts w:hint="eastAsia" w:ascii="仿宋_GB2312" w:eastAsia="仿宋_GB2312"/>
                <w:color w:val="auto"/>
                <w:sz w:val="24"/>
                <w:szCs w:val="24"/>
                <w:lang w:eastAsia="zh-CN"/>
              </w:rPr>
              <w:t>十</w:t>
            </w:r>
            <w:r>
              <w:rPr>
                <w:rFonts w:hint="eastAsia" w:ascii="仿宋_GB2312" w:eastAsia="仿宋_GB2312"/>
                <w:color w:val="auto"/>
                <w:sz w:val="24"/>
                <w:szCs w:val="24"/>
              </w:rPr>
              <w:t>）标准化文件完备率与更新及时率：建立覆盖所有关键业务（清洁、垃圾、维保、宿管、安全、应急等）的标准化操作流程、作业指导书、应急预案等文件体系；文件清晰、可操作；定期评审和更新。</w:t>
            </w:r>
          </w:p>
          <w:p>
            <w:pPr>
              <w:keepNext w:val="0"/>
              <w:keepLines w:val="0"/>
              <w:pageBreakBefore w:val="0"/>
              <w:widowControl/>
              <w:wordWrap/>
              <w:topLinePunct w:val="0"/>
              <w:bidi w:val="0"/>
              <w:adjustRightInd/>
              <w:snapToGrid/>
              <w:spacing w:line="400" w:lineRule="exact"/>
              <w:ind w:firstLine="480" w:firstLineChars="200"/>
              <w:jc w:val="left"/>
              <w:textAlignment w:val="auto"/>
              <w:rPr>
                <w:rFonts w:ascii="仿宋_GB2312" w:hAnsi="宋体" w:eastAsia="仿宋_GB2312"/>
                <w:color w:val="auto"/>
                <w:sz w:val="24"/>
                <w:szCs w:val="24"/>
              </w:rPr>
            </w:pPr>
            <w:r>
              <w:rPr>
                <w:rFonts w:hint="eastAsia" w:ascii="仿宋_GB2312" w:hAnsi="Segoe UI" w:eastAsia="仿宋_GB2312" w:cs="Segoe UI"/>
                <w:color w:val="auto"/>
                <w:kern w:val="0"/>
                <w:sz w:val="24"/>
                <w:szCs w:val="24"/>
                <w:shd w:val="clear" w:color="auto" w:fill="FFFFFF"/>
              </w:rPr>
              <w:t>（</w:t>
            </w:r>
            <w:r>
              <w:rPr>
                <w:rFonts w:hint="eastAsia" w:ascii="仿宋_GB2312" w:hAnsi="Segoe UI" w:eastAsia="仿宋_GB2312" w:cs="Segoe UI"/>
                <w:color w:val="auto"/>
                <w:kern w:val="0"/>
                <w:sz w:val="24"/>
                <w:szCs w:val="24"/>
                <w:shd w:val="clear" w:color="auto" w:fill="FFFFFF"/>
                <w:lang w:eastAsia="zh-CN"/>
              </w:rPr>
              <w:t>十一</w:t>
            </w:r>
            <w:r>
              <w:rPr>
                <w:rFonts w:hint="eastAsia" w:ascii="仿宋_GB2312" w:hAnsi="Segoe UI" w:eastAsia="仿宋_GB2312" w:cs="Segoe UI"/>
                <w:color w:val="auto"/>
                <w:kern w:val="0"/>
                <w:sz w:val="24"/>
                <w:szCs w:val="24"/>
                <w:shd w:val="clear" w:color="auto" w:fill="FFFFFF"/>
              </w:rPr>
              <w:t>）自备劳作工具和配套设备：</w:t>
            </w:r>
            <w:r>
              <w:rPr>
                <w:rFonts w:hint="eastAsia" w:ascii="仿宋_GB2312" w:hAnsi="宋体" w:eastAsia="仿宋_GB2312"/>
                <w:color w:val="auto"/>
                <w:sz w:val="24"/>
                <w:szCs w:val="24"/>
              </w:rPr>
              <w:t>物业服务企业自备包括但不限于</w:t>
            </w:r>
            <w:bookmarkStart w:id="27" w:name="OLE_LINK16"/>
            <w:bookmarkStart w:id="28" w:name="OLE_LINK15"/>
            <w:r>
              <w:rPr>
                <w:rFonts w:hint="eastAsia" w:ascii="仿宋_GB2312" w:hAnsi="宋体" w:eastAsia="仿宋_GB2312"/>
                <w:color w:val="auto"/>
                <w:sz w:val="24"/>
                <w:szCs w:val="24"/>
              </w:rPr>
              <w:t>校园保洁、零星维修、校园绿化所需的</w:t>
            </w:r>
            <w:bookmarkEnd w:id="27"/>
            <w:bookmarkEnd w:id="28"/>
            <w:r>
              <w:rPr>
                <w:rFonts w:hint="eastAsia" w:ascii="仿宋_GB2312" w:hAnsi="宋体" w:eastAsia="仿宋_GB2312"/>
                <w:color w:val="auto"/>
                <w:sz w:val="24"/>
                <w:szCs w:val="24"/>
              </w:rPr>
              <w:t>垃圾自动清扫车、垃圾</w:t>
            </w:r>
            <w:r>
              <w:rPr>
                <w:rFonts w:hint="default" w:ascii="仿宋_GB2312" w:hAnsi="宋体" w:eastAsia="仿宋_GB2312"/>
                <w:color w:val="auto"/>
                <w:sz w:val="24"/>
                <w:szCs w:val="24"/>
              </w:rPr>
              <w:t>清理</w:t>
            </w:r>
            <w:r>
              <w:rPr>
                <w:rFonts w:hint="eastAsia" w:ascii="仿宋_GB2312" w:hAnsi="宋体" w:eastAsia="仿宋_GB2312"/>
                <w:color w:val="auto"/>
                <w:sz w:val="24"/>
                <w:szCs w:val="24"/>
              </w:rPr>
              <w:t>车、洒水车、室外电动高压冲洗车、三轮垃圾</w:t>
            </w:r>
            <w:r>
              <w:rPr>
                <w:rFonts w:hint="default" w:ascii="仿宋_GB2312" w:hAnsi="宋体" w:eastAsia="仿宋_GB2312"/>
                <w:color w:val="auto"/>
                <w:sz w:val="24"/>
                <w:szCs w:val="24"/>
              </w:rPr>
              <w:t>清理</w:t>
            </w:r>
            <w:r>
              <w:rPr>
                <w:rFonts w:hint="eastAsia" w:ascii="仿宋_GB2312" w:hAnsi="宋体" w:eastAsia="仿宋_GB2312"/>
                <w:color w:val="auto"/>
                <w:sz w:val="24"/>
                <w:szCs w:val="24"/>
              </w:rPr>
              <w:t>车、手推保洁车、电动三轮车、公共场所消杀设备、高压水枪、全自动洗地机、手推式洗地机、地面风干机、管道疏通机、切割机、电焊机、漏电测试表、接地电阻测试仪、电锤、击钻、手电钻、手砂轮、万用表、压力测试表、人字梯等工具，以及吸尘器、绿篱机、割灌机、打草机、油锯、升降机、钩刀、枝剪、锄头、扫把、垃圾铲、拖把、水刮、抹布等设备及工具。</w:t>
            </w:r>
          </w:p>
          <w:p>
            <w:pPr>
              <w:keepNext w:val="0"/>
              <w:keepLines w:val="0"/>
              <w:pageBreakBefore w:val="0"/>
              <w:widowControl/>
              <w:wordWrap/>
              <w:topLinePunct w:val="0"/>
              <w:bidi w:val="0"/>
              <w:adjustRightInd/>
              <w:snapToGrid/>
              <w:spacing w:line="400" w:lineRule="exact"/>
              <w:ind w:firstLine="480" w:firstLineChars="200"/>
              <w:jc w:val="left"/>
              <w:textAlignment w:val="auto"/>
              <w:rPr>
                <w:rFonts w:ascii="仿宋_GB2312" w:hAnsi="宋体" w:eastAsia="仿宋_GB2312"/>
                <w:color w:val="auto"/>
                <w:sz w:val="24"/>
                <w:szCs w:val="24"/>
              </w:rPr>
            </w:pPr>
            <w:r>
              <w:rPr>
                <w:rFonts w:hint="eastAsia" w:ascii="仿宋_GB2312" w:hAnsi="宋体" w:eastAsia="仿宋_GB2312"/>
                <w:color w:val="auto"/>
                <w:sz w:val="24"/>
                <w:szCs w:val="24"/>
              </w:rPr>
              <w:t>（</w:t>
            </w:r>
            <w:r>
              <w:rPr>
                <w:rFonts w:hint="eastAsia" w:ascii="仿宋_GB2312" w:hAnsi="宋体" w:eastAsia="仿宋_GB2312"/>
                <w:color w:val="auto"/>
                <w:sz w:val="24"/>
                <w:szCs w:val="24"/>
                <w:lang w:eastAsia="zh-CN"/>
              </w:rPr>
              <w:t>十二</w:t>
            </w:r>
            <w:r>
              <w:rPr>
                <w:rFonts w:hint="eastAsia" w:ascii="仿宋_GB2312" w:hAnsi="宋体" w:eastAsia="仿宋_GB2312"/>
                <w:color w:val="auto"/>
                <w:sz w:val="24"/>
                <w:szCs w:val="24"/>
              </w:rPr>
              <w:t>）承担生活水箱清洁及水质检测任务与费用：物业服务企业承担包括但不限于校园水泵房保洁、生活水箱及二次加压水箱清洁与水质检测、开水机清洁及消毒、</w:t>
            </w:r>
            <w:r>
              <w:rPr>
                <w:rFonts w:hint="eastAsia" w:ascii="仿宋_GB2312" w:hAnsi="宋体" w:eastAsia="仿宋_GB2312"/>
                <w:color w:val="auto"/>
                <w:sz w:val="24"/>
                <w:szCs w:val="24"/>
                <w:lang w:eastAsia="zh-CN"/>
              </w:rPr>
              <w:t>学生公寓</w:t>
            </w:r>
            <w:r>
              <w:rPr>
                <w:rFonts w:hint="eastAsia" w:ascii="仿宋_GB2312" w:hAnsi="宋体" w:eastAsia="仿宋_GB2312"/>
                <w:color w:val="auto"/>
                <w:sz w:val="24"/>
                <w:szCs w:val="24"/>
              </w:rPr>
              <w:t>空调清洁等作业及费用。</w:t>
            </w:r>
          </w:p>
          <w:p>
            <w:pPr>
              <w:keepNext w:val="0"/>
              <w:keepLines w:val="0"/>
              <w:pageBreakBefore w:val="0"/>
              <w:widowControl/>
              <w:wordWrap/>
              <w:topLinePunct w:val="0"/>
              <w:bidi w:val="0"/>
              <w:adjustRightInd/>
              <w:snapToGrid/>
              <w:spacing w:line="400" w:lineRule="exact"/>
              <w:ind w:firstLine="480" w:firstLineChars="200"/>
              <w:jc w:val="left"/>
              <w:textAlignment w:val="auto"/>
              <w:rPr>
                <w:rFonts w:ascii="仿宋_GB2312" w:hAnsi="Segoe UI" w:eastAsia="仿宋_GB2312" w:cs="Segoe UI"/>
                <w:color w:val="auto"/>
                <w:kern w:val="0"/>
                <w:sz w:val="24"/>
                <w:szCs w:val="24"/>
                <w:shd w:val="clear" w:color="auto" w:fill="FFFFFF"/>
              </w:rPr>
            </w:pPr>
            <w:r>
              <w:rPr>
                <w:rFonts w:hint="eastAsia" w:ascii="仿宋_GB2312" w:hAnsi="宋体" w:eastAsia="仿宋_GB2312"/>
                <w:color w:val="auto"/>
                <w:sz w:val="24"/>
                <w:szCs w:val="24"/>
              </w:rPr>
              <w:t>（</w:t>
            </w:r>
            <w:r>
              <w:rPr>
                <w:rFonts w:hint="eastAsia" w:ascii="仿宋_GB2312" w:hAnsi="宋体" w:eastAsia="仿宋_GB2312"/>
                <w:color w:val="auto"/>
                <w:sz w:val="24"/>
                <w:szCs w:val="24"/>
                <w:lang w:eastAsia="zh-CN"/>
              </w:rPr>
              <w:t>十三</w:t>
            </w:r>
            <w:r>
              <w:rPr>
                <w:rFonts w:hint="eastAsia" w:ascii="仿宋_GB2312" w:hAnsi="宋体" w:eastAsia="仿宋_GB2312"/>
                <w:color w:val="auto"/>
                <w:sz w:val="24"/>
                <w:szCs w:val="24"/>
              </w:rPr>
              <w:t>）承担部分小件耗材的采购及费用：物业服务企业</w:t>
            </w:r>
            <w:r>
              <w:rPr>
                <w:rFonts w:hint="eastAsia" w:ascii="仿宋_GB2312" w:hAnsi="宋体" w:eastAsia="仿宋_GB2312"/>
                <w:color w:val="auto"/>
                <w:sz w:val="24"/>
                <w:szCs w:val="24"/>
                <w:lang w:val="en-US" w:eastAsia="zh-CN"/>
              </w:rPr>
              <w:t>自用的小件耗材</w:t>
            </w:r>
            <w:r>
              <w:rPr>
                <w:rFonts w:hint="eastAsia" w:ascii="仿宋_GB2312" w:hAnsi="宋体" w:eastAsia="仿宋_GB2312"/>
                <w:color w:val="auto"/>
                <w:sz w:val="24"/>
                <w:szCs w:val="24"/>
                <w:lang w:eastAsia="zh-CN"/>
              </w:rPr>
              <w:t>，</w:t>
            </w:r>
            <w:r>
              <w:rPr>
                <w:rFonts w:hint="eastAsia" w:ascii="仿宋_GB2312" w:hAnsi="宋体" w:eastAsia="仿宋_GB2312"/>
                <w:color w:val="auto"/>
                <w:sz w:val="24"/>
                <w:szCs w:val="24"/>
              </w:rPr>
              <w:t>包括但不限于垃圾袋、洗衣粉、玻璃清洁剂、消毒液、洗洁精、洁厕精、蚊香、空气清新剂、檀香、除胶剂、除草剂、除四害杀虫剂、除蚁害杀虫剂、防蛇害杀虫剂、燃油和校园保洁、零星维修、校园绿化作业所需的及未列明的耗材采购及费用。</w:t>
            </w:r>
          </w:p>
          <w:p>
            <w:pPr>
              <w:keepNext w:val="0"/>
              <w:keepLines w:val="0"/>
              <w:pageBreakBefore w:val="0"/>
              <w:widowControl/>
              <w:wordWrap/>
              <w:topLinePunct w:val="0"/>
              <w:bidi w:val="0"/>
              <w:adjustRightInd/>
              <w:snapToGrid/>
              <w:spacing w:line="400" w:lineRule="exact"/>
              <w:ind w:firstLine="361" w:firstLineChars="150"/>
              <w:jc w:val="left"/>
              <w:textAlignment w:val="auto"/>
              <w:rPr>
                <w:rFonts w:ascii="仿宋_GB2312" w:hAnsi="Segoe UI" w:eastAsia="仿宋_GB2312" w:cs="Segoe UI"/>
                <w:b/>
                <w:color w:val="auto"/>
                <w:kern w:val="0"/>
                <w:sz w:val="24"/>
                <w:szCs w:val="24"/>
                <w:shd w:val="clear" w:color="auto" w:fill="FFFFFF"/>
              </w:rPr>
            </w:pPr>
            <w:r>
              <w:rPr>
                <w:rFonts w:hint="eastAsia" w:ascii="仿宋_GB2312" w:hAnsi="Segoe UI" w:eastAsia="仿宋_GB2312" w:cs="Segoe UI"/>
                <w:b/>
                <w:color w:val="auto"/>
                <w:kern w:val="0"/>
                <w:sz w:val="24"/>
                <w:szCs w:val="24"/>
                <w:shd w:val="clear" w:color="auto" w:fill="FFFFFF"/>
              </w:rPr>
              <w:t>七、服务质量保障</w:t>
            </w:r>
          </w:p>
          <w:p>
            <w:pPr>
              <w:keepNext w:val="0"/>
              <w:keepLines w:val="0"/>
              <w:pageBreakBefore w:val="0"/>
              <w:widowControl/>
              <w:wordWrap/>
              <w:topLinePunct w:val="0"/>
              <w:bidi w:val="0"/>
              <w:adjustRightInd/>
              <w:snapToGrid/>
              <w:spacing w:line="400" w:lineRule="exact"/>
              <w:ind w:firstLine="361" w:firstLineChars="150"/>
              <w:jc w:val="left"/>
              <w:textAlignment w:val="auto"/>
              <w:rPr>
                <w:rFonts w:ascii="仿宋_GB2312" w:hAnsi="Segoe UI" w:eastAsia="仿宋_GB2312" w:cs="Segoe UI"/>
                <w:b/>
                <w:color w:val="auto"/>
                <w:kern w:val="0"/>
                <w:sz w:val="24"/>
                <w:szCs w:val="24"/>
                <w:shd w:val="clear" w:color="auto" w:fill="FFFFFF"/>
              </w:rPr>
            </w:pPr>
            <w:r>
              <w:rPr>
                <w:rFonts w:hint="eastAsia" w:ascii="仿宋_GB2312" w:hAnsi="Segoe UI" w:eastAsia="仿宋_GB2312" w:cs="Segoe UI"/>
                <w:b/>
                <w:color w:val="auto"/>
                <w:kern w:val="0"/>
                <w:sz w:val="24"/>
                <w:szCs w:val="24"/>
                <w:shd w:val="clear" w:color="auto" w:fill="FFFFFF"/>
                <w:lang w:eastAsia="zh-CN"/>
              </w:rPr>
              <w:t>（一）</w:t>
            </w:r>
            <w:r>
              <w:rPr>
                <w:rFonts w:hint="eastAsia" w:ascii="仿宋_GB2312" w:hAnsi="Segoe UI" w:eastAsia="仿宋_GB2312" w:cs="Segoe UI"/>
                <w:b/>
                <w:color w:val="auto"/>
                <w:kern w:val="0"/>
                <w:sz w:val="24"/>
                <w:szCs w:val="24"/>
                <w:shd w:val="clear" w:color="auto" w:fill="FFFFFF"/>
              </w:rPr>
              <w:t>考核机制</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hAnsi="Segoe UI" w:eastAsia="仿宋_GB2312" w:cs="Segoe UI"/>
                <w:color w:val="auto"/>
                <w:kern w:val="0"/>
                <w:sz w:val="24"/>
                <w:szCs w:val="24"/>
                <w:shd w:val="clear" w:color="auto" w:fill="FFFFFF"/>
                <w:lang w:val="en-US" w:eastAsia="zh-CN"/>
              </w:rPr>
              <w:t>1.</w:t>
            </w:r>
            <w:r>
              <w:rPr>
                <w:rFonts w:hint="eastAsia" w:ascii="仿宋_GB2312" w:eastAsia="仿宋_GB2312"/>
                <w:color w:val="auto"/>
                <w:sz w:val="24"/>
                <w:szCs w:val="24"/>
              </w:rPr>
              <w:t>职责分工：</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后勤保障：由后勤保障处负责对校园公共区域的环境卫生、校园的绿化管理与养护、建筑物及附属构件和公共设施维修维护，以及校园垃圾</w:t>
            </w:r>
            <w:r>
              <w:rPr>
                <w:rFonts w:hint="eastAsia" w:ascii="仿宋_GB2312" w:eastAsia="仿宋_GB2312"/>
                <w:color w:val="auto"/>
                <w:sz w:val="24"/>
                <w:szCs w:val="24"/>
                <w:lang w:val="en-US" w:eastAsia="zh-CN"/>
              </w:rPr>
              <w:t>分类及清理</w:t>
            </w:r>
            <w:r>
              <w:rPr>
                <w:rFonts w:hint="eastAsia" w:ascii="仿宋_GB2312" w:eastAsia="仿宋_GB2312"/>
                <w:color w:val="auto"/>
                <w:sz w:val="24"/>
                <w:szCs w:val="24"/>
              </w:rPr>
              <w:t>、有害生物防治、化粪池清理、临时专项保洁等工作的指导、监管与考核；物业服务满意度调查。</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lang w:val="en-US" w:eastAsia="zh-CN"/>
              </w:rPr>
              <w:t>学生公寓（学员公寓）</w:t>
            </w:r>
            <w:r>
              <w:rPr>
                <w:rFonts w:hint="eastAsia" w:ascii="仿宋_GB2312" w:eastAsia="仿宋_GB2312"/>
                <w:color w:val="auto"/>
                <w:sz w:val="24"/>
                <w:szCs w:val="24"/>
              </w:rPr>
              <w:t>管理：中国</w:t>
            </w:r>
            <w:r>
              <w:rPr>
                <w:rFonts w:hint="eastAsia" w:ascii="仿宋_GB2312" w:eastAsia="仿宋_GB2312"/>
                <w:color w:val="auto"/>
                <w:sz w:val="24"/>
                <w:szCs w:val="24"/>
                <w:lang w:eastAsia="zh-CN"/>
              </w:rPr>
              <w:t>学生公寓</w:t>
            </w:r>
            <w:r>
              <w:rPr>
                <w:rFonts w:hint="eastAsia" w:ascii="仿宋_GB2312" w:eastAsia="仿宋_GB2312"/>
                <w:color w:val="auto"/>
                <w:sz w:val="24"/>
                <w:szCs w:val="24"/>
              </w:rPr>
              <w:t>管理由学生工作处负责对全校学生公寓的日常管理、设施维修等工作的指导、监管与考核；国际</w:t>
            </w:r>
            <w:r>
              <w:rPr>
                <w:rFonts w:hint="eastAsia" w:ascii="仿宋_GB2312" w:eastAsia="仿宋_GB2312"/>
                <w:color w:val="auto"/>
                <w:sz w:val="24"/>
                <w:szCs w:val="24"/>
                <w:lang w:eastAsia="zh-CN"/>
              </w:rPr>
              <w:t>学生公寓</w:t>
            </w:r>
            <w:r>
              <w:rPr>
                <w:rFonts w:hint="eastAsia" w:ascii="仿宋_GB2312" w:eastAsia="仿宋_GB2312"/>
                <w:color w:val="auto"/>
                <w:sz w:val="24"/>
                <w:szCs w:val="24"/>
              </w:rPr>
              <w:t>管理国际教育学院负责对国际学生住宿场所的公共区域保洁、设施维修等工作的指导、监管与考核；学员公寓管理服务由开放学院负责对学员公寓的管理、接待服务和公共区域保洁、设施维修等工作的指导、监管与考核。</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教辅教学：教学楼/实训楼由各二级学院负责对全校教学楼和实训楼的公共区域保洁、设施维修等工作的指导、监管与考核；由师范教育学院负责对</w:t>
            </w:r>
            <w:r>
              <w:rPr>
                <w:rFonts w:hint="eastAsia" w:ascii="仿宋_GB2312" w:eastAsia="仿宋_GB2312"/>
                <w:color w:val="auto"/>
                <w:sz w:val="24"/>
                <w:szCs w:val="24"/>
                <w:lang w:val="en-US" w:eastAsia="zh-CN"/>
              </w:rPr>
              <w:t>实践教育综合楼</w:t>
            </w:r>
            <w:r>
              <w:rPr>
                <w:rFonts w:hint="eastAsia" w:ascii="仿宋_GB2312" w:eastAsia="仿宋_GB2312"/>
                <w:color w:val="auto"/>
                <w:sz w:val="24"/>
                <w:szCs w:val="24"/>
              </w:rPr>
              <w:t>、室内体育馆、室外运动场的公共区域保洁、设施维修等工作的指导、监管与考核；图书馆由科技与对外合作处负责对图书馆公共区域保洁、设施维修等工作的指导、监管与考核；荣军校区由开放学院负责对荣军校区的保洁、维修等工作的指导、监管与考核。</w:t>
            </w:r>
          </w:p>
          <w:p>
            <w:pPr>
              <w:keepNext w:val="0"/>
              <w:keepLines w:val="0"/>
              <w:pageBreakBefore w:val="0"/>
              <w:wordWrap/>
              <w:topLinePunct w:val="0"/>
              <w:bidi w:val="0"/>
              <w:adjustRightInd/>
              <w:snapToGrid/>
              <w:spacing w:line="400" w:lineRule="exact"/>
              <w:ind w:firstLine="480" w:firstLineChars="200"/>
              <w:textAlignment w:val="auto"/>
              <w:rPr>
                <w:rFonts w:ascii="仿宋_GB2312" w:hAnsi="Segoe UI" w:eastAsia="仿宋_GB2312" w:cs="Segoe UI"/>
                <w:color w:val="auto"/>
                <w:kern w:val="0"/>
                <w:sz w:val="24"/>
                <w:szCs w:val="24"/>
                <w:shd w:val="clear" w:color="auto" w:fill="FFFFFF"/>
              </w:rPr>
            </w:pPr>
            <w:r>
              <w:rPr>
                <w:rFonts w:hint="eastAsia" w:ascii="仿宋_GB2312" w:eastAsia="仿宋_GB2312"/>
                <w:color w:val="auto"/>
                <w:sz w:val="24"/>
                <w:szCs w:val="24"/>
              </w:rPr>
              <w:t>重点场所由学校办公室负责领导接待室和办公室、会议室、校史馆、</w:t>
            </w:r>
            <w:r>
              <w:rPr>
                <w:rFonts w:hint="eastAsia" w:ascii="仿宋_GB2312" w:eastAsia="仿宋_GB2312"/>
                <w:color w:val="auto"/>
                <w:sz w:val="24"/>
                <w:szCs w:val="24"/>
                <w:lang w:val="en-US" w:eastAsia="zh-CN"/>
              </w:rPr>
              <w:t>礼堂、</w:t>
            </w:r>
            <w:r>
              <w:rPr>
                <w:rFonts w:hint="eastAsia" w:ascii="仿宋_GB2312" w:eastAsia="仿宋_GB2312"/>
                <w:color w:val="auto"/>
                <w:sz w:val="24"/>
                <w:szCs w:val="24"/>
              </w:rPr>
              <w:t>报告厅的保洁、维修等工作的指导、监督与考核。</w:t>
            </w:r>
          </w:p>
          <w:p>
            <w:pPr>
              <w:keepNext w:val="0"/>
              <w:keepLines w:val="0"/>
              <w:pageBreakBefore w:val="0"/>
              <w:widowControl/>
              <w:wordWrap/>
              <w:topLinePunct w:val="0"/>
              <w:bidi w:val="0"/>
              <w:adjustRightInd/>
              <w:snapToGrid/>
              <w:spacing w:line="400" w:lineRule="exact"/>
              <w:ind w:firstLine="360" w:firstLineChars="150"/>
              <w:jc w:val="left"/>
              <w:textAlignment w:val="auto"/>
              <w:rPr>
                <w:rFonts w:ascii="仿宋_GB2312" w:eastAsia="仿宋_GB2312"/>
                <w:color w:val="auto"/>
                <w:sz w:val="24"/>
                <w:szCs w:val="24"/>
              </w:rPr>
            </w:pPr>
            <w:r>
              <w:rPr>
                <w:rFonts w:hint="eastAsia" w:ascii="仿宋_GB2312" w:hAnsi="Segoe UI" w:eastAsia="仿宋_GB2312" w:cs="Segoe UI"/>
                <w:color w:val="auto"/>
                <w:kern w:val="0"/>
                <w:sz w:val="24"/>
                <w:szCs w:val="24"/>
                <w:shd w:val="clear" w:color="auto" w:fill="FFFFFF"/>
                <w:lang w:val="en-US" w:eastAsia="zh-CN"/>
              </w:rPr>
              <w:t>2.</w:t>
            </w:r>
            <w:r>
              <w:rPr>
                <w:rFonts w:hint="eastAsia" w:ascii="仿宋_GB2312" w:eastAsia="仿宋_GB2312"/>
                <w:color w:val="auto"/>
                <w:sz w:val="24"/>
                <w:szCs w:val="24"/>
              </w:rPr>
              <w:t>考核采用百分制：</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各考核单位提报的考核成绩以及物业服务企业的最终成绩均采用百分制；各考核单位成绩占考核总分的权重是：</w:t>
            </w:r>
          </w:p>
          <w:p>
            <w:pPr>
              <w:keepNext w:val="0"/>
              <w:keepLines w:val="0"/>
              <w:pageBreakBefore w:val="0"/>
              <w:wordWrap/>
              <w:topLinePunct w:val="0"/>
              <w:bidi w:val="0"/>
              <w:adjustRightInd/>
              <w:snapToGrid/>
              <w:spacing w:line="400" w:lineRule="exact"/>
              <w:ind w:firstLine="480" w:firstLineChars="200"/>
              <w:textAlignment w:val="auto"/>
              <w:rPr>
                <w:rFonts w:hint="eastAsia" w:ascii="仿宋_GB2312" w:eastAsia="仿宋_GB2312"/>
                <w:color w:val="auto"/>
                <w:sz w:val="24"/>
                <w:szCs w:val="24"/>
              </w:rPr>
            </w:pPr>
            <w:r>
              <w:rPr>
                <w:rFonts w:hint="eastAsia" w:ascii="仿宋_GB2312" w:eastAsia="仿宋_GB2312"/>
                <w:color w:val="auto"/>
                <w:sz w:val="24"/>
                <w:szCs w:val="24"/>
              </w:rPr>
              <w:t>后勤保障：占62%，其中校园环境卫生2</w:t>
            </w:r>
            <w:r>
              <w:rPr>
                <w:rFonts w:hint="eastAsia" w:ascii="仿宋_GB2312" w:eastAsia="仿宋_GB2312"/>
                <w:color w:val="auto"/>
                <w:sz w:val="24"/>
                <w:szCs w:val="24"/>
                <w:lang w:val="en-US" w:eastAsia="zh-CN"/>
              </w:rPr>
              <w:t>0</w:t>
            </w:r>
            <w:r>
              <w:rPr>
                <w:rFonts w:hint="eastAsia" w:ascii="仿宋_GB2312" w:eastAsia="仿宋_GB2312"/>
                <w:color w:val="auto"/>
                <w:sz w:val="24"/>
                <w:szCs w:val="24"/>
              </w:rPr>
              <w:t>%、维修维护</w:t>
            </w:r>
            <w:r>
              <w:rPr>
                <w:rFonts w:hint="eastAsia" w:ascii="仿宋_GB2312" w:eastAsia="仿宋_GB2312"/>
                <w:color w:val="auto"/>
                <w:sz w:val="24"/>
                <w:szCs w:val="24"/>
                <w:lang w:val="en-US" w:eastAsia="zh-CN"/>
              </w:rPr>
              <w:t>18</w:t>
            </w:r>
            <w:r>
              <w:rPr>
                <w:rFonts w:hint="eastAsia" w:ascii="仿宋_GB2312" w:eastAsia="仿宋_GB2312"/>
                <w:color w:val="auto"/>
                <w:sz w:val="24"/>
                <w:szCs w:val="24"/>
              </w:rPr>
              <w:t>%、校园绿化养护10%、专项服务</w:t>
            </w:r>
            <w:r>
              <w:rPr>
                <w:rFonts w:hint="eastAsia" w:ascii="仿宋_GB2312" w:eastAsia="仿宋_GB2312"/>
                <w:color w:val="auto"/>
                <w:sz w:val="24"/>
                <w:szCs w:val="24"/>
                <w:lang w:val="en-US" w:eastAsia="zh-CN"/>
              </w:rPr>
              <w:t>14</w:t>
            </w:r>
            <w:r>
              <w:rPr>
                <w:rFonts w:hint="eastAsia" w:ascii="仿宋_GB2312" w:eastAsia="仿宋_GB2312"/>
                <w:color w:val="auto"/>
                <w:sz w:val="24"/>
                <w:szCs w:val="24"/>
              </w:rPr>
              <w:t>%（</w:t>
            </w:r>
            <w:r>
              <w:rPr>
                <w:rFonts w:hint="eastAsia" w:ascii="仿宋_GB2312" w:eastAsia="仿宋_GB2312"/>
                <w:color w:val="auto"/>
                <w:sz w:val="24"/>
                <w:szCs w:val="24"/>
                <w:lang w:val="en-US" w:eastAsia="zh-CN"/>
              </w:rPr>
              <w:t>垃圾清理10%、</w:t>
            </w:r>
            <w:r>
              <w:rPr>
                <w:rFonts w:hint="eastAsia" w:ascii="仿宋_GB2312" w:eastAsia="仿宋_GB2312"/>
                <w:color w:val="auto"/>
                <w:sz w:val="24"/>
                <w:szCs w:val="24"/>
              </w:rPr>
              <w:t>有害生物防治2%、化粪池清理</w:t>
            </w:r>
            <w:r>
              <w:rPr>
                <w:rFonts w:hint="eastAsia" w:ascii="仿宋_GB2312" w:eastAsia="仿宋_GB2312"/>
                <w:color w:val="auto"/>
                <w:sz w:val="24"/>
                <w:szCs w:val="24"/>
                <w:lang w:val="en-US" w:eastAsia="zh-CN"/>
              </w:rPr>
              <w:t>2</w:t>
            </w:r>
            <w:r>
              <w:rPr>
                <w:rFonts w:hint="eastAsia" w:ascii="仿宋_GB2312" w:eastAsia="仿宋_GB2312"/>
                <w:color w:val="auto"/>
                <w:sz w:val="24"/>
                <w:szCs w:val="24"/>
              </w:rPr>
              <w:t>%）</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lang w:val="en-US" w:eastAsia="zh-CN"/>
              </w:rPr>
              <w:t>学生公寓（学员公寓）</w:t>
            </w:r>
            <w:r>
              <w:rPr>
                <w:rFonts w:hint="eastAsia" w:ascii="仿宋_GB2312" w:eastAsia="仿宋_GB2312"/>
                <w:color w:val="auto"/>
                <w:sz w:val="24"/>
                <w:szCs w:val="24"/>
              </w:rPr>
              <w:t>管理：占23%，其中</w:t>
            </w:r>
            <w:r>
              <w:rPr>
                <w:rFonts w:hint="eastAsia" w:ascii="仿宋_GB2312" w:eastAsia="仿宋_GB2312"/>
                <w:color w:val="auto"/>
                <w:sz w:val="24"/>
                <w:szCs w:val="24"/>
                <w:lang w:eastAsia="zh-CN"/>
              </w:rPr>
              <w:t>学生公寓</w:t>
            </w:r>
            <w:r>
              <w:rPr>
                <w:rFonts w:hint="eastAsia" w:ascii="仿宋_GB2312" w:eastAsia="仿宋_GB2312"/>
                <w:color w:val="auto"/>
                <w:sz w:val="24"/>
                <w:szCs w:val="24"/>
              </w:rPr>
              <w:t>管理10%，学员公寓服务8%、国际学生公寓管理5%。</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教辅教学：占10%，其中教学楼5%，实训楼5%。</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重要场所：占5%，其中领导接待室和办公室2%、校史馆、报告厅、会议室2%、物业服务满意度</w:t>
            </w:r>
            <w:r>
              <w:rPr>
                <w:rFonts w:ascii="仿宋_GB2312" w:eastAsia="仿宋_GB2312"/>
                <w:color w:val="auto"/>
                <w:sz w:val="24"/>
                <w:szCs w:val="24"/>
              </w:rPr>
              <w:t>1</w:t>
            </w:r>
            <w:r>
              <w:rPr>
                <w:rFonts w:hint="eastAsia" w:ascii="仿宋_GB2312" w:eastAsia="仿宋_GB2312"/>
                <w:color w:val="auto"/>
                <w:sz w:val="24"/>
                <w:szCs w:val="24"/>
              </w:rPr>
              <w:t>%。</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lang w:val="en-US" w:eastAsia="zh-CN"/>
              </w:rPr>
              <w:t>3.</w:t>
            </w:r>
            <w:r>
              <w:rPr>
                <w:rFonts w:hint="eastAsia" w:ascii="仿宋_GB2312" w:eastAsia="仿宋_GB2312"/>
                <w:color w:val="auto"/>
                <w:sz w:val="24"/>
                <w:szCs w:val="24"/>
              </w:rPr>
              <w:t>考核成绩计算：</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各考核单位的月度考核成绩=（本月内周考核成绩平均值×70%）+（月底综合检查成绩×30%）。</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lang w:val="en-US" w:eastAsia="zh-CN"/>
              </w:rPr>
              <w:t>4.</w:t>
            </w:r>
            <w:r>
              <w:rPr>
                <w:rFonts w:hint="eastAsia" w:ascii="仿宋_GB2312" w:eastAsia="仿宋_GB2312"/>
                <w:color w:val="auto"/>
                <w:sz w:val="24"/>
                <w:szCs w:val="24"/>
              </w:rPr>
              <w:t>考核等次：90-100分为优秀，80-89分为良好，70-79分为合格，69分及以下为不合格。</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lang w:val="en-US" w:eastAsia="zh-CN"/>
              </w:rPr>
              <w:t>5.</w:t>
            </w:r>
            <w:r>
              <w:rPr>
                <w:rFonts w:hint="eastAsia" w:ascii="仿宋_GB2312" w:eastAsia="仿宋_GB2312"/>
                <w:color w:val="auto"/>
                <w:sz w:val="24"/>
                <w:szCs w:val="24"/>
              </w:rPr>
              <w:t>考核结果运用：物业服务企业月考核成绩为合格及以上，学校向物业服务企业全额支付月度物业服务费；存在问题则扣减相关物业服务企业的月度服务费；月考核成绩为不合格收扣减当月物业服务费的1%至5%；连续两个月考核成绩为不合格或在管理服务工作中出现重大失误时，学校可扣除项目</w:t>
            </w:r>
            <w:r>
              <w:rPr>
                <w:rFonts w:hint="eastAsia" w:ascii="仿宋_GB2312" w:hAnsi="仿宋_GB2312" w:eastAsia="仿宋_GB2312" w:cs="仿宋_GB2312"/>
                <w:sz w:val="24"/>
                <w:lang w:val="en-US" w:eastAsia="zh-CN"/>
              </w:rPr>
              <w:t>当月物业服务费</w:t>
            </w:r>
            <w:r>
              <w:rPr>
                <w:rFonts w:hint="eastAsia" w:ascii="仿宋_GB2312" w:eastAsia="仿宋_GB2312"/>
                <w:color w:val="auto"/>
                <w:sz w:val="24"/>
                <w:szCs w:val="24"/>
              </w:rPr>
              <w:t>的30%至100%，</w:t>
            </w:r>
            <w:r>
              <w:rPr>
                <w:rFonts w:hint="eastAsia" w:ascii="仿宋_GB2312" w:eastAsia="仿宋_GB2312"/>
                <w:color w:val="auto"/>
                <w:sz w:val="24"/>
                <w:szCs w:val="24"/>
                <w:lang w:val="en-US" w:eastAsia="zh-CN"/>
              </w:rPr>
              <w:t>学校</w:t>
            </w:r>
            <w:r>
              <w:rPr>
                <w:rFonts w:hint="eastAsia" w:ascii="仿宋_GB2312" w:eastAsia="仿宋_GB2312"/>
                <w:color w:val="auto"/>
                <w:sz w:val="24"/>
                <w:szCs w:val="24"/>
              </w:rPr>
              <w:t>可终止合同；出现重大安全责任事故时，学校可全额扣除其当月物业服务费</w:t>
            </w:r>
            <w:r>
              <w:rPr>
                <w:rFonts w:hint="eastAsia" w:ascii="仿宋_GB2312" w:eastAsia="仿宋_GB2312"/>
                <w:color w:val="auto"/>
                <w:sz w:val="24"/>
                <w:szCs w:val="24"/>
                <w:lang w:eastAsia="zh-CN"/>
              </w:rPr>
              <w:t>，</w:t>
            </w:r>
            <w:r>
              <w:rPr>
                <w:rFonts w:hint="eastAsia" w:ascii="仿宋_GB2312" w:eastAsia="仿宋_GB2312"/>
                <w:color w:val="auto"/>
                <w:sz w:val="24"/>
                <w:szCs w:val="24"/>
                <w:lang w:val="en-US" w:eastAsia="zh-CN"/>
              </w:rPr>
              <w:t>并</w:t>
            </w:r>
            <w:r>
              <w:rPr>
                <w:rFonts w:hint="eastAsia" w:ascii="仿宋_GB2312" w:eastAsia="仿宋_GB2312"/>
                <w:color w:val="auto"/>
                <w:sz w:val="24"/>
                <w:szCs w:val="24"/>
              </w:rPr>
              <w:t>立即终止合同。</w:t>
            </w:r>
          </w:p>
          <w:p>
            <w:pPr>
              <w:keepNext w:val="0"/>
              <w:keepLines w:val="0"/>
              <w:pageBreakBefore w:val="0"/>
              <w:widowControl/>
              <w:wordWrap/>
              <w:topLinePunct w:val="0"/>
              <w:bidi w:val="0"/>
              <w:adjustRightInd/>
              <w:snapToGrid/>
              <w:spacing w:line="400" w:lineRule="exact"/>
              <w:ind w:firstLine="361" w:firstLineChars="150"/>
              <w:jc w:val="left"/>
              <w:textAlignment w:val="auto"/>
              <w:rPr>
                <w:rFonts w:ascii="仿宋_GB2312" w:hAnsi="Segoe UI" w:eastAsia="仿宋_GB2312" w:cs="Segoe UI"/>
                <w:b/>
                <w:color w:val="auto"/>
                <w:kern w:val="0"/>
                <w:sz w:val="24"/>
                <w:szCs w:val="24"/>
                <w:shd w:val="clear" w:color="auto" w:fill="FFFFFF"/>
              </w:rPr>
            </w:pPr>
            <w:r>
              <w:rPr>
                <w:rFonts w:hint="eastAsia" w:ascii="仿宋_GB2312" w:hAnsi="Segoe UI" w:eastAsia="仿宋_GB2312" w:cs="Segoe UI"/>
                <w:b/>
                <w:color w:val="auto"/>
                <w:kern w:val="0"/>
                <w:sz w:val="24"/>
                <w:szCs w:val="24"/>
                <w:shd w:val="clear" w:color="auto" w:fill="FFFFFF"/>
                <w:lang w:eastAsia="zh-CN"/>
              </w:rPr>
              <w:t>（二）</w:t>
            </w:r>
            <w:r>
              <w:rPr>
                <w:rFonts w:hint="eastAsia" w:ascii="仿宋_GB2312" w:hAnsi="Segoe UI" w:eastAsia="仿宋_GB2312" w:cs="Segoe UI"/>
                <w:b/>
                <w:color w:val="auto"/>
                <w:kern w:val="0"/>
                <w:sz w:val="24"/>
                <w:szCs w:val="24"/>
                <w:shd w:val="clear" w:color="auto" w:fill="FFFFFF"/>
              </w:rPr>
              <w:t>投诉处理</w:t>
            </w:r>
          </w:p>
          <w:p>
            <w:pPr>
              <w:keepNext w:val="0"/>
              <w:keepLines w:val="0"/>
              <w:pageBreakBefore w:val="0"/>
              <w:widowControl/>
              <w:wordWrap/>
              <w:topLinePunct w:val="0"/>
              <w:bidi w:val="0"/>
              <w:adjustRightInd/>
              <w:snapToGrid/>
              <w:spacing w:line="400" w:lineRule="exact"/>
              <w:ind w:firstLine="360" w:firstLineChars="150"/>
              <w:jc w:val="left"/>
              <w:textAlignment w:val="auto"/>
              <w:rPr>
                <w:rFonts w:hint="eastAsia" w:ascii="仿宋_GB2312" w:hAnsi="Segoe UI" w:eastAsia="仿宋_GB2312" w:cs="Segoe UI"/>
                <w:color w:val="auto"/>
                <w:kern w:val="0"/>
                <w:sz w:val="24"/>
                <w:szCs w:val="24"/>
                <w:shd w:val="clear" w:color="auto" w:fill="FFFFFF"/>
              </w:rPr>
            </w:pPr>
            <w:r>
              <w:rPr>
                <w:rFonts w:hint="eastAsia" w:ascii="仿宋_GB2312" w:hAnsi="Segoe UI" w:eastAsia="仿宋_GB2312" w:cs="Segoe UI"/>
                <w:color w:val="auto"/>
                <w:kern w:val="0"/>
                <w:sz w:val="24"/>
                <w:szCs w:val="24"/>
                <w:shd w:val="clear" w:color="auto" w:fill="FFFFFF"/>
              </w:rPr>
              <w:t>投诉受理后1小时内回复，24小时内闭环处理。</w:t>
            </w:r>
          </w:p>
          <w:p>
            <w:pPr>
              <w:keepNext w:val="0"/>
              <w:keepLines w:val="0"/>
              <w:pageBreakBefore w:val="0"/>
              <w:widowControl/>
              <w:numPr>
                <w:ilvl w:val="-1"/>
                <w:numId w:val="0"/>
              </w:numPr>
              <w:wordWrap/>
              <w:topLinePunct w:val="0"/>
              <w:bidi w:val="0"/>
              <w:adjustRightInd/>
              <w:snapToGrid/>
              <w:spacing w:line="400" w:lineRule="exact"/>
              <w:ind w:left="420" w:firstLine="0" w:firstLineChars="0"/>
              <w:jc w:val="left"/>
              <w:textAlignment w:val="auto"/>
              <w:rPr>
                <w:rFonts w:hint="eastAsia" w:ascii="仿宋_GB2312" w:hAnsi="Segoe UI" w:eastAsia="仿宋_GB2312" w:cs="Segoe UI"/>
                <w:b/>
                <w:bCs/>
                <w:color w:val="auto"/>
                <w:kern w:val="0"/>
                <w:sz w:val="24"/>
                <w:szCs w:val="24"/>
                <w:shd w:val="clear" w:color="auto" w:fill="FFFFFF"/>
                <w:lang w:eastAsia="zh-CN"/>
              </w:rPr>
            </w:pPr>
            <w:r>
              <w:rPr>
                <w:rFonts w:hint="eastAsia" w:ascii="仿宋_GB2312" w:hAnsi="Segoe UI" w:eastAsia="仿宋_GB2312" w:cs="Segoe UI"/>
                <w:b/>
                <w:bCs/>
                <w:color w:val="auto"/>
                <w:kern w:val="0"/>
                <w:sz w:val="24"/>
                <w:szCs w:val="24"/>
                <w:shd w:val="clear" w:color="auto" w:fill="FFFFFF"/>
                <w:lang w:eastAsia="zh-CN"/>
              </w:rPr>
              <w:t>八、人员素质要求特别说明</w:t>
            </w:r>
          </w:p>
          <w:p>
            <w:pPr>
              <w:keepNext w:val="0"/>
              <w:keepLines w:val="0"/>
              <w:pageBreakBefore w:val="0"/>
              <w:wordWrap/>
              <w:topLinePunct w:val="0"/>
              <w:bidi w:val="0"/>
              <w:adjustRightInd/>
              <w:snapToGrid/>
              <w:spacing w:line="400" w:lineRule="exact"/>
              <w:ind w:firstLine="480" w:firstLineChars="200"/>
              <w:textAlignment w:val="auto"/>
              <w:rPr>
                <w:rFonts w:hint="eastAsia" w:ascii="仿宋_GB2312" w:hAnsi="宋体" w:eastAsia="宋体" w:cs="Arial"/>
                <w:bCs/>
                <w:color w:val="auto"/>
                <w:sz w:val="24"/>
                <w:szCs w:val="24"/>
                <w:lang w:eastAsia="zh-CN"/>
              </w:rPr>
            </w:pPr>
            <w:r>
              <w:rPr>
                <w:rFonts w:hint="eastAsia" w:ascii="仿宋_GB2312" w:hAnsi="Segoe UI" w:eastAsia="仿宋_GB2312" w:cs="Segoe UI"/>
                <w:color w:val="auto"/>
                <w:kern w:val="0"/>
                <w:sz w:val="24"/>
                <w:szCs w:val="24"/>
                <w:shd w:val="clear" w:color="auto" w:fill="FFFFFF"/>
                <w:lang w:val="en-US" w:eastAsia="zh-CN"/>
              </w:rPr>
              <w:t>中标人拟投入本项目的各类工作人员在进场时由采购人按采购需求和中标人投标文件对所有服务人员的相关证明材料原件(如工作证明材料、资格证书等）进行验证，达不到要求的将不予验收。验收过程中如发现提供虚假材料中标的则取消其中标资格，并提交相关部门按相关法律进行处理，构成犯罪的，依法追究刑事责任。</w:t>
            </w:r>
          </w:p>
        </w:tc>
        <w:tc>
          <w:tcPr>
            <w:tcW w:w="555" w:type="dxa"/>
            <w:tcBorders>
              <w:top w:val="single" w:color="auto" w:sz="4" w:space="0"/>
              <w:left w:val="single" w:color="auto" w:sz="4" w:space="0"/>
              <w:bottom w:val="single" w:color="auto" w:sz="4" w:space="0"/>
              <w:right w:val="single" w:color="auto" w:sz="4" w:space="0"/>
            </w:tcBorders>
            <w:noWrap/>
            <w:vAlign w:val="center"/>
          </w:tcPr>
          <w:p>
            <w:pPr>
              <w:pStyle w:val="26"/>
              <w:snapToGrid w:val="0"/>
              <w:spacing w:line="400" w:lineRule="exact"/>
              <w:jc w:val="center"/>
              <w:rPr>
                <w:rFonts w:ascii="仿宋_GB2312" w:hAnsi="宋体" w:eastAsia="仿宋_GB2312" w:cs="Arial"/>
                <w:bCs/>
                <w:color w:val="auto"/>
                <w:sz w:val="24"/>
                <w:szCs w:val="24"/>
              </w:rPr>
            </w:pPr>
            <w:r>
              <w:rPr>
                <w:rFonts w:hint="eastAsia" w:ascii="仿宋_GB2312" w:hAnsi="宋体" w:eastAsia="仿宋_GB2312" w:cs="Arial"/>
                <w:bCs/>
                <w:color w:val="auto"/>
                <w:sz w:val="24"/>
                <w:szCs w:val="24"/>
              </w:rPr>
              <w:t>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9242" w:type="dxa"/>
            <w:gridSpan w:val="5"/>
            <w:tcBorders>
              <w:top w:val="single" w:color="auto" w:sz="4" w:space="0"/>
              <w:left w:val="single" w:color="auto" w:sz="4" w:space="0"/>
              <w:bottom w:val="single" w:color="auto" w:sz="4" w:space="0"/>
              <w:right w:val="single" w:color="auto" w:sz="4" w:space="0"/>
            </w:tcBorders>
            <w:noWrap/>
            <w:vAlign w:val="center"/>
          </w:tcPr>
          <w:p>
            <w:pPr>
              <w:pStyle w:val="26"/>
              <w:snapToGrid w:val="0"/>
              <w:spacing w:line="400" w:lineRule="exact"/>
              <w:jc w:val="left"/>
              <w:rPr>
                <w:rFonts w:ascii="仿宋_GB2312" w:hAnsi="宋体" w:eastAsia="仿宋_GB2312" w:cs="Arial"/>
                <w:b/>
                <w:bCs/>
                <w:color w:val="auto"/>
                <w:sz w:val="24"/>
                <w:szCs w:val="24"/>
              </w:rPr>
            </w:pPr>
            <w:r>
              <w:rPr>
                <w:rFonts w:ascii="仿宋_GB2312" w:hAnsi="宋体" w:eastAsia="仿宋_GB2312" w:cs="宋体"/>
                <w:b/>
                <w:color w:val="auto"/>
                <w:kern w:val="0"/>
                <w:sz w:val="24"/>
              </w:rPr>
              <w:t>★</w:t>
            </w:r>
            <w:r>
              <w:rPr>
                <w:rFonts w:hint="eastAsia" w:ascii="仿宋_GB2312" w:hAnsi="宋体" w:eastAsia="仿宋_GB2312" w:cs="宋体"/>
                <w:b/>
                <w:color w:val="auto"/>
                <w:kern w:val="0"/>
                <w:sz w:val="24"/>
              </w:rPr>
              <w:t>二、商务要求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1129" w:type="dxa"/>
            <w:gridSpan w:val="2"/>
            <w:tcBorders>
              <w:top w:val="single" w:color="auto" w:sz="4" w:space="0"/>
              <w:left w:val="single" w:color="auto" w:sz="4" w:space="0"/>
              <w:bottom w:val="single" w:color="auto" w:sz="4" w:space="0"/>
              <w:right w:val="single" w:color="auto" w:sz="4" w:space="0"/>
            </w:tcBorders>
            <w:noWrap/>
            <w:vAlign w:val="center"/>
          </w:tcPr>
          <w:p>
            <w:pPr>
              <w:pStyle w:val="26"/>
              <w:snapToGrid w:val="0"/>
              <w:spacing w:line="440" w:lineRule="exact"/>
              <w:jc w:val="center"/>
              <w:rPr>
                <w:rFonts w:ascii="仿宋_GB2312" w:hAnsi="宋体" w:eastAsia="仿宋_GB2312" w:cs="Arial"/>
                <w:bCs/>
                <w:color w:val="auto"/>
                <w:sz w:val="24"/>
                <w:szCs w:val="24"/>
              </w:rPr>
            </w:pPr>
            <w:r>
              <w:rPr>
                <w:rFonts w:hint="eastAsia" w:ascii="仿宋_GB2312" w:hAnsi="宋体" w:eastAsia="仿宋_GB2312" w:cs="Arial"/>
                <w:bCs/>
                <w:color w:val="auto"/>
                <w:sz w:val="24"/>
                <w:szCs w:val="24"/>
              </w:rPr>
              <w:t>报价要求</w:t>
            </w:r>
          </w:p>
        </w:tc>
        <w:tc>
          <w:tcPr>
            <w:tcW w:w="8113" w:type="dxa"/>
            <w:gridSpan w:val="3"/>
            <w:tcBorders>
              <w:top w:val="single" w:color="auto" w:sz="4" w:space="0"/>
              <w:left w:val="single" w:color="auto" w:sz="4" w:space="0"/>
              <w:bottom w:val="single" w:color="auto" w:sz="4" w:space="0"/>
              <w:right w:val="single" w:color="auto" w:sz="4" w:space="0"/>
            </w:tcBorders>
            <w:noWrap/>
            <w:vAlign w:val="center"/>
          </w:tcPr>
          <w:p>
            <w:pPr>
              <w:snapToGrid w:val="0"/>
              <w:spacing w:line="440" w:lineRule="exact"/>
              <w:rPr>
                <w:rFonts w:ascii="仿宋_GB2312" w:eastAsia="仿宋_GB2312"/>
                <w:color w:val="auto"/>
                <w:sz w:val="24"/>
              </w:rPr>
            </w:pPr>
            <w:r>
              <w:rPr>
                <w:rFonts w:hint="eastAsia" w:ascii="仿宋_GB2312" w:hAnsi="宋体" w:eastAsia="仿宋_GB2312" w:cs="Arial"/>
                <w:bCs/>
                <w:color w:val="auto"/>
                <w:sz w:val="24"/>
              </w:rPr>
              <w:t>1.</w:t>
            </w:r>
            <w:r>
              <w:rPr>
                <w:rFonts w:hint="eastAsia" w:ascii="仿宋_GB2312" w:hAnsi="仿宋_GB2312" w:eastAsia="仿宋_GB2312" w:cs="仿宋_GB2312"/>
                <w:color w:val="auto"/>
                <w:sz w:val="24"/>
              </w:rPr>
              <w:t>本项目投标报价为一次性报价，利润及风险由投标人自行考虑（包括投标人自行承担</w:t>
            </w:r>
            <w:r>
              <w:rPr>
                <w:rFonts w:hint="eastAsia" w:ascii="仿宋_GB2312" w:hAnsi="仿宋_GB2312" w:eastAsia="仿宋_GB2312" w:cs="仿宋_GB2312"/>
                <w:color w:val="auto"/>
                <w:sz w:val="24"/>
                <w:lang w:val="en-US" w:eastAsia="zh-CN"/>
              </w:rPr>
              <w:t>广西壮族自治区</w:t>
            </w:r>
            <w:r>
              <w:rPr>
                <w:rFonts w:hint="eastAsia" w:ascii="仿宋_GB2312" w:hAnsi="仿宋_GB2312" w:eastAsia="仿宋_GB2312" w:cs="仿宋_GB2312"/>
                <w:color w:val="auto"/>
                <w:sz w:val="24"/>
              </w:rPr>
              <w:t>人民政府调整最低工资标准后，按实际情况增加人工费及相应保险等费用）；</w:t>
            </w:r>
          </w:p>
          <w:p>
            <w:pPr>
              <w:snapToGrid w:val="0"/>
              <w:spacing w:line="440" w:lineRule="exact"/>
              <w:rPr>
                <w:color w:val="auto"/>
              </w:rPr>
            </w:pPr>
            <w:r>
              <w:rPr>
                <w:rFonts w:hint="eastAsia" w:ascii="仿宋_GB2312" w:eastAsia="仿宋_GB2312"/>
                <w:color w:val="auto"/>
                <w:sz w:val="24"/>
              </w:rPr>
              <w:t>2.</w:t>
            </w:r>
            <w:r>
              <w:rPr>
                <w:rFonts w:hint="eastAsia" w:ascii="仿宋_GB2312" w:hAnsi="仿宋_GB2312" w:eastAsia="仿宋_GB2312" w:cs="仿宋_GB2312"/>
                <w:color w:val="auto"/>
                <w:sz w:val="24"/>
              </w:rPr>
              <w:t>投标人必须按照《</w:t>
            </w:r>
            <w:r>
              <w:rPr>
                <w:rFonts w:hint="eastAsia" w:ascii="仿宋_GB2312" w:hAnsi="仿宋_GB2312" w:eastAsia="仿宋_GB2312" w:cs="仿宋_GB2312"/>
                <w:color w:val="auto"/>
                <w:sz w:val="24"/>
                <w:lang w:val="en-US" w:eastAsia="zh-CN"/>
              </w:rPr>
              <w:t>中华人民共和国</w:t>
            </w:r>
            <w:r>
              <w:rPr>
                <w:rFonts w:hint="eastAsia" w:ascii="仿宋_GB2312" w:hAnsi="仿宋_GB2312" w:eastAsia="仿宋_GB2312" w:cs="仿宋_GB2312"/>
                <w:color w:val="auto"/>
                <w:sz w:val="24"/>
              </w:rPr>
              <w:t>劳动合同法》的规定与员工签订劳动合同并按照国家及省市的相关规定为投入本项目人员统一</w:t>
            </w:r>
            <w:r>
              <w:rPr>
                <w:rFonts w:hint="eastAsia" w:ascii="仿宋_GB2312" w:hAnsi="宋体" w:eastAsia="仿宋_GB2312" w:cs="Arial"/>
                <w:bCs/>
                <w:color w:val="auto"/>
                <w:sz w:val="24"/>
              </w:rPr>
              <w:t>办理社会保险、人员意外伤害等各种保险并承担相关费用；</w:t>
            </w:r>
          </w:p>
          <w:p>
            <w:pPr>
              <w:spacing w:line="44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r>
              <w:rPr>
                <w:rFonts w:hint="eastAsia" w:ascii="仿宋_GB2312" w:hAnsi="宋体" w:eastAsia="仿宋_GB2312" w:cs="Arial"/>
                <w:bCs/>
                <w:color w:val="auto"/>
                <w:sz w:val="24"/>
              </w:rPr>
              <w:t>投标人报价必须包含</w:t>
            </w:r>
            <w:r>
              <w:rPr>
                <w:rFonts w:hint="eastAsia" w:ascii="仿宋_GB2312" w:hAnsi="仿宋_GB2312" w:eastAsia="仿宋_GB2312" w:cs="仿宋_GB2312"/>
                <w:color w:val="auto"/>
                <w:sz w:val="24"/>
              </w:rPr>
              <w:t>本项目人员的工资、补贴津贴、加班费、社会统筹保险费、人员培训、税费、服装费及中标人的管理费等相关费用</w:t>
            </w:r>
            <w:r>
              <w:rPr>
                <w:rFonts w:hint="eastAsia" w:ascii="仿宋_GB2312" w:eastAsia="仿宋_GB2312"/>
                <w:color w:val="auto"/>
                <w:sz w:val="24"/>
              </w:rPr>
              <w:t>；</w:t>
            </w:r>
          </w:p>
          <w:p>
            <w:pPr>
              <w:snapToGrid w:val="0"/>
              <w:spacing w:line="440" w:lineRule="exact"/>
              <w:rPr>
                <w:rFonts w:ascii="仿宋_GB2312" w:hAnsi="宋体" w:eastAsia="仿宋_GB2312" w:cs="Arial"/>
                <w:bCs/>
                <w:color w:val="auto"/>
                <w:sz w:val="24"/>
              </w:rPr>
            </w:pPr>
            <w:r>
              <w:rPr>
                <w:rFonts w:hint="eastAsia" w:ascii="仿宋_GB2312" w:eastAsia="仿宋_GB2312"/>
                <w:color w:val="auto"/>
                <w:sz w:val="24"/>
              </w:rPr>
              <w:t>4</w:t>
            </w:r>
            <w:r>
              <w:rPr>
                <w:rFonts w:hint="eastAsia" w:ascii="仿宋_GB2312" w:hAnsi="宋体" w:eastAsia="仿宋_GB2312" w:cs="Arial"/>
                <w:bCs/>
                <w:color w:val="auto"/>
                <w:sz w:val="24"/>
              </w:rPr>
              <w:t>.投标人须自行承担管理服务所有的专用工具物品、维修零配件费、交通费、通讯费、办公用品及日常易耗品（已明确由采购人承担的除外）费等相关费用；</w:t>
            </w:r>
          </w:p>
          <w:p>
            <w:pPr>
              <w:snapToGrid w:val="0"/>
              <w:spacing w:line="440" w:lineRule="exact"/>
              <w:rPr>
                <w:rFonts w:ascii="仿宋_GB2312" w:hAnsi="宋体" w:eastAsia="仿宋_GB2312" w:cs="Arial"/>
                <w:bCs/>
                <w:color w:val="auto"/>
                <w:sz w:val="24"/>
              </w:rPr>
            </w:pPr>
            <w:r>
              <w:rPr>
                <w:rFonts w:hint="eastAsia" w:ascii="仿宋_GB2312" w:hAnsi="宋体" w:eastAsia="仿宋_GB2312" w:cs="Arial"/>
                <w:bCs/>
                <w:color w:val="auto"/>
                <w:sz w:val="24"/>
              </w:rPr>
              <w:t>5.投标人须承担</w:t>
            </w:r>
            <w:r>
              <w:rPr>
                <w:rStyle w:val="118"/>
                <w:rFonts w:hint="default" w:ascii="仿宋_GB2312" w:hAnsi="仿宋_GB2312" w:eastAsia="仿宋_GB2312" w:cs="仿宋_GB2312"/>
                <w:color w:val="auto"/>
                <w:sz w:val="24"/>
                <w:szCs w:val="24"/>
              </w:rPr>
              <w:t>中水设施维修养护费、</w:t>
            </w:r>
            <w:r>
              <w:rPr>
                <w:rFonts w:hint="eastAsia" w:ascii="仿宋_GB2312" w:hAnsi="宋体" w:eastAsia="仿宋_GB2312" w:cs="Arial"/>
                <w:bCs/>
                <w:color w:val="auto"/>
                <w:sz w:val="24"/>
              </w:rPr>
              <w:t>化粪池</w:t>
            </w:r>
            <w:r>
              <w:rPr>
                <w:rStyle w:val="118"/>
                <w:rFonts w:hint="default" w:ascii="仿宋_GB2312" w:hAnsi="仿宋_GB2312" w:eastAsia="仿宋_GB2312" w:cs="仿宋_GB2312"/>
                <w:color w:val="auto"/>
                <w:sz w:val="24"/>
                <w:szCs w:val="24"/>
              </w:rPr>
              <w:t>窨井</w:t>
            </w:r>
            <w:r>
              <w:rPr>
                <w:rFonts w:hint="eastAsia" w:ascii="仿宋_GB2312" w:hAnsi="宋体" w:eastAsia="仿宋_GB2312" w:cs="Arial"/>
                <w:bCs/>
                <w:color w:val="auto"/>
                <w:sz w:val="24"/>
              </w:rPr>
              <w:t>清理费、有害生物综合防治费、垃圾</w:t>
            </w:r>
            <w:r>
              <w:rPr>
                <w:rFonts w:hint="eastAsia" w:ascii="仿宋_GB2312" w:hAnsi="宋体" w:eastAsia="仿宋_GB2312" w:cs="Arial"/>
                <w:bCs/>
                <w:color w:val="auto"/>
                <w:sz w:val="24"/>
                <w:lang w:val="en-US" w:eastAsia="zh-CN"/>
              </w:rPr>
              <w:t>清理</w:t>
            </w:r>
            <w:r>
              <w:rPr>
                <w:rFonts w:hint="eastAsia" w:ascii="仿宋_GB2312" w:hAnsi="宋体" w:eastAsia="仿宋_GB2312" w:cs="Arial"/>
                <w:bCs/>
                <w:color w:val="auto"/>
                <w:sz w:val="24"/>
              </w:rPr>
              <w:t>费、</w:t>
            </w:r>
            <w:r>
              <w:rPr>
                <w:rFonts w:hint="eastAsia" w:ascii="仿宋_GB2312" w:hAnsi="宋体" w:eastAsia="仿宋_GB2312" w:cs="宋体"/>
                <w:color w:val="auto"/>
                <w:sz w:val="24"/>
                <w:szCs w:val="24"/>
              </w:rPr>
              <w:t>排污管道疏通与清理、</w:t>
            </w:r>
            <w:r>
              <w:rPr>
                <w:rFonts w:hint="eastAsia" w:ascii="仿宋_GB2312" w:hAnsi="宋体" w:eastAsia="仿宋_GB2312" w:cs="Arial"/>
                <w:bCs/>
                <w:color w:val="auto"/>
                <w:sz w:val="24"/>
              </w:rPr>
              <w:t>公寓临时保洁、</w:t>
            </w:r>
            <w:r>
              <w:rPr>
                <w:rStyle w:val="118"/>
                <w:rFonts w:hint="default" w:ascii="仿宋_GB2312" w:hAnsi="仿宋_GB2312" w:eastAsia="仿宋_GB2312" w:cs="仿宋_GB2312"/>
                <w:color w:val="auto"/>
                <w:sz w:val="24"/>
                <w:szCs w:val="24"/>
              </w:rPr>
              <w:t>蓄水池（箱）清洗消毒和化验水质</w:t>
            </w:r>
            <w:r>
              <w:rPr>
                <w:rFonts w:hint="eastAsia" w:ascii="仿宋_GB2312" w:hAnsi="宋体" w:eastAsia="仿宋_GB2312" w:cs="Arial"/>
                <w:bCs/>
                <w:color w:val="auto"/>
                <w:sz w:val="24"/>
              </w:rPr>
              <w:t>等费用；</w:t>
            </w:r>
          </w:p>
          <w:p>
            <w:pPr>
              <w:snapToGrid w:val="0"/>
              <w:spacing w:line="440" w:lineRule="exact"/>
              <w:rPr>
                <w:rFonts w:ascii="仿宋_GB2312" w:hAnsi="仿宋_GB2312" w:eastAsia="仿宋_GB2312" w:cs="仿宋_GB2312"/>
                <w:color w:val="auto"/>
                <w:sz w:val="24"/>
              </w:rPr>
            </w:pPr>
            <w:r>
              <w:rPr>
                <w:rFonts w:hint="eastAsia" w:ascii="仿宋_GB2312" w:hAnsi="宋体" w:eastAsia="仿宋_GB2312" w:cs="Arial"/>
                <w:bCs/>
                <w:color w:val="auto"/>
                <w:sz w:val="24"/>
              </w:rPr>
              <w:t>6.其他相关费用由投标人自行承担。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1129" w:type="dxa"/>
            <w:gridSpan w:val="2"/>
            <w:tcBorders>
              <w:top w:val="single" w:color="auto" w:sz="4" w:space="0"/>
              <w:left w:val="single" w:color="auto" w:sz="4" w:space="0"/>
              <w:bottom w:val="single" w:color="auto" w:sz="4" w:space="0"/>
              <w:right w:val="single" w:color="auto" w:sz="4" w:space="0"/>
            </w:tcBorders>
            <w:noWrap/>
            <w:vAlign w:val="center"/>
          </w:tcPr>
          <w:p>
            <w:pPr>
              <w:pStyle w:val="26"/>
              <w:snapToGrid w:val="0"/>
              <w:spacing w:line="440" w:lineRule="exact"/>
              <w:jc w:val="center"/>
              <w:rPr>
                <w:rFonts w:ascii="仿宋_GB2312" w:hAnsi="宋体" w:eastAsia="仿宋_GB2312" w:cs="Arial"/>
                <w:bCs/>
                <w:color w:val="auto"/>
                <w:sz w:val="24"/>
                <w:szCs w:val="24"/>
              </w:rPr>
            </w:pPr>
            <w:r>
              <w:rPr>
                <w:rFonts w:hint="eastAsia" w:ascii="仿宋_GB2312" w:hAnsi="宋体" w:eastAsia="仿宋_GB2312" w:cs="Arial"/>
                <w:bCs/>
                <w:color w:val="auto"/>
                <w:sz w:val="24"/>
                <w:szCs w:val="24"/>
              </w:rPr>
              <w:t>服务期限</w:t>
            </w:r>
          </w:p>
        </w:tc>
        <w:tc>
          <w:tcPr>
            <w:tcW w:w="8113" w:type="dxa"/>
            <w:gridSpan w:val="3"/>
            <w:tcBorders>
              <w:top w:val="single" w:color="auto" w:sz="4" w:space="0"/>
              <w:left w:val="single" w:color="auto" w:sz="4" w:space="0"/>
              <w:bottom w:val="single" w:color="auto" w:sz="4" w:space="0"/>
              <w:right w:val="single" w:color="auto" w:sz="4" w:space="0"/>
            </w:tcBorders>
            <w:noWrap/>
            <w:vAlign w:val="center"/>
          </w:tcPr>
          <w:p>
            <w:pPr>
              <w:pStyle w:val="26"/>
              <w:snapToGrid w:val="0"/>
              <w:spacing w:line="440" w:lineRule="exact"/>
              <w:rPr>
                <w:rFonts w:ascii="仿宋_GB2312" w:hAnsi="宋体" w:eastAsia="仿宋_GB2312" w:cs="Arial"/>
                <w:b/>
                <w:bCs/>
                <w:color w:val="auto"/>
                <w:sz w:val="24"/>
                <w:szCs w:val="24"/>
              </w:rPr>
            </w:pPr>
            <w:r>
              <w:rPr>
                <w:rFonts w:hint="eastAsia" w:ascii="仿宋_GB2312" w:eastAsia="仿宋_GB2312"/>
                <w:color w:val="auto"/>
                <w:sz w:val="24"/>
              </w:rPr>
              <w:t>自提供服务之日起</w:t>
            </w:r>
            <w:r>
              <w:rPr>
                <w:rFonts w:hint="eastAsia" w:ascii="仿宋_GB2312" w:eastAsia="仿宋_GB2312"/>
                <w:color w:val="auto"/>
                <w:sz w:val="24"/>
                <w:u w:val="single"/>
              </w:rPr>
              <w:t>3</w:t>
            </w:r>
            <w:r>
              <w:rPr>
                <w:rFonts w:hint="eastAsia" w:ascii="仿宋_GB2312" w:eastAsia="仿宋_GB2312"/>
                <w:color w:val="auto"/>
                <w:sz w:val="24"/>
              </w:rPr>
              <w:t>年，具体服务起止时间以合同约定日期为准。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1129" w:type="dxa"/>
            <w:gridSpan w:val="2"/>
            <w:tcBorders>
              <w:top w:val="single" w:color="auto" w:sz="4" w:space="0"/>
              <w:left w:val="single" w:color="auto" w:sz="4" w:space="0"/>
              <w:bottom w:val="single" w:color="auto" w:sz="4" w:space="0"/>
              <w:right w:val="single" w:color="auto" w:sz="4" w:space="0"/>
            </w:tcBorders>
            <w:noWrap/>
            <w:vAlign w:val="center"/>
          </w:tcPr>
          <w:p>
            <w:pPr>
              <w:pStyle w:val="26"/>
              <w:snapToGrid w:val="0"/>
              <w:spacing w:line="440" w:lineRule="exact"/>
              <w:jc w:val="center"/>
              <w:rPr>
                <w:rFonts w:ascii="仿宋_GB2312" w:hAnsi="宋体" w:eastAsia="仿宋_GB2312" w:cs="Arial"/>
                <w:bCs/>
                <w:color w:val="auto"/>
                <w:sz w:val="24"/>
                <w:szCs w:val="24"/>
              </w:rPr>
            </w:pPr>
            <w:r>
              <w:rPr>
                <w:rFonts w:hint="eastAsia" w:ascii="仿宋_GB2312" w:hAnsi="宋体" w:eastAsia="仿宋_GB2312" w:cs="Arial"/>
                <w:bCs/>
                <w:color w:val="auto"/>
                <w:sz w:val="24"/>
                <w:szCs w:val="24"/>
              </w:rPr>
              <w:t>处理问题响应时间</w:t>
            </w:r>
          </w:p>
        </w:tc>
        <w:tc>
          <w:tcPr>
            <w:tcW w:w="8113" w:type="dxa"/>
            <w:gridSpan w:val="3"/>
            <w:tcBorders>
              <w:top w:val="single" w:color="auto" w:sz="4" w:space="0"/>
              <w:left w:val="single" w:color="auto" w:sz="4" w:space="0"/>
              <w:bottom w:val="single" w:color="auto" w:sz="4" w:space="0"/>
              <w:right w:val="single" w:color="auto" w:sz="4" w:space="0"/>
            </w:tcBorders>
            <w:noWrap/>
            <w:vAlign w:val="center"/>
          </w:tcPr>
          <w:p>
            <w:pPr>
              <w:pStyle w:val="26"/>
              <w:snapToGrid w:val="0"/>
              <w:spacing w:line="440" w:lineRule="exact"/>
              <w:rPr>
                <w:rFonts w:ascii="仿宋_GB2312" w:hAnsi="宋体" w:eastAsia="仿宋_GB2312" w:cs="Arial"/>
                <w:bCs/>
                <w:color w:val="auto"/>
                <w:sz w:val="24"/>
                <w:szCs w:val="24"/>
              </w:rPr>
            </w:pPr>
            <w:r>
              <w:rPr>
                <w:rFonts w:hint="eastAsia" w:ascii="仿宋_GB2312" w:hAnsi="宋体" w:eastAsia="仿宋_GB2312" w:cs="Arial"/>
                <w:bCs/>
                <w:color w:val="auto"/>
                <w:sz w:val="24"/>
                <w:szCs w:val="24"/>
                <w:lang w:val="en-US" w:eastAsia="zh-CN"/>
              </w:rPr>
              <w:t>1.</w:t>
            </w:r>
            <w:r>
              <w:rPr>
                <w:rFonts w:hint="eastAsia" w:ascii="仿宋_GB2312" w:hAnsi="宋体" w:eastAsia="仿宋_GB2312" w:cs="Arial"/>
                <w:bCs/>
                <w:color w:val="auto"/>
                <w:sz w:val="24"/>
                <w:szCs w:val="24"/>
              </w:rPr>
              <w:t>“紧急”事项：</w:t>
            </w:r>
            <w:r>
              <w:rPr>
                <w:rFonts w:hint="eastAsia" w:ascii="仿宋_GB2312" w:eastAsia="仿宋_GB2312"/>
                <w:color w:val="auto"/>
                <w:sz w:val="24"/>
              </w:rPr>
              <w:t>接到采购人</w:t>
            </w:r>
            <w:r>
              <w:rPr>
                <w:rFonts w:hint="eastAsia" w:ascii="仿宋_GB2312" w:eastAsia="仿宋_GB2312"/>
                <w:color w:val="auto"/>
                <w:sz w:val="24"/>
                <w:lang w:eastAsia="zh-CN"/>
              </w:rPr>
              <w:t>通</w:t>
            </w:r>
            <w:r>
              <w:rPr>
                <w:rFonts w:hint="eastAsia" w:ascii="仿宋_GB2312" w:eastAsia="仿宋_GB2312"/>
                <w:color w:val="auto"/>
                <w:sz w:val="24"/>
              </w:rPr>
              <w:t>知后</w:t>
            </w:r>
            <w:r>
              <w:rPr>
                <w:rFonts w:hint="eastAsia" w:ascii="仿宋_GB2312" w:hAnsi="宋体" w:eastAsia="仿宋_GB2312" w:cs="Arial"/>
                <w:bCs/>
                <w:color w:val="auto"/>
                <w:sz w:val="24"/>
                <w:szCs w:val="24"/>
              </w:rPr>
              <w:t>要求20分钟内到位，2小时内处理好。</w:t>
            </w:r>
          </w:p>
          <w:p>
            <w:pPr>
              <w:pStyle w:val="26"/>
              <w:snapToGrid w:val="0"/>
              <w:spacing w:line="440" w:lineRule="exact"/>
              <w:rPr>
                <w:rFonts w:ascii="仿宋_GB2312" w:hAnsi="宋体" w:eastAsia="仿宋_GB2312" w:cs="Arial"/>
                <w:bCs/>
                <w:color w:val="auto"/>
                <w:sz w:val="24"/>
                <w:szCs w:val="24"/>
              </w:rPr>
            </w:pPr>
            <w:r>
              <w:rPr>
                <w:rFonts w:hint="eastAsia" w:ascii="仿宋_GB2312" w:hAnsi="宋体" w:eastAsia="仿宋_GB2312" w:cs="Arial"/>
                <w:bCs/>
                <w:color w:val="auto"/>
                <w:sz w:val="24"/>
                <w:szCs w:val="24"/>
                <w:lang w:val="en-US" w:eastAsia="zh-CN"/>
              </w:rPr>
              <w:t>2.</w:t>
            </w:r>
            <w:r>
              <w:rPr>
                <w:rFonts w:hint="eastAsia" w:ascii="仿宋_GB2312" w:hAnsi="宋体" w:eastAsia="仿宋_GB2312" w:cs="Arial"/>
                <w:bCs/>
                <w:color w:val="auto"/>
                <w:sz w:val="24"/>
                <w:szCs w:val="24"/>
              </w:rPr>
              <w:t>“一般”事项：24小时内</w:t>
            </w:r>
            <w:r>
              <w:rPr>
                <w:rFonts w:hint="eastAsia" w:ascii="仿宋_GB2312" w:hAnsi="宋体" w:eastAsia="仿宋_GB2312" w:cs="Arial"/>
                <w:bCs/>
                <w:color w:val="auto"/>
                <w:sz w:val="24"/>
                <w:szCs w:val="24"/>
                <w:lang w:eastAsia="zh-CN"/>
              </w:rPr>
              <w:t>处</w:t>
            </w:r>
            <w:r>
              <w:rPr>
                <w:rFonts w:hint="eastAsia" w:ascii="仿宋_GB2312" w:hAnsi="宋体" w:eastAsia="仿宋_GB2312" w:cs="Arial"/>
                <w:bCs/>
                <w:color w:val="auto"/>
                <w:sz w:val="24"/>
                <w:szCs w:val="24"/>
              </w:rPr>
              <w:t>理好</w:t>
            </w:r>
            <w:r>
              <w:rPr>
                <w:rFonts w:hint="eastAsia" w:ascii="仿宋_GB2312" w:hAnsi="宋体" w:eastAsia="仿宋_GB2312" w:cs="Arial"/>
                <w:bCs/>
                <w:color w:val="auto"/>
                <w:sz w:val="24"/>
                <w:szCs w:val="24"/>
                <w:lang w:eastAsia="zh-CN"/>
              </w:rPr>
              <w:t>。</w:t>
            </w:r>
          </w:p>
          <w:p>
            <w:pPr>
              <w:pStyle w:val="26"/>
              <w:snapToGrid w:val="0"/>
              <w:spacing w:line="440" w:lineRule="exact"/>
              <w:rPr>
                <w:rFonts w:ascii="仿宋_GB2312" w:hAnsi="宋体" w:eastAsia="仿宋_GB2312" w:cs="Arial"/>
                <w:bCs/>
                <w:color w:val="auto"/>
                <w:sz w:val="24"/>
                <w:szCs w:val="24"/>
              </w:rPr>
            </w:pPr>
            <w:r>
              <w:rPr>
                <w:rFonts w:hint="eastAsia" w:ascii="仿宋_GB2312" w:hAnsi="宋体" w:eastAsia="仿宋_GB2312" w:cs="Arial"/>
                <w:bCs/>
                <w:color w:val="auto"/>
                <w:sz w:val="24"/>
                <w:szCs w:val="24"/>
                <w:lang w:val="en-US" w:eastAsia="zh-CN"/>
              </w:rPr>
              <w:t>3.</w:t>
            </w:r>
            <w:r>
              <w:rPr>
                <w:rFonts w:hint="eastAsia" w:ascii="仿宋_GB2312" w:hAnsi="宋体" w:eastAsia="仿宋_GB2312" w:cs="Arial"/>
                <w:bCs/>
                <w:color w:val="auto"/>
                <w:sz w:val="24"/>
                <w:szCs w:val="24"/>
              </w:rPr>
              <w:t>“特殊”事项：</w:t>
            </w:r>
            <w:r>
              <w:rPr>
                <w:rFonts w:hint="eastAsia" w:ascii="仿宋_GB2312" w:eastAsia="仿宋_GB2312"/>
                <w:color w:val="auto"/>
                <w:sz w:val="24"/>
              </w:rPr>
              <w:t>接到采购人</w:t>
            </w:r>
            <w:r>
              <w:rPr>
                <w:rFonts w:hint="eastAsia" w:ascii="仿宋_GB2312" w:eastAsia="仿宋_GB2312"/>
                <w:color w:val="auto"/>
                <w:sz w:val="24"/>
                <w:lang w:eastAsia="zh-CN"/>
              </w:rPr>
              <w:t>通</w:t>
            </w:r>
            <w:r>
              <w:rPr>
                <w:rFonts w:hint="eastAsia" w:ascii="仿宋_GB2312" w:eastAsia="仿宋_GB2312"/>
                <w:color w:val="auto"/>
                <w:sz w:val="24"/>
              </w:rPr>
              <w:t>知后</w:t>
            </w:r>
            <w:r>
              <w:rPr>
                <w:rFonts w:hint="eastAsia" w:ascii="仿宋_GB2312" w:hAnsi="宋体" w:eastAsia="仿宋_GB2312" w:cs="Arial"/>
                <w:bCs/>
                <w:color w:val="auto"/>
                <w:sz w:val="24"/>
                <w:szCs w:val="24"/>
              </w:rPr>
              <w:t>要求2小时内到现场，确认为特殊维修，约定维修时间，报</w:t>
            </w:r>
            <w:r>
              <w:rPr>
                <w:rFonts w:hint="eastAsia" w:ascii="仿宋_GB2312" w:hAnsi="宋体" w:eastAsia="仿宋_GB2312" w:cs="Arial"/>
                <w:bCs/>
                <w:color w:val="auto"/>
                <w:sz w:val="24"/>
                <w:szCs w:val="24"/>
                <w:lang w:eastAsia="zh-CN"/>
              </w:rPr>
              <w:t>后勤保障处</w:t>
            </w:r>
            <w:r>
              <w:rPr>
                <w:rFonts w:hint="eastAsia" w:ascii="仿宋_GB2312" w:hAnsi="宋体" w:eastAsia="仿宋_GB2312" w:cs="Arial"/>
                <w:bCs/>
                <w:color w:val="auto"/>
                <w:sz w:val="24"/>
                <w:szCs w:val="24"/>
              </w:rPr>
              <w:t>审核。</w:t>
            </w:r>
          </w:p>
          <w:p>
            <w:pPr>
              <w:pStyle w:val="26"/>
              <w:snapToGrid w:val="0"/>
              <w:spacing w:line="440" w:lineRule="exact"/>
              <w:rPr>
                <w:rFonts w:ascii="仿宋_GB2312" w:hAnsi="宋体" w:eastAsia="仿宋_GB2312" w:cs="Arial"/>
                <w:bCs/>
                <w:color w:val="auto"/>
                <w:sz w:val="24"/>
                <w:szCs w:val="24"/>
              </w:rPr>
            </w:pPr>
            <w:r>
              <w:rPr>
                <w:rFonts w:hint="eastAsia" w:ascii="仿宋_GB2312" w:hAnsi="宋体" w:eastAsia="仿宋_GB2312" w:cs="Arial"/>
                <w:bCs/>
                <w:color w:val="auto"/>
                <w:sz w:val="24"/>
                <w:szCs w:val="24"/>
                <w:lang w:val="en-US" w:eastAsia="zh-CN"/>
              </w:rPr>
              <w:t>4.</w:t>
            </w:r>
            <w:r>
              <w:rPr>
                <w:rFonts w:hint="eastAsia" w:ascii="仿宋_GB2312" w:hAnsi="宋体" w:eastAsia="仿宋_GB2312" w:cs="Arial"/>
                <w:bCs/>
                <w:color w:val="auto"/>
                <w:sz w:val="24"/>
                <w:szCs w:val="24"/>
              </w:rPr>
              <w:t>所有事项升级后时间不再区分上班或下班时间段</w:t>
            </w:r>
            <w:r>
              <w:rPr>
                <w:rFonts w:hint="eastAsia" w:ascii="仿宋_GB2312" w:hAnsi="宋体" w:eastAsia="仿宋_GB2312" w:cs="Arial"/>
                <w:bCs/>
                <w:color w:val="auto"/>
                <w:sz w:val="24"/>
                <w:szCs w:val="24"/>
                <w:lang w:eastAsia="zh-CN"/>
              </w:rPr>
              <w:t>，</w:t>
            </w:r>
            <w:r>
              <w:rPr>
                <w:rFonts w:hint="eastAsia" w:ascii="仿宋_GB2312" w:eastAsia="仿宋_GB2312"/>
                <w:color w:val="auto"/>
                <w:sz w:val="24"/>
              </w:rPr>
              <w:t>采购需求中另有要求的按采购需求执行。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1129" w:type="dxa"/>
            <w:gridSpan w:val="2"/>
            <w:tcBorders>
              <w:top w:val="single" w:color="auto" w:sz="4" w:space="0"/>
              <w:left w:val="single" w:color="auto" w:sz="4" w:space="0"/>
              <w:bottom w:val="single" w:color="auto" w:sz="4" w:space="0"/>
              <w:right w:val="single" w:color="auto" w:sz="4" w:space="0"/>
            </w:tcBorders>
            <w:noWrap/>
            <w:vAlign w:val="center"/>
          </w:tcPr>
          <w:p>
            <w:pPr>
              <w:pStyle w:val="26"/>
              <w:snapToGrid w:val="0"/>
              <w:spacing w:line="440" w:lineRule="exact"/>
              <w:jc w:val="center"/>
              <w:rPr>
                <w:rFonts w:ascii="仿宋_GB2312" w:hAnsi="宋体" w:eastAsia="仿宋_GB2312" w:cs="Arial"/>
                <w:bCs/>
                <w:color w:val="auto"/>
                <w:sz w:val="24"/>
                <w:szCs w:val="24"/>
              </w:rPr>
            </w:pPr>
            <w:r>
              <w:rPr>
                <w:rFonts w:hint="eastAsia" w:ascii="仿宋_GB2312" w:hAnsi="宋体" w:eastAsia="仿宋_GB2312" w:cs="Arial"/>
                <w:bCs/>
                <w:color w:val="auto"/>
                <w:sz w:val="24"/>
                <w:szCs w:val="24"/>
              </w:rPr>
              <w:t>服务交接时间及地点</w:t>
            </w:r>
          </w:p>
        </w:tc>
        <w:tc>
          <w:tcPr>
            <w:tcW w:w="8113" w:type="dxa"/>
            <w:gridSpan w:val="3"/>
            <w:tcBorders>
              <w:top w:val="single" w:color="auto" w:sz="4" w:space="0"/>
              <w:left w:val="single" w:color="auto" w:sz="4" w:space="0"/>
              <w:bottom w:val="single" w:color="auto" w:sz="4" w:space="0"/>
              <w:right w:val="single" w:color="auto" w:sz="4" w:space="0"/>
            </w:tcBorders>
            <w:noWrap/>
            <w:vAlign w:val="center"/>
          </w:tcPr>
          <w:p>
            <w:pPr>
              <w:pStyle w:val="26"/>
              <w:snapToGrid w:val="0"/>
              <w:spacing w:line="440" w:lineRule="exact"/>
              <w:rPr>
                <w:rFonts w:ascii="仿宋_GB2312" w:hAnsi="宋体" w:eastAsia="仿宋_GB2312" w:cs="Arial"/>
                <w:bCs/>
                <w:color w:val="auto"/>
                <w:sz w:val="24"/>
                <w:szCs w:val="24"/>
              </w:rPr>
            </w:pPr>
            <w:r>
              <w:rPr>
                <w:rFonts w:hint="eastAsia" w:ascii="仿宋_GB2312" w:hAnsi="宋体" w:eastAsia="仿宋_GB2312" w:cs="Arial"/>
                <w:bCs/>
                <w:color w:val="auto"/>
                <w:sz w:val="24"/>
                <w:szCs w:val="24"/>
              </w:rPr>
              <w:t>1.服务交接时间：自合同约定提供服务之日起</w:t>
            </w:r>
            <w:r>
              <w:rPr>
                <w:rFonts w:hint="eastAsia" w:ascii="仿宋_GB2312" w:hAnsi="宋体" w:eastAsia="仿宋_GB2312"/>
                <w:color w:val="auto"/>
                <w:sz w:val="24"/>
                <w:u w:val="single"/>
              </w:rPr>
              <w:t>5</w:t>
            </w:r>
            <w:r>
              <w:rPr>
                <w:rFonts w:hint="eastAsia" w:ascii="仿宋_GB2312" w:hAnsi="宋体" w:eastAsia="仿宋_GB2312"/>
                <w:color w:val="auto"/>
                <w:sz w:val="24"/>
              </w:rPr>
              <w:t>日内</w:t>
            </w:r>
            <w:r>
              <w:rPr>
                <w:rFonts w:hint="eastAsia" w:ascii="仿宋_GB2312" w:hAnsi="宋体" w:eastAsia="仿宋_GB2312" w:cs="Arial"/>
                <w:bCs/>
                <w:color w:val="auto"/>
                <w:sz w:val="24"/>
                <w:szCs w:val="24"/>
              </w:rPr>
              <w:t>办理好服务交接手续；</w:t>
            </w:r>
          </w:p>
          <w:p>
            <w:pPr>
              <w:pStyle w:val="26"/>
              <w:snapToGrid w:val="0"/>
              <w:spacing w:line="440" w:lineRule="exact"/>
              <w:rPr>
                <w:rFonts w:ascii="仿宋_GB2312" w:hAnsi="宋体" w:eastAsia="仿宋_GB2312" w:cs="Arial"/>
                <w:bCs/>
                <w:color w:val="auto"/>
                <w:sz w:val="24"/>
                <w:szCs w:val="24"/>
              </w:rPr>
            </w:pPr>
            <w:r>
              <w:rPr>
                <w:rFonts w:hint="eastAsia" w:ascii="仿宋_GB2312" w:hAnsi="宋体" w:eastAsia="仿宋_GB2312" w:cs="Arial"/>
                <w:bCs/>
                <w:color w:val="auto"/>
                <w:sz w:val="24"/>
                <w:szCs w:val="24"/>
              </w:rPr>
              <w:t>2.服务地点：广西柳州鱼峰区官塘大道文苑路1号</w:t>
            </w:r>
            <w:r>
              <w:rPr>
                <w:rFonts w:hint="eastAsia" w:ascii="仿宋_GB2312" w:hAnsi="仿宋_GB2312" w:eastAsia="仿宋_GB2312" w:cs="仿宋_GB2312"/>
                <w:bCs/>
                <w:color w:val="auto"/>
                <w:sz w:val="24"/>
                <w:szCs w:val="24"/>
              </w:rPr>
              <w:t>、柳州市鱼峰区荣军路东三巷132号。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1129" w:type="dxa"/>
            <w:gridSpan w:val="2"/>
            <w:tcBorders>
              <w:top w:val="single" w:color="auto" w:sz="4" w:space="0"/>
              <w:left w:val="single" w:color="auto" w:sz="4" w:space="0"/>
              <w:bottom w:val="single" w:color="auto" w:sz="4" w:space="0"/>
              <w:right w:val="single" w:color="auto" w:sz="4" w:space="0"/>
            </w:tcBorders>
            <w:noWrap/>
            <w:vAlign w:val="center"/>
          </w:tcPr>
          <w:p>
            <w:pPr>
              <w:pStyle w:val="26"/>
              <w:snapToGrid w:val="0"/>
              <w:spacing w:line="440" w:lineRule="exact"/>
              <w:jc w:val="center"/>
              <w:rPr>
                <w:rFonts w:ascii="仿宋_GB2312" w:hAnsi="宋体" w:eastAsia="仿宋_GB2312" w:cs="Arial"/>
                <w:bCs/>
                <w:color w:val="auto"/>
                <w:sz w:val="24"/>
                <w:szCs w:val="24"/>
              </w:rPr>
            </w:pPr>
            <w:r>
              <w:rPr>
                <w:rFonts w:hint="eastAsia" w:ascii="仿宋_GB2312" w:hAnsi="宋体" w:eastAsia="仿宋_GB2312" w:cs="Arial"/>
                <w:bCs/>
                <w:color w:val="auto"/>
                <w:sz w:val="24"/>
                <w:szCs w:val="24"/>
              </w:rPr>
              <w:t>付款方式</w:t>
            </w:r>
          </w:p>
        </w:tc>
        <w:tc>
          <w:tcPr>
            <w:tcW w:w="8113" w:type="dxa"/>
            <w:gridSpan w:val="3"/>
            <w:tcBorders>
              <w:top w:val="single" w:color="auto" w:sz="4" w:space="0"/>
              <w:left w:val="single" w:color="auto" w:sz="4" w:space="0"/>
              <w:bottom w:val="single" w:color="auto" w:sz="4" w:space="0"/>
              <w:right w:val="single" w:color="auto" w:sz="4" w:space="0"/>
            </w:tcBorders>
            <w:noWrap/>
            <w:vAlign w:val="center"/>
          </w:tcPr>
          <w:p>
            <w:pPr>
              <w:pStyle w:val="26"/>
              <w:numPr>
                <w:ilvl w:val="255"/>
                <w:numId w:val="0"/>
              </w:numPr>
              <w:snapToGrid w:val="0"/>
              <w:spacing w:line="440" w:lineRule="exact"/>
              <w:rPr>
                <w:rFonts w:ascii="仿宋_GB2312" w:eastAsia="仿宋_GB2312" w:cs="Arial"/>
                <w:bCs/>
                <w:color w:val="auto"/>
                <w:sz w:val="24"/>
              </w:rPr>
            </w:pPr>
            <w:r>
              <w:rPr>
                <w:rFonts w:hint="eastAsia" w:ascii="仿宋_GB2312" w:eastAsia="仿宋_GB2312" w:cs="Arial"/>
                <w:bCs/>
                <w:color w:val="auto"/>
                <w:sz w:val="24"/>
              </w:rPr>
              <w:t>本项目合同正式生效之日起，采购人按</w:t>
            </w:r>
            <w:r>
              <w:rPr>
                <w:rFonts w:hint="eastAsia" w:ascii="仿宋_GB2312" w:eastAsia="仿宋_GB2312" w:cs="Arial"/>
                <w:bCs/>
                <w:color w:val="auto"/>
                <w:sz w:val="24"/>
                <w:u w:val="single"/>
              </w:rPr>
              <w:t>月</w:t>
            </w:r>
            <w:r>
              <w:rPr>
                <w:rFonts w:hint="eastAsia" w:ascii="仿宋_GB2312" w:eastAsia="仿宋_GB2312" w:cs="Arial"/>
                <w:bCs/>
                <w:color w:val="auto"/>
                <w:sz w:val="24"/>
              </w:rPr>
              <w:t>向中标人支付服务费。</w:t>
            </w:r>
          </w:p>
          <w:p>
            <w:pPr>
              <w:pStyle w:val="26"/>
              <w:numPr>
                <w:ilvl w:val="255"/>
                <w:numId w:val="0"/>
              </w:numPr>
              <w:snapToGrid w:val="0"/>
              <w:spacing w:line="440" w:lineRule="exact"/>
              <w:rPr>
                <w:rFonts w:ascii="仿宋_GB2312" w:hAnsi="宋体" w:eastAsia="仿宋_GB2312"/>
                <w:color w:val="auto"/>
                <w:sz w:val="24"/>
              </w:rPr>
            </w:pPr>
            <w:r>
              <w:rPr>
                <w:rFonts w:hint="eastAsia" w:ascii="仿宋_GB2312" w:hAnsi="宋体" w:eastAsia="仿宋_GB2312"/>
                <w:color w:val="auto"/>
                <w:sz w:val="24"/>
              </w:rPr>
              <w:t>1.财政性资金按财政国库集中支付规定程序办理。采购人每月根据相关附件对中标人提供的服务进行考核，根据考核结果确定当月结算款，采购人</w:t>
            </w:r>
            <w:r>
              <w:rPr>
                <w:rFonts w:hint="eastAsia" w:ascii="仿宋_GB2312" w:hAnsi="宋体" w:eastAsia="仿宋_GB2312"/>
                <w:b/>
                <w:bCs/>
                <w:color w:val="auto"/>
                <w:sz w:val="24"/>
              </w:rPr>
              <w:t>按月</w:t>
            </w:r>
            <w:r>
              <w:rPr>
                <w:rFonts w:hint="eastAsia" w:ascii="仿宋_GB2312" w:hAnsi="宋体" w:eastAsia="仿宋_GB2312"/>
                <w:color w:val="auto"/>
                <w:sz w:val="24"/>
              </w:rPr>
              <w:t>向中标人支付前一个月的服务费用。中标人开具同等金额的合法、有效发票给采购人，采购人原则上应当自收到发票后10个工作日内将资金支付到合同约定的</w:t>
            </w:r>
            <w:r>
              <w:rPr>
                <w:rFonts w:hint="eastAsia" w:ascii="仿宋_GB2312" w:hAnsi="宋体" w:eastAsia="仿宋_GB2312"/>
                <w:color w:val="auto"/>
                <w:sz w:val="24"/>
                <w:lang w:val="en-US" w:eastAsia="zh-CN"/>
              </w:rPr>
              <w:t>中标人</w:t>
            </w:r>
            <w:r>
              <w:rPr>
                <w:rFonts w:hint="eastAsia" w:ascii="仿宋_GB2312" w:hAnsi="宋体" w:eastAsia="仿宋_GB2312"/>
                <w:color w:val="auto"/>
                <w:sz w:val="24"/>
              </w:rPr>
              <w:t>账户</w:t>
            </w:r>
            <w:r>
              <w:rPr>
                <w:rFonts w:hint="eastAsia" w:ascii="仿宋_GB2312" w:hAnsi="宋体" w:eastAsia="仿宋_GB2312"/>
                <w:color w:val="auto"/>
                <w:sz w:val="24"/>
                <w:lang w:eastAsia="zh-CN"/>
              </w:rPr>
              <w:t>，</w:t>
            </w:r>
            <w:r>
              <w:rPr>
                <w:rFonts w:hint="eastAsia" w:ascii="仿宋_GB2312" w:hAnsi="宋体" w:eastAsia="仿宋_GB2312"/>
                <w:color w:val="auto"/>
                <w:sz w:val="24"/>
              </w:rPr>
              <w:t>否则，采购人可以顺延付款。</w:t>
            </w:r>
          </w:p>
          <w:p>
            <w:pPr>
              <w:pStyle w:val="26"/>
              <w:numPr>
                <w:ilvl w:val="255"/>
                <w:numId w:val="0"/>
              </w:numPr>
              <w:snapToGrid w:val="0"/>
              <w:spacing w:line="440" w:lineRule="exact"/>
              <w:rPr>
                <w:rFonts w:ascii="仿宋_GB2312" w:hAnsi="宋体" w:eastAsia="仿宋_GB2312" w:cs="Arial"/>
                <w:bCs/>
                <w:color w:val="auto"/>
                <w:sz w:val="24"/>
                <w:szCs w:val="24"/>
              </w:rPr>
            </w:pPr>
            <w:r>
              <w:rPr>
                <w:rFonts w:hint="eastAsia" w:ascii="仿宋_GB2312" w:hAnsi="宋体" w:eastAsia="仿宋_GB2312"/>
                <w:color w:val="auto"/>
                <w:sz w:val="24"/>
              </w:rPr>
              <w:t>2.如有根据采购人工作需要增加人员的，薪酬待遇标准与合同对应岗位一致。根据人员需求变化及相关政策变化，最低工资标准、社会保险基数及缴费比例调整的，合同外根据需要新增的人员费用按规定标准进行调整，调整额度为新标准和旧标准之间的差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1129" w:type="dxa"/>
            <w:gridSpan w:val="2"/>
            <w:tcBorders>
              <w:top w:val="single" w:color="auto" w:sz="4" w:space="0"/>
              <w:left w:val="single" w:color="auto" w:sz="4" w:space="0"/>
              <w:bottom w:val="single" w:color="auto" w:sz="4" w:space="0"/>
              <w:right w:val="single" w:color="auto" w:sz="4" w:space="0"/>
            </w:tcBorders>
            <w:noWrap/>
            <w:vAlign w:val="center"/>
          </w:tcPr>
          <w:p>
            <w:pPr>
              <w:pStyle w:val="26"/>
              <w:snapToGrid w:val="0"/>
              <w:spacing w:line="440" w:lineRule="exact"/>
              <w:jc w:val="center"/>
              <w:rPr>
                <w:rFonts w:ascii="仿宋_GB2312" w:hAnsi="宋体" w:eastAsia="仿宋_GB2312" w:cs="Arial"/>
                <w:bCs/>
                <w:color w:val="auto"/>
                <w:sz w:val="24"/>
                <w:szCs w:val="24"/>
              </w:rPr>
            </w:pPr>
            <w:r>
              <w:rPr>
                <w:rFonts w:hint="eastAsia" w:ascii="仿宋_GB2312" w:hAnsi="宋体" w:eastAsia="仿宋_GB2312" w:cs="Arial"/>
                <w:bCs/>
                <w:color w:val="auto"/>
                <w:sz w:val="24"/>
                <w:szCs w:val="24"/>
              </w:rPr>
              <w:t>履约保证金</w:t>
            </w:r>
          </w:p>
        </w:tc>
        <w:tc>
          <w:tcPr>
            <w:tcW w:w="8113" w:type="dxa"/>
            <w:gridSpan w:val="3"/>
            <w:tcBorders>
              <w:top w:val="single" w:color="auto" w:sz="4" w:space="0"/>
              <w:left w:val="single" w:color="auto" w:sz="4" w:space="0"/>
              <w:bottom w:val="single" w:color="auto" w:sz="4" w:space="0"/>
              <w:right w:val="single" w:color="auto" w:sz="4" w:space="0"/>
            </w:tcBorders>
            <w:noWrap/>
            <w:vAlign w:val="center"/>
          </w:tcPr>
          <w:p>
            <w:pPr>
              <w:pStyle w:val="26"/>
              <w:snapToGrid w:val="0"/>
              <w:spacing w:line="440" w:lineRule="exact"/>
              <w:rPr>
                <w:rFonts w:ascii="仿宋_GB2312" w:hAnsi="宋体" w:eastAsia="仿宋_GB2312"/>
                <w:color w:val="auto"/>
                <w:sz w:val="24"/>
              </w:rPr>
            </w:pPr>
            <w:r>
              <w:rPr>
                <w:rFonts w:hint="eastAsia" w:ascii="仿宋_GB2312" w:hAnsi="宋体" w:eastAsia="仿宋_GB2312"/>
                <w:color w:val="auto"/>
                <w:sz w:val="24"/>
              </w:rPr>
              <w:t>1.合同签订前2日内，中标人必须向采购人缴纳履约保证金，中型企业按本项目政府采购合同金额的2%收取履约保证金；小微企业免收履约保证金。若中标人服务不满足要求的，采购人有权没收全部履约保证金，并按相关规定追究中标人责任。履约保证金在进场验收</w:t>
            </w:r>
            <w:r>
              <w:rPr>
                <w:rFonts w:hint="eastAsia" w:ascii="仿宋_GB2312" w:hAnsi="宋体" w:eastAsia="仿宋_GB2312"/>
                <w:bCs/>
                <w:color w:val="auto"/>
                <w:sz w:val="24"/>
              </w:rPr>
              <w:t>合格交付之日</w:t>
            </w:r>
            <w:r>
              <w:rPr>
                <w:rFonts w:hint="eastAsia" w:ascii="仿宋_GB2312" w:hAnsi="宋体" w:eastAsia="仿宋_GB2312"/>
                <w:color w:val="auto"/>
                <w:sz w:val="24"/>
              </w:rPr>
              <w:t>后，且在收到中标人退回履约保证金函件后15个工作日内，由采购人清退给中标人（</w:t>
            </w:r>
            <w:r>
              <w:rPr>
                <w:rFonts w:ascii="仿宋_GB2312" w:eastAsia="仿宋_GB2312"/>
                <w:color w:val="auto"/>
                <w:sz w:val="24"/>
              </w:rPr>
              <w:t>不计</w:t>
            </w:r>
            <w:r>
              <w:rPr>
                <w:rFonts w:hint="eastAsia" w:ascii="仿宋_GB2312" w:eastAsia="仿宋_GB2312"/>
                <w:color w:val="auto"/>
                <w:sz w:val="24"/>
              </w:rPr>
              <w:t>利息、不计资金占用费</w:t>
            </w:r>
            <w:r>
              <w:rPr>
                <w:rFonts w:hint="eastAsia" w:ascii="仿宋_GB2312" w:hAnsi="宋体" w:eastAsia="仿宋_GB2312"/>
                <w:color w:val="auto"/>
                <w:sz w:val="24"/>
              </w:rPr>
              <w:t>）。</w:t>
            </w:r>
          </w:p>
          <w:p>
            <w:pPr>
              <w:pStyle w:val="26"/>
              <w:snapToGrid w:val="0"/>
              <w:spacing w:line="440" w:lineRule="exact"/>
              <w:rPr>
                <w:rFonts w:ascii="仿宋_GB2312" w:hAnsi="宋体" w:eastAsia="仿宋_GB2312"/>
                <w:color w:val="auto"/>
                <w:sz w:val="24"/>
              </w:rPr>
            </w:pPr>
            <w:r>
              <w:rPr>
                <w:rFonts w:hint="eastAsia" w:ascii="仿宋_GB2312" w:hAnsi="宋体" w:eastAsia="仿宋_GB2312"/>
                <w:color w:val="auto"/>
                <w:sz w:val="24"/>
              </w:rPr>
              <w:t>2.中标人提供的服务未达到其投标文件所承诺的，导致无法通过验收，采购人应向中标人出具书面通知，中标人未能在7个工作日内回应并解决的，履约保证金不予退回，并视具体情况按本项目合同违约情况处理。</w:t>
            </w:r>
          </w:p>
          <w:p>
            <w:pPr>
              <w:pStyle w:val="26"/>
              <w:snapToGrid w:val="0"/>
              <w:spacing w:line="440" w:lineRule="exact"/>
              <w:rPr>
                <w:rFonts w:ascii="仿宋_GB2312" w:hAnsi="宋体" w:eastAsia="仿宋_GB2312"/>
                <w:color w:val="auto"/>
                <w:sz w:val="24"/>
              </w:rPr>
            </w:pPr>
            <w:r>
              <w:rPr>
                <w:rFonts w:hint="eastAsia" w:ascii="仿宋_GB2312" w:hAnsi="宋体" w:eastAsia="仿宋_GB2312"/>
                <w:color w:val="auto"/>
                <w:sz w:val="24"/>
              </w:rPr>
              <w:t>3.履约保证金账户：</w:t>
            </w:r>
          </w:p>
          <w:p>
            <w:pPr>
              <w:pStyle w:val="26"/>
              <w:snapToGrid w:val="0"/>
              <w:spacing w:line="440" w:lineRule="exact"/>
              <w:rPr>
                <w:rFonts w:ascii="仿宋_GB2312" w:hAnsi="宋体" w:eastAsia="仿宋_GB2312"/>
                <w:color w:val="auto"/>
                <w:sz w:val="24"/>
              </w:rPr>
            </w:pPr>
            <w:r>
              <w:rPr>
                <w:rFonts w:hint="eastAsia" w:ascii="仿宋_GB2312" w:hAnsi="宋体" w:eastAsia="仿宋_GB2312"/>
                <w:color w:val="auto"/>
                <w:sz w:val="24"/>
              </w:rPr>
              <w:t>名  称：柳州城市职业学院</w:t>
            </w:r>
          </w:p>
          <w:p>
            <w:pPr>
              <w:pStyle w:val="26"/>
              <w:snapToGrid w:val="0"/>
              <w:spacing w:line="440" w:lineRule="exact"/>
              <w:rPr>
                <w:rFonts w:ascii="仿宋_GB2312" w:hAnsi="宋体" w:eastAsia="仿宋_GB2312"/>
                <w:color w:val="auto"/>
                <w:sz w:val="24"/>
              </w:rPr>
            </w:pPr>
            <w:r>
              <w:rPr>
                <w:rFonts w:hint="eastAsia" w:ascii="仿宋_GB2312" w:hAnsi="宋体" w:eastAsia="仿宋_GB2312"/>
                <w:color w:val="auto"/>
                <w:sz w:val="24"/>
              </w:rPr>
              <w:t>开户行：柳州银行北大阳光支行</w:t>
            </w:r>
          </w:p>
          <w:p>
            <w:pPr>
              <w:pStyle w:val="26"/>
              <w:snapToGrid w:val="0"/>
              <w:spacing w:line="440" w:lineRule="exact"/>
              <w:rPr>
                <w:rFonts w:ascii="仿宋_GB2312" w:hAnsi="宋体" w:eastAsia="仿宋_GB2312"/>
                <w:color w:val="auto"/>
                <w:sz w:val="24"/>
              </w:rPr>
            </w:pPr>
            <w:r>
              <w:rPr>
                <w:rFonts w:hint="eastAsia" w:ascii="仿宋_GB2312" w:hAnsi="宋体" w:eastAsia="仿宋_GB2312"/>
                <w:color w:val="auto"/>
                <w:sz w:val="24"/>
              </w:rPr>
              <w:t>账  号：70312500000000001157</w:t>
            </w:r>
          </w:p>
          <w:p>
            <w:pPr>
              <w:pStyle w:val="26"/>
              <w:snapToGrid w:val="0"/>
              <w:spacing w:line="440" w:lineRule="exact"/>
              <w:rPr>
                <w:rFonts w:ascii="仿宋_GB2312" w:hAnsi="宋体" w:eastAsia="仿宋_GB2312"/>
                <w:color w:val="auto"/>
                <w:sz w:val="24"/>
              </w:rPr>
            </w:pPr>
            <w:r>
              <w:rPr>
                <w:rFonts w:hint="eastAsia" w:ascii="仿宋_GB2312" w:hAnsi="宋体" w:eastAsia="仿宋_GB2312"/>
                <w:color w:val="auto"/>
                <w:sz w:val="24"/>
              </w:rPr>
              <w:t>中标人自主选择以电汇、转账、支票、本票、汇票等非现金形式缴纳履约保证金，缴纳时请注明采购项目名称及项目编号。</w:t>
            </w:r>
          </w:p>
          <w:p>
            <w:pPr>
              <w:pStyle w:val="26"/>
              <w:snapToGrid w:val="0"/>
              <w:spacing w:line="440" w:lineRule="exact"/>
              <w:rPr>
                <w:rFonts w:ascii="仿宋_GB2312" w:hAnsi="宋体" w:eastAsia="仿宋_GB2312"/>
                <w:color w:val="auto"/>
                <w:sz w:val="24"/>
              </w:rPr>
            </w:pPr>
            <w:r>
              <w:rPr>
                <w:rFonts w:hint="eastAsia" w:ascii="仿宋_GB2312" w:hAnsi="宋体" w:eastAsia="仿宋_GB2312"/>
                <w:color w:val="auto"/>
                <w:sz w:val="24"/>
              </w:rPr>
              <w:t>中标人在履约保证金缴纳后，持银行回执复印件、中标通知书与采购人签订政府采购合同。</w:t>
            </w:r>
          </w:p>
          <w:p>
            <w:pPr>
              <w:pStyle w:val="26"/>
              <w:snapToGrid w:val="0"/>
              <w:spacing w:line="440" w:lineRule="exact"/>
              <w:rPr>
                <w:rFonts w:ascii="仿宋_GB2312" w:hAnsi="宋体" w:eastAsia="仿宋_GB2312"/>
                <w:color w:val="auto"/>
                <w:sz w:val="24"/>
              </w:rPr>
            </w:pPr>
            <w:r>
              <w:rPr>
                <w:rFonts w:hint="eastAsia" w:ascii="仿宋_GB2312" w:hAnsi="宋体" w:eastAsia="仿宋_GB2312"/>
                <w:color w:val="auto"/>
                <w:sz w:val="24"/>
              </w:rPr>
              <w:t>注：发生违约行为时，履约保证金作为违约金进行扣除。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9242" w:type="dxa"/>
            <w:gridSpan w:val="5"/>
            <w:tcBorders>
              <w:top w:val="single" w:color="auto" w:sz="4" w:space="0"/>
              <w:left w:val="single" w:color="auto" w:sz="4" w:space="0"/>
              <w:bottom w:val="single" w:color="auto" w:sz="4" w:space="0"/>
              <w:right w:val="single" w:color="auto" w:sz="4" w:space="0"/>
            </w:tcBorders>
            <w:noWrap/>
            <w:vAlign w:val="center"/>
          </w:tcPr>
          <w:p>
            <w:pPr>
              <w:snapToGrid w:val="0"/>
              <w:spacing w:line="440" w:lineRule="exact"/>
              <w:rPr>
                <w:rFonts w:ascii="仿宋_GB2312" w:hAnsi="宋体" w:eastAsia="仿宋_GB2312"/>
                <w:color w:val="auto"/>
                <w:sz w:val="24"/>
              </w:rPr>
            </w:pPr>
            <w:r>
              <w:rPr>
                <w:rFonts w:ascii="仿宋_GB2312" w:hAnsi="宋体" w:eastAsia="仿宋_GB2312" w:cs="宋体"/>
                <w:b/>
                <w:color w:val="auto"/>
                <w:kern w:val="0"/>
                <w:sz w:val="24"/>
              </w:rPr>
              <w:t>★</w:t>
            </w:r>
            <w:r>
              <w:rPr>
                <w:rFonts w:hint="eastAsia" w:ascii="仿宋_GB2312" w:hAnsi="宋体" w:eastAsia="仿宋_GB2312" w:cs="Arial"/>
                <w:b/>
                <w:bCs/>
                <w:color w:val="auto"/>
                <w:sz w:val="24"/>
                <w:szCs w:val="24"/>
              </w:rPr>
              <w:t>三、验收要求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1129" w:type="dxa"/>
            <w:gridSpan w:val="2"/>
            <w:tcBorders>
              <w:top w:val="single" w:color="auto" w:sz="4" w:space="0"/>
              <w:left w:val="single" w:color="auto" w:sz="4" w:space="0"/>
              <w:bottom w:val="single" w:color="auto" w:sz="4" w:space="0"/>
              <w:right w:val="single" w:color="auto" w:sz="4" w:space="0"/>
            </w:tcBorders>
            <w:noWrap/>
            <w:vAlign w:val="center"/>
          </w:tcPr>
          <w:p>
            <w:pPr>
              <w:pStyle w:val="26"/>
              <w:snapToGrid w:val="0"/>
              <w:spacing w:line="440" w:lineRule="exact"/>
              <w:jc w:val="center"/>
              <w:rPr>
                <w:rFonts w:ascii="仿宋_GB2312" w:hAnsi="宋体" w:eastAsia="仿宋_GB2312" w:cs="Arial"/>
                <w:bCs/>
                <w:color w:val="auto"/>
                <w:sz w:val="24"/>
                <w:szCs w:val="24"/>
              </w:rPr>
            </w:pPr>
            <w:r>
              <w:rPr>
                <w:rFonts w:hint="eastAsia" w:ascii="仿宋_GB2312" w:hAnsi="宋体" w:eastAsia="仿宋_GB2312" w:cs="Arial"/>
                <w:bCs/>
                <w:color w:val="auto"/>
                <w:sz w:val="24"/>
                <w:szCs w:val="24"/>
              </w:rPr>
              <w:t>验收标准及要求</w:t>
            </w:r>
          </w:p>
        </w:tc>
        <w:tc>
          <w:tcPr>
            <w:tcW w:w="8113" w:type="dxa"/>
            <w:gridSpan w:val="3"/>
            <w:tcBorders>
              <w:top w:val="single" w:color="auto" w:sz="4" w:space="0"/>
              <w:left w:val="single" w:color="auto" w:sz="4" w:space="0"/>
              <w:bottom w:val="single" w:color="auto" w:sz="4" w:space="0"/>
              <w:right w:val="single" w:color="auto" w:sz="4" w:space="0"/>
            </w:tcBorders>
            <w:noWrap/>
            <w:vAlign w:val="center"/>
          </w:tcPr>
          <w:p>
            <w:pPr>
              <w:pStyle w:val="26"/>
              <w:numPr>
                <w:ilvl w:val="0"/>
                <w:numId w:val="3"/>
              </w:numPr>
              <w:snapToGrid w:val="0"/>
              <w:spacing w:line="440" w:lineRule="exact"/>
              <w:rPr>
                <w:rFonts w:ascii="仿宋_GB2312" w:hAnsi="仿宋_GB2312" w:eastAsia="仿宋_GB2312" w:cs="仿宋_GB2312"/>
                <w:bCs/>
                <w:color w:val="auto"/>
                <w:sz w:val="24"/>
              </w:rPr>
            </w:pPr>
            <w:r>
              <w:rPr>
                <w:rFonts w:hint="eastAsia" w:ascii="仿宋_GB2312" w:hAnsi="宋体" w:eastAsia="仿宋_GB2312" w:cs="Arial"/>
                <w:bCs/>
                <w:color w:val="auto"/>
                <w:sz w:val="24"/>
                <w:szCs w:val="24"/>
              </w:rPr>
              <w:t>国家强制性标准及有关规定。</w:t>
            </w:r>
          </w:p>
          <w:p>
            <w:pPr>
              <w:pStyle w:val="26"/>
              <w:numPr>
                <w:ilvl w:val="0"/>
                <w:numId w:val="3"/>
              </w:numPr>
              <w:snapToGrid w:val="0"/>
              <w:spacing w:line="440" w:lineRule="exact"/>
              <w:rPr>
                <w:rFonts w:ascii="仿宋_GB2312" w:hAnsi="仿宋_GB2312" w:eastAsia="仿宋_GB2312" w:cs="仿宋_GB2312"/>
                <w:bCs/>
                <w:color w:val="auto"/>
                <w:sz w:val="24"/>
              </w:rPr>
            </w:pPr>
            <w:r>
              <w:rPr>
                <w:rFonts w:hint="eastAsia" w:ascii="仿宋_GB2312" w:hAnsi="宋体" w:eastAsia="仿宋_GB2312" w:cs="宋体"/>
                <w:bCs/>
                <w:color w:val="auto"/>
                <w:sz w:val="24"/>
              </w:rPr>
              <w:t>招标文件的采购需求及中标人投标文件响应的事项。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9242" w:type="dxa"/>
            <w:gridSpan w:val="5"/>
            <w:tcBorders>
              <w:top w:val="single" w:color="auto" w:sz="4" w:space="0"/>
              <w:left w:val="single" w:color="auto" w:sz="4" w:space="0"/>
              <w:bottom w:val="single" w:color="auto" w:sz="4" w:space="0"/>
              <w:right w:val="single" w:color="auto" w:sz="4" w:space="0"/>
            </w:tcBorders>
            <w:noWrap/>
            <w:vAlign w:val="center"/>
          </w:tcPr>
          <w:p>
            <w:pPr>
              <w:snapToGrid w:val="0"/>
              <w:spacing w:line="440" w:lineRule="exact"/>
              <w:rPr>
                <w:rFonts w:ascii="仿宋_GB2312" w:hAnsi="宋体" w:eastAsia="仿宋_GB2312" w:cs="Arial"/>
                <w:bCs/>
                <w:color w:val="auto"/>
                <w:sz w:val="24"/>
                <w:szCs w:val="24"/>
              </w:rPr>
            </w:pPr>
            <w:r>
              <w:rPr>
                <w:rFonts w:hint="eastAsia" w:ascii="仿宋_GB2312" w:hAnsi="宋体" w:eastAsia="仿宋_GB2312" w:cs="Arial"/>
                <w:b/>
                <w:bCs/>
                <w:color w:val="auto"/>
                <w:sz w:val="24"/>
                <w:szCs w:val="24"/>
              </w:rPr>
              <w:t>四、资信要求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1242" w:type="dxa"/>
            <w:gridSpan w:val="3"/>
            <w:tcBorders>
              <w:top w:val="single" w:color="auto" w:sz="4" w:space="0"/>
              <w:left w:val="single" w:color="auto" w:sz="4" w:space="0"/>
              <w:bottom w:val="single" w:color="auto" w:sz="4" w:space="0"/>
              <w:right w:val="single" w:color="auto" w:sz="4" w:space="0"/>
            </w:tcBorders>
            <w:noWrap/>
            <w:vAlign w:val="center"/>
          </w:tcPr>
          <w:p>
            <w:pPr>
              <w:pStyle w:val="26"/>
              <w:snapToGrid w:val="0"/>
              <w:spacing w:line="440" w:lineRule="exact"/>
              <w:jc w:val="center"/>
              <w:rPr>
                <w:rFonts w:ascii="仿宋_GB2312" w:hAnsi="宋体" w:eastAsia="仿宋_GB2312" w:cs="Arial"/>
                <w:bCs/>
                <w:color w:val="auto"/>
                <w:sz w:val="24"/>
                <w:szCs w:val="24"/>
              </w:rPr>
            </w:pPr>
            <w:r>
              <w:rPr>
                <w:rFonts w:ascii="仿宋_GB2312" w:hAnsi="仿宋_GB2312" w:eastAsia="仿宋_GB2312" w:cs="仿宋_GB2312"/>
                <w:bCs/>
                <w:color w:val="000000"/>
                <w:sz w:val="24"/>
              </w:rPr>
              <w:t>★政策性</w:t>
            </w:r>
            <w:r>
              <w:rPr>
                <w:rFonts w:hint="eastAsia" w:ascii="仿宋_GB2312" w:hAnsi="仿宋_GB2312" w:eastAsia="仿宋_GB2312" w:cs="仿宋_GB2312"/>
                <w:bCs/>
                <w:color w:val="000000"/>
                <w:sz w:val="24"/>
                <w:lang w:eastAsia="zh-CN"/>
              </w:rPr>
              <w:t>资格要求</w:t>
            </w:r>
          </w:p>
        </w:tc>
        <w:tc>
          <w:tcPr>
            <w:tcW w:w="8000" w:type="dxa"/>
            <w:gridSpan w:val="2"/>
            <w:tcBorders>
              <w:top w:val="single" w:color="auto" w:sz="4" w:space="0"/>
              <w:left w:val="single" w:color="auto" w:sz="4" w:space="0"/>
              <w:bottom w:val="single" w:color="auto" w:sz="4" w:space="0"/>
              <w:right w:val="single" w:color="auto" w:sz="4" w:space="0"/>
            </w:tcBorders>
            <w:noWrap/>
            <w:vAlign w:val="center"/>
          </w:tcPr>
          <w:p>
            <w:pPr>
              <w:pStyle w:val="785"/>
              <w:spacing w:before="0" w:beforeAutospacing="0" w:after="0" w:afterAutospacing="0" w:line="460" w:lineRule="atLeast"/>
              <w:rPr>
                <w:rFonts w:ascii="仿宋_GB2312" w:eastAsia="仿宋_GB2312"/>
                <w:color w:val="000000"/>
              </w:rPr>
            </w:pPr>
            <w:r>
              <w:rPr>
                <w:rStyle w:val="787"/>
                <w:rFonts w:hint="eastAsia" w:ascii="仿宋_GB2312" w:eastAsia="仿宋_GB2312"/>
                <w:color w:val="000000"/>
              </w:rPr>
              <w:t>1.根据《政府采购促进中小企业发展管理办法》（财库〔2020〕46号），本项目属于专门面向中小企业采购的项目，</w:t>
            </w:r>
            <w:r>
              <w:rPr>
                <w:rFonts w:hint="eastAsia" w:ascii="仿宋_GB2312" w:eastAsia="仿宋_GB2312"/>
                <w:color w:val="000000"/>
              </w:rPr>
              <w:t>符合《财政部、司法部关于政府采购支持监狱企业发展有关问题的通知》（财库〔2014〕68号）规定条件的监狱企业以及符合《财政部 民政部 中国残疾人联合会关于促进残疾人就业政府采购政策的通知》（财库〔2017〕141号）规定条件的残疾人福利单位视同小型、微型企业；</w:t>
            </w:r>
          </w:p>
          <w:p>
            <w:pPr>
              <w:pStyle w:val="785"/>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2.</w:t>
            </w:r>
            <w:r>
              <w:rPr>
                <w:rStyle w:val="787"/>
                <w:rFonts w:hint="eastAsia" w:ascii="仿宋_GB2312" w:eastAsia="仿宋_GB2312"/>
                <w:color w:val="000000"/>
              </w:rPr>
              <w:t>中小</w:t>
            </w:r>
            <w:r>
              <w:rPr>
                <w:rFonts w:hint="eastAsia" w:ascii="仿宋_GB2312" w:eastAsia="仿宋_GB2312"/>
                <w:color w:val="000000"/>
              </w:rPr>
              <w:t>企业须符合本项目采购标的所属行业对应的中小企业划分标准：</w:t>
            </w:r>
          </w:p>
          <w:p>
            <w:pPr>
              <w:pStyle w:val="785"/>
              <w:spacing w:before="0" w:beforeAutospacing="0" w:after="0" w:afterAutospacing="0" w:line="460" w:lineRule="atLeast"/>
              <w:rPr>
                <w:rFonts w:hint="eastAsia" w:ascii="仿宋_GB2312" w:eastAsia="仿宋_GB2312"/>
                <w:color w:val="000000"/>
              </w:rPr>
            </w:pPr>
            <w:r>
              <w:rPr>
                <w:rStyle w:val="787"/>
                <w:rFonts w:hint="eastAsia" w:ascii="仿宋_GB2312" w:eastAsia="仿宋_GB2312"/>
                <w:color w:val="000000"/>
              </w:rPr>
              <w:t>（1）采购标的对应的中小企业划分标准所属行业：</w:t>
            </w:r>
            <w:r>
              <w:rPr>
                <w:rStyle w:val="787"/>
                <w:rFonts w:hint="eastAsia" w:ascii="仿宋_GB2312" w:eastAsia="仿宋_GB2312"/>
                <w:color w:val="000000"/>
                <w:u w:val="single"/>
              </w:rPr>
              <w:t>物业管理；</w:t>
            </w:r>
          </w:p>
          <w:p>
            <w:pPr>
              <w:pStyle w:val="785"/>
              <w:spacing w:before="0" w:beforeAutospacing="0" w:after="0" w:afterAutospacing="0" w:line="460" w:lineRule="atLeast"/>
              <w:rPr>
                <w:rFonts w:hint="eastAsia" w:ascii="仿宋_GB2312" w:eastAsia="仿宋_GB2312"/>
                <w:color w:val="000000"/>
              </w:rPr>
            </w:pPr>
            <w:r>
              <w:rPr>
                <w:rStyle w:val="787"/>
                <w:rFonts w:hint="eastAsia" w:ascii="仿宋_GB2312" w:eastAsia="仿宋_GB2312"/>
                <w:color w:val="000000"/>
              </w:rPr>
              <w:t>（2）中小企业划分有关标准根据工信部等部委发布的《关于印发中小企业划型标准规定的通知》（工信部联企业〔2011〕300号）确定；</w:t>
            </w:r>
          </w:p>
          <w:p>
            <w:pPr>
              <w:pStyle w:val="785"/>
              <w:spacing w:before="0" w:beforeAutospacing="0" w:after="0" w:afterAutospacing="0" w:line="460" w:lineRule="atLeast"/>
              <w:rPr>
                <w:rFonts w:hint="eastAsia" w:ascii="仿宋_GB2312" w:eastAsia="仿宋_GB2312"/>
                <w:color w:val="000000"/>
              </w:rPr>
            </w:pPr>
            <w:r>
              <w:rPr>
                <w:rStyle w:val="787"/>
                <w:rFonts w:hint="eastAsia" w:ascii="仿宋_GB2312" w:eastAsia="仿宋_GB2312"/>
                <w:color w:val="000000"/>
              </w:rPr>
              <w:t>（3）为方便供应商识别企业规模类型，供应商可使用工业和信息化部组织开发的中小企业规模类型自测小程序生成企业规模类型测试结果。</w:t>
            </w:r>
          </w:p>
          <w:p>
            <w:pPr>
              <w:pStyle w:val="26"/>
              <w:widowControl/>
              <w:snapToGrid w:val="0"/>
              <w:spacing w:line="420" w:lineRule="exact"/>
              <w:jc w:val="left"/>
              <w:textAlignment w:val="center"/>
              <w:rPr>
                <w:rFonts w:ascii="仿宋_GB2312" w:hAnsi="宋体" w:eastAsia="仿宋_GB2312"/>
                <w:color w:val="auto"/>
                <w:sz w:val="24"/>
              </w:rPr>
            </w:pPr>
            <w:r>
              <w:rPr>
                <w:rStyle w:val="787"/>
                <w:rFonts w:hint="eastAsia" w:ascii="仿宋_GB2312" w:eastAsia="仿宋_GB2312"/>
                <w:color w:val="000000"/>
              </w:rPr>
              <w:t>自测小程序链接：https://baosong.miit.gov.cn/ScaleTest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1242" w:type="dxa"/>
            <w:gridSpan w:val="3"/>
            <w:tcBorders>
              <w:top w:val="single" w:color="auto" w:sz="4" w:space="0"/>
              <w:left w:val="single" w:color="auto" w:sz="4" w:space="0"/>
              <w:bottom w:val="single" w:color="auto" w:sz="4" w:space="0"/>
              <w:right w:val="single" w:color="auto" w:sz="4" w:space="0"/>
            </w:tcBorders>
            <w:noWrap/>
            <w:vAlign w:val="center"/>
          </w:tcPr>
          <w:p>
            <w:pPr>
              <w:pStyle w:val="26"/>
              <w:snapToGrid w:val="0"/>
              <w:spacing w:line="440" w:lineRule="exact"/>
              <w:rPr>
                <w:rFonts w:ascii="仿宋_GB2312" w:hAnsi="宋体" w:eastAsia="仿宋_GB2312" w:cs="Arial"/>
                <w:bCs/>
                <w:color w:val="auto"/>
                <w:sz w:val="24"/>
                <w:szCs w:val="24"/>
              </w:rPr>
            </w:pPr>
            <w:r>
              <w:rPr>
                <w:rFonts w:hint="eastAsia" w:ascii="仿宋_GB2312" w:hAnsi="宋体" w:eastAsia="仿宋_GB2312" w:cs="Arial"/>
                <w:bCs/>
                <w:color w:val="auto"/>
                <w:sz w:val="24"/>
                <w:szCs w:val="24"/>
              </w:rPr>
              <w:t>质量管理、企业信用要求</w:t>
            </w:r>
          </w:p>
        </w:tc>
        <w:tc>
          <w:tcPr>
            <w:tcW w:w="8000" w:type="dxa"/>
            <w:gridSpan w:val="2"/>
            <w:tcBorders>
              <w:top w:val="single" w:color="auto" w:sz="4" w:space="0"/>
              <w:left w:val="single" w:color="auto" w:sz="4" w:space="0"/>
              <w:bottom w:val="single" w:color="auto" w:sz="4" w:space="0"/>
              <w:right w:val="single" w:color="auto" w:sz="4" w:space="0"/>
            </w:tcBorders>
            <w:noWrap/>
            <w:vAlign w:val="center"/>
          </w:tcPr>
          <w:p>
            <w:pPr>
              <w:pStyle w:val="789"/>
              <w:spacing w:before="0" w:beforeAutospacing="0" w:after="0" w:afterAutospacing="0" w:line="460" w:lineRule="atLeast"/>
              <w:rPr>
                <w:rFonts w:ascii="仿宋_GB2312" w:eastAsia="仿宋_GB2312"/>
                <w:color w:val="000000"/>
              </w:rPr>
            </w:pPr>
            <w:r>
              <w:rPr>
                <w:rFonts w:hint="eastAsia" w:ascii="仿宋_GB2312" w:eastAsia="仿宋_GB2312"/>
                <w:color w:val="000000"/>
              </w:rPr>
              <w:t>1.投标人具备有效的质量管理体系认证证书；</w:t>
            </w:r>
          </w:p>
          <w:p>
            <w:pPr>
              <w:pStyle w:val="789"/>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2.投标人具备有效的职业健康安全管理体系认证证书；</w:t>
            </w:r>
          </w:p>
          <w:p>
            <w:pPr>
              <w:pStyle w:val="789"/>
              <w:spacing w:before="0" w:beforeAutospacing="0" w:after="0" w:afterAutospacing="0" w:line="460" w:lineRule="atLeast"/>
              <w:rPr>
                <w:rFonts w:ascii="Calibri" w:hAnsi="Calibri" w:eastAsia="仿宋_GB2312"/>
                <w:bCs/>
                <w:color w:val="auto"/>
                <w:kern w:val="0"/>
                <w:sz w:val="24"/>
              </w:rPr>
            </w:pPr>
            <w:r>
              <w:rPr>
                <w:rFonts w:hint="eastAsia" w:ascii="仿宋_GB2312" w:eastAsia="仿宋_GB2312"/>
                <w:color w:val="000000"/>
              </w:rPr>
              <w:t>3.投标人具备有效的环境管理体系认证证书</w:t>
            </w:r>
            <w:r>
              <w:rPr>
                <w:rFonts w:hint="eastAsia" w:ascii="仿宋_GB2312" w:eastAsia="仿宋_GB2312"/>
                <w:color w:val="00000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1242" w:type="dxa"/>
            <w:gridSpan w:val="3"/>
            <w:tcBorders>
              <w:top w:val="single" w:color="auto" w:sz="4" w:space="0"/>
              <w:left w:val="single" w:color="auto" w:sz="4" w:space="0"/>
              <w:bottom w:val="single" w:color="auto" w:sz="4" w:space="0"/>
              <w:right w:val="single" w:color="auto" w:sz="4" w:space="0"/>
            </w:tcBorders>
            <w:noWrap/>
            <w:vAlign w:val="center"/>
          </w:tcPr>
          <w:p>
            <w:pPr>
              <w:pStyle w:val="26"/>
              <w:snapToGrid w:val="0"/>
              <w:spacing w:line="440" w:lineRule="exact"/>
              <w:jc w:val="center"/>
              <w:rPr>
                <w:rFonts w:ascii="仿宋_GB2312" w:hAnsi="宋体" w:eastAsia="仿宋_GB2312" w:cs="Arial"/>
                <w:bCs/>
                <w:color w:val="auto"/>
                <w:sz w:val="24"/>
                <w:szCs w:val="24"/>
              </w:rPr>
            </w:pPr>
            <w:r>
              <w:rPr>
                <w:rFonts w:hint="eastAsia" w:ascii="仿宋_GB2312" w:hAnsi="宋体" w:eastAsia="仿宋_GB2312" w:cs="Arial"/>
                <w:bCs/>
                <w:color w:val="auto"/>
                <w:sz w:val="24"/>
                <w:szCs w:val="24"/>
              </w:rPr>
              <w:t>能力或业绩要求</w:t>
            </w:r>
          </w:p>
        </w:tc>
        <w:tc>
          <w:tcPr>
            <w:tcW w:w="8000" w:type="dxa"/>
            <w:gridSpan w:val="2"/>
            <w:tcBorders>
              <w:top w:val="single" w:color="auto" w:sz="4" w:space="0"/>
              <w:left w:val="single" w:color="auto" w:sz="4" w:space="0"/>
              <w:bottom w:val="single" w:color="auto" w:sz="4" w:space="0"/>
              <w:right w:val="single" w:color="auto" w:sz="4" w:space="0"/>
            </w:tcBorders>
            <w:noWrap/>
            <w:vAlign w:val="center"/>
          </w:tcPr>
          <w:p>
            <w:pPr>
              <w:pStyle w:val="26"/>
              <w:snapToGrid w:val="0"/>
              <w:spacing w:line="440" w:lineRule="exact"/>
              <w:rPr>
                <w:rFonts w:ascii="仿宋_GB2312" w:hAnsi="宋体" w:eastAsia="仿宋_GB2312"/>
                <w:bCs/>
                <w:color w:val="auto"/>
                <w:sz w:val="24"/>
              </w:rPr>
            </w:pPr>
            <w:r>
              <w:rPr>
                <w:rFonts w:hint="eastAsia" w:ascii="仿宋_GB2312" w:hAnsi="宋体" w:eastAsia="仿宋_GB2312"/>
                <w:bCs/>
                <w:color w:val="auto"/>
                <w:kern w:val="0"/>
                <w:sz w:val="24"/>
              </w:rPr>
              <w:t>投标人2023年1月1日起至今承接的同类服务项目</w:t>
            </w:r>
            <w:r>
              <w:rPr>
                <w:rFonts w:hint="eastAsia" w:ascii="仿宋_GB2312" w:hAnsi="宋体" w:eastAsia="仿宋_GB2312"/>
                <w:bCs/>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1242" w:type="dxa"/>
            <w:gridSpan w:val="3"/>
            <w:tcBorders>
              <w:top w:val="single" w:color="auto" w:sz="4" w:space="0"/>
              <w:left w:val="single" w:color="auto" w:sz="4" w:space="0"/>
              <w:bottom w:val="single" w:color="auto" w:sz="4" w:space="0"/>
              <w:right w:val="single" w:color="auto" w:sz="4" w:space="0"/>
            </w:tcBorders>
            <w:noWrap/>
            <w:vAlign w:val="center"/>
          </w:tcPr>
          <w:p>
            <w:pPr>
              <w:pStyle w:val="26"/>
              <w:snapToGrid w:val="0"/>
              <w:spacing w:line="440" w:lineRule="exact"/>
              <w:jc w:val="center"/>
              <w:rPr>
                <w:rFonts w:ascii="仿宋_GB2312" w:hAnsi="宋体" w:eastAsia="仿宋_GB2312" w:cs="Arial"/>
                <w:bCs/>
                <w:color w:val="auto"/>
                <w:sz w:val="24"/>
                <w:szCs w:val="24"/>
              </w:rPr>
            </w:pPr>
            <w:r>
              <w:rPr>
                <w:rFonts w:hint="eastAsia" w:ascii="仿宋_GB2312" w:hAnsi="宋体" w:eastAsia="仿宋_GB2312" w:cs="Arial"/>
                <w:bCs/>
                <w:color w:val="auto"/>
                <w:sz w:val="24"/>
                <w:szCs w:val="24"/>
              </w:rPr>
              <w:t>其他要求（如有）</w:t>
            </w:r>
          </w:p>
        </w:tc>
        <w:tc>
          <w:tcPr>
            <w:tcW w:w="8000" w:type="dxa"/>
            <w:gridSpan w:val="2"/>
            <w:tcBorders>
              <w:top w:val="single" w:color="auto" w:sz="4" w:space="0"/>
              <w:left w:val="single" w:color="auto" w:sz="4" w:space="0"/>
              <w:bottom w:val="single" w:color="auto" w:sz="4" w:space="0"/>
              <w:right w:val="single" w:color="auto" w:sz="4" w:space="0"/>
            </w:tcBorders>
            <w:noWrap/>
            <w:vAlign w:val="center"/>
          </w:tcPr>
          <w:p>
            <w:pPr>
              <w:pStyle w:val="26"/>
              <w:snapToGrid w:val="0"/>
              <w:spacing w:line="440" w:lineRule="exact"/>
              <w:rPr>
                <w:rFonts w:ascii="仿宋_GB2312" w:hAnsi="宋体" w:eastAsia="仿宋_GB2312"/>
                <w:bCs/>
                <w:color w:val="auto"/>
                <w:sz w:val="24"/>
              </w:rPr>
            </w:pPr>
            <w:r>
              <w:rPr>
                <w:rFonts w:hint="eastAsia" w:ascii="仿宋_GB2312" w:hAnsi="宋体" w:eastAsia="仿宋_GB2312"/>
                <w:bCs/>
                <w:color w:val="auto"/>
                <w:sz w:val="24"/>
              </w:rPr>
              <w:t>无</w:t>
            </w:r>
          </w:p>
        </w:tc>
      </w:tr>
      <w:bookmarkEnd w:id="5"/>
      <w:bookmarkEnd w:id="6"/>
      <w:bookmarkEnd w:id="7"/>
      <w:bookmarkEnd w:id="8"/>
      <w:bookmarkEnd w:id="9"/>
      <w:bookmarkEnd w:id="10"/>
      <w:bookmarkEnd w:id="11"/>
      <w:bookmarkEnd w:id="12"/>
      <w:bookmarkEnd w:id="13"/>
      <w:bookmarkEnd w:id="14"/>
      <w:bookmarkEnd w:id="15"/>
      <w:bookmarkEnd w:id="16"/>
      <w:bookmarkEnd w:id="20"/>
      <w:bookmarkEnd w:id="21"/>
    </w:tbl>
    <w:p>
      <w:pPr>
        <w:jc w:val="left"/>
        <w:rPr>
          <w:rFonts w:ascii="宋体" w:hAnsi="宋体"/>
          <w:color w:val="auto"/>
        </w:rPr>
      </w:pPr>
    </w:p>
    <w:p>
      <w:pPr>
        <w:jc w:val="left"/>
        <w:rPr>
          <w:rFonts w:hint="eastAsia" w:ascii="仿宋_GB2312" w:hAnsi="仿宋_GB2312" w:eastAsia="仿宋_GB2312" w:cs="仿宋_GB2312"/>
          <w:sz w:val="28"/>
          <w:szCs w:val="28"/>
          <w:lang w:eastAsia="zh-CN"/>
        </w:rPr>
      </w:pPr>
      <w:r>
        <w:rPr>
          <w:rFonts w:hint="eastAsia" w:ascii="仿宋_GB2312" w:hAnsi="仿宋_GB2312" w:eastAsia="仿宋_GB2312" w:cs="仿宋_GB2312"/>
          <w:b/>
          <w:kern w:val="0"/>
          <w:sz w:val="28"/>
          <w:szCs w:val="28"/>
        </w:rPr>
        <w:t>★</w:t>
      </w:r>
      <w:r>
        <w:rPr>
          <w:rFonts w:hint="eastAsia" w:ascii="仿宋_GB2312" w:hAnsi="仿宋_GB2312" w:eastAsia="仿宋_GB2312" w:cs="仿宋_GB2312"/>
          <w:b/>
          <w:bCs/>
          <w:sz w:val="28"/>
          <w:szCs w:val="28"/>
        </w:rPr>
        <w:t>附件</w:t>
      </w:r>
      <w:r>
        <w:rPr>
          <w:rFonts w:hint="eastAsia" w:ascii="仿宋_GB2312" w:hAnsi="仿宋_GB2312" w:eastAsia="仿宋_GB2312" w:cs="仿宋_GB2312"/>
          <w:b/>
          <w:bCs/>
          <w:sz w:val="28"/>
          <w:szCs w:val="28"/>
          <w:lang w:eastAsia="zh-CN"/>
        </w:rPr>
        <w:t>一</w:t>
      </w:r>
    </w:p>
    <w:p>
      <w:pPr>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柳州城市职业学院物业服务企业监督管理办法</w:t>
      </w:r>
    </w:p>
    <w:p>
      <w:pPr>
        <w:rPr>
          <w:rFonts w:ascii="仿宋_GB2312" w:eastAsia="仿宋_GB2312"/>
          <w:sz w:val="24"/>
          <w:szCs w:val="24"/>
        </w:rPr>
      </w:pPr>
    </w:p>
    <w:p>
      <w:pPr>
        <w:ind w:firstLine="482" w:firstLineChars="200"/>
        <w:rPr>
          <w:rFonts w:ascii="仿宋_GB2312" w:eastAsia="仿宋_GB2312"/>
          <w:sz w:val="24"/>
          <w:szCs w:val="24"/>
        </w:rPr>
      </w:pPr>
      <w:r>
        <w:rPr>
          <w:rFonts w:hint="eastAsia" w:ascii="仿宋_GB2312" w:eastAsia="仿宋_GB2312"/>
          <w:b/>
          <w:sz w:val="24"/>
          <w:szCs w:val="24"/>
        </w:rPr>
        <w:t>第一条</w:t>
      </w:r>
      <w:r>
        <w:rPr>
          <w:rFonts w:hint="eastAsia" w:ascii="仿宋_GB2312" w:eastAsia="仿宋_GB2312"/>
          <w:sz w:val="24"/>
          <w:szCs w:val="24"/>
        </w:rPr>
        <w:t> 为加强对校园物业服务企业的监督管理，规范物业服务行为，维护学校利益，根据《中华人民共和国物权法》《物业管理条例》《高等学校物业服务规范》等法律法规的要求，结合学校相关规章和工作实际，制定本办法。</w:t>
      </w:r>
    </w:p>
    <w:p>
      <w:pPr>
        <w:ind w:firstLine="482" w:firstLineChars="200"/>
        <w:rPr>
          <w:rFonts w:ascii="仿宋_GB2312" w:eastAsia="仿宋_GB2312"/>
          <w:sz w:val="24"/>
          <w:szCs w:val="24"/>
        </w:rPr>
      </w:pPr>
      <w:r>
        <w:rPr>
          <w:rFonts w:hint="eastAsia" w:ascii="仿宋_GB2312" w:eastAsia="仿宋_GB2312"/>
          <w:b/>
          <w:sz w:val="24"/>
          <w:szCs w:val="24"/>
        </w:rPr>
        <w:t>第二条</w:t>
      </w:r>
      <w:r>
        <w:rPr>
          <w:rFonts w:hint="eastAsia" w:ascii="仿宋_GB2312" w:eastAsia="仿宋_GB2312"/>
          <w:sz w:val="24"/>
          <w:szCs w:val="24"/>
        </w:rPr>
        <w:t> 本办法适用于按照学校物业管理服务采购标书和合同的约定为学校提供校园环境卫生、校园绿化养护、设施维修维护和</w:t>
      </w:r>
      <w:r>
        <w:rPr>
          <w:rFonts w:hint="eastAsia" w:ascii="仿宋_GB2312" w:eastAsia="仿宋_GB2312"/>
          <w:sz w:val="24"/>
          <w:szCs w:val="24"/>
          <w:lang w:eastAsia="zh-CN"/>
        </w:rPr>
        <w:t>学生公寓</w:t>
      </w:r>
      <w:r>
        <w:rPr>
          <w:rFonts w:hint="eastAsia" w:ascii="仿宋_GB2312" w:eastAsia="仿宋_GB2312"/>
          <w:sz w:val="24"/>
          <w:szCs w:val="24"/>
        </w:rPr>
        <w:t>管理、学员公寓</w:t>
      </w:r>
      <w:r>
        <w:rPr>
          <w:rFonts w:hint="eastAsia" w:ascii="仿宋_GB2312" w:eastAsia="仿宋_GB2312"/>
          <w:sz w:val="24"/>
          <w:szCs w:val="24"/>
          <w:lang w:eastAsia="zh-CN"/>
        </w:rPr>
        <w:t>管理</w:t>
      </w:r>
      <w:r>
        <w:rPr>
          <w:rFonts w:hint="eastAsia" w:ascii="仿宋_GB2312" w:eastAsia="仿宋_GB2312"/>
          <w:sz w:val="24"/>
          <w:szCs w:val="24"/>
        </w:rPr>
        <w:t>服务，以及垃圾</w:t>
      </w:r>
      <w:r>
        <w:rPr>
          <w:rFonts w:hint="default" w:ascii="仿宋_GB2312" w:eastAsia="仿宋_GB2312"/>
          <w:sz w:val="24"/>
          <w:szCs w:val="24"/>
        </w:rPr>
        <w:t>清理</w:t>
      </w:r>
      <w:r>
        <w:rPr>
          <w:rFonts w:hint="eastAsia" w:ascii="仿宋_GB2312" w:eastAsia="仿宋_GB2312"/>
          <w:sz w:val="24"/>
          <w:szCs w:val="24"/>
        </w:rPr>
        <w:t>、有害生物防治、化粪池清理、临时专项保洁等服务的物业服务企业或其他实体。</w:t>
      </w:r>
    </w:p>
    <w:p>
      <w:pPr>
        <w:ind w:firstLine="420"/>
        <w:rPr>
          <w:rFonts w:ascii="仿宋_GB2312" w:eastAsia="仿宋_GB2312"/>
          <w:sz w:val="24"/>
          <w:szCs w:val="24"/>
        </w:rPr>
      </w:pPr>
      <w:r>
        <w:rPr>
          <w:rFonts w:hint="eastAsia" w:ascii="仿宋_GB2312" w:eastAsia="仿宋_GB2312"/>
          <w:b/>
          <w:sz w:val="24"/>
          <w:szCs w:val="24"/>
        </w:rPr>
        <w:t>第三条</w:t>
      </w:r>
      <w:r>
        <w:rPr>
          <w:rFonts w:hint="eastAsia" w:ascii="仿宋_GB2312" w:eastAsia="仿宋_GB2312"/>
          <w:sz w:val="24"/>
          <w:szCs w:val="24"/>
        </w:rPr>
        <w:t> 物业服务企业应当按照法律、法规和相关物业合同的要求，为学校提供优质服务，接受管理单位和使用单位的指导、监督与考核。</w:t>
      </w:r>
    </w:p>
    <w:p>
      <w:pPr>
        <w:ind w:firstLine="482" w:firstLineChars="200"/>
        <w:rPr>
          <w:rFonts w:ascii="仿宋_GB2312" w:eastAsia="仿宋_GB2312"/>
          <w:sz w:val="24"/>
          <w:szCs w:val="24"/>
        </w:rPr>
      </w:pPr>
      <w:r>
        <w:rPr>
          <w:rFonts w:hint="eastAsia" w:ascii="仿宋_GB2312" w:eastAsia="仿宋_GB2312"/>
          <w:b/>
          <w:sz w:val="24"/>
          <w:szCs w:val="24"/>
        </w:rPr>
        <w:t>第四条</w:t>
      </w:r>
      <w:r>
        <w:rPr>
          <w:rFonts w:hint="eastAsia" w:ascii="仿宋_GB2312" w:eastAsia="仿宋_GB2312"/>
          <w:sz w:val="24"/>
          <w:szCs w:val="24"/>
        </w:rPr>
        <w:t> 后勤保障处是物业管理的归口管理单位，全面行使对物业服务企业工作的“组织、管理、监督、检查、考核、奖惩”。根据具体管理职责的不同，各使用单位负责物业日常工作的管理与考核。</w:t>
      </w:r>
    </w:p>
    <w:p>
      <w:pPr>
        <w:ind w:firstLine="482" w:firstLineChars="200"/>
        <w:rPr>
          <w:rFonts w:ascii="仿宋_GB2312" w:eastAsia="仿宋_GB2312"/>
          <w:sz w:val="24"/>
          <w:szCs w:val="24"/>
        </w:rPr>
      </w:pPr>
      <w:r>
        <w:rPr>
          <w:rFonts w:hint="eastAsia" w:ascii="仿宋_GB2312" w:eastAsia="仿宋_GB2312"/>
          <w:b/>
          <w:sz w:val="24"/>
          <w:szCs w:val="24"/>
        </w:rPr>
        <w:t>第五条</w:t>
      </w:r>
      <w:r>
        <w:rPr>
          <w:rFonts w:hint="eastAsia" w:ascii="仿宋_GB2312" w:eastAsia="仿宋_GB2312"/>
          <w:sz w:val="24"/>
          <w:szCs w:val="24"/>
        </w:rPr>
        <w:t> 职责分工：</w:t>
      </w:r>
    </w:p>
    <w:p>
      <w:pPr>
        <w:ind w:firstLine="480" w:firstLineChars="200"/>
        <w:rPr>
          <w:rFonts w:ascii="仿宋_GB2312" w:eastAsia="仿宋_GB2312"/>
          <w:sz w:val="24"/>
          <w:szCs w:val="24"/>
        </w:rPr>
      </w:pPr>
      <w:bookmarkStart w:id="29" w:name="OLE_LINK6"/>
      <w:r>
        <w:rPr>
          <w:rFonts w:hint="eastAsia" w:ascii="仿宋_GB2312" w:eastAsia="仿宋_GB2312"/>
          <w:sz w:val="24"/>
          <w:szCs w:val="24"/>
        </w:rPr>
        <w:t>（一）后勤保障：由后勤保障处负责对校园公共区域的环境卫生、校园的绿化管理与养护、建筑物及附属构件和公共设施维修维护，以及校园垃圾</w:t>
      </w:r>
      <w:r>
        <w:rPr>
          <w:rFonts w:hint="default" w:ascii="仿宋_GB2312" w:eastAsia="仿宋_GB2312"/>
          <w:sz w:val="24"/>
          <w:szCs w:val="24"/>
        </w:rPr>
        <w:t>清理</w:t>
      </w:r>
      <w:r>
        <w:rPr>
          <w:rFonts w:hint="eastAsia" w:ascii="仿宋_GB2312" w:eastAsia="仿宋_GB2312"/>
          <w:sz w:val="24"/>
          <w:szCs w:val="24"/>
        </w:rPr>
        <w:t>、有害生物防治、化粪池清理、临时专项保洁等工作的指导、监管与考核；物业服务满意度调查。</w:t>
      </w:r>
    </w:p>
    <w:p>
      <w:pPr>
        <w:ind w:firstLine="480" w:firstLineChars="200"/>
        <w:rPr>
          <w:rFonts w:ascii="仿宋_GB2312" w:eastAsia="仿宋_GB2312"/>
          <w:sz w:val="24"/>
          <w:szCs w:val="24"/>
        </w:rPr>
      </w:pPr>
      <w:r>
        <w:rPr>
          <w:rFonts w:hint="eastAsia" w:ascii="仿宋_GB2312" w:eastAsia="仿宋_GB2312"/>
          <w:sz w:val="24"/>
          <w:szCs w:val="24"/>
        </w:rPr>
        <w:t>（二）</w:t>
      </w:r>
      <w:r>
        <w:rPr>
          <w:rFonts w:hint="eastAsia" w:ascii="仿宋_GB2312" w:eastAsia="仿宋_GB2312"/>
          <w:sz w:val="24"/>
          <w:szCs w:val="24"/>
          <w:lang w:val="en-US" w:eastAsia="zh-CN"/>
        </w:rPr>
        <w:t>学生公寓（学员公寓）</w:t>
      </w:r>
      <w:r>
        <w:rPr>
          <w:rFonts w:hint="eastAsia" w:ascii="仿宋_GB2312" w:eastAsia="仿宋_GB2312"/>
          <w:sz w:val="24"/>
          <w:szCs w:val="24"/>
        </w:rPr>
        <w:t>管理：</w:t>
      </w:r>
    </w:p>
    <w:p>
      <w:pPr>
        <w:ind w:firstLine="480" w:firstLineChars="200"/>
        <w:rPr>
          <w:rFonts w:ascii="仿宋_GB2312" w:eastAsia="仿宋_GB2312"/>
          <w:sz w:val="24"/>
          <w:szCs w:val="24"/>
        </w:rPr>
      </w:pPr>
      <w:r>
        <w:rPr>
          <w:rFonts w:hint="eastAsia" w:ascii="仿宋_GB2312" w:eastAsia="仿宋_GB2312"/>
          <w:sz w:val="24"/>
          <w:szCs w:val="24"/>
        </w:rPr>
        <w:t>1．中国</w:t>
      </w:r>
      <w:r>
        <w:rPr>
          <w:rFonts w:hint="eastAsia" w:ascii="仿宋_GB2312" w:eastAsia="仿宋_GB2312"/>
          <w:sz w:val="24"/>
          <w:szCs w:val="24"/>
          <w:lang w:eastAsia="zh-CN"/>
        </w:rPr>
        <w:t>学生公寓</w:t>
      </w:r>
      <w:r>
        <w:rPr>
          <w:rFonts w:hint="eastAsia" w:ascii="仿宋_GB2312" w:eastAsia="仿宋_GB2312"/>
          <w:sz w:val="24"/>
          <w:szCs w:val="24"/>
        </w:rPr>
        <w:t>管理：由学生工作处负责对全校学生公寓的日常管理、设施维修等工作的指导、监管与考核；</w:t>
      </w:r>
    </w:p>
    <w:p>
      <w:pPr>
        <w:ind w:firstLine="480" w:firstLineChars="200"/>
        <w:rPr>
          <w:rFonts w:ascii="仿宋_GB2312" w:eastAsia="仿宋_GB2312"/>
          <w:sz w:val="24"/>
          <w:szCs w:val="24"/>
        </w:rPr>
      </w:pPr>
      <w:r>
        <w:rPr>
          <w:rFonts w:hint="eastAsia" w:ascii="仿宋_GB2312" w:eastAsia="仿宋_GB2312"/>
          <w:sz w:val="24"/>
          <w:szCs w:val="24"/>
        </w:rPr>
        <w:t>2．国际</w:t>
      </w:r>
      <w:r>
        <w:rPr>
          <w:rFonts w:hint="eastAsia" w:ascii="仿宋_GB2312" w:eastAsia="仿宋_GB2312"/>
          <w:sz w:val="24"/>
          <w:szCs w:val="24"/>
          <w:lang w:eastAsia="zh-CN"/>
        </w:rPr>
        <w:t>学生公寓</w:t>
      </w:r>
      <w:r>
        <w:rPr>
          <w:rFonts w:hint="eastAsia" w:ascii="仿宋_GB2312" w:eastAsia="仿宋_GB2312"/>
          <w:sz w:val="24"/>
          <w:szCs w:val="24"/>
        </w:rPr>
        <w:t>管理：国际教育学院负责对国际学生住宿场所的公共区域保洁、设施维修等工作的指导、监管与考核；</w:t>
      </w:r>
    </w:p>
    <w:p>
      <w:pPr>
        <w:ind w:firstLine="480" w:firstLineChars="200"/>
        <w:rPr>
          <w:rFonts w:ascii="仿宋_GB2312" w:eastAsia="仿宋_GB2312"/>
          <w:sz w:val="24"/>
          <w:szCs w:val="24"/>
        </w:rPr>
      </w:pPr>
      <w:r>
        <w:rPr>
          <w:rFonts w:hint="eastAsia" w:ascii="仿宋_GB2312" w:eastAsia="仿宋_GB2312"/>
          <w:sz w:val="24"/>
          <w:szCs w:val="24"/>
        </w:rPr>
        <w:t>3．学员公寓管理服务：由开放学院负责对学员公寓的管理、接待服务和公共区域保洁、设施维修等工作的指导、监管与考核。</w:t>
      </w:r>
    </w:p>
    <w:p>
      <w:pPr>
        <w:ind w:firstLine="480" w:firstLineChars="200"/>
        <w:rPr>
          <w:rFonts w:ascii="仿宋_GB2312" w:eastAsia="仿宋_GB2312"/>
          <w:sz w:val="24"/>
          <w:szCs w:val="24"/>
        </w:rPr>
      </w:pPr>
      <w:r>
        <w:rPr>
          <w:rFonts w:hint="eastAsia" w:ascii="仿宋_GB2312" w:eastAsia="仿宋_GB2312"/>
          <w:sz w:val="24"/>
          <w:szCs w:val="24"/>
        </w:rPr>
        <w:t>（三）教辅教学：</w:t>
      </w:r>
    </w:p>
    <w:p>
      <w:pPr>
        <w:ind w:firstLine="480" w:firstLineChars="200"/>
        <w:rPr>
          <w:rFonts w:ascii="仿宋_GB2312" w:eastAsia="仿宋_GB2312"/>
          <w:sz w:val="24"/>
          <w:szCs w:val="24"/>
        </w:rPr>
      </w:pPr>
      <w:r>
        <w:rPr>
          <w:rFonts w:hint="eastAsia" w:ascii="仿宋_GB2312" w:eastAsia="仿宋_GB2312"/>
          <w:sz w:val="24"/>
          <w:szCs w:val="24"/>
        </w:rPr>
        <w:t>1．教学楼/实训楼：由各二级学院负责对全校教学楼和实训楼的公共区域保洁、设施维修等工作的指导、监管与考核；</w:t>
      </w:r>
    </w:p>
    <w:p>
      <w:pPr>
        <w:ind w:firstLine="480" w:firstLineChars="200"/>
        <w:rPr>
          <w:rFonts w:ascii="仿宋_GB2312" w:eastAsia="仿宋_GB2312"/>
          <w:sz w:val="24"/>
          <w:szCs w:val="24"/>
        </w:rPr>
      </w:pPr>
      <w:r>
        <w:rPr>
          <w:rFonts w:hint="eastAsia" w:ascii="仿宋_GB2312" w:eastAsia="仿宋_GB2312"/>
          <w:sz w:val="24"/>
          <w:szCs w:val="24"/>
        </w:rPr>
        <w:t>2．活动中心：由师范教育学院负责对大学生活动中心、室内体育馆、室外运动场的公共区域保洁、设施维修等工作的指导、监管与考核；</w:t>
      </w:r>
    </w:p>
    <w:p>
      <w:pPr>
        <w:ind w:firstLine="480" w:firstLineChars="200"/>
        <w:rPr>
          <w:rFonts w:ascii="仿宋_GB2312" w:eastAsia="仿宋_GB2312"/>
          <w:sz w:val="24"/>
          <w:szCs w:val="24"/>
        </w:rPr>
      </w:pPr>
      <w:r>
        <w:rPr>
          <w:rFonts w:hint="eastAsia" w:ascii="仿宋_GB2312" w:eastAsia="仿宋_GB2312"/>
          <w:sz w:val="24"/>
          <w:szCs w:val="24"/>
        </w:rPr>
        <w:t>3．图书馆：由科技与对外合作处负责对图书馆公共区域保洁、设施维修等工作的指导、监管与考核；</w:t>
      </w:r>
    </w:p>
    <w:p>
      <w:pPr>
        <w:ind w:firstLine="480" w:firstLineChars="200"/>
        <w:rPr>
          <w:rFonts w:ascii="仿宋_GB2312" w:eastAsia="仿宋_GB2312"/>
          <w:sz w:val="24"/>
          <w:szCs w:val="24"/>
        </w:rPr>
      </w:pPr>
      <w:r>
        <w:rPr>
          <w:rFonts w:hint="eastAsia" w:ascii="仿宋_GB2312" w:eastAsia="仿宋_GB2312"/>
          <w:sz w:val="24"/>
          <w:szCs w:val="24"/>
        </w:rPr>
        <w:t>4．荣军校区：由开放学院负责对荣军校区的保洁、维修等工作的指导、监管与考核。</w:t>
      </w:r>
    </w:p>
    <w:p>
      <w:pPr>
        <w:ind w:firstLine="480" w:firstLineChars="200"/>
        <w:rPr>
          <w:rFonts w:ascii="仿宋_GB2312" w:eastAsia="仿宋_GB2312"/>
          <w:sz w:val="24"/>
          <w:szCs w:val="24"/>
        </w:rPr>
      </w:pPr>
      <w:r>
        <w:rPr>
          <w:rFonts w:hint="eastAsia" w:ascii="仿宋_GB2312" w:eastAsia="仿宋_GB2312"/>
          <w:sz w:val="24"/>
          <w:szCs w:val="24"/>
        </w:rPr>
        <w:t>（四）重点场所：由学校办公室负责领导接待室和办公室、会议室、校史馆、报告厅的保洁、维修等工作的指导、监督与考核。</w:t>
      </w:r>
      <w:bookmarkEnd w:id="29"/>
    </w:p>
    <w:p>
      <w:pPr>
        <w:ind w:firstLine="482" w:firstLineChars="200"/>
        <w:rPr>
          <w:rFonts w:ascii="仿宋_GB2312" w:eastAsia="仿宋_GB2312"/>
          <w:sz w:val="24"/>
          <w:szCs w:val="24"/>
        </w:rPr>
      </w:pPr>
      <w:r>
        <w:rPr>
          <w:rFonts w:hint="eastAsia" w:ascii="仿宋_GB2312" w:eastAsia="仿宋_GB2312"/>
          <w:b/>
          <w:sz w:val="24"/>
          <w:szCs w:val="24"/>
        </w:rPr>
        <w:t>第六条</w:t>
      </w:r>
      <w:r>
        <w:rPr>
          <w:rFonts w:hint="eastAsia" w:ascii="仿宋_GB2312" w:eastAsia="仿宋_GB2312"/>
          <w:sz w:val="24"/>
          <w:szCs w:val="24"/>
        </w:rPr>
        <w:t> 考核遵循公开、公正、公平、实事求是的原则，依据以物业招标文件、投标</w:t>
      </w:r>
      <w:r>
        <w:rPr>
          <w:rFonts w:hint="eastAsia" w:ascii="仿宋_GB2312" w:eastAsia="仿宋_GB2312"/>
          <w:sz w:val="24"/>
          <w:szCs w:val="24"/>
          <w:lang w:val="en-US" w:eastAsia="zh-CN"/>
        </w:rPr>
        <w:t>文件</w:t>
      </w:r>
      <w:r>
        <w:rPr>
          <w:rFonts w:hint="eastAsia" w:ascii="仿宋_GB2312" w:eastAsia="仿宋_GB2312"/>
          <w:sz w:val="24"/>
          <w:szCs w:val="24"/>
        </w:rPr>
        <w:t>及合同约定的相关内容对物业服务企业的工作进行检查、评比、打分。</w:t>
      </w:r>
    </w:p>
    <w:p>
      <w:pPr>
        <w:ind w:firstLine="480" w:firstLineChars="200"/>
        <w:rPr>
          <w:rFonts w:ascii="仿宋_GB2312" w:eastAsia="仿宋_GB2312"/>
          <w:sz w:val="24"/>
          <w:szCs w:val="24"/>
        </w:rPr>
      </w:pPr>
      <w:r>
        <w:rPr>
          <w:rFonts w:hint="eastAsia" w:ascii="仿宋_GB2312" w:eastAsia="仿宋_GB2312"/>
          <w:sz w:val="24"/>
          <w:szCs w:val="24"/>
        </w:rPr>
        <w:t>后勤保障处采取专题会议、专项督导、定期检查、日常抽查等方式对各考核单位的检查考核工作进行指导、监督、检查、协调。</w:t>
      </w:r>
    </w:p>
    <w:p>
      <w:pPr>
        <w:ind w:firstLine="482" w:firstLineChars="200"/>
        <w:rPr>
          <w:rFonts w:ascii="仿宋_GB2312" w:eastAsia="仿宋_GB2312"/>
          <w:sz w:val="24"/>
          <w:szCs w:val="24"/>
        </w:rPr>
      </w:pPr>
      <w:r>
        <w:rPr>
          <w:rFonts w:hint="eastAsia" w:ascii="仿宋_GB2312" w:eastAsia="仿宋_GB2312"/>
          <w:b/>
          <w:sz w:val="24"/>
          <w:szCs w:val="24"/>
        </w:rPr>
        <w:t>第七条</w:t>
      </w:r>
      <w:r>
        <w:rPr>
          <w:rFonts w:hint="eastAsia" w:ascii="仿宋_GB2312" w:eastAsia="仿宋_GB2312"/>
          <w:sz w:val="24"/>
          <w:szCs w:val="24"/>
        </w:rPr>
        <w:t> 各考核单位负责对物业服务企业各项日常服务工作进行指导、监管与考核，每月</w:t>
      </w:r>
      <w:r>
        <w:rPr>
          <w:rFonts w:ascii="仿宋_GB2312" w:eastAsia="仿宋_GB2312"/>
          <w:sz w:val="24"/>
          <w:szCs w:val="24"/>
        </w:rPr>
        <w:t>1</w:t>
      </w:r>
      <w:r>
        <w:rPr>
          <w:rFonts w:hint="eastAsia" w:ascii="仿宋_GB2312" w:eastAsia="仿宋_GB2312"/>
          <w:sz w:val="24"/>
          <w:szCs w:val="24"/>
        </w:rPr>
        <w:t>日前将上月考核结果报后勤保障处。</w:t>
      </w:r>
    </w:p>
    <w:p>
      <w:pPr>
        <w:ind w:firstLine="480" w:firstLineChars="200"/>
        <w:rPr>
          <w:rFonts w:ascii="仿宋_GB2312" w:eastAsia="仿宋_GB2312"/>
          <w:sz w:val="24"/>
          <w:szCs w:val="24"/>
        </w:rPr>
      </w:pPr>
      <w:r>
        <w:rPr>
          <w:rFonts w:hint="eastAsia" w:ascii="仿宋_GB2312" w:eastAsia="仿宋_GB2312"/>
          <w:sz w:val="24"/>
          <w:szCs w:val="24"/>
        </w:rPr>
        <w:t>日常监管与月考核工作由各考核单位自行组织，学期考核和满意度测评工作由后勤保障处统一组织部署。</w:t>
      </w:r>
    </w:p>
    <w:p>
      <w:pPr>
        <w:ind w:firstLine="482" w:firstLineChars="200"/>
        <w:rPr>
          <w:rFonts w:ascii="仿宋_GB2312" w:eastAsia="仿宋_GB2312"/>
          <w:sz w:val="24"/>
          <w:szCs w:val="24"/>
        </w:rPr>
      </w:pPr>
      <w:r>
        <w:rPr>
          <w:rFonts w:hint="eastAsia" w:ascii="仿宋_GB2312" w:eastAsia="仿宋_GB2312"/>
          <w:b/>
          <w:sz w:val="24"/>
          <w:szCs w:val="24"/>
        </w:rPr>
        <w:t>第八条</w:t>
      </w:r>
      <w:r>
        <w:rPr>
          <w:rFonts w:hint="eastAsia" w:ascii="仿宋_GB2312" w:eastAsia="仿宋_GB2312"/>
          <w:sz w:val="24"/>
          <w:szCs w:val="24"/>
        </w:rPr>
        <w:t> 对物业服务企业服务质量的考核，分为日检查、周考评、月考核、学期考核、学年度考核五个层次。其中，日检查、周考评、月考核由各考核单位结合实际工作自行组织进行；学期考核、学年度考核由后勤保障处根据学校整体工作安排调度进行。</w:t>
      </w:r>
    </w:p>
    <w:p>
      <w:pPr>
        <w:ind w:firstLine="482" w:firstLineChars="200"/>
        <w:rPr>
          <w:rFonts w:ascii="仿宋_GB2312" w:eastAsia="仿宋_GB2312"/>
          <w:sz w:val="24"/>
          <w:szCs w:val="24"/>
        </w:rPr>
      </w:pPr>
      <w:r>
        <w:rPr>
          <w:rFonts w:hint="eastAsia" w:ascii="仿宋_GB2312" w:eastAsia="仿宋_GB2312"/>
          <w:b/>
          <w:sz w:val="24"/>
          <w:szCs w:val="24"/>
        </w:rPr>
        <w:t>第九条</w:t>
      </w:r>
      <w:r>
        <w:rPr>
          <w:rFonts w:hint="eastAsia" w:ascii="仿宋_GB2312" w:eastAsia="仿宋_GB2312"/>
          <w:sz w:val="24"/>
          <w:szCs w:val="24"/>
        </w:rPr>
        <w:t> 针对物业服务企业的物业服务质量，在学期末、学年末分别组织满意度调查考核。满意度调查考核由后勤保障处牵头组织。满意度评价工作借助“智慧后勤”平台进行网上测评。</w:t>
      </w:r>
    </w:p>
    <w:p>
      <w:pPr>
        <w:ind w:firstLine="480" w:firstLineChars="200"/>
        <w:rPr>
          <w:rFonts w:ascii="仿宋_GB2312" w:eastAsia="仿宋_GB2312"/>
          <w:sz w:val="24"/>
          <w:szCs w:val="24"/>
        </w:rPr>
      </w:pPr>
      <w:r>
        <w:rPr>
          <w:rFonts w:hint="eastAsia" w:ascii="仿宋_GB2312" w:eastAsia="仿宋_GB2312"/>
          <w:sz w:val="24"/>
          <w:szCs w:val="24"/>
        </w:rPr>
        <w:t>物业服务企业应根据服务范围和工作实际，于每月</w:t>
      </w:r>
      <w:r>
        <w:rPr>
          <w:rFonts w:ascii="仿宋_GB2312" w:eastAsia="仿宋_GB2312"/>
          <w:sz w:val="24"/>
          <w:szCs w:val="24"/>
        </w:rPr>
        <w:t>30</w:t>
      </w:r>
      <w:r>
        <w:rPr>
          <w:rFonts w:hint="eastAsia" w:ascii="仿宋_GB2312" w:eastAsia="仿宋_GB2312"/>
          <w:sz w:val="24"/>
          <w:szCs w:val="24"/>
        </w:rPr>
        <w:t>日之前向学生公寓、学员公寓的考核单位递交上月自查报告及有关基础数据。</w:t>
      </w:r>
    </w:p>
    <w:p>
      <w:pPr>
        <w:ind w:firstLine="482" w:firstLineChars="200"/>
        <w:rPr>
          <w:rFonts w:ascii="仿宋_GB2312" w:eastAsia="仿宋_GB2312"/>
          <w:sz w:val="24"/>
          <w:szCs w:val="24"/>
        </w:rPr>
      </w:pPr>
      <w:r>
        <w:rPr>
          <w:rFonts w:hint="eastAsia" w:ascii="仿宋_GB2312" w:eastAsia="仿宋_GB2312"/>
          <w:b/>
          <w:sz w:val="24"/>
          <w:szCs w:val="24"/>
        </w:rPr>
        <w:t>第十条</w:t>
      </w:r>
      <w:r>
        <w:rPr>
          <w:rFonts w:hint="eastAsia" w:ascii="仿宋_GB2312" w:eastAsia="仿宋_GB2312"/>
          <w:sz w:val="24"/>
          <w:szCs w:val="24"/>
        </w:rPr>
        <w:t> 考核程序：</w:t>
      </w:r>
    </w:p>
    <w:p>
      <w:pPr>
        <w:ind w:firstLine="480" w:firstLineChars="200"/>
        <w:rPr>
          <w:rFonts w:ascii="仿宋_GB2312" w:eastAsia="仿宋_GB2312"/>
          <w:sz w:val="24"/>
          <w:szCs w:val="24"/>
        </w:rPr>
      </w:pPr>
      <w:r>
        <w:rPr>
          <w:rFonts w:hint="eastAsia" w:ascii="仿宋_GB2312" w:eastAsia="仿宋_GB2312"/>
          <w:sz w:val="24"/>
          <w:szCs w:val="24"/>
        </w:rPr>
        <w:t>（一）物业服务企业每月</w:t>
      </w:r>
      <w:r>
        <w:rPr>
          <w:rFonts w:ascii="仿宋_GB2312" w:eastAsia="仿宋_GB2312"/>
          <w:sz w:val="24"/>
          <w:szCs w:val="24"/>
        </w:rPr>
        <w:t>30</w:t>
      </w:r>
      <w:r>
        <w:rPr>
          <w:rFonts w:hint="eastAsia" w:ascii="仿宋_GB2312" w:eastAsia="仿宋_GB2312"/>
          <w:sz w:val="24"/>
          <w:szCs w:val="24"/>
        </w:rPr>
        <w:t>日前向各考核单位提报上个月工作自查报告。</w:t>
      </w:r>
    </w:p>
    <w:p>
      <w:pPr>
        <w:ind w:firstLine="480" w:firstLineChars="200"/>
        <w:rPr>
          <w:rFonts w:ascii="仿宋_GB2312" w:eastAsia="仿宋_GB2312"/>
          <w:sz w:val="24"/>
          <w:szCs w:val="24"/>
        </w:rPr>
      </w:pPr>
      <w:r>
        <w:rPr>
          <w:rFonts w:hint="eastAsia" w:ascii="仿宋_GB2312" w:eastAsia="仿宋_GB2312"/>
          <w:sz w:val="24"/>
          <w:szCs w:val="24"/>
        </w:rPr>
        <w:t>（二）各考核单位查看管理制度、操作规程、工作记录等文档，在每月</w:t>
      </w:r>
      <w:r>
        <w:rPr>
          <w:rFonts w:ascii="仿宋_GB2312" w:eastAsia="仿宋_GB2312"/>
          <w:sz w:val="24"/>
          <w:szCs w:val="24"/>
        </w:rPr>
        <w:t>1</w:t>
      </w:r>
      <w:r>
        <w:rPr>
          <w:rFonts w:hint="eastAsia" w:ascii="仿宋_GB2312" w:eastAsia="仿宋_GB2312"/>
          <w:sz w:val="24"/>
          <w:szCs w:val="24"/>
        </w:rPr>
        <w:t>日前完成上月的物业服务工作考核，并将每月考核成绩及考评意见等材料报送至</w:t>
      </w:r>
      <w:bookmarkStart w:id="30" w:name="OLE_LINK7"/>
      <w:r>
        <w:rPr>
          <w:rFonts w:hint="eastAsia" w:ascii="仿宋_GB2312" w:eastAsia="仿宋_GB2312"/>
          <w:sz w:val="24"/>
          <w:szCs w:val="24"/>
        </w:rPr>
        <w:t>后勤保障处</w:t>
      </w:r>
      <w:bookmarkEnd w:id="30"/>
      <w:r>
        <w:rPr>
          <w:rFonts w:hint="eastAsia" w:ascii="仿宋_GB2312" w:eastAsia="仿宋_GB2312"/>
          <w:sz w:val="24"/>
          <w:szCs w:val="24"/>
        </w:rPr>
        <w:t>。</w:t>
      </w:r>
    </w:p>
    <w:p>
      <w:pPr>
        <w:ind w:firstLine="480" w:firstLineChars="200"/>
        <w:rPr>
          <w:rFonts w:ascii="仿宋_GB2312" w:eastAsia="仿宋_GB2312"/>
          <w:sz w:val="24"/>
          <w:szCs w:val="24"/>
        </w:rPr>
      </w:pPr>
      <w:r>
        <w:rPr>
          <w:rFonts w:hint="eastAsia" w:ascii="仿宋_GB2312" w:eastAsia="仿宋_GB2312"/>
          <w:sz w:val="24"/>
          <w:szCs w:val="24"/>
        </w:rPr>
        <w:t>（三）后勤保障处经加权计算各考核单位所报送成绩、满意度调查成绩，得出物业服务企业学期、学年度考核成绩，形成月度（学期末）考核结果并反馈。</w:t>
      </w:r>
    </w:p>
    <w:p>
      <w:pPr>
        <w:ind w:firstLine="480" w:firstLineChars="200"/>
        <w:rPr>
          <w:rFonts w:ascii="仿宋_GB2312" w:eastAsia="仿宋_GB2312"/>
          <w:sz w:val="24"/>
          <w:szCs w:val="24"/>
        </w:rPr>
      </w:pPr>
      <w:r>
        <w:rPr>
          <w:rFonts w:hint="eastAsia" w:ascii="仿宋_GB2312" w:eastAsia="仿宋_GB2312"/>
          <w:sz w:val="24"/>
          <w:szCs w:val="24"/>
        </w:rPr>
        <w:t>（四）对检查考核中的良好表现、存在问题等事宜，各考核单位应认真填写考评意见，物业服务企业应针对存在问题认真分析原因，及时整改和予以反馈。</w:t>
      </w:r>
    </w:p>
    <w:p>
      <w:pPr>
        <w:ind w:firstLine="482" w:firstLineChars="200"/>
        <w:rPr>
          <w:rFonts w:ascii="仿宋_GB2312" w:eastAsia="仿宋_GB2312"/>
          <w:sz w:val="24"/>
          <w:szCs w:val="24"/>
        </w:rPr>
      </w:pPr>
      <w:r>
        <w:rPr>
          <w:rFonts w:hint="eastAsia" w:ascii="仿宋_GB2312" w:eastAsia="仿宋_GB2312"/>
          <w:b/>
          <w:sz w:val="24"/>
          <w:szCs w:val="24"/>
        </w:rPr>
        <w:t>第十一条</w:t>
      </w:r>
      <w:r>
        <w:rPr>
          <w:rFonts w:hint="eastAsia" w:ascii="仿宋_GB2312" w:eastAsia="仿宋_GB2312"/>
          <w:sz w:val="24"/>
          <w:szCs w:val="24"/>
        </w:rPr>
        <w:t> 考核采用百分制：</w:t>
      </w:r>
    </w:p>
    <w:p>
      <w:pPr>
        <w:ind w:firstLine="480" w:firstLineChars="200"/>
        <w:rPr>
          <w:rFonts w:ascii="仿宋_GB2312" w:eastAsia="仿宋_GB2312"/>
          <w:sz w:val="24"/>
          <w:szCs w:val="24"/>
        </w:rPr>
      </w:pPr>
      <w:r>
        <w:rPr>
          <w:rFonts w:hint="eastAsia" w:ascii="仿宋_GB2312" w:eastAsia="仿宋_GB2312"/>
          <w:sz w:val="24"/>
          <w:szCs w:val="24"/>
        </w:rPr>
        <w:t>（一）各考核单位提报的考核成绩以及物业服务企业的最终成绩均采用百分制；</w:t>
      </w:r>
    </w:p>
    <w:p>
      <w:pPr>
        <w:ind w:firstLine="480" w:firstLineChars="200"/>
        <w:rPr>
          <w:rFonts w:ascii="仿宋_GB2312" w:eastAsia="仿宋_GB2312"/>
          <w:color w:val="auto"/>
          <w:sz w:val="24"/>
          <w:szCs w:val="24"/>
        </w:rPr>
      </w:pPr>
      <w:r>
        <w:rPr>
          <w:rFonts w:hint="eastAsia" w:ascii="仿宋_GB2312" w:eastAsia="仿宋_GB2312"/>
          <w:sz w:val="24"/>
          <w:szCs w:val="24"/>
        </w:rPr>
        <w:t>（二）各考核单位</w:t>
      </w:r>
      <w:r>
        <w:rPr>
          <w:rFonts w:hint="eastAsia" w:ascii="仿宋_GB2312" w:eastAsia="仿宋_GB2312"/>
          <w:color w:val="auto"/>
          <w:sz w:val="24"/>
          <w:szCs w:val="24"/>
        </w:rPr>
        <w:t>成绩占考核总分的权重是：</w:t>
      </w:r>
    </w:p>
    <w:p>
      <w:pPr>
        <w:ind w:firstLine="480" w:firstLineChars="200"/>
        <w:rPr>
          <w:rFonts w:hint="eastAsia" w:ascii="仿宋_GB2312" w:eastAsia="仿宋_GB2312"/>
          <w:sz w:val="24"/>
          <w:szCs w:val="24"/>
          <w:lang w:eastAsia="zh-CN"/>
        </w:rPr>
      </w:pPr>
      <w:r>
        <w:rPr>
          <w:rFonts w:hint="eastAsia" w:ascii="仿宋_GB2312" w:eastAsia="仿宋_GB2312"/>
          <w:color w:val="auto"/>
          <w:sz w:val="24"/>
          <w:szCs w:val="24"/>
        </w:rPr>
        <w:t>1．后勤保障62%，其中校园环境卫生2</w:t>
      </w:r>
      <w:r>
        <w:rPr>
          <w:rFonts w:hint="eastAsia" w:ascii="仿宋_GB2312" w:eastAsia="仿宋_GB2312"/>
          <w:color w:val="auto"/>
          <w:sz w:val="24"/>
          <w:szCs w:val="24"/>
          <w:lang w:val="en-US" w:eastAsia="zh-CN"/>
        </w:rPr>
        <w:t>0</w:t>
      </w:r>
      <w:r>
        <w:rPr>
          <w:rFonts w:hint="eastAsia" w:ascii="仿宋_GB2312" w:eastAsia="仿宋_GB2312"/>
          <w:color w:val="auto"/>
          <w:sz w:val="24"/>
          <w:szCs w:val="24"/>
        </w:rPr>
        <w:t>%、维修维护</w:t>
      </w:r>
      <w:r>
        <w:rPr>
          <w:rFonts w:hint="eastAsia" w:ascii="仿宋_GB2312" w:eastAsia="仿宋_GB2312"/>
          <w:color w:val="auto"/>
          <w:sz w:val="24"/>
          <w:szCs w:val="24"/>
          <w:lang w:val="en-US" w:eastAsia="zh-CN"/>
        </w:rPr>
        <w:t>18</w:t>
      </w:r>
      <w:r>
        <w:rPr>
          <w:rFonts w:hint="eastAsia" w:ascii="仿宋_GB2312" w:eastAsia="仿宋_GB2312"/>
          <w:color w:val="auto"/>
          <w:sz w:val="24"/>
          <w:szCs w:val="24"/>
        </w:rPr>
        <w:t>%、校园绿化养护10%、专项服务1</w:t>
      </w:r>
      <w:r>
        <w:rPr>
          <w:rFonts w:hint="eastAsia" w:ascii="仿宋_GB2312" w:eastAsia="仿宋_GB2312"/>
          <w:color w:val="auto"/>
          <w:sz w:val="24"/>
          <w:szCs w:val="24"/>
          <w:lang w:val="en-US" w:eastAsia="zh-CN"/>
        </w:rPr>
        <w:t>4</w:t>
      </w:r>
      <w:r>
        <w:rPr>
          <w:rFonts w:hint="eastAsia" w:ascii="仿宋_GB2312" w:eastAsia="仿宋_GB2312"/>
          <w:color w:val="auto"/>
          <w:sz w:val="24"/>
          <w:szCs w:val="24"/>
        </w:rPr>
        <w:t>%（校园垃圾</w:t>
      </w:r>
      <w:r>
        <w:rPr>
          <w:rFonts w:hint="default" w:ascii="仿宋_GB2312" w:eastAsia="仿宋_GB2312"/>
          <w:color w:val="auto"/>
          <w:sz w:val="24"/>
          <w:szCs w:val="24"/>
        </w:rPr>
        <w:t>清理</w:t>
      </w:r>
      <w:r>
        <w:rPr>
          <w:rFonts w:hint="eastAsia" w:ascii="仿宋_GB2312" w:eastAsia="仿宋_GB2312"/>
          <w:color w:val="auto"/>
          <w:sz w:val="24"/>
          <w:szCs w:val="24"/>
          <w:lang w:val="en-US" w:eastAsia="zh-CN"/>
        </w:rPr>
        <w:t>10</w:t>
      </w:r>
      <w:r>
        <w:rPr>
          <w:rFonts w:hint="eastAsia" w:ascii="仿宋_GB2312" w:eastAsia="仿宋_GB2312"/>
          <w:color w:val="auto"/>
          <w:sz w:val="24"/>
          <w:szCs w:val="24"/>
        </w:rPr>
        <w:t>%、有害生物防治2%、化粪池清理</w:t>
      </w:r>
      <w:r>
        <w:rPr>
          <w:rFonts w:hint="eastAsia" w:ascii="仿宋_GB2312" w:eastAsia="仿宋_GB2312"/>
          <w:color w:val="auto"/>
          <w:sz w:val="24"/>
          <w:szCs w:val="24"/>
          <w:lang w:val="en-US" w:eastAsia="zh-CN"/>
        </w:rPr>
        <w:t>2</w:t>
      </w:r>
      <w:r>
        <w:rPr>
          <w:rFonts w:hint="eastAsia" w:ascii="仿宋_GB2312" w:eastAsia="仿宋_GB2312"/>
          <w:color w:val="auto"/>
          <w:sz w:val="24"/>
          <w:szCs w:val="24"/>
        </w:rPr>
        <w:t>%）</w:t>
      </w:r>
      <w:r>
        <w:rPr>
          <w:rFonts w:hint="eastAsia" w:ascii="仿宋_GB2312" w:eastAsia="仿宋_GB2312"/>
          <w:sz w:val="24"/>
          <w:szCs w:val="24"/>
          <w:lang w:eastAsia="zh-CN"/>
        </w:rPr>
        <w:t>。</w:t>
      </w:r>
    </w:p>
    <w:p>
      <w:pPr>
        <w:ind w:firstLine="480" w:firstLineChars="200"/>
        <w:rPr>
          <w:rFonts w:ascii="仿宋_GB2312" w:eastAsia="仿宋_GB2312"/>
          <w:sz w:val="24"/>
          <w:szCs w:val="24"/>
        </w:rPr>
      </w:pPr>
      <w:r>
        <w:rPr>
          <w:rFonts w:hint="eastAsia" w:ascii="仿宋_GB2312" w:eastAsia="仿宋_GB2312"/>
          <w:sz w:val="24"/>
          <w:szCs w:val="24"/>
        </w:rPr>
        <w:t>2．</w:t>
      </w:r>
      <w:r>
        <w:rPr>
          <w:rFonts w:hint="eastAsia" w:ascii="仿宋_GB2312" w:eastAsia="仿宋_GB2312"/>
          <w:sz w:val="24"/>
          <w:szCs w:val="24"/>
          <w:lang w:val="en-US" w:eastAsia="zh-CN"/>
        </w:rPr>
        <w:t>学生公寓（学员</w:t>
      </w:r>
      <w:r>
        <w:rPr>
          <w:rFonts w:hint="eastAsia" w:ascii="仿宋_GB2312" w:eastAsia="仿宋_GB2312"/>
          <w:sz w:val="24"/>
          <w:szCs w:val="24"/>
        </w:rPr>
        <w:t>公寓</w:t>
      </w:r>
      <w:r>
        <w:rPr>
          <w:rFonts w:hint="eastAsia" w:ascii="仿宋_GB2312" w:eastAsia="仿宋_GB2312"/>
          <w:sz w:val="24"/>
          <w:szCs w:val="24"/>
          <w:lang w:val="en-US" w:eastAsia="zh-CN"/>
        </w:rPr>
        <w:t>）</w:t>
      </w:r>
      <w:r>
        <w:rPr>
          <w:rFonts w:hint="eastAsia" w:ascii="仿宋_GB2312" w:eastAsia="仿宋_GB2312"/>
          <w:sz w:val="24"/>
          <w:szCs w:val="24"/>
        </w:rPr>
        <w:t>管理</w:t>
      </w:r>
      <w:r>
        <w:rPr>
          <w:rFonts w:hint="eastAsia" w:ascii="仿宋_GB2312" w:eastAsia="仿宋_GB2312"/>
          <w:sz w:val="24"/>
          <w:szCs w:val="24"/>
          <w:lang w:val="en-US" w:eastAsia="zh-CN"/>
        </w:rPr>
        <w:t>服务</w:t>
      </w:r>
      <w:r>
        <w:rPr>
          <w:rFonts w:hint="eastAsia" w:ascii="仿宋_GB2312" w:eastAsia="仿宋_GB2312"/>
          <w:sz w:val="24"/>
          <w:szCs w:val="24"/>
        </w:rPr>
        <w:t>23%，其中</w:t>
      </w:r>
      <w:r>
        <w:rPr>
          <w:rFonts w:hint="eastAsia" w:ascii="仿宋_GB2312" w:eastAsia="仿宋_GB2312"/>
          <w:sz w:val="24"/>
          <w:szCs w:val="24"/>
          <w:lang w:eastAsia="zh-CN"/>
        </w:rPr>
        <w:t>学生公寓</w:t>
      </w:r>
      <w:r>
        <w:rPr>
          <w:rFonts w:hint="eastAsia" w:ascii="仿宋_GB2312" w:eastAsia="仿宋_GB2312"/>
          <w:sz w:val="24"/>
          <w:szCs w:val="24"/>
          <w:lang w:val="en-US" w:eastAsia="zh-CN"/>
        </w:rPr>
        <w:t>管理</w:t>
      </w:r>
      <w:r>
        <w:rPr>
          <w:rFonts w:hint="eastAsia" w:ascii="仿宋_GB2312" w:eastAsia="仿宋_GB2312"/>
          <w:sz w:val="24"/>
          <w:szCs w:val="24"/>
        </w:rPr>
        <w:t>10%，学员公寓</w:t>
      </w:r>
      <w:r>
        <w:rPr>
          <w:rFonts w:hint="eastAsia" w:ascii="仿宋_GB2312" w:eastAsia="仿宋_GB2312"/>
          <w:sz w:val="24"/>
          <w:szCs w:val="24"/>
          <w:lang w:val="en-US" w:eastAsia="zh-CN"/>
        </w:rPr>
        <w:t>管理</w:t>
      </w:r>
      <w:r>
        <w:rPr>
          <w:rFonts w:hint="eastAsia" w:ascii="仿宋_GB2312" w:eastAsia="仿宋_GB2312"/>
          <w:sz w:val="24"/>
          <w:szCs w:val="24"/>
        </w:rPr>
        <w:t>8%、国际学生</w:t>
      </w:r>
      <w:r>
        <w:rPr>
          <w:rFonts w:hint="eastAsia" w:ascii="仿宋_GB2312" w:eastAsia="仿宋_GB2312"/>
          <w:sz w:val="24"/>
          <w:szCs w:val="24"/>
          <w:lang w:val="en-US" w:eastAsia="zh-CN"/>
        </w:rPr>
        <w:t>公寓管理</w:t>
      </w:r>
      <w:r>
        <w:rPr>
          <w:rFonts w:hint="eastAsia" w:ascii="仿宋_GB2312" w:eastAsia="仿宋_GB2312"/>
          <w:sz w:val="24"/>
          <w:szCs w:val="24"/>
        </w:rPr>
        <w:t>5%。</w:t>
      </w:r>
    </w:p>
    <w:p>
      <w:pPr>
        <w:ind w:firstLine="480" w:firstLineChars="200"/>
        <w:rPr>
          <w:rFonts w:ascii="仿宋_GB2312" w:eastAsia="仿宋_GB2312"/>
          <w:sz w:val="24"/>
          <w:szCs w:val="24"/>
        </w:rPr>
      </w:pPr>
      <w:r>
        <w:rPr>
          <w:rFonts w:hint="eastAsia" w:ascii="仿宋_GB2312" w:eastAsia="仿宋_GB2312"/>
          <w:sz w:val="24"/>
          <w:szCs w:val="24"/>
        </w:rPr>
        <w:t>3．教辅教学10%，其中教学楼5%，实训楼5%。</w:t>
      </w:r>
    </w:p>
    <w:p>
      <w:pPr>
        <w:ind w:firstLine="480" w:firstLineChars="200"/>
        <w:rPr>
          <w:rFonts w:ascii="仿宋_GB2312" w:eastAsia="仿宋_GB2312"/>
          <w:sz w:val="24"/>
          <w:szCs w:val="24"/>
        </w:rPr>
      </w:pPr>
      <w:r>
        <w:rPr>
          <w:rFonts w:hint="eastAsia" w:ascii="仿宋_GB2312" w:eastAsia="仿宋_GB2312"/>
          <w:sz w:val="24"/>
          <w:szCs w:val="24"/>
        </w:rPr>
        <w:t>4．其他服务5%，其中领导接待室和办公室2%</w:t>
      </w:r>
      <w:r>
        <w:rPr>
          <w:rFonts w:hint="eastAsia" w:ascii="仿宋_GB2312" w:eastAsia="仿宋_GB2312"/>
          <w:sz w:val="24"/>
          <w:szCs w:val="24"/>
          <w:lang w:eastAsia="zh-CN"/>
        </w:rPr>
        <w:t>；</w:t>
      </w:r>
      <w:r>
        <w:rPr>
          <w:rFonts w:hint="eastAsia" w:ascii="仿宋_GB2312" w:eastAsia="仿宋_GB2312"/>
          <w:sz w:val="24"/>
          <w:szCs w:val="24"/>
        </w:rPr>
        <w:t>校史馆、报告厅、会议室2%</w:t>
      </w:r>
      <w:r>
        <w:rPr>
          <w:rFonts w:hint="eastAsia" w:ascii="仿宋_GB2312" w:eastAsia="仿宋_GB2312"/>
          <w:sz w:val="24"/>
          <w:szCs w:val="24"/>
          <w:lang w:eastAsia="zh-CN"/>
        </w:rPr>
        <w:t>；</w:t>
      </w:r>
      <w:r>
        <w:rPr>
          <w:rFonts w:hint="eastAsia" w:ascii="仿宋_GB2312" w:eastAsia="仿宋_GB2312"/>
          <w:sz w:val="24"/>
          <w:szCs w:val="24"/>
        </w:rPr>
        <w:t>物业服务满意度</w:t>
      </w:r>
      <w:r>
        <w:rPr>
          <w:rFonts w:ascii="仿宋_GB2312" w:eastAsia="仿宋_GB2312"/>
          <w:sz w:val="24"/>
          <w:szCs w:val="24"/>
        </w:rPr>
        <w:t>1</w:t>
      </w:r>
      <w:r>
        <w:rPr>
          <w:rFonts w:hint="eastAsia" w:ascii="仿宋_GB2312" w:eastAsia="仿宋_GB2312"/>
          <w:sz w:val="24"/>
          <w:szCs w:val="24"/>
        </w:rPr>
        <w:t>%。</w:t>
      </w:r>
    </w:p>
    <w:p>
      <w:pPr>
        <w:ind w:firstLine="482" w:firstLineChars="200"/>
        <w:rPr>
          <w:rFonts w:ascii="仿宋_GB2312" w:eastAsia="仿宋_GB2312"/>
          <w:sz w:val="24"/>
          <w:szCs w:val="24"/>
        </w:rPr>
      </w:pPr>
      <w:r>
        <w:rPr>
          <w:rFonts w:hint="eastAsia" w:ascii="仿宋_GB2312" w:eastAsia="仿宋_GB2312"/>
          <w:b/>
          <w:sz w:val="24"/>
          <w:szCs w:val="24"/>
        </w:rPr>
        <w:t>第十二条</w:t>
      </w:r>
      <w:r>
        <w:rPr>
          <w:rFonts w:hint="eastAsia" w:ascii="仿宋_GB2312" w:eastAsia="仿宋_GB2312"/>
          <w:sz w:val="24"/>
          <w:szCs w:val="24"/>
        </w:rPr>
        <w:t> 物业服务质量考核的内容和赋分标准以招投标文件、双方合同和本办法为依据，以日检查、周检查、联合检查为支撑，检查的具体要求、内容和赋分标准，以校园环境卫生、校园绿化养护、设施维修维护和</w:t>
      </w:r>
      <w:r>
        <w:rPr>
          <w:rFonts w:hint="eastAsia" w:ascii="仿宋_GB2312" w:eastAsia="仿宋_GB2312"/>
          <w:sz w:val="24"/>
          <w:szCs w:val="24"/>
          <w:lang w:eastAsia="zh-CN"/>
        </w:rPr>
        <w:t>学生公寓</w:t>
      </w:r>
      <w:r>
        <w:rPr>
          <w:rFonts w:hint="eastAsia" w:ascii="仿宋_GB2312" w:eastAsia="仿宋_GB2312"/>
          <w:sz w:val="24"/>
          <w:szCs w:val="24"/>
        </w:rPr>
        <w:t>管理、学员公寓</w:t>
      </w:r>
      <w:r>
        <w:rPr>
          <w:rFonts w:hint="eastAsia" w:ascii="仿宋_GB2312" w:eastAsia="仿宋_GB2312"/>
          <w:sz w:val="24"/>
          <w:szCs w:val="24"/>
          <w:lang w:eastAsia="zh-CN"/>
        </w:rPr>
        <w:t>管理</w:t>
      </w:r>
      <w:r>
        <w:rPr>
          <w:rFonts w:hint="eastAsia" w:ascii="仿宋_GB2312" w:eastAsia="仿宋_GB2312"/>
          <w:sz w:val="24"/>
          <w:szCs w:val="24"/>
        </w:rPr>
        <w:t>服务，以及垃圾</w:t>
      </w:r>
      <w:r>
        <w:rPr>
          <w:rFonts w:hint="default" w:ascii="仿宋_GB2312" w:eastAsia="仿宋_GB2312"/>
          <w:sz w:val="24"/>
          <w:szCs w:val="24"/>
        </w:rPr>
        <w:t>清理</w:t>
      </w:r>
      <w:r>
        <w:rPr>
          <w:rFonts w:hint="eastAsia" w:ascii="仿宋_GB2312" w:eastAsia="仿宋_GB2312"/>
          <w:sz w:val="24"/>
          <w:szCs w:val="24"/>
        </w:rPr>
        <w:t>、有害生物防治、化粪池清理、临时专项保洁等服务的服务质量考核赋细则为准。（附件1-10）</w:t>
      </w:r>
    </w:p>
    <w:p>
      <w:pPr>
        <w:ind w:firstLine="482" w:firstLineChars="200"/>
        <w:rPr>
          <w:rFonts w:ascii="仿宋_GB2312" w:eastAsia="仿宋_GB2312"/>
          <w:sz w:val="24"/>
          <w:szCs w:val="24"/>
        </w:rPr>
      </w:pPr>
      <w:r>
        <w:rPr>
          <w:rFonts w:hint="eastAsia" w:ascii="仿宋_GB2312" w:eastAsia="仿宋_GB2312"/>
          <w:b/>
          <w:sz w:val="24"/>
          <w:szCs w:val="24"/>
        </w:rPr>
        <w:t>第十三条</w:t>
      </w:r>
      <w:r>
        <w:rPr>
          <w:rFonts w:hint="eastAsia" w:ascii="仿宋_GB2312" w:eastAsia="仿宋_GB2312"/>
          <w:sz w:val="24"/>
          <w:szCs w:val="24"/>
        </w:rPr>
        <w:t> 考核成绩计算：</w:t>
      </w:r>
    </w:p>
    <w:p>
      <w:pPr>
        <w:ind w:firstLine="480" w:firstLineChars="200"/>
        <w:rPr>
          <w:rFonts w:ascii="仿宋_GB2312" w:eastAsia="仿宋_GB2312"/>
          <w:sz w:val="24"/>
          <w:szCs w:val="24"/>
        </w:rPr>
      </w:pPr>
      <w:r>
        <w:rPr>
          <w:rFonts w:hint="eastAsia" w:ascii="仿宋_GB2312" w:eastAsia="仿宋_GB2312"/>
          <w:sz w:val="24"/>
          <w:szCs w:val="24"/>
        </w:rPr>
        <w:t>（一）各考核单位的日常检查成绩计算：</w:t>
      </w:r>
    </w:p>
    <w:p>
      <w:pPr>
        <w:ind w:firstLine="480" w:firstLineChars="200"/>
        <w:rPr>
          <w:rFonts w:ascii="仿宋_GB2312" w:eastAsia="仿宋_GB2312"/>
          <w:sz w:val="24"/>
          <w:szCs w:val="24"/>
        </w:rPr>
      </w:pPr>
      <w:r>
        <w:rPr>
          <w:rFonts w:hint="eastAsia" w:ascii="仿宋_GB2312" w:eastAsia="仿宋_GB2312"/>
          <w:sz w:val="24"/>
          <w:szCs w:val="24"/>
        </w:rPr>
        <w:t>1．日检查成绩=相应考核</w:t>
      </w:r>
      <w:bookmarkStart w:id="31" w:name="OLE_LINK28"/>
      <w:r>
        <w:rPr>
          <w:rFonts w:hint="eastAsia" w:ascii="仿宋_GB2312" w:eastAsia="仿宋_GB2312"/>
          <w:sz w:val="24"/>
          <w:szCs w:val="24"/>
        </w:rPr>
        <w:t>单位</w:t>
      </w:r>
      <w:bookmarkEnd w:id="31"/>
      <w:r>
        <w:rPr>
          <w:rFonts w:hint="eastAsia" w:ascii="仿宋_GB2312" w:eastAsia="仿宋_GB2312"/>
          <w:sz w:val="24"/>
          <w:szCs w:val="24"/>
        </w:rPr>
        <w:t>成员每日检查分数之和/成员人数。</w:t>
      </w:r>
    </w:p>
    <w:p>
      <w:pPr>
        <w:ind w:firstLine="480" w:firstLineChars="200"/>
        <w:rPr>
          <w:rFonts w:ascii="仿宋_GB2312" w:eastAsia="仿宋_GB2312"/>
          <w:sz w:val="24"/>
          <w:szCs w:val="24"/>
        </w:rPr>
      </w:pPr>
      <w:r>
        <w:rPr>
          <w:rFonts w:hint="eastAsia" w:ascii="仿宋_GB2312" w:eastAsia="仿宋_GB2312"/>
          <w:sz w:val="24"/>
          <w:szCs w:val="24"/>
        </w:rPr>
        <w:t>2．周考评成绩=相应考核单位成员周考评分数之和/成员人数。</w:t>
      </w:r>
    </w:p>
    <w:p>
      <w:pPr>
        <w:ind w:firstLine="480" w:firstLineChars="200"/>
        <w:rPr>
          <w:rFonts w:ascii="仿宋_GB2312" w:eastAsia="仿宋_GB2312"/>
          <w:sz w:val="24"/>
          <w:szCs w:val="24"/>
        </w:rPr>
      </w:pPr>
      <w:r>
        <w:rPr>
          <w:rFonts w:hint="eastAsia" w:ascii="仿宋_GB2312" w:eastAsia="仿宋_GB2312"/>
          <w:sz w:val="24"/>
          <w:szCs w:val="24"/>
        </w:rPr>
        <w:t>（二）各考核单位的月度季度检查成绩计算：</w:t>
      </w:r>
    </w:p>
    <w:p>
      <w:pPr>
        <w:ind w:firstLine="480" w:firstLineChars="200"/>
        <w:rPr>
          <w:rFonts w:ascii="仿宋_GB2312" w:eastAsia="仿宋_GB2312"/>
          <w:sz w:val="24"/>
          <w:szCs w:val="24"/>
        </w:rPr>
      </w:pPr>
      <w:r>
        <w:rPr>
          <w:rFonts w:hint="eastAsia" w:ascii="仿宋_GB2312" w:eastAsia="仿宋_GB2312"/>
          <w:sz w:val="24"/>
          <w:szCs w:val="24"/>
        </w:rPr>
        <w:t>1．各考核单位的月度考核成绩=（本月内周考核成绩平均值×70%）+（月底综合检查成绩×30%）。</w:t>
      </w:r>
    </w:p>
    <w:p>
      <w:pPr>
        <w:ind w:firstLine="480" w:firstLineChars="200"/>
        <w:rPr>
          <w:rFonts w:ascii="仿宋_GB2312" w:eastAsia="仿宋_GB2312"/>
          <w:sz w:val="24"/>
          <w:szCs w:val="24"/>
        </w:rPr>
      </w:pPr>
      <w:r>
        <w:rPr>
          <w:rFonts w:hint="eastAsia" w:ascii="仿宋_GB2312" w:eastAsia="仿宋_GB2312"/>
          <w:sz w:val="24"/>
          <w:szCs w:val="24"/>
        </w:rPr>
        <w:t>2．各考核单位学期末考核成绩=（月度考核成绩×70%+学期末综合检查评分×20%）＋（学期末满意度调查分×10%）。</w:t>
      </w:r>
    </w:p>
    <w:p>
      <w:pPr>
        <w:ind w:firstLine="480" w:firstLineChars="200"/>
        <w:rPr>
          <w:rFonts w:ascii="仿宋_GB2312" w:eastAsia="仿宋_GB2312"/>
          <w:sz w:val="24"/>
          <w:szCs w:val="24"/>
        </w:rPr>
      </w:pPr>
      <w:r>
        <w:rPr>
          <w:rFonts w:hint="eastAsia" w:ascii="仿宋_GB2312" w:eastAsia="仿宋_GB2312"/>
          <w:sz w:val="24"/>
          <w:szCs w:val="24"/>
        </w:rPr>
        <w:t>（三）物业服务企业的考核成绩计算：</w:t>
      </w:r>
    </w:p>
    <w:p>
      <w:pPr>
        <w:ind w:firstLine="480" w:firstLineChars="200"/>
        <w:rPr>
          <w:rFonts w:ascii="仿宋_GB2312" w:eastAsia="仿宋_GB2312"/>
          <w:sz w:val="24"/>
          <w:szCs w:val="24"/>
        </w:rPr>
      </w:pPr>
      <w:r>
        <w:rPr>
          <w:rFonts w:hint="eastAsia" w:ascii="仿宋_GB2312" w:eastAsia="仿宋_GB2312"/>
          <w:sz w:val="24"/>
          <w:szCs w:val="24"/>
        </w:rPr>
        <w:t>1．物业服务企业月度总成绩、学期总成绩为各考核单位成绩按权重相加之和；</w:t>
      </w:r>
    </w:p>
    <w:p>
      <w:pPr>
        <w:ind w:firstLine="480" w:firstLineChars="200"/>
        <w:rPr>
          <w:rFonts w:ascii="仿宋_GB2312" w:eastAsia="仿宋_GB2312"/>
          <w:sz w:val="24"/>
          <w:szCs w:val="24"/>
        </w:rPr>
      </w:pPr>
      <w:r>
        <w:rPr>
          <w:rFonts w:hint="eastAsia" w:ascii="仿宋_GB2312" w:eastAsia="仿宋_GB2312"/>
          <w:sz w:val="24"/>
          <w:szCs w:val="24"/>
        </w:rPr>
        <w:t>2．学年总成绩为上、下学期成绩的平均值。</w:t>
      </w:r>
    </w:p>
    <w:p>
      <w:pPr>
        <w:ind w:firstLine="482" w:firstLineChars="200"/>
        <w:rPr>
          <w:rFonts w:ascii="仿宋_GB2312" w:eastAsia="仿宋_GB2312"/>
          <w:sz w:val="24"/>
          <w:szCs w:val="24"/>
        </w:rPr>
      </w:pPr>
      <w:r>
        <w:rPr>
          <w:rFonts w:hint="eastAsia" w:ascii="仿宋_GB2312" w:eastAsia="仿宋_GB2312"/>
          <w:b/>
          <w:sz w:val="24"/>
          <w:szCs w:val="24"/>
        </w:rPr>
        <w:t>第十四条</w:t>
      </w:r>
      <w:r>
        <w:rPr>
          <w:rFonts w:hint="eastAsia" w:ascii="仿宋_GB2312" w:eastAsia="仿宋_GB2312"/>
          <w:sz w:val="24"/>
          <w:szCs w:val="24"/>
        </w:rPr>
        <w:t> 考核分为四个等次：90-100分为优秀；80-89分为良好；70-79分为合格；69分及以下为不合格。</w:t>
      </w:r>
    </w:p>
    <w:p>
      <w:pPr>
        <w:ind w:firstLine="482" w:firstLineChars="200"/>
        <w:rPr>
          <w:rFonts w:ascii="仿宋_GB2312" w:eastAsia="仿宋_GB2312"/>
          <w:sz w:val="24"/>
          <w:szCs w:val="24"/>
        </w:rPr>
      </w:pPr>
      <w:r>
        <w:rPr>
          <w:rFonts w:hint="eastAsia" w:ascii="仿宋_GB2312" w:eastAsia="仿宋_GB2312"/>
          <w:b/>
          <w:sz w:val="24"/>
          <w:szCs w:val="24"/>
        </w:rPr>
        <w:t>第十五条</w:t>
      </w:r>
      <w:r>
        <w:rPr>
          <w:rFonts w:hint="eastAsia" w:ascii="仿宋_GB2312" w:eastAsia="仿宋_GB2312"/>
          <w:sz w:val="24"/>
          <w:szCs w:val="24"/>
        </w:rPr>
        <w:t> 考核结果的使用：</w:t>
      </w:r>
    </w:p>
    <w:p>
      <w:pPr>
        <w:ind w:firstLine="480" w:firstLineChars="200"/>
        <w:rPr>
          <w:rFonts w:ascii="仿宋_GB2312" w:eastAsia="仿宋_GB2312"/>
          <w:sz w:val="24"/>
          <w:szCs w:val="24"/>
        </w:rPr>
      </w:pPr>
      <w:r>
        <w:rPr>
          <w:rFonts w:hint="eastAsia" w:ascii="仿宋_GB2312" w:eastAsia="仿宋_GB2312"/>
          <w:sz w:val="24"/>
          <w:szCs w:val="24"/>
        </w:rPr>
        <w:t>（一）物业服务企业月考核成绩为合格及以上，学校向物业服务企业全额支付月度物业服务费，优秀者给予当月通报表扬，学期总成绩优秀者可向其公司发函通报。</w:t>
      </w:r>
    </w:p>
    <w:p>
      <w:pPr>
        <w:ind w:firstLine="480" w:firstLineChars="200"/>
        <w:rPr>
          <w:rFonts w:ascii="仿宋_GB2312" w:eastAsia="仿宋_GB2312"/>
          <w:sz w:val="24"/>
          <w:szCs w:val="24"/>
        </w:rPr>
      </w:pPr>
      <w:r>
        <w:rPr>
          <w:rFonts w:hint="eastAsia" w:ascii="仿宋_GB2312" w:eastAsia="仿宋_GB2312"/>
          <w:sz w:val="24"/>
          <w:szCs w:val="24"/>
        </w:rPr>
        <w:t>（二）物业服务企业存在以下情况和问题，可扣减相关物业服务企业的月度服务费：</w:t>
      </w:r>
    </w:p>
    <w:p>
      <w:pPr>
        <w:ind w:firstLine="480" w:firstLineChars="200"/>
        <w:rPr>
          <w:rFonts w:ascii="仿宋_GB2312" w:eastAsia="仿宋_GB2312"/>
          <w:sz w:val="24"/>
          <w:szCs w:val="24"/>
        </w:rPr>
      </w:pPr>
      <w:r>
        <w:rPr>
          <w:rFonts w:hint="eastAsia" w:ascii="仿宋_GB2312" w:eastAsia="仿宋_GB2312"/>
          <w:sz w:val="24"/>
          <w:szCs w:val="24"/>
        </w:rPr>
        <w:t>1.后勤保障处管理人员抽查发现的问题，按照100元/例的标准从相应物业服务企业月度服务费中扣除。</w:t>
      </w:r>
    </w:p>
    <w:p>
      <w:pPr>
        <w:ind w:firstLine="480" w:firstLineChars="200"/>
        <w:rPr>
          <w:rFonts w:ascii="仿宋_GB2312" w:eastAsia="仿宋_GB2312"/>
          <w:sz w:val="24"/>
          <w:szCs w:val="24"/>
        </w:rPr>
      </w:pPr>
      <w:r>
        <w:rPr>
          <w:rFonts w:hint="eastAsia" w:ascii="仿宋_GB2312" w:eastAsia="仿宋_GB2312"/>
          <w:sz w:val="24"/>
          <w:szCs w:val="24"/>
        </w:rPr>
        <w:t>2.学校领导、各考核单位负责人检查发现的问题，按照300元/例的标准从相应物业服务企业月度服务费中扣除。</w:t>
      </w:r>
    </w:p>
    <w:p>
      <w:pPr>
        <w:ind w:firstLine="480" w:firstLineChars="200"/>
        <w:rPr>
          <w:rFonts w:ascii="仿宋_GB2312" w:eastAsia="仿宋_GB2312"/>
          <w:sz w:val="24"/>
          <w:szCs w:val="24"/>
        </w:rPr>
      </w:pPr>
      <w:r>
        <w:rPr>
          <w:rFonts w:hint="eastAsia" w:ascii="仿宋_GB2312" w:eastAsia="仿宋_GB2312"/>
          <w:sz w:val="24"/>
          <w:szCs w:val="24"/>
        </w:rPr>
        <w:t>3.学校层面各类工作通报中涉及到的物业服务企业问题，属于同位置或同类型问题未整改到位而被第二次通报的，按照500元/例的标准从相应物业服务企业月度服务费中扣除；第三次及以上时，按照1000元/例的标准从相应物业服务企业月度服务费中扣除。</w:t>
      </w:r>
    </w:p>
    <w:p>
      <w:pPr>
        <w:ind w:firstLine="480" w:firstLineChars="200"/>
        <w:rPr>
          <w:rFonts w:ascii="仿宋_GB2312" w:eastAsia="仿宋_GB2312"/>
          <w:sz w:val="24"/>
          <w:szCs w:val="24"/>
        </w:rPr>
      </w:pPr>
      <w:r>
        <w:rPr>
          <w:rFonts w:hint="eastAsia" w:ascii="仿宋_GB2312" w:eastAsia="仿宋_GB2312"/>
          <w:sz w:val="24"/>
          <w:szCs w:val="24"/>
        </w:rPr>
        <w:t>4.因物业服务企业自身原因对学校重大活动等造成不利影响的，后勤保障处可直接扣除相关物业服务企业月度物业服务费的1%至5%。</w:t>
      </w:r>
    </w:p>
    <w:p>
      <w:pPr>
        <w:ind w:firstLine="480" w:firstLineChars="200"/>
        <w:rPr>
          <w:rFonts w:ascii="仿宋_GB2312" w:eastAsia="仿宋_GB2312"/>
          <w:sz w:val="24"/>
          <w:szCs w:val="24"/>
        </w:rPr>
      </w:pPr>
      <w:r>
        <w:rPr>
          <w:rFonts w:hint="eastAsia" w:ascii="仿宋_GB2312" w:eastAsia="仿宋_GB2312"/>
          <w:sz w:val="24"/>
          <w:szCs w:val="24"/>
        </w:rPr>
        <w:t>（三）物业服务企业月考核成绩为不合格时，学校后勤保障处可视实际情况扣减当月物业服务费的1%至5%；学校对相关物业服务企业给予当月通报批评并向其公司发函通报，要求其采取必要措施。</w:t>
      </w:r>
    </w:p>
    <w:p>
      <w:pPr>
        <w:ind w:firstLine="480" w:firstLineChars="200"/>
        <w:rPr>
          <w:rFonts w:ascii="仿宋_GB2312" w:eastAsia="仿宋_GB2312"/>
          <w:sz w:val="24"/>
          <w:szCs w:val="24"/>
        </w:rPr>
      </w:pPr>
      <w:r>
        <w:rPr>
          <w:rFonts w:hint="eastAsia" w:ascii="仿宋_GB2312" w:eastAsia="仿宋_GB2312"/>
          <w:sz w:val="24"/>
          <w:szCs w:val="24"/>
        </w:rPr>
        <w:t>（</w:t>
      </w:r>
      <w:r>
        <w:rPr>
          <w:rFonts w:hint="eastAsia" w:ascii="仿宋_GB2312" w:eastAsia="仿宋_GB2312"/>
          <w:sz w:val="24"/>
          <w:szCs w:val="24"/>
          <w:lang w:val="en-US" w:eastAsia="zh-CN"/>
        </w:rPr>
        <w:t>四</w:t>
      </w:r>
      <w:r>
        <w:rPr>
          <w:rFonts w:hint="eastAsia" w:ascii="仿宋_GB2312" w:eastAsia="仿宋_GB2312"/>
          <w:sz w:val="24"/>
          <w:szCs w:val="24"/>
        </w:rPr>
        <w:t>）物业服务企业连续两个月考核成绩为不合格或在管理服务工作中出现重大失误时，学校可扣除项目</w:t>
      </w:r>
      <w:r>
        <w:rPr>
          <w:rFonts w:hint="eastAsia" w:ascii="仿宋_GB2312" w:hAnsi="仿宋_GB2312" w:eastAsia="仿宋_GB2312" w:cs="仿宋_GB2312"/>
          <w:sz w:val="24"/>
          <w:lang w:val="en-US" w:eastAsia="zh-CN"/>
        </w:rPr>
        <w:t>物业服务费</w:t>
      </w:r>
      <w:r>
        <w:rPr>
          <w:rFonts w:hint="eastAsia" w:ascii="仿宋_GB2312" w:eastAsia="仿宋_GB2312"/>
          <w:sz w:val="24"/>
          <w:szCs w:val="24"/>
        </w:rPr>
        <w:t>的30%至100%，直至终止合同，由学校按有关程序另行招标选择物业服务企业。</w:t>
      </w:r>
    </w:p>
    <w:p>
      <w:pPr>
        <w:ind w:firstLine="482" w:firstLineChars="200"/>
        <w:rPr>
          <w:rFonts w:ascii="仿宋_GB2312" w:eastAsia="仿宋_GB2312"/>
          <w:sz w:val="24"/>
          <w:szCs w:val="24"/>
        </w:rPr>
      </w:pPr>
      <w:r>
        <w:rPr>
          <w:rFonts w:hint="eastAsia" w:ascii="仿宋_GB2312" w:eastAsia="仿宋_GB2312"/>
          <w:b/>
          <w:sz w:val="24"/>
          <w:szCs w:val="24"/>
        </w:rPr>
        <w:t>第十六条</w:t>
      </w:r>
      <w:r>
        <w:rPr>
          <w:rFonts w:hint="eastAsia" w:ascii="仿宋_GB2312" w:eastAsia="仿宋_GB2312"/>
          <w:sz w:val="24"/>
          <w:szCs w:val="24"/>
        </w:rPr>
        <w:t> 物业服务企业应对各单位提出的整改要求进行及时改正。对其未完成规定管理目标和未达到服务标准的，由各考核单位或后勤保障处下发整改通知书，自整改通知书下发起三日内完成整改，未达到要求的，根据未达标程度扣减其当月物业服务费的1%至5%。</w:t>
      </w:r>
    </w:p>
    <w:p>
      <w:pPr>
        <w:ind w:firstLine="482" w:firstLineChars="200"/>
        <w:rPr>
          <w:rFonts w:ascii="仿宋_GB2312" w:eastAsia="仿宋_GB2312"/>
          <w:sz w:val="24"/>
          <w:szCs w:val="24"/>
        </w:rPr>
      </w:pPr>
      <w:r>
        <w:rPr>
          <w:rFonts w:hint="eastAsia" w:ascii="仿宋_GB2312" w:eastAsia="仿宋_GB2312"/>
          <w:b/>
          <w:sz w:val="24"/>
          <w:szCs w:val="24"/>
        </w:rPr>
        <w:t>第十七条</w:t>
      </w:r>
      <w:r>
        <w:rPr>
          <w:rFonts w:hint="eastAsia" w:ascii="仿宋_GB2312" w:eastAsia="仿宋_GB2312"/>
          <w:sz w:val="24"/>
          <w:szCs w:val="24"/>
        </w:rPr>
        <w:t> 物业服务企业出现重大安全责任事故时，学校可全额扣除其当月物业服务费，立即终止合同。</w:t>
      </w:r>
    </w:p>
    <w:p>
      <w:pPr>
        <w:ind w:firstLine="482" w:firstLineChars="200"/>
        <w:rPr>
          <w:rFonts w:ascii="仿宋_GB2312" w:eastAsia="仿宋_GB2312"/>
          <w:sz w:val="24"/>
          <w:szCs w:val="24"/>
        </w:rPr>
      </w:pPr>
      <w:r>
        <w:rPr>
          <w:rFonts w:hint="eastAsia" w:ascii="仿宋_GB2312" w:eastAsia="仿宋_GB2312"/>
          <w:b/>
          <w:sz w:val="24"/>
          <w:szCs w:val="24"/>
        </w:rPr>
        <w:t>第十八条</w:t>
      </w:r>
      <w:r>
        <w:rPr>
          <w:rFonts w:hint="eastAsia" w:ascii="仿宋_GB2312" w:eastAsia="仿宋_GB2312"/>
          <w:sz w:val="24"/>
          <w:szCs w:val="24"/>
        </w:rPr>
        <w:t> 由于物业服务企业的责任造成学院利益损失的，由物业服务企业按照实际损失和合同约定予以赔偿。违反学校其他规定的，视其情节轻重给予相应的处理。</w:t>
      </w:r>
    </w:p>
    <w:p>
      <w:pPr>
        <w:ind w:firstLine="482" w:firstLineChars="200"/>
        <w:rPr>
          <w:rFonts w:ascii="仿宋_GB2312" w:eastAsia="仿宋_GB2312"/>
          <w:sz w:val="24"/>
          <w:szCs w:val="24"/>
        </w:rPr>
      </w:pPr>
      <w:r>
        <w:rPr>
          <w:rFonts w:hint="eastAsia" w:ascii="仿宋_GB2312" w:eastAsia="仿宋_GB2312"/>
          <w:b/>
          <w:sz w:val="24"/>
          <w:szCs w:val="24"/>
        </w:rPr>
        <w:t>第十九条</w:t>
      </w:r>
      <w:r>
        <w:rPr>
          <w:rFonts w:hint="eastAsia" w:ascii="仿宋_GB2312" w:eastAsia="仿宋_GB2312"/>
          <w:sz w:val="24"/>
          <w:szCs w:val="24"/>
        </w:rPr>
        <w:t> 对物业服务企业实行扣减服务费、追偿违约金、追偿损失费以及采取经济处罚等措施，相关合同中有明确条款约定时，应按照合同约定执行。</w:t>
      </w:r>
    </w:p>
    <w:p>
      <w:pPr>
        <w:ind w:firstLine="482" w:firstLineChars="200"/>
        <w:rPr>
          <w:rFonts w:ascii="仿宋_GB2312" w:eastAsia="仿宋_GB2312"/>
          <w:sz w:val="24"/>
          <w:szCs w:val="24"/>
        </w:rPr>
      </w:pPr>
      <w:r>
        <w:rPr>
          <w:rFonts w:hint="eastAsia" w:ascii="仿宋_GB2312" w:eastAsia="仿宋_GB2312"/>
          <w:b/>
          <w:sz w:val="24"/>
          <w:szCs w:val="24"/>
        </w:rPr>
        <w:t>第二十条</w:t>
      </w:r>
      <w:r>
        <w:rPr>
          <w:rFonts w:hint="eastAsia" w:ascii="仿宋_GB2312" w:eastAsia="仿宋_GB2312"/>
          <w:sz w:val="24"/>
          <w:szCs w:val="24"/>
        </w:rPr>
        <w:t>本办法由后勤保障处负责解释，自签发公布之日起实行。</w:t>
      </w:r>
    </w:p>
    <w:p>
      <w:pPr>
        <w:pStyle w:val="8"/>
      </w:pPr>
    </w:p>
    <w:p>
      <w:pPr>
        <w:jc w:val="left"/>
        <w:rPr>
          <w:rFonts w:hint="eastAsia" w:ascii="仿宋_GB2312" w:hAnsi="仿宋_GB2312" w:eastAsia="仿宋_GB2312" w:cs="仿宋_GB2312"/>
          <w:bCs/>
          <w:sz w:val="28"/>
          <w:szCs w:val="28"/>
        </w:rPr>
      </w:pPr>
    </w:p>
    <w:p>
      <w:pPr>
        <w:jc w:val="left"/>
        <w:rPr>
          <w:rFonts w:hint="eastAsia" w:ascii="仿宋_GB2312" w:hAnsi="仿宋_GB2312" w:eastAsia="仿宋_GB2312" w:cs="仿宋_GB2312"/>
          <w:sz w:val="28"/>
          <w:szCs w:val="28"/>
          <w:lang w:eastAsia="zh-CN"/>
        </w:rPr>
      </w:pPr>
      <w:r>
        <w:rPr>
          <w:rFonts w:hint="eastAsia" w:ascii="仿宋_GB2312" w:hAnsi="仿宋_GB2312" w:eastAsia="仿宋_GB2312" w:cs="仿宋_GB2312"/>
          <w:bCs/>
          <w:sz w:val="28"/>
          <w:szCs w:val="28"/>
        </w:rPr>
        <w:t>★</w:t>
      </w:r>
      <w:r>
        <w:rPr>
          <w:rFonts w:hint="eastAsia" w:ascii="仿宋_GB2312" w:hAnsi="仿宋_GB2312" w:eastAsia="仿宋_GB2312" w:cs="仿宋_GB2312"/>
          <w:b/>
          <w:bCs/>
          <w:sz w:val="28"/>
          <w:szCs w:val="28"/>
        </w:rPr>
        <w:t>附件</w:t>
      </w:r>
      <w:r>
        <w:rPr>
          <w:rFonts w:hint="eastAsia" w:ascii="仿宋_GB2312" w:hAnsi="仿宋_GB2312" w:eastAsia="仿宋_GB2312" w:cs="仿宋_GB2312"/>
          <w:b/>
          <w:bCs/>
          <w:sz w:val="28"/>
          <w:szCs w:val="28"/>
          <w:lang w:eastAsia="zh-CN"/>
        </w:rPr>
        <w:t>二</w:t>
      </w:r>
    </w:p>
    <w:p>
      <w:pPr>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柳州城市职业学院校园环境卫生质量考核细则</w:t>
      </w:r>
    </w:p>
    <w:p>
      <w:pPr>
        <w:jc w:val="left"/>
      </w:pPr>
      <w:r>
        <w:rPr>
          <w:rFonts w:hint="eastAsia"/>
        </w:rPr>
        <w:t xml:space="preserve">    </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为做好物业服务企业服务质量考核工作，明确和细化《柳州城市职业学院物业服务企业监督管理办法》相关内容，结合学校实际制定本实施细则。本细则适用于在我校依据法定合同从事校园环境卫生及水质检测的各物业服务企业或其他实体，由后勤保障处组织考核。</w:t>
      </w:r>
    </w:p>
    <w:p>
      <w:pPr>
        <w:pStyle w:val="216"/>
        <w:tabs>
          <w:tab w:val="left" w:pos="312"/>
        </w:tabs>
        <w:spacing w:line="380" w:lineRule="exact"/>
        <w:ind w:firstLine="482" w:firstLineChars="200"/>
        <w:rPr>
          <w:rStyle w:val="118"/>
          <w:rFonts w:hint="eastAsia" w:ascii="仿宋_GB2312" w:hAnsi="仿宋_GB2312" w:eastAsia="仿宋_GB2312" w:cs="仿宋_GB2312"/>
          <w:b/>
          <w:sz w:val="24"/>
          <w:szCs w:val="24"/>
        </w:rPr>
      </w:pPr>
      <w:r>
        <w:rPr>
          <w:rStyle w:val="118"/>
          <w:rFonts w:hint="eastAsia" w:ascii="仿宋_GB2312" w:hAnsi="仿宋_GB2312" w:eastAsia="仿宋_GB2312" w:cs="仿宋_GB2312"/>
          <w:b/>
          <w:sz w:val="24"/>
          <w:szCs w:val="24"/>
        </w:rPr>
        <w:t>一、服务标准与考核要点</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t>公共区域清洁度达标率：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（1）服务标准：负责楼道、大厅、走廊、楼梯、电梯厅等区域地面无垃圾、无污渍、无积水、无积尘；墙面、扶手、门窗、标识牌等无灰尘、无污迹、无蜘蛛网。</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（2）考核指标：每日抽检或全覆盖检查，区域清洁度达标率≥95%。 (抽检</w:t>
      </w:r>
      <w:r>
        <w:rPr>
          <w:rFonts w:hint="eastAsia" w:ascii="仿宋_GB2312" w:hAnsi="仿宋_GB2312" w:eastAsia="仿宋_GB2312" w:cs="仿宋_GB2312"/>
          <w:sz w:val="24"/>
          <w:szCs w:val="24"/>
          <w:lang w:val="en-US" w:eastAsia="zh-CN"/>
        </w:rPr>
        <w:t>合格</w:t>
      </w:r>
      <w:r>
        <w:rPr>
          <w:rFonts w:hint="eastAsia" w:ascii="仿宋_GB2312" w:hAnsi="仿宋_GB2312" w:eastAsia="仿宋_GB2312" w:cs="仿宋_GB2312"/>
          <w:sz w:val="24"/>
          <w:szCs w:val="24"/>
        </w:rPr>
        <w:t>点位数/总检查点位数)</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t>卫生间清洁度与消毒合格率：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（1）服务标准：地面、台面、镜面无水渍、无污垢；马桶、小便池、蹲坑等便器内外清洁无黄渍、无异味；隔断、门板、把手洁净；洗手液、卫生纸等耗品及时补充；按规定频次进行有效消毒。</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卫生间清洁度抽检达标率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抽检合格点位数/总检查点位数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≥95%。</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消毒记录完整率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消毒记录表登记、拍照，1次/天</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 100%，消毒操作规范性抽查合格率≥98%。</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耗品短缺投诉次数≤2次/月/负责区域。</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3．</w:t>
      </w:r>
      <w:r>
        <w:rPr>
          <w:rFonts w:hint="eastAsia" w:ascii="仿宋_GB2312" w:hAnsi="仿宋_GB2312" w:eastAsia="仿宋_GB2312" w:cs="仿宋_GB2312"/>
          <w:sz w:val="24"/>
          <w:szCs w:val="24"/>
        </w:rPr>
        <w:t>露天区域可视垃圾清除及时率：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（1）服务标准：负责的道路、广场、运动场周边、停车场、绿地、绿化带等区域，目视范围内无塑料袋、纸屑、烟头、饮料瓶、食品包装等垃圾杂物（自然落叶按计划清理除外）。</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（2）考核指标：每日巡查或定时清扫后，随机抽检时段内可视垃圾清除及时率≥ 98%。(发现垃圾后30分钟内清除)</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4．</w:t>
      </w:r>
      <w:r>
        <w:rPr>
          <w:rFonts w:hint="eastAsia" w:ascii="仿宋_GB2312" w:hAnsi="仿宋_GB2312" w:eastAsia="仿宋_GB2312" w:cs="仿宋_GB2312"/>
          <w:sz w:val="24"/>
          <w:szCs w:val="24"/>
        </w:rPr>
        <w:t>垃圾收集与容器清洁达标率：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（1）服务标准：按规定路线和时间清空负责区域内所有垃圾桶/垃圾箱，确保无满溢、无散落垃圾；垃圾桶外表干净，桶盖完好，周边地面清洁无污渍；定期冲洗消毒垃圾桶。</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垃圾桶满溢</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满溢桶/总桶数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垃圾桶外表及周边清洁抽检达标率≥95%。</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垃圾桶冲洗消毒频次执行率</w:t>
      </w:r>
      <w:r>
        <w:rPr>
          <w:rFonts w:hint="eastAsia"/>
          <w:lang w:eastAsia="zh-CN"/>
        </w:rPr>
        <w:t>（</w:t>
      </w:r>
      <w:r>
        <w:rPr>
          <w:rFonts w:hint="eastAsia" w:ascii="仿宋_GB2312" w:hAnsi="仿宋_GB2312" w:eastAsia="仿宋_GB2312" w:cs="仿宋_GB2312"/>
          <w:sz w:val="24"/>
          <w:lang w:val="en-US" w:eastAsia="zh-CN"/>
        </w:rPr>
        <w:t>1次/月</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szCs w:val="24"/>
        </w:rPr>
        <w:t xml:space="preserve"> =100%。</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5．</w:t>
      </w:r>
      <w:r>
        <w:rPr>
          <w:rFonts w:hint="eastAsia" w:ascii="仿宋_GB2312" w:hAnsi="仿宋_GB2312" w:eastAsia="仿宋_GB2312" w:cs="仿宋_GB2312"/>
          <w:sz w:val="24"/>
          <w:szCs w:val="24"/>
        </w:rPr>
        <w:t>垃圾</w:t>
      </w:r>
      <w:r>
        <w:rPr>
          <w:rFonts w:hint="default" w:ascii="仿宋_GB2312" w:hAnsi="仿宋_GB2312" w:eastAsia="仿宋_GB2312" w:cs="仿宋_GB2312"/>
          <w:sz w:val="24"/>
          <w:szCs w:val="24"/>
        </w:rPr>
        <w:t>清理</w:t>
      </w:r>
      <w:r>
        <w:rPr>
          <w:rFonts w:hint="eastAsia" w:ascii="仿宋_GB2312" w:hAnsi="仿宋_GB2312" w:eastAsia="仿宋_GB2312" w:cs="仿宋_GB2312"/>
          <w:sz w:val="24"/>
          <w:szCs w:val="24"/>
        </w:rPr>
        <w:t>及时率与分类准确率（操作层面）：</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（1）服务标准：将收集的可回收物、厨余垃圾、其他垃圾、有害垃圾等按规定分类运送至指定垃圾处理终端；</w:t>
      </w:r>
      <w:r>
        <w:rPr>
          <w:rFonts w:hint="eastAsia" w:ascii="仿宋_GB2312" w:hAnsi="仿宋_GB2312" w:eastAsia="仿宋_GB2312" w:cs="仿宋_GB2312"/>
          <w:color w:val="auto"/>
          <w:sz w:val="24"/>
          <w:szCs w:val="24"/>
        </w:rPr>
        <w:t>确保</w:t>
      </w:r>
      <w:r>
        <w:rPr>
          <w:rFonts w:hint="eastAsia" w:ascii="仿宋_GB2312" w:hAnsi="仿宋_GB2312" w:eastAsia="仿宋_GB2312" w:cs="仿宋_GB2312"/>
          <w:color w:val="auto"/>
          <w:sz w:val="24"/>
          <w:szCs w:val="24"/>
          <w:lang w:val="en-US" w:eastAsia="zh-CN"/>
        </w:rPr>
        <w:t>校园</w:t>
      </w:r>
      <w:r>
        <w:rPr>
          <w:rFonts w:hint="eastAsia" w:ascii="仿宋_GB2312" w:hAnsi="仿宋_GB2312" w:eastAsia="仿宋_GB2312" w:cs="仿宋_GB2312"/>
          <w:color w:val="auto"/>
          <w:sz w:val="24"/>
          <w:szCs w:val="24"/>
        </w:rPr>
        <w:t>垃圾日产</w:t>
      </w:r>
      <w:r>
        <w:rPr>
          <w:rFonts w:hint="eastAsia" w:ascii="仿宋_GB2312" w:hAnsi="仿宋_GB2312" w:eastAsia="仿宋_GB2312" w:cs="仿宋_GB2312"/>
          <w:sz w:val="24"/>
          <w:szCs w:val="24"/>
        </w:rPr>
        <w:t>日清，不积压。</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w:t>
      </w:r>
    </w:p>
    <w:p>
      <w:pPr>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垃圾日产日清 = 100%。</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现场核查</w:t>
      </w:r>
      <w:r>
        <w:rPr>
          <w:rFonts w:hint="eastAsia" w:ascii="仿宋_GB2312" w:hAnsi="仿宋_GB2312" w:eastAsia="仿宋_GB2312" w:cs="仿宋_GB2312"/>
          <w:sz w:val="24"/>
          <w:szCs w:val="24"/>
          <w:lang w:eastAsia="zh-CN"/>
        </w:rPr>
        <w:t>）</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保洁员操作层面的垃圾分类准确率≥95%（现场抽查或监控核查）。</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6．</w:t>
      </w:r>
      <w:r>
        <w:rPr>
          <w:rFonts w:hint="eastAsia" w:ascii="仿宋_GB2312" w:hAnsi="仿宋_GB2312" w:eastAsia="仿宋_GB2312" w:cs="仿宋_GB2312"/>
          <w:sz w:val="24"/>
          <w:szCs w:val="24"/>
        </w:rPr>
        <w:t>专项清洁任务完成率与质量：</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（1）服务标准：按要求完成责任区域内的专项清洁任务，如雨后积水清扫、落叶集中清理、大型活动后场地恢复、窗户、天花板等特定区域深度清洁。</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（2）考核指标：专项任务按时完成率= 100%，任务质量抽检达标率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抽查合格次数/总抽查次数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≥90%。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7．门前三包区域维护达标率：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（1）服务标准：保持指定“门前三包”责任区域地面清洁，无垃圾、污水、污物；及时劝阻责任区内乱扔垃圾、破坏绿化等行为（上报为主）。</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（2）考核指标：“门前三包”责任区域清洁抽检达标率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抽查合格次数/总抽查次数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≥95%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现场核查</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，责任区内重大环境问题未及时发现/上报次数≤1次/季度。</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8．设备工具使用规范与维护：</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（1）服务标准：正确、安全使用各类清洁工具和扫帚、拖把、尘推、洗地机、高压水枪、垃圾车等设备；使用后清洁归位；发现故障及时报修。</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设备工具操作规范性抽查合格率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抽查合格次数/总抽查次数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≥98%。</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设备非正常损坏率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抽查合格次数/总抽查次数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耗材浪费投诉/发现次数≤1次/月。</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9．安全规范与着装礼仪遵守率：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（1）服务标准：工作中严格遵守湿滑地面放置警示牌、高空作业防护、化学品使用规范等安全操作规程；按规定穿着整洁工装、佩戴工牌；工作时尽量避开师生高峰，行为得体，礼貌回应师生询问。</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安全违规操作次数 =0（重大），轻微违规 ≤2次/季度。</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着装规范、工牌佩戴抽查合格率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抽查合格次数/总抽查次数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98%。</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有效服务投诉次数≤1次/半年。</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10．在岗出勤率与工作响应及时性：</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（1）服务标准：按时到岗，遵守排班计划；工作时间内坚守岗位，履行职责；对主管临时安排的合理工作任务或意外洒漏等紧急情况能及时响应处理。</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月度出勤率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实际出勤次数/规定总出勤数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98%（扣除正常请假）。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临时任务/紧急清洁响应及时率（规定时间内到场处理）≥ 95%。</w:t>
      </w:r>
    </w:p>
    <w:p>
      <w:pPr>
        <w:ind w:firstLine="480" w:firstLineChars="200"/>
        <w:rPr>
          <w:rFonts w:hint="eastAsia" w:ascii="仿宋_GB2312" w:hAnsi="仿宋_GB2312" w:eastAsia="仿宋_GB2312" w:cs="仿宋_GB2312"/>
          <w:sz w:val="24"/>
          <w:szCs w:val="24"/>
        </w:rPr>
      </w:pPr>
    </w:p>
    <w:p>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二、服务质量考核赋分</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565"/>
        <w:gridCol w:w="708"/>
        <w:gridCol w:w="3962"/>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6" w:hRule="atLeast"/>
          <w:tblHeader/>
          <w:jc w:val="center"/>
        </w:trPr>
        <w:tc>
          <w:tcPr>
            <w:tcW w:w="1565"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考核项目</w:t>
            </w:r>
          </w:p>
        </w:tc>
        <w:tc>
          <w:tcPr>
            <w:tcW w:w="70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分值</w:t>
            </w:r>
          </w:p>
        </w:tc>
        <w:tc>
          <w:tcPr>
            <w:tcW w:w="3962"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评分标准</w:t>
            </w:r>
          </w:p>
        </w:tc>
        <w:tc>
          <w:tcPr>
            <w:tcW w:w="20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565"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 公共区域清洁度达标率</w:t>
            </w:r>
          </w:p>
        </w:tc>
        <w:tc>
          <w:tcPr>
            <w:tcW w:w="70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3962"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a.达标率≥95%： 得15分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b.每降低1%： 扣1分（例：94%扣1分，得14分）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c.达标率&lt;90%： 扣5分（最低得0分）</w:t>
            </w:r>
          </w:p>
        </w:tc>
        <w:tc>
          <w:tcPr>
            <w:tcW w:w="20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主管每日/每周抽检或全覆盖检查记录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565"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 卫生间清洁度与消毒合格率</w:t>
            </w:r>
          </w:p>
        </w:tc>
        <w:tc>
          <w:tcPr>
            <w:tcW w:w="70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3962"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清洁度达标率≥95%： 得7分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每降低1%： 扣0.5分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消毒记录完整率=100%： 得3分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每缺失1次记录：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c. 消毒操作规范合格率≥98%： 得3分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每降低1%： 扣0.5分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d. 耗品短缺投诉≤2次/月/区域： 得2分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每超1次： 扣1分</w:t>
            </w:r>
          </w:p>
        </w:tc>
        <w:tc>
          <w:tcPr>
            <w:tcW w:w="20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a,c: 现场抽查记录</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消毒记录本核查</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d: 师生投诉记录、主管检查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565"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 露天区域可视垃圾清除及时率</w:t>
            </w:r>
          </w:p>
        </w:tc>
        <w:tc>
          <w:tcPr>
            <w:tcW w:w="70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3962"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及时率≥98%： 得10分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每降低1%：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及时率&lt;95%： 扣3分（最低得0分）</w:t>
            </w:r>
          </w:p>
        </w:tc>
        <w:tc>
          <w:tcPr>
            <w:tcW w:w="20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主管巡查记录、定时清扫后随机抽检记录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565"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 垃圾收集与容器清洁达标率</w:t>
            </w:r>
          </w:p>
        </w:tc>
        <w:tc>
          <w:tcPr>
            <w:tcW w:w="70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3962"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垃圾桶满溢发生率≤1%： 得4分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每发生1次：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外表及周边清洁达标率≥95%： 得5分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每降低1%： 扣0.5分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c. 冲洗消毒频次执行率=100%： 得3分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每缺失1次： 扣1分</w:t>
            </w:r>
          </w:p>
        </w:tc>
        <w:tc>
          <w:tcPr>
            <w:tcW w:w="20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a,b,c: 主管日常检查记录、专项检查记录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565"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 垃圾</w:t>
            </w:r>
            <w:r>
              <w:rPr>
                <w:rFonts w:hint="default" w:ascii="仿宋_GB2312" w:hAnsi="仿宋_GB2312" w:eastAsia="仿宋_GB2312" w:cs="仿宋_GB2312"/>
                <w:sz w:val="24"/>
                <w:szCs w:val="24"/>
              </w:rPr>
              <w:t>清理</w:t>
            </w:r>
            <w:r>
              <w:rPr>
                <w:rFonts w:hint="eastAsia" w:ascii="仿宋_GB2312" w:hAnsi="仿宋_GB2312" w:eastAsia="仿宋_GB2312" w:cs="仿宋_GB2312"/>
                <w:sz w:val="24"/>
                <w:szCs w:val="24"/>
              </w:rPr>
              <w:t>及时率与分类准确率</w:t>
            </w:r>
          </w:p>
        </w:tc>
        <w:tc>
          <w:tcPr>
            <w:tcW w:w="70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3962"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w:t>
            </w:r>
            <w:r>
              <w:rPr>
                <w:rFonts w:hint="eastAsia" w:ascii="仿宋_GB2312" w:hAnsi="仿宋_GB2312" w:eastAsia="仿宋_GB2312" w:cs="仿宋_GB2312"/>
                <w:color w:val="auto"/>
                <w:sz w:val="24"/>
                <w:szCs w:val="24"/>
              </w:rPr>
              <w:t xml:space="preserve"> </w:t>
            </w:r>
            <w:r>
              <w:rPr>
                <w:rFonts w:hint="eastAsia" w:ascii="仿宋_GB2312" w:hAnsi="仿宋_GB2312" w:eastAsia="仿宋_GB2312" w:cs="仿宋_GB2312"/>
                <w:color w:val="auto"/>
                <w:sz w:val="24"/>
                <w:szCs w:val="24"/>
                <w:lang w:val="en-US" w:eastAsia="zh-CN"/>
              </w:rPr>
              <w:t>校园垃圾</w:t>
            </w:r>
            <w:r>
              <w:rPr>
                <w:rFonts w:hint="eastAsia" w:ascii="仿宋_GB2312" w:hAnsi="仿宋_GB2312" w:eastAsia="仿宋_GB2312" w:cs="仿宋_GB2312"/>
                <w:color w:val="auto"/>
                <w:sz w:val="24"/>
                <w:szCs w:val="24"/>
              </w:rPr>
              <w:t>日产日清达成率=100%： 得4分</w:t>
            </w:r>
            <w:r>
              <w:rPr>
                <w:rFonts w:hint="eastAsia" w:ascii="仿宋_GB2312" w:hAnsi="仿宋_GB2312" w:eastAsia="仿宋_GB2312" w:cs="仿宋_GB2312"/>
                <w:color w:val="auto"/>
                <w:sz w:val="24"/>
                <w:szCs w:val="24"/>
              </w:rPr>
              <w:br w:type="textWrapping"/>
            </w:r>
            <w:r>
              <w:rPr>
                <w:rFonts w:hint="eastAsia" w:ascii="仿宋_GB2312" w:hAnsi="仿宋_GB2312" w:eastAsia="仿宋_GB2312" w:cs="仿宋_GB2312"/>
                <w:sz w:val="24"/>
                <w:szCs w:val="24"/>
              </w:rPr>
              <w:t>每发生1次积压： 扣2分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分类准确率≥95%： 得4分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每降低1%： 扣0.5分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准确率&lt;90%： 扣2分</w:t>
            </w:r>
          </w:p>
        </w:tc>
        <w:tc>
          <w:tcPr>
            <w:tcW w:w="20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a: </w:t>
            </w:r>
            <w:r>
              <w:rPr>
                <w:rFonts w:hint="default" w:ascii="仿宋_GB2312" w:hAnsi="仿宋_GB2312" w:eastAsia="仿宋_GB2312" w:cs="仿宋_GB2312"/>
                <w:sz w:val="24"/>
                <w:szCs w:val="24"/>
              </w:rPr>
              <w:t>清理</w:t>
            </w:r>
            <w:r>
              <w:rPr>
                <w:rFonts w:hint="eastAsia" w:ascii="仿宋_GB2312" w:hAnsi="仿宋_GB2312" w:eastAsia="仿宋_GB2312" w:cs="仿宋_GB2312"/>
                <w:sz w:val="24"/>
                <w:szCs w:val="24"/>
              </w:rPr>
              <w:t>记录、中转站记录、主管检查</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现场抽查/监控核查记录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565"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 专项清洁任务完成率与质量</w:t>
            </w:r>
          </w:p>
        </w:tc>
        <w:tc>
          <w:tcPr>
            <w:tcW w:w="70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3962"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按时完成率=100%： 得4分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每延迟1项： 扣2分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质量达标率≥90%： 得4分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每降低1%： 扣0.5分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达标率&lt;85%： 扣2分</w:t>
            </w:r>
          </w:p>
        </w:tc>
        <w:tc>
          <w:tcPr>
            <w:tcW w:w="20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a,b: 专项任务派工单、完成记录、主管质量验收记录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565"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 门前三包区域维护达标率</w:t>
            </w:r>
          </w:p>
        </w:tc>
        <w:tc>
          <w:tcPr>
            <w:tcW w:w="70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3962"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清洁抽检达标率≥95%： 得5分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每降低1%： 扣0.5分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重大环境问题未上报≤1次/季度： 得3分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每超1次： 扣3分</w:t>
            </w:r>
          </w:p>
        </w:tc>
        <w:tc>
          <w:tcPr>
            <w:tcW w:w="20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主管定期抽查记录</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问题上报记录、主管巡查记录、师生投诉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565"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 设备工具使用规范与维护</w:t>
            </w:r>
          </w:p>
        </w:tc>
        <w:tc>
          <w:tcPr>
            <w:tcW w:w="70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3962"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操作规范性合格率≥98%： 得3分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每降低1%： 扣0.5分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设备非正常损坏率≤1%： 得3分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每超1%：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c. 耗材浪费≤1次/月： 得2分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每超1次： 扣1分</w:t>
            </w:r>
          </w:p>
        </w:tc>
        <w:tc>
          <w:tcPr>
            <w:tcW w:w="20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a,b,c: 主管现场抽查、设备报修单、耗材领用记录、投诉记录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565"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 安全规范与着装礼仪遵守率</w:t>
            </w:r>
          </w:p>
        </w:tc>
        <w:tc>
          <w:tcPr>
            <w:tcW w:w="70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3962"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安全违规：重大0次/轻微≤2次/季度： 得5分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重大违规1次： 扣5分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轻微每超1次：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着装工牌合格率≥98%： 得3分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每降低1%： 扣0.5分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c. 有效服务投诉≤1次/半年： 得2分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每超1次： 扣2分</w:t>
            </w:r>
          </w:p>
        </w:tc>
        <w:tc>
          <w:tcPr>
            <w:tcW w:w="20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a,b: 安全巡查记录、主管抽查</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c: 师生投诉记录、物业客服记录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565"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 在岗出勤率与工作响应及时性</w:t>
            </w:r>
          </w:p>
        </w:tc>
        <w:tc>
          <w:tcPr>
            <w:tcW w:w="70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3962"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月度出勤率≥98%： 得3分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每降低1%： 扣0.5分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临时/紧急响应及时率≥95%： 得3分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每降低1%： 扣0.5分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及时率&lt;90%： 扣1分</w:t>
            </w:r>
          </w:p>
        </w:tc>
        <w:tc>
          <w:tcPr>
            <w:tcW w:w="20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考勤记录</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任务派发记录、完成时间记录、主管检查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565"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总分</w:t>
            </w:r>
          </w:p>
        </w:tc>
        <w:tc>
          <w:tcPr>
            <w:tcW w:w="70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100</w:t>
            </w:r>
          </w:p>
        </w:tc>
        <w:tc>
          <w:tcPr>
            <w:tcW w:w="3962"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p>
        </w:tc>
        <w:tc>
          <w:tcPr>
            <w:tcW w:w="20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p>
        </w:tc>
      </w:tr>
    </w:tbl>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说明：</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1．权重分配依据： 重点突出基础保洁（项目1、2、3、4）、垃圾管理（项目5）和安全规范（项目9）的核心地位，同时兼顾专项任务、门前三包、设备维护和出勤响应。</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2．评分标准：</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（1）采用阶梯式扣分，清晰量化服务差距。</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（2）对“达标率=100%”、“违规次数=0”等硬性指标（如消毒记录、日产日清、重大安全违规），设定严格扣分（甚至全扣）。</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（3）扣分上限不超过该项目权重分（避免负分）。</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3．数据来源： 强调多维度、可追溯的考核依据：</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（1）日常记录： 主管检查、巡查记录是核心。</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（2）专项记录： 消毒记录、任务派工单、设备报修单等。</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（3）客观数据： 考勤记录、中转站记录。</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（4）监督反馈： 师生投诉记录、监控核查。</w:t>
      </w:r>
    </w:p>
    <w:p>
      <w:pPr>
        <w:pStyle w:val="8"/>
        <w:rPr>
          <w:rFonts w:hint="eastAsia"/>
        </w:rPr>
      </w:pPr>
    </w:p>
    <w:p>
      <w:pPr>
        <w:jc w:val="left"/>
        <w:rPr>
          <w:rFonts w:hint="eastAsia" w:ascii="仿宋_GB2312" w:hAnsi="仿宋_GB2312" w:eastAsia="仿宋_GB2312" w:cs="仿宋_GB2312"/>
          <w:bCs/>
          <w:sz w:val="28"/>
          <w:szCs w:val="28"/>
        </w:rPr>
      </w:pPr>
    </w:p>
    <w:p>
      <w:pPr>
        <w:jc w:val="left"/>
        <w:rPr>
          <w:rFonts w:hint="eastAsia" w:ascii="仿宋_GB2312" w:hAnsi="仿宋_GB2312" w:eastAsia="仿宋_GB2312" w:cs="仿宋_GB2312"/>
          <w:sz w:val="28"/>
          <w:szCs w:val="28"/>
          <w:lang w:eastAsia="zh-CN"/>
        </w:rPr>
      </w:pPr>
      <w:r>
        <w:rPr>
          <w:rFonts w:hint="eastAsia" w:ascii="仿宋_GB2312" w:hAnsi="仿宋_GB2312" w:eastAsia="仿宋_GB2312" w:cs="仿宋_GB2312"/>
          <w:bCs/>
          <w:sz w:val="28"/>
          <w:szCs w:val="28"/>
        </w:rPr>
        <w:t>★</w:t>
      </w:r>
      <w:r>
        <w:rPr>
          <w:rFonts w:hint="eastAsia" w:ascii="仿宋_GB2312" w:hAnsi="仿宋_GB2312" w:eastAsia="仿宋_GB2312" w:cs="仿宋_GB2312"/>
          <w:b/>
          <w:bCs/>
          <w:sz w:val="28"/>
          <w:szCs w:val="28"/>
        </w:rPr>
        <w:t>附件</w:t>
      </w:r>
      <w:r>
        <w:rPr>
          <w:rFonts w:hint="eastAsia" w:ascii="仿宋_GB2312" w:hAnsi="仿宋_GB2312" w:eastAsia="仿宋_GB2312" w:cs="仿宋_GB2312"/>
          <w:b/>
          <w:bCs/>
          <w:sz w:val="28"/>
          <w:szCs w:val="28"/>
          <w:lang w:eastAsia="zh-CN"/>
        </w:rPr>
        <w:t>三</w:t>
      </w:r>
    </w:p>
    <w:p>
      <w:pPr>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柳州城市职业学院</w:t>
      </w:r>
      <w:r>
        <w:rPr>
          <w:rStyle w:val="118"/>
          <w:rFonts w:hint="eastAsia" w:ascii="仿宋_GB2312" w:hAnsi="仿宋_GB2312" w:eastAsia="仿宋_GB2312" w:cs="仿宋_GB2312"/>
          <w:b/>
          <w:sz w:val="28"/>
          <w:szCs w:val="28"/>
        </w:rPr>
        <w:t>设施设备维修维护</w:t>
      </w:r>
      <w:r>
        <w:rPr>
          <w:rFonts w:hint="eastAsia" w:ascii="仿宋_GB2312" w:hAnsi="仿宋_GB2312" w:eastAsia="仿宋_GB2312" w:cs="仿宋_GB2312"/>
          <w:b/>
          <w:sz w:val="28"/>
          <w:szCs w:val="28"/>
        </w:rPr>
        <w:t>质量考核细则</w:t>
      </w:r>
    </w:p>
    <w:p>
      <w:pPr>
        <w:jc w:val="left"/>
        <w:rPr>
          <w:szCs w:val="21"/>
        </w:rPr>
      </w:pPr>
      <w:r>
        <w:rPr>
          <w:rFonts w:hint="eastAsia"/>
          <w:szCs w:val="21"/>
        </w:rPr>
        <w:t xml:space="preserve">    </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为做好物业服务企业服务质量考核工作，明确和细化《柳州城市职业学院物业服务企业监督管理办法》相关内容，结合学校实际制定本实施细则。本细则适用于在我校依据法定合同从事</w:t>
      </w:r>
      <w:r>
        <w:rPr>
          <w:rStyle w:val="118"/>
          <w:rFonts w:hint="eastAsia" w:ascii="仿宋_GB2312" w:hAnsi="仿宋_GB2312" w:eastAsia="仿宋_GB2312" w:cs="仿宋_GB2312"/>
          <w:sz w:val="24"/>
          <w:szCs w:val="24"/>
        </w:rPr>
        <w:t>设施设备维修维护</w:t>
      </w:r>
      <w:r>
        <w:rPr>
          <w:rFonts w:hint="eastAsia" w:ascii="仿宋_GB2312" w:hAnsi="仿宋_GB2312" w:eastAsia="仿宋_GB2312" w:cs="仿宋_GB2312"/>
          <w:sz w:val="24"/>
          <w:szCs w:val="24"/>
        </w:rPr>
        <w:t>的各物业服务企业或其他实体，由后勤保障处组织考核。</w:t>
      </w:r>
    </w:p>
    <w:p>
      <w:pPr>
        <w:ind w:firstLine="482" w:firstLineChars="200"/>
        <w:rPr>
          <w:rStyle w:val="118"/>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一、</w:t>
      </w:r>
      <w:r>
        <w:rPr>
          <w:rStyle w:val="118"/>
          <w:rFonts w:hint="eastAsia" w:ascii="仿宋_GB2312" w:hAnsi="仿宋_GB2312" w:eastAsia="仿宋_GB2312" w:cs="仿宋_GB2312"/>
          <w:b/>
          <w:sz w:val="24"/>
          <w:szCs w:val="24"/>
        </w:rPr>
        <w:t>服务标准及考核要点</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t>报修响应及时率：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（1）服务标准：接到报修信息（系统、电话、口头等）后，在规定时间内（工作日30分钟内，非工作日60分钟内）联系报修人确认或到达现场查看（紧急情况如漏水、断电等需更短时间响应）。</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（2）考核指标：月度报修响应及时率≥ 98%。（计算方式：及时响应工单数 / 总接收工单数 * 100%）</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t>现场到达及时率：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（1）服务标准：根据报修约定或派工要求，在承诺时间内（约定后1-2小时内）到达维修现场。</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（2）考核指标：月度现场到达及时率≥ 95%。（计算方式：按时到达现场工单数 / 需现场处理工单数 * 100%）</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3．</w:t>
      </w:r>
      <w:r>
        <w:rPr>
          <w:rFonts w:hint="eastAsia" w:ascii="仿宋_GB2312" w:hAnsi="仿宋_GB2312" w:eastAsia="仿宋_GB2312" w:cs="仿宋_GB2312"/>
          <w:sz w:val="24"/>
          <w:szCs w:val="24"/>
        </w:rPr>
        <w:t>一次性修复率：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（1）服务标准：对于具备维修条件（有配件、有技术能力）的工单，力争一次上门解决问题，避免因技术、配件或沟通原因导致同一问题重复报修。</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（2）考核指标：月度一次性修复率≥ 90%。（计算方式：一次性修复工单数 / 可一次性修复工单总数 * 100%） （排除确需专业公司或订购特殊配件的情况）</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4．</w:t>
      </w:r>
      <w:r>
        <w:rPr>
          <w:rFonts w:hint="eastAsia" w:ascii="仿宋_GB2312" w:hAnsi="仿宋_GB2312" w:eastAsia="仿宋_GB2312" w:cs="仿宋_GB2312"/>
          <w:sz w:val="24"/>
          <w:szCs w:val="24"/>
        </w:rPr>
        <w:t>维修完成及时率：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（1）服务标准：根据故障复杂程度设定合理修复时限（小修24小时内，中修48-72小时内），并在时限内完成维修、清理现场、系统销单。</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小修（简单更换、调整）24小时完成率≥ 95%。</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中修（需拆解、更换部件）48/72小时完成率≥ 90%。</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5．</w:t>
      </w:r>
      <w:r>
        <w:rPr>
          <w:rFonts w:hint="eastAsia" w:ascii="仿宋_GB2312" w:hAnsi="仿宋_GB2312" w:eastAsia="仿宋_GB2312" w:cs="仿宋_GB2312"/>
          <w:sz w:val="24"/>
          <w:szCs w:val="24"/>
        </w:rPr>
        <w:t>维修质量合格率（返修率）：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（1）服务标准：维修后设备设施功能恢复正常，安装牢固，符合安全和使用要求，外观整洁。维修部位在质保期周期内不应出现相同或关联性故障。质保期一般在前7-30天。</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（2）考核指标：月度维修返修率≤ 5%。（计算方式：质保期内同一问题重复报修工单数 / 上月总完成工单数 * 100%）</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6．</w:t>
      </w:r>
      <w:r>
        <w:rPr>
          <w:rFonts w:hint="eastAsia" w:ascii="仿宋_GB2312" w:hAnsi="仿宋_GB2312" w:eastAsia="仿宋_GB2312" w:cs="仿宋_GB2312"/>
          <w:sz w:val="24"/>
          <w:szCs w:val="24"/>
        </w:rPr>
        <w:t>巡检计划执行率与隐患发现率：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（1）服务标准：按时按路线完成负责区域的日常/定期巡检任务；主动、细致地发现建筑物、设施、管网等的潜在问题或轻微故障（如螺丝松动、滴水、异响、地砖空鼓）。</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月度巡检计划执行率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实际巡检次数/月计划巡检次数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 100%。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月度主动发现隐患/轻微故障数≥平均 [基线值：人均5条/月]。</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7．师生服务满意度：</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（1）服务标准：沟通礼貌清晰，耐心解释故障原因和维修方案；维修过程尽量减少对师生干扰；完工后主动说明注意事项；保持工装整洁，遵守现场秩序。</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（2）考核指标：维修工单回访满意度（随机抽样）平均得分≥90分（或满意率≥ 90%）。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8．维修耗材管理规范与成本意识：</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（1）服务标准：准确申领所需物料；优先修复利用旧件，避免不必要更换；合理使用耗材，杜绝浪费；妥善保管工具和剩余物料。</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月度常用耗材人均消耗量同比持平或下降。</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物料浪费或异常损耗事件 ≤1次/季度。</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9．安全操作规程遵守率：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（1）服务标准：严格遵守各项安全操作规程：高空作业系安全带、用电维修先断电验电、危险区域设警示牌、有害化学品规范使用与存放、个人防护用品佩戴齐全。</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（2）考核指标：安全操作违规次数 = 0（重大），轻微违规 ≤ 1次/半年。（通过现场检查、监控抽查、报告记录）</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10．维修记录完整性与准确性：</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（1）服务标准：在维修系统或工单上详细、准确记录：故障现象、原因分析、维修措施、更换配件、工时、完成状态；及时更新工单状态；对于无法处理或需外协的情况，清晰记录并上报。</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维修记录（系统/纸质）填写完整率 = 100%。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维修记录抽查准确率≥ 98%。</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工单状态更新及时率（完工后4小时内</w:t>
      </w:r>
      <w:r>
        <w:rPr>
          <w:rFonts w:hint="eastAsia" w:ascii="仿宋_GB2312" w:hAnsi="仿宋_GB2312" w:eastAsia="仿宋_GB2312" w:cs="仿宋_GB2312"/>
          <w:sz w:val="24"/>
          <w:szCs w:val="24"/>
          <w:lang w:val="en-US" w:eastAsia="zh-CN"/>
        </w:rPr>
        <w:t>更新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完工工单数/总工单数</w:t>
      </w:r>
      <w:r>
        <w:rPr>
          <w:rFonts w:hint="eastAsia" w:ascii="仿宋_GB2312" w:hAnsi="仿宋_GB2312" w:eastAsia="仿宋_GB2312" w:cs="仿宋_GB2312"/>
          <w:sz w:val="24"/>
          <w:szCs w:val="24"/>
        </w:rPr>
        <w:t>）≥ 95%。</w:t>
      </w:r>
    </w:p>
    <w:p>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二、服务质量考核赋分</w:t>
      </w:r>
    </w:p>
    <w:tbl>
      <w:tblPr>
        <w:tblStyle w:val="48"/>
        <w:tblW w:w="86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640"/>
        <w:gridCol w:w="774"/>
        <w:gridCol w:w="4395"/>
        <w:gridCol w:w="1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考核项目</w:t>
            </w:r>
          </w:p>
        </w:tc>
        <w:tc>
          <w:tcPr>
            <w:tcW w:w="774"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分值</w:t>
            </w:r>
          </w:p>
        </w:tc>
        <w:tc>
          <w:tcPr>
            <w:tcW w:w="4395"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评分标准</w:t>
            </w:r>
          </w:p>
        </w:tc>
        <w:tc>
          <w:tcPr>
            <w:tcW w:w="179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 报修响应及时率</w:t>
            </w:r>
          </w:p>
        </w:tc>
        <w:tc>
          <w:tcPr>
            <w:tcW w:w="774"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w:t>
            </w:r>
          </w:p>
        </w:tc>
        <w:tc>
          <w:tcPr>
            <w:tcW w:w="4395"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月度响应及时率≥98%： 得</w:t>
            </w:r>
            <w:r>
              <w:rPr>
                <w:rFonts w:hint="eastAsia" w:ascii="仿宋_GB2312" w:hAnsi="仿宋_GB2312" w:eastAsia="仿宋_GB2312" w:cs="仿宋_GB2312"/>
                <w:sz w:val="24"/>
                <w:szCs w:val="24"/>
                <w:lang w:val="en-US" w:eastAsia="zh-CN"/>
              </w:rPr>
              <w:t>10</w:t>
            </w:r>
            <w:r>
              <w:rPr>
                <w:rFonts w:hint="eastAsia" w:ascii="仿宋_GB2312" w:hAnsi="仿宋_GB2312" w:eastAsia="仿宋_GB2312" w:cs="仿宋_GB2312"/>
                <w:sz w:val="24"/>
                <w:szCs w:val="24"/>
              </w:rPr>
              <w:t>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每降低1%：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&lt;95%： 扣5分</w:t>
            </w:r>
          </w:p>
        </w:tc>
        <w:tc>
          <w:tcPr>
            <w:tcW w:w="179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报修系统日志、通话录音、工单创建时间记录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 现场到达及时率</w:t>
            </w:r>
          </w:p>
        </w:tc>
        <w:tc>
          <w:tcPr>
            <w:tcW w:w="774"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4395"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月度到达及时率≥95%： 得10分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每降低1%： 扣0.5分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&lt;90%： 扣5分</w:t>
            </w:r>
          </w:p>
        </w:tc>
        <w:tc>
          <w:tcPr>
            <w:tcW w:w="179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工单签到记录、报修人反馈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4" w:hRule="atLeast"/>
        </w:trPr>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 一次性修复率</w:t>
            </w:r>
          </w:p>
        </w:tc>
        <w:tc>
          <w:tcPr>
            <w:tcW w:w="774"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w:t>
            </w:r>
          </w:p>
        </w:tc>
        <w:tc>
          <w:tcPr>
            <w:tcW w:w="4395"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月度一次修复率≥90%： 得</w:t>
            </w:r>
            <w:r>
              <w:rPr>
                <w:rFonts w:hint="eastAsia" w:ascii="仿宋_GB2312" w:hAnsi="仿宋_GB2312" w:eastAsia="仿宋_GB2312" w:cs="仿宋_GB2312"/>
                <w:sz w:val="24"/>
                <w:szCs w:val="24"/>
                <w:lang w:val="en-US" w:eastAsia="zh-CN"/>
              </w:rPr>
              <w:t>10</w:t>
            </w:r>
            <w:r>
              <w:rPr>
                <w:rFonts w:hint="eastAsia" w:ascii="仿宋_GB2312" w:hAnsi="仿宋_GB2312" w:eastAsia="仿宋_GB2312" w:cs="仿宋_GB2312"/>
                <w:sz w:val="24"/>
                <w:szCs w:val="24"/>
              </w:rPr>
              <w:t>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每降低1%：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&lt;85%： 扣5分</w:t>
            </w:r>
          </w:p>
        </w:tc>
        <w:tc>
          <w:tcPr>
            <w:tcW w:w="179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工单完成记录、7天内重复报修工单关联分析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 维修完成及时率</w:t>
            </w:r>
          </w:p>
        </w:tc>
        <w:tc>
          <w:tcPr>
            <w:tcW w:w="774"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4395"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小修24h完成率≥95%： 得8分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每降2%：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&lt;90%： 扣4分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中修48/72h完成率≥90%： 得7分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每降2%：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&lt;85%： 扣3分</w:t>
            </w:r>
          </w:p>
        </w:tc>
        <w:tc>
          <w:tcPr>
            <w:tcW w:w="179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工单系统关闭时间记录、维修类型分类统计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 维修质量合格率（返修率）</w:t>
            </w:r>
          </w:p>
        </w:tc>
        <w:tc>
          <w:tcPr>
            <w:tcW w:w="774"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4395"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月度返修率≤5%： 得15分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每升高1%： 扣2分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&gt;10%： 扣10分</w:t>
            </w:r>
          </w:p>
        </w:tc>
        <w:tc>
          <w:tcPr>
            <w:tcW w:w="179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质保期内（7-30天）重复维修工单统计、故障关联性分析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 巡检计划执行与隐患发现</w:t>
            </w:r>
          </w:p>
        </w:tc>
        <w:tc>
          <w:tcPr>
            <w:tcW w:w="774"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4395"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巡检计划执行率=100%： 得5分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每缺1次：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隐患发现数≥基线值： 得5分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每少1条： 扣0.5分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&lt;基线值80%： 扣3分</w:t>
            </w:r>
          </w:p>
        </w:tc>
        <w:tc>
          <w:tcPr>
            <w:tcW w:w="179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巡检打卡记录、隐患上报工单（需标注"主动发现"）、基线值对比表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 师生服务满意度</w:t>
            </w:r>
          </w:p>
        </w:tc>
        <w:tc>
          <w:tcPr>
            <w:tcW w:w="774"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4395"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回访满意度≥90分（或满意率≥90%）： 得10分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每降2分（或5%）：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&lt;80分（或80%）： 扣5分</w:t>
            </w:r>
          </w:p>
        </w:tc>
        <w:tc>
          <w:tcPr>
            <w:tcW w:w="179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工单随机回访记录（电话/问卷）、投诉工单分析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 维修耗材管理规范</w:t>
            </w:r>
          </w:p>
        </w:tc>
        <w:tc>
          <w:tcPr>
            <w:tcW w:w="774" w:type="dxa"/>
            <w:tcMar>
              <w:top w:w="115" w:type="dxa"/>
              <w:left w:w="115" w:type="dxa"/>
              <w:bottom w:w="115" w:type="dxa"/>
              <w:right w:w="115" w:type="dxa"/>
            </w:tcMar>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w:t>
            </w:r>
          </w:p>
        </w:tc>
        <w:tc>
          <w:tcPr>
            <w:tcW w:w="4395" w:type="dxa"/>
            <w:tcMar>
              <w:top w:w="115" w:type="dxa"/>
              <w:left w:w="115" w:type="dxa"/>
              <w:bottom w:w="115" w:type="dxa"/>
              <w:right w:w="115" w:type="dxa"/>
            </w:tcMar>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a. 耗材消耗量≤定额或同比持平/降： 得3分</w:t>
            </w:r>
            <w:r>
              <w:rPr>
                <w:rFonts w:hint="eastAsia" w:ascii="仿宋_GB2312" w:hAnsi="仿宋_GB2312" w:eastAsia="仿宋_GB2312" w:cs="仿宋_GB2312"/>
                <w:color w:val="auto"/>
                <w:sz w:val="24"/>
                <w:szCs w:val="24"/>
              </w:rPr>
              <w:br w:type="textWrapping"/>
            </w:r>
            <w:r>
              <w:rPr>
                <w:rFonts w:hint="eastAsia" w:ascii="仿宋_GB2312" w:hAnsi="仿宋_GB2312" w:eastAsia="仿宋_GB2312" w:cs="仿宋_GB2312"/>
                <w:color w:val="auto"/>
                <w:sz w:val="24"/>
                <w:szCs w:val="24"/>
              </w:rPr>
              <w:t>超耗5%： 扣1分</w:t>
            </w:r>
            <w:r>
              <w:rPr>
                <w:rFonts w:hint="eastAsia" w:ascii="仿宋_GB2312" w:hAnsi="仿宋_GB2312" w:eastAsia="仿宋_GB2312" w:cs="仿宋_GB2312"/>
                <w:color w:val="auto"/>
                <w:sz w:val="24"/>
                <w:szCs w:val="24"/>
              </w:rPr>
              <w:br w:type="textWrapping"/>
            </w:r>
            <w:r>
              <w:rPr>
                <w:rFonts w:hint="eastAsia" w:ascii="仿宋_GB2312" w:hAnsi="仿宋_GB2312" w:eastAsia="仿宋_GB2312" w:cs="仿宋_GB2312"/>
                <w:color w:val="auto"/>
                <w:sz w:val="24"/>
                <w:szCs w:val="24"/>
              </w:rPr>
              <w:t>超耗10%： 扣3分</w:t>
            </w:r>
            <w:r>
              <w:rPr>
                <w:rFonts w:hint="eastAsia" w:ascii="仿宋_GB2312" w:hAnsi="仿宋_GB2312" w:eastAsia="仿宋_GB2312" w:cs="仿宋_GB2312"/>
                <w:color w:val="auto"/>
                <w:sz w:val="24"/>
                <w:szCs w:val="24"/>
              </w:rPr>
              <w:br w:type="textWrapping"/>
            </w:r>
            <w:r>
              <w:rPr>
                <w:rFonts w:hint="eastAsia" w:ascii="仿宋_GB2312" w:hAnsi="仿宋_GB2312" w:eastAsia="仿宋_GB2312" w:cs="仿宋_GB2312"/>
                <w:color w:val="auto"/>
                <w:sz w:val="24"/>
                <w:szCs w:val="24"/>
              </w:rPr>
              <w:t>b. 浪费/异常损耗≤1次/季： 得2分</w:t>
            </w:r>
            <w:r>
              <w:rPr>
                <w:rFonts w:hint="eastAsia" w:ascii="仿宋_GB2312" w:hAnsi="仿宋_GB2312" w:eastAsia="仿宋_GB2312" w:cs="仿宋_GB2312"/>
                <w:color w:val="auto"/>
                <w:sz w:val="24"/>
                <w:szCs w:val="24"/>
              </w:rPr>
              <w:br w:type="textWrapping"/>
            </w:r>
            <w:r>
              <w:rPr>
                <w:rFonts w:hint="eastAsia" w:ascii="仿宋_GB2312" w:hAnsi="仿宋_GB2312" w:eastAsia="仿宋_GB2312" w:cs="仿宋_GB2312"/>
                <w:color w:val="auto"/>
                <w:sz w:val="24"/>
                <w:szCs w:val="24"/>
              </w:rPr>
              <w:t>每超1次： 扣1分</w:t>
            </w:r>
          </w:p>
        </w:tc>
        <w:tc>
          <w:tcPr>
            <w:tcW w:w="1798" w:type="dxa"/>
            <w:tcMar>
              <w:top w:w="115" w:type="dxa"/>
              <w:left w:w="115" w:type="dxa"/>
              <w:bottom w:w="115" w:type="dxa"/>
              <w:right w:w="115" w:type="dxa"/>
            </w:tcMar>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物料领用台账、消耗同比分析表、异常损耗报告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 安全操作规程遵守率</w:t>
            </w:r>
          </w:p>
        </w:tc>
        <w:tc>
          <w:tcPr>
            <w:tcW w:w="774"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4395"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重大安全违规=0： 得6分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发生1起： 扣10分（一票否决）</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轻微违规≤1次/半年： 得4分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每超1次： 扣2分</w:t>
            </w:r>
          </w:p>
        </w:tc>
        <w:tc>
          <w:tcPr>
            <w:tcW w:w="179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安全巡查记录、监控抽查、事故报告、员工反馈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 维修记录完整准确性</w:t>
            </w:r>
          </w:p>
        </w:tc>
        <w:tc>
          <w:tcPr>
            <w:tcW w:w="774"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4395"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记录完整率=100%： 得2分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关键项缺失1次： 扣0.5分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记录准确率≥98%： 得2分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误差&gt;2%：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c. 状态更新及时率≥95%： 得1分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每降2%： 扣0.5分</w:t>
            </w:r>
          </w:p>
        </w:tc>
        <w:tc>
          <w:tcPr>
            <w:tcW w:w="179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工单系统抽查、维修记录与现场对比、更新时间戳分析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总分</w:t>
            </w:r>
          </w:p>
        </w:tc>
        <w:tc>
          <w:tcPr>
            <w:tcW w:w="774"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100</w:t>
            </w:r>
          </w:p>
        </w:tc>
        <w:tc>
          <w:tcPr>
            <w:tcW w:w="4395"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p>
        </w:tc>
        <w:tc>
          <w:tcPr>
            <w:tcW w:w="179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p>
        </w:tc>
      </w:tr>
    </w:tbl>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考核说明：</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1．核心权重分配：</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（1）时效闭环（</w:t>
      </w:r>
      <w:r>
        <w:rPr>
          <w:rFonts w:hint="eastAsia" w:ascii="仿宋_GB2312" w:hAnsi="仿宋_GB2312" w:eastAsia="仿宋_GB2312" w:cs="仿宋_GB2312"/>
          <w:sz w:val="24"/>
          <w:szCs w:val="24"/>
          <w:lang w:val="en-US" w:eastAsia="zh-CN"/>
        </w:rPr>
        <w:t>30</w:t>
      </w:r>
      <w:r>
        <w:rPr>
          <w:rFonts w:hint="eastAsia" w:ascii="仿宋_GB2312" w:hAnsi="仿宋_GB2312" w:eastAsia="仿宋_GB2312" w:cs="仿宋_GB2312"/>
          <w:sz w:val="24"/>
          <w:szCs w:val="24"/>
        </w:rPr>
        <w:t>分）： 确保报修响应(</w:t>
      </w:r>
      <w:r>
        <w:rPr>
          <w:rFonts w:hint="eastAsia" w:ascii="仿宋_GB2312" w:hAnsi="仿宋_GB2312" w:eastAsia="仿宋_GB2312" w:cs="仿宋_GB2312"/>
          <w:sz w:val="24"/>
          <w:szCs w:val="24"/>
          <w:lang w:val="en-US" w:eastAsia="zh-CN"/>
        </w:rPr>
        <w:t>10分</w:t>
      </w:r>
      <w:r>
        <w:rPr>
          <w:rFonts w:hint="eastAsia" w:ascii="仿宋_GB2312" w:hAnsi="仿宋_GB2312" w:eastAsia="仿宋_GB2312" w:cs="仿宋_GB2312"/>
          <w:sz w:val="24"/>
          <w:szCs w:val="24"/>
        </w:rPr>
        <w:t>)、现场到达(10</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)、维修完成(</w:t>
      </w:r>
      <w:r>
        <w:rPr>
          <w:rFonts w:hint="eastAsia" w:ascii="仿宋_GB2312" w:hAnsi="仿宋_GB2312" w:eastAsia="仿宋_GB2312" w:cs="仿宋_GB2312"/>
          <w:sz w:val="24"/>
          <w:szCs w:val="24"/>
          <w:lang w:val="en-US" w:eastAsia="zh-CN"/>
        </w:rPr>
        <w:t>10分</w:t>
      </w:r>
      <w:r>
        <w:rPr>
          <w:rFonts w:hint="eastAsia" w:ascii="仿宋_GB2312" w:hAnsi="仿宋_GB2312" w:eastAsia="仿宋_GB2312" w:cs="仿宋_GB2312"/>
          <w:sz w:val="24"/>
          <w:szCs w:val="24"/>
        </w:rPr>
        <w:t>)形成高效闭环。</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（2）质量生命线（30分）： 强化一次性修复(15</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)和返修率(15</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)双重质量管控。</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（3）安全红线（10分）： 重大安全违规实行一票否决制。</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（4）预防性维护（10分）： 通过巡检执行与隐患发现推动主动维修。</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（5）服务感知（10分）： 满意度直接反映师生体验。</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（6）管理基础（10分）： 耗材管控(5</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)与记录规范(5</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)保障可追溯性。</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2．关键评分规则：</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（1）重大安全/质量事故： 发生重大安全事故或恶意篡改记录直接扣至0分。</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（2）阶梯量化： 对达标率（如响应率、修复率）采用每降</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%扣</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分的线性标准。</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（3）双重约束：</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A、一次性修复率与返修率形成质量互锁，避免为追求一次修复而降低维修标准。</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B、耗材消耗需同时满足定额标准和同比优化要求。</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（4）动态基线： 隐患发现数采用动态基线值（如按人均/区域设定），每年根据历史数据优化。</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3．数据来源交叉验证：</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（1）系统留痕： 报修系统、工单系统、物料系统提供核心时间链和操作记录。</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（2）人工核验： 现场抽查维修质量、记录与实际情况一致性。</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（3）多源反馈： 师生回访、投诉记录、安全巡查多角度验证服务表现。</w:t>
      </w:r>
    </w:p>
    <w:p>
      <w:pPr>
        <w:pStyle w:val="8"/>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（4）趋势分析： 耗材消耗同比数据、返修率趋势图反映长期改进效果。</w:t>
      </w:r>
    </w:p>
    <w:p>
      <w:pPr>
        <w:pStyle w:val="8"/>
        <w:rPr>
          <w:rFonts w:hint="eastAsia" w:ascii="仿宋_GB2312" w:hAnsi="仿宋_GB2312" w:eastAsia="仿宋_GB2312" w:cs="仿宋_GB2312"/>
          <w:sz w:val="24"/>
          <w:szCs w:val="24"/>
        </w:rPr>
      </w:pPr>
    </w:p>
    <w:p>
      <w:pPr>
        <w:jc w:val="left"/>
        <w:rPr>
          <w:rFonts w:hint="eastAsia" w:ascii="仿宋_GB2312" w:hAnsi="仿宋_GB2312" w:eastAsia="仿宋_GB2312" w:cs="仿宋_GB2312"/>
          <w:sz w:val="28"/>
          <w:szCs w:val="28"/>
          <w:lang w:eastAsia="zh-CN"/>
        </w:rPr>
      </w:pPr>
      <w:r>
        <w:rPr>
          <w:rFonts w:hint="eastAsia" w:ascii="仿宋_GB2312" w:hAnsi="仿宋_GB2312" w:eastAsia="仿宋_GB2312" w:cs="仿宋_GB2312"/>
          <w:bCs/>
          <w:sz w:val="28"/>
          <w:szCs w:val="28"/>
        </w:rPr>
        <w:t>★</w:t>
      </w:r>
      <w:r>
        <w:rPr>
          <w:rFonts w:hint="eastAsia" w:ascii="仿宋_GB2312" w:hAnsi="仿宋_GB2312" w:eastAsia="仿宋_GB2312" w:cs="仿宋_GB2312"/>
          <w:b/>
          <w:bCs/>
          <w:sz w:val="28"/>
          <w:szCs w:val="28"/>
        </w:rPr>
        <w:t>附件</w:t>
      </w:r>
      <w:r>
        <w:rPr>
          <w:rFonts w:hint="eastAsia" w:ascii="仿宋_GB2312" w:hAnsi="仿宋_GB2312" w:eastAsia="仿宋_GB2312" w:cs="仿宋_GB2312"/>
          <w:b/>
          <w:bCs/>
          <w:sz w:val="28"/>
          <w:szCs w:val="28"/>
          <w:lang w:eastAsia="zh-CN"/>
        </w:rPr>
        <w:t>四</w:t>
      </w:r>
    </w:p>
    <w:p>
      <w:pPr>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柳州城市职业学院</w:t>
      </w:r>
      <w:r>
        <w:rPr>
          <w:rStyle w:val="118"/>
          <w:rFonts w:hint="eastAsia" w:ascii="仿宋_GB2312" w:hAnsi="仿宋_GB2312" w:eastAsia="仿宋_GB2312" w:cs="仿宋_GB2312"/>
          <w:b/>
          <w:sz w:val="28"/>
          <w:szCs w:val="28"/>
        </w:rPr>
        <w:t>校园绿化养护</w:t>
      </w:r>
      <w:r>
        <w:rPr>
          <w:rFonts w:hint="eastAsia" w:ascii="仿宋_GB2312" w:hAnsi="仿宋_GB2312" w:eastAsia="仿宋_GB2312" w:cs="仿宋_GB2312"/>
          <w:b/>
          <w:sz w:val="28"/>
          <w:szCs w:val="28"/>
        </w:rPr>
        <w:t>质量考核细则</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为做好物业服务企业服务质量考核工作，明确和细化《柳州城市职业学院物业服务企业监督管理办法》相关内容，结合学校实际制定本实施细则。本细则适用于在我校依据法定合同从事</w:t>
      </w:r>
      <w:r>
        <w:rPr>
          <w:rStyle w:val="118"/>
          <w:rFonts w:hint="eastAsia" w:ascii="仿宋_GB2312" w:hAnsi="仿宋_GB2312" w:eastAsia="仿宋_GB2312" w:cs="仿宋_GB2312"/>
          <w:sz w:val="24"/>
          <w:szCs w:val="24"/>
        </w:rPr>
        <w:t>校园绿化养护</w:t>
      </w:r>
      <w:r>
        <w:rPr>
          <w:rFonts w:hint="eastAsia" w:ascii="仿宋_GB2312" w:hAnsi="仿宋_GB2312" w:eastAsia="仿宋_GB2312" w:cs="仿宋_GB2312"/>
          <w:sz w:val="24"/>
          <w:szCs w:val="24"/>
        </w:rPr>
        <w:t>的各物业服务企业或其他实体，由后勤保障处组织考核。</w:t>
      </w:r>
    </w:p>
    <w:p>
      <w:pPr>
        <w:ind w:firstLine="482" w:firstLineChars="200"/>
        <w:rPr>
          <w:rStyle w:val="118"/>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一、</w:t>
      </w:r>
      <w:r>
        <w:rPr>
          <w:rStyle w:val="118"/>
          <w:rFonts w:hint="eastAsia" w:ascii="仿宋_GB2312" w:hAnsi="仿宋_GB2312" w:eastAsia="仿宋_GB2312" w:cs="仿宋_GB2312"/>
          <w:b/>
          <w:sz w:val="24"/>
          <w:szCs w:val="24"/>
        </w:rPr>
        <w:t>服务标准及考核要点</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t>草坪养护质量达标率：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（1）服务标准：草坪修剪及时、高度均匀（暖季草3-5cm，冷季草5-7cm，具体按规范）；无杂草（杂草覆盖率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杂草面积/学校绿地面积</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≤5%）；无明显斑秃（斑秃面积</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斑秃面积/学校绿地面积</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≤1%）；色泽鲜绿，生长健壮；浇水、施肥符合计划。</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（2）考核指标：草坪区域月度抽检综合达标率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抽检合格数/总抽检次数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90%。（依据修剪高度、杂草率、斑秃率、色泽等评分）</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t>绿篱、灌木造型达标率与生长状态：</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（1）服务标准：绿篱、灌木、模纹按造型要求定期修剪，线条平直、弧面圆滑、棱角分明；无徒长枝、枯枝；内部通风透光；生长状态良好，无明显病虫害症状。</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绿篱/灌木造型修剪月度抽检达标率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抽检合格数/总抽检次数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 95%。</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绿篱/灌木生长不良（如大面积黄叶、枯萎）</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巡检合格次数/总巡检次数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发生率 ≤ 3%。</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3．</w:t>
      </w:r>
      <w:r>
        <w:rPr>
          <w:rFonts w:hint="eastAsia" w:ascii="仿宋_GB2312" w:hAnsi="仿宋_GB2312" w:eastAsia="仿宋_GB2312" w:cs="仿宋_GB2312"/>
          <w:sz w:val="24"/>
          <w:szCs w:val="24"/>
        </w:rPr>
        <w:t>乔木（树木）养护规范与安全隐患处理：</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（1）服务标准：及时清除枯枝、病虫枝、过密枝；科学浇水、施肥；新植及易倒伏树木支撑完好；冬季防寒措施到位；及时发现并上报危树、空洞、严重倾斜等安全隐患。</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乔木枯枝、病虫枝清除及时率（发现</w:t>
      </w:r>
      <w:r>
        <w:rPr>
          <w:rFonts w:hint="eastAsia" w:ascii="仿宋_GB2312" w:hAnsi="仿宋_GB2312" w:eastAsia="仿宋_GB2312" w:cs="仿宋_GB2312"/>
          <w:sz w:val="24"/>
          <w:szCs w:val="24"/>
          <w:lang w:val="en-US" w:eastAsia="zh-CN"/>
        </w:rPr>
        <w:t>问题</w:t>
      </w:r>
      <w:r>
        <w:rPr>
          <w:rFonts w:hint="eastAsia" w:ascii="仿宋_GB2312" w:hAnsi="仿宋_GB2312" w:eastAsia="仿宋_GB2312" w:cs="仿宋_GB2312"/>
          <w:sz w:val="24"/>
          <w:szCs w:val="24"/>
        </w:rPr>
        <w:t>后7天内</w:t>
      </w:r>
      <w:r>
        <w:rPr>
          <w:rFonts w:hint="eastAsia" w:ascii="仿宋_GB2312" w:hAnsi="仿宋_GB2312" w:eastAsia="仿宋_GB2312" w:cs="仿宋_GB2312"/>
          <w:sz w:val="24"/>
          <w:szCs w:val="24"/>
          <w:lang w:val="en-US" w:eastAsia="zh-CN"/>
        </w:rPr>
        <w:t>处置视为及时</w:t>
      </w:r>
      <w:r>
        <w:rPr>
          <w:rFonts w:hint="eastAsia" w:ascii="仿宋_GB2312" w:hAnsi="仿宋_GB2312" w:eastAsia="仿宋_GB2312" w:cs="仿宋_GB2312"/>
          <w:sz w:val="24"/>
          <w:szCs w:val="24"/>
        </w:rPr>
        <w:t>）≥ 95%。</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树木支撑、防寒措施完好率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抽检合格次数/总抽检次数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 98%。</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因养护不到位导致的严重树木安全事故 = 0。</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4．</w:t>
      </w:r>
      <w:r>
        <w:rPr>
          <w:rFonts w:hint="eastAsia" w:ascii="仿宋_GB2312" w:hAnsi="仿宋_GB2312" w:eastAsia="仿宋_GB2312" w:cs="仿宋_GB2312"/>
          <w:sz w:val="24"/>
          <w:szCs w:val="24"/>
        </w:rPr>
        <w:t>灌溉系统有效运行率与节水控制：</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（1）服务标准：按需（天气、植物）调整灌溉计划；灌溉系统（喷头、管道、阀门、控制器）运行正常，无跑冒滴漏；及时进行简单维护（清理喷头、滤网）；无过度灌溉导致积水或浪费。</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灌溉系统月度有效运行率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抽检合格次数/总抽检次数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 95%（无故障影响计划灌溉）。</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灌溉区域明显积水或无效喷灌发生率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抽检不合格次数/总抽检次数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 2%。</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5．</w:t>
      </w:r>
      <w:r>
        <w:rPr>
          <w:rFonts w:hint="eastAsia" w:ascii="仿宋_GB2312" w:hAnsi="仿宋_GB2312" w:eastAsia="仿宋_GB2312" w:cs="仿宋_GB2312"/>
          <w:sz w:val="24"/>
          <w:szCs w:val="24"/>
        </w:rPr>
        <w:t>病虫害防治效果与安全操作：</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（1）服务标准：定期巡查，早发现病虫害；在指导下科学选用低毒环保药剂；按规范浓度、时间、方法施药，做好记录和个人防护；施药区域设置警示标识；控制效果明显</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虫口减退率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防治前虫数-防治后虫数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/防治前虫数</w:t>
      </w:r>
      <w:r>
        <w:rPr>
          <w:rFonts w:hint="eastAsia" w:ascii="仿宋_GB2312" w:hAnsi="仿宋_GB2312" w:eastAsia="仿宋_GB2312" w:cs="仿宋_GB2312"/>
          <w:sz w:val="24"/>
          <w:szCs w:val="24"/>
        </w:rPr>
        <w:t>≥80%。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w:t>
      </w:r>
    </w:p>
    <w:p>
      <w:pPr>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病虫害防治</w:t>
      </w:r>
      <w:r>
        <w:rPr>
          <w:rFonts w:hint="eastAsia" w:ascii="仿宋_GB2312" w:hAnsi="仿宋_GB2312" w:eastAsia="仿宋_GB2312" w:cs="仿宋_GB2312"/>
          <w:sz w:val="24"/>
          <w:szCs w:val="24"/>
          <w:lang w:val="en-US" w:eastAsia="zh-CN"/>
        </w:rPr>
        <w:t>效果</w:t>
      </w:r>
      <w:r>
        <w:rPr>
          <w:rFonts w:hint="eastAsia" w:ascii="仿宋_GB2312" w:hAnsi="仿宋_GB2312" w:eastAsia="仿宋_GB2312" w:cs="仿宋_GB2312"/>
          <w:sz w:val="24"/>
          <w:szCs w:val="24"/>
        </w:rPr>
        <w:t>（主要病虫害）≥ 85%。</w:t>
      </w:r>
      <w:r>
        <w:rPr>
          <w:rFonts w:hint="eastAsia" w:ascii="仿宋_GB2312" w:hAnsi="仿宋_GB2312" w:eastAsia="仿宋_GB2312" w:cs="仿宋_GB2312"/>
          <w:sz w:val="24"/>
          <w:szCs w:val="24"/>
          <w:lang w:val="en-US" w:eastAsia="zh-CN"/>
        </w:rPr>
        <w:t>防治效果=防治面积/总病虫害发生面积</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农药安全操作违规次数 = 0（重大），记录完整率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每次作业均有完整的作业记录表，含作业照片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=100%。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因施药不当引发的师生投诉或安全事故 = 0。</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6．</w:t>
      </w:r>
      <w:r>
        <w:rPr>
          <w:rFonts w:hint="eastAsia" w:ascii="仿宋_GB2312" w:hAnsi="仿宋_GB2312" w:eastAsia="仿宋_GB2312" w:cs="仿宋_GB2312"/>
          <w:sz w:val="24"/>
          <w:szCs w:val="24"/>
        </w:rPr>
        <w:t>绿地卫生与杂草控制达标率：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（1）服务标准：绿地内（草坪、树穴、花坛、绿篱下）无垃圾、石块、大量堆积落叶；非目标杂草得到有效控制（草坪杂草覆盖率≤5%，花坛/树穴目视无大型杂草）。</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（2）考核指标：绿地卫生与杂草控制月度抽检综合达标率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抽检合格次数/总抽检次数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90%。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7．花卉景观效果保持度（季节性）：</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（1）服务标准：花圃、花坛、花盆内时令草花生长健壮，株型丰满，花色鲜艳；及时摘除残花、清除杂草、补植缺株；节日布置按要求完成，效果良好。</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（2）考核指标：花卉区域在观赏期内月度抽检景观效果达标率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抽检合格次数/总抽检次数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90%（花色、株型、整洁度）。</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8．植物调整与迁植成活率：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（1）服务标准：按要求完成小型植物调整、迁植或补种任务；移栽操作规范（带土球、修剪、浇水）；移栽后加强养护（浇水、遮荫），确保成活。</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w:t>
      </w:r>
      <w:r>
        <w:rPr>
          <w:rFonts w:hint="eastAsia" w:ascii="仿宋_GB2312" w:hAnsi="仿宋_GB2312" w:eastAsia="仿宋_GB2312" w:cs="仿宋_GB2312"/>
          <w:sz w:val="24"/>
          <w:szCs w:val="24"/>
          <w:lang w:val="en-US" w:eastAsia="zh-CN"/>
        </w:rPr>
        <w:t>成活数量/总数量</w:t>
      </w:r>
      <w:r>
        <w:rPr>
          <w:rFonts w:hint="eastAsia" w:ascii="仿宋_GB2312" w:hAnsi="仿宋_GB2312" w:eastAsia="仿宋_GB2312" w:cs="仿宋_GB2312"/>
          <w:sz w:val="24"/>
          <w:szCs w:val="24"/>
        </w:rPr>
        <w:t>≥ 90%。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9．绿化机械安全操作与维护：</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（1）服务标准：严格遵守割草机、绿篱机、打药机等机械安全操作规程；作业前检查，作业后清洁保养；个人防护装备佩戴齐全；及时报修复杂故障；无责任性机械安全事故。</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机械安全操作规范执行率 = 100%（重大违规=0）。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机械日常保养执行率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保养设备数/总设备数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 95%。</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责任性机械操作安全事故 = 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10．物料使用规范与成本意识：</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（1）服务标准：按需申领肥料、农药、草花等物料；工具妥善保管。</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（2）考核指标：肥料、农药单位面积用量同比持平或科学下降；物料浪费或异常损耗事件 ≤ 1次/季度。</w:t>
      </w:r>
    </w:p>
    <w:p>
      <w:pPr>
        <w:ind w:firstLine="361" w:firstLineChars="150"/>
        <w:rPr>
          <w:rFonts w:hint="eastAsia" w:ascii="仿宋_GB2312" w:hAnsi="仿宋_GB2312" w:eastAsia="仿宋_GB2312" w:cs="仿宋_GB2312"/>
          <w:b/>
          <w:bCs/>
          <w:kern w:val="0"/>
          <w:sz w:val="24"/>
          <w:szCs w:val="24"/>
        </w:rPr>
      </w:pPr>
      <w:r>
        <w:rPr>
          <w:rFonts w:hint="eastAsia" w:ascii="仿宋_GB2312" w:hAnsi="仿宋_GB2312" w:eastAsia="仿宋_GB2312" w:cs="仿宋_GB2312"/>
          <w:b/>
          <w:sz w:val="24"/>
          <w:szCs w:val="24"/>
        </w:rPr>
        <w:t>二、</w:t>
      </w:r>
      <w:r>
        <w:rPr>
          <w:rFonts w:hint="eastAsia" w:ascii="仿宋_GB2312" w:hAnsi="仿宋_GB2312" w:eastAsia="仿宋_GB2312" w:cs="仿宋_GB2312"/>
          <w:b/>
          <w:bCs/>
          <w:kern w:val="0"/>
          <w:sz w:val="24"/>
          <w:szCs w:val="24"/>
        </w:rPr>
        <w:t>服务质量考核赋分</w:t>
      </w:r>
    </w:p>
    <w:tbl>
      <w:tblPr>
        <w:tblStyle w:val="48"/>
        <w:tblW w:w="87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990"/>
        <w:gridCol w:w="788"/>
        <w:gridCol w:w="4457"/>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4" w:hRule="atLeast"/>
          <w:tblHeader/>
        </w:trPr>
        <w:tc>
          <w:tcPr>
            <w:tcW w:w="1990"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考核项目</w:t>
            </w:r>
          </w:p>
        </w:tc>
        <w:tc>
          <w:tcPr>
            <w:tcW w:w="78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分值</w:t>
            </w:r>
          </w:p>
        </w:tc>
        <w:tc>
          <w:tcPr>
            <w:tcW w:w="445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评分标准</w:t>
            </w:r>
          </w:p>
        </w:tc>
        <w:tc>
          <w:tcPr>
            <w:tcW w:w="14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6" w:hRule="atLeast"/>
        </w:trPr>
        <w:tc>
          <w:tcPr>
            <w:tcW w:w="1990"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 草坪养护质量达标率</w:t>
            </w:r>
          </w:p>
        </w:tc>
        <w:tc>
          <w:tcPr>
            <w:tcW w:w="78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445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a.月度抽检达标率≥90%： 得15分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b.每降1%：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&lt;85%： 扣5分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(注：含修剪高度、杂草率≤5%、斑秃率≤1%、色泽、水肥)</w:t>
            </w:r>
          </w:p>
        </w:tc>
        <w:tc>
          <w:tcPr>
            <w:tcW w:w="14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月度现场抽检记录（照片+测量）、养护计划执行记录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69" w:hRule="atLeast"/>
        </w:trPr>
        <w:tc>
          <w:tcPr>
            <w:tcW w:w="1990"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 绿篱灌木造型与生长达标率</w:t>
            </w:r>
          </w:p>
        </w:tc>
        <w:tc>
          <w:tcPr>
            <w:tcW w:w="78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445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造型抽检达标率≥95%： 得10分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每降2%：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&lt;90%： 扣4分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生长不良率≤3%： 得5分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每超1%：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&gt;5%： 扣5分</w:t>
            </w:r>
          </w:p>
        </w:tc>
        <w:tc>
          <w:tcPr>
            <w:tcW w:w="14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月度造型修剪检查记录、黄叶/枯萎区域统计照片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85" w:hRule="atLeast"/>
        </w:trPr>
        <w:tc>
          <w:tcPr>
            <w:tcW w:w="1990"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 乔木养护规范与安全</w:t>
            </w:r>
          </w:p>
        </w:tc>
        <w:tc>
          <w:tcPr>
            <w:tcW w:w="78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445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枯/病枝清除及时率≥95%： 得4分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每降5%：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支撑/防寒完好率≥98%： 得4分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每降2%： 扣0.5分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c. 树木安全事故=0： 得4分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发生1起： 扣12分（重大事故一票否决）</w:t>
            </w:r>
          </w:p>
        </w:tc>
        <w:tc>
          <w:tcPr>
            <w:tcW w:w="14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巡查台账、支撑检查记录、安全隐患上报及处理记录、事故报告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73" w:hRule="atLeast"/>
        </w:trPr>
        <w:tc>
          <w:tcPr>
            <w:tcW w:w="1990"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 灌溉系统有效运行率</w:t>
            </w:r>
          </w:p>
        </w:tc>
        <w:tc>
          <w:tcPr>
            <w:tcW w:w="78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445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系统有效运行率≥95%： 得6分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每降2%：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&lt;90%： 扣4分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积水/无效灌溉率≤2%： 得4分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每超1%：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&gt;5%： 扣4分</w:t>
            </w:r>
          </w:p>
        </w:tc>
        <w:tc>
          <w:tcPr>
            <w:tcW w:w="14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灌溉控制器日志、巡检报修记录、现场照片（积水/喷头故障）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90"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 病虫害防治效果与安全</w:t>
            </w:r>
          </w:p>
        </w:tc>
        <w:tc>
          <w:tcPr>
            <w:tcW w:w="78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445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主要病虫害防治成功率≥85%： 得6分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每降5%：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&lt;75%： 扣4分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农药安全违规=0 &amp; 记录完整=100%： 得4分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违规1次/记录缺失： 扣4分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c. 药害投诉/事故=0： 得2分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发生1起： 扣2分</w:t>
            </w:r>
          </w:p>
        </w:tc>
        <w:tc>
          <w:tcPr>
            <w:tcW w:w="14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防治方案、施药记录（时间/浓度/地点）、效果评估照片、安全巡查、投诉记录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90"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 绿地卫生与杂草控制</w:t>
            </w:r>
          </w:p>
        </w:tc>
        <w:tc>
          <w:tcPr>
            <w:tcW w:w="78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445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月度抽检达标率≥90%： 得8分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每降2%：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&lt;85%： 扣4分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(注：含垃圾清除、非目标杂草控制)</w:t>
            </w:r>
          </w:p>
        </w:tc>
        <w:tc>
          <w:tcPr>
            <w:tcW w:w="14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月度卫生/杂草专项检查记录（照片+区域统计）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90"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 花卉景观效果保持度</w:t>
            </w:r>
          </w:p>
        </w:tc>
        <w:tc>
          <w:tcPr>
            <w:tcW w:w="78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445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观赏期月度抽检达标率≥90%： 得8分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每降5%：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&lt;80%： 扣4分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(注：含株型、花色、残花清理、缺株补植)</w:t>
            </w:r>
          </w:p>
        </w:tc>
        <w:tc>
          <w:tcPr>
            <w:tcW w:w="14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花期现场检查记录（照片）、节日布置验收报告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90"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 植物迁植调整成活率</w:t>
            </w:r>
          </w:p>
        </w:tc>
        <w:tc>
          <w:tcPr>
            <w:tcW w:w="78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445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当年度迁植/补种成活率≥90%： 得5分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每降5%：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&lt;80%： 扣3分</w:t>
            </w:r>
          </w:p>
        </w:tc>
        <w:tc>
          <w:tcPr>
            <w:tcW w:w="14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移栽任务清单、3-6个月后成活情况验收记录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90"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 机械安全操作与维护</w:t>
            </w:r>
          </w:p>
        </w:tc>
        <w:tc>
          <w:tcPr>
            <w:tcW w:w="78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445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重大安全违规=0 &amp; 保养执行率≥95%： 得8分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违规1次/保养率&lt;90%： 扣4分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责任性事故=0： 得2分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发生1起： 扣10分（一票否决）</w:t>
            </w:r>
          </w:p>
        </w:tc>
        <w:tc>
          <w:tcPr>
            <w:tcW w:w="14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设备保养记录、安全操作抽查、事故报告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90"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 物料使用规范与成本</w:t>
            </w:r>
          </w:p>
        </w:tc>
        <w:tc>
          <w:tcPr>
            <w:tcW w:w="78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445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肥料/农药用量科学管控（同比持平/降）： 得3分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不合理超耗5%：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超耗10%： 扣3分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浪费/异常损耗≤1次/季： 得2分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每超1次： 扣1分</w:t>
            </w:r>
          </w:p>
        </w:tc>
        <w:tc>
          <w:tcPr>
            <w:tcW w:w="14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物料领用台账、单位面积用量同比分析表、损耗报告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90"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总分</w:t>
            </w:r>
          </w:p>
        </w:tc>
        <w:tc>
          <w:tcPr>
            <w:tcW w:w="78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100</w:t>
            </w:r>
          </w:p>
        </w:tc>
        <w:tc>
          <w:tcPr>
            <w:tcW w:w="445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p>
        </w:tc>
        <w:tc>
          <w:tcPr>
            <w:tcW w:w="14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p>
        </w:tc>
      </w:tr>
    </w:tbl>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考核说明：</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1．权重分配依据：</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（1）核心景观质量 (38分)： 突出草坪(15</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)和绿篱灌木(15</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)的景观基础地位，花卉效果(8)强化视觉焦点。</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（2）生态安全红线 (24分)： 严控病虫害防治安全(6</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+4</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)与乔木安全(4</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+4</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+4</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)，重大事故一票否决。</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（3）资源效率管理 (20分)： 保障灌溉系统(10</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)高效节水，规范机械操作(</w:t>
      </w:r>
      <w:r>
        <w:rPr>
          <w:rFonts w:hint="eastAsia" w:ascii="仿宋_GB2312" w:hAnsi="仿宋_GB2312" w:eastAsia="仿宋_GB2312" w:cs="仿宋_GB2312"/>
          <w:sz w:val="24"/>
          <w:szCs w:val="24"/>
          <w:lang w:val="en-US" w:eastAsia="zh-CN"/>
        </w:rPr>
        <w:t>5分</w:t>
      </w:r>
      <w:r>
        <w:rPr>
          <w:rFonts w:hint="eastAsia" w:ascii="仿宋_GB2312" w:hAnsi="仿宋_GB2312" w:eastAsia="仿宋_GB2312" w:cs="仿宋_GB2312"/>
          <w:sz w:val="24"/>
          <w:szCs w:val="24"/>
        </w:rPr>
        <w:t>)及物料使用(5</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（4）基础养护要求 (18分)： 覆盖绿地卫生(8</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)、迁植成活(5</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)、乔木养护(5</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2．评分规则重点：</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（1）双重否决机制：</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A、重大安全事故： 乔木倒塌、机械伤人、农药中毒等直接扣至0分。</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B、系统性失效： 灌溉故障率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灌溉故障点位/总灌溉点位</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&gt;10%或病虫害防治成功率&lt;75%触发重罚。</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（2）量化阶梯清晰：</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A、达标率（如草坪、绿篱、卫生）采用每降</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%扣</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分。</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B、发生率（如生长不良、积水）采用每超</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%扣</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分。</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（3）动态科学对比：</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A、物料用量需结合历史数据与面积变化科学评估。</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B、病虫害防治效果需明确主要防治对象及基线数据。</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3．数据来源多维验证：</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（1）影像证据： 草坪斑秃、绿篱造型、花卉状态、积水点等必须附现场照片及GPS定位。</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（2）系统日志： 灌溉控制器数据、报修工单系统作为时效性依据。</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（3）书面记录： 农药领用单、施肥记录、机械保养表需签字存档。</w:t>
      </w:r>
    </w:p>
    <w:p>
      <w:pPr>
        <w:pStyle w:val="8"/>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（4）周期验收： 迁植成活率、节日花</w:t>
      </w:r>
      <w:r>
        <w:rPr>
          <w:rFonts w:hint="eastAsia" w:ascii="仿宋_GB2312" w:hAnsi="仿宋_GB2312" w:eastAsia="仿宋_GB2312" w:cs="仿宋_GB2312"/>
          <w:sz w:val="24"/>
          <w:szCs w:val="24"/>
          <w:lang w:eastAsia="zh-CN"/>
        </w:rPr>
        <w:t>。</w:t>
      </w:r>
    </w:p>
    <w:p>
      <w:pPr>
        <w:pStyle w:val="8"/>
        <w:rPr>
          <w:rFonts w:hint="eastAsia" w:ascii="仿宋_GB2312" w:hAnsi="仿宋_GB2312" w:eastAsia="仿宋_GB2312" w:cs="仿宋_GB2312"/>
          <w:sz w:val="24"/>
          <w:szCs w:val="24"/>
          <w:lang w:eastAsia="zh-CN"/>
        </w:rPr>
      </w:pPr>
    </w:p>
    <w:p>
      <w:pPr>
        <w:rPr>
          <w:rFonts w:hint="eastAsia" w:ascii="仿宋_GB2312" w:hAnsi="仿宋_GB2312" w:eastAsia="仿宋_GB2312" w:cs="仿宋_GB2312"/>
          <w:sz w:val="28"/>
          <w:szCs w:val="28"/>
          <w:lang w:eastAsia="zh-CN"/>
        </w:rPr>
      </w:pPr>
      <w:r>
        <w:rPr>
          <w:rFonts w:hint="eastAsia" w:ascii="仿宋_GB2312" w:hAnsi="仿宋_GB2312" w:eastAsia="仿宋_GB2312" w:cs="仿宋_GB2312"/>
          <w:bCs/>
          <w:sz w:val="28"/>
          <w:szCs w:val="28"/>
        </w:rPr>
        <w:t>★</w:t>
      </w:r>
      <w:r>
        <w:rPr>
          <w:rFonts w:hint="eastAsia" w:ascii="仿宋_GB2312" w:hAnsi="仿宋_GB2312" w:eastAsia="仿宋_GB2312" w:cs="仿宋_GB2312"/>
          <w:b/>
          <w:bCs/>
          <w:sz w:val="28"/>
          <w:szCs w:val="28"/>
        </w:rPr>
        <w:t>附件</w:t>
      </w:r>
      <w:r>
        <w:rPr>
          <w:rFonts w:hint="eastAsia" w:ascii="仿宋_GB2312" w:hAnsi="仿宋_GB2312" w:eastAsia="仿宋_GB2312" w:cs="仿宋_GB2312"/>
          <w:b/>
          <w:bCs/>
          <w:sz w:val="28"/>
          <w:szCs w:val="28"/>
          <w:lang w:eastAsia="zh-CN"/>
        </w:rPr>
        <w:t>五</w:t>
      </w:r>
    </w:p>
    <w:p>
      <w:pPr>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柳州城市职业学院学生</w:t>
      </w:r>
      <w:r>
        <w:rPr>
          <w:rStyle w:val="118"/>
          <w:rFonts w:hint="eastAsia" w:ascii="仿宋_GB2312" w:hAnsi="仿宋_GB2312" w:eastAsia="仿宋_GB2312" w:cs="仿宋_GB2312"/>
          <w:b/>
          <w:sz w:val="28"/>
          <w:szCs w:val="28"/>
        </w:rPr>
        <w:t>公寓管理</w:t>
      </w:r>
      <w:r>
        <w:rPr>
          <w:rFonts w:hint="eastAsia" w:ascii="仿宋_GB2312" w:hAnsi="仿宋_GB2312" w:eastAsia="仿宋_GB2312" w:cs="仿宋_GB2312"/>
          <w:b/>
          <w:sz w:val="28"/>
          <w:szCs w:val="28"/>
        </w:rPr>
        <w:t>质量考核细则</w:t>
      </w:r>
    </w:p>
    <w:p>
      <w:pPr>
        <w:jc w:val="left"/>
        <w:rPr>
          <w:rFonts w:ascii="仿宋_GB2312" w:eastAsia="仿宋_GB2312"/>
          <w:szCs w:val="21"/>
        </w:rPr>
      </w:pPr>
      <w:r>
        <w:rPr>
          <w:rFonts w:hint="eastAsia" w:ascii="仿宋_GB2312" w:eastAsia="仿宋_GB2312"/>
          <w:szCs w:val="21"/>
        </w:rPr>
        <w:t xml:space="preserve">    </w:t>
      </w:r>
    </w:p>
    <w:p>
      <w:pPr>
        <w:ind w:firstLine="240" w:firstLineChars="1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为做好物业服务企业服务质量考核工作，明确和细化《柳州城市职业学院物业服务企业监督管理办法》相关内容，结合学校实际制定本实施细则。本细则适用于在我校依据法定合同从事</w:t>
      </w:r>
      <w:r>
        <w:rPr>
          <w:rStyle w:val="118"/>
          <w:rFonts w:hint="eastAsia" w:ascii="仿宋_GB2312" w:hAnsi="仿宋_GB2312" w:eastAsia="仿宋_GB2312" w:cs="仿宋_GB2312"/>
          <w:sz w:val="24"/>
          <w:szCs w:val="24"/>
        </w:rPr>
        <w:t>公寓管理</w:t>
      </w:r>
      <w:r>
        <w:rPr>
          <w:rFonts w:hint="eastAsia" w:ascii="仿宋_GB2312" w:hAnsi="仿宋_GB2312" w:eastAsia="仿宋_GB2312" w:cs="仿宋_GB2312"/>
          <w:sz w:val="24"/>
          <w:szCs w:val="24"/>
        </w:rPr>
        <w:t>的各物业服务企业或其他实体，由学生工作处和国际教育学院组织考核。</w:t>
      </w:r>
    </w:p>
    <w:p>
      <w:pPr>
        <w:ind w:firstLine="361" w:firstLineChars="15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一、公寓管理岗位要求与服务标准</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1．实行24小时三班轮值制，严格遵守值班制度，坚守岗位，不脱岗，做好24小时的值班工作，保证通讯畅通。</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2．学生公寓门禁管理要求：</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（1）按时开、关公寓大门，公寓大门上午 6:30 开门，周日至周四</w:t>
      </w:r>
      <w:r>
        <w:rPr>
          <w:rFonts w:hint="eastAsia" w:ascii="仿宋_GB2312" w:hAnsi="仿宋_GB2312" w:eastAsia="仿宋_GB2312" w:cs="仿宋_GB2312"/>
          <w:sz w:val="24"/>
          <w:szCs w:val="24"/>
          <w:lang w:eastAsia="zh-CN"/>
        </w:rPr>
        <w:t>学生公寓</w:t>
      </w:r>
      <w:r>
        <w:rPr>
          <w:rFonts w:hint="eastAsia" w:ascii="仿宋_GB2312" w:hAnsi="仿宋_GB2312" w:eastAsia="仿宋_GB2312" w:cs="仿宋_GB2312"/>
          <w:sz w:val="24"/>
          <w:szCs w:val="24"/>
        </w:rPr>
        <w:t>晚上 22:30 关门，周五至周六晚上 23:00 关门。</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（2）未经学生管理部门许可，严禁学生进入异性公寓，访客进出要核实和登记后方可进入，未经审批的外来人员不得进入学生公寓。</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在门禁后，对进出学生做到“一核实二登记三放行”。门禁后出大门的学生，要核实出门原因，因疾病的要及时告知辅导员，做好记录。其它原因外出需有辅导员或值班老师的批假。门禁后晚归的学生，要先对照住宿名单，核实和登记；对不服从管理者硬闯、辱骂公寓管理员的学生，要依据管理要求予以处置，避免激化矛盾，并做好记录报主管。</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3．学生公寓安全管理要求：</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（1）维护公寓楼内公共秩序，发现打架斗殴等突发情况时，及时报告保卫处级值班老师，并到现场协助处理。</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对学生行为进行监督，定时对公寓楼进行巡查，白天巡查时间为上午9:00－11:00，下午14:30－16:30，晚上巡查时间为22:30—23:30，查看每层楼的整体情况，学生在公寓内的违规行为（如喝酒、赌博、大声喧哗影响他人休息），及时劝导，对屡教不改的公寓要做好记录报管理部门，其他时间要视工作需要做到不定期巡视，要求有工作记录。</w:t>
      </w:r>
    </w:p>
    <w:p>
      <w:pPr>
        <w:ind w:firstLine="360" w:firstLineChars="1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（3）国际教育学院</w:t>
      </w:r>
      <w:r>
        <w:rPr>
          <w:rFonts w:hint="eastAsia" w:ascii="仿宋_GB2312" w:hAnsi="仿宋_GB2312" w:eastAsia="仿宋_GB2312" w:cs="仿宋_GB2312"/>
          <w:color w:val="auto"/>
          <w:sz w:val="24"/>
          <w:szCs w:val="24"/>
          <w:lang w:eastAsia="zh-CN"/>
        </w:rPr>
        <w:t>学生公寓</w:t>
      </w:r>
      <w:r>
        <w:rPr>
          <w:rFonts w:hint="eastAsia" w:ascii="仿宋_GB2312" w:hAnsi="仿宋_GB2312" w:eastAsia="仿宋_GB2312" w:cs="仿宋_GB2312"/>
          <w:color w:val="auto"/>
          <w:sz w:val="24"/>
          <w:szCs w:val="24"/>
        </w:rPr>
        <w:t>要求每晚对在校国际学生进行晚点名，对照床位表和点名表一一核实现场比对，确保晚点名真实反映学生在寝情况，杜绝代答、冒名等行为（周日-周四22:30，周五-周六23:00）。</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（4）熟练掌握突发情况的应急处理流程，在发生火灾、地震、突发疾病等紧急情况时，第一时间到现场，采取初步措施，并迅速报告值班老师和相关部门。</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（5）负一楼的安全出口锤子，每天检查1次，如发现遗失及时反馈管理部门；安全出口门锁，每周打开1次，要有记录。</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（6）对携带重大物品进出，要上前询问，对可疑物品要求携带者打开检查，对学生携带酒等违禁物品进入公寓要制止，对贵重物品进出一律要求登记后方可放行。</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4．钥匙管理要求,妥善保管钥匙，学生公寓大门钥匙未经学生管理部门批准,不得出借；</w:t>
      </w:r>
      <w:r>
        <w:rPr>
          <w:rFonts w:hint="eastAsia" w:ascii="仿宋_GB2312" w:hAnsi="仿宋_GB2312" w:eastAsia="仿宋_GB2312" w:cs="仿宋_GB2312"/>
          <w:sz w:val="24"/>
          <w:szCs w:val="24"/>
          <w:lang w:eastAsia="zh-CN"/>
        </w:rPr>
        <w:t>公寓</w:t>
      </w:r>
      <w:r>
        <w:rPr>
          <w:rFonts w:hint="eastAsia" w:ascii="仿宋_GB2312" w:hAnsi="仿宋_GB2312" w:eastAsia="仿宋_GB2312" w:cs="仿宋_GB2312"/>
          <w:sz w:val="24"/>
          <w:szCs w:val="24"/>
        </w:rPr>
        <w:t>备用钥匙的管理，按规定办理学生临时借用和归还钥匙手续。</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5．公寓检查要求，每天对</w:t>
      </w:r>
      <w:r>
        <w:rPr>
          <w:rFonts w:hint="eastAsia" w:ascii="仿宋_GB2312" w:hAnsi="仿宋_GB2312" w:eastAsia="仿宋_GB2312" w:cs="仿宋_GB2312"/>
          <w:sz w:val="24"/>
          <w:szCs w:val="24"/>
          <w:lang w:eastAsia="zh-CN"/>
        </w:rPr>
        <w:t>公寓</w:t>
      </w:r>
      <w:r>
        <w:rPr>
          <w:rFonts w:hint="eastAsia" w:ascii="仿宋_GB2312" w:hAnsi="仿宋_GB2312" w:eastAsia="仿宋_GB2312" w:cs="仿宋_GB2312"/>
          <w:sz w:val="24"/>
          <w:szCs w:val="24"/>
        </w:rPr>
        <w:t>内安全卫生等情况进行检查，发现有违规行为如违规使用电器、带入动物、明火蚊香等，当天要记录好在</w:t>
      </w:r>
      <w:r>
        <w:rPr>
          <w:rFonts w:hint="eastAsia" w:ascii="仿宋_GB2312" w:hAnsi="仿宋_GB2312" w:eastAsia="仿宋_GB2312" w:cs="仿宋_GB2312"/>
          <w:sz w:val="24"/>
          <w:szCs w:val="24"/>
          <w:lang w:eastAsia="zh-CN"/>
        </w:rPr>
        <w:t>公寓</w:t>
      </w:r>
      <w:r>
        <w:rPr>
          <w:rFonts w:hint="eastAsia" w:ascii="仿宋_GB2312" w:hAnsi="仿宋_GB2312" w:eastAsia="仿宋_GB2312" w:cs="仿宋_GB2312"/>
          <w:sz w:val="24"/>
          <w:szCs w:val="24"/>
        </w:rPr>
        <w:t>管理系统反馈，次日复查整改情况，每月要检查一遍所有</w:t>
      </w:r>
      <w:r>
        <w:rPr>
          <w:rFonts w:hint="eastAsia" w:ascii="仿宋_GB2312" w:hAnsi="仿宋_GB2312" w:eastAsia="仿宋_GB2312" w:cs="仿宋_GB2312"/>
          <w:sz w:val="24"/>
          <w:szCs w:val="24"/>
          <w:lang w:eastAsia="zh-CN"/>
        </w:rPr>
        <w:t>公寓</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rPr>
        <w:sym w:font="Wingdings" w:char="F020"/>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6．维修报修要求，协助学生报修，对于急需维修项目，如水管爆裂或厕所反水等，要及时联系物业维修人员进行处理，并跟进维修进度，对学生的询问，做好答复。</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7．住宿和退宿管理要求，按规定开展办理学生入住和退宿，开展学生外出实习或毕业离校公寓移交验收工作。每年暑假学生退宿公寓移交后，组织人员进行彻底清洁，经学生管理部门组织验收合格。</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空公寓管理要求,检查公寓内水电、家具等情况,需维修的及时报修,跟进维修直至公寓能正常入住状态；电源水源、厕所门和阳台玻璃门处于关闭状态，每天检查空公寓门是否锁好，每周打开门锁检查是否存在异常情况。</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9．信息报告和传达要求，做好停水、停电等相关信息传达工作；及时、准确地向学生管理部门报告重要情况、突发事件、安全隐患和学生异常动态，不泄漏学生个人信息和个人隐私，不传播负面消息。</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10．文明引导要求，协助引导学生遵守公寓管理规定，养成文明卫生习惯。</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11．完成学校交办的公寓迎检等临时工作任务。</w:t>
      </w:r>
    </w:p>
    <w:p>
      <w:pPr>
        <w:snapToGrid w:val="0"/>
        <w:spacing w:line="440" w:lineRule="exact"/>
        <w:ind w:firstLine="361" w:firstLineChars="150"/>
        <w:rPr>
          <w:rStyle w:val="118"/>
          <w:rFonts w:hint="eastAsia" w:ascii="仿宋_GB2312" w:hAnsi="仿宋_GB2312" w:eastAsia="仿宋_GB2312" w:cs="仿宋_GB2312"/>
          <w:b/>
          <w:sz w:val="24"/>
          <w:szCs w:val="24"/>
        </w:rPr>
      </w:pPr>
      <w:r>
        <w:rPr>
          <w:rStyle w:val="118"/>
          <w:rFonts w:hint="eastAsia" w:ascii="仿宋_GB2312" w:hAnsi="仿宋_GB2312" w:eastAsia="仿宋_GB2312" w:cs="仿宋_GB2312"/>
          <w:b/>
          <w:sz w:val="24"/>
          <w:szCs w:val="24"/>
        </w:rPr>
        <w:t>二、学生公寓管理的考核要点</w:t>
      </w:r>
    </w:p>
    <w:tbl>
      <w:tblPr>
        <w:tblStyle w:val="48"/>
        <w:tblW w:w="89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4211"/>
        <w:gridCol w:w="709"/>
        <w:gridCol w:w="3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4211"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标准内容</w:t>
            </w:r>
          </w:p>
        </w:tc>
        <w:tc>
          <w:tcPr>
            <w:tcW w:w="709"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分值</w:t>
            </w:r>
          </w:p>
        </w:tc>
        <w:tc>
          <w:tcPr>
            <w:tcW w:w="3374"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监管评价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675"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211"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实行24小时三班轮值制，严格遵守值班制度，坚守岗位，不脱岗，做好24小时的值班工作，保证通讯畅通</w:t>
            </w:r>
          </w:p>
        </w:tc>
        <w:tc>
          <w:tcPr>
            <w:tcW w:w="709"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10分</w:t>
            </w:r>
          </w:p>
        </w:tc>
        <w:tc>
          <w:tcPr>
            <w:tcW w:w="3374"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上班时间刷视频、玩手机等，发现1次</w:t>
            </w:r>
            <w:r>
              <w:rPr>
                <w:rFonts w:hint="eastAsia" w:ascii="仿宋_GB2312" w:hAnsi="仿宋_GB2312" w:eastAsia="仿宋_GB2312" w:cs="仿宋_GB2312"/>
                <w:sz w:val="24"/>
                <w:szCs w:val="24"/>
                <w:lang w:val="en-US" w:eastAsia="zh-CN"/>
              </w:rPr>
              <w:t>扣</w:t>
            </w:r>
            <w:r>
              <w:rPr>
                <w:rFonts w:hint="eastAsia" w:ascii="仿宋_GB2312" w:hAnsi="仿宋_GB2312" w:eastAsia="仿宋_GB2312" w:cs="仿宋_GB2312"/>
                <w:sz w:val="24"/>
                <w:szCs w:val="24"/>
              </w:rPr>
              <w:t>0.5分，出现1次脱岗扣1分。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5"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211"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 1 \* GB3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①</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公寓大门上午 6:30 开门，周日至周四</w:t>
            </w:r>
            <w:r>
              <w:rPr>
                <w:rFonts w:hint="eastAsia" w:ascii="仿宋_GB2312" w:hAnsi="仿宋_GB2312" w:eastAsia="仿宋_GB2312" w:cs="仿宋_GB2312"/>
                <w:sz w:val="24"/>
                <w:szCs w:val="24"/>
                <w:lang w:eastAsia="zh-CN"/>
              </w:rPr>
              <w:t>学生公寓</w:t>
            </w:r>
            <w:r>
              <w:rPr>
                <w:rFonts w:hint="eastAsia" w:ascii="仿宋_GB2312" w:hAnsi="仿宋_GB2312" w:eastAsia="仿宋_GB2312" w:cs="仿宋_GB2312"/>
                <w:sz w:val="24"/>
                <w:szCs w:val="24"/>
              </w:rPr>
              <w:t>晚上 22:30 关门，周五至周六晚上 23:00 关门。</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 2 \* GB3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②</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未经学生管理部门许可，严禁学生进入异性公寓，访客进出要核实和登记后方可进入。</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 3 \* GB3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③</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在门禁后，对进出学生做到“一核实二登记三放行”。门禁后出大门的学生，要核实出门原因，因疾病的要及时告知辅导员，做好记录。门禁后晚归的学生，要先对照住宿名单，核实和登记</w:t>
            </w:r>
          </w:p>
        </w:tc>
        <w:tc>
          <w:tcPr>
            <w:tcW w:w="709"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10分</w:t>
            </w:r>
          </w:p>
        </w:tc>
        <w:tc>
          <w:tcPr>
            <w:tcW w:w="3374"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 1 \* GB3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①</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不按规定时间开关大门的，扣0.5分/次；</w:t>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 2 \* GB3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②</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异性或访客未经学生管理部门许可进入公寓的，扣0.5分/人次。</w:t>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 3 \* GB3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③</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对早出、晚归学生不核实登记的，扣0.1分/人次。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211"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 1 \* GB3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①</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维护公寓楼内公共秩序，发现打架斗殴等突发情况时，及时报告保卫处</w:t>
            </w:r>
            <w:r>
              <w:rPr>
                <w:rFonts w:hint="eastAsia" w:ascii="仿宋_GB2312" w:hAnsi="仿宋_GB2312" w:eastAsia="仿宋_GB2312" w:cs="仿宋_GB2312"/>
                <w:sz w:val="24"/>
                <w:szCs w:val="24"/>
                <w:lang w:val="en-US" w:eastAsia="zh-CN"/>
              </w:rPr>
              <w:t>及</w:t>
            </w:r>
            <w:r>
              <w:rPr>
                <w:rFonts w:hint="eastAsia" w:ascii="仿宋_GB2312" w:hAnsi="仿宋_GB2312" w:eastAsia="仿宋_GB2312" w:cs="仿宋_GB2312"/>
                <w:sz w:val="24"/>
                <w:szCs w:val="24"/>
              </w:rPr>
              <w:t>值班老师，并到现场协助处理。</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 2 \* GB3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②</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对学生行为进行监督，定时对公寓楼进行巡查，白天巡查时间为上午9:00－11:00，下午14:30－16:30，晚上巡查时间为22:30—23:30。</w:t>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 3 \* GB3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③</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在发生紧急情况时，第一时间到现场，采取初步措施，并迅速报告值班老师和相关部门。</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 4 \* GB3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④</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负一楼的安全出口锤子，每天检查1次，安全出口门锁，每周打开1次，要有记录。</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 5 \* GB3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⑤</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对携带重大物品进出，要上前询问，对可疑物品要求携带者打开检查，对学生携带酒等违禁物品进入公寓要制止，对贵重物品进出一律要求登记后方可放行。</w:t>
            </w:r>
          </w:p>
        </w:tc>
        <w:tc>
          <w:tcPr>
            <w:tcW w:w="709"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20分</w:t>
            </w:r>
          </w:p>
        </w:tc>
        <w:tc>
          <w:tcPr>
            <w:tcW w:w="3374"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 1 \* GB3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①</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发生突发情况不处理或不报告的，扣0.5分/次；</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 2 \* GB3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②</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公寓楼巡查或负一楼的安全出口检查无记录的，扣0.1分/次；</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 3 \* GB3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③</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对可疑物品不检查的，扣0.1分/次，对学生携带酒等违禁物品进入公寓未加制止，扣0.1分/次。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211"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学生公寓大门钥匙未经学生管理部门批准,不得出借；公寓备用钥匙的管理，按规定办理学生临时借用和归还钥匙手续。</w:t>
            </w:r>
          </w:p>
        </w:tc>
        <w:tc>
          <w:tcPr>
            <w:tcW w:w="709"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10分</w:t>
            </w:r>
          </w:p>
        </w:tc>
        <w:tc>
          <w:tcPr>
            <w:tcW w:w="3374"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未经学生管理部门批准出借大门钥匙，每次扣0.5分。出现公寓备用钥匙遗失的，扣0.1分/把。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4211"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每天对公寓内安全卫生等情况进行检查，发现有违规行为如违规使用电器、带入动物、明火蚊香等，当天要记录好在</w:t>
            </w:r>
            <w:r>
              <w:rPr>
                <w:rFonts w:hint="eastAsia" w:ascii="仿宋_GB2312" w:hAnsi="仿宋_GB2312" w:eastAsia="仿宋_GB2312" w:cs="仿宋_GB2312"/>
                <w:sz w:val="24"/>
                <w:szCs w:val="24"/>
                <w:lang w:eastAsia="zh-CN"/>
              </w:rPr>
              <w:t>公寓</w:t>
            </w:r>
            <w:r>
              <w:rPr>
                <w:rFonts w:hint="eastAsia" w:ascii="仿宋_GB2312" w:hAnsi="仿宋_GB2312" w:eastAsia="仿宋_GB2312" w:cs="仿宋_GB2312"/>
                <w:sz w:val="24"/>
                <w:szCs w:val="24"/>
              </w:rPr>
              <w:t>管理系统反馈，次日复查整改情况，每月要检查一遍所有</w:t>
            </w:r>
            <w:r>
              <w:rPr>
                <w:rFonts w:hint="eastAsia" w:ascii="仿宋_GB2312" w:hAnsi="仿宋_GB2312" w:eastAsia="仿宋_GB2312" w:cs="仿宋_GB2312"/>
                <w:sz w:val="24"/>
                <w:szCs w:val="24"/>
                <w:lang w:eastAsia="zh-CN"/>
              </w:rPr>
              <w:t>公寓</w:t>
            </w:r>
            <w:r>
              <w:rPr>
                <w:rFonts w:hint="eastAsia" w:ascii="仿宋_GB2312" w:hAnsi="仿宋_GB2312" w:eastAsia="仿宋_GB2312" w:cs="仿宋_GB2312"/>
                <w:sz w:val="24"/>
                <w:szCs w:val="24"/>
              </w:rPr>
              <w:t>。</w:t>
            </w:r>
          </w:p>
        </w:tc>
        <w:tc>
          <w:tcPr>
            <w:tcW w:w="709"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18分</w:t>
            </w:r>
          </w:p>
        </w:tc>
        <w:tc>
          <w:tcPr>
            <w:tcW w:w="3374"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一月内未能完成检查任务的，每栋楼扣1分/月；对学生在公寓内的违纪行为不记录上报的，扣0.1分/次；不复查整改情况的，扣0.1/间公寓。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675"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4211"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协助学生报修，对于急需维修项目，如水管爆裂或厕所反水等，要及时联系物业维修人员进行处理，并跟进维修进度，对学生的询问，做好答复。</w:t>
            </w:r>
          </w:p>
        </w:tc>
        <w:tc>
          <w:tcPr>
            <w:tcW w:w="709"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5分</w:t>
            </w:r>
          </w:p>
        </w:tc>
        <w:tc>
          <w:tcPr>
            <w:tcW w:w="3374"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学生反映急需维修项目不及时联系物业维修人员进行处理的，扣0.5分/次；对学生的询问不答复的，扣0.1分/次。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4211"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办理学生入住和退宿，按规定开展学生外出实习或毕业离校公寓移交验收工作。每年暑假学生退宿公寓移交后，组织人员进行彻底清洁，经学生管理部门组织验收合格。</w:t>
            </w:r>
          </w:p>
        </w:tc>
        <w:tc>
          <w:tcPr>
            <w:tcW w:w="709"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10分</w:t>
            </w:r>
          </w:p>
        </w:tc>
        <w:tc>
          <w:tcPr>
            <w:tcW w:w="3374"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不按规定验收公寓的，扣0.1分/间；暑假公寓进行彻底清洁后，新生入住时发现不合格的，扣0.1分/间。</w:t>
            </w:r>
          </w:p>
          <w:p>
            <w:pP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4211"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空公寓管理要求,检查</w:t>
            </w:r>
            <w:r>
              <w:rPr>
                <w:rFonts w:hint="eastAsia" w:ascii="仿宋_GB2312" w:hAnsi="仿宋_GB2312" w:eastAsia="仿宋_GB2312" w:cs="仿宋_GB2312"/>
                <w:sz w:val="24"/>
                <w:szCs w:val="24"/>
                <w:lang w:eastAsia="zh-CN"/>
              </w:rPr>
              <w:t>公寓</w:t>
            </w:r>
            <w:r>
              <w:rPr>
                <w:rFonts w:hint="eastAsia" w:ascii="仿宋_GB2312" w:hAnsi="仿宋_GB2312" w:eastAsia="仿宋_GB2312" w:cs="仿宋_GB2312"/>
                <w:sz w:val="24"/>
                <w:szCs w:val="24"/>
              </w:rPr>
              <w:t>内水电、家具等情况,需维修的及时报修,跟进维修直至</w:t>
            </w:r>
            <w:r>
              <w:rPr>
                <w:rFonts w:hint="eastAsia" w:ascii="仿宋_GB2312" w:hAnsi="仿宋_GB2312" w:eastAsia="仿宋_GB2312" w:cs="仿宋_GB2312"/>
                <w:sz w:val="24"/>
                <w:szCs w:val="24"/>
                <w:lang w:eastAsia="zh-CN"/>
              </w:rPr>
              <w:t>公寓</w:t>
            </w:r>
            <w:r>
              <w:rPr>
                <w:rFonts w:hint="eastAsia" w:ascii="仿宋_GB2312" w:hAnsi="仿宋_GB2312" w:eastAsia="仿宋_GB2312" w:cs="仿宋_GB2312"/>
                <w:sz w:val="24"/>
                <w:szCs w:val="24"/>
              </w:rPr>
              <w:t>能正常入住状态；电源水源、厕所门和阳台玻璃门处于关闭状态，每天检查空</w:t>
            </w:r>
            <w:r>
              <w:rPr>
                <w:rFonts w:hint="eastAsia" w:ascii="仿宋_GB2312" w:hAnsi="仿宋_GB2312" w:eastAsia="仿宋_GB2312" w:cs="仿宋_GB2312"/>
                <w:sz w:val="24"/>
                <w:szCs w:val="24"/>
                <w:lang w:eastAsia="zh-CN"/>
              </w:rPr>
              <w:t>公寓</w:t>
            </w:r>
            <w:r>
              <w:rPr>
                <w:rFonts w:hint="eastAsia" w:ascii="仿宋_GB2312" w:hAnsi="仿宋_GB2312" w:eastAsia="仿宋_GB2312" w:cs="仿宋_GB2312"/>
                <w:sz w:val="24"/>
                <w:szCs w:val="24"/>
              </w:rPr>
              <w:t>门是否锁好，每周打开门锁检查是否存在异常情况。</w:t>
            </w:r>
          </w:p>
        </w:tc>
        <w:tc>
          <w:tcPr>
            <w:tcW w:w="709"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10分</w:t>
            </w:r>
          </w:p>
        </w:tc>
        <w:tc>
          <w:tcPr>
            <w:tcW w:w="3374"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空</w:t>
            </w:r>
            <w:r>
              <w:rPr>
                <w:rFonts w:hint="eastAsia" w:ascii="仿宋_GB2312" w:hAnsi="仿宋_GB2312" w:eastAsia="仿宋_GB2312" w:cs="仿宋_GB2312"/>
                <w:sz w:val="24"/>
                <w:szCs w:val="24"/>
                <w:lang w:eastAsia="zh-CN"/>
              </w:rPr>
              <w:t>公寓</w:t>
            </w:r>
            <w:r>
              <w:rPr>
                <w:rFonts w:hint="eastAsia" w:ascii="仿宋_GB2312" w:hAnsi="仿宋_GB2312" w:eastAsia="仿宋_GB2312" w:cs="仿宋_GB2312"/>
                <w:sz w:val="24"/>
                <w:szCs w:val="24"/>
              </w:rPr>
              <w:t>电源水源、厕所门和阳台玻璃门不关闭的，扣0.1分/间；门锁被打开，未及时发现的，扣0.1分/间。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w:t>
            </w:r>
          </w:p>
        </w:tc>
        <w:tc>
          <w:tcPr>
            <w:tcW w:w="4211"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做好停水、停电等相关信息传达工作；及时、准确地向学生管理部门报告重要情况、突发事件、安全隐患和学生异常动态，不泄漏学生个人信息和个人隐私，不传播负面消息。</w:t>
            </w:r>
          </w:p>
        </w:tc>
        <w:tc>
          <w:tcPr>
            <w:tcW w:w="709"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5分</w:t>
            </w:r>
          </w:p>
        </w:tc>
        <w:tc>
          <w:tcPr>
            <w:tcW w:w="3374"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不按要求传达停水、停电等相关信息的，扣0.1分/次；泄漏学生个人信息和个人隐私，或传播负面消息的扣5分/次。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4211"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完成学校交办的</w:t>
            </w:r>
            <w:r>
              <w:rPr>
                <w:rFonts w:hint="eastAsia" w:ascii="仿宋_GB2312" w:hAnsi="仿宋_GB2312" w:eastAsia="仿宋_GB2312" w:cs="仿宋_GB2312"/>
                <w:sz w:val="24"/>
                <w:szCs w:val="24"/>
                <w:lang w:eastAsia="zh-CN"/>
              </w:rPr>
              <w:t>公寓</w:t>
            </w:r>
            <w:r>
              <w:rPr>
                <w:rFonts w:hint="eastAsia" w:ascii="仿宋_GB2312" w:hAnsi="仿宋_GB2312" w:eastAsia="仿宋_GB2312" w:cs="仿宋_GB2312"/>
                <w:sz w:val="24"/>
                <w:szCs w:val="24"/>
              </w:rPr>
              <w:t>迎检等临时工作任务。</w:t>
            </w:r>
          </w:p>
        </w:tc>
        <w:tc>
          <w:tcPr>
            <w:tcW w:w="709"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2分</w:t>
            </w:r>
          </w:p>
        </w:tc>
        <w:tc>
          <w:tcPr>
            <w:tcW w:w="3374"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不按要求完成，出现1次扣0.5分。</w:t>
            </w:r>
          </w:p>
        </w:tc>
      </w:tr>
    </w:tbl>
    <w:p>
      <w:pPr>
        <w:pStyle w:val="216"/>
        <w:spacing w:line="380" w:lineRule="exact"/>
        <w:ind w:right="42" w:rightChars="20" w:firstLine="420" w:firstLineChars="200"/>
        <w:rPr>
          <w:rStyle w:val="118"/>
          <w:rFonts w:hint="default" w:ascii="仿宋_GB2312" w:hAnsi="仿宋_GB2312" w:eastAsia="仿宋_GB2312" w:cs="仿宋_GB2312"/>
        </w:rPr>
      </w:pPr>
    </w:p>
    <w:p>
      <w:pPr>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bCs/>
          <w:color w:val="auto"/>
          <w:sz w:val="28"/>
          <w:szCs w:val="28"/>
        </w:rPr>
        <w:t>★</w:t>
      </w:r>
      <w:r>
        <w:rPr>
          <w:rFonts w:hint="eastAsia" w:ascii="仿宋_GB2312" w:hAnsi="仿宋_GB2312" w:eastAsia="仿宋_GB2312" w:cs="仿宋_GB2312"/>
          <w:b/>
          <w:bCs/>
          <w:color w:val="auto"/>
          <w:sz w:val="28"/>
          <w:szCs w:val="28"/>
        </w:rPr>
        <w:t>附件</w:t>
      </w:r>
      <w:r>
        <w:rPr>
          <w:rFonts w:hint="eastAsia" w:ascii="仿宋_GB2312" w:hAnsi="仿宋_GB2312" w:eastAsia="仿宋_GB2312" w:cs="仿宋_GB2312"/>
          <w:b/>
          <w:bCs/>
          <w:color w:val="auto"/>
          <w:sz w:val="28"/>
          <w:szCs w:val="28"/>
          <w:lang w:eastAsia="zh-CN"/>
        </w:rPr>
        <w:t>六</w:t>
      </w:r>
    </w:p>
    <w:p>
      <w:pPr>
        <w:jc w:val="center"/>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柳州城市职业学院学员</w:t>
      </w:r>
      <w:r>
        <w:rPr>
          <w:rStyle w:val="118"/>
          <w:rFonts w:hint="eastAsia" w:ascii="仿宋_GB2312" w:hAnsi="仿宋_GB2312" w:eastAsia="仿宋_GB2312" w:cs="仿宋_GB2312"/>
          <w:b/>
          <w:color w:val="auto"/>
          <w:sz w:val="28"/>
          <w:szCs w:val="28"/>
        </w:rPr>
        <w:t>公寓管理</w:t>
      </w:r>
      <w:r>
        <w:rPr>
          <w:rFonts w:hint="eastAsia" w:ascii="仿宋_GB2312" w:hAnsi="仿宋_GB2312" w:eastAsia="仿宋_GB2312" w:cs="仿宋_GB2312"/>
          <w:b/>
          <w:color w:val="auto"/>
          <w:sz w:val="28"/>
          <w:szCs w:val="28"/>
        </w:rPr>
        <w:t>质量考核细则</w:t>
      </w:r>
    </w:p>
    <w:p>
      <w:pPr>
        <w:jc w:val="left"/>
        <w:rPr>
          <w:rFonts w:ascii="仿宋_GB2312" w:eastAsia="仿宋_GB2312"/>
          <w:color w:val="auto"/>
          <w:szCs w:val="21"/>
        </w:rPr>
      </w:pPr>
      <w:r>
        <w:rPr>
          <w:rFonts w:hint="eastAsia" w:ascii="仿宋_GB2312" w:eastAsia="仿宋_GB2312"/>
          <w:color w:val="auto"/>
          <w:szCs w:val="21"/>
        </w:rPr>
        <w:t xml:space="preserve">    </w:t>
      </w:r>
    </w:p>
    <w:p>
      <w:pPr>
        <w:ind w:firstLine="360" w:firstLineChars="1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为做好物业服务企业服务质量考核工作，明确和细化《柳州城市职业学院物业服务企业监督管理办法》相关内容，结合学校实际制定本实施细则。本细则适用于在我校依据法定合同从事学员</w:t>
      </w:r>
      <w:r>
        <w:rPr>
          <w:rStyle w:val="118"/>
          <w:rFonts w:hint="eastAsia" w:ascii="仿宋_GB2312" w:hAnsi="仿宋_GB2312" w:eastAsia="仿宋_GB2312" w:cs="仿宋_GB2312"/>
          <w:color w:val="auto"/>
          <w:sz w:val="24"/>
          <w:szCs w:val="24"/>
        </w:rPr>
        <w:t>公寓管理</w:t>
      </w:r>
      <w:r>
        <w:rPr>
          <w:rFonts w:hint="eastAsia" w:ascii="仿宋_GB2312" w:hAnsi="仿宋_GB2312" w:eastAsia="仿宋_GB2312" w:cs="仿宋_GB2312"/>
          <w:color w:val="auto"/>
          <w:sz w:val="24"/>
          <w:szCs w:val="24"/>
        </w:rPr>
        <w:t>的各物业服务企业或其他实体，由开放学院组织考核。</w:t>
      </w:r>
    </w:p>
    <w:p>
      <w:pPr>
        <w:ind w:firstLine="361" w:firstLineChars="150"/>
        <w:rPr>
          <w:rFonts w:hint="eastAsia" w:ascii="仿宋_GB2312" w:hAnsi="仿宋_GB2312" w:eastAsia="仿宋_GB2312" w:cs="仿宋_GB2312"/>
          <w:color w:val="auto"/>
          <w:sz w:val="24"/>
          <w:szCs w:val="24"/>
        </w:rPr>
      </w:pPr>
      <w:r>
        <w:rPr>
          <w:rFonts w:hint="eastAsia" w:ascii="仿宋_GB2312" w:hAnsi="仿宋_GB2312" w:eastAsia="仿宋_GB2312" w:cs="仿宋_GB2312"/>
          <w:b/>
          <w:color w:val="auto"/>
          <w:sz w:val="24"/>
          <w:szCs w:val="24"/>
        </w:rPr>
        <w:t>一、</w:t>
      </w:r>
      <w:r>
        <w:rPr>
          <w:rStyle w:val="118"/>
          <w:rFonts w:hint="eastAsia" w:ascii="仿宋_GB2312" w:hAnsi="仿宋_GB2312" w:eastAsia="仿宋_GB2312" w:cs="仿宋_GB2312"/>
          <w:b/>
          <w:color w:val="auto"/>
          <w:sz w:val="24"/>
          <w:szCs w:val="24"/>
        </w:rPr>
        <w:t>服务标准及考核要点</w:t>
      </w:r>
    </w:p>
    <w:p>
      <w:pPr>
        <w:ind w:firstLine="360" w:firstLineChars="150"/>
        <w:rPr>
          <w:rFonts w:hint="eastAsia" w:ascii="仿宋_GB2312" w:hAnsi="仿宋_GB2312" w:eastAsia="仿宋_GB2312" w:cs="仿宋_GB2312"/>
          <w:color w:val="auto"/>
          <w:sz w:val="24"/>
          <w:szCs w:val="24"/>
        </w:rPr>
      </w:pPr>
      <w:r>
        <w:rPr>
          <w:rStyle w:val="118"/>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rPr>
        <w:t>综合性服务管理标准</w:t>
      </w:r>
    </w:p>
    <w:p>
      <w:pPr>
        <w:ind w:firstLine="360" w:firstLineChars="1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（1）前台接待：入住、退房手续办理时间≤5 分钟/人，身份信息登记准确</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准确数/总登记数</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 xml:space="preserve"> 100%，预订、咨询响应及时率</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1分钟内响应</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 xml:space="preserve"> 100%。热情、耐心地接听预订电话与解答咨询，针对住客疑问，需在 1 分钟内给予专业回复，为住客提供便捷、准确的预订服务。</w:t>
      </w:r>
    </w:p>
    <w:p>
      <w:pPr>
        <w:ind w:firstLine="360" w:firstLineChars="1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lang w:eastAsia="zh-CN"/>
        </w:rPr>
        <w:t>管理</w:t>
      </w:r>
      <w:r>
        <w:rPr>
          <w:rFonts w:hint="eastAsia" w:ascii="仿宋_GB2312" w:hAnsi="仿宋_GB2312" w:eastAsia="仿宋_GB2312" w:cs="仿宋_GB2312"/>
          <w:color w:val="auto"/>
          <w:sz w:val="24"/>
          <w:szCs w:val="24"/>
        </w:rPr>
        <w:t>服务：</w:t>
      </w:r>
      <w:r>
        <w:rPr>
          <w:rFonts w:hint="eastAsia" w:ascii="仿宋_GB2312" w:hAnsi="仿宋_GB2312" w:eastAsia="仿宋_GB2312" w:cs="仿宋_GB2312"/>
          <w:color w:val="auto"/>
          <w:sz w:val="24"/>
          <w:szCs w:val="24"/>
          <w:lang w:eastAsia="zh-CN"/>
        </w:rPr>
        <w:t>管理</w:t>
      </w:r>
      <w:r>
        <w:rPr>
          <w:rFonts w:hint="eastAsia" w:ascii="仿宋_GB2312" w:hAnsi="仿宋_GB2312" w:eastAsia="仿宋_GB2312" w:cs="仿宋_GB2312"/>
          <w:color w:val="auto"/>
          <w:sz w:val="24"/>
          <w:szCs w:val="24"/>
        </w:rPr>
        <w:t>清洁需在住客退房后 1 小时内完成，布草更换 100%，房间物品配备齐全</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配齐间数/总间数</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 xml:space="preserve"> 100%；公共区域每日清扫不少于 3 次，垃圾</w:t>
      </w:r>
      <w:r>
        <w:rPr>
          <w:rFonts w:hint="default" w:ascii="仿宋_GB2312" w:hAnsi="仿宋_GB2312" w:eastAsia="仿宋_GB2312" w:cs="仿宋_GB2312"/>
          <w:color w:val="auto"/>
          <w:sz w:val="24"/>
          <w:szCs w:val="24"/>
        </w:rPr>
        <w:t>清理</w:t>
      </w:r>
      <w:r>
        <w:rPr>
          <w:rFonts w:hint="eastAsia" w:ascii="仿宋_GB2312" w:hAnsi="仿宋_GB2312" w:eastAsia="仿宋_GB2312" w:cs="仿宋_GB2312"/>
          <w:color w:val="auto"/>
          <w:sz w:val="24"/>
          <w:szCs w:val="24"/>
        </w:rPr>
        <w:t>及时，保持公共区域无杂物堆积、无异味。</w:t>
      </w:r>
    </w:p>
    <w:p>
      <w:pPr>
        <w:ind w:firstLine="360" w:firstLineChars="150"/>
        <w:rPr>
          <w:rFonts w:hint="eastAsia" w:ascii="仿宋_GB2312" w:hAnsi="仿宋_GB2312" w:eastAsia="仿宋_GB2312" w:cs="仿宋_GB2312"/>
          <w:color w:val="auto"/>
          <w:sz w:val="24"/>
          <w:szCs w:val="24"/>
        </w:rPr>
      </w:pPr>
      <w:r>
        <w:rPr>
          <w:rStyle w:val="118"/>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rPr>
        <w:t>服务导向标准</w:t>
      </w:r>
    </w:p>
    <w:p>
      <w:pPr>
        <w:ind w:firstLine="360" w:firstLineChars="1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（1）需求响应：住客需求 30 分钟内首次响应，紧急维修2小时内维修人员到场，常规需求24小时内反馈解决方案，需求处理完成后72小时内进行回访。（紧急维修清单：水电中断、门锁故障、管道漏水、热水器故障等影响住客基本居住的维修；常规维修：灯具损坏、小物件更换、家具松动等）</w:t>
      </w:r>
    </w:p>
    <w:p>
      <w:pPr>
        <w:ind w:firstLine="360" w:firstLineChars="1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（2）满意度管理：积极收集住客意见与建议，通过</w:t>
      </w:r>
      <w:r>
        <w:rPr>
          <w:rFonts w:hint="eastAsia" w:ascii="仿宋_GB2312" w:hAnsi="仿宋_GB2312" w:eastAsia="仿宋_GB2312" w:cs="仿宋_GB2312"/>
          <w:color w:val="auto"/>
          <w:sz w:val="24"/>
          <w:szCs w:val="24"/>
          <w:lang w:eastAsia="zh-CN"/>
        </w:rPr>
        <w:t>住客问卷</w:t>
      </w:r>
      <w:r>
        <w:rPr>
          <w:rFonts w:hint="eastAsia" w:ascii="仿宋_GB2312" w:hAnsi="仿宋_GB2312" w:eastAsia="仿宋_GB2312" w:cs="仿宋_GB2312"/>
          <w:color w:val="auto"/>
          <w:sz w:val="24"/>
          <w:szCs w:val="24"/>
        </w:rPr>
        <w:t>、电话回访等方式，住客整体满意度</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住客满意人数/总问卷（电话回访）住客人数</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不低于 95%，针对住客提出的意见和建议，需在 3 个工作日内制定初步改进措施。</w:t>
      </w:r>
    </w:p>
    <w:p>
      <w:pPr>
        <w:ind w:firstLine="360" w:firstLineChars="150"/>
        <w:rPr>
          <w:rFonts w:hint="eastAsia" w:ascii="仿宋_GB2312" w:hAnsi="仿宋_GB2312" w:eastAsia="仿宋_GB2312" w:cs="仿宋_GB2312"/>
          <w:color w:val="auto"/>
          <w:sz w:val="24"/>
          <w:szCs w:val="24"/>
        </w:rPr>
      </w:pPr>
      <w:r>
        <w:rPr>
          <w:rStyle w:val="118"/>
          <w:rFonts w:hint="eastAsia" w:ascii="仿宋_GB2312" w:hAnsi="仿宋_GB2312" w:eastAsia="仿宋_GB2312" w:cs="仿宋_GB2312"/>
          <w:color w:val="auto"/>
          <w:sz w:val="24"/>
          <w:szCs w:val="24"/>
        </w:rPr>
        <w:t>3．</w:t>
      </w:r>
      <w:r>
        <w:rPr>
          <w:rFonts w:hint="eastAsia" w:ascii="仿宋_GB2312" w:hAnsi="仿宋_GB2312" w:eastAsia="仿宋_GB2312" w:cs="仿宋_GB2312"/>
          <w:color w:val="auto"/>
          <w:sz w:val="24"/>
          <w:szCs w:val="24"/>
        </w:rPr>
        <w:t>安全保障标准</w:t>
      </w:r>
    </w:p>
    <w:p>
      <w:pPr>
        <w:ind w:firstLine="360" w:firstLineChars="1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（1）消防安全：每周对消防设施设备进行 1 次全面检查，确保完好有效，检查记录完整</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检查时间、检查人员、点位</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；每年组织 1-2次消防演练，参与率</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参与人数/总人数</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 xml:space="preserve"> 95%。</w:t>
      </w:r>
    </w:p>
    <w:p>
      <w:pPr>
        <w:ind w:firstLine="360" w:firstLineChars="1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（2）安全巡查：每日安全巡查不少于 4 次，重点时段（如夜间）增加巡查频次，可疑人员和行为处理及时，门禁制度执行</w:t>
      </w:r>
      <w:r>
        <w:rPr>
          <w:rFonts w:hint="eastAsia" w:ascii="仿宋_GB2312" w:hAnsi="仿宋_GB2312" w:eastAsia="仿宋_GB2312" w:cs="仿宋_GB2312"/>
          <w:color w:val="auto"/>
          <w:sz w:val="24"/>
          <w:szCs w:val="24"/>
          <w:lang w:val="en-US" w:eastAsia="zh-CN"/>
        </w:rPr>
        <w:t>无违规</w:t>
      </w:r>
      <w:r>
        <w:rPr>
          <w:rFonts w:hint="eastAsia" w:ascii="仿宋_GB2312" w:hAnsi="仿宋_GB2312" w:eastAsia="仿宋_GB2312" w:cs="仿宋_GB2312"/>
          <w:color w:val="auto"/>
          <w:sz w:val="24"/>
          <w:szCs w:val="24"/>
        </w:rPr>
        <w:t>，维护公寓安全秩序。</w:t>
      </w:r>
    </w:p>
    <w:p>
      <w:pPr>
        <w:ind w:firstLine="360" w:firstLineChars="1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（3）设施设备安全：每月对各类设施设备进行安全检查，隐患整改率</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隐患整改数/总问题数</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 xml:space="preserve"> 100%；规范设备操作流程，杜绝违规操作，保障设备操作规范。</w:t>
      </w:r>
    </w:p>
    <w:p>
      <w:pPr>
        <w:ind w:firstLine="360" w:firstLineChars="150"/>
        <w:rPr>
          <w:rFonts w:hint="eastAsia" w:ascii="仿宋_GB2312" w:hAnsi="仿宋_GB2312" w:eastAsia="仿宋_GB2312" w:cs="仿宋_GB2312"/>
          <w:color w:val="auto"/>
          <w:sz w:val="24"/>
          <w:szCs w:val="24"/>
        </w:rPr>
      </w:pPr>
      <w:r>
        <w:rPr>
          <w:rStyle w:val="118"/>
          <w:rFonts w:hint="eastAsia" w:ascii="仿宋_GB2312" w:hAnsi="仿宋_GB2312" w:eastAsia="仿宋_GB2312" w:cs="仿宋_GB2312"/>
          <w:color w:val="auto"/>
          <w:sz w:val="24"/>
          <w:szCs w:val="24"/>
        </w:rPr>
        <w:t>4．</w:t>
      </w:r>
      <w:r>
        <w:rPr>
          <w:rFonts w:hint="eastAsia" w:ascii="仿宋_GB2312" w:hAnsi="仿宋_GB2312" w:eastAsia="仿宋_GB2312" w:cs="仿宋_GB2312"/>
          <w:color w:val="auto"/>
          <w:sz w:val="24"/>
          <w:szCs w:val="24"/>
        </w:rPr>
        <w:t>沟通协作标准</w:t>
      </w:r>
    </w:p>
    <w:p>
      <w:pPr>
        <w:ind w:firstLine="360" w:firstLineChars="1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（1）内部协同：</w:t>
      </w:r>
      <w:bookmarkStart w:id="32" w:name="OLE_LINK2"/>
      <w:r>
        <w:rPr>
          <w:rFonts w:hint="eastAsia" w:ascii="仿宋_GB2312" w:hAnsi="仿宋_GB2312" w:eastAsia="仿宋_GB2312" w:cs="仿宋_GB2312"/>
          <w:color w:val="auto"/>
          <w:sz w:val="24"/>
          <w:szCs w:val="24"/>
        </w:rPr>
        <w:t>与前台、维修人员等协同岗位的信息同步，单条信息同步时长≤30 分钟）为“及时”，</w:t>
      </w:r>
      <w:bookmarkEnd w:id="32"/>
      <w:r>
        <w:rPr>
          <w:rFonts w:hint="eastAsia" w:ascii="仿宋_GB2312" w:hAnsi="仿宋_GB2312" w:eastAsia="仿宋_GB2312" w:cs="仿宋_GB2312"/>
          <w:color w:val="auto"/>
          <w:sz w:val="24"/>
          <w:szCs w:val="24"/>
        </w:rPr>
        <w:t>工作交接无遗漏，交接班记录完整率100%。确保各项工作无缝衔接；每周至少向主管部门进行1次工作汇报，遇到重大问题（安全隐患、住客投诉等）时，立即上报，确保问题上报及时，并积极配合主管部门完成各项工作任务。</w:t>
      </w:r>
    </w:p>
    <w:p>
      <w:pPr>
        <w:ind w:firstLine="360" w:firstLineChars="1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（2）外部协调：主动与住客沟通，及时了解需求与反馈；与校园内其他部门（保卫处、后勤处等）保持良好合作关系，共同解决公寓管理中出现的问题。</w:t>
      </w:r>
    </w:p>
    <w:p>
      <w:pPr>
        <w:ind w:firstLine="360" w:firstLineChars="150"/>
        <w:rPr>
          <w:rFonts w:hint="eastAsia" w:ascii="仿宋_GB2312" w:hAnsi="仿宋_GB2312" w:eastAsia="仿宋_GB2312" w:cs="仿宋_GB2312"/>
          <w:color w:val="auto"/>
          <w:sz w:val="24"/>
          <w:szCs w:val="24"/>
        </w:rPr>
      </w:pPr>
      <w:r>
        <w:rPr>
          <w:rStyle w:val="118"/>
          <w:rFonts w:hint="eastAsia" w:ascii="仿宋_GB2312" w:hAnsi="仿宋_GB2312" w:eastAsia="仿宋_GB2312" w:cs="仿宋_GB2312"/>
          <w:color w:val="auto"/>
          <w:sz w:val="24"/>
          <w:szCs w:val="24"/>
        </w:rPr>
        <w:t>5．</w:t>
      </w:r>
      <w:r>
        <w:rPr>
          <w:rFonts w:hint="eastAsia" w:ascii="仿宋_GB2312" w:hAnsi="仿宋_GB2312" w:eastAsia="仿宋_GB2312" w:cs="仿宋_GB2312"/>
          <w:color w:val="auto"/>
          <w:sz w:val="24"/>
          <w:szCs w:val="24"/>
        </w:rPr>
        <w:t>校园特色服务标准</w:t>
      </w:r>
    </w:p>
    <w:p>
      <w:pPr>
        <w:ind w:firstLine="360" w:firstLineChars="1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bookmarkStart w:id="33" w:name="OLE_LINK3"/>
      <w:r>
        <w:rPr>
          <w:rFonts w:hint="eastAsia" w:ascii="仿宋_GB2312" w:hAnsi="仿宋_GB2312" w:eastAsia="仿宋_GB2312" w:cs="仿宋_GB2312"/>
          <w:color w:val="auto"/>
          <w:sz w:val="24"/>
          <w:szCs w:val="24"/>
        </w:rPr>
        <w:t>为住客提供校园信息指引服务，内容涵盖教学楼分布、食堂开放时间、校内活动通知、图书馆借阅规则等，指引准确率</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指引准确数/总指引数</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不低于 98%。住客</w:t>
      </w:r>
      <w:r>
        <w:rPr>
          <w:rFonts w:hint="eastAsia" w:ascii="仿宋_GB2312" w:hAnsi="仿宋_GB2312" w:eastAsia="仿宋_GB2312" w:cs="仿宋_GB2312"/>
          <w:color w:val="auto"/>
          <w:sz w:val="24"/>
          <w:szCs w:val="24"/>
          <w:lang w:val="en-US" w:eastAsia="zh-CN"/>
        </w:rPr>
        <w:t>退房</w:t>
      </w:r>
      <w:r>
        <w:rPr>
          <w:rFonts w:hint="eastAsia" w:ascii="仿宋_GB2312" w:hAnsi="仿宋_GB2312" w:eastAsia="仿宋_GB2312" w:cs="仿宋_GB2312"/>
          <w:color w:val="auto"/>
          <w:sz w:val="24"/>
          <w:szCs w:val="24"/>
        </w:rPr>
        <w:t>时，前台主动询问指引反馈并记录（分“准确/错误/缺失”），收集住客反馈形成书面材料；每月以有效反馈中准确条数占比核算准确率，针对指引信息的准确性、完整性进行专项评估；对于错误或缺失信息，需在 3 个工作日内完成修正，并建立校园信息动态更新台账。</w:t>
      </w:r>
      <w:bookmarkEnd w:id="33"/>
    </w:p>
    <w:p>
      <w:pPr>
        <w:pStyle w:val="216"/>
        <w:tabs>
          <w:tab w:val="left" w:pos="312"/>
        </w:tabs>
        <w:spacing w:line="38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校园信息指引服务执行“首问负责制”，住客首次咨询的管理员即为服务责任人。日常工作中，需使用标准化话术解答问题，并定期整理高频咨询问题库。每季度开展信息指引服务培训，更新校园最新资讯。通过匿名满意度调查、</w:t>
      </w:r>
      <w:bookmarkStart w:id="34" w:name="OLE_LINK21"/>
      <w:bookmarkStart w:id="35" w:name="OLE_LINK22"/>
      <w:r>
        <w:rPr>
          <w:rFonts w:hint="eastAsia" w:ascii="仿宋_GB2312" w:hAnsi="仿宋_GB2312" w:eastAsia="仿宋_GB2312" w:cs="仿宋_GB2312"/>
          <w:color w:val="auto"/>
          <w:sz w:val="24"/>
          <w:szCs w:val="24"/>
        </w:rPr>
        <w:t>随机电话回访等方式</w:t>
      </w:r>
      <w:bookmarkEnd w:id="34"/>
      <w:bookmarkEnd w:id="35"/>
      <w:r>
        <w:rPr>
          <w:rFonts w:hint="eastAsia" w:ascii="仿宋_GB2312" w:hAnsi="仿宋_GB2312" w:eastAsia="仿宋_GB2312" w:cs="仿宋_GB2312"/>
          <w:color w:val="auto"/>
          <w:sz w:val="24"/>
          <w:szCs w:val="24"/>
        </w:rPr>
        <w:t>，多维度评估信息指引准确率，确保不低于 98%。</w:t>
      </w:r>
    </w:p>
    <w:p>
      <w:pPr>
        <w:pStyle w:val="216"/>
        <w:tabs>
          <w:tab w:val="left" w:pos="312"/>
        </w:tabs>
        <w:spacing w:line="380" w:lineRule="exact"/>
        <w:ind w:firstLine="480" w:firstLineChars="200"/>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(3)免责情形:因学校部门临时调整信息（如食堂开放时间、活动变更），未及时同步至公寓管理团队导致的指引错误，经核实后不扣分</w:t>
      </w:r>
      <w:r>
        <w:rPr>
          <w:rFonts w:hint="eastAsia" w:ascii="仿宋_GB2312" w:hAnsi="仿宋_GB2312" w:eastAsia="仿宋_GB2312" w:cs="仿宋_GB2312"/>
          <w:color w:val="auto"/>
          <w:sz w:val="24"/>
          <w:szCs w:val="24"/>
          <w:lang w:eastAsia="zh-CN"/>
        </w:rPr>
        <w:t>。</w:t>
      </w:r>
    </w:p>
    <w:p>
      <w:pPr>
        <w:ind w:firstLine="361" w:firstLineChars="150"/>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二、服务质量考核赋分</w:t>
      </w:r>
    </w:p>
    <w:tbl>
      <w:tblPr>
        <w:tblStyle w:val="48"/>
        <w:tblW w:w="85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151"/>
        <w:gridCol w:w="697"/>
        <w:gridCol w:w="5230"/>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0" w:type="auto"/>
            <w:tcMar>
              <w:top w:w="107" w:type="dxa"/>
              <w:left w:w="0" w:type="dxa"/>
              <w:bottom w:w="107" w:type="dxa"/>
              <w:right w:w="107" w:type="dxa"/>
            </w:tcMar>
            <w:vAlign w:val="center"/>
          </w:tcPr>
          <w:p>
            <w:pPr>
              <w:widowControl/>
              <w:jc w:val="left"/>
              <w:rPr>
                <w:rFonts w:hint="eastAsia" w:ascii="仿宋_GB2312" w:hAnsi="仿宋_GB2312" w:eastAsia="仿宋_GB2312" w:cs="仿宋_GB2312"/>
                <w:bCs/>
                <w:color w:val="auto"/>
                <w:kern w:val="0"/>
                <w:sz w:val="24"/>
                <w:szCs w:val="24"/>
              </w:rPr>
            </w:pPr>
            <w:r>
              <w:rPr>
                <w:rFonts w:hint="eastAsia" w:ascii="仿宋_GB2312" w:hAnsi="仿宋_GB2312" w:eastAsia="仿宋_GB2312" w:cs="仿宋_GB2312"/>
                <w:bCs/>
                <w:color w:val="auto"/>
                <w:kern w:val="0"/>
                <w:sz w:val="24"/>
                <w:szCs w:val="24"/>
              </w:rPr>
              <w:t>考核项目</w:t>
            </w:r>
          </w:p>
        </w:tc>
        <w:tc>
          <w:tcPr>
            <w:tcW w:w="697" w:type="dxa"/>
            <w:tcMar>
              <w:top w:w="107" w:type="dxa"/>
              <w:left w:w="107" w:type="dxa"/>
              <w:bottom w:w="107" w:type="dxa"/>
              <w:right w:w="107" w:type="dxa"/>
            </w:tcMar>
            <w:vAlign w:val="center"/>
          </w:tcPr>
          <w:p>
            <w:pPr>
              <w:widowControl/>
              <w:jc w:val="left"/>
              <w:rPr>
                <w:rFonts w:hint="eastAsia" w:ascii="仿宋_GB2312" w:hAnsi="仿宋_GB2312" w:eastAsia="仿宋_GB2312" w:cs="仿宋_GB2312"/>
                <w:bCs/>
                <w:color w:val="auto"/>
                <w:kern w:val="0"/>
                <w:sz w:val="24"/>
                <w:szCs w:val="24"/>
              </w:rPr>
            </w:pPr>
            <w:r>
              <w:rPr>
                <w:rFonts w:hint="eastAsia" w:ascii="仿宋_GB2312" w:hAnsi="仿宋_GB2312" w:eastAsia="仿宋_GB2312" w:cs="仿宋_GB2312"/>
                <w:bCs/>
                <w:color w:val="auto"/>
                <w:kern w:val="0"/>
                <w:sz w:val="24"/>
                <w:szCs w:val="24"/>
              </w:rPr>
              <w:t>分值</w:t>
            </w:r>
          </w:p>
        </w:tc>
        <w:tc>
          <w:tcPr>
            <w:tcW w:w="5230" w:type="dxa"/>
            <w:tcMar>
              <w:top w:w="107" w:type="dxa"/>
              <w:left w:w="107" w:type="dxa"/>
              <w:bottom w:w="107" w:type="dxa"/>
              <w:right w:w="107" w:type="dxa"/>
            </w:tcMar>
            <w:vAlign w:val="center"/>
          </w:tcPr>
          <w:p>
            <w:pPr>
              <w:widowControl/>
              <w:jc w:val="left"/>
              <w:rPr>
                <w:rFonts w:hint="eastAsia" w:ascii="仿宋_GB2312" w:hAnsi="仿宋_GB2312" w:eastAsia="仿宋_GB2312" w:cs="仿宋_GB2312"/>
                <w:bCs/>
                <w:color w:val="auto"/>
                <w:kern w:val="0"/>
                <w:sz w:val="24"/>
                <w:szCs w:val="24"/>
              </w:rPr>
            </w:pPr>
            <w:r>
              <w:rPr>
                <w:rFonts w:hint="eastAsia" w:ascii="仿宋_GB2312" w:hAnsi="仿宋_GB2312" w:eastAsia="仿宋_GB2312" w:cs="仿宋_GB2312"/>
                <w:bCs/>
                <w:color w:val="auto"/>
                <w:kern w:val="0"/>
                <w:sz w:val="24"/>
                <w:szCs w:val="24"/>
              </w:rPr>
              <w:t>评分标准</w:t>
            </w:r>
          </w:p>
        </w:tc>
        <w:tc>
          <w:tcPr>
            <w:tcW w:w="1467" w:type="dxa"/>
            <w:tcMar>
              <w:top w:w="107" w:type="dxa"/>
              <w:left w:w="107" w:type="dxa"/>
              <w:bottom w:w="107" w:type="dxa"/>
              <w:right w:w="107" w:type="dxa"/>
            </w:tcMar>
            <w:vAlign w:val="center"/>
          </w:tcPr>
          <w:p>
            <w:pPr>
              <w:widowControl/>
              <w:jc w:val="left"/>
              <w:rPr>
                <w:rFonts w:hint="eastAsia" w:ascii="仿宋_GB2312" w:hAnsi="仿宋_GB2312" w:eastAsia="仿宋_GB2312" w:cs="仿宋_GB2312"/>
                <w:bCs/>
                <w:color w:val="auto"/>
                <w:kern w:val="0"/>
                <w:sz w:val="24"/>
                <w:szCs w:val="24"/>
              </w:rPr>
            </w:pPr>
            <w:r>
              <w:rPr>
                <w:rFonts w:hint="eastAsia" w:ascii="仿宋_GB2312" w:hAnsi="仿宋_GB2312" w:eastAsia="仿宋_GB2312" w:cs="仿宋_GB2312"/>
                <w:bCs/>
                <w:color w:val="auto"/>
                <w:kern w:val="0"/>
                <w:sz w:val="24"/>
                <w:szCs w:val="24"/>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07" w:type="dxa"/>
              <w:left w:w="0"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Cs/>
                <w:color w:val="auto"/>
                <w:kern w:val="0"/>
                <w:sz w:val="24"/>
                <w:szCs w:val="24"/>
              </w:rPr>
              <w:t>1. 前台接待效率与质量</w:t>
            </w:r>
          </w:p>
        </w:tc>
        <w:tc>
          <w:tcPr>
            <w:tcW w:w="697"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15</w:t>
            </w:r>
          </w:p>
        </w:tc>
        <w:tc>
          <w:tcPr>
            <w:tcW w:w="5230"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Cs/>
                <w:color w:val="auto"/>
                <w:kern w:val="0"/>
                <w:sz w:val="24"/>
                <w:szCs w:val="24"/>
              </w:rPr>
              <w:t>a.</w:t>
            </w:r>
            <w:r>
              <w:rPr>
                <w:rFonts w:hint="eastAsia" w:ascii="仿宋_GB2312" w:hAnsi="仿宋_GB2312" w:eastAsia="仿宋_GB2312" w:cs="仿宋_GB2312"/>
                <w:color w:val="auto"/>
                <w:sz w:val="24"/>
                <w:szCs w:val="24"/>
              </w:rPr>
              <w:t xml:space="preserve"> </w:t>
            </w:r>
            <w:r>
              <w:rPr>
                <w:rFonts w:hint="eastAsia" w:ascii="仿宋_GB2312" w:hAnsi="仿宋_GB2312" w:eastAsia="仿宋_GB2312" w:cs="仿宋_GB2312"/>
                <w:bCs/>
                <w:color w:val="auto"/>
                <w:kern w:val="0"/>
                <w:sz w:val="24"/>
                <w:szCs w:val="24"/>
              </w:rPr>
              <w:t>日常时段：入住/退房≤5分钟/人：高峰时段（每年6-7月、9-11月及学校重大活动期间）</w:t>
            </w:r>
            <w:r>
              <w:rPr>
                <w:rFonts w:hint="eastAsia" w:ascii="仿宋_GB2312" w:hAnsi="仿宋_GB2312" w:eastAsia="仿宋_GB2312" w:cs="仿宋_GB2312"/>
                <w:color w:val="auto"/>
                <w:kern w:val="0"/>
                <w:sz w:val="24"/>
                <w:szCs w:val="24"/>
              </w:rPr>
              <w:t>：入住/退房≤8 分钟/人，达标率≥95% 得8分，每降5%扣1分</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bCs/>
                <w:color w:val="auto"/>
                <w:kern w:val="0"/>
                <w:sz w:val="24"/>
                <w:szCs w:val="24"/>
              </w:rPr>
              <w:t>b. 信息登记准确率100%：</w:t>
            </w:r>
            <w:r>
              <w:rPr>
                <w:rFonts w:hint="eastAsia" w:ascii="仿宋_GB2312" w:hAnsi="仿宋_GB2312" w:eastAsia="仿宋_GB2312" w:cs="仿宋_GB2312"/>
                <w:color w:val="auto"/>
                <w:kern w:val="0"/>
                <w:sz w:val="24"/>
                <w:szCs w:val="24"/>
              </w:rPr>
              <w:t> 得4分，错误1次扣1分</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bCs/>
                <w:color w:val="auto"/>
                <w:kern w:val="0"/>
                <w:sz w:val="24"/>
                <w:szCs w:val="24"/>
              </w:rPr>
              <w:t>c. 预订/咨询响应率100% &amp; 专业回复≤1分钟（高峰时段回复≤3 分钟回复）：</w:t>
            </w:r>
            <w:r>
              <w:rPr>
                <w:rFonts w:hint="eastAsia" w:ascii="仿宋_GB2312" w:hAnsi="仿宋_GB2312" w:eastAsia="仿宋_GB2312" w:cs="仿宋_GB2312"/>
                <w:color w:val="auto"/>
                <w:kern w:val="0"/>
                <w:sz w:val="24"/>
                <w:szCs w:val="24"/>
              </w:rPr>
              <w:t>得3分，超时/未响应1次扣0.5分</w:t>
            </w:r>
          </w:p>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Cs/>
                <w:color w:val="auto"/>
                <w:kern w:val="0"/>
                <w:sz w:val="24"/>
                <w:szCs w:val="24"/>
              </w:rPr>
              <w:t>d.特殊情况：因住客原因（资料不全）或系统故障超时，经主管部门核实后不扣分。</w:t>
            </w:r>
          </w:p>
        </w:tc>
        <w:tc>
          <w:tcPr>
            <w:tcW w:w="1467"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bookmarkStart w:id="36" w:name="OLE_LINK1"/>
            <w:r>
              <w:rPr>
                <w:rFonts w:hint="eastAsia" w:ascii="仿宋_GB2312" w:hAnsi="仿宋_GB2312" w:eastAsia="仿宋_GB2312" w:cs="仿宋_GB2312"/>
                <w:color w:val="auto"/>
                <w:kern w:val="0"/>
                <w:sz w:val="24"/>
                <w:szCs w:val="24"/>
              </w:rPr>
              <w:t>前台系统操作日志</w:t>
            </w:r>
            <w:bookmarkEnd w:id="36"/>
            <w:r>
              <w:rPr>
                <w:rFonts w:hint="eastAsia" w:ascii="仿宋_GB2312" w:hAnsi="仿宋_GB2312" w:eastAsia="仿宋_GB2312" w:cs="仿宋_GB2312"/>
                <w:color w:val="auto"/>
                <w:kern w:val="0"/>
                <w:sz w:val="24"/>
                <w:szCs w:val="24"/>
              </w:rPr>
              <w:t>、监控录像抽查、暗访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07" w:type="dxa"/>
              <w:left w:w="0"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Cs/>
                <w:color w:val="auto"/>
                <w:kern w:val="0"/>
                <w:sz w:val="24"/>
                <w:szCs w:val="24"/>
              </w:rPr>
              <w:t xml:space="preserve">2. </w:t>
            </w:r>
            <w:r>
              <w:rPr>
                <w:rFonts w:hint="eastAsia" w:ascii="仿宋_GB2312" w:hAnsi="仿宋_GB2312" w:eastAsia="仿宋_GB2312" w:cs="仿宋_GB2312"/>
                <w:bCs/>
                <w:color w:val="auto"/>
                <w:kern w:val="0"/>
                <w:sz w:val="24"/>
                <w:szCs w:val="24"/>
                <w:lang w:eastAsia="zh-CN"/>
              </w:rPr>
              <w:t>管理</w:t>
            </w:r>
            <w:r>
              <w:rPr>
                <w:rFonts w:hint="eastAsia" w:ascii="仿宋_GB2312" w:hAnsi="仿宋_GB2312" w:eastAsia="仿宋_GB2312" w:cs="仿宋_GB2312"/>
                <w:bCs/>
                <w:color w:val="auto"/>
                <w:kern w:val="0"/>
                <w:sz w:val="24"/>
                <w:szCs w:val="24"/>
              </w:rPr>
              <w:t>及公区清洁时效</w:t>
            </w:r>
          </w:p>
        </w:tc>
        <w:tc>
          <w:tcPr>
            <w:tcW w:w="697"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20</w:t>
            </w:r>
          </w:p>
        </w:tc>
        <w:tc>
          <w:tcPr>
            <w:tcW w:w="5230"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Cs/>
                <w:color w:val="auto"/>
                <w:kern w:val="0"/>
                <w:sz w:val="24"/>
                <w:szCs w:val="24"/>
              </w:rPr>
              <w:t>a.退房后单栋同时退房≤5间→1小时内完成；6-10间→2小时内完成；10间以上→每增5间延长1小时（最长不超4小时）完成率≥95%：</w:t>
            </w:r>
            <w:r>
              <w:rPr>
                <w:rFonts w:hint="eastAsia" w:ascii="仿宋_GB2312" w:hAnsi="仿宋_GB2312" w:eastAsia="仿宋_GB2312" w:cs="仿宋_GB2312"/>
                <w:color w:val="auto"/>
                <w:kern w:val="0"/>
                <w:sz w:val="24"/>
                <w:szCs w:val="24"/>
              </w:rPr>
              <w:t>得10分，每降5%扣1分</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bCs/>
                <w:color w:val="auto"/>
                <w:kern w:val="0"/>
                <w:sz w:val="24"/>
                <w:szCs w:val="24"/>
              </w:rPr>
              <w:t>b.布草更换/物品配备率100%：</w:t>
            </w:r>
            <w:r>
              <w:rPr>
                <w:rFonts w:hint="eastAsia" w:ascii="仿宋_GB2312" w:hAnsi="仿宋_GB2312" w:eastAsia="仿宋_GB2312" w:cs="仿宋_GB2312"/>
                <w:color w:val="auto"/>
                <w:kern w:val="0"/>
                <w:sz w:val="24"/>
                <w:szCs w:val="24"/>
              </w:rPr>
              <w:t>得5分，缺失1次扣1分</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bCs/>
                <w:color w:val="auto"/>
                <w:kern w:val="0"/>
                <w:sz w:val="24"/>
                <w:szCs w:val="24"/>
              </w:rPr>
              <w:t>c. 公区每日清洁≥3次 &amp; 无杂物异味：</w:t>
            </w:r>
            <w:r>
              <w:rPr>
                <w:rFonts w:hint="eastAsia" w:ascii="仿宋_GB2312" w:hAnsi="仿宋_GB2312" w:eastAsia="仿宋_GB2312" w:cs="仿宋_GB2312"/>
                <w:color w:val="auto"/>
                <w:kern w:val="0"/>
                <w:sz w:val="24"/>
                <w:szCs w:val="24"/>
              </w:rPr>
              <w:t> 得5分，未达标1次扣1分（公区界定：1楼大堂、3-5房间外走廊。清洁标准：无明显杂物、地面无浮尘、垃圾桶不满溢、无异味）</w:t>
            </w:r>
          </w:p>
        </w:tc>
        <w:tc>
          <w:tcPr>
            <w:tcW w:w="1467"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房务系统记录、布草交接单、公区巡检记录、住客投诉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07" w:type="dxa"/>
              <w:left w:w="0"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Cs/>
                <w:color w:val="auto"/>
                <w:kern w:val="0"/>
                <w:sz w:val="24"/>
                <w:szCs w:val="24"/>
                <w:lang w:val="en-US" w:eastAsia="zh-CN"/>
              </w:rPr>
              <w:t>3</w:t>
            </w:r>
            <w:r>
              <w:rPr>
                <w:rFonts w:hint="eastAsia" w:ascii="仿宋_GB2312" w:hAnsi="仿宋_GB2312" w:eastAsia="仿宋_GB2312" w:cs="仿宋_GB2312"/>
                <w:bCs/>
                <w:color w:val="auto"/>
                <w:kern w:val="0"/>
                <w:sz w:val="24"/>
                <w:szCs w:val="24"/>
              </w:rPr>
              <w:t>. 需求响应与闭环管理</w:t>
            </w:r>
          </w:p>
        </w:tc>
        <w:tc>
          <w:tcPr>
            <w:tcW w:w="697"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1</w:t>
            </w:r>
            <w:r>
              <w:rPr>
                <w:rFonts w:hint="eastAsia" w:ascii="仿宋_GB2312" w:hAnsi="仿宋_GB2312" w:eastAsia="仿宋_GB2312" w:cs="仿宋_GB2312"/>
                <w:color w:val="auto"/>
                <w:kern w:val="0"/>
                <w:sz w:val="24"/>
                <w:szCs w:val="24"/>
                <w:lang w:val="en-US" w:eastAsia="zh-CN"/>
              </w:rPr>
              <w:t>0</w:t>
            </w:r>
          </w:p>
        </w:tc>
        <w:tc>
          <w:tcPr>
            <w:tcW w:w="5230"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Cs/>
                <w:color w:val="auto"/>
                <w:kern w:val="0"/>
                <w:sz w:val="24"/>
                <w:szCs w:val="24"/>
              </w:rPr>
              <w:t>a. 需求30min响应率≥95%：</w:t>
            </w:r>
            <w:r>
              <w:rPr>
                <w:rFonts w:hint="eastAsia" w:ascii="仿宋_GB2312" w:hAnsi="仿宋_GB2312" w:eastAsia="仿宋_GB2312" w:cs="仿宋_GB2312"/>
                <w:color w:val="auto"/>
                <w:kern w:val="0"/>
                <w:sz w:val="24"/>
                <w:szCs w:val="24"/>
              </w:rPr>
              <w:t> 得5分，每降5%扣1分</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bCs/>
                <w:color w:val="auto"/>
                <w:kern w:val="0"/>
                <w:sz w:val="24"/>
                <w:szCs w:val="24"/>
              </w:rPr>
              <w:t>b. 维修时效：紧急2h/常规24h达标率≥90%：</w:t>
            </w:r>
            <w:r>
              <w:rPr>
                <w:rFonts w:hint="eastAsia" w:ascii="仿宋_GB2312" w:hAnsi="仿宋_GB2312" w:eastAsia="仿宋_GB2312" w:cs="仿宋_GB2312"/>
                <w:color w:val="auto"/>
                <w:kern w:val="0"/>
                <w:sz w:val="24"/>
                <w:szCs w:val="24"/>
              </w:rPr>
              <w:t> 得</w:t>
            </w:r>
            <w:r>
              <w:rPr>
                <w:rFonts w:hint="eastAsia" w:ascii="仿宋_GB2312" w:hAnsi="仿宋_GB2312" w:eastAsia="仿宋_GB2312" w:cs="仿宋_GB2312"/>
                <w:color w:val="auto"/>
                <w:kern w:val="0"/>
                <w:sz w:val="24"/>
                <w:szCs w:val="24"/>
                <w:lang w:val="en-US" w:eastAsia="zh-CN"/>
              </w:rPr>
              <w:t>3</w:t>
            </w:r>
            <w:r>
              <w:rPr>
                <w:rFonts w:hint="eastAsia" w:ascii="仿宋_GB2312" w:hAnsi="仿宋_GB2312" w:eastAsia="仿宋_GB2312" w:cs="仿宋_GB2312"/>
                <w:color w:val="auto"/>
                <w:kern w:val="0"/>
                <w:sz w:val="24"/>
                <w:szCs w:val="24"/>
              </w:rPr>
              <w:t>分，每项未达标1次扣1分</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bCs/>
                <w:color w:val="auto"/>
                <w:kern w:val="0"/>
                <w:sz w:val="24"/>
                <w:szCs w:val="24"/>
              </w:rPr>
              <w:t>c. 回访率100% ：</w:t>
            </w:r>
            <w:r>
              <w:rPr>
                <w:rFonts w:hint="eastAsia" w:ascii="仿宋_GB2312" w:hAnsi="仿宋_GB2312" w:eastAsia="仿宋_GB2312" w:cs="仿宋_GB2312"/>
                <w:color w:val="auto"/>
                <w:kern w:val="0"/>
                <w:sz w:val="24"/>
                <w:szCs w:val="24"/>
              </w:rPr>
              <w:t>得</w:t>
            </w:r>
            <w:r>
              <w:rPr>
                <w:rFonts w:hint="eastAsia" w:ascii="仿宋_GB2312" w:hAnsi="仿宋_GB2312" w:eastAsia="仿宋_GB2312" w:cs="仿宋_GB2312"/>
                <w:color w:val="auto"/>
                <w:kern w:val="0"/>
                <w:sz w:val="24"/>
                <w:szCs w:val="24"/>
                <w:lang w:val="en-US" w:eastAsia="zh-CN"/>
              </w:rPr>
              <w:t>2</w:t>
            </w:r>
            <w:r>
              <w:rPr>
                <w:rFonts w:hint="eastAsia" w:ascii="仿宋_GB2312" w:hAnsi="仿宋_GB2312" w:eastAsia="仿宋_GB2312" w:cs="仿宋_GB2312"/>
                <w:color w:val="auto"/>
                <w:kern w:val="0"/>
                <w:sz w:val="24"/>
                <w:szCs w:val="24"/>
              </w:rPr>
              <w:t>分，未回访1次扣1分</w:t>
            </w:r>
          </w:p>
        </w:tc>
        <w:tc>
          <w:tcPr>
            <w:tcW w:w="1467"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需求工单系统、维修记录、回访台账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07" w:type="dxa"/>
              <w:left w:w="0"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Cs/>
                <w:color w:val="auto"/>
                <w:kern w:val="0"/>
                <w:sz w:val="24"/>
                <w:szCs w:val="24"/>
                <w:lang w:val="en-US" w:eastAsia="zh-CN"/>
              </w:rPr>
              <w:t>4</w:t>
            </w:r>
            <w:r>
              <w:rPr>
                <w:rFonts w:hint="eastAsia" w:ascii="仿宋_GB2312" w:hAnsi="仿宋_GB2312" w:eastAsia="仿宋_GB2312" w:cs="仿宋_GB2312"/>
                <w:bCs/>
                <w:color w:val="auto"/>
                <w:kern w:val="0"/>
                <w:sz w:val="24"/>
                <w:szCs w:val="24"/>
              </w:rPr>
              <w:t>. 住客满意度管理</w:t>
            </w:r>
          </w:p>
        </w:tc>
        <w:tc>
          <w:tcPr>
            <w:tcW w:w="697"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10</w:t>
            </w:r>
          </w:p>
        </w:tc>
        <w:tc>
          <w:tcPr>
            <w:tcW w:w="5230"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Cs/>
                <w:color w:val="auto"/>
                <w:kern w:val="0"/>
                <w:sz w:val="24"/>
                <w:szCs w:val="24"/>
              </w:rPr>
              <w:t>a. 满意度≥95%，每月抽样≥50 份有效问卷，不足50 份则全量统计。</w:t>
            </w:r>
            <w:r>
              <w:rPr>
                <w:rFonts w:hint="eastAsia" w:ascii="仿宋_GB2312" w:hAnsi="仿宋_GB2312" w:eastAsia="仿宋_GB2312" w:cs="仿宋_GB2312"/>
                <w:color w:val="auto"/>
                <w:kern w:val="0"/>
                <w:sz w:val="24"/>
                <w:szCs w:val="24"/>
              </w:rPr>
              <w:t>若当月住客量＜30 人，满意度考核按季度合并计算</w:t>
            </w:r>
            <w:r>
              <w:rPr>
                <w:rFonts w:hint="eastAsia" w:ascii="仿宋_GB2312" w:hAnsi="仿宋_GB2312" w:eastAsia="仿宋_GB2312" w:cs="仿宋_GB2312"/>
                <w:bCs/>
                <w:color w:val="auto"/>
                <w:kern w:val="0"/>
                <w:sz w:val="24"/>
                <w:szCs w:val="24"/>
              </w:rPr>
              <w:t xml:space="preserve">： </w:t>
            </w:r>
            <w:r>
              <w:rPr>
                <w:rFonts w:hint="eastAsia" w:ascii="仿宋_GB2312" w:hAnsi="仿宋_GB2312" w:eastAsia="仿宋_GB2312" w:cs="仿宋_GB2312"/>
                <w:color w:val="auto"/>
                <w:kern w:val="0"/>
                <w:sz w:val="24"/>
                <w:szCs w:val="24"/>
              </w:rPr>
              <w:t>得8分，每降2%扣1分</w:t>
            </w:r>
          </w:p>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Cs/>
                <w:color w:val="auto"/>
                <w:kern w:val="0"/>
                <w:sz w:val="24"/>
                <w:szCs w:val="24"/>
              </w:rPr>
              <w:t>b.</w:t>
            </w:r>
            <w:r>
              <w:rPr>
                <w:rFonts w:hint="eastAsia" w:ascii="仿宋_GB2312" w:hAnsi="仿宋_GB2312" w:eastAsia="仿宋_GB2312" w:cs="仿宋_GB2312"/>
                <w:bCs/>
                <w:color w:val="auto"/>
                <w:kern w:val="0"/>
                <w:sz w:val="24"/>
                <w:szCs w:val="24"/>
                <w:lang w:eastAsia="zh-CN"/>
              </w:rPr>
              <w:t>住客问卷</w:t>
            </w:r>
            <w:r>
              <w:rPr>
                <w:rFonts w:hint="eastAsia" w:ascii="仿宋_GB2312" w:hAnsi="仿宋_GB2312" w:eastAsia="仿宋_GB2312" w:cs="仿宋_GB2312"/>
                <w:bCs/>
                <w:color w:val="auto"/>
                <w:kern w:val="0"/>
                <w:sz w:val="24"/>
                <w:szCs w:val="24"/>
              </w:rPr>
              <w:t>回收率</w:t>
            </w:r>
            <w:r>
              <w:rPr>
                <w:rFonts w:hint="eastAsia" w:ascii="仿宋_GB2312" w:hAnsi="仿宋_GB2312" w:eastAsia="仿宋_GB2312" w:cs="仿宋_GB2312"/>
                <w:bCs/>
                <w:color w:val="auto"/>
                <w:kern w:val="0"/>
                <w:sz w:val="24"/>
                <w:szCs w:val="24"/>
                <w:lang w:eastAsia="zh-CN"/>
              </w:rPr>
              <w:t>（</w:t>
            </w:r>
            <w:r>
              <w:rPr>
                <w:rFonts w:hint="eastAsia" w:ascii="仿宋_GB2312" w:hAnsi="仿宋_GB2312" w:eastAsia="仿宋_GB2312" w:cs="仿宋_GB2312"/>
                <w:bCs/>
                <w:color w:val="auto"/>
                <w:kern w:val="0"/>
                <w:sz w:val="24"/>
                <w:szCs w:val="24"/>
                <w:lang w:val="en-US" w:eastAsia="zh-CN"/>
              </w:rPr>
              <w:t>回收数/发放数</w:t>
            </w:r>
            <w:r>
              <w:rPr>
                <w:rFonts w:hint="eastAsia" w:ascii="仿宋_GB2312" w:hAnsi="仿宋_GB2312" w:eastAsia="仿宋_GB2312" w:cs="仿宋_GB2312"/>
                <w:bCs/>
                <w:color w:val="auto"/>
                <w:kern w:val="0"/>
                <w:sz w:val="24"/>
                <w:szCs w:val="24"/>
                <w:lang w:eastAsia="zh-CN"/>
              </w:rPr>
              <w:t>）</w:t>
            </w:r>
            <w:r>
              <w:rPr>
                <w:rFonts w:hint="eastAsia" w:ascii="仿宋_GB2312" w:hAnsi="仿宋_GB2312" w:eastAsia="仿宋_GB2312" w:cs="仿宋_GB2312"/>
                <w:bCs/>
                <w:color w:val="auto"/>
                <w:kern w:val="0"/>
                <w:sz w:val="24"/>
                <w:szCs w:val="24"/>
              </w:rPr>
              <w:t>≥60%：</w:t>
            </w:r>
            <w:r>
              <w:rPr>
                <w:rFonts w:hint="eastAsia" w:ascii="仿宋_GB2312" w:hAnsi="仿宋_GB2312" w:eastAsia="仿宋_GB2312" w:cs="仿宋_GB2312"/>
                <w:color w:val="auto"/>
                <w:kern w:val="0"/>
                <w:sz w:val="24"/>
                <w:szCs w:val="24"/>
              </w:rPr>
              <w:t> 得2分，每降10%扣0.5分</w:t>
            </w:r>
          </w:p>
        </w:tc>
        <w:tc>
          <w:tcPr>
            <w:tcW w:w="1467"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满意度调查报告、问卷回收统计表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07" w:type="dxa"/>
              <w:left w:w="0"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Cs/>
                <w:color w:val="auto"/>
                <w:kern w:val="0"/>
                <w:sz w:val="24"/>
                <w:szCs w:val="24"/>
                <w:lang w:val="en-US" w:eastAsia="zh-CN"/>
              </w:rPr>
              <w:t>5</w:t>
            </w:r>
            <w:r>
              <w:rPr>
                <w:rFonts w:hint="eastAsia" w:ascii="仿宋_GB2312" w:hAnsi="仿宋_GB2312" w:eastAsia="仿宋_GB2312" w:cs="仿宋_GB2312"/>
                <w:bCs/>
                <w:color w:val="auto"/>
                <w:kern w:val="0"/>
                <w:sz w:val="24"/>
                <w:szCs w:val="24"/>
              </w:rPr>
              <w:t>. 消防安全管理</w:t>
            </w:r>
          </w:p>
        </w:tc>
        <w:tc>
          <w:tcPr>
            <w:tcW w:w="697"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8</w:t>
            </w:r>
          </w:p>
        </w:tc>
        <w:tc>
          <w:tcPr>
            <w:tcW w:w="5230"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Cs/>
                <w:color w:val="auto"/>
                <w:kern w:val="0"/>
                <w:sz w:val="24"/>
                <w:szCs w:val="24"/>
              </w:rPr>
              <w:t>a. 消防设施周检记录完整，确因设施老化无法即时修复的，需标注整改期限（≤7天），不视为记录缺失：</w:t>
            </w:r>
            <w:r>
              <w:rPr>
                <w:rFonts w:hint="eastAsia" w:ascii="仿宋_GB2312" w:hAnsi="仿宋_GB2312" w:eastAsia="仿宋_GB2312" w:cs="仿宋_GB2312"/>
                <w:color w:val="auto"/>
                <w:kern w:val="0"/>
                <w:sz w:val="24"/>
                <w:szCs w:val="24"/>
              </w:rPr>
              <w:t> 得3分，缺失1次扣1分</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bCs/>
                <w:color w:val="auto"/>
                <w:kern w:val="0"/>
                <w:sz w:val="24"/>
                <w:szCs w:val="24"/>
              </w:rPr>
              <w:t>b. 设备完好：</w:t>
            </w:r>
            <w:r>
              <w:rPr>
                <w:rFonts w:hint="eastAsia" w:ascii="仿宋_GB2312" w:hAnsi="仿宋_GB2312" w:eastAsia="仿宋_GB2312" w:cs="仿宋_GB2312"/>
                <w:color w:val="auto"/>
                <w:kern w:val="0"/>
                <w:sz w:val="24"/>
                <w:szCs w:val="24"/>
              </w:rPr>
              <w:t> 得3分，故障未修复1处扣1分</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bCs/>
                <w:color w:val="auto"/>
                <w:kern w:val="0"/>
                <w:sz w:val="24"/>
                <w:szCs w:val="24"/>
              </w:rPr>
              <w:t>c. 年演练参与率95%：</w:t>
            </w:r>
            <w:r>
              <w:rPr>
                <w:rFonts w:hint="eastAsia" w:ascii="仿宋_GB2312" w:hAnsi="仿宋_GB2312" w:eastAsia="仿宋_GB2312" w:cs="仿宋_GB2312"/>
                <w:color w:val="auto"/>
                <w:kern w:val="0"/>
                <w:sz w:val="24"/>
                <w:szCs w:val="24"/>
              </w:rPr>
              <w:t> 得2分，每缺1人扣0.5分</w:t>
            </w:r>
          </w:p>
        </w:tc>
        <w:tc>
          <w:tcPr>
            <w:tcW w:w="1467"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消防检查记录、设备维保报告、演练签到表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07" w:type="dxa"/>
              <w:left w:w="0"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Cs/>
                <w:color w:val="auto"/>
                <w:kern w:val="0"/>
                <w:sz w:val="24"/>
                <w:szCs w:val="24"/>
                <w:lang w:val="en-US" w:eastAsia="zh-CN"/>
              </w:rPr>
              <w:t>6</w:t>
            </w:r>
            <w:r>
              <w:rPr>
                <w:rFonts w:hint="eastAsia" w:ascii="仿宋_GB2312" w:hAnsi="仿宋_GB2312" w:eastAsia="仿宋_GB2312" w:cs="仿宋_GB2312"/>
                <w:bCs/>
                <w:color w:val="auto"/>
                <w:kern w:val="0"/>
                <w:sz w:val="24"/>
                <w:szCs w:val="24"/>
              </w:rPr>
              <w:t>. 安全巡查与门禁管控</w:t>
            </w:r>
          </w:p>
        </w:tc>
        <w:tc>
          <w:tcPr>
            <w:tcW w:w="697"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12</w:t>
            </w:r>
          </w:p>
        </w:tc>
        <w:tc>
          <w:tcPr>
            <w:tcW w:w="5230"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Cs/>
                <w:color w:val="auto"/>
                <w:kern w:val="0"/>
                <w:sz w:val="24"/>
                <w:szCs w:val="24"/>
              </w:rPr>
              <w:t>a. 每日巡查≥4次 &amp; 夜巡强化：</w:t>
            </w:r>
            <w:r>
              <w:rPr>
                <w:rFonts w:hint="eastAsia" w:ascii="仿宋_GB2312" w:hAnsi="仿宋_GB2312" w:eastAsia="仿宋_GB2312" w:cs="仿宋_GB2312"/>
                <w:color w:val="auto"/>
                <w:kern w:val="0"/>
                <w:sz w:val="24"/>
                <w:szCs w:val="24"/>
              </w:rPr>
              <w:t> 得5分，每缺1次扣0.5分</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bCs/>
                <w:color w:val="auto"/>
                <w:kern w:val="0"/>
                <w:sz w:val="24"/>
                <w:szCs w:val="24"/>
              </w:rPr>
              <w:t>b. 可疑行为处理</w:t>
            </w:r>
            <w:r>
              <w:rPr>
                <w:rFonts w:hint="eastAsia" w:ascii="仿宋_GB2312" w:hAnsi="仿宋_GB2312" w:eastAsia="仿宋_GB2312" w:cs="仿宋_GB2312"/>
                <w:bCs/>
                <w:color w:val="auto"/>
                <w:kern w:val="0"/>
                <w:sz w:val="24"/>
                <w:szCs w:val="24"/>
                <w:lang w:val="en-US" w:eastAsia="zh-CN"/>
              </w:rPr>
              <w:t xml:space="preserve">及时 </w:t>
            </w:r>
            <w:r>
              <w:rPr>
                <w:rFonts w:hint="eastAsia" w:ascii="仿宋_GB2312" w:hAnsi="仿宋_GB2312" w:eastAsia="仿宋_GB2312" w:cs="仿宋_GB2312"/>
                <w:bCs/>
                <w:color w:val="auto"/>
                <w:kern w:val="0"/>
                <w:sz w:val="24"/>
                <w:szCs w:val="24"/>
              </w:rPr>
              <w:t>&amp; 门禁违规=0：</w:t>
            </w:r>
            <w:r>
              <w:rPr>
                <w:rFonts w:hint="eastAsia" w:ascii="仿宋_GB2312" w:hAnsi="仿宋_GB2312" w:eastAsia="仿宋_GB2312" w:cs="仿宋_GB2312"/>
                <w:color w:val="auto"/>
                <w:kern w:val="0"/>
                <w:sz w:val="24"/>
                <w:szCs w:val="24"/>
              </w:rPr>
              <w:t> 得5分，漏处理/违规1次扣2分</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bCs/>
                <w:color w:val="auto"/>
                <w:kern w:val="0"/>
                <w:sz w:val="24"/>
                <w:szCs w:val="24"/>
              </w:rPr>
              <w:t>c. 安全事件上报及时：</w:t>
            </w:r>
            <w:r>
              <w:rPr>
                <w:rFonts w:hint="eastAsia" w:ascii="仿宋_GB2312" w:hAnsi="仿宋_GB2312" w:eastAsia="仿宋_GB2312" w:cs="仿宋_GB2312"/>
                <w:color w:val="auto"/>
                <w:kern w:val="0"/>
                <w:sz w:val="24"/>
                <w:szCs w:val="24"/>
              </w:rPr>
              <w:t> 得2分，迟报1次扣1分</w:t>
            </w:r>
          </w:p>
        </w:tc>
        <w:tc>
          <w:tcPr>
            <w:tcW w:w="1467"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巡查打卡记录、门禁系统日志、事件处理报告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07" w:type="dxa"/>
              <w:left w:w="0"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Cs/>
                <w:color w:val="auto"/>
                <w:kern w:val="0"/>
                <w:sz w:val="24"/>
                <w:szCs w:val="24"/>
                <w:lang w:val="en-US" w:eastAsia="zh-CN"/>
              </w:rPr>
              <w:t>7</w:t>
            </w:r>
            <w:r>
              <w:rPr>
                <w:rFonts w:hint="eastAsia" w:ascii="仿宋_GB2312" w:hAnsi="仿宋_GB2312" w:eastAsia="仿宋_GB2312" w:cs="仿宋_GB2312"/>
                <w:bCs/>
                <w:color w:val="auto"/>
                <w:kern w:val="0"/>
                <w:sz w:val="24"/>
                <w:szCs w:val="24"/>
              </w:rPr>
              <w:t>. 设施设备安全运维</w:t>
            </w:r>
          </w:p>
        </w:tc>
        <w:tc>
          <w:tcPr>
            <w:tcW w:w="697"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5</w:t>
            </w:r>
          </w:p>
        </w:tc>
        <w:tc>
          <w:tcPr>
            <w:tcW w:w="5230"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Cs/>
                <w:color w:val="auto"/>
                <w:kern w:val="0"/>
                <w:sz w:val="24"/>
                <w:szCs w:val="24"/>
              </w:rPr>
              <w:t>a. 月检覆盖率100% &amp; 隐患整改率100%：</w:t>
            </w:r>
            <w:r>
              <w:rPr>
                <w:rFonts w:hint="eastAsia" w:ascii="仿宋_GB2312" w:hAnsi="仿宋_GB2312" w:eastAsia="仿宋_GB2312" w:cs="仿宋_GB2312"/>
                <w:color w:val="auto"/>
                <w:kern w:val="0"/>
                <w:sz w:val="24"/>
                <w:szCs w:val="24"/>
              </w:rPr>
              <w:t> 得3分，未检/未整改1项扣1分</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bCs/>
                <w:color w:val="auto"/>
                <w:kern w:val="0"/>
                <w:sz w:val="24"/>
                <w:szCs w:val="24"/>
              </w:rPr>
              <w:t>b. 操作规范：</w:t>
            </w:r>
            <w:r>
              <w:rPr>
                <w:rFonts w:hint="eastAsia" w:ascii="仿宋_GB2312" w:hAnsi="仿宋_GB2312" w:eastAsia="仿宋_GB2312" w:cs="仿宋_GB2312"/>
                <w:color w:val="auto"/>
                <w:kern w:val="0"/>
                <w:sz w:val="24"/>
                <w:szCs w:val="24"/>
              </w:rPr>
              <w:t> 得2分，违规操作1次扣1分首次轻微违规（未造成后果）给予口头警告，二次违规再扣分</w:t>
            </w:r>
          </w:p>
        </w:tc>
        <w:tc>
          <w:tcPr>
            <w:tcW w:w="1467"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设备检查台账、整改验收单、操作培训记录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07" w:type="dxa"/>
              <w:left w:w="0"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Cs/>
                <w:color w:val="auto"/>
                <w:kern w:val="0"/>
                <w:sz w:val="24"/>
                <w:szCs w:val="24"/>
                <w:lang w:val="en-US" w:eastAsia="zh-CN"/>
              </w:rPr>
              <w:t>8</w:t>
            </w:r>
            <w:r>
              <w:rPr>
                <w:rFonts w:hint="eastAsia" w:ascii="仿宋_GB2312" w:hAnsi="仿宋_GB2312" w:eastAsia="仿宋_GB2312" w:cs="仿宋_GB2312"/>
                <w:bCs/>
                <w:color w:val="auto"/>
                <w:kern w:val="0"/>
                <w:sz w:val="24"/>
                <w:szCs w:val="24"/>
              </w:rPr>
              <w:t>. 校园信息指引服务</w:t>
            </w:r>
          </w:p>
        </w:tc>
        <w:tc>
          <w:tcPr>
            <w:tcW w:w="697"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1</w:t>
            </w:r>
            <w:r>
              <w:rPr>
                <w:rFonts w:hint="eastAsia" w:ascii="仿宋_GB2312" w:hAnsi="仿宋_GB2312" w:eastAsia="仿宋_GB2312" w:cs="仿宋_GB2312"/>
                <w:color w:val="auto"/>
                <w:kern w:val="0"/>
                <w:sz w:val="24"/>
                <w:szCs w:val="24"/>
                <w:lang w:val="en-US" w:eastAsia="zh-CN"/>
              </w:rPr>
              <w:t>0</w:t>
            </w:r>
          </w:p>
        </w:tc>
        <w:tc>
          <w:tcPr>
            <w:tcW w:w="5230"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Cs/>
                <w:color w:val="auto"/>
                <w:kern w:val="0"/>
                <w:sz w:val="24"/>
                <w:szCs w:val="24"/>
              </w:rPr>
              <w:t>a. 首问负责执行率98%：</w:t>
            </w:r>
            <w:r>
              <w:rPr>
                <w:rFonts w:hint="eastAsia" w:ascii="仿宋_GB2312" w:hAnsi="仿宋_GB2312" w:eastAsia="仿宋_GB2312" w:cs="仿宋_GB2312"/>
                <w:color w:val="auto"/>
                <w:kern w:val="0"/>
                <w:sz w:val="24"/>
                <w:szCs w:val="24"/>
              </w:rPr>
              <w:t> 得4分，推诿1次扣2分</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bCs/>
                <w:color w:val="auto"/>
                <w:kern w:val="0"/>
                <w:sz w:val="24"/>
                <w:szCs w:val="24"/>
              </w:rPr>
              <w:t>b. 信息准确率≥98%：</w:t>
            </w:r>
            <w:r>
              <w:rPr>
                <w:rFonts w:hint="eastAsia" w:ascii="仿宋_GB2312" w:hAnsi="仿宋_GB2312" w:eastAsia="仿宋_GB2312" w:cs="仿宋_GB2312"/>
                <w:color w:val="auto"/>
                <w:kern w:val="0"/>
                <w:sz w:val="24"/>
                <w:szCs w:val="24"/>
              </w:rPr>
              <w:t> 得</w:t>
            </w:r>
            <w:r>
              <w:rPr>
                <w:rFonts w:hint="eastAsia" w:ascii="仿宋_GB2312" w:hAnsi="仿宋_GB2312" w:eastAsia="仿宋_GB2312" w:cs="仿宋_GB2312"/>
                <w:color w:val="auto"/>
                <w:kern w:val="0"/>
                <w:sz w:val="24"/>
                <w:szCs w:val="24"/>
                <w:lang w:val="en-US" w:eastAsia="zh-CN"/>
              </w:rPr>
              <w:t>4</w:t>
            </w:r>
            <w:r>
              <w:rPr>
                <w:rFonts w:hint="eastAsia" w:ascii="仿宋_GB2312" w:hAnsi="仿宋_GB2312" w:eastAsia="仿宋_GB2312" w:cs="仿宋_GB2312"/>
                <w:color w:val="auto"/>
                <w:kern w:val="0"/>
                <w:sz w:val="24"/>
                <w:szCs w:val="24"/>
              </w:rPr>
              <w:t>分，每降1%扣2分</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bCs/>
                <w:color w:val="auto"/>
                <w:kern w:val="0"/>
                <w:sz w:val="24"/>
                <w:szCs w:val="24"/>
              </w:rPr>
              <w:t>c. 信息动态更新（3日内修正 &amp; 台账完整）：</w:t>
            </w:r>
            <w:r>
              <w:rPr>
                <w:rFonts w:hint="eastAsia" w:ascii="仿宋_GB2312" w:hAnsi="仿宋_GB2312" w:eastAsia="仿宋_GB2312" w:cs="仿宋_GB2312"/>
                <w:color w:val="auto"/>
                <w:kern w:val="0"/>
                <w:sz w:val="24"/>
                <w:szCs w:val="24"/>
              </w:rPr>
              <w:t> 得</w:t>
            </w:r>
            <w:r>
              <w:rPr>
                <w:rFonts w:hint="eastAsia" w:ascii="仿宋_GB2312" w:hAnsi="仿宋_GB2312" w:eastAsia="仿宋_GB2312" w:cs="仿宋_GB2312"/>
                <w:color w:val="auto"/>
                <w:kern w:val="0"/>
                <w:sz w:val="24"/>
                <w:szCs w:val="24"/>
                <w:lang w:val="en-US" w:eastAsia="zh-CN"/>
              </w:rPr>
              <w:t>2</w:t>
            </w:r>
            <w:r>
              <w:rPr>
                <w:rFonts w:hint="eastAsia" w:ascii="仿宋_GB2312" w:hAnsi="仿宋_GB2312" w:eastAsia="仿宋_GB2312" w:cs="仿宋_GB2312"/>
                <w:color w:val="auto"/>
                <w:kern w:val="0"/>
                <w:sz w:val="24"/>
                <w:szCs w:val="24"/>
              </w:rPr>
              <w:t>分，未更新/台账缺漏1次扣1分</w:t>
            </w:r>
          </w:p>
        </w:tc>
        <w:tc>
          <w:tcPr>
            <w:tcW w:w="1467"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咨询记录抽查、满意度专项问卷、信息更新台账、高频问题库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07" w:type="dxa"/>
              <w:left w:w="0"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Cs/>
                <w:color w:val="auto"/>
                <w:kern w:val="0"/>
                <w:sz w:val="24"/>
                <w:szCs w:val="24"/>
                <w:lang w:val="en-US" w:eastAsia="zh-CN"/>
              </w:rPr>
              <w:t>9</w:t>
            </w:r>
            <w:r>
              <w:rPr>
                <w:rFonts w:hint="eastAsia" w:ascii="仿宋_GB2312" w:hAnsi="仿宋_GB2312" w:eastAsia="仿宋_GB2312" w:cs="仿宋_GB2312"/>
                <w:bCs/>
                <w:color w:val="auto"/>
                <w:kern w:val="0"/>
                <w:sz w:val="24"/>
                <w:szCs w:val="24"/>
              </w:rPr>
              <w:t>. 协同与上报机制</w:t>
            </w:r>
          </w:p>
        </w:tc>
        <w:tc>
          <w:tcPr>
            <w:tcW w:w="697"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10</w:t>
            </w:r>
          </w:p>
        </w:tc>
        <w:tc>
          <w:tcPr>
            <w:tcW w:w="5230"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Cs/>
                <w:color w:val="auto"/>
                <w:kern w:val="0"/>
                <w:sz w:val="24"/>
                <w:szCs w:val="24"/>
              </w:rPr>
              <w:t>a. 内部信息共享/交接无遗漏：</w:t>
            </w:r>
            <w:r>
              <w:rPr>
                <w:rFonts w:hint="eastAsia" w:ascii="仿宋_GB2312" w:hAnsi="仿宋_GB2312" w:eastAsia="仿宋_GB2312" w:cs="仿宋_GB2312"/>
                <w:color w:val="auto"/>
                <w:kern w:val="0"/>
                <w:sz w:val="24"/>
                <w:szCs w:val="24"/>
              </w:rPr>
              <w:t> 得5分，信息延误/遗漏1次扣1分</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bCs/>
                <w:color w:val="auto"/>
                <w:kern w:val="0"/>
                <w:sz w:val="24"/>
                <w:szCs w:val="24"/>
              </w:rPr>
              <w:t>b. 重大问题上报及时：</w:t>
            </w:r>
            <w:r>
              <w:rPr>
                <w:rFonts w:hint="eastAsia" w:ascii="仿宋_GB2312" w:hAnsi="仿宋_GB2312" w:eastAsia="仿宋_GB2312" w:cs="仿宋_GB2312"/>
                <w:color w:val="auto"/>
                <w:kern w:val="0"/>
                <w:sz w:val="24"/>
                <w:szCs w:val="24"/>
              </w:rPr>
              <w:t> 得3分，迟报1次扣2分</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bCs/>
                <w:color w:val="auto"/>
                <w:kern w:val="0"/>
                <w:sz w:val="24"/>
                <w:szCs w:val="24"/>
              </w:rPr>
              <w:t>c. 跨部门协作投诉=0，：</w:t>
            </w:r>
            <w:r>
              <w:rPr>
                <w:rFonts w:hint="eastAsia" w:ascii="仿宋_GB2312" w:hAnsi="仿宋_GB2312" w:eastAsia="仿宋_GB2312" w:cs="仿宋_GB2312"/>
                <w:color w:val="auto"/>
                <w:kern w:val="0"/>
                <w:sz w:val="24"/>
                <w:szCs w:val="24"/>
              </w:rPr>
              <w:t> 得2分，有效投诉1次扣1分</w:t>
            </w:r>
          </w:p>
        </w:tc>
        <w:tc>
          <w:tcPr>
            <w:tcW w:w="1467"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交接班记录、上报记录、部门协作反馈表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07" w:type="dxa"/>
              <w:left w:w="0"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Cs/>
                <w:color w:val="auto"/>
                <w:kern w:val="0"/>
                <w:sz w:val="24"/>
                <w:szCs w:val="24"/>
              </w:rPr>
              <w:t>总分</w:t>
            </w:r>
          </w:p>
        </w:tc>
        <w:tc>
          <w:tcPr>
            <w:tcW w:w="697"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bCs/>
                <w:color w:val="auto"/>
                <w:kern w:val="0"/>
                <w:sz w:val="24"/>
                <w:szCs w:val="24"/>
                <w:lang w:val="en-US" w:eastAsia="zh-CN"/>
              </w:rPr>
              <w:t>100</w:t>
            </w:r>
          </w:p>
        </w:tc>
        <w:tc>
          <w:tcPr>
            <w:tcW w:w="5230"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Cs/>
                <w:color w:val="auto"/>
                <w:kern w:val="0"/>
                <w:sz w:val="24"/>
                <w:szCs w:val="24"/>
              </w:rPr>
              <w:t>附加条款：</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color w:val="auto"/>
                <w:kern w:val="0"/>
                <w:sz w:val="24"/>
                <w:szCs w:val="24"/>
              </w:rPr>
              <w:t>发生安全责任事故[因物业服务失职导致的火灾、盗窃、人身伤害（经公安或安监部门认定）]或重大服务舆情[校外平台（抖音、微信视频号等）传播，点赞超 500 次或评论超 100 条，且确属物业服务责任”]，当季考核总分归零</w:t>
            </w:r>
          </w:p>
        </w:tc>
        <w:tc>
          <w:tcPr>
            <w:tcW w:w="1467"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p>
        </w:tc>
      </w:tr>
    </w:tbl>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考核实施说明：</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1．核心权重分布：</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（1）基础服务（</w:t>
      </w:r>
      <w:r>
        <w:rPr>
          <w:rFonts w:hint="eastAsia" w:ascii="仿宋_GB2312" w:hAnsi="仿宋_GB2312" w:eastAsia="仿宋_GB2312" w:cs="仿宋_GB2312"/>
          <w:color w:val="auto"/>
          <w:sz w:val="24"/>
          <w:szCs w:val="24"/>
          <w:lang w:val="en-US" w:eastAsia="zh-CN"/>
        </w:rPr>
        <w:t>35</w:t>
      </w:r>
      <w:r>
        <w:rPr>
          <w:rFonts w:hint="eastAsia" w:ascii="仿宋_GB2312" w:hAnsi="仿宋_GB2312" w:eastAsia="仿宋_GB2312" w:cs="仿宋_GB2312"/>
          <w:color w:val="auto"/>
          <w:sz w:val="24"/>
          <w:szCs w:val="24"/>
        </w:rPr>
        <w:t>分）： </w:t>
      </w:r>
      <w:r>
        <w:rPr>
          <w:rFonts w:hint="eastAsia" w:ascii="仿宋_GB2312" w:hAnsi="仿宋_GB2312" w:eastAsia="仿宋_GB2312" w:cs="仿宋_GB2312"/>
          <w:color w:val="auto"/>
          <w:sz w:val="24"/>
          <w:szCs w:val="24"/>
          <w:lang w:val="en-US" w:eastAsia="zh-CN"/>
        </w:rPr>
        <w:t>房间</w:t>
      </w:r>
      <w:r>
        <w:rPr>
          <w:rFonts w:hint="eastAsia" w:ascii="仿宋_GB2312" w:hAnsi="仿宋_GB2312" w:eastAsia="仿宋_GB2312" w:cs="仿宋_GB2312"/>
          <w:color w:val="auto"/>
          <w:sz w:val="24"/>
          <w:szCs w:val="24"/>
        </w:rPr>
        <w:t>清洁(20</w:t>
      </w:r>
      <w:r>
        <w:rPr>
          <w:rFonts w:hint="eastAsia" w:ascii="仿宋_GB2312" w:hAnsi="仿宋_GB2312" w:eastAsia="仿宋_GB2312" w:cs="仿宋_GB2312"/>
          <w:color w:val="auto"/>
          <w:sz w:val="24"/>
          <w:szCs w:val="24"/>
          <w:lang w:eastAsia="zh-CN"/>
        </w:rPr>
        <w:t>分</w:t>
      </w:r>
      <w:r>
        <w:rPr>
          <w:rFonts w:hint="eastAsia" w:ascii="仿宋_GB2312" w:hAnsi="仿宋_GB2312" w:eastAsia="仿宋_GB2312" w:cs="仿宋_GB2312"/>
          <w:color w:val="auto"/>
          <w:sz w:val="24"/>
          <w:szCs w:val="24"/>
        </w:rPr>
        <w:t>)+前台效率(15</w:t>
      </w:r>
      <w:r>
        <w:rPr>
          <w:rFonts w:hint="eastAsia" w:ascii="仿宋_GB2312" w:hAnsi="仿宋_GB2312" w:eastAsia="仿宋_GB2312" w:cs="仿宋_GB2312"/>
          <w:color w:val="auto"/>
          <w:sz w:val="24"/>
          <w:szCs w:val="24"/>
          <w:lang w:eastAsia="zh-CN"/>
        </w:rPr>
        <w:t>分</w:t>
      </w:r>
      <w:r>
        <w:rPr>
          <w:rFonts w:hint="eastAsia" w:ascii="仿宋_GB2312" w:hAnsi="仿宋_GB2312" w:eastAsia="仿宋_GB2312" w:cs="仿宋_GB2312"/>
          <w:color w:val="auto"/>
          <w:sz w:val="24"/>
          <w:szCs w:val="24"/>
        </w:rPr>
        <w:t>构成服务骨架</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（2）安全底线（25分）： 消防(8</w:t>
      </w:r>
      <w:r>
        <w:rPr>
          <w:rFonts w:hint="eastAsia" w:ascii="仿宋_GB2312" w:hAnsi="仿宋_GB2312" w:eastAsia="仿宋_GB2312" w:cs="仿宋_GB2312"/>
          <w:color w:val="auto"/>
          <w:sz w:val="24"/>
          <w:szCs w:val="24"/>
          <w:lang w:eastAsia="zh-CN"/>
        </w:rPr>
        <w:t>分</w:t>
      </w:r>
      <w:r>
        <w:rPr>
          <w:rFonts w:hint="eastAsia" w:ascii="仿宋_GB2312" w:hAnsi="仿宋_GB2312" w:eastAsia="仿宋_GB2312" w:cs="仿宋_GB2312"/>
          <w:color w:val="auto"/>
          <w:sz w:val="24"/>
          <w:szCs w:val="24"/>
        </w:rPr>
        <w:t>)+巡查门禁(12</w:t>
      </w:r>
      <w:r>
        <w:rPr>
          <w:rFonts w:hint="eastAsia" w:ascii="仿宋_GB2312" w:hAnsi="仿宋_GB2312" w:eastAsia="仿宋_GB2312" w:cs="仿宋_GB2312"/>
          <w:color w:val="auto"/>
          <w:sz w:val="24"/>
          <w:szCs w:val="24"/>
          <w:lang w:eastAsia="zh-CN"/>
        </w:rPr>
        <w:t>分</w:t>
      </w:r>
      <w:r>
        <w:rPr>
          <w:rFonts w:hint="eastAsia" w:ascii="仿宋_GB2312" w:hAnsi="仿宋_GB2312" w:eastAsia="仿宋_GB2312" w:cs="仿宋_GB2312"/>
          <w:color w:val="auto"/>
          <w:sz w:val="24"/>
          <w:szCs w:val="24"/>
        </w:rPr>
        <w:t>)+设备安全(5</w:t>
      </w:r>
      <w:r>
        <w:rPr>
          <w:rFonts w:hint="eastAsia" w:ascii="仿宋_GB2312" w:hAnsi="仿宋_GB2312" w:eastAsia="仿宋_GB2312" w:cs="仿宋_GB2312"/>
          <w:color w:val="auto"/>
          <w:sz w:val="24"/>
          <w:szCs w:val="24"/>
          <w:lang w:eastAsia="zh-CN"/>
        </w:rPr>
        <w:t>分</w:t>
      </w:r>
      <w:r>
        <w:rPr>
          <w:rFonts w:hint="eastAsia" w:ascii="仿宋_GB2312" w:hAnsi="仿宋_GB2312" w:eastAsia="仿宋_GB2312" w:cs="仿宋_GB2312"/>
          <w:color w:val="auto"/>
          <w:sz w:val="24"/>
          <w:szCs w:val="24"/>
        </w:rPr>
        <w:t>)实行零容忍</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（3）校园特色（</w:t>
      </w:r>
      <w:r>
        <w:rPr>
          <w:rFonts w:hint="eastAsia" w:ascii="仿宋_GB2312" w:hAnsi="仿宋_GB2312" w:eastAsia="仿宋_GB2312" w:cs="仿宋_GB2312"/>
          <w:color w:val="auto"/>
          <w:sz w:val="24"/>
          <w:szCs w:val="24"/>
          <w:lang w:val="en-US" w:eastAsia="zh-CN"/>
        </w:rPr>
        <w:t>10</w:t>
      </w:r>
      <w:r>
        <w:rPr>
          <w:rFonts w:hint="eastAsia" w:ascii="仿宋_GB2312" w:hAnsi="仿宋_GB2312" w:eastAsia="仿宋_GB2312" w:cs="仿宋_GB2312"/>
          <w:color w:val="auto"/>
          <w:sz w:val="24"/>
          <w:szCs w:val="24"/>
        </w:rPr>
        <w:t>分）： 信息指引服务为差异化核心竞争点</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（4）管理闭环（30分）： 需求响应(</w:t>
      </w:r>
      <w:r>
        <w:rPr>
          <w:rFonts w:hint="eastAsia" w:ascii="仿宋_GB2312" w:hAnsi="仿宋_GB2312" w:eastAsia="仿宋_GB2312" w:cs="仿宋_GB2312"/>
          <w:color w:val="auto"/>
          <w:sz w:val="24"/>
          <w:szCs w:val="24"/>
          <w:lang w:val="en-US" w:eastAsia="zh-CN"/>
        </w:rPr>
        <w:t>10</w:t>
      </w:r>
      <w:r>
        <w:rPr>
          <w:rFonts w:hint="eastAsia" w:ascii="仿宋_GB2312" w:hAnsi="仿宋_GB2312" w:eastAsia="仿宋_GB2312" w:cs="仿宋_GB2312"/>
          <w:color w:val="auto"/>
          <w:sz w:val="24"/>
          <w:szCs w:val="24"/>
          <w:lang w:eastAsia="zh-CN"/>
        </w:rPr>
        <w:t>分</w:t>
      </w:r>
      <w:r>
        <w:rPr>
          <w:rFonts w:hint="eastAsia" w:ascii="仿宋_GB2312" w:hAnsi="仿宋_GB2312" w:eastAsia="仿宋_GB2312" w:cs="仿宋_GB2312"/>
          <w:color w:val="auto"/>
          <w:sz w:val="24"/>
          <w:szCs w:val="24"/>
        </w:rPr>
        <w:t>)+满意度(10</w:t>
      </w:r>
      <w:r>
        <w:rPr>
          <w:rFonts w:hint="eastAsia" w:ascii="仿宋_GB2312" w:hAnsi="仿宋_GB2312" w:eastAsia="仿宋_GB2312" w:cs="仿宋_GB2312"/>
          <w:color w:val="auto"/>
          <w:sz w:val="24"/>
          <w:szCs w:val="24"/>
          <w:lang w:eastAsia="zh-CN"/>
        </w:rPr>
        <w:t>分</w:t>
      </w:r>
      <w:r>
        <w:rPr>
          <w:rFonts w:hint="eastAsia" w:ascii="仿宋_GB2312" w:hAnsi="仿宋_GB2312" w:eastAsia="仿宋_GB2312" w:cs="仿宋_GB2312"/>
          <w:color w:val="auto"/>
          <w:sz w:val="24"/>
          <w:szCs w:val="24"/>
        </w:rPr>
        <w:t>)+协同机制(</w:t>
      </w:r>
      <w:r>
        <w:rPr>
          <w:rFonts w:hint="eastAsia" w:ascii="仿宋_GB2312" w:hAnsi="仿宋_GB2312" w:eastAsia="仿宋_GB2312" w:cs="仿宋_GB2312"/>
          <w:color w:val="auto"/>
          <w:sz w:val="24"/>
          <w:szCs w:val="24"/>
          <w:lang w:val="en-US" w:eastAsia="zh-CN"/>
        </w:rPr>
        <w:t>10</w:t>
      </w:r>
      <w:r>
        <w:rPr>
          <w:rFonts w:hint="eastAsia" w:ascii="仿宋_GB2312" w:hAnsi="仿宋_GB2312" w:eastAsia="仿宋_GB2312" w:cs="仿宋_GB2312"/>
          <w:color w:val="auto"/>
          <w:sz w:val="24"/>
          <w:szCs w:val="24"/>
          <w:lang w:eastAsia="zh-CN"/>
        </w:rPr>
        <w:t>分</w:t>
      </w:r>
      <w:r>
        <w:rPr>
          <w:rFonts w:hint="eastAsia" w:ascii="仿宋_GB2312" w:hAnsi="仿宋_GB2312" w:eastAsia="仿宋_GB2312" w:cs="仿宋_GB2312"/>
          <w:color w:val="auto"/>
          <w:sz w:val="24"/>
          <w:szCs w:val="24"/>
        </w:rPr>
        <w:t>)确保持续改进</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2．关键评分规则：</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（1）安全一票否决： 发生安全责任事故或重大舆情直接判0分</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（2）时效量化扣分：</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房间</w:t>
      </w:r>
      <w:r>
        <w:rPr>
          <w:rFonts w:hint="eastAsia" w:ascii="仿宋_GB2312" w:hAnsi="仿宋_GB2312" w:eastAsia="仿宋_GB2312" w:cs="仿宋_GB2312"/>
          <w:color w:val="auto"/>
          <w:sz w:val="24"/>
          <w:szCs w:val="24"/>
        </w:rPr>
        <w:t>清洁超时1小时以上按次扣2分</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需求响应超30分钟/维修超时按次扣1分</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（3）准确性严控：</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信息指引错误1次扣2分（权重翻倍）</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消防检查记录造假直接扣光8分</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（4）动态激励：</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满意度＞97%额外加2分</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校园信息库每新增10条高频问答加1分</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3．考核数据来源</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（1）系统数据：从《入住人员明细表》获取入住、退房、房态信息；从报修系统获取需求响应和维修处理数据。</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（2）检查记录：每日抽查</w:t>
      </w:r>
      <w:r>
        <w:rPr>
          <w:rFonts w:hint="eastAsia" w:ascii="仿宋_GB2312" w:hAnsi="仿宋_GB2312" w:eastAsia="仿宋_GB2312" w:cs="仿宋_GB2312"/>
          <w:color w:val="auto"/>
          <w:sz w:val="24"/>
          <w:szCs w:val="24"/>
          <w:lang w:val="en-US" w:eastAsia="zh-CN"/>
        </w:rPr>
        <w:t>房间</w:t>
      </w:r>
      <w:r>
        <w:rPr>
          <w:rFonts w:hint="eastAsia" w:ascii="仿宋_GB2312" w:hAnsi="仿宋_GB2312" w:eastAsia="仿宋_GB2312" w:cs="仿宋_GB2312"/>
          <w:color w:val="auto"/>
          <w:sz w:val="24"/>
          <w:szCs w:val="24"/>
        </w:rPr>
        <w:t>清洁、安全巡查等情况，填写抽查表；</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（3）客史档案、满意度调查：分析</w:t>
      </w:r>
      <w:r>
        <w:rPr>
          <w:rFonts w:hint="eastAsia" w:ascii="仿宋_GB2312" w:hAnsi="仿宋_GB2312" w:eastAsia="仿宋_GB2312" w:cs="仿宋_GB2312"/>
          <w:color w:val="auto"/>
          <w:sz w:val="24"/>
          <w:szCs w:val="24"/>
          <w:lang w:eastAsia="zh-CN"/>
        </w:rPr>
        <w:t>住客问卷</w:t>
      </w:r>
      <w:r>
        <w:rPr>
          <w:rFonts w:hint="eastAsia" w:ascii="仿宋_GB2312" w:hAnsi="仿宋_GB2312" w:eastAsia="仿宋_GB2312" w:cs="仿宋_GB2312"/>
          <w:color w:val="auto"/>
          <w:sz w:val="24"/>
          <w:szCs w:val="24"/>
        </w:rPr>
        <w:t>、随机电话回访等方式数据，统计住客满意度；整理客史档案，了解住客反馈。</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w:t>
      </w:r>
      <w:r>
        <w:rPr>
          <w:rFonts w:hint="eastAsia" w:ascii="仿宋_GB2312" w:hAnsi="仿宋_GB2312" w:eastAsia="仿宋_GB2312" w:cs="仿宋_GB2312"/>
          <w:bCs/>
          <w:color w:val="auto"/>
          <w:sz w:val="24"/>
          <w:szCs w:val="24"/>
        </w:rPr>
        <w:t>其他</w:t>
      </w:r>
      <w:r>
        <w:rPr>
          <w:rFonts w:hint="eastAsia" w:ascii="仿宋_GB2312" w:hAnsi="仿宋_GB2312" w:eastAsia="仿宋_GB2312" w:cs="仿宋_GB2312"/>
          <w:color w:val="auto"/>
          <w:sz w:val="24"/>
          <w:szCs w:val="24"/>
        </w:rPr>
        <w:t>：参考投诉记录、交接班本、物料领用单、监控录像等，全面评估员工工作表现。有效投诉界定:经核实确属物业服务失职（如未响应需求、服务态度恶劣、清洁不达标）的投诉；重复投诉按1次计算，恶意投诉（无事实依据）经核实后不纳入考核。</w:t>
      </w:r>
    </w:p>
    <w:p>
      <w:pPr>
        <w:rPr>
          <w:rFonts w:hint="eastAsia" w:ascii="仿宋_GB2312" w:hAnsi="仿宋_GB2312" w:eastAsia="仿宋_GB2312" w:cs="仿宋_GB2312"/>
          <w:color w:val="auto"/>
          <w:sz w:val="24"/>
          <w:szCs w:val="24"/>
        </w:rPr>
      </w:pPr>
      <w:r>
        <w:rPr>
          <w:rStyle w:val="118"/>
          <w:rFonts w:hint="eastAsia" w:ascii="仿宋_GB2312" w:hAnsi="仿宋_GB2312" w:eastAsia="仿宋_GB2312" w:cs="仿宋_GB2312"/>
          <w:color w:val="auto"/>
          <w:sz w:val="24"/>
          <w:szCs w:val="24"/>
        </w:rPr>
        <w:t>4．</w:t>
      </w:r>
      <w:r>
        <w:rPr>
          <w:rFonts w:hint="eastAsia" w:ascii="仿宋_GB2312" w:hAnsi="仿宋_GB2312" w:eastAsia="仿宋_GB2312" w:cs="仿宋_GB2312"/>
          <w:color w:val="auto"/>
          <w:sz w:val="24"/>
          <w:szCs w:val="24"/>
        </w:rPr>
        <w:t>考核周期</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（1）每日/每周监控：针对</w:t>
      </w:r>
      <w:r>
        <w:rPr>
          <w:rFonts w:hint="eastAsia" w:ascii="仿宋_GB2312" w:hAnsi="仿宋_GB2312" w:eastAsia="仿宋_GB2312" w:cs="仿宋_GB2312"/>
          <w:color w:val="auto"/>
          <w:sz w:val="24"/>
          <w:szCs w:val="24"/>
          <w:lang w:val="en-US" w:eastAsia="zh-CN"/>
        </w:rPr>
        <w:t>房间</w:t>
      </w:r>
      <w:r>
        <w:rPr>
          <w:rFonts w:hint="eastAsia" w:ascii="仿宋_GB2312" w:hAnsi="仿宋_GB2312" w:eastAsia="仿宋_GB2312" w:cs="仿宋_GB2312"/>
          <w:color w:val="auto"/>
          <w:sz w:val="24"/>
          <w:szCs w:val="24"/>
        </w:rPr>
        <w:t>清洁完成时间、需求首次响应时间等关键效率指标，每日统计数据，每周进行汇总分析。</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w:t>
      </w:r>
      <w:r>
        <w:rPr>
          <w:rFonts w:hint="eastAsia" w:ascii="仿宋_GB2312" w:hAnsi="仿宋_GB2312" w:eastAsia="仿宋_GB2312" w:cs="仿宋_GB2312"/>
          <w:bCs/>
          <w:color w:val="auto"/>
          <w:sz w:val="24"/>
          <w:szCs w:val="24"/>
        </w:rPr>
        <w:t>每月/季度考核</w:t>
      </w:r>
      <w:r>
        <w:rPr>
          <w:rFonts w:hint="eastAsia" w:ascii="仿宋_GB2312" w:hAnsi="仿宋_GB2312" w:eastAsia="仿宋_GB2312" w:cs="仿宋_GB2312"/>
          <w:color w:val="auto"/>
          <w:sz w:val="24"/>
          <w:szCs w:val="24"/>
        </w:rPr>
        <w:t>：每月对服务质量、安全保障等指标进行考核评分；每季度综合评估满意度、校园特色服务等指标，形成季度考核报告。</w:t>
      </w:r>
    </w:p>
    <w:p>
      <w:pPr>
        <w:rPr>
          <w:rFonts w:hint="eastAsia" w:ascii="仿宋_GB2312" w:hAnsi="仿宋_GB2312" w:eastAsia="仿宋_GB2312" w:cs="仿宋_GB2312"/>
          <w:color w:val="auto"/>
          <w:sz w:val="24"/>
          <w:szCs w:val="24"/>
        </w:rPr>
      </w:pPr>
      <w:r>
        <w:rPr>
          <w:rStyle w:val="118"/>
          <w:rFonts w:hint="eastAsia" w:ascii="仿宋_GB2312" w:hAnsi="仿宋_GB2312" w:eastAsia="仿宋_GB2312" w:cs="仿宋_GB2312"/>
          <w:color w:val="auto"/>
          <w:sz w:val="24"/>
          <w:szCs w:val="24"/>
        </w:rPr>
        <w:t>5．</w:t>
      </w:r>
      <w:r>
        <w:rPr>
          <w:rFonts w:hint="eastAsia" w:ascii="仿宋_GB2312" w:hAnsi="仿宋_GB2312" w:eastAsia="仿宋_GB2312" w:cs="仿宋_GB2312"/>
          <w:color w:val="auto"/>
          <w:sz w:val="24"/>
          <w:szCs w:val="24"/>
        </w:rPr>
        <w:t>公平性考量</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（1）综合考虑班次、区域、工作量差异，建立多维度动态考核机制。对于兼任前台接待与管理等多角色的复合型员工，采用指标综合量化评分体系：</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a、权重分配逻辑：根据岗位核心职责与工作耗时占比，设定前台工作权重 40%（侧重服务响应速度、入住登记准确率等），</w:t>
      </w:r>
      <w:r>
        <w:rPr>
          <w:rFonts w:hint="eastAsia" w:ascii="仿宋_GB2312" w:hAnsi="仿宋_GB2312" w:eastAsia="仿宋_GB2312" w:cs="仿宋_GB2312"/>
          <w:color w:val="auto"/>
          <w:sz w:val="24"/>
          <w:szCs w:val="24"/>
          <w:lang w:val="en-US" w:eastAsia="zh-CN"/>
        </w:rPr>
        <w:t>房间清洁</w:t>
      </w:r>
      <w:r>
        <w:rPr>
          <w:rFonts w:hint="eastAsia" w:ascii="仿宋_GB2312" w:hAnsi="仿宋_GB2312" w:eastAsia="仿宋_GB2312" w:cs="仿宋_GB2312"/>
          <w:color w:val="auto"/>
          <w:sz w:val="24"/>
          <w:szCs w:val="24"/>
        </w:rPr>
        <w:t>工作权重 60%（侧重清洁达标率、布草更换及时率等）；</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b、动态调整机制：每月根据实际工作时长记录，允许权重浮动 ±5%，确保考核与实际工作投入匹配；</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c、数据支撑工具：依托物业管理系统自动抓取前台接待量、</w:t>
      </w:r>
      <w:r>
        <w:rPr>
          <w:rFonts w:hint="eastAsia" w:ascii="仿宋_GB2312" w:hAnsi="仿宋_GB2312" w:eastAsia="仿宋_GB2312" w:cs="仿宋_GB2312"/>
          <w:color w:val="auto"/>
          <w:sz w:val="24"/>
          <w:szCs w:val="24"/>
          <w:lang w:val="en-US" w:eastAsia="zh-CN"/>
        </w:rPr>
        <w:t>房间</w:t>
      </w:r>
      <w:r>
        <w:rPr>
          <w:rFonts w:hint="eastAsia" w:ascii="仿宋_GB2312" w:hAnsi="仿宋_GB2312" w:eastAsia="仿宋_GB2312" w:cs="仿宋_GB2312"/>
          <w:color w:val="auto"/>
          <w:sz w:val="24"/>
          <w:szCs w:val="24"/>
        </w:rPr>
        <w:t>查房记录等数据，结合人工抽查，生成可视化加权得分报表。</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（2）针对不同区域（如不同楼层、楼栋）制定差异化考核标准时，构建三维评估模型：</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a、工作量基准：按房间数量、户型结构、公共区域面积等计算基础工作量，例如高层电梯楼栋每人每日清洁上限为 20 间，多层步梯楼栋为 15 间；</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b、难度系数设定：设置特殊区域难度系数，如老年学员楼层因需额外帮扶，工作量增加 20%→系数 1.2，VIP 接待楼层清洁标准更高，工作量增加30%→系数 1.3，叠加至基础工作量；</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（3）弹性考核周期：对偏远楼栋或特殊功能区域，将月度考核调整为双月考核，配套阶段性抽检，确保考核周期与工作节奏适配。</w:t>
      </w:r>
    </w:p>
    <w:p>
      <w:pPr>
        <w:rPr>
          <w:rFonts w:hint="eastAsia" w:ascii="仿宋_GB2312" w:hAnsi="仿宋_GB2312" w:eastAsia="仿宋_GB2312" w:cs="仿宋_GB2312"/>
          <w:color w:val="auto"/>
          <w:sz w:val="24"/>
          <w:szCs w:val="24"/>
        </w:rPr>
      </w:pPr>
      <w:r>
        <w:rPr>
          <w:rStyle w:val="118"/>
          <w:rFonts w:hint="eastAsia" w:ascii="仿宋_GB2312" w:hAnsi="仿宋_GB2312" w:eastAsia="仿宋_GB2312" w:cs="仿宋_GB2312"/>
          <w:color w:val="auto"/>
          <w:sz w:val="24"/>
          <w:szCs w:val="24"/>
        </w:rPr>
        <w:t>6．</w:t>
      </w:r>
      <w:r>
        <w:rPr>
          <w:rFonts w:hint="eastAsia" w:ascii="仿宋_GB2312" w:hAnsi="仿宋_GB2312" w:eastAsia="仿宋_GB2312" w:cs="仿宋_GB2312"/>
          <w:color w:val="auto"/>
          <w:sz w:val="24"/>
          <w:szCs w:val="24"/>
        </w:rPr>
        <w:t>考核结果应用</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（1）针对性培训：根据考核结果，对新员工加强操作培训，对服务礼仪不足的员工进行礼仪强化培训。</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（2）流程优化：分析考核中发现的问题，优化布草流转、报修等流程，提高工作效率和服务质量。</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（3）服务提升：深入分析住客不满原因，制定改进措施，持续提升服务水平。</w:t>
      </w:r>
    </w:p>
    <w:p>
      <w:pPr>
        <w:pStyle w:val="8"/>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（4）绩效激励：将考核结果与绩效奖金挂钩，设置不同等级的奖励和惩罚措施，激励员工提高工作表现。</w:t>
      </w:r>
    </w:p>
    <w:p>
      <w:pPr>
        <w:pStyle w:val="8"/>
        <w:rPr>
          <w:rFonts w:hint="eastAsia" w:ascii="仿宋_GB2312" w:hAnsi="仿宋_GB2312" w:eastAsia="仿宋_GB2312" w:cs="仿宋_GB2312"/>
          <w:color w:val="auto"/>
          <w:sz w:val="24"/>
          <w:szCs w:val="24"/>
        </w:rPr>
      </w:pPr>
    </w:p>
    <w:p>
      <w:pPr>
        <w:jc w:val="left"/>
        <w:rPr>
          <w:rFonts w:hint="eastAsia" w:ascii="仿宋_GB2312" w:hAnsi="仿宋_GB2312" w:eastAsia="仿宋_GB2312" w:cs="仿宋_GB2312"/>
          <w:sz w:val="28"/>
          <w:szCs w:val="28"/>
          <w:lang w:eastAsia="zh-CN"/>
        </w:rPr>
      </w:pPr>
      <w:r>
        <w:rPr>
          <w:rFonts w:hint="eastAsia" w:ascii="仿宋_GB2312" w:hAnsi="仿宋_GB2312" w:eastAsia="仿宋_GB2312" w:cs="仿宋_GB2312"/>
          <w:bCs/>
          <w:sz w:val="28"/>
          <w:szCs w:val="28"/>
        </w:rPr>
        <w:t>★</w:t>
      </w:r>
      <w:r>
        <w:rPr>
          <w:rFonts w:hint="eastAsia" w:ascii="仿宋_GB2312" w:hAnsi="仿宋_GB2312" w:eastAsia="仿宋_GB2312" w:cs="仿宋_GB2312"/>
          <w:b/>
          <w:bCs/>
          <w:sz w:val="28"/>
          <w:szCs w:val="28"/>
        </w:rPr>
        <w:t>附件</w:t>
      </w:r>
      <w:r>
        <w:rPr>
          <w:rFonts w:hint="eastAsia" w:ascii="仿宋_GB2312" w:hAnsi="仿宋_GB2312" w:eastAsia="仿宋_GB2312" w:cs="仿宋_GB2312"/>
          <w:b/>
          <w:bCs/>
          <w:sz w:val="28"/>
          <w:szCs w:val="28"/>
          <w:lang w:eastAsia="zh-CN"/>
        </w:rPr>
        <w:t>七</w:t>
      </w:r>
    </w:p>
    <w:p>
      <w:pPr>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柳州城市职业学院化粪池及排污管网清理质量考核细则</w:t>
      </w:r>
    </w:p>
    <w:p>
      <w:pPr>
        <w:jc w:val="left"/>
        <w:rPr>
          <w:rFonts w:ascii="仿宋_GB2312" w:eastAsia="仿宋_GB2312"/>
          <w:szCs w:val="21"/>
        </w:rPr>
      </w:pPr>
      <w:r>
        <w:rPr>
          <w:rFonts w:hint="eastAsia" w:ascii="仿宋_GB2312" w:eastAsia="仿宋_GB2312"/>
          <w:szCs w:val="21"/>
        </w:rPr>
        <w:t xml:space="preserve">    </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为做好物业服务企业服务质量考核工作，明确和细化《柳州城市职业学院物业服务企业监督管理办法》相关内容，结合学校实际制定本实施细则。本细则适用于在我校依据法定合同从事校园化粪池及排污管网清理的各物业服务企业或其他实体，由后勤保障处组织考核。</w:t>
      </w:r>
    </w:p>
    <w:p>
      <w:pPr>
        <w:ind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一、</w:t>
      </w:r>
      <w:r>
        <w:rPr>
          <w:rFonts w:hint="eastAsia" w:ascii="仿宋_GB2312" w:hAnsi="仿宋_GB2312" w:eastAsia="仿宋_GB2312" w:cs="仿宋_GB2312"/>
          <w:b/>
          <w:sz w:val="24"/>
          <w:szCs w:val="24"/>
        </w:rPr>
        <w:t xml:space="preserve">服务标准与考核指标 </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1．化粪池清掏频次与彻底性：</w:t>
      </w:r>
    </w:p>
    <w:p>
      <w:pPr>
        <w:ind w:firstLine="360" w:firstLineChars="15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t>服务标准： 根据化粪池容量、使用频率（办公楼、教学楼、实训楼、</w:t>
      </w:r>
      <w:r>
        <w:rPr>
          <w:rFonts w:hint="eastAsia" w:ascii="仿宋_GB2312" w:hAnsi="仿宋_GB2312" w:eastAsia="仿宋_GB2312" w:cs="仿宋_GB2312"/>
          <w:sz w:val="24"/>
          <w:szCs w:val="24"/>
          <w:lang w:eastAsia="zh-CN"/>
        </w:rPr>
        <w:t>学生公寓</w:t>
      </w:r>
      <w:r>
        <w:rPr>
          <w:rFonts w:hint="eastAsia" w:ascii="仿宋_GB2312" w:hAnsi="仿宋_GB2312" w:eastAsia="仿宋_GB2312" w:cs="仿宋_GB2312"/>
          <w:sz w:val="24"/>
          <w:szCs w:val="24"/>
        </w:rPr>
        <w:t>、食堂附近需更频繁）及沉淀情况，制定科学清掏计划。清掏彻底，清除底部沉渣及浮渣至规定深度（通常≥90%容积），确保有效容积。清掏后检查池体结构安全。</w:t>
      </w:r>
    </w:p>
    <w:p>
      <w:pPr>
        <w:ind w:firstLine="360" w:firstLineChars="15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t>考核指标：</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年度计划清掏完成率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实际清掏次数/年计划清掏次数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 100%。</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单次</w:t>
      </w:r>
      <w:r>
        <w:rPr>
          <w:rFonts w:hint="eastAsia" w:ascii="仿宋_GB2312" w:hAnsi="仿宋_GB2312" w:eastAsia="仿宋_GB2312" w:cs="仿宋_GB2312"/>
          <w:sz w:val="24"/>
          <w:szCs w:val="24"/>
        </w:rPr>
        <w:t>清掏后化粪池有效容积恢复 ≥ 90%。</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2．楼宇卫生器具定期清污与防堵：</w:t>
      </w:r>
    </w:p>
    <w:p>
      <w:pPr>
        <w:ind w:firstLine="360" w:firstLineChars="15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t>服务标准：对教学楼、</w:t>
      </w:r>
      <w:r>
        <w:rPr>
          <w:rFonts w:hint="eastAsia" w:ascii="仿宋_GB2312" w:hAnsi="仿宋_GB2312" w:eastAsia="仿宋_GB2312" w:cs="仿宋_GB2312"/>
          <w:sz w:val="24"/>
          <w:szCs w:val="24"/>
          <w:lang w:eastAsia="zh-CN"/>
        </w:rPr>
        <w:t>公寓</w:t>
      </w:r>
      <w:r>
        <w:rPr>
          <w:rFonts w:hint="eastAsia" w:ascii="仿宋_GB2312" w:hAnsi="仿宋_GB2312" w:eastAsia="仿宋_GB2312" w:cs="仿宋_GB2312"/>
          <w:sz w:val="24"/>
          <w:szCs w:val="24"/>
        </w:rPr>
        <w:t>楼、办公楼等公共卫生间的小便池、蹲坑、马桶进行定期预防性清污（使用专用工具清除尿垢、污渍、毛发等），频次根据使用强度设定（小便池每月1-2次，马桶/蹲坑每季度1次）。确保排水顺畅，无明显异味、污渍堆积。</w:t>
      </w:r>
    </w:p>
    <w:p>
      <w:pPr>
        <w:ind w:firstLine="360" w:firstLineChars="15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t>考核指标：</w:t>
      </w:r>
    </w:p>
    <w:p>
      <w:pPr>
        <w:ind w:firstLine="360" w:firstLineChars="15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卫生器具预防性清污计划执行率 = 100%。</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清污后器具排水畅通率（</w:t>
      </w:r>
      <w:r>
        <w:rPr>
          <w:rFonts w:hint="eastAsia" w:ascii="仿宋_GB2312" w:hAnsi="仿宋_GB2312" w:eastAsia="仿宋_GB2312" w:cs="仿宋_GB2312"/>
          <w:sz w:val="24"/>
          <w:szCs w:val="24"/>
          <w:lang w:val="en-US" w:eastAsia="zh-CN"/>
        </w:rPr>
        <w:t>畅通点位数/抽检点位数</w:t>
      </w:r>
      <w:r>
        <w:rPr>
          <w:rFonts w:hint="eastAsia" w:ascii="仿宋_GB2312" w:hAnsi="仿宋_GB2312" w:eastAsia="仿宋_GB2312" w:cs="仿宋_GB2312"/>
          <w:sz w:val="24"/>
          <w:szCs w:val="24"/>
        </w:rPr>
        <w:t>） ≥ 98%。</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因预防性清污不到位导致的堵塞报修率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堵塞报修/总报修单</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 5%。</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3．排污/雨水管道疏通频次与效果：</w:t>
      </w:r>
    </w:p>
    <w:p>
      <w:pPr>
        <w:ind w:firstLine="360" w:firstLineChars="15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t>服务标准：对校园主干及支线排污管道、雨水管道按计划进行疏通（排污管每年1-2次，雨水管雨季前及落叶季后重点疏通）。使用高压清洗车、疏通机等设备彻底清除管道内壁油污、淤泥、杂物、树根等，确保管径恢复≥90%，排水流速正常。重点区域（食堂、油脂排放点下游）增加频次。</w:t>
      </w:r>
    </w:p>
    <w:p>
      <w:pPr>
        <w:ind w:firstLine="360" w:firstLineChars="15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t>考核指标：</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年度管道疏通计划完成 = 100%。</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单次管道疏通后管径恢复（内窥镜检测或水流测试） ≥ 90%。</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疏通后同一管段3个月内重复堵塞率 </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重复堵塞次数/总堵塞次数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3%。</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4．窨井/检查井清理与维护：</w:t>
      </w:r>
    </w:p>
    <w:p>
      <w:pPr>
        <w:ind w:firstLine="360" w:firstLineChars="15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t>服务标准：定期清理窨井/检查井内淤积的污泥、杂物。清理后井底无积泥，井壁清洁，爬梯完好。井盖复位平整、稳固，与路面平齐，无缺损、无异响。</w:t>
      </w:r>
    </w:p>
    <w:p>
      <w:pPr>
        <w:ind w:firstLine="360" w:firstLineChars="15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t>考核指标：</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窨井/检查井年度清理计划完成100%。</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清理后井内积泥厚度达标率（如≤5cm）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抽检合格数/总抽检数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 95%。</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井盖完好、稳固、平整率 </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完好数/总井盖数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98%。</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5．应急堵塞疏通响应时效：</w:t>
      </w:r>
    </w:p>
    <w:p>
      <w:pPr>
        <w:ind w:firstLine="360" w:firstLineChars="15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t>服务标准：接到校内排污管道、雨水管道、卫生器具严重堵塞报修后，在2小时内应急疏通响应并处置；一般堵塞需在2小时内到达现场修复；非严重堵塞在4小时内修复；重大堵塞（影响整楼/区域）在8小时内修复。</w:t>
      </w:r>
    </w:p>
    <w:p>
      <w:pPr>
        <w:ind w:firstLine="360" w:firstLineChars="15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t>考核指标：</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应急疏通响应及时率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2小时内修复</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98%。</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一般堵塞修复及时率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4小时内修复</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95%。</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重大堵塞修复及时率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8小时内修复</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90%。</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6．作业安全与环保规范：</w:t>
      </w:r>
    </w:p>
    <w:p>
      <w:pPr>
        <w:ind w:firstLine="360" w:firstLineChars="15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t>服务标准：污物密闭运输，倾倒在指定合法消纳场所，严禁随意倾倒。作业现场设置警示标志，工完场清，减少对环境影响。</w:t>
      </w:r>
    </w:p>
    <w:p>
      <w:pPr>
        <w:ind w:firstLine="360" w:firstLineChars="15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t>考核指标：</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污物合法合规处置 = 100%。</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作业现场环保违规（泄漏、乱倒）次数 = 0。</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安全责任事故 = 0。</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7．清理过程记录与报告完整性：</w:t>
      </w:r>
    </w:p>
    <w:p>
      <w:pPr>
        <w:ind w:firstLine="360" w:firstLineChars="15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t>服务标准：每次清理（化粪池、管道、窨井）需详细记录：作业地点、时间、人员、设备、清理前状态、清理过程、清理量（方数/车数）、清理后状态、发现的问题（如管道破损、井盖损坏）、污物处置凭证。提供清晰的服务报告（含前后对比照片）。</w:t>
      </w:r>
    </w:p>
    <w:p>
      <w:pPr>
        <w:ind w:firstLine="360" w:firstLineChars="15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t>考核指标：</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作业记录完整率（包含所有关键要素） = 100%。</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服务报告提交及时率（作业后3个工作日内） ≥ 98%。</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问题上报准确 = 100%。</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8．异味控制与环境卫生：</w:t>
      </w:r>
    </w:p>
    <w:p>
      <w:pPr>
        <w:ind w:firstLine="360" w:firstLineChars="15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t>服务标准：清掏、疏通作业过程中及完成后，采取有效措施（如及时覆盖、冲洗、使用除臭剂）控制异味扩散。作业完毕后彻底清理现场，恢复原状，无污物遗撒、无污水横流。</w:t>
      </w:r>
    </w:p>
    <w:p>
      <w:pPr>
        <w:ind w:firstLine="360" w:firstLineChars="15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t>考核指标：</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因作业导致严重异味投诉次数 ≤ 1次/年。</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作业现场清理恢复达标率（抽查） ≥ 95%。</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污物遗撒/污染环境事件 = 0。</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9．设施复位与报修跟进：</w:t>
      </w:r>
    </w:p>
    <w:p>
      <w:pPr>
        <w:ind w:firstLine="360" w:firstLineChars="15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t>服务标准：作业中拆卸的井盖、管堵等设施，作业后必须牢固复位。发现井盖破损、井体塌陷、管道破裂等超出清理范围的问题，需清晰记录、拍照并立即上报物业管理部门。</w:t>
      </w:r>
    </w:p>
    <w:p>
      <w:pPr>
        <w:ind w:firstLine="360" w:firstLineChars="15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t>考核指标：</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设施复位完好 = 100%。</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发现问题上报及时（当场或当天） = 100%。</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10．服务投诉率与师生满意度：</w:t>
      </w:r>
    </w:p>
    <w:p>
      <w:pPr>
        <w:ind w:firstLine="360" w:firstLineChars="15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t>服务标准：服务过程专业、高效、文明，尽量减少对师生教学、生活的影响。有效处理相关投诉。</w:t>
      </w:r>
    </w:p>
    <w:p>
      <w:pPr>
        <w:ind w:firstLine="360" w:firstLineChars="15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t>考核指标：</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有效服务投诉率（因服务态度、质量、延误等） ≤ 1次/学期。</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涉及区域的部门对服务商综合满意度评分 ≥ 85分/月。</w:t>
      </w:r>
    </w:p>
    <w:p>
      <w:pPr>
        <w:ind w:firstLine="360" w:firstLineChars="150"/>
        <w:rPr>
          <w:rFonts w:hint="eastAsia" w:ascii="仿宋_GB2312" w:hAnsi="仿宋_GB2312" w:eastAsia="仿宋_GB2312" w:cs="仿宋_GB2312"/>
          <w:sz w:val="24"/>
          <w:szCs w:val="24"/>
        </w:rPr>
      </w:pPr>
    </w:p>
    <w:p>
      <w:pPr>
        <w:ind w:firstLine="361" w:firstLineChars="15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二、服务质量考核赋分</w:t>
      </w:r>
    </w:p>
    <w:tbl>
      <w:tblPr>
        <w:tblStyle w:val="48"/>
        <w:tblW w:w="85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724"/>
        <w:gridCol w:w="691"/>
        <w:gridCol w:w="4394"/>
        <w:gridCol w:w="1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0" w:type="auto"/>
            <w:tcMar>
              <w:top w:w="115" w:type="dxa"/>
              <w:left w:w="0" w:type="dxa"/>
              <w:bottom w:w="115" w:type="dxa"/>
              <w:right w:w="115" w:type="dxa"/>
            </w:tcMar>
            <w:vAlign w:val="center"/>
          </w:tcPr>
          <w:p>
            <w:pPr>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考核项目</w:t>
            </w:r>
          </w:p>
        </w:tc>
        <w:tc>
          <w:tcPr>
            <w:tcW w:w="691" w:type="dxa"/>
            <w:tcMar>
              <w:top w:w="115" w:type="dxa"/>
              <w:left w:w="115" w:type="dxa"/>
              <w:bottom w:w="115" w:type="dxa"/>
              <w:right w:w="115" w:type="dxa"/>
            </w:tcMar>
            <w:vAlign w:val="center"/>
          </w:tcPr>
          <w:p>
            <w:pPr>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分值</w:t>
            </w:r>
          </w:p>
        </w:tc>
        <w:tc>
          <w:tcPr>
            <w:tcW w:w="4394" w:type="dxa"/>
            <w:tcMar>
              <w:top w:w="115" w:type="dxa"/>
              <w:left w:w="115" w:type="dxa"/>
              <w:bottom w:w="115" w:type="dxa"/>
              <w:right w:w="115" w:type="dxa"/>
            </w:tcMar>
            <w:vAlign w:val="center"/>
          </w:tcPr>
          <w:p>
            <w:pPr>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评分标准</w:t>
            </w:r>
          </w:p>
        </w:tc>
        <w:tc>
          <w:tcPr>
            <w:tcW w:w="1715" w:type="dxa"/>
            <w:tcMar>
              <w:top w:w="115" w:type="dxa"/>
              <w:left w:w="115" w:type="dxa"/>
              <w:bottom w:w="115" w:type="dxa"/>
              <w:right w:w="115" w:type="dxa"/>
            </w:tcMar>
            <w:vAlign w:val="center"/>
          </w:tcPr>
          <w:p>
            <w:pPr>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7" w:hRule="atLeast"/>
        </w:trPr>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Style w:val="51"/>
                <w:rFonts w:hint="eastAsia" w:ascii="仿宋_GB2312" w:hAnsi="仿宋_GB2312" w:eastAsia="仿宋_GB2312" w:cs="仿宋_GB2312"/>
                <w:b w:val="0"/>
                <w:sz w:val="24"/>
                <w:szCs w:val="24"/>
              </w:rPr>
              <w:t>1. 化粪池清掏频次与彻底性</w:t>
            </w:r>
          </w:p>
        </w:tc>
        <w:tc>
          <w:tcPr>
            <w:tcW w:w="691"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4394"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Style w:val="51"/>
                <w:rFonts w:hint="eastAsia" w:ascii="仿宋_GB2312" w:hAnsi="仿宋_GB2312" w:eastAsia="仿宋_GB2312" w:cs="仿宋_GB2312"/>
                <w:b w:val="0"/>
                <w:sz w:val="24"/>
                <w:szCs w:val="24"/>
              </w:rPr>
              <w:t>a. 年度计划完成率=100%：</w:t>
            </w:r>
            <w:r>
              <w:rPr>
                <w:rFonts w:hint="eastAsia" w:ascii="仿宋_GB2312" w:hAnsi="仿宋_GB2312" w:eastAsia="仿宋_GB2312" w:cs="仿宋_GB2312"/>
                <w:sz w:val="24"/>
                <w:szCs w:val="24"/>
              </w:rPr>
              <w:t> 得5分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每少完成1次：</w:t>
            </w:r>
            <w:r>
              <w:rPr>
                <w:rFonts w:hint="eastAsia" w:ascii="仿宋_GB2312" w:hAnsi="仿宋_GB2312" w:eastAsia="仿宋_GB2312" w:cs="仿宋_GB2312"/>
                <w:sz w:val="24"/>
                <w:szCs w:val="24"/>
              </w:rPr>
              <w:t> 扣3分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b. 单次清掏彻底率≥95%：</w:t>
            </w:r>
            <w:r>
              <w:rPr>
                <w:rFonts w:hint="eastAsia" w:ascii="仿宋_GB2312" w:hAnsi="仿宋_GB2312" w:eastAsia="仿宋_GB2312" w:cs="仿宋_GB2312"/>
                <w:sz w:val="24"/>
                <w:szCs w:val="24"/>
              </w:rPr>
              <w:t> 得6分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每降低1%：</w:t>
            </w:r>
            <w:r>
              <w:rPr>
                <w:rFonts w:hint="eastAsia" w:ascii="仿宋_GB2312" w:hAnsi="仿宋_GB2312" w:eastAsia="仿宋_GB2312" w:cs="仿宋_GB2312"/>
                <w:sz w:val="24"/>
                <w:szCs w:val="24"/>
              </w:rPr>
              <w:t> 扣0.5分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c. 有效容积恢复率≥90%：</w:t>
            </w:r>
            <w:r>
              <w:rPr>
                <w:rFonts w:hint="eastAsia" w:ascii="仿宋_GB2312" w:hAnsi="仿宋_GB2312" w:eastAsia="仿宋_GB2312" w:cs="仿宋_GB2312"/>
                <w:sz w:val="24"/>
                <w:szCs w:val="24"/>
              </w:rPr>
              <w:t> 得4分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每降低5%：</w:t>
            </w:r>
            <w:r>
              <w:rPr>
                <w:rFonts w:hint="eastAsia" w:ascii="仿宋_GB2312" w:hAnsi="仿宋_GB2312" w:eastAsia="仿宋_GB2312" w:cs="仿宋_GB2312"/>
                <w:sz w:val="24"/>
                <w:szCs w:val="24"/>
              </w:rPr>
              <w:t> 扣1分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&lt;80%：</w:t>
            </w:r>
            <w:r>
              <w:rPr>
                <w:rFonts w:hint="eastAsia" w:ascii="仿宋_GB2312" w:hAnsi="仿宋_GB2312" w:eastAsia="仿宋_GB2312" w:cs="仿宋_GB2312"/>
                <w:sz w:val="24"/>
                <w:szCs w:val="24"/>
              </w:rPr>
              <w:t> 扣4分</w:t>
            </w:r>
          </w:p>
        </w:tc>
        <w:tc>
          <w:tcPr>
            <w:tcW w:w="1715"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a,b,c: 清掏作业记录、现场照片/视频、容积测量报告、主管验收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Style w:val="51"/>
                <w:rFonts w:hint="eastAsia" w:ascii="仿宋_GB2312" w:hAnsi="仿宋_GB2312" w:eastAsia="仿宋_GB2312" w:cs="仿宋_GB2312"/>
                <w:b w:val="0"/>
                <w:sz w:val="24"/>
                <w:szCs w:val="24"/>
              </w:rPr>
              <w:t>2. 卫生器具定期清污与防堵</w:t>
            </w:r>
          </w:p>
        </w:tc>
        <w:tc>
          <w:tcPr>
            <w:tcW w:w="691"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4394"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Style w:val="51"/>
                <w:rFonts w:hint="eastAsia" w:ascii="仿宋_GB2312" w:hAnsi="仿宋_GB2312" w:eastAsia="仿宋_GB2312" w:cs="仿宋_GB2312"/>
                <w:b w:val="0"/>
                <w:sz w:val="24"/>
                <w:szCs w:val="24"/>
              </w:rPr>
              <w:t>a. 清污计划执行率=100%：</w:t>
            </w:r>
            <w:r>
              <w:rPr>
                <w:rFonts w:hint="eastAsia" w:ascii="仿宋_GB2312" w:hAnsi="仿宋_GB2312" w:eastAsia="仿宋_GB2312" w:cs="仿宋_GB2312"/>
                <w:sz w:val="24"/>
                <w:szCs w:val="24"/>
              </w:rPr>
              <w:t> 得4分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每缺漏1项：</w:t>
            </w:r>
            <w:r>
              <w:rPr>
                <w:rFonts w:hint="eastAsia" w:ascii="仿宋_GB2312" w:hAnsi="仿宋_GB2312" w:eastAsia="仿宋_GB2312" w:cs="仿宋_GB2312"/>
                <w:sz w:val="24"/>
                <w:szCs w:val="24"/>
              </w:rPr>
              <w:t> 扣1分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b. 清污后畅通率≥98%：</w:t>
            </w:r>
            <w:r>
              <w:rPr>
                <w:rFonts w:hint="eastAsia" w:ascii="仿宋_GB2312" w:hAnsi="仿宋_GB2312" w:eastAsia="仿宋_GB2312" w:cs="仿宋_GB2312"/>
                <w:sz w:val="24"/>
                <w:szCs w:val="24"/>
              </w:rPr>
              <w:t> 得3分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每降低1%：</w:t>
            </w:r>
            <w:r>
              <w:rPr>
                <w:rFonts w:hint="eastAsia" w:ascii="仿宋_GB2312" w:hAnsi="仿宋_GB2312" w:eastAsia="仿宋_GB2312" w:cs="仿宋_GB2312"/>
                <w:sz w:val="24"/>
                <w:szCs w:val="24"/>
              </w:rPr>
              <w:t> 扣0.5分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c. 防堵不到位报修率≤5%：</w:t>
            </w:r>
            <w:r>
              <w:rPr>
                <w:rFonts w:hint="eastAsia" w:ascii="仿宋_GB2312" w:hAnsi="仿宋_GB2312" w:eastAsia="仿宋_GB2312" w:cs="仿宋_GB2312"/>
                <w:sz w:val="24"/>
                <w:szCs w:val="24"/>
              </w:rPr>
              <w:t> 得3分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每超1%：</w:t>
            </w:r>
            <w:r>
              <w:rPr>
                <w:rFonts w:hint="eastAsia" w:ascii="仿宋_GB2312" w:hAnsi="仿宋_GB2312" w:eastAsia="仿宋_GB2312" w:cs="仿宋_GB2312"/>
                <w:sz w:val="24"/>
                <w:szCs w:val="24"/>
              </w:rPr>
              <w:t> 扣0.5分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&gt;10%：</w:t>
            </w:r>
            <w:r>
              <w:rPr>
                <w:rFonts w:hint="eastAsia" w:ascii="仿宋_GB2312" w:hAnsi="仿宋_GB2312" w:eastAsia="仿宋_GB2312" w:cs="仿宋_GB2312"/>
                <w:sz w:val="24"/>
                <w:szCs w:val="24"/>
              </w:rPr>
              <w:t> 扣3分</w:t>
            </w:r>
          </w:p>
        </w:tc>
        <w:tc>
          <w:tcPr>
            <w:tcW w:w="1715"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a,b,c: 清污计划表、抽查记录、维修报修单统计分析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Style w:val="51"/>
                <w:rFonts w:hint="eastAsia" w:ascii="仿宋_GB2312" w:hAnsi="仿宋_GB2312" w:eastAsia="仿宋_GB2312" w:cs="仿宋_GB2312"/>
                <w:b w:val="0"/>
                <w:sz w:val="24"/>
                <w:szCs w:val="24"/>
              </w:rPr>
              <w:t>3. 排污/雨水管道疏通频次与效果</w:t>
            </w:r>
          </w:p>
        </w:tc>
        <w:tc>
          <w:tcPr>
            <w:tcW w:w="691"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4394"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Style w:val="51"/>
                <w:rFonts w:hint="eastAsia" w:ascii="仿宋_GB2312" w:hAnsi="仿宋_GB2312" w:eastAsia="仿宋_GB2312" w:cs="仿宋_GB2312"/>
                <w:b w:val="0"/>
                <w:sz w:val="24"/>
                <w:szCs w:val="24"/>
              </w:rPr>
              <w:t>a. 年度疏通计划完成率=100%：</w:t>
            </w:r>
            <w:r>
              <w:rPr>
                <w:rFonts w:hint="eastAsia" w:ascii="仿宋_GB2312" w:hAnsi="仿宋_GB2312" w:eastAsia="仿宋_GB2312" w:cs="仿宋_GB2312"/>
                <w:sz w:val="24"/>
                <w:szCs w:val="24"/>
              </w:rPr>
              <w:t> 得5分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每少完成1段：</w:t>
            </w:r>
            <w:r>
              <w:rPr>
                <w:rFonts w:hint="eastAsia" w:ascii="仿宋_GB2312" w:hAnsi="仿宋_GB2312" w:eastAsia="仿宋_GB2312" w:cs="仿宋_GB2312"/>
                <w:sz w:val="24"/>
                <w:szCs w:val="24"/>
              </w:rPr>
              <w:t> 扣2分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b. 管径恢复率≥90%：</w:t>
            </w:r>
            <w:r>
              <w:rPr>
                <w:rFonts w:hint="eastAsia" w:ascii="仿宋_GB2312" w:hAnsi="仿宋_GB2312" w:eastAsia="仿宋_GB2312" w:cs="仿宋_GB2312"/>
                <w:sz w:val="24"/>
                <w:szCs w:val="24"/>
              </w:rPr>
              <w:t> 得6分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每降低5%：</w:t>
            </w:r>
            <w:r>
              <w:rPr>
                <w:rFonts w:hint="eastAsia" w:ascii="仿宋_GB2312" w:hAnsi="仿宋_GB2312" w:eastAsia="仿宋_GB2312" w:cs="仿宋_GB2312"/>
                <w:sz w:val="24"/>
                <w:szCs w:val="24"/>
              </w:rPr>
              <w:t> 扣1分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&lt;80%：</w:t>
            </w:r>
            <w:r>
              <w:rPr>
                <w:rFonts w:hint="eastAsia" w:ascii="仿宋_GB2312" w:hAnsi="仿宋_GB2312" w:eastAsia="仿宋_GB2312" w:cs="仿宋_GB2312"/>
                <w:sz w:val="24"/>
                <w:szCs w:val="24"/>
              </w:rPr>
              <w:t> 扣6分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c. 3月内重复堵塞率≤3%：</w:t>
            </w:r>
            <w:r>
              <w:rPr>
                <w:rFonts w:hint="eastAsia" w:ascii="仿宋_GB2312" w:hAnsi="仿宋_GB2312" w:eastAsia="仿宋_GB2312" w:cs="仿宋_GB2312"/>
                <w:sz w:val="24"/>
                <w:szCs w:val="24"/>
              </w:rPr>
              <w:t> 得4分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每超1%：</w:t>
            </w:r>
            <w:r>
              <w:rPr>
                <w:rFonts w:hint="eastAsia" w:ascii="仿宋_GB2312" w:hAnsi="仿宋_GB2312" w:eastAsia="仿宋_GB2312" w:cs="仿宋_GB2312"/>
                <w:sz w:val="24"/>
                <w:szCs w:val="24"/>
              </w:rPr>
              <w:t> 扣1分</w:t>
            </w:r>
          </w:p>
        </w:tc>
        <w:tc>
          <w:tcPr>
            <w:tcW w:w="1715"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a,b,c: 疏通计划、内窥镜报告/水流测试记录、维修记录统计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Style w:val="51"/>
                <w:rFonts w:hint="eastAsia" w:ascii="仿宋_GB2312" w:hAnsi="仿宋_GB2312" w:eastAsia="仿宋_GB2312" w:cs="仿宋_GB2312"/>
                <w:b w:val="0"/>
                <w:sz w:val="24"/>
                <w:szCs w:val="24"/>
              </w:rPr>
              <w:t>4. 窨井/检查井清理与维护</w:t>
            </w:r>
          </w:p>
        </w:tc>
        <w:tc>
          <w:tcPr>
            <w:tcW w:w="691"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4394"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Style w:val="51"/>
                <w:rFonts w:hint="eastAsia" w:ascii="仿宋_GB2312" w:hAnsi="仿宋_GB2312" w:eastAsia="仿宋_GB2312" w:cs="仿宋_GB2312"/>
                <w:b w:val="0"/>
                <w:sz w:val="24"/>
                <w:szCs w:val="24"/>
              </w:rPr>
              <w:t>a. 年度清理计划完成率=100%：</w:t>
            </w:r>
            <w:r>
              <w:rPr>
                <w:rFonts w:hint="eastAsia" w:ascii="仿宋_GB2312" w:hAnsi="仿宋_GB2312" w:eastAsia="仿宋_GB2312" w:cs="仿宋_GB2312"/>
                <w:sz w:val="24"/>
                <w:szCs w:val="24"/>
              </w:rPr>
              <w:t> 得4分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每少清理1井：</w:t>
            </w:r>
            <w:r>
              <w:rPr>
                <w:rFonts w:hint="eastAsia" w:ascii="仿宋_GB2312" w:hAnsi="仿宋_GB2312" w:eastAsia="仿宋_GB2312" w:cs="仿宋_GB2312"/>
                <w:sz w:val="24"/>
                <w:szCs w:val="24"/>
              </w:rPr>
              <w:t> 扣1分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b. 积泥厚度达标率≥95%：</w:t>
            </w:r>
            <w:r>
              <w:rPr>
                <w:rFonts w:hint="eastAsia" w:ascii="仿宋_GB2312" w:hAnsi="仿宋_GB2312" w:eastAsia="仿宋_GB2312" w:cs="仿宋_GB2312"/>
                <w:sz w:val="24"/>
                <w:szCs w:val="24"/>
              </w:rPr>
              <w:t> 得3分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每降5%：</w:t>
            </w:r>
            <w:r>
              <w:rPr>
                <w:rFonts w:hint="eastAsia" w:ascii="仿宋_GB2312" w:hAnsi="仿宋_GB2312" w:eastAsia="仿宋_GB2312" w:cs="仿宋_GB2312"/>
                <w:sz w:val="24"/>
                <w:szCs w:val="24"/>
              </w:rPr>
              <w:t> 扣1分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c. 井盖完好稳固率≥98%：</w:t>
            </w:r>
            <w:r>
              <w:rPr>
                <w:rFonts w:hint="eastAsia" w:ascii="仿宋_GB2312" w:hAnsi="仿宋_GB2312" w:eastAsia="仿宋_GB2312" w:cs="仿宋_GB2312"/>
                <w:sz w:val="24"/>
                <w:szCs w:val="24"/>
              </w:rPr>
              <w:t> 得3分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每降1%：</w:t>
            </w:r>
            <w:r>
              <w:rPr>
                <w:rFonts w:hint="eastAsia" w:ascii="仿宋_GB2312" w:hAnsi="仿宋_GB2312" w:eastAsia="仿宋_GB2312" w:cs="仿宋_GB2312"/>
                <w:sz w:val="24"/>
                <w:szCs w:val="24"/>
              </w:rPr>
              <w:t> 扣0.5分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&lt;95%：</w:t>
            </w:r>
            <w:r>
              <w:rPr>
                <w:rFonts w:hint="eastAsia" w:ascii="仿宋_GB2312" w:hAnsi="仿宋_GB2312" w:eastAsia="仿宋_GB2312" w:cs="仿宋_GB2312"/>
                <w:sz w:val="24"/>
                <w:szCs w:val="24"/>
              </w:rPr>
              <w:t> 扣3分</w:t>
            </w:r>
          </w:p>
        </w:tc>
        <w:tc>
          <w:tcPr>
            <w:tcW w:w="1715"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a,b,c: 清理计划、现场检查记录（含测量）、井盖巡检记录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Style w:val="51"/>
                <w:rFonts w:hint="eastAsia" w:ascii="仿宋_GB2312" w:hAnsi="仿宋_GB2312" w:eastAsia="仿宋_GB2312" w:cs="仿宋_GB2312"/>
                <w:b w:val="0"/>
                <w:sz w:val="24"/>
                <w:szCs w:val="24"/>
              </w:rPr>
              <w:t>5. 应急堵塞疏通响应时效</w:t>
            </w:r>
          </w:p>
        </w:tc>
        <w:tc>
          <w:tcPr>
            <w:tcW w:w="691"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4394"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Style w:val="51"/>
                <w:rFonts w:hint="eastAsia" w:ascii="仿宋_GB2312" w:hAnsi="仿宋_GB2312" w:eastAsia="仿宋_GB2312" w:cs="仿宋_GB2312"/>
                <w:b w:val="0"/>
                <w:sz w:val="24"/>
                <w:szCs w:val="24"/>
              </w:rPr>
              <w:t>a. 响应及时率≥98%：</w:t>
            </w:r>
            <w:r>
              <w:rPr>
                <w:rFonts w:hint="eastAsia" w:ascii="仿宋_GB2312" w:hAnsi="仿宋_GB2312" w:eastAsia="仿宋_GB2312" w:cs="仿宋_GB2312"/>
                <w:sz w:val="24"/>
                <w:szCs w:val="24"/>
              </w:rPr>
              <w:t> 得4分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每降1%：</w:t>
            </w:r>
            <w:r>
              <w:rPr>
                <w:rFonts w:hint="eastAsia" w:ascii="仿宋_GB2312" w:hAnsi="仿宋_GB2312" w:eastAsia="仿宋_GB2312" w:cs="仿宋_GB2312"/>
                <w:sz w:val="24"/>
                <w:szCs w:val="24"/>
              </w:rPr>
              <w:t> 扣0.5分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b. 一般堵塞修复及时率≥95%：</w:t>
            </w:r>
            <w:r>
              <w:rPr>
                <w:rFonts w:hint="eastAsia" w:ascii="仿宋_GB2312" w:hAnsi="仿宋_GB2312" w:eastAsia="仿宋_GB2312" w:cs="仿宋_GB2312"/>
                <w:sz w:val="24"/>
                <w:szCs w:val="24"/>
              </w:rPr>
              <w:t> 得3分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每降1%：</w:t>
            </w:r>
            <w:r>
              <w:rPr>
                <w:rFonts w:hint="eastAsia" w:ascii="仿宋_GB2312" w:hAnsi="仿宋_GB2312" w:eastAsia="仿宋_GB2312" w:cs="仿宋_GB2312"/>
                <w:sz w:val="24"/>
                <w:szCs w:val="24"/>
              </w:rPr>
              <w:t> 扣0.5分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c. 重大堵塞修复及时率≥90%：</w:t>
            </w:r>
            <w:r>
              <w:rPr>
                <w:rFonts w:hint="eastAsia" w:ascii="仿宋_GB2312" w:hAnsi="仿宋_GB2312" w:eastAsia="仿宋_GB2312" w:cs="仿宋_GB2312"/>
                <w:sz w:val="24"/>
                <w:szCs w:val="24"/>
              </w:rPr>
              <w:t> 得3分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每降5%：</w:t>
            </w:r>
            <w:r>
              <w:rPr>
                <w:rFonts w:hint="eastAsia" w:ascii="仿宋_GB2312" w:hAnsi="仿宋_GB2312" w:eastAsia="仿宋_GB2312" w:cs="仿宋_GB2312"/>
                <w:sz w:val="24"/>
                <w:szCs w:val="24"/>
              </w:rPr>
              <w:t> 扣1分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&lt;80%：</w:t>
            </w:r>
            <w:r>
              <w:rPr>
                <w:rFonts w:hint="eastAsia" w:ascii="仿宋_GB2312" w:hAnsi="仿宋_GB2312" w:eastAsia="仿宋_GB2312" w:cs="仿宋_GB2312"/>
                <w:sz w:val="24"/>
                <w:szCs w:val="24"/>
              </w:rPr>
              <w:t> 扣3分</w:t>
            </w:r>
          </w:p>
        </w:tc>
        <w:tc>
          <w:tcPr>
            <w:tcW w:w="1715"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a,b,c: 报修单记录、到达/修复时间签认、监控记录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Style w:val="51"/>
                <w:rFonts w:hint="eastAsia" w:ascii="仿宋_GB2312" w:hAnsi="仿宋_GB2312" w:eastAsia="仿宋_GB2312" w:cs="仿宋_GB2312"/>
                <w:b w:val="0"/>
                <w:sz w:val="24"/>
                <w:szCs w:val="24"/>
              </w:rPr>
              <w:t>6. 作业安全与环保规范</w:t>
            </w:r>
          </w:p>
        </w:tc>
        <w:tc>
          <w:tcPr>
            <w:tcW w:w="691"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4394"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Style w:val="51"/>
                <w:rFonts w:hint="eastAsia" w:ascii="仿宋_GB2312" w:hAnsi="仿宋_GB2312" w:eastAsia="仿宋_GB2312" w:cs="仿宋_GB2312"/>
                <w:b w:val="0"/>
                <w:sz w:val="24"/>
                <w:szCs w:val="24"/>
              </w:rPr>
              <w:t>a. 有限空间安全规程符合率=100%：</w:t>
            </w:r>
            <w:r>
              <w:rPr>
                <w:rFonts w:hint="eastAsia" w:ascii="仿宋_GB2312" w:hAnsi="仿宋_GB2312" w:eastAsia="仿宋_GB2312" w:cs="仿宋_GB2312"/>
                <w:sz w:val="24"/>
                <w:szCs w:val="24"/>
              </w:rPr>
              <w:t> 得6分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违规1次：</w:t>
            </w:r>
            <w:r>
              <w:rPr>
                <w:rFonts w:hint="eastAsia" w:ascii="仿宋_GB2312" w:hAnsi="仿宋_GB2312" w:eastAsia="仿宋_GB2312" w:cs="仿宋_GB2312"/>
                <w:sz w:val="24"/>
                <w:szCs w:val="24"/>
              </w:rPr>
              <w:t> 扣6分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b. 污物合法处置率=100%：</w:t>
            </w:r>
            <w:r>
              <w:rPr>
                <w:rFonts w:hint="eastAsia" w:ascii="仿宋_GB2312" w:hAnsi="仿宋_GB2312" w:eastAsia="仿宋_GB2312" w:cs="仿宋_GB2312"/>
                <w:sz w:val="24"/>
                <w:szCs w:val="24"/>
              </w:rPr>
              <w:t> 得5分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违规1次：</w:t>
            </w:r>
            <w:r>
              <w:rPr>
                <w:rFonts w:hint="eastAsia" w:ascii="仿宋_GB2312" w:hAnsi="仿宋_GB2312" w:eastAsia="仿宋_GB2312" w:cs="仿宋_GB2312"/>
                <w:sz w:val="24"/>
                <w:szCs w:val="24"/>
              </w:rPr>
              <w:t> 扣5分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c. 环保违规/安全责任事故=0：</w:t>
            </w:r>
            <w:r>
              <w:rPr>
                <w:rFonts w:hint="eastAsia" w:ascii="仿宋_GB2312" w:hAnsi="仿宋_GB2312" w:eastAsia="仿宋_GB2312" w:cs="仿宋_GB2312"/>
                <w:sz w:val="24"/>
                <w:szCs w:val="24"/>
              </w:rPr>
              <w:t> 得4分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发生1次：</w:t>
            </w:r>
            <w:r>
              <w:rPr>
                <w:rFonts w:hint="eastAsia" w:ascii="仿宋_GB2312" w:hAnsi="仿宋_GB2312" w:eastAsia="仿宋_GB2312" w:cs="仿宋_GB2312"/>
                <w:sz w:val="24"/>
                <w:szCs w:val="24"/>
              </w:rPr>
              <w:t> 扣4分（重大事故全扣）</w:t>
            </w:r>
          </w:p>
        </w:tc>
        <w:tc>
          <w:tcPr>
            <w:tcW w:w="1715"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a,b,c: 安全记录表、气体检测报告、监护记录、消纳凭证、事故报告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Style w:val="51"/>
                <w:rFonts w:hint="eastAsia" w:ascii="仿宋_GB2312" w:hAnsi="仿宋_GB2312" w:eastAsia="仿宋_GB2312" w:cs="仿宋_GB2312"/>
                <w:b w:val="0"/>
                <w:sz w:val="24"/>
                <w:szCs w:val="24"/>
              </w:rPr>
              <w:t>7. 清理记录与报告完整性</w:t>
            </w:r>
          </w:p>
        </w:tc>
        <w:tc>
          <w:tcPr>
            <w:tcW w:w="691"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4394"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Style w:val="51"/>
                <w:rFonts w:hint="eastAsia" w:ascii="仿宋_GB2312" w:hAnsi="仿宋_GB2312" w:eastAsia="仿宋_GB2312" w:cs="仿宋_GB2312"/>
                <w:b w:val="0"/>
                <w:sz w:val="24"/>
                <w:szCs w:val="24"/>
              </w:rPr>
              <w:t>a. 作业记录完整率=100%：</w:t>
            </w:r>
            <w:r>
              <w:rPr>
                <w:rFonts w:hint="eastAsia" w:ascii="仿宋_GB2312" w:hAnsi="仿宋_GB2312" w:eastAsia="仿宋_GB2312" w:cs="仿宋_GB2312"/>
                <w:sz w:val="24"/>
                <w:szCs w:val="24"/>
              </w:rPr>
              <w:t> 得5分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关键要素缺失1项：</w:t>
            </w:r>
            <w:r>
              <w:rPr>
                <w:rFonts w:hint="eastAsia" w:ascii="仿宋_GB2312" w:hAnsi="仿宋_GB2312" w:eastAsia="仿宋_GB2312" w:cs="仿宋_GB2312"/>
                <w:sz w:val="24"/>
                <w:szCs w:val="24"/>
              </w:rPr>
              <w:t> 扣1分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b. 报告提交及时率≥98%：</w:t>
            </w:r>
            <w:r>
              <w:rPr>
                <w:rFonts w:hint="eastAsia" w:ascii="仿宋_GB2312" w:hAnsi="仿宋_GB2312" w:eastAsia="仿宋_GB2312" w:cs="仿宋_GB2312"/>
                <w:sz w:val="24"/>
                <w:szCs w:val="24"/>
              </w:rPr>
              <w:t> 得3分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每延迟1份：</w:t>
            </w:r>
            <w:r>
              <w:rPr>
                <w:rFonts w:hint="eastAsia" w:ascii="仿宋_GB2312" w:hAnsi="仿宋_GB2312" w:eastAsia="仿宋_GB2312" w:cs="仿宋_GB2312"/>
                <w:sz w:val="24"/>
                <w:szCs w:val="24"/>
              </w:rPr>
              <w:t> 扣1分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c. 问题上报准确率=100%：</w:t>
            </w:r>
            <w:r>
              <w:rPr>
                <w:rFonts w:hint="eastAsia" w:ascii="仿宋_GB2312" w:hAnsi="仿宋_GB2312" w:eastAsia="仿宋_GB2312" w:cs="仿宋_GB2312"/>
                <w:sz w:val="24"/>
                <w:szCs w:val="24"/>
              </w:rPr>
              <w:t> 得2分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错报/漏报1次：</w:t>
            </w:r>
            <w:r>
              <w:rPr>
                <w:rFonts w:hint="eastAsia" w:ascii="仿宋_GB2312" w:hAnsi="仿宋_GB2312" w:eastAsia="仿宋_GB2312" w:cs="仿宋_GB2312"/>
                <w:sz w:val="24"/>
                <w:szCs w:val="24"/>
              </w:rPr>
              <w:t> 扣1分</w:t>
            </w:r>
          </w:p>
        </w:tc>
        <w:tc>
          <w:tcPr>
            <w:tcW w:w="1715"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a,b,c: 作业记录本、服务报告（含照片）、问题上报记录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Style w:val="51"/>
                <w:rFonts w:hint="eastAsia" w:ascii="仿宋_GB2312" w:hAnsi="仿宋_GB2312" w:eastAsia="仿宋_GB2312" w:cs="仿宋_GB2312"/>
                <w:b w:val="0"/>
                <w:sz w:val="24"/>
                <w:szCs w:val="24"/>
              </w:rPr>
              <w:t>8. 异味控制与环境卫生</w:t>
            </w:r>
          </w:p>
        </w:tc>
        <w:tc>
          <w:tcPr>
            <w:tcW w:w="691"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5</w:t>
            </w:r>
          </w:p>
        </w:tc>
        <w:tc>
          <w:tcPr>
            <w:tcW w:w="4394" w:type="dxa"/>
            <w:tcMar>
              <w:top w:w="115" w:type="dxa"/>
              <w:left w:w="115" w:type="dxa"/>
              <w:bottom w:w="115" w:type="dxa"/>
              <w:right w:w="115" w:type="dxa"/>
            </w:tcMar>
            <w:vAlign w:val="center"/>
          </w:tcPr>
          <w:p>
            <w:pPr>
              <w:numPr>
                <w:ilvl w:val="0"/>
                <w:numId w:val="4"/>
              </w:numPr>
              <w:rPr>
                <w:rFonts w:hint="eastAsia" w:ascii="仿宋_GB2312" w:hAnsi="仿宋_GB2312" w:eastAsia="仿宋_GB2312" w:cs="仿宋_GB2312"/>
                <w:sz w:val="24"/>
                <w:szCs w:val="24"/>
              </w:rPr>
            </w:pPr>
            <w:r>
              <w:rPr>
                <w:rStyle w:val="51"/>
                <w:rFonts w:hint="eastAsia" w:ascii="仿宋_GB2312" w:hAnsi="仿宋_GB2312" w:eastAsia="仿宋_GB2312" w:cs="仿宋_GB2312"/>
                <w:b w:val="0"/>
                <w:sz w:val="24"/>
                <w:szCs w:val="24"/>
              </w:rPr>
              <w:t>严重异味投诉≤1次/年：</w:t>
            </w:r>
            <w:r>
              <w:rPr>
                <w:rFonts w:hint="eastAsia" w:ascii="仿宋_GB2312" w:hAnsi="仿宋_GB2312" w:eastAsia="仿宋_GB2312" w:cs="仿宋_GB2312"/>
                <w:sz w:val="24"/>
                <w:szCs w:val="24"/>
              </w:rPr>
              <w:t> 得</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每超1次：</w:t>
            </w:r>
            <w:r>
              <w:rPr>
                <w:rFonts w:hint="eastAsia" w:ascii="仿宋_GB2312" w:hAnsi="仿宋_GB2312" w:eastAsia="仿宋_GB2312" w:cs="仿宋_GB2312"/>
                <w:sz w:val="24"/>
                <w:szCs w:val="24"/>
              </w:rPr>
              <w:t> 扣3分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b. 现场恢复达标率≥95%：</w:t>
            </w:r>
            <w:r>
              <w:rPr>
                <w:rFonts w:hint="eastAsia" w:ascii="仿宋_GB2312" w:hAnsi="仿宋_GB2312" w:eastAsia="仿宋_GB2312" w:cs="仿宋_GB2312"/>
                <w:sz w:val="24"/>
                <w:szCs w:val="24"/>
              </w:rPr>
              <w:t> 得</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每降5%：</w:t>
            </w:r>
            <w:r>
              <w:rPr>
                <w:rFonts w:hint="eastAsia" w:ascii="仿宋_GB2312" w:hAnsi="仿宋_GB2312" w:eastAsia="仿宋_GB2312" w:cs="仿宋_GB2312"/>
                <w:sz w:val="24"/>
                <w:szCs w:val="24"/>
              </w:rPr>
              <w:t> 扣1分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c. 污物遗撒事件=0：</w:t>
            </w:r>
            <w:r>
              <w:rPr>
                <w:rFonts w:hint="eastAsia" w:ascii="仿宋_GB2312" w:hAnsi="仿宋_GB2312" w:eastAsia="仿宋_GB2312" w:cs="仿宋_GB2312"/>
                <w:sz w:val="24"/>
                <w:szCs w:val="24"/>
              </w:rPr>
              <w:t> 得</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发生1次：</w:t>
            </w:r>
            <w:r>
              <w:rPr>
                <w:rFonts w:hint="eastAsia" w:ascii="仿宋_GB2312" w:hAnsi="仿宋_GB2312" w:eastAsia="仿宋_GB2312" w:cs="仿宋_GB2312"/>
                <w:sz w:val="24"/>
                <w:szCs w:val="24"/>
              </w:rPr>
              <w:t> 扣2分</w:t>
            </w:r>
          </w:p>
        </w:tc>
        <w:tc>
          <w:tcPr>
            <w:tcW w:w="1715"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投诉记录</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b,c: 现场抽查记录、主管验收记录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Style w:val="51"/>
                <w:rFonts w:hint="eastAsia" w:ascii="仿宋_GB2312" w:hAnsi="仿宋_GB2312" w:eastAsia="仿宋_GB2312" w:cs="仿宋_GB2312"/>
                <w:b w:val="0"/>
                <w:sz w:val="24"/>
                <w:szCs w:val="24"/>
              </w:rPr>
              <w:t>9. 设施复位与报修跟进</w:t>
            </w:r>
          </w:p>
        </w:tc>
        <w:tc>
          <w:tcPr>
            <w:tcW w:w="691"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5</w:t>
            </w:r>
          </w:p>
        </w:tc>
        <w:tc>
          <w:tcPr>
            <w:tcW w:w="4394"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Style w:val="51"/>
                <w:rFonts w:hint="eastAsia" w:ascii="仿宋_GB2312" w:hAnsi="仿宋_GB2312" w:eastAsia="仿宋_GB2312" w:cs="仿宋_GB2312"/>
                <w:b w:val="0"/>
                <w:sz w:val="24"/>
                <w:szCs w:val="24"/>
              </w:rPr>
              <w:t>a. 设施复位完好率=100%：</w:t>
            </w:r>
            <w:r>
              <w:rPr>
                <w:rFonts w:hint="eastAsia" w:ascii="仿宋_GB2312" w:hAnsi="仿宋_GB2312" w:eastAsia="仿宋_GB2312" w:cs="仿宋_GB2312"/>
                <w:sz w:val="24"/>
                <w:szCs w:val="24"/>
              </w:rPr>
              <w:t> 得</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复位不到位1次：</w:t>
            </w:r>
            <w:r>
              <w:rPr>
                <w:rFonts w:hint="eastAsia" w:ascii="仿宋_GB2312" w:hAnsi="仿宋_GB2312" w:eastAsia="仿宋_GB2312" w:cs="仿宋_GB2312"/>
                <w:sz w:val="24"/>
                <w:szCs w:val="24"/>
              </w:rPr>
              <w:t> 扣2分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b. 问题上报及时率=100%：</w:t>
            </w:r>
            <w:r>
              <w:rPr>
                <w:rFonts w:hint="eastAsia" w:ascii="仿宋_GB2312" w:hAnsi="仿宋_GB2312" w:eastAsia="仿宋_GB2312" w:cs="仿宋_GB2312"/>
                <w:sz w:val="24"/>
                <w:szCs w:val="24"/>
              </w:rPr>
              <w:t> 得</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迟报/漏报1次：</w:t>
            </w:r>
            <w:r>
              <w:rPr>
                <w:rFonts w:hint="eastAsia" w:ascii="仿宋_GB2312" w:hAnsi="仿宋_GB2312" w:eastAsia="仿宋_GB2312" w:cs="仿宋_GB2312"/>
                <w:sz w:val="24"/>
                <w:szCs w:val="24"/>
              </w:rPr>
              <w:t> 扣</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分</w:t>
            </w:r>
          </w:p>
        </w:tc>
        <w:tc>
          <w:tcPr>
            <w:tcW w:w="1715"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a,b: 现场检查记录、问题上报记录、照片证据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Style w:val="51"/>
                <w:rFonts w:hint="eastAsia" w:ascii="仿宋_GB2312" w:hAnsi="仿宋_GB2312" w:eastAsia="仿宋_GB2312" w:cs="仿宋_GB2312"/>
                <w:b w:val="0"/>
                <w:sz w:val="24"/>
                <w:szCs w:val="24"/>
              </w:rPr>
              <w:t>10. 服务投诉率与师生满意度</w:t>
            </w:r>
          </w:p>
        </w:tc>
        <w:tc>
          <w:tcPr>
            <w:tcW w:w="691"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5</w:t>
            </w:r>
          </w:p>
        </w:tc>
        <w:tc>
          <w:tcPr>
            <w:tcW w:w="4394"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Style w:val="51"/>
                <w:rFonts w:hint="eastAsia" w:ascii="仿宋_GB2312" w:hAnsi="仿宋_GB2312" w:eastAsia="仿宋_GB2312" w:cs="仿宋_GB2312"/>
                <w:b w:val="0"/>
                <w:sz w:val="24"/>
                <w:szCs w:val="24"/>
              </w:rPr>
              <w:t>a. 有效投诉率≤1次/学期：</w:t>
            </w:r>
            <w:r>
              <w:rPr>
                <w:rFonts w:hint="eastAsia" w:ascii="仿宋_GB2312" w:hAnsi="仿宋_GB2312" w:eastAsia="仿宋_GB2312" w:cs="仿宋_GB2312"/>
                <w:sz w:val="24"/>
                <w:szCs w:val="24"/>
              </w:rPr>
              <w:t> 得</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每超1次：</w:t>
            </w:r>
            <w:r>
              <w:rPr>
                <w:rFonts w:hint="eastAsia" w:ascii="仿宋_GB2312" w:hAnsi="仿宋_GB2312" w:eastAsia="仿宋_GB2312" w:cs="仿宋_GB2312"/>
                <w:sz w:val="24"/>
                <w:szCs w:val="24"/>
              </w:rPr>
              <w:t> 扣2分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b. 物业满意度≥85分：</w:t>
            </w:r>
            <w:r>
              <w:rPr>
                <w:rFonts w:hint="eastAsia" w:ascii="仿宋_GB2312" w:hAnsi="仿宋_GB2312" w:eastAsia="仿宋_GB2312" w:cs="仿宋_GB2312"/>
                <w:sz w:val="24"/>
                <w:szCs w:val="24"/>
              </w:rPr>
              <w:t> 得</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每低5分：</w:t>
            </w:r>
            <w:r>
              <w:rPr>
                <w:rFonts w:hint="eastAsia" w:ascii="仿宋_GB2312" w:hAnsi="仿宋_GB2312" w:eastAsia="仿宋_GB2312" w:cs="仿宋_GB2312"/>
                <w:sz w:val="24"/>
                <w:szCs w:val="24"/>
              </w:rPr>
              <w:t> 扣1分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&lt;75分：</w:t>
            </w:r>
            <w:r>
              <w:rPr>
                <w:rFonts w:hint="eastAsia" w:ascii="仿宋_GB2312" w:hAnsi="仿宋_GB2312" w:eastAsia="仿宋_GB2312" w:cs="仿宋_GB2312"/>
                <w:sz w:val="24"/>
                <w:szCs w:val="24"/>
              </w:rPr>
              <w:t> 扣5分</w:t>
            </w:r>
          </w:p>
        </w:tc>
        <w:tc>
          <w:tcPr>
            <w:tcW w:w="1715"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投诉处理台账</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年度满意度调查问卷结果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Style w:val="51"/>
                <w:rFonts w:hint="eastAsia" w:ascii="仿宋_GB2312" w:hAnsi="仿宋_GB2312" w:eastAsia="仿宋_GB2312" w:cs="仿宋_GB2312"/>
                <w:b w:val="0"/>
                <w:sz w:val="24"/>
                <w:szCs w:val="24"/>
              </w:rPr>
              <w:t>总分</w:t>
            </w:r>
          </w:p>
        </w:tc>
        <w:tc>
          <w:tcPr>
            <w:tcW w:w="691"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Style w:val="51"/>
                <w:rFonts w:hint="eastAsia" w:ascii="仿宋_GB2312" w:hAnsi="仿宋_GB2312" w:eastAsia="仿宋_GB2312" w:cs="仿宋_GB2312"/>
                <w:b w:val="0"/>
                <w:sz w:val="24"/>
                <w:szCs w:val="24"/>
              </w:rPr>
              <w:t>100</w:t>
            </w:r>
          </w:p>
        </w:tc>
        <w:tc>
          <w:tcPr>
            <w:tcW w:w="4394"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p>
        </w:tc>
        <w:tc>
          <w:tcPr>
            <w:tcW w:w="1715"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p>
        </w:tc>
      </w:tr>
    </w:tbl>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考核说明：</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1．权重设计核心：</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（1）核心业务能力 (50分)： 重点保障化粪池清掏(15</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)、管道疏通(15</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)、窨井维护(10</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卫生器具定期清污与防堵（10分）</w:t>
      </w:r>
      <w:r>
        <w:rPr>
          <w:rFonts w:hint="eastAsia" w:ascii="仿宋_GB2312" w:hAnsi="仿宋_GB2312" w:eastAsia="仿宋_GB2312" w:cs="仿宋_GB2312"/>
          <w:sz w:val="24"/>
          <w:szCs w:val="24"/>
        </w:rPr>
        <w:t>等基础服务达标。</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（2）安全与合规红线 (15分)： 污物合法处置、环保达标实行一票否决制。</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（3）应急响应能力 (10分)： 突出堵塞应急处理的时效性要求。</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（4）过程管控与追溯 (</w:t>
      </w:r>
      <w:r>
        <w:rPr>
          <w:rFonts w:hint="eastAsia" w:ascii="仿宋_GB2312" w:hAnsi="仿宋_GB2312" w:eastAsia="仿宋_GB2312" w:cs="仿宋_GB2312"/>
          <w:sz w:val="24"/>
          <w:szCs w:val="24"/>
          <w:lang w:val="en-US" w:eastAsia="zh-CN"/>
        </w:rPr>
        <w:t>20</w:t>
      </w:r>
      <w:r>
        <w:rPr>
          <w:rFonts w:hint="eastAsia" w:ascii="仿宋_GB2312" w:hAnsi="仿宋_GB2312" w:eastAsia="仿宋_GB2312" w:cs="仿宋_GB2312"/>
          <w:sz w:val="24"/>
          <w:szCs w:val="24"/>
        </w:rPr>
        <w:t>分)： 强调记录完整性(10</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)、现场</w:t>
      </w:r>
      <w:r>
        <w:rPr>
          <w:rFonts w:hint="eastAsia" w:ascii="仿宋_GB2312" w:hAnsi="仿宋_GB2312" w:eastAsia="仿宋_GB2312" w:cs="仿宋_GB2312"/>
          <w:sz w:val="24"/>
          <w:szCs w:val="24"/>
          <w:lang w:val="en-US" w:eastAsia="zh-CN"/>
        </w:rPr>
        <w:t>异味控制和环境卫生（5分）、设备</w:t>
      </w:r>
      <w:r>
        <w:rPr>
          <w:rFonts w:hint="eastAsia" w:ascii="仿宋_GB2312" w:hAnsi="仿宋_GB2312" w:eastAsia="仿宋_GB2312" w:cs="仿宋_GB2312"/>
          <w:sz w:val="24"/>
          <w:szCs w:val="24"/>
        </w:rPr>
        <w:t>恢复(</w:t>
      </w:r>
      <w:r>
        <w:rPr>
          <w:rFonts w:hint="eastAsia" w:ascii="仿宋_GB2312" w:hAnsi="仿宋_GB2312" w:eastAsia="仿宋_GB2312" w:cs="仿宋_GB2312"/>
          <w:sz w:val="24"/>
          <w:szCs w:val="24"/>
          <w:lang w:val="en-US" w:eastAsia="zh-CN"/>
        </w:rPr>
        <w:t>5分</w:t>
      </w:r>
      <w:r>
        <w:rPr>
          <w:rFonts w:hint="eastAsia" w:ascii="仿宋_GB2312" w:hAnsi="仿宋_GB2312" w:eastAsia="仿宋_GB2312" w:cs="仿宋_GB2312"/>
          <w:sz w:val="24"/>
          <w:szCs w:val="24"/>
        </w:rPr>
        <w:t>)对质量保障的重要性。</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（5）服务感知 (</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分)： 通过投诉率和满意度反映服务最终效果。</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2．评分规则特点：</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（1）硬性指标零容忍： 对安全规程、合法处置、事故、复位完好率、上报及时率等设定“100%达标”要求，未达标则扣光对应分项权重。</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（2）阶梯量化扣分： 对达标率、及时率等指标设定明确扣分梯度，操作性强。</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（3）结果导向： 将“重复堵塞率”、“防堵报修率”、“异味投诉”、“满意度”等结果性指标纳入考核，驱动源头治理。</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3．数据来源保障客观性：</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（1）过程留痕： 依赖详实的作业记录、照片/视频、检测报告、消纳凭证。</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（2）多维度验证： 结合主管现场抽查验收、维修报修统计分析、监控记录、第三方满意度调查。</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（3）问题追溯： 通过报修单、投诉记录、上报记录确保问题可追溯、责任可界定。</w:t>
      </w:r>
    </w:p>
    <w:p>
      <w:pPr>
        <w:pStyle w:val="8"/>
        <w:rPr>
          <w:rFonts w:hint="eastAsia"/>
        </w:rPr>
      </w:pPr>
    </w:p>
    <w:p>
      <w:pPr>
        <w:jc w:val="left"/>
        <w:rPr>
          <w:rFonts w:hint="eastAsia" w:ascii="仿宋_GB2312" w:hAnsi="仿宋_GB2312" w:eastAsia="仿宋_GB2312" w:cs="仿宋_GB2312"/>
          <w:bCs/>
          <w:sz w:val="28"/>
          <w:szCs w:val="28"/>
        </w:rPr>
      </w:pPr>
    </w:p>
    <w:p>
      <w:pPr>
        <w:jc w:val="left"/>
        <w:rPr>
          <w:rFonts w:hint="eastAsia" w:ascii="仿宋_GB2312" w:hAnsi="仿宋_GB2312" w:eastAsia="仿宋_GB2312" w:cs="仿宋_GB2312"/>
          <w:bCs/>
          <w:sz w:val="28"/>
          <w:szCs w:val="28"/>
        </w:rPr>
      </w:pPr>
    </w:p>
    <w:p>
      <w:pPr>
        <w:jc w:val="left"/>
        <w:rPr>
          <w:rFonts w:hint="eastAsia" w:ascii="仿宋_GB2312" w:hAnsi="仿宋_GB2312" w:eastAsia="仿宋_GB2312" w:cs="仿宋_GB2312"/>
          <w:sz w:val="28"/>
          <w:szCs w:val="28"/>
          <w:lang w:eastAsia="zh-CN"/>
        </w:rPr>
      </w:pPr>
      <w:r>
        <w:rPr>
          <w:rFonts w:hint="eastAsia" w:ascii="仿宋_GB2312" w:hAnsi="仿宋_GB2312" w:eastAsia="仿宋_GB2312" w:cs="仿宋_GB2312"/>
          <w:bCs/>
          <w:sz w:val="28"/>
          <w:szCs w:val="28"/>
        </w:rPr>
        <w:t>★</w:t>
      </w:r>
      <w:r>
        <w:rPr>
          <w:rFonts w:hint="eastAsia" w:ascii="仿宋_GB2312" w:hAnsi="仿宋_GB2312" w:eastAsia="仿宋_GB2312" w:cs="仿宋_GB2312"/>
          <w:b/>
          <w:bCs/>
          <w:sz w:val="28"/>
          <w:szCs w:val="28"/>
        </w:rPr>
        <w:t>附件</w:t>
      </w:r>
      <w:r>
        <w:rPr>
          <w:rFonts w:hint="eastAsia" w:ascii="仿宋_GB2312" w:hAnsi="仿宋_GB2312" w:eastAsia="仿宋_GB2312" w:cs="仿宋_GB2312"/>
          <w:b/>
          <w:bCs/>
          <w:sz w:val="28"/>
          <w:szCs w:val="28"/>
          <w:lang w:eastAsia="zh-CN"/>
        </w:rPr>
        <w:t>八</w:t>
      </w:r>
    </w:p>
    <w:p>
      <w:pPr>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柳州城市职业学院有害生物综合防治质量考核细则</w:t>
      </w:r>
    </w:p>
    <w:p>
      <w:pPr>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为做好物业服务企业服务质量考核工作，明确和细化《柳州城市职业学院物业服务企业监督管理办法》相关内容，结合学校实际制定本实施细则。本细则适用于在我校依据法定合同从事有害生物防治的各物业服务企业或其他实体，由后勤保障处组织考核。</w:t>
      </w:r>
    </w:p>
    <w:p>
      <w:pPr>
        <w:ind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一、</w:t>
      </w:r>
      <w:r>
        <w:rPr>
          <w:rFonts w:hint="eastAsia" w:ascii="仿宋_GB2312" w:hAnsi="仿宋_GB2312" w:eastAsia="仿宋_GB2312" w:cs="仿宋_GB2312"/>
          <w:b/>
          <w:sz w:val="24"/>
          <w:szCs w:val="24"/>
        </w:rPr>
        <w:t xml:space="preserve">服务标准与考核指标 </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（1）虫害密度控制达标率（核心四害）：</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①</w:t>
      </w:r>
      <w:r>
        <w:rPr>
          <w:rFonts w:hint="eastAsia" w:ascii="仿宋_GB2312" w:hAnsi="仿宋_GB2312" w:eastAsia="仿宋_GB2312" w:cs="仿宋_GB2312"/>
          <w:sz w:val="24"/>
          <w:szCs w:val="24"/>
        </w:rPr>
        <w:t>服务标准：采用国家标准或行业规范（如GB/T 27770-2011</w:t>
      </w:r>
      <w:r>
        <w:rPr>
          <w:rFonts w:hint="eastAsia" w:ascii="仿宋_GB2312" w:hAnsi="仿宋_GB2312" w:eastAsia="仿宋_GB2312" w:cs="仿宋_GB2312"/>
          <w:sz w:val="24"/>
          <w:szCs w:val="24"/>
          <w:lang w:eastAsia="zh-CN"/>
        </w:rPr>
        <w:t>《病媒生物密度控制水平 鼠类》</w:t>
      </w:r>
      <w:r>
        <w:rPr>
          <w:rFonts w:hint="eastAsia" w:ascii="仿宋_GB2312" w:hAnsi="仿宋_GB2312" w:eastAsia="仿宋_GB2312" w:cs="仿宋_GB2312"/>
          <w:sz w:val="24"/>
          <w:szCs w:val="24"/>
        </w:rPr>
        <w:t>等）的监测方法（鼠迹法、粘捕法、目测法等），定期监测鼠、蟑、蚊、蝇密度。通过环境治理、物理防治、化学防治等综合防治措施，将密度控制在国家病媒生物密度控制水平标准C级或更优水平。</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②</w:t>
      </w:r>
      <w:r>
        <w:rPr>
          <w:rFonts w:hint="eastAsia" w:ascii="仿宋_GB2312" w:hAnsi="仿宋_GB2312" w:eastAsia="仿宋_GB2312" w:cs="仿宋_GB2312"/>
          <w:sz w:val="24"/>
          <w:szCs w:val="24"/>
        </w:rPr>
        <w:t>考核指标：（具体达标值依据合同选定标准及监测方法）</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鼠迹阳性率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阳性点位数/总检查点位数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 5% (重点区域≤3%) / 鼠征法阳性率达标。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蟑螂成若虫侵害率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平均每阳性处成若虫数小蠊</w:t>
      </w:r>
      <w:r>
        <w:rPr>
          <w:rFonts w:hint="eastAsia" w:ascii="宋体" w:hAnsi="宋体" w:eastAsia="宋体" w:cs="宋体"/>
          <w:sz w:val="24"/>
          <w:szCs w:val="24"/>
          <w:lang w:val="en-US" w:eastAsia="zh-CN"/>
        </w:rPr>
        <w:t>≤</w:t>
      </w:r>
      <w:r>
        <w:rPr>
          <w:rFonts w:hint="eastAsia" w:ascii="仿宋_GB2312" w:hAnsi="仿宋_GB2312" w:eastAsia="仿宋_GB2312" w:cs="仿宋_GB2312"/>
          <w:sz w:val="24"/>
          <w:szCs w:val="24"/>
          <w:lang w:val="en-US" w:eastAsia="zh-CN"/>
        </w:rPr>
        <w:t>10只，大蠊</w:t>
      </w:r>
      <w:r>
        <w:rPr>
          <w:rFonts w:hint="eastAsia" w:ascii="宋体" w:hAnsi="宋体" w:eastAsia="宋体" w:cs="宋体"/>
          <w:sz w:val="24"/>
          <w:szCs w:val="24"/>
          <w:lang w:val="en-US" w:eastAsia="zh-CN"/>
        </w:rPr>
        <w:t>≤</w:t>
      </w:r>
      <w:r>
        <w:rPr>
          <w:rFonts w:hint="eastAsia" w:ascii="仿宋_GB2312" w:hAnsi="仿宋_GB2312" w:eastAsia="仿宋_GB2312" w:cs="仿宋_GB2312"/>
          <w:sz w:val="24"/>
          <w:szCs w:val="24"/>
          <w:lang w:val="en-US" w:eastAsia="zh-CN"/>
        </w:rPr>
        <w:t>5只</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 5% / 粘捕法只数达标。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蚊幼虫阳性率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同上阳性率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 5% / 成蚊停落指数达标。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蝇类孳生地阳性率 </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同上阳性率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5% / 成蝇密度达标。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（2）重点区域防治效果：</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①</w:t>
      </w:r>
      <w:r>
        <w:rPr>
          <w:rFonts w:hint="eastAsia" w:ascii="仿宋_GB2312" w:hAnsi="仿宋_GB2312" w:eastAsia="仿宋_GB2312" w:cs="仿宋_GB2312"/>
          <w:sz w:val="24"/>
          <w:szCs w:val="24"/>
        </w:rPr>
        <w:t>服务标准： 对食堂周边、</w:t>
      </w:r>
      <w:r>
        <w:rPr>
          <w:rFonts w:hint="eastAsia" w:ascii="仿宋_GB2312" w:hAnsi="仿宋_GB2312" w:eastAsia="仿宋_GB2312" w:cs="仿宋_GB2312"/>
          <w:sz w:val="24"/>
          <w:szCs w:val="24"/>
          <w:lang w:eastAsia="zh-CN"/>
        </w:rPr>
        <w:t>学生公寓</w:t>
      </w:r>
      <w:r>
        <w:rPr>
          <w:rFonts w:hint="eastAsia" w:ascii="仿宋_GB2312" w:hAnsi="仿宋_GB2312" w:eastAsia="仿宋_GB2312" w:cs="仿宋_GB2312"/>
          <w:sz w:val="24"/>
          <w:szCs w:val="24"/>
        </w:rPr>
        <w:t>等公共区域、管道井、垃圾回收站等重点高风险区域，实施更高频次监测和强化防治措施，确保虫害密度显著低于一般区域标准，无活体害虫（尤其鼠、蟑）可见。</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②</w:t>
      </w:r>
      <w:r>
        <w:rPr>
          <w:rFonts w:hint="eastAsia" w:ascii="仿宋_GB2312" w:hAnsi="仿宋_GB2312" w:eastAsia="仿宋_GB2312" w:cs="仿宋_GB2312"/>
          <w:sz w:val="24"/>
          <w:szCs w:val="24"/>
        </w:rPr>
        <w:t>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重点区域鼠、蟑、蝇监测指标达标率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详见上文虫害密度控制考核指标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 100% (达到合同约定的严控标准)。</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师生/员工在重点区域目击活鼠/蟑螂的有效投诉 ≤ 1次/季度。</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（3）红火蚁监测与根除率：</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①</w:t>
      </w:r>
      <w:r>
        <w:rPr>
          <w:rFonts w:hint="eastAsia" w:ascii="仿宋_GB2312" w:hAnsi="仿宋_GB2312" w:eastAsia="仿宋_GB2312" w:cs="仿宋_GB2312"/>
          <w:sz w:val="24"/>
          <w:szCs w:val="24"/>
        </w:rPr>
        <w:t>服务标准：定期巡查校园绿地、绿化带、道路边缘等区域，及时发现红火蚁蚁丘。采用高效、环保的饵剂或粉剂进行精准灭巢处理，确保单个蚁巢处理后2-4周内无活蚁活动，根除率达标。</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②</w:t>
      </w:r>
      <w:r>
        <w:rPr>
          <w:rFonts w:hint="eastAsia" w:ascii="仿宋_GB2312" w:hAnsi="仿宋_GB2312" w:eastAsia="仿宋_GB2312" w:cs="仿宋_GB2312"/>
          <w:sz w:val="24"/>
          <w:szCs w:val="24"/>
        </w:rPr>
        <w:t>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红火蚁蚁巢发现后7天内处理</w:t>
      </w:r>
      <w:r>
        <w:rPr>
          <w:rFonts w:hint="eastAsia" w:ascii="仿宋_GB2312" w:hAnsi="仿宋_GB2312" w:eastAsia="仿宋_GB2312" w:cs="仿宋_GB2312"/>
          <w:sz w:val="24"/>
          <w:szCs w:val="24"/>
          <w:lang w:val="en-US" w:eastAsia="zh-CN"/>
        </w:rPr>
        <w:t>完毕</w:t>
      </w:r>
      <w:r>
        <w:rPr>
          <w:rFonts w:hint="eastAsia" w:ascii="仿宋_GB2312" w:hAnsi="仿宋_GB2312" w:eastAsia="仿宋_GB2312" w:cs="仿宋_GB2312"/>
          <w:sz w:val="24"/>
          <w:szCs w:val="24"/>
        </w:rPr>
        <w:t xml:space="preserve"> =100%。</w:t>
      </w:r>
    </w:p>
    <w:p>
      <w:pPr>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单位面积红火蚁减少率</w:t>
      </w:r>
      <w:r>
        <w:rPr>
          <w:rFonts w:hint="eastAsia" w:ascii="仿宋_GB2312" w:hAnsi="仿宋_GB2312" w:eastAsia="仿宋_GB2312" w:cs="仿宋_GB2312"/>
          <w:sz w:val="24"/>
          <w:szCs w:val="24"/>
        </w:rPr>
        <w:t>（处理后4周评估） ≥95%。</w:t>
      </w:r>
      <w:r>
        <w:rPr>
          <w:rFonts w:hint="eastAsia" w:ascii="仿宋_GB2312" w:hAnsi="仿宋_GB2312" w:eastAsia="仿宋_GB2312" w:cs="仿宋_GB2312"/>
          <w:sz w:val="24"/>
          <w:szCs w:val="24"/>
          <w:lang w:val="en-US" w:eastAsia="zh-CN"/>
        </w:rPr>
        <w:t>减少率：（1-防控后诱集到红火蚁工蚁数量/防控前诱集到红火蚁工蚁数量）*100%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校园内新增大型活动蚁巢（直径&gt;15cm）数量 ≤2个/年。</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（4）白蚁监测与预防性处理：</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①</w:t>
      </w:r>
      <w:r>
        <w:rPr>
          <w:rFonts w:hint="eastAsia" w:ascii="仿宋_GB2312" w:hAnsi="仿宋_GB2312" w:eastAsia="仿宋_GB2312" w:cs="仿宋_GB2312"/>
          <w:sz w:val="24"/>
          <w:szCs w:val="24"/>
        </w:rPr>
        <w:t>服务标准：对树木、木质结构建筑、新建建筑周边等重点区域设置白蚁监测装置（饵站或监测站），定期检查。发现活蚁立即进行诱杀或局部处理。对新建、改建项目提供白蚁预防建议或处理。</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②</w:t>
      </w:r>
      <w:r>
        <w:rPr>
          <w:rFonts w:hint="eastAsia" w:ascii="仿宋_GB2312" w:hAnsi="仿宋_GB2312" w:eastAsia="仿宋_GB2312" w:cs="仿宋_GB2312"/>
          <w:sz w:val="24"/>
          <w:szCs w:val="24"/>
        </w:rPr>
        <w:t>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白蚁监测装置覆盖（重点区域） ≥ 95%。</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监测装置检查及时（按计划</w:t>
      </w:r>
      <w:r>
        <w:rPr>
          <w:rFonts w:hint="eastAsia" w:ascii="仿宋_GB2312" w:hAnsi="仿宋_GB2312" w:eastAsia="仿宋_GB2312" w:cs="仿宋_GB2312"/>
          <w:sz w:val="24"/>
          <w:szCs w:val="24"/>
          <w:lang w:val="en-US" w:eastAsia="zh-CN"/>
        </w:rPr>
        <w:t>完成</w:t>
      </w:r>
      <w:r>
        <w:rPr>
          <w:rFonts w:hint="eastAsia" w:ascii="仿宋_GB2312" w:hAnsi="仿宋_GB2312" w:eastAsia="仿宋_GB2312" w:cs="仿宋_GB2312"/>
          <w:sz w:val="24"/>
          <w:szCs w:val="24"/>
        </w:rPr>
        <w:t>） = 100%。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发现活白蚁后14天内有效处理 = 100%。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因白蚁侵害导致建筑/树木结构损坏事件 = 0 (合同期内)。</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（5）蛇虫等特殊有害生物应急响应：</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①</w:t>
      </w:r>
      <w:r>
        <w:rPr>
          <w:rFonts w:hint="eastAsia" w:ascii="仿宋_GB2312" w:hAnsi="仿宋_GB2312" w:eastAsia="仿宋_GB2312" w:cs="仿宋_GB2312"/>
          <w:sz w:val="24"/>
          <w:szCs w:val="24"/>
        </w:rPr>
        <w:t>服务标准：建立马蜂、蛇虫等应急响应机制。接到师生报告后，专业人员应在1小时内到达现场进行安全捕捉或清除（尤其马蜂窝、蛇）。事后分析原因，提出环境改善建议。</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②</w:t>
      </w:r>
      <w:r>
        <w:rPr>
          <w:rFonts w:hint="eastAsia" w:ascii="仿宋_GB2312" w:hAnsi="仿宋_GB2312" w:eastAsia="仿宋_GB2312" w:cs="仿宋_GB2312"/>
          <w:sz w:val="24"/>
          <w:szCs w:val="24"/>
        </w:rPr>
        <w:t>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特殊有害生物报告响应及时（规定时间1小时内到达）。</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现场安全处置成功</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安全捕捉或清除</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因处置不当导致的叮咬/伤害事件 = 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（6）环境治理建议与执行协同：</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①</w:t>
      </w:r>
      <w:r>
        <w:rPr>
          <w:rFonts w:hint="eastAsia" w:ascii="仿宋_GB2312" w:hAnsi="仿宋_GB2312" w:eastAsia="仿宋_GB2312" w:cs="仿宋_GB2312"/>
          <w:sz w:val="24"/>
          <w:szCs w:val="24"/>
        </w:rPr>
        <w:t>服务标准：定期提供详细的校园环境治理建议报告（垃圾</w:t>
      </w:r>
      <w:r>
        <w:rPr>
          <w:rFonts w:hint="default" w:ascii="仿宋_GB2312" w:hAnsi="仿宋_GB2312" w:eastAsia="仿宋_GB2312" w:cs="仿宋_GB2312"/>
          <w:sz w:val="24"/>
          <w:szCs w:val="24"/>
        </w:rPr>
        <w:t>清理</w:t>
      </w:r>
      <w:r>
        <w:rPr>
          <w:rFonts w:hint="eastAsia" w:ascii="仿宋_GB2312" w:hAnsi="仿宋_GB2312" w:eastAsia="仿宋_GB2312" w:cs="仿宋_GB2312"/>
          <w:sz w:val="24"/>
          <w:szCs w:val="24"/>
        </w:rPr>
        <w:t>、积水清理、杂物堆放、绿化修剪、缝隙封堵等），指出易孳生有害生物的环境问题，并协助/督促物业进行整改。</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②</w:t>
      </w:r>
      <w:r>
        <w:rPr>
          <w:rFonts w:hint="eastAsia" w:ascii="仿宋_GB2312" w:hAnsi="仿宋_GB2312" w:eastAsia="仿宋_GB2312" w:cs="仿宋_GB2312"/>
          <w:sz w:val="24"/>
          <w:szCs w:val="24"/>
        </w:rPr>
        <w:t>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环境治理建议报告提交及时（每季度） 。</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关键环境问题（严重积水点、卫生死角）整改</w:t>
      </w:r>
      <w:r>
        <w:rPr>
          <w:rFonts w:hint="eastAsia" w:ascii="仿宋_GB2312" w:hAnsi="仿宋_GB2312" w:eastAsia="仿宋_GB2312" w:cs="仿宋_GB2312"/>
          <w:sz w:val="24"/>
          <w:szCs w:val="24"/>
          <w:lang w:val="en-US" w:eastAsia="zh-CN"/>
        </w:rPr>
        <w:t>完成</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100%</w:t>
      </w:r>
      <w:r>
        <w:rPr>
          <w:rFonts w:hint="eastAsia" w:ascii="仿宋_GB2312" w:hAnsi="仿宋_GB2312" w:eastAsia="仿宋_GB2312" w:cs="仿宋_GB2312"/>
          <w:sz w:val="24"/>
          <w:szCs w:val="24"/>
        </w:rPr>
        <w:t>。</w:t>
      </w:r>
    </w:p>
    <w:p>
      <w:pPr>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因环境治理改善导致的虫害密度下降率 ≥5%/年。</w:t>
      </w:r>
      <w:r>
        <w:rPr>
          <w:rFonts w:hint="eastAsia" w:ascii="仿宋_GB2312" w:hAnsi="仿宋_GB2312" w:eastAsia="仿宋_GB2312" w:cs="仿宋_GB2312"/>
          <w:sz w:val="24"/>
          <w:szCs w:val="24"/>
          <w:lang w:val="en-US" w:eastAsia="zh-CN"/>
        </w:rPr>
        <w:t>下降率：（灭前虫害密度-灭后虫害密度）/灭前虫害密度*100%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（7）化学防治安全性与规范性：</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①</w:t>
      </w:r>
      <w:r>
        <w:rPr>
          <w:rFonts w:hint="eastAsia" w:ascii="仿宋_GB2312" w:hAnsi="仿宋_GB2312" w:eastAsia="仿宋_GB2312" w:cs="仿宋_GB2312"/>
          <w:sz w:val="24"/>
          <w:szCs w:val="24"/>
        </w:rPr>
        <w:t>服务标准：优先使用粘板、诱捕器、防鼠设施等物理防治和生物防治手段。必须使用化学药剂时，选择低毒、高效、环保、持效期适中的产品，符合国家规定。精准施药，避免大面积喷洒。</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作业前公告，作业中设置警示，作业后检查清理。人员持证上岗。</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②</w:t>
      </w:r>
      <w:r>
        <w:rPr>
          <w:rFonts w:hint="eastAsia" w:ascii="仿宋_GB2312" w:hAnsi="仿宋_GB2312" w:eastAsia="仿宋_GB2312" w:cs="仿宋_GB2312"/>
          <w:sz w:val="24"/>
          <w:szCs w:val="24"/>
        </w:rPr>
        <w:t>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化学药剂使用记录完整（品名、浓度、地点、用量、操作人）。</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施药规范性（按方案）抽查合格率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抽查合格数/总抽查数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 98%。</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因施药导致的师生/员工健康投诉或环境污染事件 = 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（8）防制设施维护与有效性：</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①</w:t>
      </w:r>
      <w:r>
        <w:rPr>
          <w:rFonts w:hint="eastAsia" w:ascii="仿宋_GB2312" w:hAnsi="仿宋_GB2312" w:eastAsia="仿宋_GB2312" w:cs="仿宋_GB2312"/>
          <w:sz w:val="24"/>
          <w:szCs w:val="24"/>
        </w:rPr>
        <w:t>服务标准 安装和维护的物理防制设施（挡鼠板、防鼠网、诱捕器、灭蚊灯、毒饵站）完好、有效、位置合理、标识清晰。每月检查、清洁、维护或更换。</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②</w:t>
      </w:r>
      <w:r>
        <w:rPr>
          <w:rFonts w:hint="eastAsia" w:ascii="仿宋_GB2312" w:hAnsi="仿宋_GB2312" w:eastAsia="仿宋_GB2312" w:cs="仿宋_GB2312"/>
          <w:sz w:val="24"/>
          <w:szCs w:val="24"/>
        </w:rPr>
        <w:t>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防制设施月度完好率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完好防制设施数/总防制设施数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 95%。</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毒饵站/诱捕器饵料/粘板定期更换率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更换设备数/总设备数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 100%。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灭蚊灯清洁维护达标率（灯管有效、集虫盒清洁）</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灭蚊灯功能正常及清洁数/总灭蚊灯数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 95%。</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（9）服务记录与报告质量：</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①</w:t>
      </w:r>
      <w:r>
        <w:rPr>
          <w:rFonts w:hint="eastAsia" w:ascii="仿宋_GB2312" w:hAnsi="仿宋_GB2312" w:eastAsia="仿宋_GB2312" w:cs="仿宋_GB2312"/>
          <w:sz w:val="24"/>
          <w:szCs w:val="24"/>
        </w:rPr>
        <w:t>服务标准：每次服务（检查、监测、处理）均需详细记录：时间、地点、人员、发现情况、采取的措施、使用的物料、处理结果、发现的问题/建议。提供月度综合服务报告，包含虫情分析、密度趋势、防治效果评估、环境治理建议、下一步计划。</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②</w:t>
      </w:r>
      <w:r>
        <w:rPr>
          <w:rFonts w:hint="eastAsia" w:ascii="仿宋_GB2312" w:hAnsi="仿宋_GB2312" w:eastAsia="仿宋_GB2312" w:cs="仿宋_GB2312"/>
          <w:sz w:val="24"/>
          <w:szCs w:val="24"/>
        </w:rPr>
        <w:t>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服务记录完整性（关键要素无缺失） = 100%。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月度服务报告提交及时</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每月30日前提交</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报告数据准确性（与抽查记录对比） ≥ 98%。</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（10）师生投诉处理与综合满意度：</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①</w:t>
      </w:r>
      <w:r>
        <w:rPr>
          <w:rFonts w:hint="eastAsia" w:ascii="仿宋_GB2312" w:hAnsi="仿宋_GB2312" w:eastAsia="仿宋_GB2312" w:cs="仿宋_GB2312"/>
          <w:sz w:val="24"/>
          <w:szCs w:val="24"/>
        </w:rPr>
        <w:t>服务标准：建立便捷的虫害问题投诉渠道，对师生投诉快速响应专业处理，及时反馈结果。整体服务专业、有效、安全。</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②</w:t>
      </w:r>
      <w:r>
        <w:rPr>
          <w:rFonts w:hint="eastAsia" w:ascii="仿宋_GB2312" w:hAnsi="仿宋_GB2312" w:eastAsia="仿宋_GB2312" w:cs="仿宋_GB2312"/>
          <w:sz w:val="24"/>
          <w:szCs w:val="24"/>
        </w:rPr>
        <w:t>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虫害相关投诉响应及时率（1小时内） = 100%。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投诉问题一次性解决率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问题解决数/总投诉问题</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 90%。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年度师生/管理部门对有害生物防治服务综合满意度 ≥ 85分。</w:t>
      </w:r>
    </w:p>
    <w:p>
      <w:pPr>
        <w:ind w:firstLine="241" w:firstLineChars="100"/>
        <w:rPr>
          <w:rFonts w:hint="eastAsia" w:ascii="仿宋_GB2312" w:hAnsi="仿宋_GB2312" w:eastAsia="仿宋_GB2312" w:cs="仿宋_GB2312"/>
          <w:b/>
          <w:sz w:val="24"/>
          <w:szCs w:val="24"/>
        </w:rPr>
      </w:pPr>
    </w:p>
    <w:p>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二、服务质量考核赋分</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2445"/>
        <w:gridCol w:w="685"/>
        <w:gridCol w:w="4111"/>
        <w:gridCol w:w="1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0" w:type="auto"/>
            <w:tcMar>
              <w:top w:w="107" w:type="dxa"/>
              <w:left w:w="0" w:type="dxa"/>
              <w:bottom w:w="107" w:type="dxa"/>
              <w:right w:w="107" w:type="dxa"/>
            </w:tcMar>
            <w:vAlign w:val="center"/>
          </w:tcPr>
          <w:p>
            <w:pP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考核项目</w:t>
            </w:r>
          </w:p>
        </w:tc>
        <w:tc>
          <w:tcPr>
            <w:tcW w:w="685" w:type="dxa"/>
            <w:tcMar>
              <w:top w:w="107" w:type="dxa"/>
              <w:left w:w="107" w:type="dxa"/>
              <w:bottom w:w="107" w:type="dxa"/>
              <w:right w:w="107" w:type="dxa"/>
            </w:tcMar>
            <w:vAlign w:val="center"/>
          </w:tcPr>
          <w:p>
            <w:pP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分值</w:t>
            </w:r>
          </w:p>
        </w:tc>
        <w:tc>
          <w:tcPr>
            <w:tcW w:w="4111" w:type="dxa"/>
            <w:tcMar>
              <w:top w:w="107" w:type="dxa"/>
              <w:left w:w="107" w:type="dxa"/>
              <w:bottom w:w="107" w:type="dxa"/>
              <w:right w:w="107" w:type="dxa"/>
            </w:tcMar>
            <w:vAlign w:val="center"/>
          </w:tcPr>
          <w:p>
            <w:pP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评分标准</w:t>
            </w:r>
          </w:p>
        </w:tc>
        <w:tc>
          <w:tcPr>
            <w:tcW w:w="1892" w:type="dxa"/>
            <w:tcMar>
              <w:top w:w="107" w:type="dxa"/>
              <w:left w:w="107" w:type="dxa"/>
              <w:bottom w:w="107" w:type="dxa"/>
              <w:right w:w="107" w:type="dxa"/>
            </w:tcMar>
            <w:vAlign w:val="center"/>
          </w:tcPr>
          <w:p>
            <w:pP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07" w:type="dxa"/>
              <w:left w:w="0" w:type="dxa"/>
              <w:bottom w:w="107" w:type="dxa"/>
              <w:right w:w="107" w:type="dxa"/>
            </w:tcMar>
            <w:vAlign w:val="center"/>
          </w:tcPr>
          <w:p>
            <w:pPr>
              <w:rPr>
                <w:rFonts w:hint="eastAsia" w:ascii="仿宋_GB2312" w:hAnsi="仿宋_GB2312" w:eastAsia="仿宋_GB2312" w:cs="仿宋_GB2312"/>
                <w:color w:val="auto"/>
                <w:sz w:val="24"/>
                <w:szCs w:val="24"/>
              </w:rPr>
            </w:pPr>
            <w:r>
              <w:rPr>
                <w:rStyle w:val="51"/>
                <w:rFonts w:hint="eastAsia" w:ascii="仿宋_GB2312" w:hAnsi="仿宋_GB2312" w:eastAsia="仿宋_GB2312" w:cs="仿宋_GB2312"/>
                <w:b w:val="0"/>
                <w:color w:val="auto"/>
                <w:sz w:val="24"/>
                <w:szCs w:val="24"/>
              </w:rPr>
              <w:t>1. 虫害密度控制达标率（四害）</w:t>
            </w:r>
          </w:p>
        </w:tc>
        <w:tc>
          <w:tcPr>
            <w:tcW w:w="685"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20</w:t>
            </w:r>
          </w:p>
        </w:tc>
        <w:tc>
          <w:tcPr>
            <w:tcW w:w="4111"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Style w:val="51"/>
                <w:rFonts w:hint="eastAsia" w:ascii="仿宋_GB2312" w:hAnsi="仿宋_GB2312" w:eastAsia="仿宋_GB2312" w:cs="仿宋_GB2312"/>
                <w:b w:val="0"/>
                <w:color w:val="auto"/>
                <w:sz w:val="24"/>
                <w:szCs w:val="24"/>
              </w:rPr>
              <w:t>a. 鼠密度达标：</w:t>
            </w:r>
            <w:r>
              <w:rPr>
                <w:rFonts w:hint="eastAsia" w:ascii="仿宋_GB2312" w:hAnsi="仿宋_GB2312" w:eastAsia="仿宋_GB2312" w:cs="仿宋_GB2312"/>
                <w:color w:val="auto"/>
                <w:sz w:val="24"/>
                <w:szCs w:val="24"/>
              </w:rPr>
              <w:t> 得5分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超标：</w:t>
            </w:r>
            <w:r>
              <w:rPr>
                <w:rFonts w:hint="eastAsia" w:ascii="仿宋_GB2312" w:hAnsi="仿宋_GB2312" w:eastAsia="仿宋_GB2312" w:cs="仿宋_GB2312"/>
                <w:color w:val="auto"/>
                <w:sz w:val="24"/>
                <w:szCs w:val="24"/>
              </w:rPr>
              <w:t> 扣5分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b. 蟑密度达标：</w:t>
            </w:r>
            <w:r>
              <w:rPr>
                <w:rFonts w:hint="eastAsia" w:ascii="仿宋_GB2312" w:hAnsi="仿宋_GB2312" w:eastAsia="仿宋_GB2312" w:cs="仿宋_GB2312"/>
                <w:color w:val="auto"/>
                <w:sz w:val="24"/>
                <w:szCs w:val="24"/>
              </w:rPr>
              <w:t> 得5分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超标：</w:t>
            </w:r>
            <w:r>
              <w:rPr>
                <w:rFonts w:hint="eastAsia" w:ascii="仿宋_GB2312" w:hAnsi="仿宋_GB2312" w:eastAsia="仿宋_GB2312" w:cs="仿宋_GB2312"/>
                <w:color w:val="auto"/>
                <w:sz w:val="24"/>
                <w:szCs w:val="24"/>
              </w:rPr>
              <w:t> 扣5分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c. 蚊密度达标：</w:t>
            </w:r>
            <w:r>
              <w:rPr>
                <w:rFonts w:hint="eastAsia" w:ascii="仿宋_GB2312" w:hAnsi="仿宋_GB2312" w:eastAsia="仿宋_GB2312" w:cs="仿宋_GB2312"/>
                <w:color w:val="auto"/>
                <w:sz w:val="24"/>
                <w:szCs w:val="24"/>
              </w:rPr>
              <w:t> 得5分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超标：</w:t>
            </w:r>
            <w:r>
              <w:rPr>
                <w:rFonts w:hint="eastAsia" w:ascii="仿宋_GB2312" w:hAnsi="仿宋_GB2312" w:eastAsia="仿宋_GB2312" w:cs="仿宋_GB2312"/>
                <w:color w:val="auto"/>
                <w:sz w:val="24"/>
                <w:szCs w:val="24"/>
              </w:rPr>
              <w:t> 扣5分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d. 蝇密度达标：</w:t>
            </w:r>
            <w:r>
              <w:rPr>
                <w:rFonts w:hint="eastAsia" w:ascii="仿宋_GB2312" w:hAnsi="仿宋_GB2312" w:eastAsia="仿宋_GB2312" w:cs="仿宋_GB2312"/>
                <w:color w:val="auto"/>
                <w:sz w:val="24"/>
                <w:szCs w:val="24"/>
              </w:rPr>
              <w:t> 得5分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超标：</w:t>
            </w:r>
            <w:r>
              <w:rPr>
                <w:rFonts w:hint="eastAsia" w:ascii="仿宋_GB2312" w:hAnsi="仿宋_GB2312" w:eastAsia="仿宋_GB2312" w:cs="仿宋_GB2312"/>
                <w:color w:val="auto"/>
                <w:sz w:val="24"/>
                <w:szCs w:val="24"/>
              </w:rPr>
              <w:t> 扣5分</w:t>
            </w:r>
            <w:r>
              <w:rPr>
                <w:rFonts w:hint="eastAsia" w:ascii="仿宋_GB2312" w:hAnsi="仿宋_GB2312" w:eastAsia="仿宋_GB2312" w:cs="仿宋_GB2312"/>
                <w:color w:val="auto"/>
                <w:sz w:val="24"/>
                <w:szCs w:val="24"/>
              </w:rPr>
              <w:br w:type="textWrapping"/>
            </w:r>
            <w:r>
              <w:rPr>
                <w:rFonts w:hint="eastAsia" w:ascii="仿宋_GB2312" w:hAnsi="仿宋_GB2312" w:eastAsia="仿宋_GB2312" w:cs="仿宋_GB2312"/>
                <w:color w:val="auto"/>
                <w:sz w:val="24"/>
                <w:szCs w:val="24"/>
              </w:rPr>
              <w:t>(</w:t>
            </w:r>
            <w:r>
              <w:rPr>
                <w:rStyle w:val="57"/>
                <w:rFonts w:hint="eastAsia" w:ascii="仿宋_GB2312" w:hAnsi="仿宋_GB2312" w:eastAsia="仿宋_GB2312" w:cs="仿宋_GB2312"/>
                <w:color w:val="auto"/>
                <w:sz w:val="24"/>
                <w:szCs w:val="24"/>
              </w:rPr>
              <w:t>按合同选定标准及监测方法判定达标与否</w:t>
            </w:r>
            <w:r>
              <w:rPr>
                <w:rFonts w:hint="eastAsia" w:ascii="仿宋_GB2312" w:hAnsi="仿宋_GB2312" w:eastAsia="仿宋_GB2312" w:cs="仿宋_GB2312"/>
                <w:color w:val="auto"/>
                <w:sz w:val="24"/>
                <w:szCs w:val="24"/>
              </w:rPr>
              <w:t>)</w:t>
            </w:r>
          </w:p>
        </w:tc>
        <w:tc>
          <w:tcPr>
            <w:tcW w:w="1892"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定期监测记录（鼠迹板、粘蟑板、诱蚊灯、蝇粘条等）、第三方抽检报告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07" w:type="dxa"/>
              <w:left w:w="0" w:type="dxa"/>
              <w:bottom w:w="107" w:type="dxa"/>
              <w:right w:w="107" w:type="dxa"/>
            </w:tcMar>
            <w:vAlign w:val="center"/>
          </w:tcPr>
          <w:p>
            <w:pPr>
              <w:rPr>
                <w:rFonts w:hint="eastAsia" w:ascii="仿宋_GB2312" w:hAnsi="仿宋_GB2312" w:eastAsia="仿宋_GB2312" w:cs="仿宋_GB2312"/>
                <w:color w:val="auto"/>
                <w:sz w:val="24"/>
                <w:szCs w:val="24"/>
              </w:rPr>
            </w:pPr>
            <w:r>
              <w:rPr>
                <w:rStyle w:val="51"/>
                <w:rFonts w:hint="eastAsia" w:ascii="仿宋_GB2312" w:hAnsi="仿宋_GB2312" w:eastAsia="仿宋_GB2312" w:cs="仿宋_GB2312"/>
                <w:b w:val="0"/>
                <w:color w:val="auto"/>
                <w:sz w:val="24"/>
                <w:szCs w:val="24"/>
              </w:rPr>
              <w:t>2. 重点区域防治效果</w:t>
            </w:r>
          </w:p>
        </w:tc>
        <w:tc>
          <w:tcPr>
            <w:tcW w:w="685"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15</w:t>
            </w:r>
          </w:p>
        </w:tc>
        <w:tc>
          <w:tcPr>
            <w:tcW w:w="4111"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Style w:val="51"/>
                <w:rFonts w:hint="eastAsia" w:ascii="仿宋_GB2312" w:hAnsi="仿宋_GB2312" w:eastAsia="仿宋_GB2312" w:cs="仿宋_GB2312"/>
                <w:b w:val="0"/>
                <w:color w:val="auto"/>
                <w:sz w:val="24"/>
                <w:szCs w:val="24"/>
              </w:rPr>
              <w:t>a. 重点区域监测100%达标：</w:t>
            </w:r>
            <w:r>
              <w:rPr>
                <w:rFonts w:hint="eastAsia" w:ascii="仿宋_GB2312" w:hAnsi="仿宋_GB2312" w:eastAsia="仿宋_GB2312" w:cs="仿宋_GB2312"/>
                <w:color w:val="auto"/>
                <w:sz w:val="24"/>
                <w:szCs w:val="24"/>
              </w:rPr>
              <w:t> 得10分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每项超标：</w:t>
            </w:r>
            <w:r>
              <w:rPr>
                <w:rFonts w:hint="eastAsia" w:ascii="仿宋_GB2312" w:hAnsi="仿宋_GB2312" w:eastAsia="仿宋_GB2312" w:cs="仿宋_GB2312"/>
                <w:color w:val="auto"/>
                <w:sz w:val="24"/>
                <w:szCs w:val="24"/>
              </w:rPr>
              <w:t> 扣3分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b. 活体目击投诉≤1次/季度：</w:t>
            </w:r>
            <w:r>
              <w:rPr>
                <w:rFonts w:hint="eastAsia" w:ascii="仿宋_GB2312" w:hAnsi="仿宋_GB2312" w:eastAsia="仿宋_GB2312" w:cs="仿宋_GB2312"/>
                <w:color w:val="auto"/>
                <w:sz w:val="24"/>
                <w:szCs w:val="24"/>
              </w:rPr>
              <w:t> 得5分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每超1次：</w:t>
            </w:r>
            <w:r>
              <w:rPr>
                <w:rFonts w:hint="eastAsia" w:ascii="仿宋_GB2312" w:hAnsi="仿宋_GB2312" w:eastAsia="仿宋_GB2312" w:cs="仿宋_GB2312"/>
                <w:color w:val="auto"/>
                <w:sz w:val="24"/>
                <w:szCs w:val="24"/>
              </w:rPr>
              <w:t> 扣2分</w:t>
            </w:r>
          </w:p>
        </w:tc>
        <w:tc>
          <w:tcPr>
            <w:tcW w:w="1892"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重点区域专项监测记录、师生/员工有效投诉记录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07" w:type="dxa"/>
              <w:left w:w="0" w:type="dxa"/>
              <w:bottom w:w="107" w:type="dxa"/>
              <w:right w:w="107" w:type="dxa"/>
            </w:tcMar>
            <w:vAlign w:val="center"/>
          </w:tcPr>
          <w:p>
            <w:pPr>
              <w:rPr>
                <w:rFonts w:hint="eastAsia" w:ascii="仿宋_GB2312" w:hAnsi="仿宋_GB2312" w:eastAsia="仿宋_GB2312" w:cs="仿宋_GB2312"/>
                <w:color w:val="auto"/>
                <w:sz w:val="24"/>
                <w:szCs w:val="24"/>
              </w:rPr>
            </w:pPr>
            <w:r>
              <w:rPr>
                <w:rStyle w:val="51"/>
                <w:rFonts w:hint="eastAsia" w:ascii="仿宋_GB2312" w:hAnsi="仿宋_GB2312" w:eastAsia="仿宋_GB2312" w:cs="仿宋_GB2312"/>
                <w:b w:val="0"/>
                <w:color w:val="auto"/>
                <w:sz w:val="24"/>
                <w:szCs w:val="24"/>
              </w:rPr>
              <w:t>3. 红火蚁监测与根除</w:t>
            </w:r>
          </w:p>
        </w:tc>
        <w:tc>
          <w:tcPr>
            <w:tcW w:w="685"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w:t>
            </w:r>
          </w:p>
        </w:tc>
        <w:tc>
          <w:tcPr>
            <w:tcW w:w="4111"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Style w:val="51"/>
                <w:rFonts w:hint="eastAsia" w:ascii="仿宋_GB2312" w:hAnsi="仿宋_GB2312" w:eastAsia="仿宋_GB2312" w:cs="仿宋_GB2312"/>
                <w:b w:val="0"/>
                <w:color w:val="auto"/>
                <w:sz w:val="24"/>
                <w:szCs w:val="24"/>
              </w:rPr>
              <w:t>a. 发现后7天</w:t>
            </w:r>
            <w:r>
              <w:rPr>
                <w:rStyle w:val="51"/>
                <w:rFonts w:hint="eastAsia" w:ascii="仿宋_GB2312" w:hAnsi="仿宋_GB2312" w:eastAsia="仿宋_GB2312" w:cs="仿宋_GB2312"/>
                <w:b w:val="0"/>
                <w:color w:val="auto"/>
                <w:sz w:val="24"/>
                <w:szCs w:val="24"/>
                <w:lang w:val="en-US" w:eastAsia="zh-CN"/>
              </w:rPr>
              <w:t>内</w:t>
            </w:r>
            <w:r>
              <w:rPr>
                <w:rStyle w:val="51"/>
                <w:rFonts w:hint="eastAsia" w:ascii="仿宋_GB2312" w:hAnsi="仿宋_GB2312" w:eastAsia="仿宋_GB2312" w:cs="仿宋_GB2312"/>
                <w:b w:val="0"/>
                <w:color w:val="auto"/>
                <w:sz w:val="24"/>
                <w:szCs w:val="24"/>
              </w:rPr>
              <w:t>处理</w:t>
            </w:r>
            <w:r>
              <w:rPr>
                <w:rStyle w:val="51"/>
                <w:rFonts w:hint="eastAsia" w:ascii="仿宋_GB2312" w:hAnsi="仿宋_GB2312" w:eastAsia="仿宋_GB2312" w:cs="仿宋_GB2312"/>
                <w:b w:val="0"/>
                <w:color w:val="auto"/>
                <w:sz w:val="24"/>
                <w:szCs w:val="24"/>
                <w:lang w:val="en-US" w:eastAsia="zh-CN"/>
              </w:rPr>
              <w:t>完毕</w:t>
            </w:r>
            <w:r>
              <w:rPr>
                <w:rStyle w:val="51"/>
                <w:rFonts w:hint="eastAsia" w:ascii="仿宋_GB2312" w:hAnsi="仿宋_GB2312" w:eastAsia="仿宋_GB2312" w:cs="仿宋_GB2312"/>
                <w:b w:val="0"/>
                <w:color w:val="auto"/>
                <w:sz w:val="24"/>
                <w:szCs w:val="24"/>
              </w:rPr>
              <w:t>：</w:t>
            </w:r>
            <w:r>
              <w:rPr>
                <w:rFonts w:hint="eastAsia" w:ascii="仿宋_GB2312" w:hAnsi="仿宋_GB2312" w:eastAsia="仿宋_GB2312" w:cs="仿宋_GB2312"/>
                <w:color w:val="auto"/>
                <w:sz w:val="24"/>
                <w:szCs w:val="24"/>
              </w:rPr>
              <w:t> 得4分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未达标：</w:t>
            </w:r>
            <w:r>
              <w:rPr>
                <w:rFonts w:hint="eastAsia" w:ascii="仿宋_GB2312" w:hAnsi="仿宋_GB2312" w:eastAsia="仿宋_GB2312" w:cs="仿宋_GB2312"/>
                <w:color w:val="auto"/>
                <w:sz w:val="24"/>
                <w:szCs w:val="24"/>
              </w:rPr>
              <w:t> 扣4分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 xml:space="preserve">b. </w:t>
            </w:r>
            <w:r>
              <w:rPr>
                <w:rStyle w:val="51"/>
                <w:rFonts w:hint="eastAsia" w:ascii="仿宋_GB2312" w:hAnsi="仿宋_GB2312" w:eastAsia="仿宋_GB2312" w:cs="仿宋_GB2312"/>
                <w:b w:val="0"/>
                <w:color w:val="auto"/>
                <w:sz w:val="24"/>
                <w:szCs w:val="24"/>
                <w:lang w:val="en-US" w:eastAsia="zh-CN"/>
              </w:rPr>
              <w:t>单位面积红火蚁减少率</w:t>
            </w:r>
            <w:r>
              <w:rPr>
                <w:rStyle w:val="51"/>
                <w:rFonts w:hint="eastAsia" w:ascii="仿宋_GB2312" w:hAnsi="仿宋_GB2312" w:eastAsia="仿宋_GB2312" w:cs="仿宋_GB2312"/>
                <w:b w:val="0"/>
                <w:color w:val="auto"/>
                <w:sz w:val="24"/>
                <w:szCs w:val="24"/>
              </w:rPr>
              <w:t>≥95%：</w:t>
            </w:r>
            <w:r>
              <w:rPr>
                <w:rFonts w:hint="eastAsia" w:ascii="仿宋_GB2312" w:hAnsi="仿宋_GB2312" w:eastAsia="仿宋_GB2312" w:cs="仿宋_GB2312"/>
                <w:color w:val="auto"/>
                <w:sz w:val="24"/>
                <w:szCs w:val="24"/>
              </w:rPr>
              <w:t> 得3分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每降5%：</w:t>
            </w:r>
            <w:r>
              <w:rPr>
                <w:rFonts w:hint="eastAsia" w:ascii="仿宋_GB2312" w:hAnsi="仿宋_GB2312" w:eastAsia="仿宋_GB2312" w:cs="仿宋_GB2312"/>
                <w:color w:val="auto"/>
                <w:sz w:val="24"/>
                <w:szCs w:val="24"/>
              </w:rPr>
              <w:t> 扣1分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&lt;85%：</w:t>
            </w:r>
            <w:r>
              <w:rPr>
                <w:rFonts w:hint="eastAsia" w:ascii="仿宋_GB2312" w:hAnsi="仿宋_GB2312" w:eastAsia="仿宋_GB2312" w:cs="仿宋_GB2312"/>
                <w:color w:val="auto"/>
                <w:sz w:val="24"/>
                <w:szCs w:val="24"/>
              </w:rPr>
              <w:t> 扣3分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c. 新增大型蚁巢≤目标值：</w:t>
            </w:r>
            <w:r>
              <w:rPr>
                <w:rFonts w:hint="eastAsia" w:ascii="仿宋_GB2312" w:hAnsi="仿宋_GB2312" w:eastAsia="仿宋_GB2312" w:cs="仿宋_GB2312"/>
                <w:color w:val="auto"/>
                <w:sz w:val="24"/>
                <w:szCs w:val="24"/>
              </w:rPr>
              <w:t> 得3分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每超1个：</w:t>
            </w:r>
            <w:r>
              <w:rPr>
                <w:rFonts w:hint="eastAsia" w:ascii="仿宋_GB2312" w:hAnsi="仿宋_GB2312" w:eastAsia="仿宋_GB2312" w:cs="仿宋_GB2312"/>
                <w:color w:val="auto"/>
                <w:sz w:val="24"/>
                <w:szCs w:val="24"/>
              </w:rPr>
              <w:t> 扣1分</w:t>
            </w:r>
          </w:p>
        </w:tc>
        <w:tc>
          <w:tcPr>
            <w:tcW w:w="1892"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巡查记录、蚁巢分布图、处理记录、根除效果评估报告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07" w:type="dxa"/>
              <w:left w:w="0" w:type="dxa"/>
              <w:bottom w:w="107" w:type="dxa"/>
              <w:right w:w="107" w:type="dxa"/>
            </w:tcMar>
            <w:vAlign w:val="center"/>
          </w:tcPr>
          <w:p>
            <w:pPr>
              <w:rPr>
                <w:rFonts w:hint="eastAsia" w:ascii="仿宋_GB2312" w:hAnsi="仿宋_GB2312" w:eastAsia="仿宋_GB2312" w:cs="仿宋_GB2312"/>
                <w:color w:val="auto"/>
                <w:sz w:val="24"/>
                <w:szCs w:val="24"/>
              </w:rPr>
            </w:pPr>
            <w:r>
              <w:rPr>
                <w:rStyle w:val="51"/>
                <w:rFonts w:hint="eastAsia" w:ascii="仿宋_GB2312" w:hAnsi="仿宋_GB2312" w:eastAsia="仿宋_GB2312" w:cs="仿宋_GB2312"/>
                <w:b w:val="0"/>
                <w:color w:val="auto"/>
                <w:sz w:val="24"/>
                <w:szCs w:val="24"/>
              </w:rPr>
              <w:t>4. 白蚁监测与预防</w:t>
            </w:r>
          </w:p>
        </w:tc>
        <w:tc>
          <w:tcPr>
            <w:tcW w:w="685"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w:t>
            </w:r>
          </w:p>
        </w:tc>
        <w:tc>
          <w:tcPr>
            <w:tcW w:w="4111"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Style w:val="51"/>
                <w:rFonts w:hint="eastAsia" w:ascii="仿宋_GB2312" w:hAnsi="仿宋_GB2312" w:eastAsia="仿宋_GB2312" w:cs="仿宋_GB2312"/>
                <w:b w:val="0"/>
                <w:color w:val="auto"/>
                <w:sz w:val="24"/>
                <w:szCs w:val="24"/>
              </w:rPr>
              <w:t>a. 重点区域覆盖率≥95%：</w:t>
            </w:r>
            <w:r>
              <w:rPr>
                <w:rFonts w:hint="eastAsia" w:ascii="仿宋_GB2312" w:hAnsi="仿宋_GB2312" w:eastAsia="仿宋_GB2312" w:cs="仿宋_GB2312"/>
                <w:color w:val="auto"/>
                <w:sz w:val="24"/>
                <w:szCs w:val="24"/>
              </w:rPr>
              <w:t> 得3分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每降5%：</w:t>
            </w:r>
            <w:r>
              <w:rPr>
                <w:rFonts w:hint="eastAsia" w:ascii="仿宋_GB2312" w:hAnsi="仿宋_GB2312" w:eastAsia="仿宋_GB2312" w:cs="仿宋_GB2312"/>
                <w:color w:val="auto"/>
                <w:sz w:val="24"/>
                <w:szCs w:val="24"/>
              </w:rPr>
              <w:t> 扣1分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b. 检查及时=100%：</w:t>
            </w:r>
            <w:r>
              <w:rPr>
                <w:rFonts w:hint="eastAsia" w:ascii="仿宋_GB2312" w:hAnsi="仿宋_GB2312" w:eastAsia="仿宋_GB2312" w:cs="仿宋_GB2312"/>
                <w:color w:val="auto"/>
                <w:sz w:val="24"/>
                <w:szCs w:val="24"/>
              </w:rPr>
              <w:t> 得2分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未达标：</w:t>
            </w:r>
            <w:r>
              <w:rPr>
                <w:rFonts w:hint="eastAsia" w:ascii="仿宋_GB2312" w:hAnsi="仿宋_GB2312" w:eastAsia="仿宋_GB2312" w:cs="仿宋_GB2312"/>
                <w:color w:val="auto"/>
                <w:sz w:val="24"/>
                <w:szCs w:val="24"/>
              </w:rPr>
              <w:t> 扣2分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c. 活蚁处理率=100%：</w:t>
            </w:r>
            <w:r>
              <w:rPr>
                <w:rFonts w:hint="eastAsia" w:ascii="仿宋_GB2312" w:hAnsi="仿宋_GB2312" w:eastAsia="仿宋_GB2312" w:cs="仿宋_GB2312"/>
                <w:color w:val="auto"/>
                <w:sz w:val="24"/>
                <w:szCs w:val="24"/>
              </w:rPr>
              <w:t> 得3分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未达标：</w:t>
            </w:r>
            <w:r>
              <w:rPr>
                <w:rFonts w:hint="eastAsia" w:ascii="仿宋_GB2312" w:hAnsi="仿宋_GB2312" w:eastAsia="仿宋_GB2312" w:cs="仿宋_GB2312"/>
                <w:color w:val="auto"/>
                <w:sz w:val="24"/>
                <w:szCs w:val="24"/>
              </w:rPr>
              <w:t> 扣3分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d. 结构损坏事件=0：</w:t>
            </w:r>
            <w:r>
              <w:rPr>
                <w:rFonts w:hint="eastAsia" w:ascii="仿宋_GB2312" w:hAnsi="仿宋_GB2312" w:eastAsia="仿宋_GB2312" w:cs="仿宋_GB2312"/>
                <w:color w:val="auto"/>
                <w:sz w:val="24"/>
                <w:szCs w:val="24"/>
              </w:rPr>
              <w:t> 得2分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发生1起：</w:t>
            </w:r>
            <w:r>
              <w:rPr>
                <w:rFonts w:hint="eastAsia" w:ascii="仿宋_GB2312" w:hAnsi="仿宋_GB2312" w:eastAsia="仿宋_GB2312" w:cs="仿宋_GB2312"/>
                <w:color w:val="auto"/>
                <w:sz w:val="24"/>
                <w:szCs w:val="24"/>
              </w:rPr>
              <w:t> 扣2分</w:t>
            </w:r>
          </w:p>
        </w:tc>
        <w:tc>
          <w:tcPr>
            <w:tcW w:w="1892"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监测装置安装清单、检查记录、处理记录、物业/学校反馈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07" w:type="dxa"/>
              <w:left w:w="0" w:type="dxa"/>
              <w:bottom w:w="107" w:type="dxa"/>
              <w:right w:w="107" w:type="dxa"/>
            </w:tcMar>
            <w:vAlign w:val="center"/>
          </w:tcPr>
          <w:p>
            <w:pPr>
              <w:rPr>
                <w:rFonts w:hint="eastAsia" w:ascii="仿宋_GB2312" w:hAnsi="仿宋_GB2312" w:eastAsia="仿宋_GB2312" w:cs="仿宋_GB2312"/>
                <w:color w:val="auto"/>
                <w:sz w:val="24"/>
                <w:szCs w:val="24"/>
              </w:rPr>
            </w:pPr>
            <w:r>
              <w:rPr>
                <w:rStyle w:val="51"/>
                <w:rFonts w:hint="eastAsia" w:ascii="仿宋_GB2312" w:hAnsi="仿宋_GB2312" w:eastAsia="仿宋_GB2312" w:cs="仿宋_GB2312"/>
                <w:b w:val="0"/>
                <w:color w:val="auto"/>
                <w:sz w:val="24"/>
                <w:szCs w:val="24"/>
              </w:rPr>
              <w:t>5. 特殊有害生物应急响应</w:t>
            </w:r>
          </w:p>
        </w:tc>
        <w:tc>
          <w:tcPr>
            <w:tcW w:w="685"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w:t>
            </w:r>
          </w:p>
        </w:tc>
        <w:tc>
          <w:tcPr>
            <w:tcW w:w="4111"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Style w:val="51"/>
                <w:rFonts w:hint="eastAsia" w:ascii="仿宋_GB2312" w:hAnsi="仿宋_GB2312" w:eastAsia="仿宋_GB2312" w:cs="仿宋_GB2312"/>
                <w:b w:val="0"/>
                <w:color w:val="auto"/>
                <w:sz w:val="24"/>
                <w:szCs w:val="24"/>
              </w:rPr>
              <w:t>a. 响应及时率≥98%：</w:t>
            </w:r>
            <w:r>
              <w:rPr>
                <w:rFonts w:hint="eastAsia" w:ascii="仿宋_GB2312" w:hAnsi="仿宋_GB2312" w:eastAsia="仿宋_GB2312" w:cs="仿宋_GB2312"/>
                <w:color w:val="auto"/>
                <w:sz w:val="24"/>
                <w:szCs w:val="24"/>
              </w:rPr>
              <w:t> 得3分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每降1%：</w:t>
            </w:r>
            <w:r>
              <w:rPr>
                <w:rFonts w:hint="eastAsia" w:ascii="仿宋_GB2312" w:hAnsi="仿宋_GB2312" w:eastAsia="仿宋_GB2312" w:cs="仿宋_GB2312"/>
                <w:color w:val="auto"/>
                <w:sz w:val="24"/>
                <w:szCs w:val="24"/>
              </w:rPr>
              <w:t> 扣0.5分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b. 处置成功率=100%：</w:t>
            </w:r>
            <w:r>
              <w:rPr>
                <w:rFonts w:hint="eastAsia" w:ascii="仿宋_GB2312" w:hAnsi="仿宋_GB2312" w:eastAsia="仿宋_GB2312" w:cs="仿宋_GB2312"/>
                <w:color w:val="auto"/>
                <w:sz w:val="24"/>
                <w:szCs w:val="24"/>
              </w:rPr>
              <w:t> 得3分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失败1次：</w:t>
            </w:r>
            <w:r>
              <w:rPr>
                <w:rFonts w:hint="eastAsia" w:ascii="仿宋_GB2312" w:hAnsi="仿宋_GB2312" w:eastAsia="仿宋_GB2312" w:cs="仿宋_GB2312"/>
                <w:color w:val="auto"/>
                <w:sz w:val="24"/>
                <w:szCs w:val="24"/>
              </w:rPr>
              <w:t> 扣3分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c. 伤害事件=0：</w:t>
            </w:r>
            <w:r>
              <w:rPr>
                <w:rFonts w:hint="eastAsia" w:ascii="仿宋_GB2312" w:hAnsi="仿宋_GB2312" w:eastAsia="仿宋_GB2312" w:cs="仿宋_GB2312"/>
                <w:color w:val="auto"/>
                <w:sz w:val="24"/>
                <w:szCs w:val="24"/>
              </w:rPr>
              <w:t> 得2分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发生1起：</w:t>
            </w:r>
            <w:r>
              <w:rPr>
                <w:rFonts w:hint="eastAsia" w:ascii="仿宋_GB2312" w:hAnsi="仿宋_GB2312" w:eastAsia="仿宋_GB2312" w:cs="仿宋_GB2312"/>
                <w:color w:val="auto"/>
                <w:sz w:val="24"/>
                <w:szCs w:val="24"/>
              </w:rPr>
              <w:t> 扣2分</w:t>
            </w:r>
          </w:p>
        </w:tc>
        <w:tc>
          <w:tcPr>
            <w:tcW w:w="1892"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报修记录、响应到达时间记录、处置记录、事故报告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07" w:type="dxa"/>
              <w:left w:w="0" w:type="dxa"/>
              <w:bottom w:w="107" w:type="dxa"/>
              <w:right w:w="107" w:type="dxa"/>
            </w:tcMar>
            <w:vAlign w:val="center"/>
          </w:tcPr>
          <w:p>
            <w:pPr>
              <w:rPr>
                <w:rFonts w:hint="eastAsia" w:ascii="仿宋_GB2312" w:hAnsi="仿宋_GB2312" w:eastAsia="仿宋_GB2312" w:cs="仿宋_GB2312"/>
                <w:color w:val="auto"/>
                <w:sz w:val="24"/>
                <w:szCs w:val="24"/>
              </w:rPr>
            </w:pPr>
            <w:r>
              <w:rPr>
                <w:rStyle w:val="51"/>
                <w:rFonts w:hint="eastAsia" w:ascii="仿宋_GB2312" w:hAnsi="仿宋_GB2312" w:eastAsia="仿宋_GB2312" w:cs="仿宋_GB2312"/>
                <w:b w:val="0"/>
                <w:color w:val="auto"/>
                <w:sz w:val="24"/>
                <w:szCs w:val="24"/>
              </w:rPr>
              <w:t>6. 环境治理建议与协同</w:t>
            </w:r>
          </w:p>
        </w:tc>
        <w:tc>
          <w:tcPr>
            <w:tcW w:w="685"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12</w:t>
            </w:r>
          </w:p>
        </w:tc>
        <w:tc>
          <w:tcPr>
            <w:tcW w:w="4111"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Style w:val="51"/>
                <w:rFonts w:hint="eastAsia" w:ascii="仿宋_GB2312" w:hAnsi="仿宋_GB2312" w:eastAsia="仿宋_GB2312" w:cs="仿宋_GB2312"/>
                <w:b w:val="0"/>
                <w:color w:val="auto"/>
                <w:sz w:val="24"/>
                <w:szCs w:val="24"/>
              </w:rPr>
              <w:t>a. 报告提交及时率=100%：</w:t>
            </w:r>
            <w:r>
              <w:rPr>
                <w:rFonts w:hint="eastAsia" w:ascii="仿宋_GB2312" w:hAnsi="仿宋_GB2312" w:eastAsia="仿宋_GB2312" w:cs="仿宋_GB2312"/>
                <w:color w:val="auto"/>
                <w:sz w:val="24"/>
                <w:szCs w:val="24"/>
              </w:rPr>
              <w:t> 得4分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延迟1次：</w:t>
            </w:r>
            <w:r>
              <w:rPr>
                <w:rFonts w:hint="eastAsia" w:ascii="仿宋_GB2312" w:hAnsi="仿宋_GB2312" w:eastAsia="仿宋_GB2312" w:cs="仿宋_GB2312"/>
                <w:color w:val="auto"/>
                <w:sz w:val="24"/>
                <w:szCs w:val="24"/>
              </w:rPr>
              <w:t> 扣2分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b. 关键问题整改</w:t>
            </w:r>
            <w:r>
              <w:rPr>
                <w:rStyle w:val="51"/>
                <w:rFonts w:hint="eastAsia" w:ascii="仿宋_GB2312" w:hAnsi="仿宋_GB2312" w:eastAsia="仿宋_GB2312" w:cs="仿宋_GB2312"/>
                <w:b w:val="0"/>
                <w:color w:val="auto"/>
                <w:sz w:val="24"/>
                <w:szCs w:val="24"/>
                <w:lang w:val="en-US" w:eastAsia="zh-CN"/>
              </w:rPr>
              <w:t>完成</w:t>
            </w:r>
            <w:r>
              <w:rPr>
                <w:rStyle w:val="51"/>
                <w:rFonts w:hint="eastAsia" w:ascii="仿宋_GB2312" w:hAnsi="仿宋_GB2312" w:eastAsia="仿宋_GB2312" w:cs="仿宋_GB2312"/>
                <w:b w:val="0"/>
                <w:color w:val="auto"/>
                <w:sz w:val="24"/>
                <w:szCs w:val="24"/>
              </w:rPr>
              <w:t>≥</w:t>
            </w:r>
            <w:r>
              <w:rPr>
                <w:rStyle w:val="51"/>
                <w:rFonts w:hint="eastAsia" w:ascii="仿宋_GB2312" w:hAnsi="仿宋_GB2312" w:eastAsia="仿宋_GB2312" w:cs="仿宋_GB2312"/>
                <w:b w:val="0"/>
                <w:color w:val="auto"/>
                <w:sz w:val="24"/>
                <w:szCs w:val="24"/>
                <w:lang w:val="en-US" w:eastAsia="zh-CN"/>
              </w:rPr>
              <w:t>100</w:t>
            </w:r>
            <w:r>
              <w:rPr>
                <w:rStyle w:val="51"/>
                <w:rFonts w:hint="eastAsia" w:ascii="仿宋_GB2312" w:hAnsi="仿宋_GB2312" w:eastAsia="仿宋_GB2312" w:cs="仿宋_GB2312"/>
                <w:b w:val="0"/>
                <w:color w:val="auto"/>
                <w:sz w:val="24"/>
                <w:szCs w:val="24"/>
              </w:rPr>
              <w:t>%：</w:t>
            </w:r>
            <w:r>
              <w:rPr>
                <w:rFonts w:hint="eastAsia" w:ascii="仿宋_GB2312" w:hAnsi="仿宋_GB2312" w:eastAsia="仿宋_GB2312" w:cs="仿宋_GB2312"/>
                <w:color w:val="auto"/>
                <w:sz w:val="24"/>
                <w:szCs w:val="24"/>
              </w:rPr>
              <w:t> 得5分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每降10%：</w:t>
            </w:r>
            <w:r>
              <w:rPr>
                <w:rFonts w:hint="eastAsia" w:ascii="仿宋_GB2312" w:hAnsi="仿宋_GB2312" w:eastAsia="仿宋_GB2312" w:cs="仿宋_GB2312"/>
                <w:color w:val="auto"/>
                <w:sz w:val="24"/>
                <w:szCs w:val="24"/>
              </w:rPr>
              <w:t> 扣1分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&lt;60%：</w:t>
            </w:r>
            <w:r>
              <w:rPr>
                <w:rFonts w:hint="eastAsia" w:ascii="仿宋_GB2312" w:hAnsi="仿宋_GB2312" w:eastAsia="仿宋_GB2312" w:cs="仿宋_GB2312"/>
                <w:color w:val="auto"/>
                <w:sz w:val="24"/>
                <w:szCs w:val="24"/>
              </w:rPr>
              <w:t> 扣5分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c. 虫害密度年降幅≥目标值：</w:t>
            </w:r>
            <w:r>
              <w:rPr>
                <w:rFonts w:hint="eastAsia" w:ascii="仿宋_GB2312" w:hAnsi="仿宋_GB2312" w:eastAsia="仿宋_GB2312" w:cs="仿宋_GB2312"/>
                <w:color w:val="auto"/>
                <w:sz w:val="24"/>
                <w:szCs w:val="24"/>
              </w:rPr>
              <w:t> 得3分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未达标：</w:t>
            </w:r>
            <w:r>
              <w:rPr>
                <w:rFonts w:hint="eastAsia" w:ascii="仿宋_GB2312" w:hAnsi="仿宋_GB2312" w:eastAsia="仿宋_GB2312" w:cs="仿宋_GB2312"/>
                <w:color w:val="auto"/>
                <w:sz w:val="24"/>
                <w:szCs w:val="24"/>
              </w:rPr>
              <w:t> 扣1-3分</w:t>
            </w:r>
          </w:p>
        </w:tc>
        <w:tc>
          <w:tcPr>
            <w:tcW w:w="1892"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环境治理建议报告、物业整改反馈记录、年度虫害密度趋势对比分析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07" w:type="dxa"/>
              <w:left w:w="0" w:type="dxa"/>
              <w:bottom w:w="107" w:type="dxa"/>
              <w:right w:w="107" w:type="dxa"/>
            </w:tcMar>
            <w:vAlign w:val="center"/>
          </w:tcPr>
          <w:p>
            <w:pPr>
              <w:rPr>
                <w:rFonts w:hint="eastAsia" w:ascii="仿宋_GB2312" w:hAnsi="仿宋_GB2312" w:eastAsia="仿宋_GB2312" w:cs="仿宋_GB2312"/>
                <w:color w:val="auto"/>
                <w:sz w:val="24"/>
                <w:szCs w:val="24"/>
              </w:rPr>
            </w:pPr>
            <w:r>
              <w:rPr>
                <w:rStyle w:val="51"/>
                <w:rFonts w:hint="eastAsia" w:ascii="仿宋_GB2312" w:hAnsi="仿宋_GB2312" w:eastAsia="仿宋_GB2312" w:cs="仿宋_GB2312"/>
                <w:b w:val="0"/>
                <w:color w:val="auto"/>
                <w:sz w:val="24"/>
                <w:szCs w:val="24"/>
              </w:rPr>
              <w:t>7. 化学防治安全与规范</w:t>
            </w:r>
          </w:p>
        </w:tc>
        <w:tc>
          <w:tcPr>
            <w:tcW w:w="685"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w:t>
            </w:r>
          </w:p>
        </w:tc>
        <w:tc>
          <w:tcPr>
            <w:tcW w:w="4111"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Style w:val="51"/>
                <w:rFonts w:hint="eastAsia" w:ascii="仿宋_GB2312" w:hAnsi="仿宋_GB2312" w:eastAsia="仿宋_GB2312" w:cs="仿宋_GB2312"/>
                <w:b w:val="0"/>
                <w:color w:val="auto"/>
                <w:sz w:val="24"/>
                <w:szCs w:val="24"/>
              </w:rPr>
              <w:t>a. 用药记录完整率=100%：</w:t>
            </w:r>
            <w:r>
              <w:rPr>
                <w:rFonts w:hint="eastAsia" w:ascii="仿宋_GB2312" w:hAnsi="仿宋_GB2312" w:eastAsia="仿宋_GB2312" w:cs="仿宋_GB2312"/>
                <w:color w:val="auto"/>
                <w:sz w:val="24"/>
                <w:szCs w:val="24"/>
              </w:rPr>
              <w:t> 得3分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缺失1项：</w:t>
            </w:r>
            <w:r>
              <w:rPr>
                <w:rFonts w:hint="eastAsia" w:ascii="仿宋_GB2312" w:hAnsi="仿宋_GB2312" w:eastAsia="仿宋_GB2312" w:cs="仿宋_GB2312"/>
                <w:color w:val="auto"/>
                <w:sz w:val="24"/>
                <w:szCs w:val="24"/>
              </w:rPr>
              <w:t> 扣1分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b. 施药规范合格率≥98%：</w:t>
            </w:r>
            <w:r>
              <w:rPr>
                <w:rFonts w:hint="eastAsia" w:ascii="仿宋_GB2312" w:hAnsi="仿宋_GB2312" w:eastAsia="仿宋_GB2312" w:cs="仿宋_GB2312"/>
                <w:color w:val="auto"/>
                <w:sz w:val="24"/>
                <w:szCs w:val="24"/>
              </w:rPr>
              <w:t> 得</w:t>
            </w:r>
            <w:r>
              <w:rPr>
                <w:rFonts w:hint="eastAsia" w:ascii="仿宋_GB2312" w:hAnsi="仿宋_GB2312" w:eastAsia="仿宋_GB2312" w:cs="仿宋_GB2312"/>
                <w:color w:val="auto"/>
                <w:sz w:val="24"/>
                <w:szCs w:val="24"/>
                <w:lang w:val="en-US" w:eastAsia="zh-CN"/>
              </w:rPr>
              <w:t>4</w:t>
            </w:r>
            <w:r>
              <w:rPr>
                <w:rFonts w:hint="eastAsia" w:ascii="仿宋_GB2312" w:hAnsi="仿宋_GB2312" w:eastAsia="仿宋_GB2312" w:cs="仿宋_GB2312"/>
                <w:color w:val="auto"/>
                <w:sz w:val="24"/>
                <w:szCs w:val="24"/>
              </w:rPr>
              <w:t>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每降2%：</w:t>
            </w:r>
            <w:r>
              <w:rPr>
                <w:rFonts w:hint="eastAsia" w:ascii="仿宋_GB2312" w:hAnsi="仿宋_GB2312" w:eastAsia="仿宋_GB2312" w:cs="仿宋_GB2312"/>
                <w:color w:val="auto"/>
                <w:sz w:val="24"/>
                <w:szCs w:val="24"/>
              </w:rPr>
              <w:t> 扣1分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c. 健康/污染事件=0：</w:t>
            </w:r>
            <w:r>
              <w:rPr>
                <w:rFonts w:hint="eastAsia" w:ascii="仿宋_GB2312" w:hAnsi="仿宋_GB2312" w:eastAsia="仿宋_GB2312" w:cs="仿宋_GB2312"/>
                <w:color w:val="auto"/>
                <w:sz w:val="24"/>
                <w:szCs w:val="24"/>
              </w:rPr>
              <w:t> 得3分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发生1起：</w:t>
            </w:r>
            <w:r>
              <w:rPr>
                <w:rFonts w:hint="eastAsia" w:ascii="仿宋_GB2312" w:hAnsi="仿宋_GB2312" w:eastAsia="仿宋_GB2312" w:cs="仿宋_GB2312"/>
                <w:color w:val="auto"/>
                <w:sz w:val="24"/>
                <w:szCs w:val="24"/>
              </w:rPr>
              <w:t> 扣3分（重大全扣）</w:t>
            </w:r>
            <w:r>
              <w:rPr>
                <w:rFonts w:hint="eastAsia" w:ascii="仿宋_GB2312" w:hAnsi="仿宋_GB2312" w:eastAsia="仿宋_GB2312" w:cs="仿宋_GB2312"/>
                <w:color w:val="auto"/>
                <w:sz w:val="24"/>
                <w:szCs w:val="24"/>
              </w:rPr>
              <w:br w:type="textWrapping"/>
            </w:r>
          </w:p>
        </w:tc>
        <w:tc>
          <w:tcPr>
            <w:tcW w:w="1892"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药品使用记录（含标签）、现场操作抽查、投诉记录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07" w:type="dxa"/>
              <w:left w:w="0" w:type="dxa"/>
              <w:bottom w:w="107" w:type="dxa"/>
              <w:right w:w="107" w:type="dxa"/>
            </w:tcMar>
            <w:vAlign w:val="center"/>
          </w:tcPr>
          <w:p>
            <w:pPr>
              <w:rPr>
                <w:rFonts w:hint="eastAsia" w:ascii="仿宋_GB2312" w:hAnsi="仿宋_GB2312" w:eastAsia="仿宋_GB2312" w:cs="仿宋_GB2312"/>
                <w:color w:val="auto"/>
                <w:sz w:val="24"/>
                <w:szCs w:val="24"/>
              </w:rPr>
            </w:pPr>
            <w:r>
              <w:rPr>
                <w:rStyle w:val="51"/>
                <w:rFonts w:hint="eastAsia" w:ascii="仿宋_GB2312" w:hAnsi="仿宋_GB2312" w:eastAsia="仿宋_GB2312" w:cs="仿宋_GB2312"/>
                <w:b w:val="0"/>
                <w:color w:val="auto"/>
                <w:sz w:val="24"/>
                <w:szCs w:val="24"/>
              </w:rPr>
              <w:t>8. 防制设施维护有效性</w:t>
            </w:r>
          </w:p>
        </w:tc>
        <w:tc>
          <w:tcPr>
            <w:tcW w:w="685"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5</w:t>
            </w:r>
          </w:p>
        </w:tc>
        <w:tc>
          <w:tcPr>
            <w:tcW w:w="4111"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Style w:val="51"/>
                <w:rFonts w:hint="eastAsia" w:ascii="仿宋_GB2312" w:hAnsi="仿宋_GB2312" w:eastAsia="仿宋_GB2312" w:cs="仿宋_GB2312"/>
                <w:b w:val="0"/>
                <w:color w:val="auto"/>
                <w:sz w:val="24"/>
                <w:szCs w:val="24"/>
              </w:rPr>
              <w:t>a. 设施完好率≥95%：</w:t>
            </w:r>
            <w:r>
              <w:rPr>
                <w:rFonts w:hint="eastAsia" w:ascii="仿宋_GB2312" w:hAnsi="仿宋_GB2312" w:eastAsia="仿宋_GB2312" w:cs="仿宋_GB2312"/>
                <w:color w:val="auto"/>
                <w:sz w:val="24"/>
                <w:szCs w:val="24"/>
              </w:rPr>
              <w:t> 得</w:t>
            </w: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rPr>
              <w:t>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每降5%：</w:t>
            </w:r>
            <w:r>
              <w:rPr>
                <w:rFonts w:hint="eastAsia" w:ascii="仿宋_GB2312" w:hAnsi="仿宋_GB2312" w:eastAsia="仿宋_GB2312" w:cs="仿宋_GB2312"/>
                <w:color w:val="auto"/>
                <w:sz w:val="24"/>
                <w:szCs w:val="24"/>
              </w:rPr>
              <w:t> 扣1分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b. 饵料/粘板更换率=100%：</w:t>
            </w:r>
            <w:r>
              <w:rPr>
                <w:rFonts w:hint="eastAsia" w:ascii="仿宋_GB2312" w:hAnsi="仿宋_GB2312" w:eastAsia="仿宋_GB2312" w:cs="仿宋_GB2312"/>
                <w:color w:val="auto"/>
                <w:sz w:val="24"/>
                <w:szCs w:val="24"/>
              </w:rPr>
              <w:t> 得2分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未达标：</w:t>
            </w:r>
            <w:r>
              <w:rPr>
                <w:rFonts w:hint="eastAsia" w:ascii="仿宋_GB2312" w:hAnsi="仿宋_GB2312" w:eastAsia="仿宋_GB2312" w:cs="仿宋_GB2312"/>
                <w:color w:val="auto"/>
                <w:sz w:val="24"/>
                <w:szCs w:val="24"/>
              </w:rPr>
              <w:t> 扣2分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c. 灭蚊灯维护达标率≥95%：</w:t>
            </w:r>
            <w:r>
              <w:rPr>
                <w:rFonts w:hint="eastAsia" w:ascii="仿宋_GB2312" w:hAnsi="仿宋_GB2312" w:eastAsia="仿宋_GB2312" w:cs="仿宋_GB2312"/>
                <w:color w:val="auto"/>
                <w:sz w:val="24"/>
                <w:szCs w:val="24"/>
              </w:rPr>
              <w:t> 得</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每降5%：</w:t>
            </w:r>
            <w:r>
              <w:rPr>
                <w:rFonts w:hint="eastAsia" w:ascii="仿宋_GB2312" w:hAnsi="仿宋_GB2312" w:eastAsia="仿宋_GB2312" w:cs="仿宋_GB2312"/>
                <w:color w:val="auto"/>
                <w:sz w:val="24"/>
                <w:szCs w:val="24"/>
              </w:rPr>
              <w:t> 扣1分</w:t>
            </w:r>
          </w:p>
        </w:tc>
        <w:tc>
          <w:tcPr>
            <w:tcW w:w="1892"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设施巡检维护记录、现场照片、耗材更换记录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07" w:type="dxa"/>
              <w:left w:w="0" w:type="dxa"/>
              <w:bottom w:w="107" w:type="dxa"/>
              <w:right w:w="107" w:type="dxa"/>
            </w:tcMar>
            <w:vAlign w:val="center"/>
          </w:tcPr>
          <w:p>
            <w:pPr>
              <w:rPr>
                <w:rFonts w:hint="eastAsia" w:ascii="仿宋_GB2312" w:hAnsi="仿宋_GB2312" w:eastAsia="仿宋_GB2312" w:cs="仿宋_GB2312"/>
                <w:color w:val="auto"/>
                <w:sz w:val="24"/>
                <w:szCs w:val="24"/>
              </w:rPr>
            </w:pPr>
            <w:r>
              <w:rPr>
                <w:rStyle w:val="51"/>
                <w:rFonts w:hint="eastAsia" w:ascii="仿宋_GB2312" w:hAnsi="仿宋_GB2312" w:eastAsia="仿宋_GB2312" w:cs="仿宋_GB2312"/>
                <w:b w:val="0"/>
                <w:color w:val="auto"/>
                <w:sz w:val="24"/>
                <w:szCs w:val="24"/>
              </w:rPr>
              <w:t>9. 服务记录与报告质量</w:t>
            </w:r>
          </w:p>
        </w:tc>
        <w:tc>
          <w:tcPr>
            <w:tcW w:w="685"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5</w:t>
            </w:r>
          </w:p>
        </w:tc>
        <w:tc>
          <w:tcPr>
            <w:tcW w:w="4111"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Style w:val="51"/>
                <w:rFonts w:hint="eastAsia" w:ascii="仿宋_GB2312" w:hAnsi="仿宋_GB2312" w:eastAsia="仿宋_GB2312" w:cs="仿宋_GB2312"/>
                <w:b w:val="0"/>
                <w:color w:val="auto"/>
                <w:sz w:val="24"/>
                <w:szCs w:val="24"/>
              </w:rPr>
              <w:t>a. 记录完整性=100%：</w:t>
            </w:r>
            <w:r>
              <w:rPr>
                <w:rFonts w:hint="eastAsia" w:ascii="仿宋_GB2312" w:hAnsi="仿宋_GB2312" w:eastAsia="仿宋_GB2312" w:cs="仿宋_GB2312"/>
                <w:color w:val="auto"/>
                <w:sz w:val="24"/>
                <w:szCs w:val="24"/>
              </w:rPr>
              <w:t> 得</w:t>
            </w: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rPr>
              <w:t>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关键要素缺失1项：</w:t>
            </w:r>
            <w:r>
              <w:rPr>
                <w:rFonts w:hint="eastAsia" w:ascii="仿宋_GB2312" w:hAnsi="仿宋_GB2312" w:eastAsia="仿宋_GB2312" w:cs="仿宋_GB2312"/>
                <w:color w:val="auto"/>
                <w:sz w:val="24"/>
                <w:szCs w:val="24"/>
              </w:rPr>
              <w:t> 扣1分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b. 报告提交及时率≥98%：</w:t>
            </w:r>
            <w:r>
              <w:rPr>
                <w:rFonts w:hint="eastAsia" w:ascii="仿宋_GB2312" w:hAnsi="仿宋_GB2312" w:eastAsia="仿宋_GB2312" w:cs="仿宋_GB2312"/>
                <w:color w:val="auto"/>
                <w:sz w:val="24"/>
                <w:szCs w:val="24"/>
              </w:rPr>
              <w:t> 得</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延迟1份：</w:t>
            </w:r>
            <w:r>
              <w:rPr>
                <w:rFonts w:hint="eastAsia" w:ascii="仿宋_GB2312" w:hAnsi="仿宋_GB2312" w:eastAsia="仿宋_GB2312" w:cs="仿宋_GB2312"/>
                <w:color w:val="auto"/>
                <w:sz w:val="24"/>
                <w:szCs w:val="24"/>
              </w:rPr>
              <w:t> 扣1分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c. 数据准确性≥98%：</w:t>
            </w:r>
            <w:r>
              <w:rPr>
                <w:rFonts w:hint="eastAsia" w:ascii="仿宋_GB2312" w:hAnsi="仿宋_GB2312" w:eastAsia="仿宋_GB2312" w:cs="仿宋_GB2312"/>
                <w:color w:val="auto"/>
                <w:sz w:val="24"/>
                <w:szCs w:val="24"/>
              </w:rPr>
              <w:t> 得</w:t>
            </w: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rPr>
              <w:t>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误差&gt;2%：</w:t>
            </w:r>
            <w:r>
              <w:rPr>
                <w:rFonts w:hint="eastAsia" w:ascii="仿宋_GB2312" w:hAnsi="仿宋_GB2312" w:eastAsia="仿宋_GB2312" w:cs="仿宋_GB2312"/>
                <w:color w:val="auto"/>
                <w:sz w:val="24"/>
                <w:szCs w:val="24"/>
              </w:rPr>
              <w:t> 扣1-2分</w:t>
            </w:r>
          </w:p>
        </w:tc>
        <w:tc>
          <w:tcPr>
            <w:tcW w:w="1892"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原始服务记录本、月度/季度服务报告、报告数据与原始记录抽查比对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07" w:type="dxa"/>
              <w:left w:w="0" w:type="dxa"/>
              <w:bottom w:w="107" w:type="dxa"/>
              <w:right w:w="107" w:type="dxa"/>
            </w:tcMar>
            <w:vAlign w:val="center"/>
          </w:tcPr>
          <w:p>
            <w:pPr>
              <w:rPr>
                <w:rFonts w:hint="eastAsia" w:ascii="仿宋_GB2312" w:hAnsi="仿宋_GB2312" w:eastAsia="仿宋_GB2312" w:cs="仿宋_GB2312"/>
                <w:color w:val="auto"/>
                <w:sz w:val="24"/>
                <w:szCs w:val="24"/>
              </w:rPr>
            </w:pPr>
            <w:r>
              <w:rPr>
                <w:rStyle w:val="51"/>
                <w:rFonts w:hint="eastAsia" w:ascii="仿宋_GB2312" w:hAnsi="仿宋_GB2312" w:eastAsia="仿宋_GB2312" w:cs="仿宋_GB2312"/>
                <w:b w:val="0"/>
                <w:color w:val="auto"/>
                <w:sz w:val="24"/>
                <w:szCs w:val="24"/>
              </w:rPr>
              <w:t>10. 投诉处理与满意度</w:t>
            </w:r>
          </w:p>
        </w:tc>
        <w:tc>
          <w:tcPr>
            <w:tcW w:w="685"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5</w:t>
            </w:r>
          </w:p>
        </w:tc>
        <w:tc>
          <w:tcPr>
            <w:tcW w:w="4111"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Style w:val="51"/>
                <w:rFonts w:hint="eastAsia" w:ascii="仿宋_GB2312" w:hAnsi="仿宋_GB2312" w:eastAsia="仿宋_GB2312" w:cs="仿宋_GB2312"/>
                <w:b w:val="0"/>
                <w:color w:val="auto"/>
                <w:sz w:val="24"/>
                <w:szCs w:val="24"/>
              </w:rPr>
              <w:t>a. 投诉响应及时率=100%：</w:t>
            </w:r>
            <w:r>
              <w:rPr>
                <w:rFonts w:hint="eastAsia" w:ascii="仿宋_GB2312" w:hAnsi="仿宋_GB2312" w:eastAsia="仿宋_GB2312" w:cs="仿宋_GB2312"/>
                <w:color w:val="auto"/>
                <w:sz w:val="24"/>
                <w:szCs w:val="24"/>
              </w:rPr>
              <w:t> 得</w:t>
            </w: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rPr>
              <w:t>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超时1次：</w:t>
            </w:r>
            <w:r>
              <w:rPr>
                <w:rFonts w:hint="eastAsia" w:ascii="仿宋_GB2312" w:hAnsi="仿宋_GB2312" w:eastAsia="仿宋_GB2312" w:cs="仿宋_GB2312"/>
                <w:color w:val="auto"/>
                <w:sz w:val="24"/>
                <w:szCs w:val="24"/>
              </w:rPr>
              <w:t> 扣1分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b. 一次性解决率≥90%：</w:t>
            </w:r>
            <w:r>
              <w:rPr>
                <w:rFonts w:hint="eastAsia" w:ascii="仿宋_GB2312" w:hAnsi="仿宋_GB2312" w:eastAsia="仿宋_GB2312" w:cs="仿宋_GB2312"/>
                <w:color w:val="auto"/>
                <w:sz w:val="24"/>
                <w:szCs w:val="24"/>
              </w:rPr>
              <w:t> 得</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每降5%：</w:t>
            </w:r>
            <w:r>
              <w:rPr>
                <w:rFonts w:hint="eastAsia" w:ascii="仿宋_GB2312" w:hAnsi="仿宋_GB2312" w:eastAsia="仿宋_GB2312" w:cs="仿宋_GB2312"/>
                <w:color w:val="auto"/>
                <w:sz w:val="24"/>
                <w:szCs w:val="24"/>
              </w:rPr>
              <w:t> 扣1分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&lt;80%：</w:t>
            </w:r>
            <w:r>
              <w:rPr>
                <w:rFonts w:hint="eastAsia" w:ascii="仿宋_GB2312" w:hAnsi="仿宋_GB2312" w:eastAsia="仿宋_GB2312" w:cs="仿宋_GB2312"/>
                <w:color w:val="auto"/>
                <w:sz w:val="24"/>
                <w:szCs w:val="24"/>
              </w:rPr>
              <w:t> 扣3分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c. 年度综合满意度≥85分：</w:t>
            </w:r>
            <w:r>
              <w:rPr>
                <w:rFonts w:hint="eastAsia" w:ascii="仿宋_GB2312" w:hAnsi="仿宋_GB2312" w:eastAsia="仿宋_GB2312" w:cs="仿宋_GB2312"/>
                <w:color w:val="auto"/>
                <w:sz w:val="24"/>
                <w:szCs w:val="24"/>
              </w:rPr>
              <w:t> 得</w:t>
            </w: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rPr>
              <w:t>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每低5分：</w:t>
            </w:r>
            <w:r>
              <w:rPr>
                <w:rFonts w:hint="eastAsia" w:ascii="仿宋_GB2312" w:hAnsi="仿宋_GB2312" w:eastAsia="仿宋_GB2312" w:cs="仿宋_GB2312"/>
                <w:color w:val="auto"/>
                <w:sz w:val="24"/>
                <w:szCs w:val="24"/>
              </w:rPr>
              <w:t> 扣1分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&lt;75分：</w:t>
            </w:r>
            <w:r>
              <w:rPr>
                <w:rFonts w:hint="eastAsia" w:ascii="仿宋_GB2312" w:hAnsi="仿宋_GB2312" w:eastAsia="仿宋_GB2312" w:cs="仿宋_GB2312"/>
                <w:color w:val="auto"/>
                <w:sz w:val="24"/>
                <w:szCs w:val="24"/>
              </w:rPr>
              <w:t> 扣4分</w:t>
            </w:r>
          </w:p>
        </w:tc>
        <w:tc>
          <w:tcPr>
            <w:tcW w:w="1892"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投诉处理台账（含响应/解决时间）、师生/物业满意度调查问卷结果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07" w:type="dxa"/>
              <w:left w:w="0" w:type="dxa"/>
              <w:bottom w:w="107" w:type="dxa"/>
              <w:right w:w="107" w:type="dxa"/>
            </w:tcMar>
            <w:vAlign w:val="center"/>
          </w:tcPr>
          <w:p>
            <w:pPr>
              <w:rPr>
                <w:rFonts w:hint="eastAsia" w:ascii="仿宋_GB2312" w:hAnsi="仿宋_GB2312" w:eastAsia="仿宋_GB2312" w:cs="仿宋_GB2312"/>
                <w:color w:val="auto"/>
                <w:sz w:val="24"/>
                <w:szCs w:val="24"/>
              </w:rPr>
            </w:pPr>
            <w:r>
              <w:rPr>
                <w:rStyle w:val="51"/>
                <w:rFonts w:hint="eastAsia" w:ascii="仿宋_GB2312" w:hAnsi="仿宋_GB2312" w:eastAsia="仿宋_GB2312" w:cs="仿宋_GB2312"/>
                <w:b w:val="0"/>
                <w:color w:val="auto"/>
                <w:sz w:val="24"/>
                <w:szCs w:val="24"/>
              </w:rPr>
              <w:t>总分</w:t>
            </w:r>
          </w:p>
        </w:tc>
        <w:tc>
          <w:tcPr>
            <w:tcW w:w="685"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Style w:val="51"/>
                <w:rFonts w:hint="eastAsia" w:ascii="仿宋_GB2312" w:hAnsi="仿宋_GB2312" w:eastAsia="仿宋_GB2312" w:cs="仿宋_GB2312"/>
                <w:b w:val="0"/>
                <w:color w:val="auto"/>
                <w:sz w:val="24"/>
                <w:szCs w:val="24"/>
              </w:rPr>
              <w:t>100</w:t>
            </w:r>
          </w:p>
        </w:tc>
        <w:tc>
          <w:tcPr>
            <w:tcW w:w="4111"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p>
        </w:tc>
        <w:tc>
          <w:tcPr>
            <w:tcW w:w="1892"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p>
        </w:tc>
      </w:tr>
    </w:tbl>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考核说明：</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1．权重分配策略：</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（1）核心效果导向 (</w:t>
      </w:r>
      <w:r>
        <w:rPr>
          <w:rFonts w:hint="eastAsia" w:ascii="仿宋_GB2312" w:hAnsi="仿宋_GB2312" w:eastAsia="仿宋_GB2312" w:cs="仿宋_GB2312"/>
          <w:color w:val="auto"/>
          <w:sz w:val="24"/>
          <w:szCs w:val="24"/>
          <w:lang w:val="en-US" w:eastAsia="zh-CN"/>
        </w:rPr>
        <w:t>55</w:t>
      </w:r>
      <w:r>
        <w:rPr>
          <w:rFonts w:hint="eastAsia" w:ascii="仿宋_GB2312" w:hAnsi="仿宋_GB2312" w:eastAsia="仿宋_GB2312" w:cs="仿宋_GB2312"/>
          <w:color w:val="auto"/>
          <w:sz w:val="24"/>
          <w:szCs w:val="24"/>
        </w:rPr>
        <w:t>分)： 最大权重赋予虫害密度控制(20</w:t>
      </w:r>
      <w:r>
        <w:rPr>
          <w:rFonts w:hint="eastAsia" w:ascii="仿宋_GB2312" w:hAnsi="仿宋_GB2312" w:eastAsia="仿宋_GB2312" w:cs="仿宋_GB2312"/>
          <w:color w:val="auto"/>
          <w:sz w:val="24"/>
          <w:szCs w:val="24"/>
          <w:lang w:val="en-US" w:eastAsia="zh-CN"/>
        </w:rPr>
        <w:t>分</w:t>
      </w:r>
      <w:r>
        <w:rPr>
          <w:rFonts w:hint="eastAsia" w:ascii="仿宋_GB2312" w:hAnsi="仿宋_GB2312" w:eastAsia="仿宋_GB2312" w:cs="仿宋_GB2312"/>
          <w:color w:val="auto"/>
          <w:sz w:val="24"/>
          <w:szCs w:val="24"/>
        </w:rPr>
        <w:t>)和重点区域防治(15</w:t>
      </w:r>
      <w:r>
        <w:rPr>
          <w:rFonts w:hint="eastAsia" w:ascii="仿宋_GB2312" w:hAnsi="仿宋_GB2312" w:eastAsia="仿宋_GB2312" w:cs="仿宋_GB2312"/>
          <w:color w:val="auto"/>
          <w:sz w:val="24"/>
          <w:szCs w:val="24"/>
          <w:lang w:val="en-US" w:eastAsia="zh-CN"/>
        </w:rPr>
        <w:t>分</w:t>
      </w:r>
      <w:r>
        <w:rPr>
          <w:rFonts w:hint="eastAsia" w:ascii="仿宋_GB2312" w:hAnsi="仿宋_GB2312" w:eastAsia="仿宋_GB2312" w:cs="仿宋_GB2312"/>
          <w:color w:val="auto"/>
          <w:sz w:val="24"/>
          <w:szCs w:val="24"/>
        </w:rPr>
        <w:t>)，直接反映服务成效；红火蚁(10</w:t>
      </w:r>
      <w:r>
        <w:rPr>
          <w:rFonts w:hint="eastAsia" w:ascii="仿宋_GB2312" w:hAnsi="仿宋_GB2312" w:eastAsia="仿宋_GB2312" w:cs="仿宋_GB2312"/>
          <w:color w:val="auto"/>
          <w:sz w:val="24"/>
          <w:szCs w:val="24"/>
          <w:lang w:val="en-US" w:eastAsia="zh-CN"/>
        </w:rPr>
        <w:t>分</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白蚁（10分）</w:t>
      </w:r>
      <w:r>
        <w:rPr>
          <w:rFonts w:hint="eastAsia" w:ascii="仿宋_GB2312" w:hAnsi="仿宋_GB2312" w:eastAsia="仿宋_GB2312" w:cs="仿宋_GB2312"/>
          <w:color w:val="auto"/>
          <w:sz w:val="24"/>
          <w:szCs w:val="24"/>
        </w:rPr>
        <w:t>因危害性大单独赋权。</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（2）预防与协同 (</w:t>
      </w:r>
      <w:r>
        <w:rPr>
          <w:rFonts w:hint="eastAsia" w:ascii="仿宋_GB2312" w:hAnsi="仿宋_GB2312" w:eastAsia="仿宋_GB2312" w:cs="仿宋_GB2312"/>
          <w:color w:val="auto"/>
          <w:sz w:val="24"/>
          <w:szCs w:val="24"/>
          <w:lang w:val="en-US" w:eastAsia="zh-CN"/>
        </w:rPr>
        <w:t>12</w:t>
      </w:r>
      <w:r>
        <w:rPr>
          <w:rFonts w:hint="eastAsia" w:ascii="仿宋_GB2312" w:hAnsi="仿宋_GB2312" w:eastAsia="仿宋_GB2312" w:cs="仿宋_GB2312"/>
          <w:color w:val="auto"/>
          <w:sz w:val="24"/>
          <w:szCs w:val="24"/>
        </w:rPr>
        <w:t>分)： 强调源头治理（环境建议12</w:t>
      </w:r>
      <w:r>
        <w:rPr>
          <w:rFonts w:hint="eastAsia" w:ascii="仿宋_GB2312" w:hAnsi="仿宋_GB2312" w:eastAsia="仿宋_GB2312" w:cs="仿宋_GB2312"/>
          <w:color w:val="auto"/>
          <w:sz w:val="24"/>
          <w:szCs w:val="24"/>
          <w:lang w:val="en-US" w:eastAsia="zh-CN"/>
        </w:rPr>
        <w:t>分</w:t>
      </w:r>
      <w:r>
        <w:rPr>
          <w:rFonts w:hint="eastAsia" w:ascii="仿宋_GB2312" w:hAnsi="仿宋_GB2312" w:eastAsia="仿宋_GB2312" w:cs="仿宋_GB2312"/>
          <w:color w:val="auto"/>
          <w:sz w:val="24"/>
          <w:szCs w:val="24"/>
        </w:rPr>
        <w:t>）。</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（3）安全红线 (10分)： 化学防治安全规范实行严格扣分，重大违规全扣。</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（4）响应与保障 (</w:t>
      </w:r>
      <w:r>
        <w:rPr>
          <w:rFonts w:hint="eastAsia" w:ascii="仿宋_GB2312" w:hAnsi="仿宋_GB2312" w:eastAsia="仿宋_GB2312" w:cs="仿宋_GB2312"/>
          <w:color w:val="auto"/>
          <w:sz w:val="24"/>
          <w:szCs w:val="24"/>
          <w:lang w:val="en-US" w:eastAsia="zh-CN"/>
        </w:rPr>
        <w:t>13</w:t>
      </w:r>
      <w:r>
        <w:rPr>
          <w:rFonts w:hint="eastAsia" w:ascii="仿宋_GB2312" w:hAnsi="仿宋_GB2312" w:eastAsia="仿宋_GB2312" w:cs="仿宋_GB2312"/>
          <w:color w:val="auto"/>
          <w:sz w:val="24"/>
          <w:szCs w:val="24"/>
        </w:rPr>
        <w:t>分)： 确保应急能力（特殊虫害8</w:t>
      </w:r>
      <w:r>
        <w:rPr>
          <w:rFonts w:hint="eastAsia" w:ascii="仿宋_GB2312" w:hAnsi="仿宋_GB2312" w:eastAsia="仿宋_GB2312" w:cs="仿宋_GB2312"/>
          <w:color w:val="auto"/>
          <w:sz w:val="24"/>
          <w:szCs w:val="24"/>
          <w:lang w:val="en-US" w:eastAsia="zh-CN"/>
        </w:rPr>
        <w:t>分</w:t>
      </w:r>
      <w:r>
        <w:rPr>
          <w:rFonts w:hint="eastAsia" w:ascii="仿宋_GB2312" w:hAnsi="仿宋_GB2312" w:eastAsia="仿宋_GB2312" w:cs="仿宋_GB2312"/>
          <w:color w:val="auto"/>
          <w:sz w:val="24"/>
          <w:szCs w:val="24"/>
        </w:rPr>
        <w:t>）、设施维护(</w:t>
      </w:r>
      <w:r>
        <w:rPr>
          <w:rFonts w:hint="eastAsia" w:ascii="仿宋_GB2312" w:hAnsi="仿宋_GB2312" w:eastAsia="仿宋_GB2312" w:cs="仿宋_GB2312"/>
          <w:color w:val="auto"/>
          <w:sz w:val="24"/>
          <w:szCs w:val="24"/>
          <w:lang w:val="en-US" w:eastAsia="zh-CN"/>
        </w:rPr>
        <w:t>5分</w:t>
      </w:r>
      <w:r>
        <w:rPr>
          <w:rFonts w:hint="eastAsia" w:ascii="仿宋_GB2312" w:hAnsi="仿宋_GB2312" w:eastAsia="仿宋_GB2312" w:cs="仿宋_GB2312"/>
          <w:color w:val="auto"/>
          <w:sz w:val="24"/>
          <w:szCs w:val="24"/>
        </w:rPr>
        <w:t>)。</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（5）管理追溯与感知 (</w:t>
      </w:r>
      <w:r>
        <w:rPr>
          <w:rFonts w:hint="eastAsia" w:ascii="仿宋_GB2312" w:hAnsi="仿宋_GB2312" w:eastAsia="仿宋_GB2312" w:cs="仿宋_GB2312"/>
          <w:color w:val="auto"/>
          <w:sz w:val="24"/>
          <w:szCs w:val="24"/>
          <w:lang w:val="en-US" w:eastAsia="zh-CN"/>
        </w:rPr>
        <w:t>10</w:t>
      </w:r>
      <w:r>
        <w:rPr>
          <w:rFonts w:hint="eastAsia" w:ascii="仿宋_GB2312" w:hAnsi="仿宋_GB2312" w:eastAsia="仿宋_GB2312" w:cs="仿宋_GB2312"/>
          <w:color w:val="auto"/>
          <w:sz w:val="24"/>
          <w:szCs w:val="24"/>
        </w:rPr>
        <w:t>分)： 通过记录报告(</w:t>
      </w:r>
      <w:r>
        <w:rPr>
          <w:rFonts w:hint="eastAsia" w:ascii="仿宋_GB2312" w:hAnsi="仿宋_GB2312" w:eastAsia="仿宋_GB2312" w:cs="仿宋_GB2312"/>
          <w:color w:val="auto"/>
          <w:sz w:val="24"/>
          <w:szCs w:val="24"/>
          <w:lang w:val="en-US" w:eastAsia="zh-CN"/>
        </w:rPr>
        <w:t>5分</w:t>
      </w:r>
      <w:r>
        <w:rPr>
          <w:rFonts w:hint="eastAsia" w:ascii="仿宋_GB2312" w:hAnsi="仿宋_GB2312" w:eastAsia="仿宋_GB2312" w:cs="仿宋_GB2312"/>
          <w:color w:val="auto"/>
          <w:sz w:val="24"/>
          <w:szCs w:val="24"/>
        </w:rPr>
        <w:t>)、投诉处理(</w:t>
      </w:r>
      <w:r>
        <w:rPr>
          <w:rFonts w:hint="eastAsia" w:ascii="仿宋_GB2312" w:hAnsi="仿宋_GB2312" w:eastAsia="仿宋_GB2312" w:cs="仿宋_GB2312"/>
          <w:color w:val="auto"/>
          <w:sz w:val="24"/>
          <w:szCs w:val="24"/>
          <w:lang w:val="en-US" w:eastAsia="zh-CN"/>
        </w:rPr>
        <w:t>5分</w:t>
      </w:r>
      <w:r>
        <w:rPr>
          <w:rFonts w:hint="eastAsia" w:ascii="仿宋_GB2312" w:hAnsi="仿宋_GB2312" w:eastAsia="仿宋_GB2312" w:cs="仿宋_GB2312"/>
          <w:color w:val="auto"/>
          <w:sz w:val="24"/>
          <w:szCs w:val="24"/>
        </w:rPr>
        <w:t>)确保过程规范透明，满意度反映最终体验。</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2．评分规则要点：</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（1）结果硬指标： 对密度达标、活体目击投诉、结构损坏事件、安全事件、响应处理成功率等设定“达标满分/不达标扣光” 的硬性标准。</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（2）过程强约束： 对报告提交率、记录完整率、持证率、更换率等过程性指标要求100%，未达标即扣分。</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（3）量化阶梯扣分： 对达标率、及时率、协同率等设定清晰扣分梯度（如每降1%/5%/10%扣X分）。</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（4）数据交叉验证： 强调报告数据与原始记录、监测结果与投诉记录、物业反馈与现场检查的比对。</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3．数据来源确保客观公正：</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（1）服务方记录： 基础数据源（监测记录、服务记录、维护记录、用药记录、报告）。</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（2）物业监管记录： 关键验证源（现场抽查记录、投诉处理台账、整改反馈、设施检查）。</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（3）第三方数据： 客观评价源（第三方抽检报告、师生/物业满意度调查结果）。</w:t>
      </w:r>
    </w:p>
    <w:p>
      <w:pPr>
        <w:pStyle w:val="8"/>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（4）影像证据： 重要佐证（蚁巢照片、设施状态照片、施药过程照片）。</w:t>
      </w:r>
    </w:p>
    <w:p>
      <w:pPr>
        <w:pStyle w:val="8"/>
        <w:rPr>
          <w:rFonts w:hint="eastAsia" w:ascii="仿宋_GB2312" w:hAnsi="仿宋_GB2312" w:eastAsia="仿宋_GB2312" w:cs="仿宋_GB2312"/>
          <w:color w:val="auto"/>
          <w:sz w:val="24"/>
          <w:szCs w:val="24"/>
        </w:rPr>
      </w:pPr>
    </w:p>
    <w:p>
      <w:pPr>
        <w:jc w:val="left"/>
        <w:rPr>
          <w:rFonts w:hint="eastAsia" w:ascii="仿宋_GB2312" w:hAnsi="仿宋_GB2312" w:eastAsia="仿宋_GB2312" w:cs="仿宋_GB2312"/>
          <w:sz w:val="28"/>
          <w:szCs w:val="28"/>
          <w:lang w:eastAsia="zh-CN"/>
        </w:rPr>
      </w:pPr>
      <w:r>
        <w:rPr>
          <w:rFonts w:hint="eastAsia" w:ascii="仿宋_GB2312" w:hAnsi="仿宋_GB2312" w:eastAsia="仿宋_GB2312" w:cs="仿宋_GB2312"/>
          <w:bCs/>
          <w:sz w:val="28"/>
          <w:szCs w:val="28"/>
        </w:rPr>
        <w:t>★</w:t>
      </w:r>
      <w:r>
        <w:rPr>
          <w:rFonts w:hint="eastAsia" w:ascii="仿宋_GB2312" w:hAnsi="仿宋_GB2312" w:eastAsia="仿宋_GB2312" w:cs="仿宋_GB2312"/>
          <w:b/>
          <w:bCs/>
          <w:sz w:val="28"/>
          <w:szCs w:val="28"/>
        </w:rPr>
        <w:t>附件</w:t>
      </w:r>
      <w:r>
        <w:rPr>
          <w:rFonts w:hint="eastAsia" w:ascii="仿宋_GB2312" w:hAnsi="仿宋_GB2312" w:eastAsia="仿宋_GB2312" w:cs="仿宋_GB2312"/>
          <w:b/>
          <w:bCs/>
          <w:sz w:val="28"/>
          <w:szCs w:val="28"/>
          <w:lang w:val="en-US" w:eastAsia="zh-CN"/>
        </w:rPr>
        <w:t>九</w:t>
      </w:r>
    </w:p>
    <w:p>
      <w:pPr>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柳州城市职业学院校园重要区域保洁质量考核细则</w:t>
      </w:r>
    </w:p>
    <w:p>
      <w:pPr>
        <w:jc w:val="left"/>
        <w:rPr>
          <w:color w:val="auto"/>
          <w:szCs w:val="21"/>
        </w:rPr>
      </w:pPr>
      <w:r>
        <w:rPr>
          <w:rFonts w:hint="eastAsia"/>
          <w:szCs w:val="21"/>
        </w:rPr>
        <w:t xml:space="preserve">  </w:t>
      </w:r>
      <w:r>
        <w:rPr>
          <w:rFonts w:hint="eastAsia"/>
          <w:color w:val="auto"/>
          <w:szCs w:val="21"/>
        </w:rPr>
        <w:t xml:space="preserve">  </w:t>
      </w:r>
    </w:p>
    <w:p>
      <w:pPr>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为做好物业服务企业服务质量考核工作，明确和细化《柳州城市职业学院物业服务企业监督管理办法》相关内容，结合学校实际制定本实施细则。本细则适用于在我校依据法定合同从事校园重要区域（礼堂/会议室/领导办公室/报告厅/校史馆等）的各物业服务企业或其他实体，由学校办公室和后勤保障处组织考核。</w:t>
      </w:r>
    </w:p>
    <w:p>
      <w:pPr>
        <w:ind w:firstLine="482" w:firstLineChars="200"/>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一、服务标准与考核指标</w:t>
      </w:r>
    </w:p>
    <w:p>
      <w:pPr>
        <w:ind w:firstLine="360" w:firstLineChars="1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1．环境洁净度（目视及触感）：</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t>服务标准：地面（地毯吸尘彻底无杂物、硬质地面光亮无痕无污渍）、桌面、台面、窗台、设备表面（电话、投影仪、打印机等）手触无尘；玻璃、镜面光洁透亮无水渍、无指印；踢脚线、门框、开关面板无积尘；垃圾桶内外清洁、无异味、垃圾袋每日更换。</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t>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表面灰尘抽检（白手套/擦拭法）合格率 ≥ 98%。</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地面（硬质/地毯）洁净度抽查达标率 ≥ 98%。</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玻璃/镜面光洁无痕抽查达标率 ≥ 95%。</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2．办公楼卫生间/茶水间极致洁净：</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t>服务标准：洁具（马桶、小便斗、面盆）光亮如新，无菌垢、无水渍、无异味；镜面、五金件（水龙头、扶手）光可鉴人无痕；台面干燥整洁；地面干燥防滑；垃圾及时</w:t>
      </w:r>
      <w:r>
        <w:rPr>
          <w:rFonts w:hint="default" w:ascii="仿宋_GB2312" w:hAnsi="仿宋_GB2312" w:eastAsia="仿宋_GB2312" w:cs="仿宋_GB2312"/>
          <w:sz w:val="24"/>
          <w:szCs w:val="24"/>
        </w:rPr>
        <w:t>清理</w:t>
      </w:r>
      <w:r>
        <w:rPr>
          <w:rFonts w:hint="eastAsia" w:ascii="仿宋_GB2312" w:hAnsi="仿宋_GB2312" w:eastAsia="仿宋_GB2312" w:cs="仿宋_GB2312"/>
          <w:sz w:val="24"/>
          <w:szCs w:val="24"/>
        </w:rPr>
        <w:t>。</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t>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洁具无菌垢、无水渍抽查达标率 ≥ 98%。</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卫生间异味投诉次数 = 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耗品短缺率（使用高峰期抽查） ≤ 1%。</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3．空气清新度与微环境：</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t>服务标准：室内空气清新无异味（烟味、食物味、霉味等）。定期开窗通风。根据要求使用合规的香氛（如领导办公室/特定会议室）。绿植（如有）叶面清洁无尘、盆器干净、托盘无积水。</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t>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空气异味有效投诉次数 ≤ 1次/季度。</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绿植清洁养护达标率（抽查）≥ 95%。</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4．家具陈设与物品归位：</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t>服务标准：桌椅、沙发、茶几等家具摆放整齐、角度统一（按设定标准）；笔、便签、遥控器等物品归位准确、方向一致；杂志报刊摆放整齐；装饰品无尘、无移位。</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尊重个人物品，清洁时不随意移动私人物品（领导办公室）。</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t>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家具摆放整齐度、物品归位准确率抽查达标率 ≥ 98%。</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因清洁导致私人物品移位/丢失投诉次数 = 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5．地毯深度清洁与保养：</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t>服务标准： 除每日吸尘外，每月1次或根据使用频率进行专业地毯深度清洗，确保无污渍、无霉斑、色泽均匀、绒头蓬松。特殊污渍24小时内应急处理。</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t>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地毯深度清洁计划执行率 = 100%。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地毯无顽固污渍/明显色差抽查达标率 ≥ 95%。</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地毯特殊污渍1小时内应急处理率 ≥ 98%。</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6．会议/活动前后专项服务：</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t>服务标准：</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会前：会议开始前1-2小时完成高标准清洁；桌椅摆放整齐（按会议形式）；投影、音响设备表面清洁；白板/玻璃板洁净无痕。</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会后：会议结束后1小时内恢复场地；清理垃圾、杂物、水杯；擦拭桌面、座椅；清洁地面；复位家具及设备。</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t>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会议/活动前准备达标率（按检查表） ≥ 98%。</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会议/活动后恢复及时率（1小时内） ≥ 95%。</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会后场地恢复质量抽查达标率 ≥ 98%。</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7．设施设备隐形清洁：</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t>服务标准：对空调出/回风口格栅、灯具表面及缝隙、投影仪散热口、窗帘顶部轨道、高位装饰品等易忽略区域，每周进行彻底除尘清洁，确保无蛛网、无积尘。</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t>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高位/隐蔽区域清洁计划执行率 = 100%。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隐蔽区域积尘抽查（白手套/目测）合格率 ≥ 95%。</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8．响应时效与服务沟通：</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t>服务标准：接到临时紧急保洁需求（领导临时到访、会后立即需要清洁），需在15分钟内响应并到达现场处理。沟通礼貌、专业，明确用户需求（领导办公室需特别谨慎），完成后及时反馈。</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t>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紧急需求15分钟内响应到达率 ≥ 98%。</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服务沟通有效投诉次数 = 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9．安全、环保与保密：</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t>服务标准：使用环保、低刺激性清洁剂；规范操作电器（吸尘器、洗地机）、登高工具；清洁时设置警示牌；严格保护领导办公室及会议室内可能接触到的敏感信息（文件、屏幕内容），不翻阅、不外传。离开时确保门窗关闭。</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t>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安全操作违规记录 = 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环保清洁剂使用率 ≥ 90%。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信息保密违规事件 = 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用户（领导/会务负责人）对服务保密性信任度满意度 ≥ 95%。</w:t>
      </w:r>
    </w:p>
    <w:p>
      <w:pPr>
        <w:ind w:firstLine="480" w:firstLineChars="200"/>
        <w:rPr>
          <w:rFonts w:hint="eastAsia" w:ascii="仿宋_GB2312" w:hAnsi="仿宋_GB2312" w:eastAsia="仿宋_GB2312" w:cs="仿宋_GB2312"/>
          <w:sz w:val="24"/>
          <w:szCs w:val="24"/>
        </w:rPr>
      </w:pPr>
    </w:p>
    <w:p>
      <w:pPr>
        <w:ind w:firstLine="361" w:firstLineChars="15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二、服务质量考核赋分</w:t>
      </w:r>
    </w:p>
    <w:tbl>
      <w:tblPr>
        <w:tblStyle w:val="48"/>
        <w:tblW w:w="86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359"/>
        <w:gridCol w:w="773"/>
        <w:gridCol w:w="4536"/>
        <w:gridCol w:w="1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考核项目</w:t>
            </w:r>
          </w:p>
        </w:tc>
        <w:tc>
          <w:tcPr>
            <w:tcW w:w="773"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分值</w:t>
            </w:r>
          </w:p>
        </w:tc>
        <w:tc>
          <w:tcPr>
            <w:tcW w:w="4536"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评分标准</w:t>
            </w:r>
          </w:p>
        </w:tc>
        <w:tc>
          <w:tcPr>
            <w:tcW w:w="194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 环境洁净度（硬质表面）</w:t>
            </w:r>
          </w:p>
        </w:tc>
        <w:tc>
          <w:tcPr>
            <w:tcW w:w="773"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w:t>
            </w:r>
          </w:p>
        </w:tc>
        <w:tc>
          <w:tcPr>
            <w:tcW w:w="4536"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表面灰尘抽检合格率≥98%： 得8分，每降1%扣1分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地面洁净达标率≥98%： 得7分，每降1%扣0.5分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c. 玻璃/镜面光洁率≥95%： 得5分，每降2%扣1分</w:t>
            </w:r>
          </w:p>
        </w:tc>
        <w:tc>
          <w:tcPr>
            <w:tcW w:w="194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白手套/白布抽查记录、地面反光检测、专项检查照片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 卫生间/茶水间极致洁净</w:t>
            </w:r>
          </w:p>
        </w:tc>
        <w:tc>
          <w:tcPr>
            <w:tcW w:w="773"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4536"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洁具无菌渍/水渍率≥98%： 得8分，每降2%扣1分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异味投诉=0 &amp; 耗品短缺率≤1%： 得7分，异味投诉1次扣5分，耗品短缺超1%扣2分</w:t>
            </w:r>
          </w:p>
        </w:tc>
        <w:tc>
          <w:tcPr>
            <w:tcW w:w="194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紫外线检测仪报告、耗品领用记录、高峰期抽查台账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 空气与微环境管理</w:t>
            </w:r>
          </w:p>
        </w:tc>
        <w:tc>
          <w:tcPr>
            <w:tcW w:w="773"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4536"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异味投诉≤1次/季度： 得5分，每超1次扣3分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绿植清洁达标率≥95%： 得3分，每降5%扣1分</w:t>
            </w:r>
          </w:p>
        </w:tc>
        <w:tc>
          <w:tcPr>
            <w:tcW w:w="194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空气质量检测报告（抽检）、绿植养护记录、投诉工单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 家具归位与隐私保护</w:t>
            </w:r>
          </w:p>
        </w:tc>
        <w:tc>
          <w:tcPr>
            <w:tcW w:w="773"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4536"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家具/物品归位达标率≥98%： 得8分，每降2%扣1分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私人物品投诉=0： 得4分，投诉1次扣4分</w:t>
            </w:r>
          </w:p>
        </w:tc>
        <w:tc>
          <w:tcPr>
            <w:tcW w:w="194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标准布局对比照片、物品定位贴标检查、领导秘书反馈记录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 地毯深度保养</w:t>
            </w:r>
          </w:p>
        </w:tc>
        <w:tc>
          <w:tcPr>
            <w:tcW w:w="773"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4536"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深度清洁计划执行率100%： 得4分，漏做1次扣2分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无污渍/色差率≥95%： 得4分，每降5%扣1分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c. 特殊污渍1h应急率≥98%： 得2分，超时1次扣1分</w:t>
            </w:r>
          </w:p>
        </w:tc>
        <w:tc>
          <w:tcPr>
            <w:tcW w:w="194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清洁计划表、污渍处理工单、色卡比对照片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 会议专项服务</w:t>
            </w:r>
          </w:p>
        </w:tc>
        <w:tc>
          <w:tcPr>
            <w:tcW w:w="773"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4536"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会前准备达标率≥98%： 得6分，未达标1次扣2分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会后1h恢复率≥95%： 得5分，每降2%扣1分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c. 恢复质量达标率≥98%： 得4分，每降2%扣1分</w:t>
            </w:r>
          </w:p>
        </w:tc>
        <w:tc>
          <w:tcPr>
            <w:tcW w:w="194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会务组验收签字单、监控计时、恢复后检查表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 隐蔽区域清洁</w:t>
            </w:r>
          </w:p>
        </w:tc>
        <w:tc>
          <w:tcPr>
            <w:tcW w:w="773"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5</w:t>
            </w:r>
          </w:p>
        </w:tc>
        <w:tc>
          <w:tcPr>
            <w:tcW w:w="4536"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高位清洁计划执行率100%： 得</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分，漏检1处扣1分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积尘合格率≥95%： 得</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分，每降5%扣1分</w:t>
            </w:r>
          </w:p>
        </w:tc>
        <w:tc>
          <w:tcPr>
            <w:tcW w:w="194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高位清洁检查记录（配照片）、空调出风口白手套测试报告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 应急响应与沟通</w:t>
            </w:r>
          </w:p>
        </w:tc>
        <w:tc>
          <w:tcPr>
            <w:tcW w:w="773"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5</w:t>
            </w:r>
          </w:p>
        </w:tc>
        <w:tc>
          <w:tcPr>
            <w:tcW w:w="4536"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紧急需求15min响应率≥98%： 得</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分，每降2%扣1分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沟通投诉=0： 得2分，投诉1次扣2分</w:t>
            </w:r>
          </w:p>
        </w:tc>
        <w:tc>
          <w:tcPr>
            <w:tcW w:w="194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紧急工单时间戳、服务对象评价记录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 安全环保保密</w:t>
            </w:r>
          </w:p>
        </w:tc>
        <w:tc>
          <w:tcPr>
            <w:tcW w:w="773" w:type="dxa"/>
            <w:tcMar>
              <w:top w:w="115" w:type="dxa"/>
              <w:left w:w="115" w:type="dxa"/>
              <w:bottom w:w="115" w:type="dxa"/>
              <w:right w:w="115" w:type="dxa"/>
            </w:tcMar>
            <w:vAlign w:val="center"/>
          </w:tcPr>
          <w:p>
            <w:pP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w:t>
            </w:r>
          </w:p>
        </w:tc>
        <w:tc>
          <w:tcPr>
            <w:tcW w:w="4536"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安全违规=0 &amp; 保密违规=0： 得</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分，违规1次扣10分（红线）</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环保清洁剂使用率≥90%： 得3分，每降10%扣1分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c. 保密信任满意度≥95%： 得2分，每降5%扣1分</w:t>
            </w:r>
          </w:p>
        </w:tc>
        <w:tc>
          <w:tcPr>
            <w:tcW w:w="194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化学品MSDS清单、保密承诺书、领导匿名问卷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总分</w:t>
            </w:r>
          </w:p>
        </w:tc>
        <w:tc>
          <w:tcPr>
            <w:tcW w:w="773"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100</w:t>
            </w:r>
          </w:p>
        </w:tc>
        <w:tc>
          <w:tcPr>
            <w:tcW w:w="4536"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附加条款：</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1. 发现使用强酸强碱等违禁清洁剂，扣20分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2. 造成设备损坏（如液体渗入电器），扣15分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3. 泄露敏感信息，总分归零</w:t>
            </w:r>
          </w:p>
        </w:tc>
        <w:tc>
          <w:tcPr>
            <w:tcW w:w="194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p>
        </w:tc>
      </w:tr>
    </w:tbl>
    <w:p>
      <w:pPr>
        <w:pStyle w:val="8"/>
        <w:rPr>
          <w:rFonts w:hint="eastAsia" w:ascii="仿宋_GB2312" w:hAnsi="仿宋_GB2312" w:eastAsia="仿宋_GB2312" w:cs="仿宋_GB2312"/>
          <w:sz w:val="24"/>
          <w:szCs w:val="24"/>
        </w:rPr>
      </w:pPr>
    </w:p>
    <w:p>
      <w:pPr>
        <w:pStyle w:val="8"/>
        <w:rPr>
          <w:rFonts w:hint="eastAsia" w:ascii="仿宋_GB2312" w:hAnsi="仿宋_GB2312" w:eastAsia="仿宋_GB2312" w:cs="仿宋_GB2312"/>
          <w:color w:val="auto"/>
          <w:sz w:val="24"/>
          <w:szCs w:val="24"/>
          <w:lang w:eastAsia="zh-CN"/>
        </w:rPr>
      </w:pPr>
    </w:p>
    <w:p>
      <w:pPr>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Cs/>
          <w:sz w:val="28"/>
          <w:szCs w:val="28"/>
        </w:rPr>
        <w:t>★</w:t>
      </w:r>
      <w:r>
        <w:rPr>
          <w:rFonts w:hint="eastAsia" w:ascii="仿宋_GB2312" w:hAnsi="仿宋_GB2312" w:eastAsia="仿宋_GB2312" w:cs="仿宋_GB2312"/>
          <w:b/>
          <w:bCs/>
          <w:sz w:val="28"/>
          <w:szCs w:val="28"/>
        </w:rPr>
        <w:t>附件</w:t>
      </w:r>
      <w:r>
        <w:rPr>
          <w:rFonts w:hint="eastAsia" w:ascii="仿宋_GB2312" w:hAnsi="仿宋_GB2312" w:eastAsia="仿宋_GB2312" w:cs="仿宋_GB2312"/>
          <w:b/>
          <w:bCs/>
          <w:sz w:val="28"/>
          <w:szCs w:val="28"/>
          <w:lang w:val="en-US" w:eastAsia="zh-CN"/>
        </w:rPr>
        <w:t>十</w:t>
      </w:r>
    </w:p>
    <w:p>
      <w:pPr>
        <w:jc w:val="cente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柳州城市职业学院校园物业管理服务质量满意度问卷调查表</w:t>
      </w:r>
    </w:p>
    <w:p>
      <w:pPr>
        <w:jc w:val="center"/>
        <w:rPr>
          <w:rFonts w:hint="eastAsia" w:ascii="仿宋_GB2312" w:hAnsi="仿宋_GB2312" w:eastAsia="仿宋_GB2312" w:cs="仿宋_GB2312"/>
          <w:b/>
          <w:bCs/>
          <w:sz w:val="28"/>
          <w:szCs w:val="28"/>
          <w:highlight w:val="none"/>
        </w:rPr>
      </w:pPr>
    </w:p>
    <w:p>
      <w:pPr>
        <w:spacing w:line="400" w:lineRule="exac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老师（　）       　　　　　　　　　　　　　　　　学生（　）</w:t>
      </w:r>
    </w:p>
    <w:tbl>
      <w:tblPr>
        <w:tblStyle w:val="48"/>
        <w:tblW w:w="10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952"/>
        <w:gridCol w:w="3293"/>
        <w:gridCol w:w="709"/>
        <w:gridCol w:w="1325"/>
        <w:gridCol w:w="945"/>
        <w:gridCol w:w="1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序号</w:t>
            </w:r>
          </w:p>
        </w:tc>
        <w:tc>
          <w:tcPr>
            <w:tcW w:w="5245"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评价内容</w:t>
            </w:r>
          </w:p>
        </w:tc>
        <w:tc>
          <w:tcPr>
            <w:tcW w:w="70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满意</w:t>
            </w:r>
          </w:p>
        </w:tc>
        <w:tc>
          <w:tcPr>
            <w:tcW w:w="132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基本满意</w:t>
            </w:r>
          </w:p>
        </w:tc>
        <w:tc>
          <w:tcPr>
            <w:tcW w:w="94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不满意</w:t>
            </w:r>
          </w:p>
        </w:tc>
        <w:tc>
          <w:tcPr>
            <w:tcW w:w="111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不了解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_GB2312" w:hAnsi="仿宋_GB2312" w:eastAsia="仿宋_GB2312" w:cs="仿宋_GB2312"/>
                <w:sz w:val="24"/>
                <w:highlight w:val="none"/>
                <w:lang w:eastAsia="zh-CN"/>
              </w:rPr>
            </w:pPr>
            <w:r>
              <w:rPr>
                <w:rFonts w:hint="eastAsia" w:ascii="仿宋_GB2312" w:hAnsi="仿宋_GB2312" w:eastAsia="仿宋_GB2312" w:cs="仿宋_GB2312"/>
                <w:sz w:val="24"/>
                <w:highlight w:val="none"/>
                <w:lang w:val="en-US" w:eastAsia="zh-CN"/>
              </w:rPr>
              <w:t>1</w:t>
            </w:r>
          </w:p>
        </w:tc>
        <w:tc>
          <w:tcPr>
            <w:tcW w:w="19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u w:val="none"/>
              </w:rPr>
            </w:pPr>
            <w:r>
              <w:rPr>
                <w:rFonts w:hint="eastAsia" w:ascii="仿宋_GB2312" w:hAnsi="仿宋_GB2312" w:eastAsia="仿宋_GB2312" w:cs="仿宋_GB2312"/>
                <w:sz w:val="24"/>
                <w:highlight w:val="none"/>
                <w:u w:val="none"/>
              </w:rPr>
              <w:t>物业公司工作人员出勤率</w:t>
            </w:r>
          </w:p>
        </w:tc>
        <w:tc>
          <w:tcPr>
            <w:tcW w:w="3293"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u w:val="none"/>
              </w:rPr>
            </w:pPr>
            <w:r>
              <w:rPr>
                <w:rFonts w:hint="eastAsia" w:ascii="仿宋_GB2312" w:hAnsi="仿宋_GB2312" w:eastAsia="仿宋_GB2312" w:cs="仿宋_GB2312"/>
                <w:sz w:val="24"/>
                <w:highlight w:val="none"/>
                <w:u w:val="none"/>
                <w:lang w:val="en-US" w:eastAsia="zh-CN"/>
              </w:rPr>
              <w:t>1.</w:t>
            </w:r>
            <w:r>
              <w:rPr>
                <w:rFonts w:hint="eastAsia" w:ascii="仿宋_GB2312" w:hAnsi="仿宋_GB2312" w:eastAsia="仿宋_GB2312" w:cs="仿宋_GB2312"/>
                <w:sz w:val="24"/>
                <w:highlight w:val="none"/>
                <w:u w:val="none"/>
              </w:rPr>
              <w:t>工作人员上班期间在岗情况</w:t>
            </w:r>
          </w:p>
        </w:tc>
        <w:tc>
          <w:tcPr>
            <w:tcW w:w="70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32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04" w:type="dxa"/>
            <w:vMerge w:val="restart"/>
            <w:tcBorders>
              <w:top w:val="single" w:color="auto" w:sz="4" w:space="0"/>
              <w:left w:val="single" w:color="auto" w:sz="4" w:space="0"/>
              <w:right w:val="single" w:color="auto" w:sz="4" w:space="0"/>
            </w:tcBorders>
            <w:vAlign w:val="center"/>
          </w:tcPr>
          <w:p>
            <w:pPr>
              <w:spacing w:line="400" w:lineRule="exact"/>
              <w:jc w:val="center"/>
              <w:rPr>
                <w:rFonts w:hint="default" w:ascii="仿宋_GB2312" w:hAnsi="仿宋_GB2312" w:eastAsia="仿宋_GB2312" w:cs="仿宋_GB2312"/>
                <w:sz w:val="24"/>
                <w:highlight w:val="none"/>
                <w:lang w:val="en-US"/>
              </w:rPr>
            </w:pPr>
            <w:r>
              <w:rPr>
                <w:rFonts w:hint="eastAsia" w:ascii="仿宋_GB2312" w:hAnsi="仿宋_GB2312" w:eastAsia="仿宋_GB2312" w:cs="仿宋_GB2312"/>
                <w:sz w:val="24"/>
                <w:highlight w:val="none"/>
                <w:lang w:val="en-US" w:eastAsia="zh-CN"/>
              </w:rPr>
              <w:t>2</w:t>
            </w:r>
          </w:p>
        </w:tc>
        <w:tc>
          <w:tcPr>
            <w:tcW w:w="1952" w:type="dxa"/>
            <w:vMerge w:val="restart"/>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u w:val="none"/>
              </w:rPr>
            </w:pPr>
            <w:r>
              <w:rPr>
                <w:rFonts w:hint="eastAsia" w:ascii="仿宋_GB2312" w:hAnsi="仿宋_GB2312" w:eastAsia="仿宋_GB2312" w:cs="仿宋_GB2312"/>
                <w:sz w:val="24"/>
                <w:highlight w:val="none"/>
                <w:u w:val="none"/>
              </w:rPr>
              <w:t>物业公司</w:t>
            </w:r>
            <w:r>
              <w:rPr>
                <w:rFonts w:hint="eastAsia" w:ascii="仿宋_GB2312" w:hAnsi="仿宋_GB2312" w:eastAsia="仿宋_GB2312" w:cs="仿宋_GB2312"/>
                <w:color w:val="auto"/>
                <w:sz w:val="24"/>
                <w:highlight w:val="none"/>
                <w:u w:val="none"/>
                <w:shd w:val="clear" w:color="auto" w:fill="auto"/>
              </w:rPr>
              <w:t>员工工作表现</w:t>
            </w:r>
          </w:p>
        </w:tc>
        <w:tc>
          <w:tcPr>
            <w:tcW w:w="3293"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u w:val="none"/>
              </w:rPr>
            </w:pPr>
            <w:r>
              <w:rPr>
                <w:rFonts w:hint="eastAsia" w:ascii="仿宋_GB2312" w:hAnsi="仿宋_GB2312" w:eastAsia="仿宋_GB2312" w:cs="仿宋_GB2312"/>
                <w:sz w:val="24"/>
                <w:highlight w:val="none"/>
                <w:u w:val="none"/>
                <w:lang w:val="en-US" w:eastAsia="zh-CN"/>
              </w:rPr>
              <w:t>2.1</w:t>
            </w:r>
            <w:r>
              <w:rPr>
                <w:rFonts w:hint="eastAsia" w:ascii="仿宋_GB2312" w:hAnsi="仿宋_GB2312" w:eastAsia="仿宋_GB2312" w:cs="仿宋_GB2312"/>
                <w:sz w:val="24"/>
                <w:highlight w:val="none"/>
                <w:u w:val="none"/>
              </w:rPr>
              <w:t>公司管理层</w:t>
            </w:r>
            <w:r>
              <w:rPr>
                <w:rFonts w:hint="eastAsia" w:ascii="仿宋_GB2312" w:hAnsi="仿宋_GB2312" w:eastAsia="仿宋_GB2312" w:cs="仿宋_GB2312"/>
                <w:color w:val="auto"/>
                <w:sz w:val="24"/>
                <w:highlight w:val="none"/>
                <w:u w:val="none"/>
                <w:shd w:val="clear" w:color="auto" w:fill="auto"/>
              </w:rPr>
              <w:t>工作态度、质量、效率、专业水平</w:t>
            </w:r>
          </w:p>
        </w:tc>
        <w:tc>
          <w:tcPr>
            <w:tcW w:w="70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32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704" w:type="dxa"/>
            <w:vMerge w:val="continue"/>
            <w:tcBorders>
              <w:left w:val="single" w:color="auto" w:sz="4" w:space="0"/>
              <w:right w:val="single" w:color="auto" w:sz="4" w:space="0"/>
            </w:tcBorders>
            <w:vAlign w:val="center"/>
          </w:tcPr>
          <w:p>
            <w:pPr>
              <w:spacing w:line="400" w:lineRule="exact"/>
              <w:jc w:val="center"/>
              <w:rPr>
                <w:rFonts w:ascii="仿宋_GB2312" w:hAnsi="仿宋_GB2312" w:eastAsia="仿宋_GB2312" w:cs="仿宋_GB2312"/>
                <w:sz w:val="24"/>
                <w:highlight w:val="none"/>
              </w:rPr>
            </w:pPr>
          </w:p>
        </w:tc>
        <w:tc>
          <w:tcPr>
            <w:tcW w:w="1952"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u w:val="none"/>
              </w:rPr>
            </w:pPr>
          </w:p>
        </w:tc>
        <w:tc>
          <w:tcPr>
            <w:tcW w:w="3293" w:type="dxa"/>
            <w:tcBorders>
              <w:top w:val="single" w:color="auto" w:sz="4" w:space="0"/>
              <w:left w:val="single" w:color="auto" w:sz="4" w:space="0"/>
              <w:right w:val="single" w:color="auto" w:sz="4" w:space="0"/>
            </w:tcBorders>
          </w:tcPr>
          <w:p>
            <w:pPr>
              <w:spacing w:line="400" w:lineRule="exact"/>
              <w:rPr>
                <w:rFonts w:ascii="仿宋_GB2312" w:hAnsi="仿宋_GB2312" w:eastAsia="仿宋_GB2312" w:cs="仿宋_GB2312"/>
                <w:sz w:val="24"/>
                <w:highlight w:val="none"/>
                <w:u w:val="none"/>
              </w:rPr>
            </w:pPr>
            <w:r>
              <w:rPr>
                <w:rFonts w:hint="eastAsia" w:ascii="仿宋_GB2312" w:hAnsi="仿宋_GB2312" w:eastAsia="仿宋_GB2312" w:cs="仿宋_GB2312"/>
                <w:color w:val="auto"/>
                <w:sz w:val="24"/>
                <w:highlight w:val="none"/>
                <w:u w:val="none"/>
                <w:shd w:val="clear" w:color="auto" w:fill="auto"/>
                <w:lang w:val="en-US" w:eastAsia="zh-CN"/>
              </w:rPr>
              <w:t>2.2</w:t>
            </w:r>
            <w:r>
              <w:rPr>
                <w:rFonts w:hint="eastAsia" w:ascii="仿宋_GB2312" w:hAnsi="仿宋_GB2312" w:eastAsia="仿宋_GB2312" w:cs="仿宋_GB2312"/>
                <w:color w:val="auto"/>
                <w:sz w:val="24"/>
                <w:highlight w:val="none"/>
                <w:u w:val="none"/>
                <w:shd w:val="clear" w:color="auto" w:fill="auto"/>
              </w:rPr>
              <w:t>普通员工工作态度、质量、效率、专业水平</w:t>
            </w:r>
          </w:p>
        </w:tc>
        <w:tc>
          <w:tcPr>
            <w:tcW w:w="709" w:type="dxa"/>
            <w:tcBorders>
              <w:top w:val="single" w:color="auto" w:sz="4" w:space="0"/>
              <w:left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325" w:type="dxa"/>
            <w:tcBorders>
              <w:top w:val="single" w:color="auto" w:sz="4" w:space="0"/>
              <w:left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945" w:type="dxa"/>
            <w:tcBorders>
              <w:top w:val="single" w:color="auto" w:sz="4" w:space="0"/>
              <w:left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4" w:type="dxa"/>
            <w:vMerge w:val="restart"/>
            <w:tcBorders>
              <w:top w:val="single" w:color="auto" w:sz="4" w:space="0"/>
              <w:left w:val="single" w:color="auto" w:sz="4" w:space="0"/>
              <w:right w:val="single" w:color="auto" w:sz="4" w:space="0"/>
            </w:tcBorders>
            <w:vAlign w:val="center"/>
          </w:tcPr>
          <w:p>
            <w:pPr>
              <w:spacing w:line="400" w:lineRule="exact"/>
              <w:jc w:val="center"/>
              <w:rPr>
                <w:rFonts w:hint="default"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3</w:t>
            </w:r>
          </w:p>
        </w:tc>
        <w:tc>
          <w:tcPr>
            <w:tcW w:w="1952" w:type="dxa"/>
            <w:vMerge w:val="restart"/>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u w:val="none"/>
              </w:rPr>
            </w:pPr>
            <w:r>
              <w:rPr>
                <w:rFonts w:hint="eastAsia" w:ascii="仿宋_GB2312" w:hAnsi="仿宋_GB2312" w:eastAsia="仿宋_GB2312" w:cs="仿宋_GB2312"/>
                <w:sz w:val="24"/>
                <w:highlight w:val="none"/>
                <w:u w:val="none"/>
              </w:rPr>
              <w:t>综合管理服务</w:t>
            </w:r>
          </w:p>
        </w:tc>
        <w:tc>
          <w:tcPr>
            <w:tcW w:w="3293"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u w:val="none"/>
              </w:rPr>
            </w:pPr>
            <w:r>
              <w:rPr>
                <w:rFonts w:hint="eastAsia" w:ascii="仿宋_GB2312" w:hAnsi="仿宋_GB2312" w:eastAsia="仿宋_GB2312" w:cs="仿宋_GB2312"/>
                <w:sz w:val="24"/>
                <w:highlight w:val="none"/>
                <w:u w:val="none"/>
                <w:lang w:val="en-US" w:eastAsia="zh-CN"/>
              </w:rPr>
              <w:t>3.1</w:t>
            </w:r>
            <w:r>
              <w:rPr>
                <w:rFonts w:hint="eastAsia" w:ascii="仿宋_GB2312" w:hAnsi="仿宋_GB2312" w:eastAsia="仿宋_GB2312" w:cs="仿宋_GB2312"/>
                <w:sz w:val="24"/>
                <w:highlight w:val="none"/>
                <w:u w:val="none"/>
              </w:rPr>
              <w:t>公共业务受理</w:t>
            </w:r>
          </w:p>
        </w:tc>
        <w:tc>
          <w:tcPr>
            <w:tcW w:w="70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32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04" w:type="dxa"/>
            <w:vMerge w:val="continue"/>
            <w:tcBorders>
              <w:left w:val="single" w:color="auto" w:sz="4" w:space="0"/>
              <w:right w:val="single" w:color="auto" w:sz="4" w:space="0"/>
            </w:tcBorders>
            <w:vAlign w:val="center"/>
          </w:tcPr>
          <w:p>
            <w:pPr>
              <w:spacing w:line="400" w:lineRule="exact"/>
              <w:jc w:val="center"/>
              <w:rPr>
                <w:rFonts w:hint="eastAsia" w:ascii="仿宋_GB2312" w:hAnsi="仿宋_GB2312" w:eastAsia="仿宋_GB2312" w:cs="仿宋_GB2312"/>
                <w:sz w:val="24"/>
                <w:highlight w:val="none"/>
                <w:lang w:eastAsia="zh-CN"/>
              </w:rPr>
            </w:pPr>
          </w:p>
        </w:tc>
        <w:tc>
          <w:tcPr>
            <w:tcW w:w="1952"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u w:val="none"/>
              </w:rPr>
            </w:pPr>
          </w:p>
        </w:tc>
        <w:tc>
          <w:tcPr>
            <w:tcW w:w="3293"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u w:val="none"/>
              </w:rPr>
            </w:pPr>
            <w:r>
              <w:rPr>
                <w:rFonts w:hint="eastAsia" w:ascii="仿宋_GB2312" w:hAnsi="仿宋_GB2312" w:eastAsia="仿宋_GB2312" w:cs="仿宋_GB2312"/>
                <w:sz w:val="24"/>
                <w:highlight w:val="none"/>
                <w:u w:val="none"/>
                <w:lang w:val="en-US" w:eastAsia="zh-CN"/>
              </w:rPr>
              <w:t>3.2</w:t>
            </w:r>
            <w:r>
              <w:rPr>
                <w:rFonts w:hint="eastAsia" w:ascii="仿宋_GB2312" w:hAnsi="仿宋_GB2312" w:eastAsia="仿宋_GB2312" w:cs="仿宋_GB2312"/>
                <w:sz w:val="24"/>
                <w:highlight w:val="none"/>
                <w:u w:val="none"/>
              </w:rPr>
              <w:t>投诉处理</w:t>
            </w:r>
          </w:p>
        </w:tc>
        <w:tc>
          <w:tcPr>
            <w:tcW w:w="70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32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04" w:type="dxa"/>
            <w:vMerge w:val="continue"/>
            <w:tcBorders>
              <w:left w:val="single" w:color="auto" w:sz="4" w:space="0"/>
              <w:bottom w:val="single" w:color="auto" w:sz="4" w:space="0"/>
              <w:right w:val="single" w:color="auto" w:sz="4" w:space="0"/>
            </w:tcBorders>
            <w:vAlign w:val="center"/>
          </w:tcPr>
          <w:p>
            <w:pPr>
              <w:spacing w:line="400" w:lineRule="exact"/>
              <w:jc w:val="center"/>
              <w:rPr>
                <w:rFonts w:hint="eastAsia" w:ascii="仿宋_GB2312" w:hAnsi="仿宋_GB2312" w:eastAsia="仿宋_GB2312" w:cs="仿宋_GB2312"/>
                <w:sz w:val="24"/>
                <w:highlight w:val="none"/>
                <w:lang w:eastAsia="zh-CN"/>
              </w:rPr>
            </w:pPr>
          </w:p>
        </w:tc>
        <w:tc>
          <w:tcPr>
            <w:tcW w:w="1952"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u w:val="none"/>
              </w:rPr>
            </w:pPr>
          </w:p>
        </w:tc>
        <w:tc>
          <w:tcPr>
            <w:tcW w:w="3293"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u w:val="none"/>
              </w:rPr>
            </w:pPr>
            <w:r>
              <w:rPr>
                <w:rFonts w:hint="eastAsia" w:ascii="仿宋_GB2312" w:hAnsi="仿宋_GB2312" w:eastAsia="仿宋_GB2312" w:cs="仿宋_GB2312"/>
                <w:sz w:val="24"/>
                <w:highlight w:val="none"/>
                <w:u w:val="none"/>
                <w:lang w:val="en-US" w:eastAsia="zh-CN"/>
              </w:rPr>
              <w:t>3.3</w:t>
            </w:r>
            <w:r>
              <w:rPr>
                <w:rFonts w:hint="eastAsia" w:ascii="仿宋_GB2312" w:hAnsi="仿宋_GB2312" w:eastAsia="仿宋_GB2312" w:cs="仿宋_GB2312"/>
                <w:sz w:val="24"/>
                <w:highlight w:val="none"/>
                <w:u w:val="none"/>
              </w:rPr>
              <w:t>节能管理</w:t>
            </w:r>
          </w:p>
        </w:tc>
        <w:tc>
          <w:tcPr>
            <w:tcW w:w="70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32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Merge w:val="restart"/>
            <w:tcBorders>
              <w:top w:val="single" w:color="auto" w:sz="4" w:space="0"/>
              <w:left w:val="single" w:color="auto" w:sz="4" w:space="0"/>
              <w:right w:val="single" w:color="auto" w:sz="4" w:space="0"/>
            </w:tcBorders>
            <w:vAlign w:val="center"/>
          </w:tcPr>
          <w:p>
            <w:pPr>
              <w:spacing w:line="400" w:lineRule="exact"/>
              <w:jc w:val="center"/>
              <w:rPr>
                <w:rFonts w:hint="default"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4</w:t>
            </w:r>
          </w:p>
        </w:tc>
        <w:tc>
          <w:tcPr>
            <w:tcW w:w="1952" w:type="dxa"/>
            <w:vMerge w:val="restart"/>
            <w:tcBorders>
              <w:top w:val="single" w:color="auto" w:sz="4" w:space="0"/>
              <w:left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u w:val="none"/>
              </w:rPr>
            </w:pPr>
            <w:r>
              <w:rPr>
                <w:rFonts w:hint="eastAsia" w:ascii="仿宋_GB2312" w:hAnsi="仿宋_GB2312" w:eastAsia="仿宋_GB2312" w:cs="仿宋_GB2312"/>
                <w:color w:val="auto"/>
                <w:sz w:val="24"/>
                <w:highlight w:val="none"/>
                <w:u w:val="none"/>
                <w:shd w:val="clear" w:color="auto" w:fill="auto"/>
              </w:rPr>
              <w:t>物业管理公共用品、生活设施维修服务</w:t>
            </w:r>
          </w:p>
        </w:tc>
        <w:tc>
          <w:tcPr>
            <w:tcW w:w="329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仿宋_GB2312" w:hAnsi="仿宋_GB2312" w:eastAsia="仿宋_GB2312" w:cs="仿宋_GB2312"/>
                <w:sz w:val="24"/>
                <w:highlight w:val="none"/>
                <w:u w:val="none"/>
                <w:lang w:eastAsia="zh-CN"/>
              </w:rPr>
            </w:pPr>
            <w:r>
              <w:rPr>
                <w:rFonts w:hint="eastAsia" w:ascii="仿宋_GB2312" w:hAnsi="仿宋_GB2312" w:eastAsia="仿宋_GB2312" w:cs="仿宋_GB2312"/>
                <w:sz w:val="24"/>
                <w:highlight w:val="none"/>
                <w:u w:val="none"/>
                <w:lang w:val="en-US" w:eastAsia="zh-CN"/>
              </w:rPr>
              <w:t>4.1公共</w:t>
            </w:r>
            <w:r>
              <w:rPr>
                <w:rFonts w:hint="eastAsia" w:ascii="仿宋_GB2312" w:hAnsi="仿宋_GB2312" w:eastAsia="仿宋_GB2312" w:cs="仿宋_GB2312"/>
                <w:sz w:val="24"/>
                <w:highlight w:val="none"/>
                <w:u w:val="none"/>
              </w:rPr>
              <w:t>设施设备运行管理</w:t>
            </w:r>
            <w:r>
              <w:rPr>
                <w:rFonts w:hint="eastAsia" w:ascii="仿宋_GB2312" w:hAnsi="仿宋_GB2312" w:eastAsia="仿宋_GB2312" w:cs="仿宋_GB2312"/>
                <w:sz w:val="24"/>
                <w:highlight w:val="none"/>
                <w:u w:val="none"/>
                <w:lang w:val="en-US" w:eastAsia="zh-CN"/>
              </w:rPr>
              <w:t>及维修维护质量</w:t>
            </w:r>
          </w:p>
        </w:tc>
        <w:tc>
          <w:tcPr>
            <w:tcW w:w="70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32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Merge w:val="continue"/>
            <w:tcBorders>
              <w:left w:val="single" w:color="auto" w:sz="4" w:space="0"/>
              <w:bottom w:val="single" w:color="auto" w:sz="4" w:space="0"/>
              <w:right w:val="single" w:color="auto" w:sz="4" w:space="0"/>
            </w:tcBorders>
            <w:vAlign w:val="center"/>
          </w:tcPr>
          <w:p>
            <w:pPr>
              <w:spacing w:line="400" w:lineRule="exact"/>
              <w:jc w:val="center"/>
              <w:rPr>
                <w:rFonts w:hint="default" w:ascii="仿宋_GB2312" w:hAnsi="仿宋_GB2312" w:eastAsia="仿宋_GB2312" w:cs="仿宋_GB2312"/>
                <w:sz w:val="24"/>
                <w:highlight w:val="none"/>
                <w:lang w:val="en-US" w:eastAsia="zh-CN"/>
              </w:rPr>
            </w:pPr>
          </w:p>
        </w:tc>
        <w:tc>
          <w:tcPr>
            <w:tcW w:w="1952" w:type="dxa"/>
            <w:vMerge w:val="continue"/>
            <w:tcBorders>
              <w:left w:val="single" w:color="auto" w:sz="4" w:space="0"/>
              <w:bottom w:val="single" w:color="auto" w:sz="4" w:space="0"/>
              <w:right w:val="single" w:color="auto" w:sz="4" w:space="0"/>
            </w:tcBorders>
            <w:vAlign w:val="center"/>
          </w:tcPr>
          <w:p>
            <w:pPr>
              <w:spacing w:line="400" w:lineRule="exact"/>
              <w:rPr>
                <w:rFonts w:hint="eastAsia" w:ascii="仿宋_GB2312" w:hAnsi="仿宋_GB2312" w:eastAsia="仿宋_GB2312" w:cs="仿宋_GB2312"/>
                <w:color w:val="auto"/>
                <w:sz w:val="24"/>
                <w:highlight w:val="none"/>
                <w:u w:val="none"/>
                <w:shd w:val="clear" w:color="auto" w:fill="auto"/>
              </w:rPr>
            </w:pPr>
          </w:p>
        </w:tc>
        <w:tc>
          <w:tcPr>
            <w:tcW w:w="329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仿宋_GB2312" w:hAnsi="仿宋_GB2312" w:eastAsia="仿宋_GB2312" w:cs="仿宋_GB2312"/>
                <w:sz w:val="24"/>
                <w:highlight w:val="none"/>
                <w:u w:val="none"/>
                <w:lang w:val="en-US" w:eastAsia="zh-CN"/>
              </w:rPr>
            </w:pPr>
            <w:r>
              <w:rPr>
                <w:rFonts w:hint="eastAsia" w:ascii="仿宋_GB2312" w:hAnsi="仿宋_GB2312" w:eastAsia="仿宋_GB2312" w:cs="仿宋_GB2312"/>
                <w:sz w:val="24"/>
                <w:highlight w:val="none"/>
                <w:u w:val="none"/>
                <w:lang w:val="en-US" w:eastAsia="zh-CN"/>
              </w:rPr>
              <w:t>4.2日常零星维修服务质量</w:t>
            </w:r>
          </w:p>
        </w:tc>
        <w:tc>
          <w:tcPr>
            <w:tcW w:w="70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32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04" w:type="dxa"/>
            <w:vMerge w:val="restart"/>
            <w:tcBorders>
              <w:top w:val="single" w:color="auto" w:sz="4" w:space="0"/>
              <w:left w:val="single" w:color="auto" w:sz="4" w:space="0"/>
              <w:right w:val="single" w:color="auto" w:sz="4" w:space="0"/>
            </w:tcBorders>
            <w:vAlign w:val="center"/>
          </w:tcPr>
          <w:p>
            <w:pPr>
              <w:spacing w:line="400" w:lineRule="exact"/>
              <w:jc w:val="center"/>
              <w:rPr>
                <w:rFonts w:hint="default" w:ascii="仿宋_GB2312" w:hAnsi="仿宋_GB2312" w:eastAsia="仿宋_GB2312" w:cs="仿宋_GB2312"/>
                <w:sz w:val="24"/>
                <w:highlight w:val="none"/>
                <w:lang w:val="en-US"/>
              </w:rPr>
            </w:pPr>
            <w:r>
              <w:rPr>
                <w:rFonts w:hint="eastAsia" w:ascii="仿宋_GB2312" w:hAnsi="仿宋_GB2312" w:eastAsia="仿宋_GB2312" w:cs="仿宋_GB2312"/>
                <w:sz w:val="24"/>
                <w:highlight w:val="none"/>
                <w:lang w:val="en-US" w:eastAsia="zh-CN"/>
              </w:rPr>
              <w:t>5</w:t>
            </w:r>
          </w:p>
        </w:tc>
        <w:tc>
          <w:tcPr>
            <w:tcW w:w="1952" w:type="dxa"/>
            <w:vMerge w:val="restart"/>
            <w:tcBorders>
              <w:top w:val="single" w:color="auto" w:sz="4" w:space="0"/>
              <w:left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u w:val="none"/>
              </w:rPr>
            </w:pPr>
            <w:r>
              <w:rPr>
                <w:rFonts w:hint="eastAsia" w:ascii="仿宋_GB2312" w:hAnsi="仿宋_GB2312" w:eastAsia="仿宋_GB2312" w:cs="仿宋_GB2312"/>
                <w:color w:val="auto"/>
                <w:sz w:val="24"/>
                <w:highlight w:val="none"/>
                <w:u w:val="none"/>
                <w:shd w:val="clear" w:color="auto" w:fill="auto"/>
              </w:rPr>
              <w:t>物业管理环境卫生服务</w:t>
            </w:r>
          </w:p>
        </w:tc>
        <w:tc>
          <w:tcPr>
            <w:tcW w:w="329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仿宋_GB2312" w:hAnsi="仿宋_GB2312" w:eastAsia="仿宋_GB2312" w:cs="仿宋_GB2312"/>
                <w:sz w:val="24"/>
                <w:highlight w:val="none"/>
                <w:u w:val="none"/>
                <w:lang w:val="en-US" w:eastAsia="zh-CN"/>
              </w:rPr>
            </w:pPr>
            <w:r>
              <w:rPr>
                <w:rFonts w:hint="eastAsia" w:ascii="仿宋_GB2312" w:hAnsi="仿宋_GB2312" w:eastAsia="仿宋_GB2312" w:cs="仿宋_GB2312"/>
                <w:sz w:val="24"/>
                <w:highlight w:val="none"/>
                <w:u w:val="none"/>
                <w:lang w:val="en-US" w:eastAsia="zh-CN"/>
              </w:rPr>
              <w:t>5.1室内区域：学校会议室、报告厅、礼堂、</w:t>
            </w:r>
            <w:r>
              <w:rPr>
                <w:rFonts w:hint="eastAsia" w:ascii="仿宋_GB2312" w:hAnsi="仿宋_GB2312" w:eastAsia="仿宋_GB2312" w:cs="仿宋_GB2312"/>
                <w:color w:val="auto"/>
                <w:sz w:val="24"/>
                <w:highlight w:val="none"/>
                <w:u w:val="none"/>
                <w:shd w:val="clear" w:color="auto" w:fill="auto"/>
              </w:rPr>
              <w:t>办公区</w:t>
            </w:r>
            <w:r>
              <w:rPr>
                <w:rFonts w:hint="eastAsia" w:ascii="仿宋_GB2312" w:hAnsi="仿宋_GB2312" w:eastAsia="仿宋_GB2312" w:cs="仿宋_GB2312"/>
                <w:color w:val="auto"/>
                <w:sz w:val="24"/>
                <w:highlight w:val="none"/>
                <w:u w:val="none"/>
                <w:shd w:val="clear" w:color="auto" w:fill="auto"/>
                <w:lang w:val="en-US" w:eastAsia="zh-CN"/>
              </w:rPr>
              <w:t>及</w:t>
            </w:r>
            <w:r>
              <w:rPr>
                <w:rFonts w:hint="eastAsia" w:ascii="仿宋_GB2312" w:hAnsi="仿宋_GB2312" w:eastAsia="仿宋_GB2312" w:cs="仿宋_GB2312"/>
                <w:color w:val="auto"/>
                <w:sz w:val="24"/>
                <w:highlight w:val="none"/>
                <w:u w:val="none"/>
                <w:shd w:val="clear" w:color="auto" w:fill="auto"/>
              </w:rPr>
              <w:t>教学</w:t>
            </w:r>
            <w:r>
              <w:rPr>
                <w:rFonts w:hint="eastAsia" w:ascii="仿宋_GB2312" w:hAnsi="仿宋_GB2312" w:eastAsia="仿宋_GB2312" w:cs="仿宋_GB2312"/>
                <w:color w:val="auto"/>
                <w:sz w:val="24"/>
                <w:highlight w:val="none"/>
                <w:u w:val="none"/>
                <w:shd w:val="clear" w:color="auto" w:fill="auto"/>
                <w:lang w:val="en-US" w:eastAsia="zh-CN"/>
              </w:rPr>
              <w:t>实训区走廊连廊楼梯间、卫生间、地下停车场保洁质量</w:t>
            </w:r>
          </w:p>
        </w:tc>
        <w:tc>
          <w:tcPr>
            <w:tcW w:w="70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32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04" w:type="dxa"/>
            <w:vMerge w:val="continue"/>
            <w:tcBorders>
              <w:left w:val="single" w:color="auto" w:sz="4" w:space="0"/>
              <w:bottom w:val="single" w:color="auto" w:sz="4" w:space="0"/>
              <w:right w:val="single" w:color="auto" w:sz="4" w:space="0"/>
            </w:tcBorders>
            <w:vAlign w:val="center"/>
          </w:tcPr>
          <w:p>
            <w:pPr>
              <w:spacing w:line="400" w:lineRule="exact"/>
              <w:jc w:val="center"/>
              <w:rPr>
                <w:rFonts w:hint="default" w:ascii="仿宋_GB2312" w:hAnsi="仿宋_GB2312" w:eastAsia="仿宋_GB2312" w:cs="仿宋_GB2312"/>
                <w:sz w:val="24"/>
                <w:highlight w:val="none"/>
                <w:lang w:val="en-US" w:eastAsia="zh-CN"/>
              </w:rPr>
            </w:pPr>
          </w:p>
        </w:tc>
        <w:tc>
          <w:tcPr>
            <w:tcW w:w="1952" w:type="dxa"/>
            <w:vMerge w:val="continue"/>
            <w:tcBorders>
              <w:left w:val="single" w:color="auto" w:sz="4" w:space="0"/>
              <w:bottom w:val="single" w:color="auto" w:sz="4" w:space="0"/>
              <w:right w:val="single" w:color="auto" w:sz="4" w:space="0"/>
            </w:tcBorders>
            <w:vAlign w:val="center"/>
          </w:tcPr>
          <w:p>
            <w:pPr>
              <w:spacing w:line="400" w:lineRule="exact"/>
              <w:rPr>
                <w:rFonts w:hint="eastAsia" w:ascii="仿宋_GB2312" w:hAnsi="仿宋_GB2312" w:eastAsia="仿宋_GB2312" w:cs="仿宋_GB2312"/>
                <w:color w:val="auto"/>
                <w:sz w:val="24"/>
                <w:highlight w:val="none"/>
                <w:u w:val="none"/>
                <w:shd w:val="clear" w:color="auto" w:fill="auto"/>
              </w:rPr>
            </w:pPr>
          </w:p>
        </w:tc>
        <w:tc>
          <w:tcPr>
            <w:tcW w:w="329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仿宋_GB2312" w:hAnsi="仿宋_GB2312" w:eastAsia="仿宋_GB2312" w:cs="仿宋_GB2312"/>
                <w:sz w:val="24"/>
                <w:highlight w:val="none"/>
                <w:u w:val="none"/>
                <w:lang w:val="en-US" w:eastAsia="zh-CN"/>
              </w:rPr>
            </w:pPr>
            <w:r>
              <w:rPr>
                <w:rFonts w:hint="eastAsia" w:ascii="仿宋_GB2312" w:hAnsi="仿宋_GB2312" w:eastAsia="仿宋_GB2312" w:cs="仿宋_GB2312"/>
                <w:sz w:val="24"/>
                <w:highlight w:val="none"/>
                <w:u w:val="none"/>
                <w:lang w:val="en-US" w:eastAsia="zh-CN"/>
              </w:rPr>
              <w:t>5.2室外区域：</w:t>
            </w:r>
            <w:r>
              <w:rPr>
                <w:rFonts w:hint="eastAsia" w:ascii="仿宋_GB2312" w:hAnsi="仿宋_GB2312" w:eastAsia="仿宋_GB2312" w:cs="仿宋_GB2312"/>
                <w:color w:val="auto"/>
                <w:sz w:val="24"/>
                <w:highlight w:val="none"/>
                <w:u w:val="none"/>
                <w:shd w:val="clear" w:color="auto" w:fill="auto"/>
              </w:rPr>
              <w:t>道路</w:t>
            </w:r>
            <w:r>
              <w:rPr>
                <w:rFonts w:hint="eastAsia" w:ascii="仿宋_GB2312" w:hAnsi="仿宋_GB2312" w:eastAsia="仿宋_GB2312" w:cs="仿宋_GB2312"/>
                <w:color w:val="auto"/>
                <w:sz w:val="24"/>
                <w:highlight w:val="none"/>
                <w:u w:val="none"/>
                <w:shd w:val="clear" w:color="auto" w:fill="auto"/>
                <w:lang w:val="en-US" w:eastAsia="zh-CN"/>
              </w:rPr>
              <w:t>及绿地</w:t>
            </w:r>
            <w:r>
              <w:rPr>
                <w:rFonts w:hint="eastAsia" w:ascii="仿宋_GB2312" w:hAnsi="仿宋_GB2312" w:eastAsia="仿宋_GB2312" w:cs="仿宋_GB2312"/>
                <w:sz w:val="24"/>
                <w:highlight w:val="none"/>
                <w:u w:val="none"/>
              </w:rPr>
              <w:t>保洁质量</w:t>
            </w:r>
            <w:r>
              <w:rPr>
                <w:rFonts w:hint="eastAsia" w:ascii="仿宋_GB2312" w:hAnsi="仿宋_GB2312" w:eastAsia="仿宋_GB2312" w:cs="仿宋_GB2312"/>
                <w:sz w:val="24"/>
                <w:highlight w:val="none"/>
                <w:u w:val="none"/>
                <w:lang w:eastAsia="zh-CN"/>
              </w:rPr>
              <w:t>、</w:t>
            </w:r>
            <w:r>
              <w:rPr>
                <w:rFonts w:hint="eastAsia" w:ascii="仿宋_GB2312" w:hAnsi="仿宋_GB2312" w:eastAsia="仿宋_GB2312" w:cs="仿宋_GB2312"/>
                <w:sz w:val="24"/>
                <w:highlight w:val="none"/>
                <w:u w:val="none"/>
                <w:lang w:val="en-US" w:eastAsia="zh-CN"/>
              </w:rPr>
              <w:t>垃圾分类及清理合规，清理及时</w:t>
            </w:r>
          </w:p>
        </w:tc>
        <w:tc>
          <w:tcPr>
            <w:tcW w:w="70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32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6</w:t>
            </w:r>
          </w:p>
        </w:tc>
        <w:tc>
          <w:tcPr>
            <w:tcW w:w="19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u w:val="none"/>
              </w:rPr>
            </w:pPr>
            <w:r>
              <w:rPr>
                <w:rFonts w:hint="eastAsia" w:ascii="仿宋_GB2312" w:hAnsi="仿宋_GB2312" w:eastAsia="仿宋_GB2312" w:cs="仿宋_GB2312"/>
                <w:sz w:val="24"/>
                <w:highlight w:val="none"/>
                <w:u w:val="none"/>
              </w:rPr>
              <w:t>学生公寓管理服务</w:t>
            </w:r>
          </w:p>
        </w:tc>
        <w:tc>
          <w:tcPr>
            <w:tcW w:w="3293"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u w:val="none"/>
              </w:rPr>
            </w:pPr>
            <w:r>
              <w:rPr>
                <w:rFonts w:hint="eastAsia" w:ascii="仿宋_GB2312" w:hAnsi="仿宋_GB2312" w:eastAsia="仿宋_GB2312" w:cs="仿宋_GB2312"/>
                <w:color w:val="auto"/>
                <w:sz w:val="24"/>
                <w:highlight w:val="none"/>
                <w:u w:val="none"/>
                <w:shd w:val="clear" w:color="auto" w:fill="auto"/>
                <w:lang w:val="en-US" w:eastAsia="zh-CN"/>
              </w:rPr>
              <w:t>6.</w:t>
            </w:r>
            <w:r>
              <w:rPr>
                <w:rFonts w:hint="eastAsia" w:ascii="仿宋_GB2312" w:hAnsi="仿宋_GB2312" w:eastAsia="仿宋_GB2312" w:cs="仿宋_GB2312"/>
                <w:color w:val="auto"/>
                <w:sz w:val="24"/>
                <w:highlight w:val="none"/>
                <w:u w:val="none"/>
                <w:shd w:val="clear" w:color="auto" w:fill="auto"/>
              </w:rPr>
              <w:t>学生公寓人员进出、查房、纪律、卫生、节能管理</w:t>
            </w:r>
          </w:p>
        </w:tc>
        <w:tc>
          <w:tcPr>
            <w:tcW w:w="70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32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7</w:t>
            </w:r>
          </w:p>
        </w:tc>
        <w:tc>
          <w:tcPr>
            <w:tcW w:w="19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仿宋_GB2312" w:hAnsi="仿宋_GB2312" w:eastAsia="仿宋_GB2312" w:cs="仿宋_GB2312"/>
                <w:sz w:val="24"/>
                <w:highlight w:val="none"/>
                <w:u w:val="none"/>
              </w:rPr>
            </w:pPr>
            <w:r>
              <w:rPr>
                <w:rFonts w:hint="eastAsia" w:ascii="仿宋_GB2312" w:hAnsi="仿宋_GB2312" w:eastAsia="仿宋_GB2312" w:cs="仿宋_GB2312"/>
                <w:sz w:val="24"/>
                <w:highlight w:val="none"/>
                <w:u w:val="none"/>
              </w:rPr>
              <w:t>学员公寓管理服务</w:t>
            </w:r>
          </w:p>
        </w:tc>
        <w:tc>
          <w:tcPr>
            <w:tcW w:w="329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仿宋_GB2312" w:hAnsi="仿宋_GB2312" w:eastAsia="仿宋_GB2312" w:cs="仿宋_GB2312"/>
                <w:sz w:val="24"/>
                <w:highlight w:val="none"/>
                <w:u w:val="none"/>
              </w:rPr>
            </w:pPr>
            <w:r>
              <w:rPr>
                <w:rFonts w:hint="eastAsia" w:ascii="仿宋_GB2312" w:hAnsi="仿宋_GB2312" w:eastAsia="仿宋_GB2312" w:cs="仿宋_GB2312"/>
                <w:color w:val="auto"/>
                <w:sz w:val="24"/>
                <w:highlight w:val="none"/>
                <w:u w:val="none"/>
                <w:shd w:val="clear" w:color="auto" w:fill="auto"/>
                <w:lang w:val="en-US" w:eastAsia="zh-CN"/>
              </w:rPr>
              <w:t>7.</w:t>
            </w:r>
            <w:r>
              <w:rPr>
                <w:rFonts w:hint="eastAsia" w:ascii="仿宋_GB2312" w:hAnsi="仿宋_GB2312" w:eastAsia="仿宋_GB2312" w:cs="仿宋_GB2312"/>
                <w:color w:val="auto"/>
                <w:sz w:val="24"/>
                <w:highlight w:val="none"/>
                <w:u w:val="none"/>
                <w:shd w:val="clear" w:color="auto" w:fill="auto"/>
              </w:rPr>
              <w:t>学员公寓人员进出、查房、纪律、卫生</w:t>
            </w:r>
            <w:r>
              <w:rPr>
                <w:rFonts w:hint="eastAsia" w:ascii="仿宋_GB2312" w:hAnsi="仿宋_GB2312" w:eastAsia="仿宋_GB2312" w:cs="仿宋_GB2312"/>
                <w:sz w:val="24"/>
                <w:highlight w:val="none"/>
                <w:u w:val="none"/>
              </w:rPr>
              <w:t>保洁</w:t>
            </w:r>
            <w:r>
              <w:rPr>
                <w:rFonts w:hint="eastAsia" w:ascii="仿宋_GB2312" w:hAnsi="仿宋_GB2312" w:eastAsia="仿宋_GB2312" w:cs="仿宋_GB2312"/>
                <w:color w:val="auto"/>
                <w:sz w:val="24"/>
                <w:highlight w:val="none"/>
                <w:u w:val="none"/>
                <w:shd w:val="clear" w:color="auto" w:fill="auto"/>
              </w:rPr>
              <w:t>、房间布置、节能管理</w:t>
            </w:r>
          </w:p>
        </w:tc>
        <w:tc>
          <w:tcPr>
            <w:tcW w:w="70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32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8</w:t>
            </w:r>
          </w:p>
        </w:tc>
        <w:tc>
          <w:tcPr>
            <w:tcW w:w="19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仿宋_GB2312" w:hAnsi="仿宋_GB2312" w:eastAsia="仿宋_GB2312" w:cs="仿宋_GB2312"/>
                <w:sz w:val="24"/>
                <w:highlight w:val="none"/>
                <w:u w:val="none"/>
                <w:lang w:val="en-US" w:eastAsia="zh-CN"/>
              </w:rPr>
            </w:pPr>
            <w:r>
              <w:rPr>
                <w:rFonts w:hint="eastAsia" w:ascii="仿宋_GB2312" w:hAnsi="仿宋_GB2312" w:eastAsia="仿宋_GB2312" w:cs="仿宋_GB2312"/>
                <w:sz w:val="24"/>
                <w:highlight w:val="none"/>
                <w:u w:val="none"/>
                <w:lang w:val="en-US" w:eastAsia="zh-CN"/>
              </w:rPr>
              <w:t>绿植病虫害防治、有害生物防治服务</w:t>
            </w:r>
          </w:p>
        </w:tc>
        <w:tc>
          <w:tcPr>
            <w:tcW w:w="329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仿宋_GB2312" w:hAnsi="仿宋_GB2312" w:eastAsia="仿宋_GB2312" w:cs="仿宋_GB2312"/>
                <w:color w:val="auto"/>
                <w:sz w:val="24"/>
                <w:highlight w:val="none"/>
                <w:u w:val="none"/>
                <w:shd w:val="clear" w:color="auto" w:fill="auto"/>
                <w:lang w:val="en-US" w:eastAsia="zh-CN"/>
              </w:rPr>
            </w:pPr>
            <w:r>
              <w:rPr>
                <w:rFonts w:hint="eastAsia" w:ascii="仿宋_GB2312" w:hAnsi="仿宋_GB2312" w:eastAsia="仿宋_GB2312" w:cs="仿宋_GB2312"/>
                <w:color w:val="auto"/>
                <w:sz w:val="24"/>
                <w:highlight w:val="none"/>
                <w:u w:val="none"/>
                <w:shd w:val="clear" w:color="auto" w:fill="auto"/>
                <w:lang w:val="en-US" w:eastAsia="zh-CN"/>
              </w:rPr>
              <w:t>8.防治方法、措施、频率、效果、服务态度</w:t>
            </w:r>
          </w:p>
        </w:tc>
        <w:tc>
          <w:tcPr>
            <w:tcW w:w="70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32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9</w:t>
            </w:r>
          </w:p>
        </w:tc>
        <w:tc>
          <w:tcPr>
            <w:tcW w:w="19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仿宋_GB2312" w:hAnsi="仿宋_GB2312" w:eastAsia="仿宋_GB2312" w:cs="仿宋_GB2312"/>
                <w:sz w:val="24"/>
                <w:highlight w:val="none"/>
                <w:u w:val="none"/>
                <w:lang w:val="en-US" w:eastAsia="zh-CN"/>
              </w:rPr>
            </w:pPr>
            <w:r>
              <w:rPr>
                <w:rFonts w:hint="eastAsia" w:ascii="仿宋_GB2312" w:hAnsi="仿宋_GB2312" w:eastAsia="仿宋_GB2312" w:cs="仿宋_GB2312"/>
                <w:sz w:val="24"/>
                <w:highlight w:val="none"/>
                <w:u w:val="none"/>
                <w:lang w:val="en-US" w:eastAsia="zh-CN"/>
              </w:rPr>
              <w:t>校园绿化养护服务</w:t>
            </w:r>
          </w:p>
        </w:tc>
        <w:tc>
          <w:tcPr>
            <w:tcW w:w="329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仿宋_GB2312" w:hAnsi="仿宋_GB2312" w:eastAsia="仿宋_GB2312" w:cs="仿宋_GB2312"/>
                <w:color w:val="auto"/>
                <w:sz w:val="24"/>
                <w:highlight w:val="none"/>
                <w:u w:val="none"/>
                <w:shd w:val="clear" w:color="auto" w:fill="auto"/>
                <w:lang w:val="en-US" w:eastAsia="zh-CN"/>
              </w:rPr>
            </w:pPr>
            <w:r>
              <w:rPr>
                <w:rFonts w:hint="eastAsia" w:ascii="仿宋_GB2312" w:hAnsi="仿宋_GB2312" w:eastAsia="仿宋_GB2312" w:cs="仿宋_GB2312"/>
                <w:color w:val="auto"/>
                <w:sz w:val="24"/>
                <w:highlight w:val="none"/>
                <w:u w:val="none"/>
                <w:shd w:val="clear" w:color="auto" w:fill="auto"/>
                <w:lang w:val="en-US" w:eastAsia="zh-CN"/>
              </w:rPr>
              <w:t>9.绿植浇灌、修剪、除杂草、施肥、行道树树干涂白、补植、防冻抗寒保护</w:t>
            </w:r>
          </w:p>
        </w:tc>
        <w:tc>
          <w:tcPr>
            <w:tcW w:w="70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32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10</w:t>
            </w:r>
          </w:p>
        </w:tc>
        <w:tc>
          <w:tcPr>
            <w:tcW w:w="19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u w:val="none"/>
              </w:rPr>
            </w:pPr>
            <w:r>
              <w:rPr>
                <w:rFonts w:hint="eastAsia" w:ascii="仿宋_GB2312" w:hAnsi="仿宋_GB2312" w:eastAsia="仿宋_GB2312" w:cs="仿宋_GB2312"/>
                <w:sz w:val="24"/>
                <w:highlight w:val="none"/>
                <w:u w:val="none"/>
              </w:rPr>
              <w:t>总体评价</w:t>
            </w:r>
          </w:p>
        </w:tc>
        <w:tc>
          <w:tcPr>
            <w:tcW w:w="3293"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u w:val="none"/>
              </w:rPr>
            </w:pPr>
            <w:r>
              <w:rPr>
                <w:rFonts w:hint="eastAsia" w:ascii="仿宋_GB2312" w:hAnsi="仿宋_GB2312" w:eastAsia="仿宋_GB2312" w:cs="仿宋_GB2312"/>
                <w:sz w:val="24"/>
                <w:highlight w:val="none"/>
                <w:u w:val="none"/>
                <w:lang w:val="en-US" w:eastAsia="zh-CN"/>
              </w:rPr>
              <w:t>10.您</w:t>
            </w:r>
            <w:r>
              <w:rPr>
                <w:rFonts w:hint="eastAsia" w:ascii="仿宋_GB2312" w:hAnsi="仿宋_GB2312" w:eastAsia="仿宋_GB2312" w:cs="仿宋_GB2312"/>
                <w:sz w:val="24"/>
                <w:highlight w:val="none"/>
                <w:u w:val="none"/>
              </w:rPr>
              <w:t>对物业管理服务质量的总体评价</w:t>
            </w:r>
          </w:p>
        </w:tc>
        <w:tc>
          <w:tcPr>
            <w:tcW w:w="70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32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40" w:type="dxa"/>
            <w:gridSpan w:val="7"/>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注：1</w:t>
            </w:r>
            <w:r>
              <w:rPr>
                <w:rFonts w:hint="eastAsia" w:ascii="仿宋_GB2312" w:hAnsi="仿宋_GB2312" w:eastAsia="仿宋_GB2312" w:cs="仿宋_GB2312"/>
                <w:sz w:val="24"/>
                <w:highlight w:val="none"/>
                <w:lang w:val="en-US" w:eastAsia="zh-CN"/>
              </w:rPr>
              <w:t>.</w:t>
            </w:r>
            <w:r>
              <w:rPr>
                <w:rFonts w:hint="eastAsia" w:ascii="仿宋_GB2312" w:hAnsi="仿宋_GB2312" w:eastAsia="仿宋_GB2312" w:cs="仿宋_GB2312"/>
                <w:sz w:val="24"/>
                <w:highlight w:val="none"/>
              </w:rPr>
              <w:t>满意率=（满意项+基本满意项）/（满意项+基本满意项+不满意+不了解）×100%；2</w:t>
            </w:r>
            <w:r>
              <w:rPr>
                <w:rFonts w:hint="eastAsia" w:ascii="仿宋_GB2312" w:hAnsi="仿宋_GB2312" w:eastAsia="仿宋_GB2312" w:cs="仿宋_GB2312"/>
                <w:sz w:val="24"/>
                <w:highlight w:val="none"/>
                <w:lang w:val="en-US" w:eastAsia="zh-CN"/>
              </w:rPr>
              <w:t>.</w:t>
            </w:r>
            <w:r>
              <w:rPr>
                <w:rFonts w:hint="eastAsia" w:ascii="仿宋_GB2312" w:hAnsi="仿宋_GB2312" w:eastAsia="仿宋_GB2312" w:cs="仿宋_GB2312"/>
                <w:sz w:val="24"/>
                <w:highlight w:val="none"/>
              </w:rPr>
              <w:t>总体评价非常重要，将影响管理服务公司的绩效；子项目评价将用于督促管理服务公司针对性地改进工作。</w:t>
            </w:r>
          </w:p>
        </w:tc>
      </w:tr>
    </w:tbl>
    <w:p>
      <w:pPr>
        <w:jc w:val="left"/>
        <w:rPr>
          <w:rFonts w:hint="default" w:ascii="仿宋_GB2312" w:hAnsi="仿宋_GB2312" w:eastAsia="仿宋_GB2312" w:cs="仿宋_GB2312"/>
          <w:sz w:val="28"/>
          <w:szCs w:val="28"/>
          <w:lang w:val="en-US" w:eastAsia="zh-CN"/>
        </w:rPr>
      </w:pPr>
    </w:p>
    <w:p>
      <w:pPr>
        <w:jc w:val="left"/>
        <w:rPr>
          <w:rFonts w:hint="default" w:ascii="仿宋_GB2312" w:hAnsi="仿宋_GB2312" w:eastAsia="仿宋_GB2312" w:cs="仿宋_GB2312"/>
          <w:sz w:val="28"/>
          <w:szCs w:val="28"/>
          <w:lang w:val="en-US" w:eastAsia="zh-CN"/>
        </w:rPr>
      </w:pPr>
    </w:p>
    <w:p>
      <w:pPr>
        <w:jc w:val="left"/>
        <w:rPr>
          <w:rFonts w:hint="default" w:ascii="仿宋_GB2312" w:hAnsi="仿宋_GB2312" w:eastAsia="仿宋_GB2312" w:cs="仿宋_GB2312"/>
          <w:sz w:val="28"/>
          <w:szCs w:val="28"/>
          <w:lang w:val="en-US" w:eastAsia="zh-CN"/>
        </w:rPr>
      </w:pPr>
    </w:p>
    <w:p>
      <w:pPr>
        <w:ind w:left="0" w:leftChars="0" w:firstLine="0" w:firstLineChars="0"/>
        <w:rPr>
          <w:rFonts w:hint="eastAsia" w:ascii="仿宋_GB2312" w:hAnsi="仿宋_GB2312" w:eastAsia="仿宋_GB2312" w:cs="仿宋_GB2312"/>
          <w:b/>
          <w:bCs w:val="0"/>
          <w:sz w:val="28"/>
          <w:szCs w:val="28"/>
          <w:lang w:val="en-US" w:eastAsia="zh-CN"/>
        </w:rPr>
      </w:pPr>
      <w:r>
        <w:rPr>
          <w:rFonts w:hint="eastAsia" w:ascii="仿宋_GB2312" w:hAnsi="仿宋_GB2312" w:eastAsia="仿宋_GB2312" w:cs="仿宋_GB2312"/>
          <w:b/>
          <w:bCs w:val="0"/>
          <w:sz w:val="28"/>
          <w:szCs w:val="28"/>
        </w:rPr>
        <w:t>★</w:t>
      </w:r>
      <w:r>
        <w:rPr>
          <w:rFonts w:hint="eastAsia" w:ascii="仿宋_GB2312" w:hAnsi="仿宋_GB2312" w:eastAsia="仿宋_GB2312" w:cs="仿宋_GB2312"/>
          <w:b/>
          <w:bCs w:val="0"/>
          <w:sz w:val="28"/>
          <w:szCs w:val="28"/>
          <w:lang w:val="en-US" w:eastAsia="zh-CN"/>
        </w:rPr>
        <w:t>附件十一</w:t>
      </w:r>
    </w:p>
    <w:p>
      <w:pPr>
        <w:pStyle w:val="798"/>
        <w:spacing w:line="400" w:lineRule="exact"/>
        <w:ind w:firstLine="0" w:firstLineChars="0"/>
        <w:jc w:val="center"/>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《中标人须投入的设备清单》</w:t>
      </w:r>
    </w:p>
    <w:p>
      <w:pPr>
        <w:pStyle w:val="798"/>
        <w:spacing w:line="400" w:lineRule="exact"/>
        <w:ind w:firstLine="0" w:firstLineChars="0"/>
        <w:jc w:val="lef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（中标人须承诺投入设备在服务期间</w:t>
      </w:r>
      <w:r>
        <w:rPr>
          <w:rFonts w:hint="eastAsia" w:ascii="仿宋_GB2312" w:hAnsi="仿宋_GB2312" w:eastAsia="仿宋_GB2312" w:cs="仿宋_GB2312"/>
          <w:b/>
          <w:bCs/>
          <w:color w:val="auto"/>
          <w:sz w:val="24"/>
          <w:szCs w:val="24"/>
          <w:highlight w:val="none"/>
          <w:lang w:val="en-US" w:eastAsia="zh-CN"/>
        </w:rPr>
        <w:t>根据学校要求和</w:t>
      </w:r>
      <w:r>
        <w:rPr>
          <w:rFonts w:hint="eastAsia" w:ascii="仿宋_GB2312" w:hAnsi="仿宋_GB2312" w:eastAsia="仿宋_GB2312" w:cs="仿宋_GB2312"/>
          <w:b/>
          <w:bCs/>
          <w:color w:val="auto"/>
          <w:sz w:val="24"/>
          <w:szCs w:val="24"/>
          <w:highlight w:val="none"/>
        </w:rPr>
        <w:t>本项目</w:t>
      </w:r>
      <w:r>
        <w:rPr>
          <w:rFonts w:hint="eastAsia" w:ascii="仿宋_GB2312" w:hAnsi="仿宋_GB2312" w:eastAsia="仿宋_GB2312" w:cs="仿宋_GB2312"/>
          <w:b/>
          <w:bCs/>
          <w:color w:val="auto"/>
          <w:sz w:val="24"/>
          <w:szCs w:val="24"/>
          <w:highlight w:val="none"/>
          <w:lang w:val="en-US" w:eastAsia="zh-CN"/>
        </w:rPr>
        <w:t>实际工作开展需要投入</w:t>
      </w:r>
      <w:r>
        <w:rPr>
          <w:rFonts w:hint="eastAsia" w:ascii="仿宋_GB2312" w:hAnsi="仿宋_GB2312" w:eastAsia="仿宋_GB2312" w:cs="仿宋_GB2312"/>
          <w:b/>
          <w:bCs/>
          <w:color w:val="auto"/>
          <w:sz w:val="24"/>
          <w:szCs w:val="24"/>
          <w:highlight w:val="none"/>
        </w:rPr>
        <w:t>使用，进场时填写并提供设备名称、型号规格、主要技术性能、参数、生产厂家、数量、价格、使用年份等资料。</w:t>
      </w:r>
      <w:r>
        <w:rPr>
          <w:rFonts w:hint="eastAsia" w:ascii="仿宋_GB2312" w:hAnsi="仿宋_GB2312" w:eastAsia="仿宋_GB2312" w:cs="仿宋_GB2312"/>
          <w:b/>
          <w:bCs/>
          <w:color w:val="auto"/>
          <w:sz w:val="24"/>
          <w:szCs w:val="24"/>
          <w:highlight w:val="none"/>
          <w:lang w:val="en-US" w:eastAsia="zh-CN"/>
        </w:rPr>
        <w:t>设备可为中标人自有或租赁</w:t>
      </w:r>
      <w:r>
        <w:rPr>
          <w:rFonts w:hint="eastAsia" w:ascii="仿宋_GB2312" w:hAnsi="仿宋_GB2312" w:eastAsia="仿宋_GB2312" w:cs="仿宋_GB2312"/>
          <w:b/>
          <w:bCs/>
          <w:color w:val="auto"/>
          <w:sz w:val="24"/>
          <w:szCs w:val="24"/>
          <w:highlight w:val="none"/>
        </w:rPr>
        <w:t>）</w:t>
      </w:r>
    </w:p>
    <w:tbl>
      <w:tblPr>
        <w:tblStyle w:val="48"/>
        <w:tblW w:w="9415" w:type="dxa"/>
        <w:jc w:val="center"/>
        <w:tblLayout w:type="fixed"/>
        <w:tblCellMar>
          <w:top w:w="0" w:type="dxa"/>
          <w:left w:w="108" w:type="dxa"/>
          <w:bottom w:w="0" w:type="dxa"/>
          <w:right w:w="108" w:type="dxa"/>
        </w:tblCellMar>
      </w:tblPr>
      <w:tblGrid>
        <w:gridCol w:w="2478"/>
        <w:gridCol w:w="1217"/>
        <w:gridCol w:w="5720"/>
      </w:tblGrid>
      <w:tr>
        <w:tblPrEx>
          <w:tblCellMar>
            <w:top w:w="0" w:type="dxa"/>
            <w:left w:w="108" w:type="dxa"/>
            <w:bottom w:w="0" w:type="dxa"/>
            <w:right w:w="108" w:type="dxa"/>
          </w:tblCellMar>
        </w:tblPrEx>
        <w:trPr>
          <w:trHeight w:val="461" w:hRule="atLeast"/>
          <w:jc w:val="center"/>
        </w:trPr>
        <w:tc>
          <w:tcPr>
            <w:tcW w:w="2478" w:type="dxa"/>
            <w:tcBorders>
              <w:top w:val="single" w:color="auto" w:sz="8" w:space="0"/>
              <w:left w:val="single" w:color="auto" w:sz="8" w:space="0"/>
              <w:bottom w:val="single" w:color="auto" w:sz="8" w:space="0"/>
              <w:right w:val="single" w:color="auto" w:sz="8"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名称</w:t>
            </w:r>
          </w:p>
        </w:tc>
        <w:tc>
          <w:tcPr>
            <w:tcW w:w="1217"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数量</w:t>
            </w:r>
          </w:p>
        </w:tc>
        <w:tc>
          <w:tcPr>
            <w:tcW w:w="5720" w:type="dxa"/>
            <w:tcBorders>
              <w:top w:val="single" w:color="auto" w:sz="4" w:space="0"/>
              <w:left w:val="nil"/>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备注</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参考图片</w:t>
            </w:r>
            <w:r>
              <w:rPr>
                <w:rFonts w:hint="eastAsia" w:ascii="仿宋_GB2312" w:hAnsi="仿宋_GB2312" w:eastAsia="仿宋_GB2312" w:cs="仿宋_GB2312"/>
                <w:color w:val="auto"/>
                <w:kern w:val="0"/>
                <w:sz w:val="24"/>
                <w:highlight w:val="none"/>
                <w:lang w:eastAsia="zh-CN"/>
              </w:rPr>
              <w:t>）</w:t>
            </w:r>
          </w:p>
        </w:tc>
      </w:tr>
      <w:tr>
        <w:tblPrEx>
          <w:tblCellMar>
            <w:top w:w="0" w:type="dxa"/>
            <w:left w:w="108" w:type="dxa"/>
            <w:bottom w:w="0" w:type="dxa"/>
            <w:right w:w="108" w:type="dxa"/>
          </w:tblCellMar>
        </w:tblPrEx>
        <w:trPr>
          <w:trHeight w:val="608" w:hRule="atLeast"/>
          <w:jc w:val="center"/>
        </w:trPr>
        <w:tc>
          <w:tcPr>
            <w:tcW w:w="2478" w:type="dxa"/>
            <w:tcBorders>
              <w:top w:val="nil"/>
              <w:left w:val="single" w:color="auto" w:sz="8" w:space="0"/>
              <w:bottom w:val="single" w:color="auto" w:sz="8" w:space="0"/>
              <w:right w:val="single" w:color="auto" w:sz="8" w:space="0"/>
            </w:tcBorders>
            <w:vAlign w:val="center"/>
          </w:tcPr>
          <w:p>
            <w:pPr>
              <w:widowControl/>
              <w:jc w:val="center"/>
              <w:textAlignment w:val="center"/>
              <w:rPr>
                <w:rFonts w:hint="default"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val="en-US" w:eastAsia="zh-CN"/>
              </w:rPr>
              <w:t>道路环保清扫车</w:t>
            </w:r>
          </w:p>
        </w:tc>
        <w:tc>
          <w:tcPr>
            <w:tcW w:w="1217"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1辆</w:t>
            </w:r>
          </w:p>
        </w:tc>
        <w:tc>
          <w:tcPr>
            <w:tcW w:w="5720" w:type="dxa"/>
            <w:tcBorders>
              <w:top w:val="nil"/>
              <w:left w:val="nil"/>
              <w:bottom w:val="single" w:color="auto" w:sz="4" w:space="0"/>
              <w:right w:val="single" w:color="auto" w:sz="4" w:space="0"/>
            </w:tcBorders>
            <w:vAlign w:val="center"/>
          </w:tcPr>
          <w:p>
            <w:pPr>
              <w:widowControl/>
              <w:jc w:val="center"/>
              <w:rPr>
                <w:color w:val="auto"/>
                <w:highlight w:val="none"/>
              </w:rPr>
            </w:pPr>
            <w:r>
              <w:rPr>
                <w:color w:val="auto"/>
                <w:highlight w:val="none"/>
              </w:rPr>
              <w:drawing>
                <wp:inline distT="0" distB="0" distL="0" distR="0">
                  <wp:extent cx="2780665" cy="1776730"/>
                  <wp:effectExtent l="0" t="0" r="635" b="4445"/>
                  <wp:docPr id="1027" name="图片 7"/>
                  <wp:cNvGraphicFramePr/>
                  <a:graphic xmlns:a="http://schemas.openxmlformats.org/drawingml/2006/main">
                    <a:graphicData uri="http://schemas.openxmlformats.org/drawingml/2006/picture">
                      <pic:pic xmlns:pic="http://schemas.openxmlformats.org/drawingml/2006/picture">
                        <pic:nvPicPr>
                          <pic:cNvPr id="1027" name="图片 7"/>
                          <pic:cNvPicPr/>
                        </pic:nvPicPr>
                        <pic:blipFill>
                          <a:blip r:embed="rId13" cstate="print"/>
                          <a:srcRect/>
                          <a:stretch>
                            <a:fillRect/>
                          </a:stretch>
                        </pic:blipFill>
                        <pic:spPr>
                          <a:xfrm>
                            <a:off x="0" y="0"/>
                            <a:ext cx="2780665" cy="1776730"/>
                          </a:xfrm>
                          <a:prstGeom prst="rect">
                            <a:avLst/>
                          </a:prstGeom>
                        </pic:spPr>
                      </pic:pic>
                    </a:graphicData>
                  </a:graphic>
                </wp:inline>
              </w:drawing>
            </w:r>
          </w:p>
          <w:p>
            <w:pPr>
              <w:widowControl/>
              <w:jc w:val="center"/>
              <w:rPr>
                <w:rFonts w:hint="default" w:eastAsia="宋体"/>
                <w:color w:val="auto"/>
                <w:highlight w:val="none"/>
                <w:lang w:val="en-US" w:eastAsia="zh-CN"/>
              </w:rPr>
            </w:pPr>
          </w:p>
        </w:tc>
      </w:tr>
      <w:tr>
        <w:tblPrEx>
          <w:tblCellMar>
            <w:top w:w="0" w:type="dxa"/>
            <w:left w:w="108" w:type="dxa"/>
            <w:bottom w:w="0" w:type="dxa"/>
            <w:right w:w="108" w:type="dxa"/>
          </w:tblCellMar>
        </w:tblPrEx>
        <w:trPr>
          <w:trHeight w:val="608" w:hRule="atLeast"/>
          <w:jc w:val="center"/>
        </w:trPr>
        <w:tc>
          <w:tcPr>
            <w:tcW w:w="2478" w:type="dxa"/>
            <w:tcBorders>
              <w:top w:val="nil"/>
              <w:left w:val="single" w:color="auto" w:sz="8" w:space="0"/>
              <w:bottom w:val="single" w:color="auto" w:sz="8" w:space="0"/>
              <w:right w:val="single" w:color="auto" w:sz="8" w:space="0"/>
            </w:tcBorders>
            <w:vAlign w:val="center"/>
          </w:tcPr>
          <w:p>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en-US" w:eastAsia="zh-CN"/>
              </w:rPr>
              <w:t>5方-12方</w:t>
            </w:r>
            <w:r>
              <w:rPr>
                <w:rFonts w:hint="eastAsia" w:ascii="仿宋_GB2312" w:hAnsi="仿宋_GB2312" w:eastAsia="仿宋_GB2312" w:cs="仿宋_GB2312"/>
                <w:color w:val="auto"/>
                <w:kern w:val="0"/>
                <w:sz w:val="24"/>
                <w:highlight w:val="none"/>
              </w:rPr>
              <w:t>洒水车</w:t>
            </w:r>
          </w:p>
        </w:tc>
        <w:tc>
          <w:tcPr>
            <w:tcW w:w="1217"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1辆</w:t>
            </w:r>
          </w:p>
        </w:tc>
        <w:tc>
          <w:tcPr>
            <w:tcW w:w="5720" w:type="dxa"/>
            <w:tcBorders>
              <w:top w:val="nil"/>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3057525" cy="1678940"/>
                  <wp:effectExtent l="0" t="0" r="0" b="6985"/>
                  <wp:docPr id="1028" name="图片 8"/>
                  <wp:cNvGraphicFramePr/>
                  <a:graphic xmlns:a="http://schemas.openxmlformats.org/drawingml/2006/main">
                    <a:graphicData uri="http://schemas.openxmlformats.org/drawingml/2006/picture">
                      <pic:pic xmlns:pic="http://schemas.openxmlformats.org/drawingml/2006/picture">
                        <pic:nvPicPr>
                          <pic:cNvPr id="1028" name="图片 8"/>
                          <pic:cNvPicPr/>
                        </pic:nvPicPr>
                        <pic:blipFill>
                          <a:blip r:embed="rId14" cstate="print"/>
                          <a:srcRect/>
                          <a:stretch>
                            <a:fillRect/>
                          </a:stretch>
                        </pic:blipFill>
                        <pic:spPr>
                          <a:xfrm>
                            <a:off x="0" y="0"/>
                            <a:ext cx="3057525" cy="1678940"/>
                          </a:xfrm>
                          <a:prstGeom prst="rect">
                            <a:avLst/>
                          </a:prstGeom>
                        </pic:spPr>
                      </pic:pic>
                    </a:graphicData>
                  </a:graphic>
                </wp:inline>
              </w:drawing>
            </w:r>
          </w:p>
        </w:tc>
      </w:tr>
      <w:tr>
        <w:tblPrEx>
          <w:tblCellMar>
            <w:top w:w="0" w:type="dxa"/>
            <w:left w:w="108" w:type="dxa"/>
            <w:bottom w:w="0" w:type="dxa"/>
            <w:right w:w="108" w:type="dxa"/>
          </w:tblCellMar>
        </w:tblPrEx>
        <w:trPr>
          <w:trHeight w:val="608" w:hRule="atLeast"/>
          <w:jc w:val="center"/>
        </w:trPr>
        <w:tc>
          <w:tcPr>
            <w:tcW w:w="2478" w:type="dxa"/>
            <w:tcBorders>
              <w:top w:val="nil"/>
              <w:left w:val="single" w:color="auto" w:sz="8" w:space="0"/>
              <w:bottom w:val="single" w:color="auto" w:sz="8" w:space="0"/>
              <w:right w:val="single" w:color="auto" w:sz="8" w:space="0"/>
            </w:tcBorders>
            <w:vAlign w:val="center"/>
          </w:tcPr>
          <w:p>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高压清洗吸污车</w:t>
            </w:r>
          </w:p>
        </w:tc>
        <w:tc>
          <w:tcPr>
            <w:tcW w:w="1217"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1辆</w:t>
            </w:r>
          </w:p>
        </w:tc>
        <w:tc>
          <w:tcPr>
            <w:tcW w:w="5720" w:type="dxa"/>
            <w:tcBorders>
              <w:top w:val="nil"/>
              <w:left w:val="nil"/>
              <w:bottom w:val="single" w:color="auto" w:sz="4" w:space="0"/>
              <w:right w:val="single" w:color="auto" w:sz="4" w:space="0"/>
            </w:tcBorders>
            <w:vAlign w:val="center"/>
          </w:tcPr>
          <w:p>
            <w:pPr>
              <w:widowControl/>
              <w:jc w:val="center"/>
              <w:rPr>
                <w:color w:val="auto"/>
                <w:highlight w:val="none"/>
              </w:rPr>
            </w:pPr>
            <w:r>
              <w:rPr>
                <w:color w:val="auto"/>
                <w:highlight w:val="none"/>
              </w:rPr>
              <w:drawing>
                <wp:inline distT="0" distB="0" distL="0" distR="0">
                  <wp:extent cx="2341245" cy="1412240"/>
                  <wp:effectExtent l="0" t="0" r="1905" b="6985"/>
                  <wp:docPr id="1029" name="图片 10"/>
                  <wp:cNvGraphicFramePr/>
                  <a:graphic xmlns:a="http://schemas.openxmlformats.org/drawingml/2006/main">
                    <a:graphicData uri="http://schemas.openxmlformats.org/drawingml/2006/picture">
                      <pic:pic xmlns:pic="http://schemas.openxmlformats.org/drawingml/2006/picture">
                        <pic:nvPicPr>
                          <pic:cNvPr id="1029" name="图片 10"/>
                          <pic:cNvPicPr/>
                        </pic:nvPicPr>
                        <pic:blipFill>
                          <a:blip r:embed="rId15" cstate="print"/>
                          <a:srcRect/>
                          <a:stretch>
                            <a:fillRect/>
                          </a:stretch>
                        </pic:blipFill>
                        <pic:spPr>
                          <a:xfrm>
                            <a:off x="0" y="0"/>
                            <a:ext cx="2341245" cy="1412240"/>
                          </a:xfrm>
                          <a:prstGeom prst="rect">
                            <a:avLst/>
                          </a:prstGeom>
                        </pic:spPr>
                      </pic:pic>
                    </a:graphicData>
                  </a:graphic>
                </wp:inline>
              </w:drawing>
            </w:r>
          </w:p>
          <w:p>
            <w:pPr>
              <w:widowControl/>
              <w:jc w:val="center"/>
              <w:rPr>
                <w:rFonts w:hint="default" w:eastAsia="宋体"/>
                <w:color w:val="auto"/>
                <w:highlight w:val="none"/>
                <w:lang w:val="en-US" w:eastAsia="zh-CN"/>
              </w:rPr>
            </w:pPr>
          </w:p>
        </w:tc>
      </w:tr>
      <w:tr>
        <w:tblPrEx>
          <w:tblCellMar>
            <w:top w:w="0" w:type="dxa"/>
            <w:left w:w="108" w:type="dxa"/>
            <w:bottom w:w="0" w:type="dxa"/>
            <w:right w:w="108" w:type="dxa"/>
          </w:tblCellMar>
        </w:tblPrEx>
        <w:trPr>
          <w:trHeight w:val="608" w:hRule="atLeast"/>
          <w:jc w:val="center"/>
        </w:trPr>
        <w:tc>
          <w:tcPr>
            <w:tcW w:w="2478" w:type="dxa"/>
            <w:tcBorders>
              <w:top w:val="nil"/>
              <w:left w:val="single" w:color="auto" w:sz="8" w:space="0"/>
              <w:bottom w:val="single" w:color="auto" w:sz="8" w:space="0"/>
              <w:right w:val="single" w:color="auto" w:sz="8" w:space="0"/>
            </w:tcBorders>
            <w:vAlign w:val="center"/>
          </w:tcPr>
          <w:p>
            <w:pPr>
              <w:widowControl/>
              <w:jc w:val="center"/>
              <w:textAlignment w:val="center"/>
              <w:rPr>
                <w:rFonts w:hint="default"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val="en-US" w:eastAsia="zh-CN"/>
              </w:rPr>
              <w:t>压缩式垃圾车</w:t>
            </w:r>
          </w:p>
        </w:tc>
        <w:tc>
          <w:tcPr>
            <w:tcW w:w="1217" w:type="dxa"/>
            <w:tcBorders>
              <w:top w:val="nil"/>
              <w:left w:val="nil"/>
              <w:bottom w:val="single" w:color="auto" w:sz="4" w:space="0"/>
              <w:right w:val="single" w:color="auto" w:sz="4" w:space="0"/>
            </w:tcBorders>
            <w:shd w:val="clear" w:color="auto" w:fill="auto"/>
            <w:vAlign w:val="center"/>
          </w:tcPr>
          <w:p>
            <w:pPr>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1辆</w:t>
            </w:r>
          </w:p>
        </w:tc>
        <w:tc>
          <w:tcPr>
            <w:tcW w:w="5720" w:type="dxa"/>
            <w:tcBorders>
              <w:top w:val="nil"/>
              <w:left w:val="nil"/>
              <w:bottom w:val="single" w:color="auto" w:sz="4" w:space="0"/>
              <w:right w:val="single" w:color="auto" w:sz="4" w:space="0"/>
            </w:tcBorders>
            <w:vAlign w:val="center"/>
          </w:tcPr>
          <w:p>
            <w:pPr>
              <w:widowControl/>
              <w:jc w:val="center"/>
              <w:rPr>
                <w:color w:val="auto"/>
                <w:highlight w:val="none"/>
              </w:rPr>
            </w:pPr>
            <w:r>
              <w:rPr>
                <w:rFonts w:ascii="宋体" w:hAnsi="宋体" w:eastAsia="宋体" w:cs="宋体"/>
                <w:sz w:val="24"/>
                <w:szCs w:val="24"/>
              </w:rPr>
              <w:drawing>
                <wp:inline distT="0" distB="0" distL="114300" distR="114300">
                  <wp:extent cx="1795145" cy="1167130"/>
                  <wp:effectExtent l="0" t="0" r="5080" b="4445"/>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16"/>
                          <a:stretch>
                            <a:fillRect/>
                          </a:stretch>
                        </pic:blipFill>
                        <pic:spPr>
                          <a:xfrm>
                            <a:off x="0" y="0"/>
                            <a:ext cx="1795145" cy="116713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608" w:hRule="atLeast"/>
          <w:jc w:val="center"/>
        </w:trPr>
        <w:tc>
          <w:tcPr>
            <w:tcW w:w="2478" w:type="dxa"/>
            <w:tcBorders>
              <w:top w:val="nil"/>
              <w:left w:val="single" w:color="auto" w:sz="8" w:space="0"/>
              <w:bottom w:val="single" w:color="auto" w:sz="8" w:space="0"/>
              <w:right w:val="single" w:color="auto" w:sz="8" w:space="0"/>
            </w:tcBorders>
            <w:vAlign w:val="center"/>
          </w:tcPr>
          <w:p>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外场电动快速保洁车</w:t>
            </w:r>
          </w:p>
        </w:tc>
        <w:tc>
          <w:tcPr>
            <w:tcW w:w="1217"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2台</w:t>
            </w:r>
          </w:p>
        </w:tc>
        <w:tc>
          <w:tcPr>
            <w:tcW w:w="5720" w:type="dxa"/>
            <w:tcBorders>
              <w:top w:val="nil"/>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369695" cy="1205865"/>
                  <wp:effectExtent l="0" t="0" r="1905" b="3810"/>
                  <wp:docPr id="1030" name="图片 2"/>
                  <wp:cNvGraphicFramePr/>
                  <a:graphic xmlns:a="http://schemas.openxmlformats.org/drawingml/2006/main">
                    <a:graphicData uri="http://schemas.openxmlformats.org/drawingml/2006/picture">
                      <pic:pic xmlns:pic="http://schemas.openxmlformats.org/drawingml/2006/picture">
                        <pic:nvPicPr>
                          <pic:cNvPr id="1030" name="图片 2"/>
                          <pic:cNvPicPr/>
                        </pic:nvPicPr>
                        <pic:blipFill>
                          <a:blip r:embed="rId17" cstate="print"/>
                          <a:srcRect/>
                          <a:stretch>
                            <a:fillRect/>
                          </a:stretch>
                        </pic:blipFill>
                        <pic:spPr>
                          <a:xfrm>
                            <a:off x="0" y="0"/>
                            <a:ext cx="1369695" cy="1205865"/>
                          </a:xfrm>
                          <a:prstGeom prst="rect">
                            <a:avLst/>
                          </a:prstGeom>
                          <a:ln>
                            <a:noFill/>
                          </a:ln>
                        </pic:spPr>
                      </pic:pic>
                    </a:graphicData>
                  </a:graphic>
                </wp:inline>
              </w:drawing>
            </w:r>
          </w:p>
        </w:tc>
      </w:tr>
      <w:tr>
        <w:tblPrEx>
          <w:tblCellMar>
            <w:top w:w="0" w:type="dxa"/>
            <w:left w:w="108" w:type="dxa"/>
            <w:bottom w:w="0" w:type="dxa"/>
            <w:right w:w="108" w:type="dxa"/>
          </w:tblCellMar>
        </w:tblPrEx>
        <w:trPr>
          <w:trHeight w:val="608" w:hRule="atLeast"/>
          <w:jc w:val="center"/>
        </w:trPr>
        <w:tc>
          <w:tcPr>
            <w:tcW w:w="2478" w:type="dxa"/>
            <w:tcBorders>
              <w:top w:val="nil"/>
              <w:left w:val="single" w:color="auto" w:sz="8" w:space="0"/>
              <w:bottom w:val="single" w:color="auto" w:sz="8" w:space="0"/>
              <w:right w:val="single" w:color="auto" w:sz="8" w:space="0"/>
            </w:tcBorders>
            <w:shd w:val="clear" w:color="auto" w:fill="auto"/>
            <w:vAlign w:val="center"/>
          </w:tcPr>
          <w:p>
            <w:pPr>
              <w:jc w:val="center"/>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sz w:val="24"/>
                <w:highlight w:val="none"/>
              </w:rPr>
              <w:t>电动</w:t>
            </w:r>
            <w:r>
              <w:rPr>
                <w:rFonts w:hint="eastAsia" w:ascii="仿宋_GB2312" w:hAnsi="仿宋_GB2312" w:eastAsia="仿宋_GB2312" w:cs="仿宋_GB2312"/>
                <w:color w:val="auto"/>
                <w:sz w:val="24"/>
                <w:highlight w:val="none"/>
                <w:lang w:val="en-US" w:eastAsia="zh-CN"/>
              </w:rPr>
              <w:t>三轮车</w:t>
            </w:r>
          </w:p>
        </w:tc>
        <w:tc>
          <w:tcPr>
            <w:tcW w:w="1217"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台</w:t>
            </w:r>
          </w:p>
        </w:tc>
        <w:tc>
          <w:tcPr>
            <w:tcW w:w="5720" w:type="dxa"/>
            <w:tcBorders>
              <w:top w:val="nil"/>
              <w:left w:val="nil"/>
              <w:bottom w:val="single" w:color="auto" w:sz="4" w:space="0"/>
              <w:right w:val="single" w:color="auto" w:sz="4" w:space="0"/>
            </w:tcBorders>
            <w:vAlign w:val="center"/>
          </w:tcPr>
          <w:p>
            <w:pPr>
              <w:widowControl/>
              <w:jc w:val="center"/>
              <w:rPr>
                <w:color w:val="auto"/>
                <w:highlight w:val="none"/>
              </w:rPr>
            </w:pPr>
          </w:p>
        </w:tc>
      </w:tr>
      <w:tr>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全自动洗地机</w:t>
            </w:r>
          </w:p>
        </w:tc>
        <w:tc>
          <w:tcPr>
            <w:tcW w:w="1217"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台</w:t>
            </w:r>
          </w:p>
        </w:tc>
        <w:tc>
          <w:tcPr>
            <w:tcW w:w="5720" w:type="dxa"/>
            <w:tcBorders>
              <w:top w:val="nil"/>
              <w:left w:val="nil"/>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852930" cy="1788160"/>
                  <wp:effectExtent l="0" t="0" r="4445" b="2540"/>
                  <wp:docPr id="1031" name="图片 3"/>
                  <wp:cNvGraphicFramePr/>
                  <a:graphic xmlns:a="http://schemas.openxmlformats.org/drawingml/2006/main">
                    <a:graphicData uri="http://schemas.openxmlformats.org/drawingml/2006/picture">
                      <pic:pic xmlns:pic="http://schemas.openxmlformats.org/drawingml/2006/picture">
                        <pic:nvPicPr>
                          <pic:cNvPr id="1031" name="图片 3"/>
                          <pic:cNvPicPr/>
                        </pic:nvPicPr>
                        <pic:blipFill>
                          <a:blip r:embed="rId18" cstate="print"/>
                          <a:srcRect/>
                          <a:stretch>
                            <a:fillRect/>
                          </a:stretch>
                        </pic:blipFill>
                        <pic:spPr>
                          <a:xfrm>
                            <a:off x="0" y="0"/>
                            <a:ext cx="1852930" cy="1788160"/>
                          </a:xfrm>
                          <a:prstGeom prst="rect">
                            <a:avLst/>
                          </a:prstGeom>
                          <a:ln>
                            <a:noFill/>
                          </a:ln>
                        </pic:spPr>
                      </pic:pic>
                    </a:graphicData>
                  </a:graphic>
                </wp:inline>
              </w:drawing>
            </w:r>
          </w:p>
        </w:tc>
      </w:tr>
      <w:tr>
        <w:tblPrEx>
          <w:tblCellMar>
            <w:top w:w="0" w:type="dxa"/>
            <w:left w:w="108" w:type="dxa"/>
            <w:bottom w:w="0" w:type="dxa"/>
            <w:right w:w="108" w:type="dxa"/>
          </w:tblCellMar>
        </w:tblPrEx>
        <w:trPr>
          <w:trHeight w:val="3094" w:hRule="atLeast"/>
          <w:jc w:val="center"/>
        </w:trPr>
        <w:tc>
          <w:tcPr>
            <w:tcW w:w="2478" w:type="dxa"/>
            <w:tcBorders>
              <w:top w:val="nil"/>
              <w:left w:val="single" w:color="auto" w:sz="8" w:space="0"/>
              <w:bottom w:val="single" w:color="auto" w:sz="8" w:space="0"/>
              <w:right w:val="single" w:color="auto" w:sz="8" w:space="0"/>
            </w:tcBorders>
            <w:vAlign w:val="center"/>
          </w:tcPr>
          <w:p>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吸尘吸水一体机</w:t>
            </w:r>
          </w:p>
        </w:tc>
        <w:tc>
          <w:tcPr>
            <w:tcW w:w="1217"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2台</w:t>
            </w:r>
          </w:p>
        </w:tc>
        <w:tc>
          <w:tcPr>
            <w:tcW w:w="5720" w:type="dxa"/>
            <w:tcBorders>
              <w:top w:val="nil"/>
              <w:left w:val="nil"/>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124585" cy="1748155"/>
                  <wp:effectExtent l="0" t="0" r="8890" b="4445"/>
                  <wp:docPr id="1033" name="图片 5"/>
                  <wp:cNvGraphicFramePr/>
                  <a:graphic xmlns:a="http://schemas.openxmlformats.org/drawingml/2006/main">
                    <a:graphicData uri="http://schemas.openxmlformats.org/drawingml/2006/picture">
                      <pic:pic xmlns:pic="http://schemas.openxmlformats.org/drawingml/2006/picture">
                        <pic:nvPicPr>
                          <pic:cNvPr id="1033" name="图片 5"/>
                          <pic:cNvPicPr/>
                        </pic:nvPicPr>
                        <pic:blipFill>
                          <a:blip r:embed="rId19" cstate="print"/>
                          <a:srcRect/>
                          <a:stretch>
                            <a:fillRect/>
                          </a:stretch>
                        </pic:blipFill>
                        <pic:spPr>
                          <a:xfrm>
                            <a:off x="0" y="0"/>
                            <a:ext cx="1124585" cy="1748789"/>
                          </a:xfrm>
                          <a:prstGeom prst="rect">
                            <a:avLst/>
                          </a:prstGeom>
                          <a:ln>
                            <a:noFill/>
                          </a:ln>
                        </pic:spPr>
                      </pic:pic>
                    </a:graphicData>
                  </a:graphic>
                </wp:inline>
              </w:drawing>
            </w:r>
          </w:p>
        </w:tc>
      </w:tr>
      <w:tr>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磨地机</w:t>
            </w:r>
          </w:p>
        </w:tc>
        <w:tc>
          <w:tcPr>
            <w:tcW w:w="1217"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1台</w:t>
            </w:r>
          </w:p>
        </w:tc>
        <w:tc>
          <w:tcPr>
            <w:tcW w:w="5720" w:type="dxa"/>
            <w:tcBorders>
              <w:top w:val="nil"/>
              <w:left w:val="nil"/>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152525" cy="1369060"/>
                  <wp:effectExtent l="0" t="0" r="0" b="2540"/>
                  <wp:docPr id="1034" name="图片 6"/>
                  <wp:cNvGraphicFramePr/>
                  <a:graphic xmlns:a="http://schemas.openxmlformats.org/drawingml/2006/main">
                    <a:graphicData uri="http://schemas.openxmlformats.org/drawingml/2006/picture">
                      <pic:pic xmlns:pic="http://schemas.openxmlformats.org/drawingml/2006/picture">
                        <pic:nvPicPr>
                          <pic:cNvPr id="1034" name="图片 6"/>
                          <pic:cNvPicPr/>
                        </pic:nvPicPr>
                        <pic:blipFill>
                          <a:blip r:embed="rId20" cstate="print"/>
                          <a:srcRect/>
                          <a:stretch>
                            <a:fillRect/>
                          </a:stretch>
                        </pic:blipFill>
                        <pic:spPr>
                          <a:xfrm>
                            <a:off x="0" y="0"/>
                            <a:ext cx="1152525" cy="1369060"/>
                          </a:xfrm>
                          <a:prstGeom prst="rect">
                            <a:avLst/>
                          </a:prstGeom>
                          <a:ln>
                            <a:noFill/>
                          </a:ln>
                        </pic:spPr>
                      </pic:pic>
                    </a:graphicData>
                  </a:graphic>
                </wp:inline>
              </w:drawing>
            </w:r>
          </w:p>
        </w:tc>
      </w:tr>
      <w:tr>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pPr>
              <w:widowControl/>
              <w:jc w:val="center"/>
              <w:textAlignment w:val="center"/>
              <w:rPr>
                <w:rFonts w:hint="eastAsia" w:ascii="仿宋_GB2312" w:hAnsi="仿宋_GB2312" w:eastAsia="仿宋_GB2312" w:cs="仿宋_GB2312"/>
                <w:color w:val="auto"/>
                <w:kern w:val="0"/>
                <w:sz w:val="24"/>
                <w:highlight w:val="none"/>
                <w:lang w:eastAsia="zh-CN"/>
              </w:rPr>
            </w:pPr>
            <w:r>
              <w:rPr>
                <w:rFonts w:hint="eastAsia" w:ascii="仿宋_GB2312" w:hAnsi="仿宋_GB2312" w:eastAsia="仿宋_GB2312" w:cs="仿宋_GB2312"/>
                <w:color w:val="auto"/>
                <w:kern w:val="0"/>
                <w:sz w:val="24"/>
                <w:highlight w:val="none"/>
                <w:lang w:val="en-US" w:eastAsia="zh-CN"/>
              </w:rPr>
              <w:t>电动</w:t>
            </w:r>
            <w:r>
              <w:rPr>
                <w:rFonts w:hint="eastAsia" w:ascii="仿宋_GB2312" w:hAnsi="仿宋_GB2312" w:eastAsia="仿宋_GB2312" w:cs="仿宋_GB2312"/>
                <w:color w:val="auto"/>
                <w:kern w:val="0"/>
                <w:sz w:val="24"/>
                <w:highlight w:val="none"/>
              </w:rPr>
              <w:t>高压</w:t>
            </w:r>
            <w:r>
              <w:rPr>
                <w:rFonts w:hint="eastAsia" w:ascii="仿宋_GB2312" w:hAnsi="仿宋_GB2312" w:eastAsia="仿宋_GB2312" w:cs="仿宋_GB2312"/>
                <w:color w:val="auto"/>
                <w:kern w:val="0"/>
                <w:sz w:val="24"/>
                <w:highlight w:val="none"/>
                <w:lang w:val="en-US" w:eastAsia="zh-CN"/>
              </w:rPr>
              <w:t>冲洗车</w:t>
            </w:r>
          </w:p>
        </w:tc>
        <w:tc>
          <w:tcPr>
            <w:tcW w:w="1217"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辆</w:t>
            </w:r>
          </w:p>
        </w:tc>
        <w:tc>
          <w:tcPr>
            <w:tcW w:w="5720" w:type="dxa"/>
            <w:tcBorders>
              <w:top w:val="nil"/>
              <w:left w:val="nil"/>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rFonts w:ascii="宋体" w:hAnsi="宋体" w:eastAsia="宋体" w:cs="宋体"/>
                <w:sz w:val="24"/>
                <w:szCs w:val="24"/>
              </w:rPr>
              <w:drawing>
                <wp:inline distT="0" distB="0" distL="114300" distR="114300">
                  <wp:extent cx="2184400" cy="1481455"/>
                  <wp:effectExtent l="0" t="0" r="6350" b="4445"/>
                  <wp:docPr id="1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6"/>
                          <pic:cNvPicPr>
                            <a:picLocks noChangeAspect="1"/>
                          </pic:cNvPicPr>
                        </pic:nvPicPr>
                        <pic:blipFill>
                          <a:blip r:embed="rId21"/>
                          <a:stretch>
                            <a:fillRect/>
                          </a:stretch>
                        </pic:blipFill>
                        <pic:spPr>
                          <a:xfrm>
                            <a:off x="0" y="0"/>
                            <a:ext cx="2184400" cy="148145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电焊机</w:t>
            </w:r>
          </w:p>
        </w:tc>
        <w:tc>
          <w:tcPr>
            <w:tcW w:w="1217"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1台</w:t>
            </w:r>
          </w:p>
        </w:tc>
        <w:tc>
          <w:tcPr>
            <w:tcW w:w="5720" w:type="dxa"/>
            <w:tcBorders>
              <w:top w:val="nil"/>
              <w:left w:val="nil"/>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2368550" cy="1579245"/>
                  <wp:effectExtent l="0" t="0" r="3175" b="1905"/>
                  <wp:docPr id="1038" name="图片 11"/>
                  <wp:cNvGraphicFramePr/>
                  <a:graphic xmlns:a="http://schemas.openxmlformats.org/drawingml/2006/main">
                    <a:graphicData uri="http://schemas.openxmlformats.org/drawingml/2006/picture">
                      <pic:pic xmlns:pic="http://schemas.openxmlformats.org/drawingml/2006/picture">
                        <pic:nvPicPr>
                          <pic:cNvPr id="1038" name="图片 11"/>
                          <pic:cNvPicPr/>
                        </pic:nvPicPr>
                        <pic:blipFill>
                          <a:blip r:embed="rId22" cstate="print"/>
                          <a:srcRect/>
                          <a:stretch>
                            <a:fillRect/>
                          </a:stretch>
                        </pic:blipFill>
                        <pic:spPr>
                          <a:xfrm>
                            <a:off x="0" y="0"/>
                            <a:ext cx="2368550" cy="1579245"/>
                          </a:xfrm>
                          <a:prstGeom prst="rect">
                            <a:avLst/>
                          </a:prstGeom>
                          <a:ln>
                            <a:noFill/>
                          </a:ln>
                        </pic:spPr>
                      </pic:pic>
                    </a:graphicData>
                  </a:graphic>
                </wp:inline>
              </w:drawing>
            </w:r>
          </w:p>
        </w:tc>
      </w:tr>
      <w:tr>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角磨机</w:t>
            </w:r>
          </w:p>
        </w:tc>
        <w:tc>
          <w:tcPr>
            <w:tcW w:w="1217"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5台</w:t>
            </w:r>
          </w:p>
        </w:tc>
        <w:tc>
          <w:tcPr>
            <w:tcW w:w="5720" w:type="dxa"/>
            <w:tcBorders>
              <w:top w:val="nil"/>
              <w:left w:val="nil"/>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741170" cy="1020445"/>
                  <wp:effectExtent l="0" t="0" r="1905" b="8255"/>
                  <wp:docPr id="1039" name="图片 10"/>
                  <wp:cNvGraphicFramePr/>
                  <a:graphic xmlns:a="http://schemas.openxmlformats.org/drawingml/2006/main">
                    <a:graphicData uri="http://schemas.openxmlformats.org/drawingml/2006/picture">
                      <pic:pic xmlns:pic="http://schemas.openxmlformats.org/drawingml/2006/picture">
                        <pic:nvPicPr>
                          <pic:cNvPr id="1039" name="图片 10"/>
                          <pic:cNvPicPr/>
                        </pic:nvPicPr>
                        <pic:blipFill>
                          <a:blip r:embed="rId23" cstate="print"/>
                          <a:srcRect/>
                          <a:stretch>
                            <a:fillRect/>
                          </a:stretch>
                        </pic:blipFill>
                        <pic:spPr>
                          <a:xfrm>
                            <a:off x="0" y="0"/>
                            <a:ext cx="1741170" cy="1020445"/>
                          </a:xfrm>
                          <a:prstGeom prst="rect">
                            <a:avLst/>
                          </a:prstGeom>
                          <a:ln>
                            <a:noFill/>
                          </a:ln>
                        </pic:spPr>
                      </pic:pic>
                    </a:graphicData>
                  </a:graphic>
                </wp:inline>
              </w:drawing>
            </w:r>
          </w:p>
        </w:tc>
      </w:tr>
      <w:tr>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pPr>
              <w:widowControl/>
              <w:jc w:val="center"/>
              <w:textAlignment w:val="center"/>
              <w:rPr>
                <w:rFonts w:hint="eastAsia"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val="en-US" w:eastAsia="zh-CN"/>
              </w:rPr>
              <w:t>切割机</w:t>
            </w:r>
          </w:p>
        </w:tc>
        <w:tc>
          <w:tcPr>
            <w:tcW w:w="1217" w:type="dxa"/>
            <w:tcBorders>
              <w:top w:val="nil"/>
              <w:left w:val="nil"/>
              <w:bottom w:val="single" w:color="auto" w:sz="4" w:space="0"/>
              <w:right w:val="single" w:color="auto" w:sz="4" w:space="0"/>
            </w:tcBorders>
            <w:shd w:val="clear" w:color="auto" w:fill="auto"/>
            <w:vAlign w:val="center"/>
          </w:tcPr>
          <w:p>
            <w:pPr>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1台</w:t>
            </w:r>
          </w:p>
        </w:tc>
        <w:tc>
          <w:tcPr>
            <w:tcW w:w="5720" w:type="dxa"/>
            <w:tcBorders>
              <w:top w:val="nil"/>
              <w:left w:val="nil"/>
              <w:bottom w:val="single" w:color="auto" w:sz="4" w:space="0"/>
              <w:right w:val="single" w:color="auto" w:sz="4" w:space="0"/>
            </w:tcBorders>
            <w:vAlign w:val="center"/>
          </w:tcPr>
          <w:p>
            <w:pPr>
              <w:widowControl/>
              <w:spacing w:line="360" w:lineRule="auto"/>
              <w:jc w:val="center"/>
              <w:rPr>
                <w:color w:val="auto"/>
                <w:highlight w:val="none"/>
              </w:rPr>
            </w:pPr>
            <w:r>
              <w:rPr>
                <w:rFonts w:ascii="宋体" w:hAnsi="宋体" w:eastAsia="宋体" w:cs="宋体"/>
                <w:sz w:val="24"/>
                <w:szCs w:val="24"/>
              </w:rPr>
              <w:drawing>
                <wp:inline distT="0" distB="0" distL="114300" distR="114300">
                  <wp:extent cx="3491230" cy="2324735"/>
                  <wp:effectExtent l="0" t="0" r="4445" b="8890"/>
                  <wp:docPr id="1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6"/>
                          <pic:cNvPicPr>
                            <a:picLocks noChangeAspect="1"/>
                          </pic:cNvPicPr>
                        </pic:nvPicPr>
                        <pic:blipFill>
                          <a:blip r:embed="rId24"/>
                          <a:stretch>
                            <a:fillRect/>
                          </a:stretch>
                        </pic:blipFill>
                        <pic:spPr>
                          <a:xfrm>
                            <a:off x="0" y="0"/>
                            <a:ext cx="3491230" cy="232473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可移动抽水泵</w:t>
            </w:r>
          </w:p>
        </w:tc>
        <w:tc>
          <w:tcPr>
            <w:tcW w:w="1217" w:type="dxa"/>
            <w:tcBorders>
              <w:top w:val="nil"/>
              <w:left w:val="nil"/>
              <w:bottom w:val="single" w:color="auto" w:sz="4" w:space="0"/>
              <w:right w:val="single" w:color="auto" w:sz="4" w:space="0"/>
            </w:tcBorders>
            <w:shd w:val="clear" w:color="auto" w:fill="auto"/>
            <w:vAlign w:val="center"/>
          </w:tcPr>
          <w:p>
            <w:pPr>
              <w:jc w:val="center"/>
              <w:rPr>
                <w:rFonts w:hint="default"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1台</w:t>
            </w:r>
          </w:p>
        </w:tc>
        <w:tc>
          <w:tcPr>
            <w:tcW w:w="5720" w:type="dxa"/>
            <w:tcBorders>
              <w:top w:val="nil"/>
              <w:left w:val="nil"/>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2310130" cy="1651635"/>
                  <wp:effectExtent l="0" t="0" r="4445" b="5715"/>
                  <wp:docPr id="1040" name="图片 13"/>
                  <wp:cNvGraphicFramePr/>
                  <a:graphic xmlns:a="http://schemas.openxmlformats.org/drawingml/2006/main">
                    <a:graphicData uri="http://schemas.openxmlformats.org/drawingml/2006/picture">
                      <pic:pic xmlns:pic="http://schemas.openxmlformats.org/drawingml/2006/picture">
                        <pic:nvPicPr>
                          <pic:cNvPr id="1040" name="图片 13"/>
                          <pic:cNvPicPr/>
                        </pic:nvPicPr>
                        <pic:blipFill>
                          <a:blip r:embed="rId25" cstate="print"/>
                          <a:srcRect/>
                          <a:stretch>
                            <a:fillRect/>
                          </a:stretch>
                        </pic:blipFill>
                        <pic:spPr>
                          <a:xfrm>
                            <a:off x="0" y="0"/>
                            <a:ext cx="2310130" cy="1651635"/>
                          </a:xfrm>
                          <a:prstGeom prst="rect">
                            <a:avLst/>
                          </a:prstGeom>
                          <a:ln>
                            <a:noFill/>
                          </a:ln>
                        </pic:spPr>
                      </pic:pic>
                    </a:graphicData>
                  </a:graphic>
                </wp:inline>
              </w:drawing>
            </w:r>
          </w:p>
        </w:tc>
      </w:tr>
      <w:tr>
        <w:tblPrEx>
          <w:tblCellMar>
            <w:top w:w="0" w:type="dxa"/>
            <w:left w:w="108" w:type="dxa"/>
            <w:bottom w:w="0" w:type="dxa"/>
            <w:right w:w="108" w:type="dxa"/>
          </w:tblCellMar>
        </w:tblPrEx>
        <w:trPr>
          <w:trHeight w:val="608" w:hRule="atLeast"/>
          <w:jc w:val="center"/>
        </w:trPr>
        <w:tc>
          <w:tcPr>
            <w:tcW w:w="2478" w:type="dxa"/>
            <w:tcBorders>
              <w:top w:val="nil"/>
              <w:left w:val="single" w:color="auto" w:sz="8" w:space="0"/>
              <w:bottom w:val="single" w:color="auto" w:sz="8" w:space="0"/>
              <w:right w:val="single" w:color="auto" w:sz="8" w:space="0"/>
            </w:tcBorders>
            <w:vAlign w:val="center"/>
          </w:tcPr>
          <w:p>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8000w便携汽油发电机</w:t>
            </w:r>
          </w:p>
        </w:tc>
        <w:tc>
          <w:tcPr>
            <w:tcW w:w="1217" w:type="dxa"/>
            <w:tcBorders>
              <w:top w:val="nil"/>
              <w:left w:val="nil"/>
              <w:bottom w:val="single" w:color="auto" w:sz="4" w:space="0"/>
              <w:right w:val="single" w:color="auto" w:sz="4" w:space="0"/>
            </w:tcBorders>
            <w:shd w:val="clear" w:color="auto" w:fill="auto"/>
            <w:vAlign w:val="center"/>
          </w:tcPr>
          <w:p>
            <w:pPr>
              <w:jc w:val="center"/>
              <w:rPr>
                <w:rFonts w:hint="default"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1台</w:t>
            </w:r>
          </w:p>
        </w:tc>
        <w:tc>
          <w:tcPr>
            <w:tcW w:w="5720" w:type="dxa"/>
            <w:tcBorders>
              <w:top w:val="nil"/>
              <w:left w:val="nil"/>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970405" cy="1970405"/>
                  <wp:effectExtent l="0" t="0" r="1270" b="1270"/>
                  <wp:docPr id="1041" name="图片 12"/>
                  <wp:cNvGraphicFramePr/>
                  <a:graphic xmlns:a="http://schemas.openxmlformats.org/drawingml/2006/main">
                    <a:graphicData uri="http://schemas.openxmlformats.org/drawingml/2006/picture">
                      <pic:pic xmlns:pic="http://schemas.openxmlformats.org/drawingml/2006/picture">
                        <pic:nvPicPr>
                          <pic:cNvPr id="1041" name="图片 12"/>
                          <pic:cNvPicPr/>
                        </pic:nvPicPr>
                        <pic:blipFill>
                          <a:blip r:embed="rId26" cstate="print"/>
                          <a:srcRect/>
                          <a:stretch>
                            <a:fillRect/>
                          </a:stretch>
                        </pic:blipFill>
                        <pic:spPr>
                          <a:xfrm>
                            <a:off x="0" y="0"/>
                            <a:ext cx="1970405" cy="1970405"/>
                          </a:xfrm>
                          <a:prstGeom prst="rect">
                            <a:avLst/>
                          </a:prstGeom>
                          <a:ln>
                            <a:noFill/>
                          </a:ln>
                        </pic:spPr>
                      </pic:pic>
                    </a:graphicData>
                  </a:graphic>
                </wp:inline>
              </w:drawing>
            </w:r>
          </w:p>
        </w:tc>
      </w:tr>
      <w:tr>
        <w:tblPrEx>
          <w:tblCellMar>
            <w:top w:w="0" w:type="dxa"/>
            <w:left w:w="108" w:type="dxa"/>
            <w:bottom w:w="0" w:type="dxa"/>
            <w:right w:w="108" w:type="dxa"/>
          </w:tblCellMar>
        </w:tblPrEx>
        <w:trPr>
          <w:trHeight w:val="608" w:hRule="atLeast"/>
          <w:jc w:val="center"/>
        </w:trPr>
        <w:tc>
          <w:tcPr>
            <w:tcW w:w="2478" w:type="dxa"/>
            <w:tcBorders>
              <w:top w:val="nil"/>
              <w:left w:val="single" w:color="auto" w:sz="8" w:space="0"/>
              <w:bottom w:val="single" w:color="auto" w:sz="8" w:space="0"/>
              <w:right w:val="single" w:color="auto" w:sz="8" w:space="0"/>
            </w:tcBorders>
            <w:vAlign w:val="center"/>
          </w:tcPr>
          <w:p>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en-US" w:eastAsia="zh-CN"/>
              </w:rPr>
              <w:t>电动</w:t>
            </w:r>
            <w:r>
              <w:rPr>
                <w:rFonts w:hint="eastAsia" w:ascii="仿宋_GB2312" w:hAnsi="仿宋_GB2312" w:eastAsia="仿宋_GB2312" w:cs="仿宋_GB2312"/>
                <w:color w:val="auto"/>
                <w:kern w:val="0"/>
                <w:sz w:val="24"/>
                <w:highlight w:val="none"/>
              </w:rPr>
              <w:t>管道疏通机（大）</w:t>
            </w:r>
          </w:p>
        </w:tc>
        <w:tc>
          <w:tcPr>
            <w:tcW w:w="1217" w:type="dxa"/>
            <w:tcBorders>
              <w:top w:val="nil"/>
              <w:left w:val="nil"/>
              <w:bottom w:val="single" w:color="auto" w:sz="4" w:space="0"/>
              <w:right w:val="single" w:color="auto" w:sz="4" w:space="0"/>
            </w:tcBorders>
            <w:vAlign w:val="center"/>
          </w:tcPr>
          <w:p>
            <w:pPr>
              <w:widowControl/>
              <w:jc w:val="center"/>
              <w:textAlignment w:val="center"/>
              <w:rPr>
                <w:rFonts w:hint="default"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val="en-US" w:eastAsia="zh-CN"/>
              </w:rPr>
              <w:t>2台</w:t>
            </w:r>
          </w:p>
        </w:tc>
        <w:tc>
          <w:tcPr>
            <w:tcW w:w="5720" w:type="dxa"/>
            <w:tcBorders>
              <w:top w:val="nil"/>
              <w:left w:val="nil"/>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961390" cy="1264285"/>
                  <wp:effectExtent l="0" t="0" r="635" b="2540"/>
                  <wp:docPr id="1042" name="图片 14"/>
                  <wp:cNvGraphicFramePr/>
                  <a:graphic xmlns:a="http://schemas.openxmlformats.org/drawingml/2006/main">
                    <a:graphicData uri="http://schemas.openxmlformats.org/drawingml/2006/picture">
                      <pic:pic xmlns:pic="http://schemas.openxmlformats.org/drawingml/2006/picture">
                        <pic:nvPicPr>
                          <pic:cNvPr id="1042" name="图片 14"/>
                          <pic:cNvPicPr/>
                        </pic:nvPicPr>
                        <pic:blipFill>
                          <a:blip r:embed="rId27" cstate="print"/>
                          <a:srcRect/>
                          <a:stretch>
                            <a:fillRect/>
                          </a:stretch>
                        </pic:blipFill>
                        <pic:spPr>
                          <a:xfrm>
                            <a:off x="0" y="0"/>
                            <a:ext cx="961390" cy="1264285"/>
                          </a:xfrm>
                          <a:prstGeom prst="rect">
                            <a:avLst/>
                          </a:prstGeom>
                          <a:ln>
                            <a:noFill/>
                          </a:ln>
                        </pic:spPr>
                      </pic:pic>
                    </a:graphicData>
                  </a:graphic>
                </wp:inline>
              </w:drawing>
            </w:r>
          </w:p>
        </w:tc>
      </w:tr>
      <w:tr>
        <w:tblPrEx>
          <w:tblCellMar>
            <w:top w:w="0" w:type="dxa"/>
            <w:left w:w="108" w:type="dxa"/>
            <w:bottom w:w="0" w:type="dxa"/>
            <w:right w:w="108" w:type="dxa"/>
          </w:tblCellMar>
        </w:tblPrEx>
        <w:trPr>
          <w:trHeight w:val="608" w:hRule="atLeast"/>
          <w:jc w:val="center"/>
        </w:trPr>
        <w:tc>
          <w:tcPr>
            <w:tcW w:w="2478" w:type="dxa"/>
            <w:tcBorders>
              <w:top w:val="nil"/>
              <w:left w:val="single" w:color="auto" w:sz="8" w:space="0"/>
              <w:bottom w:val="single" w:color="auto" w:sz="8" w:space="0"/>
              <w:right w:val="single" w:color="auto" w:sz="8" w:space="0"/>
            </w:tcBorders>
            <w:vAlign w:val="center"/>
          </w:tcPr>
          <w:p>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en-US" w:eastAsia="zh-CN"/>
              </w:rPr>
              <w:t>电动</w:t>
            </w:r>
            <w:r>
              <w:rPr>
                <w:rFonts w:hint="eastAsia" w:ascii="仿宋_GB2312" w:hAnsi="仿宋_GB2312" w:eastAsia="仿宋_GB2312" w:cs="仿宋_GB2312"/>
                <w:color w:val="auto"/>
                <w:kern w:val="0"/>
                <w:sz w:val="24"/>
                <w:highlight w:val="none"/>
              </w:rPr>
              <w:t>管道疏通机（小）</w:t>
            </w:r>
          </w:p>
        </w:tc>
        <w:tc>
          <w:tcPr>
            <w:tcW w:w="1217" w:type="dxa"/>
            <w:tcBorders>
              <w:top w:val="nil"/>
              <w:left w:val="nil"/>
              <w:bottom w:val="single" w:color="auto" w:sz="4" w:space="0"/>
              <w:right w:val="single" w:color="auto" w:sz="4" w:space="0"/>
            </w:tcBorders>
            <w:vAlign w:val="center"/>
          </w:tcPr>
          <w:p>
            <w:pPr>
              <w:widowControl/>
              <w:jc w:val="center"/>
              <w:textAlignment w:val="center"/>
              <w:rPr>
                <w:rFonts w:hint="default"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val="en-US" w:eastAsia="zh-CN"/>
              </w:rPr>
              <w:t>3台</w:t>
            </w:r>
          </w:p>
        </w:tc>
        <w:tc>
          <w:tcPr>
            <w:tcW w:w="5720" w:type="dxa"/>
            <w:tcBorders>
              <w:top w:val="nil"/>
              <w:left w:val="nil"/>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800860" cy="1238250"/>
                  <wp:effectExtent l="0" t="0" r="8890" b="0"/>
                  <wp:docPr id="1043" name="图片 15"/>
                  <wp:cNvGraphicFramePr/>
                  <a:graphic xmlns:a="http://schemas.openxmlformats.org/drawingml/2006/main">
                    <a:graphicData uri="http://schemas.openxmlformats.org/drawingml/2006/picture">
                      <pic:pic xmlns:pic="http://schemas.openxmlformats.org/drawingml/2006/picture">
                        <pic:nvPicPr>
                          <pic:cNvPr id="1043" name="图片 15"/>
                          <pic:cNvPicPr/>
                        </pic:nvPicPr>
                        <pic:blipFill>
                          <a:blip r:embed="rId28" cstate="print"/>
                          <a:srcRect/>
                          <a:stretch>
                            <a:fillRect/>
                          </a:stretch>
                        </pic:blipFill>
                        <pic:spPr>
                          <a:xfrm>
                            <a:off x="0" y="0"/>
                            <a:ext cx="1800860" cy="1238250"/>
                          </a:xfrm>
                          <a:prstGeom prst="rect">
                            <a:avLst/>
                          </a:prstGeom>
                          <a:ln>
                            <a:noFill/>
                          </a:ln>
                        </pic:spPr>
                      </pic:pic>
                    </a:graphicData>
                  </a:graphic>
                </wp:inline>
              </w:drawing>
            </w:r>
          </w:p>
        </w:tc>
      </w:tr>
      <w:tr>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电锤、冲击钻</w:t>
            </w:r>
          </w:p>
        </w:tc>
        <w:tc>
          <w:tcPr>
            <w:tcW w:w="1217" w:type="dxa"/>
            <w:tcBorders>
              <w:top w:val="nil"/>
              <w:left w:val="nil"/>
              <w:bottom w:val="single" w:color="auto" w:sz="4" w:space="0"/>
              <w:right w:val="single" w:color="auto" w:sz="4" w:space="0"/>
            </w:tcBorders>
            <w:vAlign w:val="center"/>
          </w:tcPr>
          <w:p>
            <w:pPr>
              <w:widowControl/>
              <w:jc w:val="center"/>
              <w:textAlignment w:val="center"/>
              <w:rPr>
                <w:rFonts w:hint="default"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val="en-US" w:eastAsia="zh-CN"/>
              </w:rPr>
              <w:t>各2套</w:t>
            </w:r>
          </w:p>
        </w:tc>
        <w:tc>
          <w:tcPr>
            <w:tcW w:w="5720" w:type="dxa"/>
            <w:tcBorders>
              <w:top w:val="nil"/>
              <w:left w:val="nil"/>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2014220" cy="1207135"/>
                  <wp:effectExtent l="0" t="0" r="5080" b="2540"/>
                  <wp:docPr id="1044" name="图片 16"/>
                  <wp:cNvGraphicFramePr/>
                  <a:graphic xmlns:a="http://schemas.openxmlformats.org/drawingml/2006/main">
                    <a:graphicData uri="http://schemas.openxmlformats.org/drawingml/2006/picture">
                      <pic:pic xmlns:pic="http://schemas.openxmlformats.org/drawingml/2006/picture">
                        <pic:nvPicPr>
                          <pic:cNvPr id="1044" name="图片 16"/>
                          <pic:cNvPicPr/>
                        </pic:nvPicPr>
                        <pic:blipFill>
                          <a:blip r:embed="rId29" cstate="print"/>
                          <a:srcRect/>
                          <a:stretch>
                            <a:fillRect/>
                          </a:stretch>
                        </pic:blipFill>
                        <pic:spPr>
                          <a:xfrm>
                            <a:off x="0" y="0"/>
                            <a:ext cx="2014220" cy="1207135"/>
                          </a:xfrm>
                          <a:prstGeom prst="rect">
                            <a:avLst/>
                          </a:prstGeom>
                          <a:ln>
                            <a:noFill/>
                          </a:ln>
                        </pic:spPr>
                      </pic:pic>
                    </a:graphicData>
                  </a:graphic>
                </wp:inline>
              </w:drawing>
            </w:r>
          </w:p>
        </w:tc>
      </w:tr>
      <w:tr>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pPr>
              <w:widowControl/>
              <w:spacing w:line="360" w:lineRule="auto"/>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室外保洁员流动</w:t>
            </w:r>
          </w:p>
          <w:p>
            <w:pPr>
              <w:widowControl/>
              <w:spacing w:line="360" w:lineRule="auto"/>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小推车</w:t>
            </w:r>
          </w:p>
        </w:tc>
        <w:tc>
          <w:tcPr>
            <w:tcW w:w="1217" w:type="dxa"/>
            <w:tcBorders>
              <w:top w:val="nil"/>
              <w:left w:val="nil"/>
              <w:bottom w:val="single" w:color="auto" w:sz="4" w:space="0"/>
              <w:right w:val="single" w:color="auto" w:sz="4" w:space="0"/>
            </w:tcBorders>
            <w:vAlign w:val="center"/>
          </w:tcPr>
          <w:p>
            <w:pPr>
              <w:widowControl/>
              <w:spacing w:line="360" w:lineRule="auto"/>
              <w:jc w:val="center"/>
              <w:rPr>
                <w:rFonts w:hint="default"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val="en-US" w:eastAsia="zh-CN"/>
              </w:rPr>
              <w:t>5台</w:t>
            </w:r>
          </w:p>
        </w:tc>
        <w:tc>
          <w:tcPr>
            <w:tcW w:w="5720" w:type="dxa"/>
            <w:tcBorders>
              <w:top w:val="nil"/>
              <w:left w:val="nil"/>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sz w:val="24"/>
                <w:highlight w:val="none"/>
              </w:rPr>
            </w:pPr>
            <w:r>
              <w:rPr>
                <w:rFonts w:ascii="宋体" w:hAnsi="宋体" w:eastAsia="宋体" w:cs="宋体"/>
                <w:sz w:val="24"/>
                <w:szCs w:val="24"/>
              </w:rPr>
              <w:drawing>
                <wp:inline distT="0" distB="0" distL="114300" distR="114300">
                  <wp:extent cx="1868805" cy="2179320"/>
                  <wp:effectExtent l="0" t="0" r="7620" b="1905"/>
                  <wp:docPr id="1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IMG_256"/>
                          <pic:cNvPicPr>
                            <a:picLocks noChangeAspect="1"/>
                          </pic:cNvPicPr>
                        </pic:nvPicPr>
                        <pic:blipFill>
                          <a:blip r:embed="rId30"/>
                          <a:stretch>
                            <a:fillRect/>
                          </a:stretch>
                        </pic:blipFill>
                        <pic:spPr>
                          <a:xfrm>
                            <a:off x="0" y="0"/>
                            <a:ext cx="1868805" cy="217932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电工工具、木工工具、</w:t>
            </w:r>
            <w:r>
              <w:rPr>
                <w:rFonts w:hint="eastAsia" w:ascii="仿宋_GB2312" w:hAnsi="仿宋_GB2312" w:eastAsia="仿宋_GB2312" w:cs="仿宋_GB2312"/>
                <w:color w:val="auto"/>
                <w:sz w:val="24"/>
                <w:highlight w:val="none"/>
                <w:lang w:val="en-US" w:eastAsia="zh-CN"/>
              </w:rPr>
              <w:t>综合维修</w:t>
            </w:r>
            <w:r>
              <w:rPr>
                <w:rFonts w:hint="eastAsia" w:ascii="仿宋_GB2312" w:hAnsi="仿宋_GB2312" w:eastAsia="仿宋_GB2312" w:cs="仿宋_GB2312"/>
                <w:color w:val="auto"/>
                <w:sz w:val="24"/>
                <w:highlight w:val="none"/>
              </w:rPr>
              <w:t>工具</w:t>
            </w:r>
          </w:p>
        </w:tc>
        <w:tc>
          <w:tcPr>
            <w:tcW w:w="1217" w:type="dxa"/>
            <w:tcBorders>
              <w:top w:val="nil"/>
              <w:left w:val="nil"/>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p>
        </w:tc>
        <w:tc>
          <w:tcPr>
            <w:tcW w:w="5720" w:type="dxa"/>
            <w:tcBorders>
              <w:top w:val="nil"/>
              <w:left w:val="nil"/>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按</w:t>
            </w:r>
            <w:r>
              <w:rPr>
                <w:rFonts w:hint="eastAsia" w:ascii="仿宋_GB2312" w:hAnsi="仿宋_GB2312" w:eastAsia="仿宋_GB2312" w:cs="仿宋_GB2312"/>
                <w:color w:val="auto"/>
                <w:sz w:val="24"/>
                <w:highlight w:val="none"/>
                <w:lang w:val="en-US" w:eastAsia="zh-CN"/>
              </w:rPr>
              <w:t>维修人员</w:t>
            </w:r>
            <w:r>
              <w:rPr>
                <w:rFonts w:hint="eastAsia" w:ascii="仿宋_GB2312" w:hAnsi="仿宋_GB2312" w:eastAsia="仿宋_GB2312" w:cs="仿宋_GB2312"/>
                <w:color w:val="auto"/>
                <w:sz w:val="24"/>
                <w:highlight w:val="none"/>
              </w:rPr>
              <w:t>配置</w:t>
            </w:r>
          </w:p>
        </w:tc>
      </w:tr>
      <w:tr>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大、小垃圾袋</w:t>
            </w:r>
          </w:p>
        </w:tc>
        <w:tc>
          <w:tcPr>
            <w:tcW w:w="121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p>
        </w:tc>
        <w:tc>
          <w:tcPr>
            <w:tcW w:w="5720" w:type="dxa"/>
            <w:tcBorders>
              <w:top w:val="nil"/>
              <w:left w:val="single" w:color="auto" w:sz="4" w:space="0"/>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按实际配备</w:t>
            </w:r>
          </w:p>
        </w:tc>
      </w:tr>
      <w:tr>
        <w:tblPrEx>
          <w:tblCellMar>
            <w:top w:w="0" w:type="dxa"/>
            <w:left w:w="108" w:type="dxa"/>
            <w:bottom w:w="0" w:type="dxa"/>
            <w:right w:w="108" w:type="dxa"/>
          </w:tblCellMar>
        </w:tblPrEx>
        <w:trPr>
          <w:trHeight w:val="1344" w:hRule="atLeast"/>
          <w:jc w:val="center"/>
        </w:trPr>
        <w:tc>
          <w:tcPr>
            <w:tcW w:w="2478" w:type="dxa"/>
            <w:tcBorders>
              <w:top w:val="nil"/>
              <w:left w:val="single" w:color="auto" w:sz="8" w:space="0"/>
              <w:bottom w:val="single" w:color="auto" w:sz="8" w:space="0"/>
              <w:right w:val="single" w:color="auto" w:sz="8" w:space="0"/>
            </w:tcBorders>
            <w:vAlign w:val="center"/>
          </w:tcPr>
          <w:p>
            <w:pPr>
              <w:widowControl/>
              <w:spacing w:line="360" w:lineRule="auto"/>
              <w:jc w:val="center"/>
              <w:rPr>
                <w:rFonts w:hint="default"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rPr>
              <w:t>拖把、尘推、扫把、簸萁、玻璃刮</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抹布</w:t>
            </w:r>
          </w:p>
        </w:tc>
        <w:tc>
          <w:tcPr>
            <w:tcW w:w="121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p>
        </w:tc>
        <w:tc>
          <w:tcPr>
            <w:tcW w:w="5720" w:type="dxa"/>
            <w:tcBorders>
              <w:top w:val="nil"/>
              <w:left w:val="single" w:color="auto" w:sz="4" w:space="0"/>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按实际配备</w:t>
            </w:r>
          </w:p>
        </w:tc>
      </w:tr>
      <w:tr>
        <w:tblPrEx>
          <w:tblCellMar>
            <w:top w:w="0" w:type="dxa"/>
            <w:left w:w="108" w:type="dxa"/>
            <w:bottom w:w="0" w:type="dxa"/>
            <w:right w:w="108" w:type="dxa"/>
          </w:tblCellMar>
        </w:tblPrEx>
        <w:trPr>
          <w:trHeight w:val="2227" w:hRule="atLeast"/>
          <w:jc w:val="center"/>
        </w:trPr>
        <w:tc>
          <w:tcPr>
            <w:tcW w:w="2478" w:type="dxa"/>
            <w:tcBorders>
              <w:top w:val="nil"/>
              <w:left w:val="single" w:color="auto" w:sz="8" w:space="0"/>
              <w:bottom w:val="single" w:color="auto" w:sz="8" w:space="0"/>
              <w:right w:val="single" w:color="auto" w:sz="8"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en-US" w:eastAsia="zh-CN"/>
              </w:rPr>
              <w:t>人字梯、绿篱机、割灌机、割草机、打草机、油锯、修枝剪、锄头、升降机、切割机</w:t>
            </w:r>
            <w:r>
              <w:rPr>
                <w:rFonts w:hint="eastAsia" w:ascii="仿宋_GB2312" w:hAnsi="仿宋_GB2312" w:eastAsia="仿宋_GB2312" w:cs="仿宋_GB2312"/>
                <w:color w:val="auto"/>
                <w:kern w:val="0"/>
                <w:sz w:val="24"/>
                <w:highlight w:val="none"/>
              </w:rPr>
              <w:t>等</w:t>
            </w:r>
          </w:p>
        </w:tc>
        <w:tc>
          <w:tcPr>
            <w:tcW w:w="121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p>
        </w:tc>
        <w:tc>
          <w:tcPr>
            <w:tcW w:w="5720" w:type="dxa"/>
            <w:tcBorders>
              <w:top w:val="nil"/>
              <w:left w:val="single" w:color="auto" w:sz="4" w:space="0"/>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按实际配备</w:t>
            </w:r>
          </w:p>
        </w:tc>
      </w:tr>
      <w:tr>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劳动保护用品</w:t>
            </w:r>
          </w:p>
        </w:tc>
        <w:tc>
          <w:tcPr>
            <w:tcW w:w="121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p>
        </w:tc>
        <w:tc>
          <w:tcPr>
            <w:tcW w:w="5720" w:type="dxa"/>
            <w:tcBorders>
              <w:top w:val="nil"/>
              <w:left w:val="single" w:color="auto" w:sz="4" w:space="0"/>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按实际配备</w:t>
            </w:r>
          </w:p>
        </w:tc>
      </w:tr>
      <w:tr>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办公桌椅、电脑、打印机等办公设备</w:t>
            </w:r>
          </w:p>
        </w:tc>
        <w:tc>
          <w:tcPr>
            <w:tcW w:w="121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p>
        </w:tc>
        <w:tc>
          <w:tcPr>
            <w:tcW w:w="5720" w:type="dxa"/>
            <w:tcBorders>
              <w:top w:val="nil"/>
              <w:left w:val="single" w:color="auto" w:sz="4" w:space="0"/>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按实际配备</w:t>
            </w:r>
          </w:p>
        </w:tc>
      </w:tr>
    </w:tbl>
    <w:p>
      <w:pPr>
        <w:pStyle w:val="798"/>
        <w:ind w:firstLine="0" w:firstLineChars="0"/>
        <w:jc w:val="left"/>
        <w:rPr>
          <w:rFonts w:hint="eastAsia" w:ascii="仿宋_GB2312" w:hAnsi="仿宋_GB2312" w:eastAsia="仿宋_GB2312" w:cs="仿宋_GB2312"/>
          <w:b/>
          <w:color w:val="auto"/>
          <w:sz w:val="24"/>
          <w:szCs w:val="24"/>
          <w:highlight w:val="none"/>
        </w:rPr>
      </w:pPr>
    </w:p>
    <w:p>
      <w:pPr>
        <w:pStyle w:val="798"/>
        <w:ind w:firstLine="0" w:firstLineChars="0"/>
        <w:jc w:val="lef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备注：进场后，需按照“设备名称、型号规格（或主要技术性能、参数）、生产厂家、数量、价格、使用年份”等字段进行归类，并按分类管理和固定位置排放整齐。（注：以上标注的数量为最低标准要求，中标人应根据实际情况如实填写数量。</w:t>
      </w:r>
    </w:p>
    <w:p>
      <w:pPr>
        <w:pStyle w:val="798"/>
        <w:ind w:firstLine="0" w:firstLineChars="0"/>
        <w:jc w:val="left"/>
        <w:rPr>
          <w:rFonts w:hint="eastAsia" w:ascii="仿宋_GB2312" w:hAnsi="仿宋_GB2312" w:eastAsia="仿宋_GB2312" w:cs="仿宋_GB2312"/>
          <w:b/>
          <w:color w:val="auto"/>
          <w:sz w:val="24"/>
          <w:szCs w:val="24"/>
          <w:highlight w:val="none"/>
        </w:rPr>
      </w:pPr>
    </w:p>
    <w:p>
      <w:pPr>
        <w:pStyle w:val="8"/>
        <w:ind w:left="0" w:leftChars="0" w:firstLine="0" w:firstLineChars="0"/>
      </w:pPr>
    </w:p>
    <w:p>
      <w:pPr>
        <w:pStyle w:val="8"/>
        <w:ind w:left="0" w:leftChars="0" w:firstLine="0" w:firstLineChars="0"/>
      </w:pPr>
    </w:p>
    <w:p>
      <w:pPr>
        <w:pStyle w:val="8"/>
        <w:ind w:left="0" w:leftChars="0" w:firstLine="0" w:firstLineChars="0"/>
      </w:pPr>
    </w:p>
    <w:p>
      <w:pPr>
        <w:pStyle w:val="8"/>
        <w:ind w:left="0" w:leftChars="0" w:firstLine="0" w:firstLineChars="0"/>
      </w:pPr>
    </w:p>
    <w:p>
      <w:pPr>
        <w:pStyle w:val="8"/>
        <w:ind w:left="0" w:leftChars="0" w:firstLine="0" w:firstLineChars="0"/>
      </w:pPr>
    </w:p>
    <w:p>
      <w:pPr>
        <w:pStyle w:val="8"/>
        <w:ind w:left="0" w:leftChars="0" w:firstLine="0" w:firstLineChars="0"/>
      </w:pPr>
    </w:p>
    <w:p>
      <w:pPr>
        <w:pStyle w:val="8"/>
        <w:ind w:left="0" w:leftChars="0" w:firstLine="0" w:firstLineChars="0"/>
      </w:pPr>
    </w:p>
    <w:p>
      <w:pPr>
        <w:ind w:left="0" w:leftChars="0" w:firstLineChars="0"/>
      </w:pPr>
      <w:r>
        <w:br w:type="page"/>
      </w:r>
    </w:p>
    <w:p>
      <w:pPr>
        <w:pStyle w:val="3"/>
        <w:spacing w:line="276" w:lineRule="auto"/>
        <w:jc w:val="center"/>
        <w:rPr>
          <w:sz w:val="32"/>
          <w:szCs w:val="32"/>
        </w:rPr>
      </w:pPr>
      <w:bookmarkStart w:id="37" w:name="_Toc29711"/>
      <w:r>
        <w:rPr>
          <w:rFonts w:hint="eastAsia"/>
          <w:sz w:val="32"/>
          <w:szCs w:val="32"/>
        </w:rPr>
        <w:t>第三章 投标人须知</w:t>
      </w:r>
      <w:bookmarkEnd w:id="37"/>
    </w:p>
    <w:p>
      <w:pPr>
        <w:spacing w:line="276" w:lineRule="auto"/>
        <w:jc w:val="center"/>
        <w:rPr>
          <w:rFonts w:ascii="仿宋_GB2312" w:eastAsia="仿宋_GB2312"/>
          <w:b/>
          <w:sz w:val="28"/>
          <w:szCs w:val="28"/>
        </w:rPr>
      </w:pPr>
      <w:r>
        <w:rPr>
          <w:rFonts w:hint="eastAsia" w:ascii="仿宋_GB2312" w:eastAsia="仿宋_GB2312"/>
          <w:b/>
          <w:sz w:val="28"/>
          <w:szCs w:val="28"/>
        </w:rPr>
        <w:t>前附表</w:t>
      </w:r>
    </w:p>
    <w:tbl>
      <w:tblPr>
        <w:tblStyle w:val="48"/>
        <w:tblW w:w="90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2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line="400" w:lineRule="exact"/>
              <w:jc w:val="center"/>
              <w:rPr>
                <w:rFonts w:ascii="仿宋_GB2312" w:eastAsia="仿宋_GB2312"/>
                <w:b/>
                <w:sz w:val="24"/>
              </w:rPr>
            </w:pPr>
            <w:r>
              <w:rPr>
                <w:rFonts w:hint="eastAsia" w:ascii="仿宋_GB2312" w:eastAsia="仿宋_GB2312"/>
                <w:b/>
                <w:sz w:val="24"/>
              </w:rPr>
              <w:t>序号</w:t>
            </w:r>
          </w:p>
        </w:tc>
        <w:tc>
          <w:tcPr>
            <w:tcW w:w="8232" w:type="dxa"/>
          </w:tcPr>
          <w:p>
            <w:pPr>
              <w:spacing w:line="400" w:lineRule="exact"/>
              <w:jc w:val="center"/>
              <w:rPr>
                <w:rFonts w:ascii="仿宋_GB2312" w:eastAsia="仿宋_GB2312"/>
                <w:b/>
                <w:sz w:val="24"/>
              </w:rPr>
            </w:pPr>
            <w:r>
              <w:rPr>
                <w:rFonts w:hint="eastAsia" w:ascii="仿宋_GB2312" w:eastAsia="仿宋_GB2312"/>
                <w:b/>
                <w:sz w:val="24"/>
              </w:rPr>
              <w:t>内    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sz w:val="24"/>
              </w:rPr>
              <w:t>1</w:t>
            </w:r>
          </w:p>
        </w:tc>
        <w:tc>
          <w:tcPr>
            <w:tcW w:w="8232" w:type="dxa"/>
            <w:vAlign w:val="center"/>
          </w:tcPr>
          <w:p>
            <w:pPr>
              <w:spacing w:line="400" w:lineRule="exact"/>
              <w:rPr>
                <w:rFonts w:ascii="仿宋_GB2312" w:eastAsia="仿宋_GB2312"/>
                <w:sz w:val="24"/>
              </w:rPr>
            </w:pPr>
            <w:r>
              <w:rPr>
                <w:rFonts w:hint="eastAsia" w:ascii="仿宋_GB2312" w:eastAsia="仿宋_GB2312"/>
                <w:sz w:val="24"/>
              </w:rPr>
              <w:t>项目名称：</w:t>
            </w:r>
            <w:r>
              <w:rPr>
                <w:rFonts w:ascii="仿宋_GB2312" w:hAnsi="宋体" w:eastAsia="仿宋_GB2312"/>
                <w:sz w:val="24"/>
              </w:rPr>
              <w:t>柳州城市职业学院2026-2029年物业管理服务采购</w:t>
            </w:r>
          </w:p>
          <w:p>
            <w:pPr>
              <w:spacing w:line="400" w:lineRule="exact"/>
              <w:rPr>
                <w:rFonts w:ascii="仿宋_GB2312" w:eastAsia="仿宋_GB2312"/>
                <w:sz w:val="24"/>
              </w:rPr>
            </w:pPr>
            <w:r>
              <w:rPr>
                <w:rFonts w:hint="eastAsia" w:ascii="仿宋_GB2312" w:eastAsia="仿宋_GB2312"/>
                <w:sz w:val="24"/>
              </w:rPr>
              <w:t>项目编号：LZZC2026-G3-990077-LZSZ</w:t>
            </w:r>
            <w:r>
              <w:rPr>
                <w:rFonts w:ascii="仿宋_GB2312" w:hAnsi="宋体" w:eastAsia="仿宋_GB2312"/>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ascii="仿宋_GB2312" w:eastAsia="仿宋_GB2312"/>
                <w:sz w:val="24"/>
              </w:rPr>
              <w:t>2</w:t>
            </w:r>
          </w:p>
        </w:tc>
        <w:tc>
          <w:tcPr>
            <w:tcW w:w="8232" w:type="dxa"/>
          </w:tcPr>
          <w:p>
            <w:pPr>
              <w:autoSpaceDE w:val="0"/>
              <w:autoSpaceDN w:val="0"/>
              <w:spacing w:line="400" w:lineRule="exact"/>
              <w:textAlignment w:val="bottom"/>
              <w:rPr>
                <w:rFonts w:ascii="仿宋_GB2312" w:eastAsia="仿宋_GB2312"/>
                <w:sz w:val="24"/>
              </w:rPr>
            </w:pPr>
            <w:r>
              <w:rPr>
                <w:rFonts w:hint="eastAsia" w:ascii="仿宋_GB2312" w:eastAsia="仿宋_GB2312"/>
                <w:sz w:val="24"/>
              </w:rPr>
              <w:t>采购资金来源：财政性资金</w:t>
            </w:r>
          </w:p>
          <w:p>
            <w:pPr>
              <w:autoSpaceDE w:val="0"/>
              <w:autoSpaceDN w:val="0"/>
              <w:spacing w:line="400" w:lineRule="exact"/>
              <w:textAlignment w:val="bottom"/>
              <w:rPr>
                <w:rFonts w:ascii="仿宋_GB2312" w:eastAsia="仿宋_GB2312"/>
                <w:sz w:val="24"/>
              </w:rPr>
            </w:pPr>
            <w:r>
              <w:rPr>
                <w:rFonts w:hint="eastAsia" w:ascii="仿宋_GB2312" w:eastAsia="仿宋_GB2312"/>
                <w:sz w:val="24"/>
              </w:rPr>
              <w:t>预算资金（人民币）：</w:t>
            </w:r>
            <w:r>
              <w:rPr>
                <w:rFonts w:ascii="仿宋_GB2312" w:eastAsia="仿宋_GB2312"/>
                <w:sz w:val="24"/>
              </w:rPr>
              <w:t>壹仟肆佰零伍万壹仟贰佰元整</w:t>
            </w:r>
            <w:r>
              <w:rPr>
                <w:rFonts w:hint="eastAsia" w:ascii="仿宋_GB2312" w:eastAsia="仿宋_GB2312"/>
                <w:sz w:val="24"/>
              </w:rPr>
              <w:t>（¥</w:t>
            </w:r>
            <w:r>
              <w:rPr>
                <w:rFonts w:ascii="仿宋_GB2312" w:eastAsia="仿宋_GB2312"/>
                <w:sz w:val="24"/>
              </w:rPr>
              <w:t>14</w:t>
            </w:r>
            <w:r>
              <w:rPr>
                <w:rFonts w:hint="eastAsia" w:ascii="仿宋_GB2312" w:eastAsia="仿宋_GB2312"/>
                <w:sz w:val="24"/>
                <w:lang w:val="en-US" w:eastAsia="zh-CN"/>
              </w:rPr>
              <w:t>,</w:t>
            </w:r>
            <w:r>
              <w:rPr>
                <w:rFonts w:ascii="仿宋_GB2312" w:eastAsia="仿宋_GB2312"/>
                <w:sz w:val="24"/>
              </w:rPr>
              <w:t>051</w:t>
            </w:r>
            <w:r>
              <w:rPr>
                <w:rFonts w:hint="eastAsia" w:ascii="仿宋_GB2312" w:eastAsia="仿宋_GB2312"/>
                <w:sz w:val="24"/>
                <w:lang w:val="en-US" w:eastAsia="zh-CN"/>
              </w:rPr>
              <w:t>,</w:t>
            </w:r>
            <w:r>
              <w:rPr>
                <w:rFonts w:ascii="仿宋_GB2312" w:eastAsia="仿宋_GB2312"/>
                <w:sz w:val="24"/>
              </w:rPr>
              <w:t>200</w:t>
            </w:r>
            <w:r>
              <w:rPr>
                <w:rFonts w:hint="eastAsia" w:ascii="仿宋_GB2312" w:eastAsia="仿宋_GB2312"/>
                <w:sz w:val="24"/>
                <w:lang w:val="en-US" w:eastAsia="zh-CN"/>
              </w:rPr>
              <w:t>.00</w:t>
            </w:r>
            <w:r>
              <w:rPr>
                <w:rFonts w:hint="eastAsia" w:ascii="仿宋_GB2312" w:eastAsia="仿宋_GB2312"/>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ascii="仿宋_GB2312" w:eastAsia="仿宋_GB2312"/>
                <w:sz w:val="24"/>
              </w:rPr>
              <w:t>3</w:t>
            </w:r>
          </w:p>
        </w:tc>
        <w:tc>
          <w:tcPr>
            <w:tcW w:w="8232" w:type="dxa"/>
            <w:vAlign w:val="center"/>
          </w:tcPr>
          <w:p>
            <w:pPr>
              <w:spacing w:line="400" w:lineRule="exact"/>
              <w:rPr>
                <w:rFonts w:ascii="仿宋_GB2312" w:eastAsia="仿宋_GB2312"/>
                <w:sz w:val="24"/>
              </w:rPr>
            </w:pPr>
            <w:r>
              <w:rPr>
                <w:rFonts w:hint="eastAsia" w:ascii="仿宋_GB2312" w:eastAsia="仿宋_GB2312"/>
                <w:sz w:val="24"/>
              </w:rPr>
              <w:t>投标报价及费用：</w:t>
            </w:r>
          </w:p>
          <w:p>
            <w:pPr>
              <w:spacing w:line="400" w:lineRule="exact"/>
              <w:rPr>
                <w:rFonts w:ascii="仿宋_GB2312" w:eastAsia="仿宋_GB2312"/>
                <w:sz w:val="24"/>
              </w:rPr>
            </w:pPr>
            <w:r>
              <w:rPr>
                <w:rFonts w:hint="eastAsia" w:ascii="仿宋_GB2312" w:eastAsia="仿宋_GB2312"/>
                <w:sz w:val="24"/>
              </w:rPr>
              <w:t>1.本项目投标应以人民币报价；</w:t>
            </w:r>
          </w:p>
          <w:p>
            <w:pPr>
              <w:spacing w:line="400" w:lineRule="exact"/>
              <w:rPr>
                <w:rFonts w:ascii="仿宋_GB2312" w:eastAsia="仿宋_GB2312"/>
                <w:sz w:val="24"/>
              </w:rPr>
            </w:pPr>
            <w:r>
              <w:rPr>
                <w:rFonts w:hint="eastAsia" w:ascii="仿宋_GB2312" w:eastAsia="仿宋_GB2312"/>
                <w:sz w:val="24"/>
              </w:rPr>
              <w:t>2.不论投标结果如何，投标人均应自行承担所有与投标有关的全部费用；</w:t>
            </w:r>
          </w:p>
          <w:p>
            <w:pPr>
              <w:spacing w:line="400" w:lineRule="exact"/>
              <w:rPr>
                <w:rFonts w:ascii="仿宋_GB2312" w:eastAsia="仿宋_GB2312"/>
                <w:sz w:val="24"/>
              </w:rPr>
            </w:pPr>
            <w:r>
              <w:rPr>
                <w:rFonts w:hint="eastAsia" w:ascii="仿宋_GB2312" w:eastAsia="仿宋_GB2312"/>
                <w:sz w:val="24"/>
              </w:rPr>
              <w:t>3.本次招标文件和代理服务费用全免。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jc w:val="center"/>
        </w:trPr>
        <w:tc>
          <w:tcPr>
            <w:tcW w:w="817" w:type="dxa"/>
            <w:vAlign w:val="center"/>
          </w:tcPr>
          <w:p>
            <w:pPr>
              <w:spacing w:line="400" w:lineRule="exact"/>
              <w:jc w:val="center"/>
              <w:rPr>
                <w:rFonts w:ascii="仿宋_GB2312" w:eastAsia="仿宋_GB2312"/>
                <w:sz w:val="24"/>
              </w:rPr>
            </w:pPr>
            <w:r>
              <w:rPr>
                <w:rFonts w:ascii="仿宋_GB2312" w:eastAsia="仿宋_GB2312"/>
                <w:sz w:val="24"/>
              </w:rPr>
              <w:t>4</w:t>
            </w:r>
          </w:p>
        </w:tc>
        <w:tc>
          <w:tcPr>
            <w:tcW w:w="8232" w:type="dxa"/>
            <w:vAlign w:val="center"/>
          </w:tcPr>
          <w:p>
            <w:pPr>
              <w:spacing w:line="400" w:lineRule="exact"/>
              <w:rPr>
                <w:rFonts w:ascii="仿宋_GB2312" w:eastAsia="仿宋_GB2312"/>
                <w:sz w:val="24"/>
              </w:rPr>
            </w:pPr>
            <w:r>
              <w:rPr>
                <w:rFonts w:hint="eastAsia" w:ascii="仿宋_GB2312" w:eastAsia="仿宋_GB2312"/>
                <w:sz w:val="24"/>
              </w:rPr>
              <w:t>投标保证金为：本项目无需提交投标保证金。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ascii="仿宋_GB2312" w:eastAsia="仿宋_GB2312"/>
                <w:sz w:val="24"/>
              </w:rPr>
              <w:t>5</w:t>
            </w:r>
          </w:p>
        </w:tc>
        <w:tc>
          <w:tcPr>
            <w:tcW w:w="8232" w:type="dxa"/>
            <w:vAlign w:val="center"/>
          </w:tcPr>
          <w:p>
            <w:pPr>
              <w:spacing w:line="400" w:lineRule="exact"/>
              <w:rPr>
                <w:rFonts w:ascii="仿宋_GB2312" w:eastAsia="仿宋_GB2312"/>
                <w:sz w:val="24"/>
              </w:rPr>
            </w:pPr>
            <w:r>
              <w:rPr>
                <w:rFonts w:hint="eastAsia" w:ascii="仿宋_GB2312" w:hAnsi="宋体" w:eastAsia="仿宋_GB2312"/>
                <w:sz w:val="24"/>
              </w:rPr>
              <w:t>答疑与澄清：投标人如认为招标文件表述不清晰或对政府采购活动事项有疑问的，应当以书面形式向采购人提出询问、澄清；答疑内容是招标文件的组成部分，并将以书面形式送达所有已获取招标文件的投标人；采购人或采购代理机构可以视采购具体情况，延长</w:t>
            </w:r>
            <w:r>
              <w:rPr>
                <w:rFonts w:hint="eastAsia" w:ascii="仿宋_GB2312" w:eastAsia="仿宋_GB2312"/>
                <w:sz w:val="24"/>
              </w:rPr>
              <w:t>招标文件提供期限，并在财政部门指定的政府采购信息发布媒体上发布公告。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6</w:t>
            </w:r>
          </w:p>
        </w:tc>
        <w:tc>
          <w:tcPr>
            <w:tcW w:w="8232" w:type="dxa"/>
            <w:vAlign w:val="center"/>
          </w:tcPr>
          <w:p>
            <w:pPr>
              <w:pStyle w:val="519"/>
              <w:spacing w:before="0" w:beforeAutospacing="0" w:after="0" w:afterAutospacing="0" w:line="460" w:lineRule="atLeast"/>
              <w:rPr>
                <w:rFonts w:ascii="仿宋_GB2312" w:eastAsia="仿宋_GB2312"/>
                <w:color w:val="000000"/>
              </w:rPr>
            </w:pPr>
            <w:r>
              <w:rPr>
                <w:rStyle w:val="520"/>
                <w:rFonts w:hint="eastAsia" w:ascii="仿宋_GB2312" w:eastAsia="仿宋_GB2312"/>
                <w:color w:val="000000"/>
              </w:rPr>
              <w:t>本项目属于专门面向中小企业采购的项目，监狱企业、残疾人福利单位视同小型、微型企业：</w:t>
            </w:r>
            <w:r>
              <w:rPr>
                <w:rFonts w:hint="eastAsia" w:ascii="仿宋_GB2312" w:eastAsia="仿宋_GB2312"/>
                <w:color w:val="000000"/>
              </w:rPr>
              <w:br w:type="textWrapping"/>
            </w:r>
            <w:r>
              <w:rPr>
                <w:rFonts w:hint="eastAsia" w:ascii="仿宋_GB2312" w:eastAsia="仿宋_GB2312"/>
                <w:color w:val="000000"/>
              </w:rPr>
              <w:t>1.</w:t>
            </w:r>
            <w:r>
              <w:rPr>
                <w:rStyle w:val="520"/>
                <w:rFonts w:hint="eastAsia" w:ascii="仿宋_GB2312" w:eastAsia="仿宋_GB2312"/>
                <w:color w:val="000000"/>
              </w:rPr>
              <w:t>中小</w:t>
            </w:r>
            <w:r>
              <w:rPr>
                <w:rFonts w:hint="eastAsia" w:ascii="仿宋_GB2312" w:eastAsia="仿宋_GB2312"/>
                <w:color w:val="000000"/>
              </w:rPr>
              <w:t>企业以投标人填写的《中小企业声明函》为判定标准（格式见公开招标文件第六章）；</w:t>
            </w:r>
            <w:r>
              <w:rPr>
                <w:rFonts w:hint="eastAsia" w:ascii="仿宋_GB2312" w:eastAsia="仿宋_GB2312"/>
                <w:color w:val="000000"/>
              </w:rPr>
              <w:br w:type="textWrapping"/>
            </w:r>
            <w:r>
              <w:rPr>
                <w:rFonts w:hint="eastAsia" w:ascii="仿宋_GB2312" w:eastAsia="仿宋_GB2312"/>
                <w:color w:val="000000"/>
              </w:rPr>
              <w:t>2.残疾人福利性单位以投标人提供的《残疾人福利性单位声明函》为判定标准（格式见公开招标文件第六章）；</w:t>
            </w:r>
            <w:r>
              <w:rPr>
                <w:rFonts w:hint="eastAsia" w:ascii="仿宋_GB2312" w:eastAsia="仿宋_GB2312"/>
                <w:color w:val="000000"/>
              </w:rPr>
              <w:br w:type="textWrapping"/>
            </w:r>
            <w:r>
              <w:rPr>
                <w:rFonts w:hint="eastAsia" w:ascii="仿宋_GB2312" w:eastAsia="仿宋_GB2312"/>
                <w:color w:val="000000"/>
              </w:rPr>
              <w:t>3.监狱企业以投标人提供由省级以上监狱管理局、戒毒管理局（含新疆生产建设兵团）出具的属于监狱企业的证明文件为判定标准。</w:t>
            </w:r>
          </w:p>
          <w:p>
            <w:pPr>
              <w:spacing w:before="0" w:beforeAutospacing="0" w:after="0" w:afterAutospacing="0"/>
              <w:rPr>
                <w:rFonts w:hint="eastAsia" w:ascii="仿宋_GB2312" w:eastAsia="仿宋_GB2312"/>
                <w:color w:val="000000"/>
              </w:rPr>
            </w:pPr>
            <w:r>
              <w:rPr>
                <w:rFonts w:hint="eastAsia" w:ascii="仿宋_GB2312" w:eastAsia="仿宋_GB2312"/>
                <w:color w:val="00000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7</w:t>
            </w:r>
          </w:p>
        </w:tc>
        <w:tc>
          <w:tcPr>
            <w:tcW w:w="8232" w:type="dxa"/>
            <w:vAlign w:val="center"/>
          </w:tcPr>
          <w:p>
            <w:pPr>
              <w:pStyle w:val="540"/>
              <w:spacing w:before="0" w:beforeAutospacing="0" w:after="0" w:afterAutospacing="0" w:line="460" w:lineRule="atLeast"/>
              <w:rPr>
                <w:rFonts w:ascii="仿宋_GB2312" w:eastAsia="仿宋_GB2312"/>
                <w:color w:val="000000"/>
              </w:rPr>
            </w:pPr>
            <w:r>
              <w:rPr>
                <w:rStyle w:val="541"/>
                <w:rFonts w:hint="eastAsia" w:ascii="仿宋_GB2312" w:eastAsia="仿宋_GB2312"/>
                <w:color w:val="000000"/>
              </w:rPr>
              <w:t>电子投标文件：</w:t>
            </w:r>
            <w:r>
              <w:rPr>
                <w:rFonts w:hint="eastAsia" w:ascii="仿宋_GB2312" w:eastAsia="仿宋_GB2312"/>
                <w:b/>
                <w:bCs/>
                <w:color w:val="000000"/>
              </w:rPr>
              <w:br w:type="textWrapping"/>
            </w:r>
            <w:r>
              <w:rPr>
                <w:rStyle w:val="541"/>
                <w:rFonts w:hint="eastAsia" w:ascii="仿宋_GB2312" w:eastAsia="仿宋_GB2312"/>
                <w:color w:val="000000"/>
              </w:rPr>
              <w:t>1.投标人应按照本项目公开招标文件和广西政府采购云平台的要求，通过“广西政府采购云平台客户端”编制、加密电子投标文件，并于提交投标文件截止时间前在广西政府采购云平台上提交加密的电子投标文件。</w:t>
            </w:r>
            <w:r>
              <w:rPr>
                <w:rFonts w:hint="eastAsia" w:ascii="仿宋_GB2312" w:eastAsia="仿宋_GB2312"/>
                <w:b/>
                <w:bCs/>
                <w:color w:val="000000"/>
              </w:rPr>
              <w:br w:type="textWrapping"/>
            </w:r>
            <w:r>
              <w:rPr>
                <w:rStyle w:val="541"/>
                <w:rFonts w:hint="eastAsia" w:ascii="仿宋_GB2312" w:eastAsia="仿宋_GB2312"/>
                <w:color w:val="000000"/>
              </w:rPr>
              <w:t>2.未按规定传输提交电子投标文件的将被广西政府采购云平台拒绝。</w:t>
            </w:r>
            <w:r>
              <w:rPr>
                <w:rFonts w:hint="eastAsia" w:ascii="仿宋_GB2312" w:eastAsia="仿宋_GB2312"/>
                <w:b/>
                <w:bCs/>
                <w:color w:val="000000"/>
              </w:rPr>
              <w:br w:type="textWrapping"/>
            </w:r>
            <w:r>
              <w:rPr>
                <w:rStyle w:val="541"/>
                <w:rFonts w:hint="eastAsia" w:ascii="仿宋_GB2312" w:eastAsia="仿宋_GB2312"/>
                <w:color w:val="000000"/>
              </w:rPr>
              <w:t>3.电子投标文件成功提交后，投标人可自行打印投标文件接收回执。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8</w:t>
            </w:r>
          </w:p>
        </w:tc>
        <w:tc>
          <w:tcPr>
            <w:tcW w:w="8232" w:type="dxa"/>
            <w:vAlign w:val="center"/>
          </w:tcPr>
          <w:p>
            <w:pPr>
              <w:pStyle w:val="561"/>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投标文件提交截止时间及地点：详见公开招标公告。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9</w:t>
            </w:r>
          </w:p>
        </w:tc>
        <w:tc>
          <w:tcPr>
            <w:tcW w:w="8232" w:type="dxa"/>
            <w:vAlign w:val="center"/>
          </w:tcPr>
          <w:p>
            <w:pPr>
              <w:pStyle w:val="581"/>
              <w:spacing w:before="0" w:beforeAutospacing="0" w:after="0" w:afterAutospacing="0" w:line="460" w:lineRule="atLeast"/>
              <w:rPr>
                <w:rFonts w:ascii="仿宋_GB2312" w:eastAsia="仿宋_GB2312"/>
                <w:color w:val="000000"/>
              </w:rPr>
            </w:pPr>
            <w:r>
              <w:rPr>
                <w:rFonts w:hint="eastAsia" w:ascii="仿宋_GB2312" w:eastAsia="仿宋_GB2312"/>
                <w:color w:val="000000"/>
              </w:rPr>
              <w:t>开标时间：详见公开招标公告。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10</w:t>
            </w:r>
          </w:p>
        </w:tc>
        <w:tc>
          <w:tcPr>
            <w:tcW w:w="8232" w:type="dxa"/>
            <w:vAlign w:val="center"/>
          </w:tcPr>
          <w:p>
            <w:pPr>
              <w:pStyle w:val="601"/>
              <w:spacing w:before="0" w:beforeAutospacing="0" w:after="0" w:afterAutospacing="0" w:line="460" w:lineRule="atLeast"/>
              <w:rPr>
                <w:rFonts w:ascii="仿宋_GB2312" w:eastAsia="仿宋_GB2312"/>
                <w:color w:val="000000"/>
              </w:rPr>
            </w:pPr>
            <w:r>
              <w:rPr>
                <w:rFonts w:hint="eastAsia" w:ascii="仿宋_GB2312" w:eastAsia="仿宋_GB2312"/>
                <w:color w:val="000000"/>
              </w:rPr>
              <w:t>电子投标文件解密时间：采购代理机构开启解密标书后30分钟内，投标人必须在此时间段内登录广西政府采购云平台，用“项目采购-开标评标”功能完成电子投标文件的解密。若投标人在规定时间内未按时解密的，视为投标无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11</w:t>
            </w:r>
          </w:p>
        </w:tc>
        <w:tc>
          <w:tcPr>
            <w:tcW w:w="8232" w:type="dxa"/>
            <w:vAlign w:val="center"/>
          </w:tcPr>
          <w:p>
            <w:pPr>
              <w:pStyle w:val="621"/>
              <w:spacing w:before="0" w:beforeAutospacing="0" w:after="0" w:afterAutospacing="0" w:line="460" w:lineRule="atLeast"/>
              <w:rPr>
                <w:rFonts w:ascii="仿宋_GB2312" w:eastAsia="仿宋_GB2312"/>
                <w:color w:val="000000"/>
              </w:rPr>
            </w:pPr>
            <w:r>
              <w:rPr>
                <w:rFonts w:hint="eastAsia" w:ascii="仿宋_GB2312" w:eastAsia="仿宋_GB2312"/>
                <w:color w:val="000000"/>
              </w:rPr>
              <w:t>评标方法：综合评分法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12</w:t>
            </w:r>
          </w:p>
        </w:tc>
        <w:tc>
          <w:tcPr>
            <w:tcW w:w="8232" w:type="dxa"/>
            <w:vAlign w:val="center"/>
          </w:tcPr>
          <w:p>
            <w:pPr>
              <w:pStyle w:val="641"/>
              <w:spacing w:before="0" w:beforeAutospacing="0" w:after="0" w:afterAutospacing="0" w:line="460" w:lineRule="atLeast"/>
              <w:rPr>
                <w:rFonts w:ascii="仿宋_GB2312" w:eastAsia="仿宋_GB2312"/>
                <w:color w:val="000000"/>
              </w:rPr>
            </w:pPr>
            <w:r>
              <w:rPr>
                <w:rFonts w:hint="eastAsia" w:ascii="仿宋_GB2312" w:eastAsia="仿宋_GB2312"/>
                <w:color w:val="000000"/>
              </w:rPr>
              <w:t>发布媒体：中国政府采购网（www.ccgp.gov.cn）、广西壮族自治区政府采购网（zfcg.gxzf.gov.cn）、柳州市政府采购网（zfcg.lzscz.liuzhou.gov.cn）。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13</w:t>
            </w:r>
          </w:p>
        </w:tc>
        <w:tc>
          <w:tcPr>
            <w:tcW w:w="8232" w:type="dxa"/>
            <w:vAlign w:val="center"/>
          </w:tcPr>
          <w:p>
            <w:pPr>
              <w:pStyle w:val="661"/>
              <w:spacing w:before="0" w:beforeAutospacing="0" w:after="0" w:afterAutospacing="0" w:line="460" w:lineRule="atLeast"/>
              <w:rPr>
                <w:rFonts w:ascii="仿宋_GB2312" w:eastAsia="仿宋_GB2312"/>
                <w:color w:val="000000"/>
              </w:rPr>
            </w:pPr>
            <w:r>
              <w:rPr>
                <w:rStyle w:val="662"/>
                <w:rFonts w:hint="eastAsia" w:ascii="仿宋_GB2312" w:eastAsia="仿宋_GB2312"/>
                <w:color w:val="000000"/>
              </w:rPr>
              <w:t>一、信用信息使用规则：</w:t>
            </w:r>
            <w:r>
              <w:rPr>
                <w:rFonts w:hint="eastAsia" w:ascii="仿宋_GB2312" w:eastAsia="仿宋_GB2312"/>
                <w:color w:val="000000"/>
              </w:rPr>
              <w:br w:type="textWrapping"/>
            </w:r>
            <w:r>
              <w:rPr>
                <w:rFonts w:hint="eastAsia" w:ascii="仿宋_GB2312" w:eastAsia="仿宋_GB2312"/>
                <w:color w:val="000000"/>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r>
              <w:rPr>
                <w:rFonts w:hint="eastAsia" w:ascii="仿宋_GB2312" w:eastAsia="仿宋_GB2312"/>
                <w:color w:val="000000"/>
              </w:rPr>
              <w:br w:type="textWrapping"/>
            </w:r>
            <w:r>
              <w:rPr>
                <w:rStyle w:val="662"/>
                <w:rFonts w:hint="eastAsia" w:ascii="仿宋_GB2312" w:eastAsia="仿宋_GB2312"/>
                <w:color w:val="000000"/>
              </w:rPr>
              <w:t>二、甄别方式：</w:t>
            </w:r>
            <w:r>
              <w:rPr>
                <w:rFonts w:hint="eastAsia" w:ascii="仿宋_GB2312" w:eastAsia="仿宋_GB2312"/>
                <w:b/>
                <w:bCs/>
                <w:color w:val="000000"/>
              </w:rPr>
              <w:br w:type="textWrapping"/>
            </w:r>
            <w:r>
              <w:rPr>
                <w:rStyle w:val="662"/>
                <w:rFonts w:hint="eastAsia" w:ascii="仿宋_GB2312" w:eastAsia="仿宋_GB2312"/>
                <w:color w:val="000000"/>
              </w:rPr>
              <w:t>1.在本项目资格性审查时，采购人将对投标人信用进行查询，并按照以上信用信息使用规则处理；</w:t>
            </w:r>
            <w:r>
              <w:rPr>
                <w:rFonts w:hint="eastAsia" w:ascii="仿宋_GB2312" w:eastAsia="仿宋_GB2312"/>
                <w:b/>
                <w:bCs/>
                <w:color w:val="000000"/>
              </w:rPr>
              <w:br w:type="textWrapping"/>
            </w:r>
            <w:r>
              <w:rPr>
                <w:rStyle w:val="662"/>
                <w:rFonts w:hint="eastAsia" w:ascii="仿宋_GB2312" w:eastAsia="仿宋_GB2312"/>
                <w:color w:val="000000"/>
              </w:rPr>
              <w:t>2.在中标通知书发出前，采购人或者采购代理机构将对中标人信用进行查询，并按照以上信用信息使用规则处理；</w:t>
            </w:r>
            <w:r>
              <w:rPr>
                <w:rFonts w:hint="eastAsia" w:ascii="仿宋_GB2312" w:eastAsia="仿宋_GB2312"/>
                <w:b/>
                <w:bCs/>
                <w:color w:val="000000"/>
              </w:rPr>
              <w:br w:type="textWrapping"/>
            </w:r>
            <w:r>
              <w:rPr>
                <w:rStyle w:val="662"/>
                <w:rFonts w:hint="eastAsia" w:ascii="仿宋_GB2312" w:eastAsia="仿宋_GB2312"/>
                <w:color w:val="000000"/>
              </w:rPr>
              <w:t>3.根据《财政部关于〈中华人民共和国政府采购法实施条例〉第十九条第一款“较大数额罚款”具体适用问题的意见》（财库〔2022〕3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14</w:t>
            </w:r>
          </w:p>
        </w:tc>
        <w:tc>
          <w:tcPr>
            <w:tcW w:w="8232" w:type="dxa"/>
            <w:vAlign w:val="center"/>
          </w:tcPr>
          <w:p>
            <w:pPr>
              <w:pStyle w:val="682"/>
              <w:spacing w:before="0" w:beforeAutospacing="0" w:after="0" w:afterAutospacing="0" w:line="460" w:lineRule="atLeast"/>
              <w:rPr>
                <w:rFonts w:ascii="仿宋_GB2312" w:eastAsia="仿宋_GB2312"/>
                <w:color w:val="000000"/>
              </w:rPr>
            </w:pPr>
            <w:r>
              <w:rPr>
                <w:rFonts w:hint="eastAsia" w:ascii="仿宋_GB2312" w:eastAsia="仿宋_GB2312"/>
                <w:color w:val="000000"/>
              </w:rPr>
              <w:t>中标公告及中标通知书：采购代理机构在采购人依法确认中标人后两个工作日内发布中标公告和中标通知书。</w:t>
            </w:r>
            <w:r>
              <w:rPr>
                <w:rFonts w:hint="eastAsia" w:ascii="仿宋_GB2312" w:eastAsia="仿宋_GB2312"/>
                <w:color w:val="000000"/>
              </w:rPr>
              <w:br w:type="textWrapping"/>
            </w:r>
            <w:r>
              <w:rPr>
                <w:rStyle w:val="683"/>
                <w:rFonts w:hint="eastAsia" w:ascii="仿宋_GB2312" w:eastAsia="仿宋_GB2312"/>
                <w:color w:val="000000"/>
              </w:rPr>
              <w:t>根据《柳州市财政局 人民银行柳州市中心支行 关于进一步做好线上“政采贷”融资工作的通知》（柳财采〔2022〕19号），供应商可凭中标通知书、政府采购合同，通过中征应收账款融资服务平台向银行在线申请“政采贷”融资。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15</w:t>
            </w:r>
          </w:p>
        </w:tc>
        <w:tc>
          <w:tcPr>
            <w:tcW w:w="8232" w:type="dxa"/>
            <w:vAlign w:val="center"/>
          </w:tcPr>
          <w:p>
            <w:pPr>
              <w:pStyle w:val="703"/>
              <w:spacing w:before="0" w:beforeAutospacing="0" w:after="0" w:afterAutospacing="0" w:line="460" w:lineRule="atLeast"/>
              <w:rPr>
                <w:rFonts w:ascii="仿宋_GB2312" w:eastAsia="仿宋_GB2312"/>
                <w:color w:val="000000"/>
              </w:rPr>
            </w:pPr>
            <w:r>
              <w:rPr>
                <w:rStyle w:val="704"/>
                <w:rFonts w:hint="eastAsia" w:ascii="仿宋_GB2312" w:eastAsia="仿宋_GB2312"/>
                <w:color w:val="000000"/>
              </w:rPr>
              <w:t>签订合同时间：中标通知书发出后</w:t>
            </w:r>
            <w:r>
              <w:rPr>
                <w:rStyle w:val="704"/>
                <w:rFonts w:hint="eastAsia" w:ascii="仿宋_GB2312" w:eastAsia="仿宋_GB2312"/>
                <w:color w:val="000000"/>
                <w:u w:val="single"/>
              </w:rPr>
              <w:t>25</w:t>
            </w:r>
            <w:r>
              <w:rPr>
                <w:rStyle w:val="704"/>
                <w:rFonts w:hint="eastAsia" w:ascii="仿宋_GB2312" w:eastAsia="仿宋_GB2312"/>
                <w:color w:val="000000"/>
              </w:rPr>
              <w:t>日内。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16</w:t>
            </w:r>
          </w:p>
        </w:tc>
        <w:tc>
          <w:tcPr>
            <w:tcW w:w="8232" w:type="dxa"/>
            <w:vAlign w:val="center"/>
          </w:tcPr>
          <w:p>
            <w:pPr>
              <w:pStyle w:val="724"/>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投标文件有效期：投标截止日期后</w:t>
            </w:r>
            <w:r>
              <w:rPr>
                <w:rFonts w:hint="eastAsia" w:ascii="仿宋_GB2312" w:eastAsia="仿宋_GB2312"/>
                <w:color w:val="000000"/>
                <w:u w:val="single"/>
              </w:rPr>
              <w:t>不得少于90天</w:t>
            </w:r>
            <w:r>
              <w:rPr>
                <w:rFonts w:hint="eastAsia" w:ascii="仿宋_GB2312" w:eastAsia="仿宋_GB2312"/>
                <w:color w:val="00000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17</w:t>
            </w:r>
          </w:p>
        </w:tc>
        <w:tc>
          <w:tcPr>
            <w:tcW w:w="8232" w:type="dxa"/>
            <w:vAlign w:val="center"/>
          </w:tcPr>
          <w:p>
            <w:pPr>
              <w:pStyle w:val="744"/>
              <w:spacing w:before="0" w:beforeAutospacing="0" w:after="0" w:afterAutospacing="0" w:line="460" w:lineRule="atLeast"/>
              <w:rPr>
                <w:rFonts w:ascii="仿宋_GB2312" w:eastAsia="仿宋_GB2312"/>
                <w:color w:val="000000"/>
              </w:rPr>
            </w:pPr>
            <w:r>
              <w:rPr>
                <w:rFonts w:hint="eastAsia" w:ascii="仿宋_GB2312" w:eastAsia="仿宋_GB2312"/>
                <w:color w:val="000000"/>
              </w:rPr>
              <w:t>解释：本招标文件的解释权属于采购代理机构。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18</w:t>
            </w:r>
          </w:p>
        </w:tc>
        <w:tc>
          <w:tcPr>
            <w:tcW w:w="8232" w:type="dxa"/>
            <w:vAlign w:val="center"/>
          </w:tcPr>
          <w:p>
            <w:pPr>
              <w:pStyle w:val="764"/>
              <w:spacing w:before="0" w:beforeAutospacing="0" w:after="0" w:afterAutospacing="0" w:line="460" w:lineRule="atLeast"/>
              <w:rPr>
                <w:rFonts w:ascii="仿宋_GB2312" w:eastAsia="仿宋_GB2312"/>
                <w:color w:val="000000"/>
              </w:rPr>
            </w:pPr>
            <w:r>
              <w:rPr>
                <w:rFonts w:hint="eastAsia" w:ascii="仿宋_GB2312" w:eastAsia="仿宋_GB2312"/>
                <w:color w:val="000000"/>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因此请各投标人应在投标文件中注明投标文件内容中涉及商业秘密的部分，未注明的视为投标文件中不涉及商业秘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19</w:t>
            </w:r>
          </w:p>
        </w:tc>
        <w:tc>
          <w:tcPr>
            <w:tcW w:w="8232" w:type="dxa"/>
            <w:vAlign w:val="center"/>
          </w:tcPr>
          <w:p>
            <w:pPr>
              <w:pStyle w:val="784"/>
              <w:spacing w:before="0" w:beforeAutospacing="0" w:after="0" w:afterAutospacing="0" w:line="460" w:lineRule="atLeast"/>
              <w:rPr>
                <w:rFonts w:ascii="仿宋_GB2312" w:eastAsia="仿宋_GB2312"/>
                <w:color w:val="000000"/>
              </w:rPr>
            </w:pPr>
            <w:r>
              <w:rPr>
                <w:rFonts w:hint="eastAsia" w:ascii="仿宋_GB2312" w:eastAsia="仿宋_GB2312"/>
                <w:color w:val="000000"/>
              </w:rPr>
              <w:t>1.本招标文件中描述投标人的“公章”是指投标人的CA电子签章。</w:t>
            </w:r>
            <w:r>
              <w:rPr>
                <w:rFonts w:hint="eastAsia" w:ascii="仿宋_GB2312" w:eastAsia="仿宋_GB2312"/>
                <w:color w:val="000000"/>
              </w:rPr>
              <w:br w:type="textWrapping"/>
            </w:r>
            <w:r>
              <w:rPr>
                <w:rFonts w:hint="eastAsia" w:ascii="仿宋_GB2312" w:eastAsia="仿宋_GB2312"/>
                <w:color w:val="000000"/>
              </w:rPr>
              <w:t>2.本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p>
        </w:tc>
      </w:tr>
    </w:tbl>
    <w:p>
      <w:pPr>
        <w:spacing w:line="360" w:lineRule="auto"/>
        <w:jc w:val="center"/>
        <w:rPr>
          <w:b/>
          <w:sz w:val="32"/>
          <w:szCs w:val="32"/>
        </w:rPr>
        <w:sectPr>
          <w:pgSz w:w="11906" w:h="16838"/>
          <w:pgMar w:top="1440" w:right="1440" w:bottom="1440" w:left="1440" w:header="851" w:footer="992" w:gutter="0"/>
          <w:cols w:space="720" w:num="1"/>
          <w:docGrid w:linePitch="312" w:charSpace="0"/>
        </w:sectPr>
      </w:pPr>
    </w:p>
    <w:p>
      <w:pPr>
        <w:spacing w:line="360" w:lineRule="auto"/>
        <w:jc w:val="center"/>
        <w:rPr>
          <w:b/>
          <w:sz w:val="32"/>
          <w:szCs w:val="32"/>
        </w:rPr>
      </w:pPr>
      <w:r>
        <w:rPr>
          <w:rFonts w:hint="eastAsia"/>
          <w:b/>
          <w:sz w:val="32"/>
          <w:szCs w:val="32"/>
        </w:rPr>
        <w:t>投标人须知</w:t>
      </w:r>
    </w:p>
    <w:p>
      <w:pPr>
        <w:spacing w:line="300" w:lineRule="exact"/>
        <w:jc w:val="center"/>
        <w:rPr>
          <w:b/>
          <w:sz w:val="32"/>
          <w:szCs w:val="32"/>
        </w:rPr>
      </w:pPr>
    </w:p>
    <w:p>
      <w:pPr>
        <w:pStyle w:val="26"/>
        <w:snapToGrid w:val="0"/>
        <w:spacing w:line="360" w:lineRule="exact"/>
        <w:ind w:right="-330" w:rightChars="-157"/>
        <w:rPr>
          <w:rFonts w:hint="eastAsia" w:ascii="仿宋_GB2312" w:hAnsi="宋体" w:eastAsia="仿宋_GB2312"/>
          <w:b/>
          <w:sz w:val="24"/>
          <w:szCs w:val="24"/>
        </w:rPr>
      </w:pPr>
      <w:r>
        <w:rPr>
          <w:rFonts w:hint="eastAsia" w:ascii="仿宋_GB2312" w:hAnsi="宋体" w:eastAsia="仿宋_GB2312"/>
          <w:b/>
          <w:sz w:val="24"/>
          <w:szCs w:val="24"/>
        </w:rPr>
        <w:t>一、总  则</w:t>
      </w:r>
    </w:p>
    <w:p>
      <w:pPr>
        <w:snapToGrid w:val="0"/>
        <w:spacing w:line="360" w:lineRule="exact"/>
        <w:ind w:right="-330" w:rightChars="-157" w:firstLine="472" w:firstLineChars="196"/>
        <w:jc w:val="left"/>
        <w:outlineLvl w:val="1"/>
        <w:rPr>
          <w:rFonts w:ascii="仿宋_GB2312" w:eastAsia="仿宋_GB2312"/>
          <w:b/>
          <w:sz w:val="24"/>
        </w:rPr>
      </w:pPr>
      <w:bookmarkStart w:id="38" w:name="_Toc254970668"/>
      <w:bookmarkStart w:id="39" w:name="_Toc254970527"/>
      <w:r>
        <w:rPr>
          <w:rFonts w:hint="eastAsia" w:ascii="仿宋_GB2312" w:eastAsia="仿宋_GB2312"/>
          <w:b/>
          <w:sz w:val="24"/>
        </w:rPr>
        <w:t>1. 适用范围</w:t>
      </w:r>
      <w:bookmarkEnd w:id="38"/>
      <w:bookmarkEnd w:id="39"/>
    </w:p>
    <w:p>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1.1本招标文件适用于</w:t>
      </w:r>
      <w:r>
        <w:rPr>
          <w:rFonts w:hint="eastAsia" w:ascii="仿宋_GB2312" w:hAnsi="宋体" w:eastAsia="仿宋_GB2312"/>
          <w:sz w:val="24"/>
          <w:u w:val="single"/>
        </w:rPr>
        <w:t>柳州城市职业学院2026-2029年物业管理服务采购</w:t>
      </w:r>
      <w:r>
        <w:rPr>
          <w:rFonts w:hint="eastAsia" w:ascii="仿宋_GB2312" w:hAnsi="宋体" w:eastAsia="仿宋_GB2312"/>
          <w:bCs/>
          <w:sz w:val="24"/>
          <w:szCs w:val="24"/>
        </w:rPr>
        <w:t>项目的招标、投标、评标、定标、验收、合同履约、付款等行为（法律、法规另有规定的，从其规定）。</w:t>
      </w:r>
    </w:p>
    <w:p>
      <w:pPr>
        <w:snapToGrid w:val="0"/>
        <w:spacing w:line="360" w:lineRule="exact"/>
        <w:ind w:right="-330" w:rightChars="-157" w:firstLine="354" w:firstLineChars="147"/>
        <w:jc w:val="left"/>
        <w:outlineLvl w:val="1"/>
        <w:rPr>
          <w:rFonts w:ascii="仿宋_GB2312" w:eastAsia="仿宋_GB2312"/>
          <w:b/>
          <w:sz w:val="24"/>
        </w:rPr>
      </w:pPr>
      <w:bookmarkStart w:id="40" w:name="_Toc254970669"/>
      <w:bookmarkStart w:id="41" w:name="_Toc254970528"/>
      <w:r>
        <w:rPr>
          <w:rFonts w:hint="eastAsia" w:ascii="仿宋_GB2312" w:eastAsia="仿宋_GB2312"/>
          <w:b/>
          <w:sz w:val="24"/>
        </w:rPr>
        <w:t>2.定义</w:t>
      </w:r>
      <w:bookmarkEnd w:id="40"/>
      <w:bookmarkEnd w:id="41"/>
    </w:p>
    <w:p>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2.1“采购人”是指：</w:t>
      </w:r>
      <w:r>
        <w:rPr>
          <w:rFonts w:hint="eastAsia" w:ascii="仿宋_GB2312" w:hAnsi="宋体" w:eastAsia="仿宋_GB2312"/>
          <w:sz w:val="24"/>
          <w:u w:val="single"/>
        </w:rPr>
        <w:t>柳州城市职业学院</w:t>
      </w:r>
      <w:r>
        <w:rPr>
          <w:rFonts w:hint="eastAsia" w:ascii="仿宋_GB2312" w:hAnsi="宋体" w:eastAsia="仿宋_GB2312"/>
          <w:bCs/>
          <w:sz w:val="24"/>
          <w:szCs w:val="24"/>
        </w:rPr>
        <w:t>；“采购代理机构”是指</w:t>
      </w:r>
      <w:r>
        <w:rPr>
          <w:rFonts w:hint="eastAsia" w:ascii="仿宋_GB2312" w:hAnsi="宋体" w:eastAsia="仿宋_GB2312"/>
          <w:bCs/>
          <w:sz w:val="24"/>
          <w:szCs w:val="24"/>
          <w:u w:val="single"/>
        </w:rPr>
        <w:t>柳州市政府集中采购中心</w:t>
      </w:r>
      <w:r>
        <w:rPr>
          <w:rFonts w:hint="eastAsia" w:ascii="仿宋_GB2312" w:hAnsi="宋体" w:eastAsia="仿宋_GB2312"/>
          <w:bCs/>
          <w:sz w:val="24"/>
          <w:szCs w:val="24"/>
        </w:rPr>
        <w:t>。</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2.2“投标人”系指响应本公开招标文件要求，参加投标的法人或其他组织或自然人。如果该投标人在本次投标中中标，即成为“中标人”。</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2.3“产品”系指投标人按招标文件规定，须向采购人提供的一切设备（含安装）、保险、税金、备品备件、工具、手册及其它有关技术资料和材料。</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2.4“</w:t>
      </w:r>
      <w:bookmarkStart w:id="42" w:name="_Hlk93567071"/>
      <w:r>
        <w:rPr>
          <w:rFonts w:hint="eastAsia" w:ascii="仿宋_GB2312" w:hAnsi="宋体" w:eastAsia="仿宋_GB2312"/>
          <w:bCs/>
          <w:sz w:val="24"/>
          <w:szCs w:val="24"/>
        </w:rPr>
        <w:t>服务”</w:t>
      </w:r>
      <w:bookmarkEnd w:id="42"/>
      <w:r>
        <w:rPr>
          <w:rFonts w:hint="eastAsia" w:ascii="仿宋_GB2312" w:hAnsi="宋体" w:eastAsia="仿宋_GB2312"/>
          <w:bCs/>
          <w:sz w:val="24"/>
          <w:szCs w:val="24"/>
        </w:rPr>
        <w:t>系指除货物和工程以外的其他政府采购对象。</w:t>
      </w:r>
    </w:p>
    <w:p>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2.5“项目”系指投标人按招标文件规定向采购人提供的产品和服务。</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2.6“签字”系指投标人的法定代表人或授权委托代理人的电子签名或电子签章或手写签名或盖章，表示同意、认可、承担责任或义务的行为。</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2.7“电子投标文件”系指完整的投标文件，内容包括资格文件、报价要求文件、商务技术文件。</w:t>
      </w:r>
    </w:p>
    <w:p>
      <w:pPr>
        <w:pStyle w:val="26"/>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2.8“</w:t>
      </w:r>
      <w:r>
        <w:rPr>
          <w:rFonts w:hint="eastAsia" w:ascii="仿宋_GB2312" w:hAnsi="仿宋_GB2312" w:eastAsia="仿宋_GB2312" w:cs="仿宋_GB2312"/>
          <w:kern w:val="0"/>
          <w:sz w:val="24"/>
        </w:rPr>
        <w:t>★</w:t>
      </w:r>
      <w:r>
        <w:rPr>
          <w:rFonts w:hint="eastAsia" w:ascii="仿宋_GB2312" w:hAnsi="宋体" w:eastAsia="仿宋_GB2312"/>
          <w:bCs/>
          <w:sz w:val="24"/>
        </w:rPr>
        <w:t>”系指本次采购项目“第二章 采购需求”中的实质性要求。</w:t>
      </w:r>
    </w:p>
    <w:p>
      <w:pPr>
        <w:pStyle w:val="26"/>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w:t>
      </w:r>
      <w:r>
        <w:rPr>
          <w:rFonts w:ascii="仿宋_GB2312" w:hAnsi="宋体" w:eastAsia="仿宋_GB2312"/>
          <w:bCs/>
          <w:sz w:val="24"/>
        </w:rPr>
        <w:t>9</w:t>
      </w:r>
      <w:r>
        <w:rPr>
          <w:rFonts w:hint="eastAsia" w:ascii="仿宋_GB2312" w:hAnsi="宋体" w:eastAsia="仿宋_GB2312"/>
          <w:bCs/>
          <w:sz w:val="24"/>
        </w:rPr>
        <w:t xml:space="preserve"> 公开招标文件中所称的“以上”、“以下”、“内”、“以内”、“届满”，包括本数；所称的“不满”、“不足”、“以外”，不包括本数。</w:t>
      </w:r>
    </w:p>
    <w:p>
      <w:pPr>
        <w:pStyle w:val="26"/>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2.10“法定代表人”系指投标人的法定代表人、负责人或自然人。</w:t>
      </w:r>
    </w:p>
    <w:p>
      <w:pPr>
        <w:snapToGrid w:val="0"/>
        <w:spacing w:line="400" w:lineRule="exact"/>
        <w:ind w:firstLine="482" w:firstLineChars="200"/>
        <w:jc w:val="left"/>
        <w:rPr>
          <w:rFonts w:ascii="仿宋_GB2312" w:eastAsia="仿宋_GB2312"/>
          <w:b/>
          <w:sz w:val="24"/>
        </w:rPr>
      </w:pPr>
      <w:bookmarkStart w:id="43" w:name="_Toc254970529"/>
      <w:bookmarkStart w:id="44" w:name="_Toc254970670"/>
      <w:bookmarkStart w:id="45" w:name="_Toc254970534"/>
      <w:bookmarkStart w:id="46" w:name="_Toc254970675"/>
      <w:bookmarkStart w:id="47" w:name="_Toc254970536"/>
      <w:bookmarkStart w:id="48" w:name="_Toc254970677"/>
      <w:r>
        <w:rPr>
          <w:rFonts w:hint="eastAsia" w:ascii="仿宋_GB2312" w:eastAsia="仿宋_GB2312"/>
          <w:b/>
          <w:sz w:val="24"/>
        </w:rPr>
        <w:t>3.招标方式</w:t>
      </w:r>
      <w:bookmarkEnd w:id="43"/>
      <w:bookmarkEnd w:id="44"/>
    </w:p>
    <w:p>
      <w:pPr>
        <w:snapToGrid w:val="0"/>
        <w:spacing w:line="400" w:lineRule="exact"/>
        <w:ind w:firstLine="480" w:firstLineChars="200"/>
        <w:jc w:val="left"/>
        <w:rPr>
          <w:rFonts w:ascii="仿宋_GB2312" w:eastAsia="仿宋_GB2312"/>
          <w:sz w:val="24"/>
        </w:rPr>
      </w:pPr>
      <w:r>
        <w:rPr>
          <w:rFonts w:hint="eastAsia" w:ascii="仿宋_GB2312" w:eastAsia="仿宋_GB2312"/>
          <w:sz w:val="24"/>
        </w:rPr>
        <w:t>3.1公开招标方式。</w:t>
      </w:r>
    </w:p>
    <w:p>
      <w:pPr>
        <w:snapToGrid w:val="0"/>
        <w:spacing w:line="400" w:lineRule="exact"/>
        <w:ind w:firstLine="482" w:firstLineChars="200"/>
        <w:jc w:val="left"/>
        <w:rPr>
          <w:rFonts w:ascii="仿宋_GB2312" w:eastAsia="仿宋_GB2312"/>
          <w:b/>
          <w:sz w:val="24"/>
        </w:rPr>
      </w:pPr>
      <w:bookmarkStart w:id="49" w:name="_Toc254970671"/>
      <w:bookmarkStart w:id="50" w:name="_Toc254970530"/>
      <w:r>
        <w:rPr>
          <w:rFonts w:hint="eastAsia" w:ascii="仿宋_GB2312" w:eastAsia="仿宋_GB2312"/>
          <w:b/>
          <w:sz w:val="24"/>
        </w:rPr>
        <w:t>4.投标委托</w:t>
      </w:r>
      <w:bookmarkEnd w:id="49"/>
      <w:bookmarkEnd w:id="50"/>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4.1如投标人代表不是法定代表人，须有法定代表人出具的授权委托书（格式见第六章投标文件格式）。</w:t>
      </w:r>
      <w:bookmarkStart w:id="51" w:name="_Toc254970531"/>
      <w:bookmarkStart w:id="52" w:name="_Toc254970672"/>
    </w:p>
    <w:p>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5.投标费用</w:t>
      </w:r>
      <w:bookmarkEnd w:id="51"/>
      <w:bookmarkEnd w:id="52"/>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5.1投标人均应自行承担所有与投标有关的全部费用（招标文件有相关规定的除外）。</w:t>
      </w:r>
    </w:p>
    <w:p>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6.联合体投标</w:t>
      </w:r>
    </w:p>
    <w:p>
      <w:pPr>
        <w:snapToGrid w:val="0"/>
        <w:spacing w:line="400" w:lineRule="exact"/>
        <w:ind w:firstLine="420"/>
        <w:jc w:val="left"/>
        <w:rPr>
          <w:rFonts w:ascii="仿宋_GB2312" w:eastAsia="仿宋_GB2312"/>
          <w:sz w:val="24"/>
        </w:rPr>
      </w:pPr>
      <w:r>
        <w:rPr>
          <w:rFonts w:hint="eastAsia" w:ascii="仿宋_GB2312" w:eastAsia="仿宋_GB2312"/>
          <w:sz w:val="24"/>
        </w:rPr>
        <w:t>6.1本项目</w:t>
      </w:r>
      <w:r>
        <w:rPr>
          <w:rFonts w:hint="eastAsia" w:ascii="仿宋_GB2312" w:eastAsia="仿宋_GB2312"/>
          <w:sz w:val="24"/>
          <w:u w:val="single"/>
        </w:rPr>
        <w:t>不接受</w:t>
      </w:r>
      <w:r>
        <w:rPr>
          <w:rFonts w:hint="eastAsia" w:ascii="仿宋_GB2312" w:eastAsia="仿宋_GB2312"/>
          <w:sz w:val="24"/>
        </w:rPr>
        <w:t>联合体投标。</w:t>
      </w:r>
    </w:p>
    <w:p>
      <w:pPr>
        <w:snapToGrid w:val="0"/>
        <w:spacing w:line="400" w:lineRule="exact"/>
        <w:ind w:firstLine="470" w:firstLineChars="195"/>
        <w:rPr>
          <w:rFonts w:ascii="仿宋_GB2312" w:eastAsia="仿宋_GB2312"/>
          <w:b/>
          <w:kern w:val="0"/>
          <w:sz w:val="24"/>
        </w:rPr>
      </w:pPr>
      <w:r>
        <w:rPr>
          <w:rFonts w:hint="eastAsia" w:ascii="仿宋_GB2312" w:eastAsia="仿宋_GB2312"/>
          <w:b/>
          <w:sz w:val="24"/>
        </w:rPr>
        <w:t>7.</w:t>
      </w:r>
      <w:r>
        <w:rPr>
          <w:rFonts w:hint="eastAsia" w:ascii="仿宋_GB2312" w:eastAsia="仿宋_GB2312"/>
          <w:b/>
          <w:kern w:val="0"/>
          <w:sz w:val="24"/>
        </w:rPr>
        <w:t xml:space="preserve">转包与分包             </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7.1本项目不允许转包。</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7.2本项目不可以分包。</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7.2.1享受扶持政策获得政府采购合同的，小微企业不得将合同分包给大中型企业，中型企业不得将合同分包给大型企业。</w:t>
      </w:r>
    </w:p>
    <w:p>
      <w:pPr>
        <w:snapToGrid w:val="0"/>
        <w:spacing w:line="400" w:lineRule="exact"/>
        <w:ind w:firstLine="472" w:firstLineChars="196"/>
        <w:jc w:val="left"/>
        <w:outlineLvl w:val="1"/>
        <w:rPr>
          <w:rFonts w:ascii="仿宋_GB2312" w:eastAsia="仿宋_GB2312"/>
          <w:b/>
          <w:sz w:val="24"/>
        </w:rPr>
      </w:pPr>
      <w:bookmarkStart w:id="53" w:name="_Toc254970532"/>
      <w:bookmarkStart w:id="54" w:name="_Toc254970673"/>
      <w:r>
        <w:rPr>
          <w:rFonts w:hint="eastAsia" w:ascii="仿宋_GB2312" w:eastAsia="仿宋_GB2312"/>
          <w:b/>
          <w:sz w:val="24"/>
        </w:rPr>
        <w:t>8.特别说明</w:t>
      </w:r>
      <w:bookmarkEnd w:id="53"/>
      <w:bookmarkEnd w:id="54"/>
    </w:p>
    <w:p>
      <w:pPr>
        <w:pStyle w:val="26"/>
        <w:snapToGrid w:val="0"/>
        <w:spacing w:line="400" w:lineRule="exact"/>
        <w:ind w:firstLine="480" w:firstLineChars="200"/>
        <w:rPr>
          <w:rFonts w:hint="eastAsia" w:ascii="仿宋_GB2312" w:hAnsi="宋体" w:eastAsia="仿宋_GB2312"/>
          <w:bCs/>
          <w:sz w:val="24"/>
          <w:szCs w:val="24"/>
        </w:rPr>
      </w:pPr>
      <w:bookmarkStart w:id="55" w:name="_Toc254970674"/>
      <w:bookmarkStart w:id="56" w:name="_Toc254970533"/>
      <w:r>
        <w:rPr>
          <w:rFonts w:hint="eastAsia" w:ascii="仿宋_GB2312" w:hAnsi="宋体" w:eastAsia="仿宋_GB2312"/>
          <w:bCs/>
          <w:sz w:val="24"/>
          <w:szCs w:val="24"/>
        </w:rPr>
        <w:t>8.1投标人应仔细阅读招标文件的所有内容，按照招标文件的要求提交投标文件，并对所提供的全部资料的真实性承担法律责任。</w:t>
      </w:r>
    </w:p>
    <w:p>
      <w:pPr>
        <w:pStyle w:val="26"/>
        <w:spacing w:line="400" w:lineRule="exact"/>
        <w:ind w:firstLine="480" w:firstLineChars="200"/>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2</w:t>
      </w:r>
      <w:r>
        <w:rPr>
          <w:rFonts w:hint="eastAsia" w:ascii="仿宋_GB2312" w:hAnsi="宋体" w:eastAsia="仿宋_GB2312"/>
          <w:sz w:val="24"/>
          <w:szCs w:val="24"/>
        </w:rPr>
        <w:t>关联供应商不得参加同一合同项下的政府采购活动，否则投标文件将被视为无效：</w:t>
      </w:r>
    </w:p>
    <w:p>
      <w:pPr>
        <w:pStyle w:val="26"/>
        <w:snapToGrid w:val="0"/>
        <w:spacing w:line="400" w:lineRule="exact"/>
        <w:ind w:firstLine="480" w:firstLineChars="200"/>
        <w:outlineLvl w:val="1"/>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2</w:t>
      </w:r>
      <w:r>
        <w:rPr>
          <w:rFonts w:hint="eastAsia" w:ascii="仿宋_GB2312" w:hAnsi="宋体" w:eastAsia="仿宋_GB2312"/>
          <w:sz w:val="24"/>
          <w:szCs w:val="24"/>
        </w:rPr>
        <w:t>.1 单位负责人为同一人或者存在直接控股、管理关系的不同供应商，不得参加同一合同项下的政府采购活动。</w:t>
      </w:r>
    </w:p>
    <w:p>
      <w:pPr>
        <w:pStyle w:val="26"/>
        <w:widowControl/>
        <w:snapToGrid w:val="0"/>
        <w:spacing w:line="400" w:lineRule="exact"/>
        <w:ind w:firstLine="480" w:firstLineChars="200"/>
        <w:outlineLvl w:val="1"/>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3</w:t>
      </w:r>
      <w:r>
        <w:rPr>
          <w:rFonts w:hint="eastAsia" w:ascii="仿宋_GB2312" w:hAnsi="宋体" w:eastAsia="仿宋_GB2312"/>
          <w:sz w:val="24"/>
          <w:szCs w:val="24"/>
        </w:rPr>
        <w:t>除单一来源采购项目外，为采购项目提供整体设计、规范编制或者项目管理、监理、检测等服务的供应商，不得再参加该采购项目的其他采购活动。</w:t>
      </w:r>
    </w:p>
    <w:bookmarkEnd w:id="55"/>
    <w:bookmarkEnd w:id="56"/>
    <w:p>
      <w:pPr>
        <w:pStyle w:val="26"/>
        <w:snapToGrid w:val="0"/>
        <w:spacing w:line="400" w:lineRule="exact"/>
        <w:ind w:firstLine="472" w:firstLineChars="196"/>
        <w:outlineLvl w:val="1"/>
        <w:rPr>
          <w:rFonts w:hint="eastAsia" w:ascii="仿宋_GB2312" w:hAnsi="宋体" w:eastAsia="仿宋_GB2312"/>
          <w:b/>
          <w:bCs/>
          <w:sz w:val="24"/>
          <w:szCs w:val="24"/>
        </w:rPr>
      </w:pPr>
      <w:r>
        <w:rPr>
          <w:rFonts w:hint="eastAsia" w:ascii="仿宋_GB2312" w:hAnsi="宋体" w:eastAsia="仿宋_GB2312"/>
          <w:b/>
          <w:bCs/>
          <w:sz w:val="24"/>
          <w:szCs w:val="24"/>
        </w:rPr>
        <w:t>9.</w:t>
      </w:r>
      <w:r>
        <w:rPr>
          <w:rFonts w:hint="eastAsia" w:ascii="仿宋_GB2312" w:hAnsi="宋体" w:eastAsia="仿宋_GB2312" w:cs="宋体"/>
          <w:b/>
          <w:sz w:val="24"/>
          <w:szCs w:val="24"/>
        </w:rPr>
        <w:t>质疑和投诉</w:t>
      </w:r>
    </w:p>
    <w:p>
      <w:pPr>
        <w:pStyle w:val="26"/>
        <w:snapToGrid w:val="0"/>
        <w:spacing w:line="400" w:lineRule="exact"/>
        <w:ind w:firstLine="482" w:firstLineChars="200"/>
        <w:rPr>
          <w:rFonts w:hint="eastAsia" w:ascii="仿宋_GB2312" w:hAnsi="宋体" w:eastAsia="仿宋_GB2312"/>
          <w:bCs/>
          <w:sz w:val="24"/>
          <w:szCs w:val="24"/>
        </w:rPr>
      </w:pPr>
      <w:r>
        <w:rPr>
          <w:rFonts w:hint="eastAsia" w:ascii="仿宋_GB2312" w:hAnsi="宋体" w:eastAsia="仿宋_GB2312"/>
          <w:b/>
          <w:sz w:val="24"/>
        </w:rPr>
        <w:t>注：投标人对电子标项目提出质疑和投诉的，应按照《政府采购质疑和投诉办法》（财政部令第94号）规定的方式提交质疑和投诉。</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9.1投标人认为招标文件、招标过程或中标结果使自己的合法权益受到损害的，可以在知道或者应知其权益受到损害之日起七个工作日内，以书面形式向采购人或采购代理机构提出质疑。权益受到损害之日是：</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9.1.1对可以质疑的采购文件提出质疑的，为收到采购文件之日或者采购文件公告期限届满之日；</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9.1.2对采购过程提出质疑的，为各采购程序环节结束之日；</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9.1.3对成交结果提出质疑的，为成交结果公告期限届满之日。</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投标人对采购人或采购代理机构的答复不满意或者采购人、采购代理机构未在规定时间内作出答复的，可以在答复期满后十五个工作日内向同级政府采购监管部门投诉。</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 xml:space="preserve">9.2采购人或采购代理机构（采购代理机构应当按照有关规定就采购人委托授权范围内的事项）在收到供应商的书面质疑后七个工作日内作出答复，但答复的内容不得涉及商业秘密。 </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9.3质疑、投诉应当采用书面形式，质疑函、投诉书均应明确阐述招标文件、招标过程或中标结果中使自己合法权益受到损害的实质性内容，提供相关事实依据和证据及其来源或线索，便于有关单位调查、答复和处理。</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9.4质疑书面要求</w:t>
      </w:r>
    </w:p>
    <w:p>
      <w:pPr>
        <w:pStyle w:val="26"/>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9.4.1质疑人质疑时须提交质疑</w:t>
      </w:r>
      <w:r>
        <w:rPr>
          <w:rFonts w:ascii="仿宋_GB2312" w:hAnsi="宋体" w:eastAsia="仿宋_GB2312"/>
          <w:sz w:val="24"/>
          <w:szCs w:val="24"/>
        </w:rPr>
        <w:t>函</w:t>
      </w:r>
      <w:r>
        <w:rPr>
          <w:rFonts w:hint="eastAsia" w:ascii="仿宋_GB2312" w:hAnsi="宋体" w:eastAsia="仿宋_GB2312"/>
          <w:sz w:val="24"/>
          <w:szCs w:val="24"/>
        </w:rPr>
        <w:t>和必要的证明材料</w:t>
      </w:r>
      <w:r>
        <w:rPr>
          <w:rFonts w:hint="eastAsia" w:ascii="仿宋_GB2312" w:eastAsia="仿宋_GB2312"/>
          <w:sz w:val="24"/>
        </w:rPr>
        <w:t>，</w:t>
      </w:r>
      <w:r>
        <w:rPr>
          <w:rFonts w:hint="eastAsia" w:ascii="仿宋_GB2312" w:hAnsi="宋体" w:eastAsia="仿宋_GB2312"/>
          <w:sz w:val="24"/>
          <w:szCs w:val="24"/>
        </w:rPr>
        <w:t>供应商须在法定质疑期内一次性提出针对同一采购程序环节的质疑。</w:t>
      </w:r>
      <w:r>
        <w:rPr>
          <w:rFonts w:hint="eastAsia" w:ascii="仿宋_GB2312" w:hAnsi="宋体" w:eastAsia="仿宋_GB2312"/>
          <w:bCs/>
          <w:sz w:val="24"/>
          <w:szCs w:val="24"/>
        </w:rPr>
        <w:t>质疑函至少包括下列主要内容：</w:t>
      </w:r>
    </w:p>
    <w:p>
      <w:pPr>
        <w:pStyle w:val="26"/>
        <w:numPr>
          <w:ilvl w:val="0"/>
          <w:numId w:val="5"/>
        </w:numPr>
        <w:tabs>
          <w:tab w:val="left" w:pos="1150"/>
          <w:tab w:val="left" w:pos="1350"/>
        </w:tabs>
        <w:spacing w:line="400" w:lineRule="exact"/>
        <w:rPr>
          <w:rFonts w:hint="eastAsia" w:ascii="仿宋_GB2312" w:hAnsi="宋体" w:eastAsia="仿宋_GB2312"/>
          <w:sz w:val="24"/>
          <w:szCs w:val="24"/>
        </w:rPr>
      </w:pPr>
      <w:bookmarkStart w:id="57" w:name="_Hlk93567609"/>
      <w:r>
        <w:rPr>
          <w:rFonts w:hint="eastAsia" w:ascii="仿宋_GB2312" w:hAnsi="宋体" w:eastAsia="仿宋_GB2312"/>
          <w:sz w:val="24"/>
          <w:szCs w:val="24"/>
        </w:rPr>
        <w:t>供应商的姓名或名称、地址、邮编、联系人及联系电话</w:t>
      </w:r>
      <w:bookmarkEnd w:id="57"/>
      <w:r>
        <w:rPr>
          <w:rFonts w:hint="eastAsia" w:ascii="仿宋_GB2312" w:hAnsi="宋体" w:eastAsia="仿宋_GB2312"/>
          <w:sz w:val="24"/>
          <w:szCs w:val="24"/>
        </w:rPr>
        <w:t>；</w:t>
      </w:r>
    </w:p>
    <w:p>
      <w:pPr>
        <w:pStyle w:val="26"/>
        <w:numPr>
          <w:ilvl w:val="0"/>
          <w:numId w:val="5"/>
        </w:numPr>
        <w:spacing w:line="400" w:lineRule="exact"/>
        <w:rPr>
          <w:rFonts w:hint="eastAsia" w:ascii="仿宋_GB2312" w:hAnsi="宋体" w:eastAsia="仿宋_GB2312"/>
          <w:sz w:val="24"/>
          <w:szCs w:val="24"/>
        </w:rPr>
      </w:pPr>
      <w:r>
        <w:rPr>
          <w:rFonts w:hint="eastAsia" w:ascii="仿宋_GB2312" w:hAnsi="宋体" w:eastAsia="仿宋_GB2312"/>
          <w:sz w:val="24"/>
          <w:szCs w:val="24"/>
        </w:rPr>
        <w:t>质疑项目的名称、编号；</w:t>
      </w:r>
    </w:p>
    <w:p>
      <w:pPr>
        <w:pStyle w:val="26"/>
        <w:numPr>
          <w:ilvl w:val="0"/>
          <w:numId w:val="5"/>
        </w:numPr>
        <w:spacing w:line="400" w:lineRule="exact"/>
        <w:rPr>
          <w:rFonts w:hint="eastAsia" w:ascii="仿宋_GB2312" w:hAnsi="宋体" w:eastAsia="仿宋_GB2312"/>
          <w:sz w:val="24"/>
          <w:szCs w:val="24"/>
        </w:rPr>
      </w:pPr>
      <w:bookmarkStart w:id="58" w:name="_Hlk93567704"/>
      <w:r>
        <w:rPr>
          <w:rFonts w:hint="eastAsia" w:ascii="仿宋_GB2312" w:hAnsi="宋体" w:eastAsia="仿宋_GB2312"/>
          <w:sz w:val="24"/>
          <w:szCs w:val="24"/>
        </w:rPr>
        <w:t>具体、明确的质疑事项和与质疑事项相关的请求；</w:t>
      </w:r>
    </w:p>
    <w:bookmarkEnd w:id="58"/>
    <w:p>
      <w:pPr>
        <w:pStyle w:val="26"/>
        <w:numPr>
          <w:ilvl w:val="0"/>
          <w:numId w:val="5"/>
        </w:numPr>
        <w:spacing w:line="400" w:lineRule="exact"/>
        <w:rPr>
          <w:rFonts w:hint="eastAsia" w:ascii="仿宋_GB2312" w:hAnsi="宋体" w:eastAsia="仿宋_GB2312"/>
          <w:sz w:val="24"/>
          <w:szCs w:val="24"/>
        </w:rPr>
      </w:pPr>
      <w:r>
        <w:rPr>
          <w:rFonts w:hint="eastAsia" w:ascii="仿宋_GB2312" w:hAnsi="宋体" w:eastAsia="仿宋_GB2312"/>
          <w:sz w:val="24"/>
          <w:szCs w:val="24"/>
        </w:rPr>
        <w:t>事实依据；</w:t>
      </w:r>
    </w:p>
    <w:p>
      <w:pPr>
        <w:pStyle w:val="26"/>
        <w:numPr>
          <w:ilvl w:val="0"/>
          <w:numId w:val="5"/>
        </w:numPr>
        <w:spacing w:line="400" w:lineRule="exact"/>
        <w:rPr>
          <w:rFonts w:hint="eastAsia" w:ascii="仿宋_GB2312" w:hAnsi="宋体" w:eastAsia="仿宋_GB2312"/>
          <w:sz w:val="24"/>
          <w:szCs w:val="24"/>
        </w:rPr>
      </w:pPr>
      <w:r>
        <w:rPr>
          <w:rFonts w:hint="eastAsia" w:ascii="仿宋_GB2312" w:hAnsi="宋体" w:eastAsia="仿宋_GB2312"/>
          <w:sz w:val="24"/>
          <w:szCs w:val="24"/>
        </w:rPr>
        <w:t>必要的法律依据；</w:t>
      </w:r>
    </w:p>
    <w:p>
      <w:pPr>
        <w:pStyle w:val="26"/>
        <w:numPr>
          <w:ilvl w:val="0"/>
          <w:numId w:val="5"/>
        </w:numPr>
        <w:spacing w:line="400" w:lineRule="exact"/>
        <w:ind w:left="1025" w:hanging="590"/>
        <w:rPr>
          <w:rFonts w:hint="eastAsia" w:ascii="仿宋_GB2312" w:hAnsi="宋体" w:eastAsia="仿宋_GB2312"/>
          <w:sz w:val="24"/>
          <w:szCs w:val="24"/>
        </w:rPr>
      </w:pPr>
      <w:r>
        <w:rPr>
          <w:rFonts w:hint="eastAsia" w:ascii="仿宋_GB2312" w:hAnsi="宋体" w:eastAsia="仿宋_GB2312"/>
          <w:sz w:val="24"/>
          <w:szCs w:val="24"/>
        </w:rPr>
        <w:t>提出质疑的日期。</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供应商为自然人的，应当由本人签字；供应商为法人或者其他组织的，应当由法定代表人、主要负责人，或其授权代表签字或者盖章，并加盖公章。</w:t>
      </w:r>
    </w:p>
    <w:p>
      <w:pPr>
        <w:pStyle w:val="26"/>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代理人提出质疑和投诉，应当提交供应商签署的授权委托书。</w:t>
      </w:r>
    </w:p>
    <w:p>
      <w:pPr>
        <w:snapToGrid w:val="0"/>
        <w:spacing w:line="400" w:lineRule="exact"/>
        <w:ind w:firstLine="480" w:firstLineChars="200"/>
        <w:jc w:val="left"/>
        <w:rPr>
          <w:rFonts w:ascii="仿宋_GB2312" w:eastAsia="仿宋_GB2312" w:cs="Courier New"/>
          <w:sz w:val="24"/>
        </w:rPr>
      </w:pPr>
      <w:bookmarkStart w:id="59" w:name="_Hlk101434311"/>
      <w:r>
        <w:rPr>
          <w:rFonts w:hint="eastAsia" w:ascii="仿宋_GB2312" w:eastAsia="仿宋_GB2312" w:cs="Courier New"/>
          <w:sz w:val="24"/>
        </w:rPr>
        <w:t>9.5接收质疑函的方式：质疑人必须以书面形式向采购人、采购代理机构提出质疑，质疑人至我中心提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9.6联系部门：柳州市政府集中采购中心监督科。</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9.7联系电话：0772-2992103。</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9.8通讯地址：广西</w:t>
      </w:r>
      <w:r>
        <w:rPr>
          <w:rFonts w:ascii="仿宋_GB2312" w:eastAsia="仿宋_GB2312" w:cs="Courier New"/>
          <w:sz w:val="24"/>
        </w:rPr>
        <w:t>柳州市三中路6</w:t>
      </w:r>
      <w:r>
        <w:rPr>
          <w:rFonts w:hint="eastAsia" w:ascii="仿宋_GB2312" w:eastAsia="仿宋_GB2312" w:cs="Courier New"/>
          <w:sz w:val="24"/>
        </w:rPr>
        <w:t>4-2</w:t>
      </w:r>
      <w:r>
        <w:rPr>
          <w:rFonts w:ascii="仿宋_GB2312" w:eastAsia="仿宋_GB2312" w:cs="Courier New"/>
          <w:sz w:val="24"/>
        </w:rPr>
        <w:t>号</w:t>
      </w:r>
      <w:r>
        <w:rPr>
          <w:rFonts w:hint="eastAsia" w:ascii="仿宋_GB2312" w:eastAsia="仿宋_GB2312" w:cs="Courier New"/>
          <w:sz w:val="24"/>
        </w:rPr>
        <w:t>。</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9.9现场提交质疑办理业务时间：工作日8时00分到12时00分，15时00分到18时 00分，业务时间以外、双休日和法定节假日不办理业务。</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9.10投诉的书面要求</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9.10.1符合《政府采购质疑和投诉办法》（财政部第94号令）要求。</w:t>
      </w:r>
    </w:p>
    <w:p>
      <w:pPr>
        <w:pStyle w:val="26"/>
        <w:snapToGrid w:val="0"/>
        <w:spacing w:line="360" w:lineRule="exact"/>
        <w:ind w:right="-330" w:rightChars="-157" w:firstLine="472" w:firstLineChars="196"/>
        <w:rPr>
          <w:rFonts w:hint="eastAsia" w:ascii="仿宋_GB2312" w:hAnsi="宋体" w:eastAsia="仿宋_GB2312"/>
          <w:b/>
          <w:sz w:val="24"/>
          <w:szCs w:val="24"/>
        </w:rPr>
      </w:pPr>
      <w:r>
        <w:rPr>
          <w:rFonts w:hint="eastAsia" w:ascii="仿宋_GB2312" w:hAnsi="宋体" w:eastAsia="仿宋_GB2312"/>
          <w:b/>
          <w:sz w:val="24"/>
          <w:szCs w:val="24"/>
        </w:rPr>
        <w:t>二、招标文件</w:t>
      </w:r>
      <w:bookmarkEnd w:id="45"/>
      <w:bookmarkEnd w:id="46"/>
    </w:p>
    <w:p>
      <w:pPr>
        <w:snapToGrid w:val="0"/>
        <w:spacing w:line="360" w:lineRule="exact"/>
        <w:ind w:right="-330" w:rightChars="-157" w:firstLine="472" w:firstLineChars="196"/>
        <w:jc w:val="left"/>
        <w:rPr>
          <w:rFonts w:hint="eastAsia" w:eastAsia="仿宋_GB2312" w:asciiTheme="minorHAnsi" w:hAnsiTheme="minorHAnsi"/>
          <w:b/>
          <w:sz w:val="24"/>
          <w:lang w:val="en-GB"/>
        </w:rPr>
      </w:pPr>
      <w:r>
        <w:rPr>
          <w:rFonts w:hint="eastAsia" w:ascii="仿宋_GB2312" w:eastAsia="仿宋_GB2312" w:cs="Courier New"/>
          <w:b/>
          <w:sz w:val="24"/>
        </w:rPr>
        <w:t>10.招标文件的构成</w:t>
      </w:r>
    </w:p>
    <w:p>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（1）公开招标公告；</w:t>
      </w:r>
    </w:p>
    <w:p>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（2）采购需求；</w:t>
      </w:r>
    </w:p>
    <w:p>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（3）投标人须知；</w:t>
      </w:r>
    </w:p>
    <w:p>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（4）评标方法及评标标准；</w:t>
      </w:r>
    </w:p>
    <w:p>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（5）合同主要条款及验收书格式；</w:t>
      </w:r>
    </w:p>
    <w:p>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（6）投标文件格式。</w:t>
      </w:r>
    </w:p>
    <w:p>
      <w:pPr>
        <w:snapToGrid w:val="0"/>
        <w:spacing w:line="400" w:lineRule="exact"/>
        <w:ind w:firstLine="472" w:firstLineChars="196"/>
        <w:jc w:val="left"/>
        <w:rPr>
          <w:rFonts w:ascii="仿宋_GB2312" w:eastAsia="仿宋_GB2312" w:cs="Courier New"/>
          <w:b/>
          <w:sz w:val="24"/>
        </w:rPr>
      </w:pPr>
      <w:r>
        <w:rPr>
          <w:rFonts w:hint="eastAsia" w:ascii="仿宋_GB2312" w:eastAsia="仿宋_GB2312" w:cs="Courier New"/>
          <w:b/>
          <w:sz w:val="24"/>
        </w:rPr>
        <w:t>11.投标人的风险</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11.1投标人没有按照招标文件要求提供全部资料，或者投标人没有对招标文件在各方面作出实质性响应是投标人的风险，并可能导致其投标被拒绝。</w:t>
      </w:r>
    </w:p>
    <w:p>
      <w:pPr>
        <w:snapToGrid w:val="0"/>
        <w:spacing w:line="400" w:lineRule="exact"/>
        <w:ind w:firstLine="472" w:firstLineChars="196"/>
        <w:jc w:val="left"/>
        <w:rPr>
          <w:rFonts w:ascii="仿宋_GB2312" w:eastAsia="仿宋_GB2312"/>
          <w:b/>
          <w:sz w:val="24"/>
        </w:rPr>
      </w:pPr>
      <w:r>
        <w:rPr>
          <w:rFonts w:hint="eastAsia" w:ascii="仿宋_GB2312" w:eastAsia="仿宋_GB2312" w:cs="Courier New"/>
          <w:b/>
          <w:sz w:val="24"/>
        </w:rPr>
        <w:t>12.招标文件的澄清与修改</w:t>
      </w:r>
      <w:r>
        <w:rPr>
          <w:rFonts w:hint="eastAsia" w:ascii="仿宋_GB2312" w:eastAsia="仿宋_GB2312"/>
          <w:b/>
          <w:sz w:val="24"/>
        </w:rPr>
        <w:t xml:space="preserve"> </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12.1投标人应认真阅读本招标文件，发现其中有误或有不合理要求的，投标人必须以书面形式询问采购人或采购代理机构。采购代理机构对已发出的招标文件进行必要澄清、答复、修改或补充的，应当在招标文件要求提交投标文件截止时间十五日前，在财政部门指定的政府采购信息发布媒体上发布更正公告，并以书面形式通知所有获取招标文件的供应商。该澄清或者修改的内容为招标文件的组成部分。</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12.2采购人或采购代理机构以书面形式答复投标人询问的问题，除书面答复以外的其他澄清方式及澄清内容均无效。</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12.3招标文件澄清、答复、修改、补充的内容为招标文件的组成部分。当招标文件与招标文件的答复、澄清、修改、补充通知就同一内容的表述不一致时，以最后发出的书面文件为准。</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12.4招标文件的澄清、答复、修改或补充都应该通过本采购代理机构以法定形式发布，采购人非通过代理机构，不得擅自澄清、答复、修改或补充招标文件。</w:t>
      </w:r>
    </w:p>
    <w:p>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12.5</w:t>
      </w:r>
      <w:r>
        <w:rPr>
          <w:rFonts w:hint="eastAsia" w:ascii="仿宋_GB2312" w:hAnsi="宋体" w:eastAsia="仿宋_GB2312"/>
          <w:sz w:val="24"/>
        </w:rPr>
        <w:t>采购人或采购代理机构可以视采购具体情况，延长</w:t>
      </w:r>
      <w:r>
        <w:rPr>
          <w:rFonts w:hint="eastAsia" w:ascii="仿宋_GB2312" w:eastAsia="仿宋_GB2312"/>
          <w:sz w:val="24"/>
        </w:rPr>
        <w:t>招标文件提供期限，并在财政部门指定的政府采购信息发布媒体上发布公告</w:t>
      </w:r>
      <w:r>
        <w:rPr>
          <w:rFonts w:hint="eastAsia" w:ascii="仿宋_GB2312" w:eastAsia="仿宋_GB2312" w:cs="Courier New"/>
          <w:sz w:val="24"/>
        </w:rPr>
        <w:t>。</w:t>
      </w:r>
    </w:p>
    <w:p>
      <w:pPr>
        <w:snapToGrid w:val="0"/>
        <w:spacing w:line="360" w:lineRule="exact"/>
        <w:ind w:right="-330" w:rightChars="-157" w:firstLine="472" w:firstLineChars="196"/>
        <w:jc w:val="left"/>
        <w:rPr>
          <w:rFonts w:ascii="仿宋_GB2312" w:eastAsia="仿宋_GB2312" w:cs="Courier New"/>
          <w:b/>
          <w:sz w:val="24"/>
        </w:rPr>
      </w:pPr>
      <w:bookmarkStart w:id="60" w:name="_Toc254970676"/>
      <w:bookmarkStart w:id="61" w:name="_Toc254970535"/>
      <w:r>
        <w:rPr>
          <w:rFonts w:hint="eastAsia" w:ascii="仿宋_GB2312" w:eastAsia="仿宋_GB2312" w:cs="Courier New"/>
          <w:b/>
          <w:sz w:val="24"/>
        </w:rPr>
        <w:t>三、投标文件的编制</w:t>
      </w:r>
      <w:bookmarkEnd w:id="60"/>
      <w:bookmarkEnd w:id="61"/>
    </w:p>
    <w:p>
      <w:pPr>
        <w:snapToGrid w:val="0"/>
        <w:spacing w:line="360" w:lineRule="exact"/>
        <w:ind w:right="-330" w:rightChars="-157" w:firstLine="472" w:firstLineChars="196"/>
        <w:jc w:val="left"/>
        <w:rPr>
          <w:rFonts w:ascii="仿宋_GB2312" w:eastAsia="仿宋_GB2312"/>
          <w:b/>
          <w:sz w:val="24"/>
        </w:rPr>
      </w:pPr>
      <w:r>
        <w:rPr>
          <w:rFonts w:hint="eastAsia" w:ascii="仿宋_GB2312" w:eastAsia="仿宋_GB2312" w:cs="Courier New"/>
          <w:b/>
          <w:sz w:val="24"/>
        </w:rPr>
        <w:t>13.投标文件的组成</w:t>
      </w:r>
    </w:p>
    <w:p>
      <w:pPr>
        <w:snapToGrid w:val="0"/>
        <w:spacing w:line="400" w:lineRule="exact"/>
        <w:ind w:firstLine="482" w:firstLineChars="200"/>
        <w:jc w:val="left"/>
        <w:rPr>
          <w:rFonts w:ascii="仿宋_GB2312" w:eastAsia="仿宋_GB2312"/>
          <w:b/>
          <w:bCs/>
          <w:sz w:val="24"/>
        </w:rPr>
      </w:pPr>
      <w:r>
        <w:rPr>
          <w:rFonts w:hint="eastAsia" w:ascii="仿宋_GB2312" w:eastAsia="仿宋_GB2312"/>
          <w:b/>
          <w:bCs/>
          <w:sz w:val="24"/>
        </w:rPr>
        <w:t>13.1投标文件由资格文件、报价要求文件、商务技术文件三部分组成。</w:t>
      </w:r>
    </w:p>
    <w:bookmarkEnd w:id="47"/>
    <w:bookmarkEnd w:id="48"/>
    <w:p>
      <w:pPr>
        <w:snapToGrid w:val="0"/>
        <w:spacing w:line="360" w:lineRule="exact"/>
        <w:ind w:right="-330" w:rightChars="-157" w:firstLine="472" w:firstLineChars="196"/>
        <w:jc w:val="left"/>
        <w:rPr>
          <w:rFonts w:ascii="仿宋_GB2312" w:eastAsia="仿宋_GB2312" w:cs="Courier New"/>
          <w:b/>
          <w:sz w:val="24"/>
        </w:rPr>
      </w:pPr>
      <w:r>
        <w:rPr>
          <w:rFonts w:hint="eastAsia" w:ascii="仿宋_GB2312" w:eastAsia="仿宋_GB2312"/>
          <w:b/>
          <w:sz w:val="24"/>
        </w:rPr>
        <w:t>13.1.</w:t>
      </w:r>
      <w:r>
        <w:rPr>
          <w:rFonts w:ascii="仿宋_GB2312" w:eastAsia="仿宋_GB2312"/>
          <w:b/>
          <w:sz w:val="24"/>
        </w:rPr>
        <w:t>1</w:t>
      </w:r>
      <w:r>
        <w:rPr>
          <w:rFonts w:hint="eastAsia" w:ascii="仿宋_GB2312" w:eastAsia="仿宋_GB2312" w:cs="Courier New"/>
          <w:b/>
          <w:bCs/>
          <w:sz w:val="24"/>
        </w:rPr>
        <w:t>资格文件</w:t>
      </w:r>
    </w:p>
    <w:p>
      <w:pPr>
        <w:snapToGrid w:val="0"/>
        <w:spacing w:line="340" w:lineRule="exact"/>
        <w:ind w:right="-330" w:rightChars="-157" w:firstLine="472" w:firstLineChars="196"/>
        <w:jc w:val="left"/>
        <w:rPr>
          <w:rFonts w:hint="eastAsia" w:ascii="仿宋_GB2312" w:hAnsi="宋体" w:eastAsia="仿宋_GB2312" w:cs="Courier New"/>
          <w:sz w:val="24"/>
        </w:rPr>
      </w:pPr>
      <w:r>
        <w:rPr>
          <w:rFonts w:hint="eastAsia" w:ascii="仿宋_GB2312" w:hAnsi="宋体" w:eastAsia="仿宋_GB2312"/>
          <w:b/>
          <w:bCs/>
          <w:sz w:val="24"/>
        </w:rPr>
        <w:t>注：以下各项必须提供并加盖投标人CA电子签章、按照第六章格式要求签字，否则其投标无效。</w:t>
      </w:r>
    </w:p>
    <w:p>
      <w:pPr>
        <w:pStyle w:val="283"/>
        <w:spacing w:before="0" w:beforeAutospacing="0" w:after="0" w:afterAutospacing="0" w:line="3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，格式见第六章）；</w:t>
      </w:r>
    </w:p>
    <w:p>
      <w:pPr>
        <w:pStyle w:val="28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，格式见第六章）；</w:t>
      </w:r>
    </w:p>
    <w:p>
      <w:pPr>
        <w:pStyle w:val="28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，格式见第六章）；</w:t>
      </w:r>
    </w:p>
    <w:p>
      <w:pPr>
        <w:pStyle w:val="28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pPr>
        <w:pStyle w:val="28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（5）本项目属于专门面向中小企业采购的项目，投标人</w:t>
      </w:r>
      <w:r>
        <w:rPr>
          <w:rFonts w:hint="eastAsia" w:ascii="仿宋_GB2312" w:eastAsia="仿宋_GB2312"/>
          <w:b/>
          <w:bCs/>
          <w:color w:val="000000"/>
        </w:rPr>
        <w:t>必须提供</w:t>
      </w:r>
      <w:r>
        <w:rPr>
          <w:rFonts w:hint="eastAsia" w:ascii="仿宋_GB2312" w:eastAsia="仿宋_GB2312"/>
          <w:color w:val="000000"/>
        </w:rPr>
        <w:t>以下中小企业证明材料之一：</w:t>
      </w:r>
      <w:r>
        <w:rPr>
          <w:rFonts w:hint="eastAsia" w:ascii="仿宋_GB2312" w:eastAsia="仿宋_GB2312"/>
          <w:color w:val="000000"/>
        </w:rPr>
        <w:br w:type="textWrapping"/>
      </w:r>
      <w:r>
        <w:rPr>
          <w:rFonts w:hint="eastAsia" w:ascii="仿宋_GB2312" w:eastAsia="仿宋_GB2312"/>
          <w:color w:val="000000"/>
        </w:rPr>
        <w:t>   ①中小企业声明函（服务由中小企业承接的</w:t>
      </w:r>
      <w:r>
        <w:rPr>
          <w:rFonts w:hint="eastAsia" w:ascii="仿宋_GB2312" w:eastAsia="仿宋_GB2312"/>
          <w:b/>
          <w:bCs/>
          <w:color w:val="000000"/>
        </w:rPr>
        <w:t>必须提供</w:t>
      </w:r>
      <w:r>
        <w:rPr>
          <w:rFonts w:hint="eastAsia" w:ascii="仿宋_GB2312" w:eastAsia="仿宋_GB2312"/>
          <w:color w:val="000000"/>
        </w:rPr>
        <w:t>，格式见第六章）；</w:t>
      </w:r>
      <w:r>
        <w:rPr>
          <w:rFonts w:hint="eastAsia" w:ascii="仿宋_GB2312" w:eastAsia="仿宋_GB2312"/>
          <w:color w:val="000000"/>
        </w:rPr>
        <w:br w:type="textWrapping"/>
      </w:r>
      <w:r>
        <w:rPr>
          <w:rFonts w:hint="eastAsia" w:ascii="仿宋_GB2312" w:eastAsia="仿宋_GB2312"/>
          <w:color w:val="000000"/>
        </w:rPr>
        <w:t>   ②残疾人福利性单位声明函（服务由残疾人福利性单位承接的</w:t>
      </w:r>
      <w:r>
        <w:rPr>
          <w:rFonts w:hint="eastAsia" w:ascii="仿宋_GB2312" w:eastAsia="仿宋_GB2312"/>
          <w:b/>
          <w:bCs/>
          <w:color w:val="000000"/>
        </w:rPr>
        <w:t>必须提供</w:t>
      </w:r>
      <w:r>
        <w:rPr>
          <w:rFonts w:hint="eastAsia" w:ascii="仿宋_GB2312" w:eastAsia="仿宋_GB2312"/>
          <w:color w:val="000000"/>
        </w:rPr>
        <w:t>，格式见第六章）；</w:t>
      </w:r>
      <w:r>
        <w:rPr>
          <w:rFonts w:hint="eastAsia" w:ascii="仿宋_GB2312" w:eastAsia="仿宋_GB2312"/>
          <w:color w:val="000000"/>
        </w:rPr>
        <w:br w:type="textWrapping"/>
      </w:r>
      <w:r>
        <w:rPr>
          <w:rFonts w:hint="eastAsia" w:ascii="仿宋_GB2312" w:eastAsia="仿宋_GB2312"/>
          <w:color w:val="000000"/>
        </w:rPr>
        <w:t>   ③监狱企业由省级以上监狱管理局、戒毒管理局（含新疆生产建设兵团）出具的属于监狱企业的证明文件（服务由监狱企业承接的</w:t>
      </w:r>
      <w:r>
        <w:rPr>
          <w:rFonts w:hint="eastAsia" w:ascii="仿宋_GB2312" w:eastAsia="仿宋_GB2312"/>
          <w:b/>
          <w:bCs/>
          <w:color w:val="000000"/>
        </w:rPr>
        <w:t>必须提供</w:t>
      </w:r>
      <w:r>
        <w:rPr>
          <w:rFonts w:hint="eastAsia" w:ascii="仿宋_GB2312" w:eastAsia="仿宋_GB2312"/>
          <w:color w:val="000000"/>
        </w:rPr>
        <w:t>）；</w:t>
      </w:r>
    </w:p>
    <w:p>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13.1.2报价要求文件</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b/>
          <w:bCs/>
          <w:sz w:val="24"/>
        </w:rPr>
        <w:t>注：以下各项必须提供并加盖投标人</w:t>
      </w:r>
      <w:r>
        <w:rPr>
          <w:rFonts w:hint="eastAsia" w:ascii="仿宋_GB2312" w:hAnsi="宋体" w:eastAsia="仿宋_GB2312"/>
          <w:b/>
          <w:bCs/>
          <w:sz w:val="24"/>
        </w:rPr>
        <w:t>CA电子签章</w:t>
      </w:r>
      <w:r>
        <w:rPr>
          <w:rFonts w:hint="eastAsia" w:ascii="仿宋_GB2312" w:eastAsia="仿宋_GB2312" w:cs="Courier New"/>
          <w:b/>
          <w:bCs/>
          <w:sz w:val="24"/>
        </w:rPr>
        <w:t>、</w:t>
      </w:r>
      <w:r>
        <w:rPr>
          <w:rFonts w:hint="eastAsia" w:ascii="仿宋_GB2312" w:eastAsia="仿宋_GB2312"/>
          <w:b/>
          <w:bCs/>
          <w:sz w:val="24"/>
        </w:rPr>
        <w:t>按照第六章格式要求签字，</w:t>
      </w:r>
      <w:r>
        <w:rPr>
          <w:rFonts w:hint="eastAsia" w:ascii="仿宋_GB2312" w:eastAsia="仿宋_GB2312" w:cs="Courier New"/>
          <w:b/>
          <w:bCs/>
          <w:sz w:val="24"/>
        </w:rPr>
        <w:t>否则其投标无效。</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（1）开标一览表（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（2）投标报价明细表（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pPr>
        <w:snapToGrid w:val="0"/>
        <w:spacing w:line="340" w:lineRule="exact"/>
        <w:ind w:right="-330" w:rightChars="-157" w:firstLine="441" w:firstLineChars="183"/>
        <w:jc w:val="left"/>
        <w:rPr>
          <w:rFonts w:ascii="仿宋_GB2312" w:eastAsia="仿宋_GB2312" w:cs="Courier New"/>
          <w:b/>
          <w:sz w:val="24"/>
        </w:rPr>
      </w:pPr>
      <w:r>
        <w:rPr>
          <w:rFonts w:hint="eastAsia" w:ascii="仿宋_GB2312" w:eastAsia="仿宋_GB2312"/>
          <w:b/>
          <w:sz w:val="24"/>
        </w:rPr>
        <w:t>13.1.3商务技术文件</w:t>
      </w:r>
    </w:p>
    <w:p>
      <w:pPr>
        <w:snapToGrid w:val="0"/>
        <w:spacing w:line="340" w:lineRule="exact"/>
        <w:ind w:right="-330" w:rightChars="-157" w:firstLine="472" w:firstLineChars="196"/>
        <w:jc w:val="left"/>
        <w:rPr>
          <w:rFonts w:hint="eastAsia" w:ascii="仿宋_GB2312" w:hAnsi="宋体" w:eastAsia="仿宋_GB2312" w:cs="Courier New"/>
          <w:sz w:val="24"/>
        </w:rPr>
      </w:pPr>
      <w:bookmarkStart w:id="62" w:name="_Hlk517112171"/>
      <w:bookmarkStart w:id="63" w:name="_Toc254970678"/>
      <w:bookmarkStart w:id="64" w:name="_Toc254970537"/>
      <w:bookmarkStart w:id="65" w:name="_Hlk517112217"/>
      <w:r>
        <w:rPr>
          <w:rFonts w:hint="eastAsia" w:ascii="仿宋_GB2312" w:hAnsi="宋体" w:eastAsia="仿宋_GB2312"/>
          <w:b/>
          <w:bCs/>
          <w:sz w:val="24"/>
        </w:rPr>
        <w:t>注：以下第（1）至第（</w:t>
      </w:r>
      <w:r>
        <w:rPr>
          <w:rFonts w:hint="eastAsia" w:ascii="仿宋_GB2312" w:hAnsi="宋体" w:eastAsia="仿宋_GB2312"/>
          <w:b/>
          <w:bCs/>
          <w:sz w:val="24"/>
          <w:lang w:val="en-US" w:eastAsia="zh-CN"/>
        </w:rPr>
        <w:t>4</w:t>
      </w:r>
      <w:r>
        <w:rPr>
          <w:rFonts w:hint="eastAsia" w:ascii="仿宋_GB2312" w:hAnsi="宋体" w:eastAsia="仿宋_GB2312"/>
          <w:b/>
          <w:bCs/>
          <w:sz w:val="24"/>
        </w:rPr>
        <w:t>）项必须提供并加盖投标人CA电子签章、并按照第六章格式要求签字，否则投标无效。其余各项如有请提供，同时要加盖投标人CA电子签章，否则该材料被视为无效。</w:t>
      </w:r>
    </w:p>
    <w:bookmarkEnd w:id="62"/>
    <w:p>
      <w:pPr>
        <w:pStyle w:val="303"/>
        <w:spacing w:before="0" w:beforeAutospacing="0" w:after="0" w:afterAutospacing="0" w:line="360" w:lineRule="atLeast"/>
        <w:rPr>
          <w:rFonts w:ascii="仿宋_GB2312" w:eastAsia="仿宋_GB2312"/>
          <w:color w:val="000000"/>
        </w:rPr>
      </w:pPr>
      <w:r>
        <w:rPr>
          <w:rFonts w:hint="eastAsia" w:ascii="仿宋_GB2312" w:eastAsia="仿宋_GB2312"/>
          <w:color w:val="000000"/>
        </w:rPr>
        <w:t>  （1）投标函（</w:t>
      </w:r>
      <w:r>
        <w:rPr>
          <w:rFonts w:hint="eastAsia" w:ascii="仿宋_GB2312" w:eastAsia="仿宋_GB2312"/>
          <w:b/>
          <w:bCs/>
          <w:color w:val="000000"/>
        </w:rPr>
        <w:t>必须提供</w:t>
      </w:r>
      <w:r>
        <w:rPr>
          <w:rFonts w:hint="eastAsia" w:ascii="仿宋_GB2312" w:eastAsia="仿宋_GB2312"/>
          <w:color w:val="000000"/>
        </w:rPr>
        <w:t>，格式见第六章）；</w:t>
      </w:r>
    </w:p>
    <w:p>
      <w:pPr>
        <w:pStyle w:val="30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（2）项目要求及服务需求响应表（</w:t>
      </w:r>
      <w:r>
        <w:rPr>
          <w:rFonts w:hint="eastAsia" w:ascii="仿宋_GB2312" w:eastAsia="仿宋_GB2312"/>
          <w:b/>
          <w:bCs/>
          <w:color w:val="000000"/>
        </w:rPr>
        <w:t>必须提供</w:t>
      </w:r>
      <w:r>
        <w:rPr>
          <w:rFonts w:hint="eastAsia" w:ascii="仿宋_GB2312" w:eastAsia="仿宋_GB2312"/>
          <w:color w:val="000000"/>
        </w:rPr>
        <w:t>，格式见第六章）；</w:t>
      </w:r>
    </w:p>
    <w:p>
      <w:pPr>
        <w:pStyle w:val="30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，格式见第六章）；</w:t>
      </w:r>
    </w:p>
    <w:p>
      <w:pPr>
        <w:pStyle w:val="30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（4）拟投入服务团队承诺函（</w:t>
      </w:r>
      <w:r>
        <w:rPr>
          <w:rFonts w:hint="eastAsia" w:ascii="仿宋_GB2312" w:eastAsia="仿宋_GB2312"/>
          <w:b/>
          <w:bCs/>
          <w:color w:val="000000"/>
        </w:rPr>
        <w:t>必须提供</w:t>
      </w:r>
      <w:r>
        <w:rPr>
          <w:rFonts w:hint="eastAsia" w:ascii="仿宋_GB2312" w:eastAsia="仿宋_GB2312"/>
          <w:color w:val="000000"/>
        </w:rPr>
        <w:t>，格式见第六章）；</w:t>
      </w:r>
    </w:p>
    <w:p>
      <w:pPr>
        <w:pStyle w:val="30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（5）</w:t>
      </w:r>
      <w:r>
        <w:rPr>
          <w:rFonts w:hint="eastAsia" w:ascii="仿宋_GB2312" w:eastAsia="仿宋_GB2312"/>
          <w:color w:val="000000"/>
          <w:lang w:eastAsia="zh-CN"/>
        </w:rPr>
        <w:t>人员配置分方案</w:t>
      </w:r>
      <w:r>
        <w:rPr>
          <w:rFonts w:hint="eastAsia" w:ascii="仿宋_GB2312" w:eastAsia="仿宋_GB2312"/>
          <w:color w:val="000000"/>
        </w:rPr>
        <w:t>（如有，格式见第六章）；</w:t>
      </w:r>
    </w:p>
    <w:p>
      <w:pPr>
        <w:pStyle w:val="30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（6）针对本项目的理解分析和</w:t>
      </w:r>
      <w:r>
        <w:rPr>
          <w:rFonts w:hint="eastAsia" w:ascii="仿宋_GB2312" w:eastAsia="仿宋_GB2312"/>
          <w:color w:val="000000"/>
          <w:lang w:eastAsia="zh-CN"/>
        </w:rPr>
        <w:t>物业服务</w:t>
      </w:r>
      <w:r>
        <w:rPr>
          <w:rFonts w:hint="eastAsia" w:ascii="仿宋_GB2312" w:eastAsia="仿宋_GB2312"/>
          <w:color w:val="000000"/>
        </w:rPr>
        <w:t>方案（如有，格式见第六章）；</w:t>
      </w:r>
    </w:p>
    <w:p>
      <w:pPr>
        <w:pStyle w:val="30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（7）针对本项目的管理模式和管理机制（如有，格式见第六章）；    </w:t>
      </w:r>
    </w:p>
    <w:p>
      <w:pPr>
        <w:pStyle w:val="303"/>
        <w:spacing w:before="0" w:beforeAutospacing="0" w:after="0" w:afterAutospacing="0" w:line="360" w:lineRule="atLeast"/>
        <w:ind w:firstLine="480" w:firstLineChars="200"/>
        <w:rPr>
          <w:rFonts w:hint="eastAsia" w:ascii="仿宋_GB2312" w:eastAsia="仿宋_GB2312"/>
          <w:color w:val="000000"/>
        </w:rPr>
      </w:pPr>
      <w:r>
        <w:rPr>
          <w:rFonts w:hint="eastAsia" w:ascii="仿宋_GB2312" w:eastAsia="仿宋_GB2312"/>
          <w:color w:val="000000"/>
        </w:rPr>
        <w:t>（</w:t>
      </w:r>
      <w:r>
        <w:rPr>
          <w:rFonts w:hint="eastAsia" w:ascii="仿宋_GB2312" w:eastAsia="仿宋_GB2312"/>
          <w:color w:val="000000"/>
          <w:lang w:val="en-US" w:eastAsia="zh-CN"/>
        </w:rPr>
        <w:t>8</w:t>
      </w:r>
      <w:r>
        <w:rPr>
          <w:rFonts w:hint="eastAsia" w:ascii="仿宋_GB2312" w:eastAsia="仿宋_GB2312"/>
          <w:color w:val="000000"/>
        </w:rPr>
        <w:t>）应急预案和应急配合方案（如有，格式见第六章）；</w:t>
      </w:r>
    </w:p>
    <w:p>
      <w:pPr>
        <w:pStyle w:val="30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9</w:t>
      </w:r>
      <w:r>
        <w:rPr>
          <w:rFonts w:hint="eastAsia" w:ascii="仿宋_GB2312" w:eastAsia="仿宋_GB2312"/>
          <w:color w:val="000000"/>
        </w:rPr>
        <w:t>）</w:t>
      </w:r>
      <w:r>
        <w:rPr>
          <w:rFonts w:hint="eastAsia" w:ascii="仿宋_GB2312" w:eastAsia="仿宋_GB2312"/>
          <w:color w:val="000000"/>
          <w:lang w:eastAsia="zh-CN"/>
        </w:rPr>
        <w:t>物资配备</w:t>
      </w:r>
      <w:r>
        <w:rPr>
          <w:rFonts w:hint="eastAsia" w:ascii="仿宋_GB2312" w:eastAsia="仿宋_GB2312"/>
          <w:color w:val="000000"/>
        </w:rPr>
        <w:t>方案（如有，格式见第六章）；</w:t>
      </w:r>
    </w:p>
    <w:p>
      <w:pPr>
        <w:pStyle w:val="30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10</w:t>
      </w:r>
      <w:r>
        <w:rPr>
          <w:rFonts w:hint="eastAsia" w:ascii="仿宋_GB2312" w:eastAsia="仿宋_GB2312"/>
          <w:color w:val="000000"/>
        </w:rPr>
        <w:t>）投标人同类项目经验一览表（如有，格式见第六章）；</w:t>
      </w:r>
    </w:p>
    <w:p>
      <w:pPr>
        <w:pStyle w:val="30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11</w:t>
      </w:r>
      <w:r>
        <w:rPr>
          <w:rFonts w:hint="eastAsia" w:ascii="仿宋_GB2312" w:eastAsia="仿宋_GB2312"/>
          <w:color w:val="000000"/>
        </w:rPr>
        <w:t>）投标人具备有效的质量管理体系认证证书（如有）；</w:t>
      </w:r>
    </w:p>
    <w:p>
      <w:pPr>
        <w:pStyle w:val="30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12</w:t>
      </w:r>
      <w:r>
        <w:rPr>
          <w:rFonts w:hint="eastAsia" w:ascii="仿宋_GB2312" w:eastAsia="仿宋_GB2312"/>
          <w:color w:val="000000"/>
        </w:rPr>
        <w:t>）投标人具备有效的职业健康安全管理体系认证证书（如有）；</w:t>
      </w:r>
    </w:p>
    <w:p>
      <w:pPr>
        <w:pStyle w:val="30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13</w:t>
      </w:r>
      <w:r>
        <w:rPr>
          <w:rFonts w:hint="eastAsia" w:ascii="仿宋_GB2312" w:eastAsia="仿宋_GB2312"/>
          <w:color w:val="000000"/>
        </w:rPr>
        <w:t>）投标人具备有效的环境管理体系认证证书（如有）；</w:t>
      </w:r>
    </w:p>
    <w:p>
      <w:pPr>
        <w:pStyle w:val="30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14</w:t>
      </w:r>
      <w:r>
        <w:rPr>
          <w:rFonts w:hint="eastAsia" w:ascii="仿宋_GB2312" w:eastAsia="仿宋_GB2312"/>
          <w:color w:val="000000"/>
        </w:rPr>
        <w:t>）投标人对本项目的合理化建议和改进措施（如有，格式自拟）；</w:t>
      </w:r>
    </w:p>
    <w:p>
      <w:pPr>
        <w:pStyle w:val="30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15</w:t>
      </w:r>
      <w:r>
        <w:rPr>
          <w:rFonts w:hint="eastAsia" w:ascii="仿宋_GB2312" w:eastAsia="仿宋_GB2312"/>
          <w:color w:val="000000"/>
        </w:rPr>
        <w:t>）投标人认为必要提供的声明及文件资料（如有，格式自拟）。</w:t>
      </w:r>
    </w:p>
    <w:bookmarkEnd w:id="63"/>
    <w:bookmarkEnd w:id="64"/>
    <w:bookmarkEnd w:id="65"/>
    <w:p>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14.投标文件的语言及计量</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14.1投标文件以及投标人与采购代理机构就有关投标事宜的所有来往函电，均应以中文汉语书写。除签字、盖章、专用名称等特殊情形外，以中文汉语以外的文字表述的投标文件视同未提供。</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14.2投标计量单位，招标文件已有明确规定的，使用招标文件规定的计量单位；招标文件没有规定的，应采用中华人民共和国法定计量单位，否则视同未响应。</w:t>
      </w:r>
    </w:p>
    <w:p>
      <w:pPr>
        <w:snapToGrid w:val="0"/>
        <w:spacing w:line="400" w:lineRule="exact"/>
        <w:ind w:firstLine="422" w:firstLineChars="175"/>
        <w:jc w:val="left"/>
        <w:rPr>
          <w:rFonts w:ascii="仿宋_GB2312" w:eastAsia="仿宋_GB2312" w:cs="Courier New"/>
          <w:b/>
          <w:sz w:val="24"/>
        </w:rPr>
      </w:pPr>
      <w:bookmarkStart w:id="66" w:name="_Toc254970679"/>
      <w:bookmarkStart w:id="67" w:name="_Toc254970538"/>
      <w:r>
        <w:rPr>
          <w:rFonts w:hint="eastAsia" w:ascii="仿宋_GB2312" w:eastAsia="仿宋_GB2312" w:cs="Courier New"/>
          <w:b/>
          <w:sz w:val="24"/>
        </w:rPr>
        <w:t>15.投标报价</w:t>
      </w:r>
      <w:bookmarkEnd w:id="66"/>
      <w:bookmarkEnd w:id="67"/>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15.1投标报价应按招标文件中相关附表格式填写。</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15.2投标报价是履行合同的最终价格。</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15.3投标文件只允许有一个总报价，有选择的或有条件的报价将不予接受。</w:t>
      </w:r>
    </w:p>
    <w:p>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16.投标文件的有效期</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16.1 投标截止日期后不得少于90天，投标文件应保持有效。有效期不足的投标文件将被拒绝，视为投标无效。</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16.2在特殊情况下，采购人可与投标人协商延长投标书的有效期，这种要求和答复均以书面形式进行。</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 xml:space="preserve">16.3投标人可拒绝接受延长有效期要求，同意延长有效期的投标人不能修改投标文件其它内容。 </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16.4投标人的投标文件在投标有效期内保持有效；如中标，投标文件至合同履行完毕止均应保持有效。</w:t>
      </w:r>
    </w:p>
    <w:p>
      <w:pPr>
        <w:spacing w:line="400" w:lineRule="exact"/>
        <w:ind w:firstLine="472" w:firstLineChars="196"/>
        <w:rPr>
          <w:rFonts w:ascii="仿宋_GB2312" w:eastAsia="仿宋_GB2312" w:cs="Courier New"/>
          <w:b/>
          <w:sz w:val="24"/>
        </w:rPr>
      </w:pPr>
      <w:bookmarkStart w:id="68" w:name="_Toc254970541"/>
      <w:bookmarkStart w:id="69" w:name="_Toc254970682"/>
      <w:r>
        <w:rPr>
          <w:rFonts w:hint="eastAsia" w:ascii="仿宋_GB2312" w:eastAsia="仿宋_GB2312" w:cs="Courier New"/>
          <w:b/>
          <w:sz w:val="24"/>
        </w:rPr>
        <w:t>17.投标保证金</w:t>
      </w:r>
      <w:bookmarkEnd w:id="68"/>
      <w:bookmarkEnd w:id="69"/>
    </w:p>
    <w:p>
      <w:pPr>
        <w:snapToGrid w:val="0"/>
        <w:spacing w:line="400" w:lineRule="exact"/>
        <w:ind w:firstLine="420"/>
        <w:jc w:val="left"/>
        <w:rPr>
          <w:rFonts w:ascii="仿宋_GB2312" w:eastAsia="仿宋_GB2312" w:cs="Courier New"/>
          <w:sz w:val="24"/>
        </w:rPr>
      </w:pPr>
      <w:bookmarkStart w:id="70" w:name="_Toc254970542"/>
      <w:bookmarkStart w:id="71" w:name="_Toc254970683"/>
      <w:r>
        <w:rPr>
          <w:rFonts w:hint="eastAsia" w:ascii="仿宋_GB2312" w:eastAsia="仿宋_GB2312" w:cs="Courier New"/>
          <w:sz w:val="24"/>
        </w:rPr>
        <w:t>17.1本项目无需提交投标保证金。</w:t>
      </w:r>
    </w:p>
    <w:p>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18.电子投标文件的</w:t>
      </w:r>
      <w:bookmarkEnd w:id="70"/>
      <w:bookmarkEnd w:id="71"/>
      <w:r>
        <w:rPr>
          <w:rFonts w:hint="eastAsia" w:ascii="仿宋_GB2312" w:eastAsia="仿宋_GB2312" w:cs="Courier New"/>
          <w:b/>
          <w:sz w:val="24"/>
        </w:rPr>
        <w:t>编制、加密要求</w:t>
      </w:r>
    </w:p>
    <w:p>
      <w:pPr>
        <w:spacing w:line="360" w:lineRule="auto"/>
        <w:ind w:firstLine="480" w:firstLineChars="200"/>
        <w:rPr>
          <w:rFonts w:ascii="仿宋_GB2312" w:eastAsia="仿宋_GB2312"/>
          <w:sz w:val="24"/>
        </w:rPr>
      </w:pPr>
      <w:r>
        <w:rPr>
          <w:rFonts w:hint="eastAsia" w:ascii="仿宋_GB2312" w:eastAsia="仿宋_GB2312" w:cs="Courier New"/>
          <w:sz w:val="24"/>
        </w:rPr>
        <w:t>18.1投标人应按本招标文件规定的格式</w:t>
      </w:r>
      <w:r>
        <w:rPr>
          <w:rFonts w:hint="eastAsia" w:ascii="仿宋_GB2312" w:eastAsia="仿宋_GB2312"/>
          <w:sz w:val="24"/>
        </w:rPr>
        <w:t>、顺序和广西政府采购云平台“政府采购项目电子交易管理操作指南-供应商”的有关要求编制电子投标文件并进行关联定位，以便评标委员会在评审时，点击评审项可直接定位到该评审项内容；如电子投标文件因内容不完整、投标人</w:t>
      </w:r>
      <w:r>
        <w:rPr>
          <w:rFonts w:hint="eastAsia" w:ascii="仿宋_GB2312" w:hAnsi="宋体" w:eastAsia="仿宋_GB2312"/>
          <w:sz w:val="24"/>
        </w:rPr>
        <w:t>未设置或设置关联点错误导致</w:t>
      </w:r>
      <w:r>
        <w:rPr>
          <w:rFonts w:hint="eastAsia" w:ascii="仿宋_GB2312" w:eastAsia="仿宋_GB2312"/>
          <w:sz w:val="24"/>
        </w:rPr>
        <w:t>电子</w:t>
      </w:r>
      <w:r>
        <w:rPr>
          <w:rFonts w:hint="eastAsia" w:ascii="仿宋_GB2312" w:hAnsi="宋体" w:eastAsia="仿宋_GB2312"/>
          <w:sz w:val="24"/>
        </w:rPr>
        <w:t>投标文件被误读、漏读或者查找不到相关内容，</w:t>
      </w:r>
      <w:r>
        <w:rPr>
          <w:rFonts w:hint="eastAsia" w:ascii="仿宋_GB2312" w:eastAsia="仿宋_GB2312"/>
          <w:sz w:val="24"/>
        </w:rPr>
        <w:t>导致评标委员会在评审时做出对投标人不利的评审，所引起的后果由投标人自行承担。</w:t>
      </w:r>
    </w:p>
    <w:p>
      <w:pPr>
        <w:spacing w:line="360" w:lineRule="auto"/>
        <w:ind w:firstLine="482" w:firstLineChars="200"/>
        <w:rPr>
          <w:rFonts w:ascii="仿宋_GB2312" w:eastAsia="仿宋_GB2312"/>
          <w:b/>
          <w:bCs/>
          <w:sz w:val="24"/>
        </w:rPr>
      </w:pPr>
      <w:r>
        <w:rPr>
          <w:rFonts w:hint="eastAsia" w:ascii="仿宋_GB2312" w:eastAsia="仿宋_GB2312"/>
          <w:b/>
          <w:bCs/>
          <w:sz w:val="24"/>
        </w:rPr>
        <w:t>18.2公开招标文件中规定须由投标人在规定处盖章的，投标人应加盖CA电子签章，否则视为投标无效。</w:t>
      </w:r>
    </w:p>
    <w:p>
      <w:pPr>
        <w:spacing w:line="360" w:lineRule="auto"/>
        <w:ind w:firstLine="482" w:firstLineChars="200"/>
        <w:rPr>
          <w:rFonts w:ascii="仿宋_GB2312" w:eastAsia="仿宋_GB2312"/>
          <w:b/>
          <w:sz w:val="24"/>
        </w:rPr>
      </w:pPr>
      <w:r>
        <w:rPr>
          <w:rFonts w:hint="eastAsia" w:ascii="仿宋_GB2312" w:eastAsia="仿宋_GB2312"/>
          <w:b/>
          <w:bCs/>
          <w:sz w:val="24"/>
        </w:rPr>
        <w:t>18.3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pPr>
        <w:spacing w:line="360" w:lineRule="auto"/>
        <w:ind w:firstLine="480" w:firstLineChars="200"/>
        <w:rPr>
          <w:rFonts w:ascii="仿宋_GB2312" w:eastAsia="仿宋_GB2312"/>
          <w:sz w:val="24"/>
        </w:rPr>
      </w:pPr>
      <w:r>
        <w:rPr>
          <w:rFonts w:hint="eastAsia" w:ascii="仿宋_GB2312" w:eastAsia="仿宋_GB2312"/>
          <w:sz w:val="24"/>
        </w:rPr>
        <w:t>18.4电子投标文件不得涂改，若有修改错漏处，须加盖投标人CA电子签章或者法定代表人或授权委托代理人签字。电子投标文件因扫描不清晰或乱码或表达不清所引起的后果由投标人负责。</w:t>
      </w:r>
    </w:p>
    <w:p>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18.5</w:t>
      </w:r>
      <w:r>
        <w:rPr>
          <w:rFonts w:hint="eastAsia" w:ascii="仿宋_GB2312" w:eastAsia="仿宋_GB2312"/>
          <w:sz w:val="24"/>
        </w:rPr>
        <w:t>电子</w:t>
      </w:r>
      <w:r>
        <w:rPr>
          <w:rFonts w:hint="eastAsia" w:ascii="仿宋_GB2312" w:hAnsi="宋体" w:eastAsia="仿宋_GB2312"/>
          <w:sz w:val="24"/>
        </w:rPr>
        <w:t>投标文件所提供的相关材料的尺寸和清晰度应该能够在电脑上被阅读、识别和判断。</w:t>
      </w:r>
    </w:p>
    <w:p>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18.6</w:t>
      </w:r>
      <w:r>
        <w:rPr>
          <w:rFonts w:hint="eastAsia" w:ascii="仿宋_GB2312" w:eastAsia="仿宋_GB2312"/>
          <w:sz w:val="24"/>
        </w:rPr>
        <w:t>电子</w:t>
      </w:r>
      <w:r>
        <w:rPr>
          <w:rFonts w:hint="eastAsia" w:ascii="仿宋_GB2312" w:hAnsi="宋体" w:eastAsia="仿宋_GB2312"/>
          <w:sz w:val="24"/>
        </w:rPr>
        <w:t>投标文件内容无法阅读、识别和判断的，视为未提供。</w:t>
      </w:r>
    </w:p>
    <w:p>
      <w:pPr>
        <w:snapToGrid w:val="0"/>
        <w:spacing w:line="440" w:lineRule="exact"/>
        <w:ind w:firstLine="480" w:firstLineChars="200"/>
        <w:jc w:val="left"/>
        <w:rPr>
          <w:rFonts w:hint="eastAsia" w:ascii="仿宋_GB2312" w:hAnsi="宋体" w:eastAsia="仿宋_GB2312"/>
          <w:sz w:val="24"/>
        </w:rPr>
      </w:pPr>
      <w:r>
        <w:rPr>
          <w:rFonts w:hint="eastAsia" w:ascii="仿宋_GB2312" w:hAnsi="宋体" w:eastAsia="仿宋_GB2312"/>
          <w:sz w:val="24"/>
        </w:rPr>
        <w:t>18.7</w:t>
      </w:r>
      <w:r>
        <w:rPr>
          <w:rFonts w:hint="eastAsia" w:ascii="仿宋_GB2312" w:eastAsia="仿宋_GB2312"/>
          <w:sz w:val="24"/>
        </w:rPr>
        <w:t>电子</w:t>
      </w:r>
      <w:r>
        <w:rPr>
          <w:rFonts w:hint="eastAsia" w:ascii="仿宋_GB2312" w:hAnsi="宋体" w:eastAsia="仿宋_GB2312"/>
          <w:sz w:val="24"/>
        </w:rPr>
        <w:t>投标文件的容量大小须符合广西政府采购云平台客户端规定。</w:t>
      </w:r>
    </w:p>
    <w:p>
      <w:pPr>
        <w:snapToGrid w:val="0"/>
        <w:spacing w:line="44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18.8电子投标文件的加密要求</w:t>
      </w:r>
    </w:p>
    <w:p>
      <w:pPr>
        <w:snapToGrid w:val="0"/>
        <w:spacing w:line="420" w:lineRule="exact"/>
        <w:ind w:firstLine="480" w:firstLineChars="200"/>
        <w:jc w:val="left"/>
        <w:rPr>
          <w:rFonts w:hint="eastAsia" w:ascii="仿宋_GB2312" w:hAnsi="宋体" w:eastAsia="仿宋_GB2312"/>
          <w:sz w:val="24"/>
        </w:rPr>
      </w:pPr>
      <w:r>
        <w:rPr>
          <w:rFonts w:hint="eastAsia" w:ascii="仿宋_GB2312" w:eastAsia="仿宋_GB2312"/>
          <w:sz w:val="24"/>
        </w:rPr>
        <w:t>电子</w:t>
      </w:r>
      <w:r>
        <w:rPr>
          <w:rFonts w:hint="eastAsia" w:ascii="仿宋_GB2312" w:hAnsi="宋体" w:eastAsia="仿宋_GB2312"/>
          <w:sz w:val="24"/>
        </w:rPr>
        <w:t>投标文件应按广西政府采购云平台客户端软件有关规定加密，否则广西政府采购云平台将拒收</w:t>
      </w:r>
      <w:r>
        <w:rPr>
          <w:rFonts w:hint="eastAsia" w:ascii="仿宋_GB2312" w:eastAsia="仿宋_GB2312" w:cs="Courier New"/>
          <w:sz w:val="24"/>
        </w:rPr>
        <w:t>，由此造成的风险由投标人承担。</w:t>
      </w:r>
    </w:p>
    <w:p>
      <w:pPr>
        <w:snapToGrid w:val="0"/>
        <w:spacing w:line="400" w:lineRule="exact"/>
        <w:ind w:firstLine="422" w:firstLineChars="175"/>
        <w:jc w:val="left"/>
        <w:rPr>
          <w:rFonts w:ascii="仿宋_GB2312" w:eastAsia="仿宋_GB2312"/>
          <w:b/>
          <w:sz w:val="24"/>
        </w:rPr>
      </w:pPr>
      <w:r>
        <w:rPr>
          <w:rFonts w:hint="eastAsia" w:ascii="仿宋_GB2312" w:eastAsia="仿宋_GB2312" w:cs="Courier New"/>
          <w:b/>
          <w:sz w:val="24"/>
        </w:rPr>
        <w:t>19.电子投标文件的提交、修改、撤回和解密</w:t>
      </w:r>
    </w:p>
    <w:p>
      <w:pPr>
        <w:tabs>
          <w:tab w:val="left" w:pos="3870"/>
          <w:tab w:val="left" w:pos="4085"/>
        </w:tabs>
        <w:snapToGrid w:val="0"/>
        <w:spacing w:line="420" w:lineRule="exact"/>
        <w:ind w:firstLine="480" w:firstLineChars="200"/>
        <w:jc w:val="left"/>
        <w:rPr>
          <w:rFonts w:hint="eastAsia" w:ascii="仿宋_GB2312" w:hAnsi="宋体" w:eastAsia="仿宋_GB2312"/>
          <w:sz w:val="24"/>
        </w:rPr>
      </w:pPr>
      <w:bookmarkStart w:id="72" w:name="_Toc254970684"/>
      <w:bookmarkStart w:id="73" w:name="_Toc254970543"/>
      <w:r>
        <w:rPr>
          <w:rFonts w:hint="eastAsia" w:ascii="仿宋_GB2312" w:hAnsi="宋体" w:eastAsia="仿宋_GB2312"/>
          <w:sz w:val="24"/>
        </w:rPr>
        <w:t>19.1本项目实行“网上投标、电子评标”，投标人应于提交投标文件截止时间前在广西政府采购云平台上提交已经加密的电子投标文件。</w:t>
      </w:r>
    </w:p>
    <w:p>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19.2未按规定上传的电子投标文件将被广西政府采购云平台拒收，由此造成电子投标文件解密失败或被误投的风险由投标人自行承担。</w:t>
      </w:r>
    </w:p>
    <w:p>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19.3 投标人应当在提交截止时间前完成电子投标文件的提交，提交截止时间前可以补充、修改或者撤回电子投标文件。补充或者修改电子投标文件的，应当先行撤回原文件，补充、修改、加密后重新传输提交。提交截止时间前未完成传输的，视为撤回电子投标文件。提交截止时间后上传的文件，将被广西政府采购云平台拒收。</w:t>
      </w:r>
    </w:p>
    <w:p>
      <w:pPr>
        <w:tabs>
          <w:tab w:val="left" w:pos="3870"/>
          <w:tab w:val="left" w:pos="4085"/>
        </w:tabs>
        <w:snapToGrid w:val="0"/>
        <w:spacing w:line="420" w:lineRule="exact"/>
        <w:ind w:firstLine="482" w:firstLineChars="200"/>
        <w:jc w:val="left"/>
        <w:rPr>
          <w:rFonts w:hint="eastAsia" w:ascii="仿宋_GB2312" w:hAnsi="宋体" w:eastAsia="仿宋_GB2312"/>
          <w:sz w:val="24"/>
        </w:rPr>
      </w:pPr>
      <w:r>
        <w:rPr>
          <w:rFonts w:hint="eastAsia" w:ascii="仿宋_GB2312" w:hAnsi="宋体" w:eastAsia="仿宋_GB2312"/>
          <w:b/>
          <w:bCs/>
          <w:sz w:val="24"/>
        </w:rPr>
        <w:t>19.4</w:t>
      </w:r>
      <w:r>
        <w:rPr>
          <w:rFonts w:hint="eastAsia" w:ascii="仿宋_GB2312" w:eastAsia="仿宋_GB2312"/>
          <w:b/>
          <w:bCs/>
          <w:sz w:val="24"/>
        </w:rPr>
        <w:t>电子投标文件成功提交后，投标人可自行打印投标文件接收回执。</w:t>
      </w:r>
    </w:p>
    <w:p>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19.5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w:t>
      </w:r>
    </w:p>
    <w:p>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非广西政府采购云平台技术原因造成的投标人超过解密时限未完成解密的，或投标文件无法解密或解密失败，视为投标人放弃投标，投标无效。</w:t>
      </w:r>
    </w:p>
    <w:p>
      <w:pPr>
        <w:snapToGrid w:val="0"/>
        <w:spacing w:line="400" w:lineRule="exact"/>
        <w:ind w:firstLine="354" w:firstLineChars="147"/>
        <w:jc w:val="left"/>
        <w:rPr>
          <w:rFonts w:ascii="仿宋_GB2312" w:eastAsia="仿宋_GB2312"/>
          <w:b/>
          <w:sz w:val="24"/>
        </w:rPr>
      </w:pPr>
      <w:r>
        <w:rPr>
          <w:rFonts w:hint="eastAsia" w:ascii="仿宋_GB2312" w:eastAsia="仿宋_GB2312" w:cs="Courier New"/>
          <w:b/>
          <w:sz w:val="24"/>
        </w:rPr>
        <w:t>20.投标无效的情形</w:t>
      </w:r>
      <w:bookmarkEnd w:id="72"/>
      <w:bookmarkEnd w:id="73"/>
    </w:p>
    <w:p>
      <w:pPr>
        <w:snapToGrid w:val="0"/>
        <w:spacing w:line="400" w:lineRule="exact"/>
        <w:ind w:firstLine="420"/>
        <w:jc w:val="left"/>
        <w:rPr>
          <w:rFonts w:hint="eastAsia" w:ascii="仿宋_GB2312" w:eastAsia="仿宋_GB2312" w:cs="Courier New"/>
          <w:sz w:val="24"/>
          <w:lang w:eastAsia="zh-CN"/>
        </w:rPr>
      </w:pPr>
      <w:r>
        <w:rPr>
          <w:rFonts w:hint="eastAsia" w:ascii="仿宋_GB2312" w:eastAsia="仿宋_GB2312" w:cs="Courier New"/>
          <w:sz w:val="24"/>
        </w:rPr>
        <w:t>20.1实质上没有响应招标文件要求和条件的投标将被视为无效投标。投标人不得通过修正或</w:t>
      </w:r>
      <w:r>
        <w:rPr>
          <w:rFonts w:hint="eastAsia" w:ascii="仿宋_GB2312" w:eastAsia="仿宋_GB2312" w:cs="Courier New"/>
          <w:sz w:val="24"/>
          <w:lang w:val="en-US" w:eastAsia="zh-CN"/>
        </w:rPr>
        <w:t>撤销</w:t>
      </w:r>
      <w:r>
        <w:rPr>
          <w:rFonts w:hint="eastAsia" w:ascii="仿宋_GB2312" w:eastAsia="仿宋_GB2312" w:cs="Courier New"/>
          <w:sz w:val="24"/>
        </w:rPr>
        <w:t>不合要求的偏离或保留从而使其投标成为实质上响应的投标，除资格证明文件外经评标委员会认定属于28.澄清问题的形式规定情形的，应当允许其在评标结束之前通过广西政府采购云平台进行澄清</w:t>
      </w:r>
      <w:r>
        <w:rPr>
          <w:rFonts w:hint="eastAsia" w:ascii="仿宋_GB2312" w:eastAsia="仿宋_GB2312" w:cs="Courier New"/>
          <w:sz w:val="24"/>
          <w:lang w:eastAsia="zh-CN"/>
        </w:rPr>
        <w:t>、说明</w:t>
      </w:r>
      <w:r>
        <w:rPr>
          <w:rFonts w:hint="eastAsia" w:ascii="仿宋_GB2312" w:eastAsia="仿宋_GB2312" w:cs="Courier New"/>
          <w:sz w:val="24"/>
        </w:rPr>
        <w:t>或者补正，澄清</w:t>
      </w:r>
      <w:r>
        <w:rPr>
          <w:rFonts w:hint="eastAsia" w:ascii="仿宋_GB2312" w:eastAsia="仿宋_GB2312" w:cs="Courier New"/>
          <w:sz w:val="24"/>
          <w:lang w:eastAsia="zh-CN"/>
        </w:rPr>
        <w:t>、说明</w:t>
      </w:r>
      <w:r>
        <w:rPr>
          <w:rFonts w:hint="eastAsia" w:ascii="仿宋_GB2312" w:eastAsia="仿宋_GB2312" w:cs="Courier New"/>
          <w:sz w:val="24"/>
        </w:rPr>
        <w:t>或者补正投标文件必须以书面形式进行。</w:t>
      </w:r>
      <w:r>
        <w:rPr>
          <w:rFonts w:hint="eastAsia" w:ascii="仿宋_GB2312" w:eastAsia="仿宋_GB2312" w:cs="Courier New"/>
          <w:color w:val="auto"/>
          <w:sz w:val="24"/>
        </w:rPr>
        <w:t>若投标人截止时间前未</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的，或</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后仍不符合招标文件要求的，评标委员会有权认定其</w:t>
      </w:r>
      <w:r>
        <w:rPr>
          <w:rFonts w:hint="eastAsia" w:ascii="仿宋_GB2312" w:eastAsia="仿宋_GB2312" w:cs="Courier New"/>
          <w:color w:val="auto"/>
          <w:sz w:val="24"/>
          <w:lang w:eastAsia="zh-CN"/>
        </w:rPr>
        <w:t>投标</w:t>
      </w:r>
      <w:r>
        <w:rPr>
          <w:rFonts w:hint="eastAsia" w:ascii="仿宋_GB2312" w:eastAsia="仿宋_GB2312" w:cs="Courier New"/>
          <w:color w:val="auto"/>
          <w:sz w:val="24"/>
        </w:rPr>
        <w:t>无效</w:t>
      </w:r>
      <w:r>
        <w:rPr>
          <w:rFonts w:hint="eastAsia" w:ascii="仿宋_GB2312" w:eastAsia="仿宋_GB2312" w:cs="Courier New"/>
          <w:color w:val="auto"/>
          <w:sz w:val="24"/>
          <w:lang w:eastAsia="zh-CN"/>
        </w:rPr>
        <w:t>。</w:t>
      </w:r>
    </w:p>
    <w:p>
      <w:pPr>
        <w:snapToGrid w:val="0"/>
        <w:spacing w:line="400" w:lineRule="exact"/>
        <w:ind w:firstLine="472" w:firstLineChars="196"/>
        <w:rPr>
          <w:rFonts w:ascii="仿宋_GB2312" w:eastAsia="仿宋_GB2312"/>
          <w:b/>
          <w:bCs/>
          <w:sz w:val="24"/>
        </w:rPr>
      </w:pPr>
      <w:r>
        <w:rPr>
          <w:rFonts w:hint="eastAsia" w:ascii="仿宋_GB2312" w:eastAsia="仿宋_GB2312"/>
          <w:b/>
          <w:sz w:val="24"/>
        </w:rPr>
        <w:t>20.1.1投标人存在下列情况之一的，投标无效：</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（1）投标文件未按招标文件要求签署、盖章的；</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（2）不具备招标文件中规定的资格要求的；</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（3）报价超过招标文件中规定的预算金额或者最高限价的；</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（4）投标文件含有采购人不能接受的附加条件的；</w:t>
      </w:r>
    </w:p>
    <w:p>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（5）投标人在线制作电子投标文件时填写的报价金额与解密后“电子加密投标文件”中《开标一览表》填写的金额不一致并拒绝按公开招标文件要求接受调整的；</w:t>
      </w:r>
    </w:p>
    <w:p>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（6）法律、法规和招标文件规定的其他无效情形。</w:t>
      </w:r>
    </w:p>
    <w:p>
      <w:pPr>
        <w:snapToGrid w:val="0"/>
        <w:spacing w:line="350" w:lineRule="exact"/>
        <w:ind w:right="-330" w:rightChars="-157" w:firstLine="472" w:firstLineChars="196"/>
        <w:rPr>
          <w:rFonts w:ascii="仿宋_GB2312" w:eastAsia="仿宋_GB2312"/>
          <w:b/>
          <w:sz w:val="24"/>
        </w:rPr>
      </w:pPr>
      <w:r>
        <w:rPr>
          <w:rFonts w:hint="eastAsia" w:ascii="仿宋_GB2312" w:eastAsia="仿宋_GB2312"/>
          <w:b/>
          <w:sz w:val="24"/>
        </w:rPr>
        <w:t>20.1.2在资格性审查时，如发现下列情形之一的，投标文件将被视为无效：</w:t>
      </w:r>
    </w:p>
    <w:p>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（1）资格证明文件不全的，或者不符合招标文件标明的资格要求的；</w:t>
      </w:r>
    </w:p>
    <w:p>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（2）无法定代表人或其授权委托代理人签字，或未提供法定代表人授权委托书或者填写项目不齐全的；</w:t>
      </w:r>
    </w:p>
    <w:p>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（3）委托代理人与法定代表人授权委托书中的代理人不符的。</w:t>
      </w:r>
    </w:p>
    <w:p>
      <w:pPr>
        <w:snapToGrid w:val="0"/>
        <w:spacing w:line="340" w:lineRule="exact"/>
        <w:ind w:right="-330" w:rightChars="-157" w:firstLine="472" w:firstLineChars="196"/>
        <w:rPr>
          <w:rFonts w:ascii="仿宋_GB2312" w:eastAsia="仿宋_GB2312"/>
          <w:b/>
          <w:bCs/>
          <w:kern w:val="0"/>
          <w:sz w:val="24"/>
        </w:rPr>
      </w:pPr>
      <w:r>
        <w:rPr>
          <w:rFonts w:hint="eastAsia" w:ascii="仿宋_GB2312" w:eastAsia="仿宋_GB2312"/>
          <w:b/>
          <w:bCs/>
          <w:kern w:val="0"/>
          <w:sz w:val="24"/>
        </w:rPr>
        <w:t>20.1.3在符合性评审时，如发现下列情形之一的，投标文件将被视为无效：</w:t>
      </w:r>
    </w:p>
    <w:p>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（1）投标有效期、服务期限、付款方式等商务条款不能满足招标文件要求的；</w:t>
      </w:r>
    </w:p>
    <w:p>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（2）投标人就采购需求中标记 “★”符号的实质性响应内容发生负偏离一项以上的；</w:t>
      </w:r>
    </w:p>
    <w:p>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（3）投标技术方案不明确，存在一个或一个以上备选（替代）投标方案的；</w:t>
      </w:r>
    </w:p>
    <w:p>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（4）未采用人民币报价或者未按照招标文件标明的币种报价的；</w:t>
      </w:r>
    </w:p>
    <w:p>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（5）报价超出最高限价，或者超出采购预算金额的；</w:t>
      </w:r>
    </w:p>
    <w:p>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（6）投标报价具有选择性，或者开标价格与投标文件承诺的优惠（折扣）价格不一致的；</w:t>
      </w:r>
    </w:p>
    <w:p>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7）评标委员会认为投标人的报价明显低于其他通过符合性审查投标人的报价，有可能影响产品质量或者不能诚信履约的，应当通过广西政府采购云平台发起询标函，要求其在评标现场合理的时间内通过广西政府采购云平台提供书面说明，必要时提交相关证明材料；投标人不能证明其报价合理性的，评标委员会应当将其作为无效投标处理。</w:t>
      </w:r>
    </w:p>
    <w:p>
      <w:pPr>
        <w:snapToGrid w:val="0"/>
        <w:spacing w:line="400" w:lineRule="exact"/>
        <w:ind w:firstLine="472" w:firstLineChars="196"/>
        <w:rPr>
          <w:rFonts w:ascii="仿宋_GB2312" w:eastAsia="仿宋_GB2312"/>
          <w:b/>
          <w:sz w:val="24"/>
        </w:rPr>
      </w:pPr>
      <w:r>
        <w:rPr>
          <w:rFonts w:hint="eastAsia" w:ascii="仿宋_GB2312" w:eastAsia="仿宋_GB2312"/>
          <w:b/>
          <w:sz w:val="24"/>
        </w:rPr>
        <w:t>20.1.4在评审时有下列情形之一的视为投标人相互串通投标，投标文件将被视为无效：</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（1）不同投标人的投标文件由同一单位或者个人编制；或不同投标人报名（获取文件）的IP地址一致的；</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（2）不同投标人委托同一单位或者个人办理投标事宜；</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（3）不同的投标人的投标文件载明的项目管理成员或者联系人员为同一个人；</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（4）不同投标人的投标文件异常一致或投标报价呈规律性差异；</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（5）不同投标人的投标文件相互混装。</w:t>
      </w:r>
    </w:p>
    <w:p>
      <w:pPr>
        <w:snapToGrid w:val="0"/>
        <w:spacing w:line="400" w:lineRule="exact"/>
        <w:ind w:firstLine="472" w:firstLineChars="196"/>
        <w:rPr>
          <w:rFonts w:ascii="仿宋_GB2312" w:eastAsia="仿宋_GB2312"/>
          <w:b/>
          <w:sz w:val="24"/>
        </w:rPr>
      </w:pPr>
      <w:r>
        <w:rPr>
          <w:rFonts w:hint="eastAsia" w:ascii="仿宋_GB2312" w:eastAsia="仿宋_GB2312"/>
          <w:b/>
          <w:sz w:val="24"/>
        </w:rPr>
        <w:t>20.1.5被拒绝的投标文件为无效。</w:t>
      </w:r>
    </w:p>
    <w:p>
      <w:pPr>
        <w:spacing w:line="460" w:lineRule="exact"/>
        <w:ind w:firstLine="482" w:firstLineChars="200"/>
        <w:rPr>
          <w:rFonts w:ascii="仿宋_GB2312" w:eastAsia="仿宋_GB2312"/>
          <w:b/>
          <w:sz w:val="24"/>
        </w:rPr>
      </w:pPr>
      <w:r>
        <w:rPr>
          <w:rFonts w:hint="eastAsia" w:ascii="仿宋_GB2312" w:eastAsia="仿宋_GB2312"/>
          <w:b/>
          <w:sz w:val="24"/>
        </w:rPr>
        <w:t>20.2特别说明</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20.2.1广西政府采购云平台如对电子化开评标程序有调整的，按调整后的程序操作。</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20.2.2评审在严格保密的情况下进行，任何一方不得透露与评审有关的其他投标人的技术资料、价格和其他信息。</w:t>
      </w:r>
    </w:p>
    <w:p>
      <w:pPr>
        <w:spacing w:line="460" w:lineRule="exact"/>
        <w:ind w:firstLine="482" w:firstLineChars="200"/>
        <w:rPr>
          <w:rFonts w:ascii="仿宋_GB2312" w:eastAsia="仿宋_GB2312"/>
          <w:b/>
          <w:bCs/>
          <w:sz w:val="24"/>
        </w:rPr>
      </w:pPr>
      <w:r>
        <w:rPr>
          <w:rFonts w:hint="eastAsia" w:ascii="仿宋_GB2312" w:eastAsia="仿宋_GB2312"/>
          <w:b/>
          <w:bCs/>
          <w:sz w:val="24"/>
        </w:rPr>
        <w:t>20.3可中止电子交易活动的情形</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采购过程中出现以下情形，导致广西政府采购云平台无法正常运行，或者无法保证电子交易的公平、公正和安全时，采购代理机构可中止电子交易活动：</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20.3.1广西政府采购云平台发生故障而无法登录访问的；</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20.3.2广西政府采购云平台应用或数据库出现错误，不能进行正常操作的；</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20.3.3广西政府采购云平台发现严重安全漏洞，有潜在泄密危险的；</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20.3.4病毒发作导致不能进行正常操作的；</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20.3.5其他无法保证电子交易的公平、公正和安全的情况。</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出现前款规定情形，不影响采购公平、公正性的，采购代理机构可以待上述情形消除后继续组织电子交易活动，也可以决定某些环节以纸质形式进行；影响或可能影响采购公平、公正性的，应当重新采购。</w:t>
      </w:r>
    </w:p>
    <w:p>
      <w:pPr>
        <w:snapToGrid w:val="0"/>
        <w:spacing w:line="400" w:lineRule="exact"/>
        <w:ind w:firstLine="472" w:firstLineChars="196"/>
        <w:rPr>
          <w:rFonts w:ascii="仿宋_GB2312" w:eastAsia="仿宋_GB2312" w:cs="Courier New"/>
          <w:b/>
          <w:sz w:val="24"/>
        </w:rPr>
      </w:pPr>
      <w:r>
        <w:rPr>
          <w:rFonts w:hint="eastAsia" w:ascii="仿宋_GB2312" w:eastAsia="仿宋_GB2312" w:cs="Courier New"/>
          <w:b/>
          <w:sz w:val="24"/>
        </w:rPr>
        <w:t>四、开标</w:t>
      </w:r>
    </w:p>
    <w:p>
      <w:pPr>
        <w:pStyle w:val="26"/>
        <w:snapToGrid w:val="0"/>
        <w:spacing w:line="40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21.开标准备</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21.1采购代理机构按公开招标文件规定的时间、地点通过“广西政府采购云平台”组织开标、开启解密电子投标文件，所有投标人均应当准时在线出席开标会。投标人因未在线参加开标而导致电子投标文件无法按时解密等一切后果由投标人自行承担。</w:t>
      </w:r>
    </w:p>
    <w:p>
      <w:pPr>
        <w:pStyle w:val="26"/>
        <w:snapToGrid w:val="0"/>
        <w:spacing w:line="400" w:lineRule="exact"/>
        <w:ind w:firstLine="482" w:firstLineChars="200"/>
        <w:rPr>
          <w:rFonts w:hint="eastAsia" w:ascii="仿宋_GB2312" w:hAnsi="宋体" w:eastAsia="仿宋_GB2312"/>
          <w:b/>
          <w:sz w:val="24"/>
          <w:szCs w:val="24"/>
        </w:rPr>
      </w:pPr>
      <w:r>
        <w:rPr>
          <w:rFonts w:hint="eastAsia" w:ascii="仿宋_GB2312" w:hAnsi="宋体" w:eastAsia="仿宋_GB2312"/>
          <w:b/>
          <w:sz w:val="24"/>
          <w:szCs w:val="24"/>
        </w:rPr>
        <w:t>22.开标程序</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22.1开标会由采购代理机构主持；</w:t>
      </w:r>
    </w:p>
    <w:p>
      <w:pPr>
        <w:snapToGrid w:val="0"/>
        <w:spacing w:line="400" w:lineRule="exact"/>
        <w:ind w:firstLine="420"/>
        <w:jc w:val="left"/>
        <w:rPr>
          <w:rFonts w:hint="eastAsia" w:ascii="仿宋_GB2312" w:hAnsi="宋体" w:eastAsia="仿宋_GB2312"/>
          <w:sz w:val="24"/>
        </w:rPr>
      </w:pPr>
      <w:r>
        <w:rPr>
          <w:rFonts w:hint="eastAsia" w:ascii="仿宋_GB2312" w:eastAsia="仿宋_GB2312" w:cs="Courier New"/>
          <w:sz w:val="24"/>
        </w:rPr>
        <w:t>22.2</w:t>
      </w:r>
      <w:r>
        <w:rPr>
          <w:rFonts w:hint="eastAsia" w:ascii="仿宋_GB2312" w:hAnsi="宋体" w:eastAsia="仿宋_GB2312"/>
          <w:sz w:val="24"/>
        </w:rPr>
        <w:t>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非广西政府采购云平台技术原因造成的投标人超过解密时限未完成解密的，或投标文件无法解密或解密失败，视为投标人放弃投标，投标无效。</w:t>
      </w:r>
    </w:p>
    <w:p>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22.3电子投标文件解密结束，开启报价要求文件。投标人在线制作投标文件时填写的报价金额与解密后“电子加密投标文件”中《开标一览表》填写的金额不一致的，以解密后“电子加密投标文件”中《开标一览表》填写的金额为准，投标人拒绝接受此调整的，按无效投标处理。</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22.4公开报价；</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22.5报价确认：采购代理机构开启签字时段，投标人应及时通过CA证书对报价记录表进行确认。未在规定时间内确认的，视同认可开标结果；</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22.6开标会结束。</w:t>
      </w:r>
    </w:p>
    <w:p>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五、资格性审查</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23.采购人应当依法对投标人的资格进行审查。</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24.合格投标人不足三家的，不得评标。</w:t>
      </w:r>
    </w:p>
    <w:p>
      <w:pPr>
        <w:pStyle w:val="26"/>
        <w:snapToGrid w:val="0"/>
        <w:spacing w:line="370" w:lineRule="exact"/>
        <w:ind w:firstLine="472" w:firstLineChars="196"/>
        <w:rPr>
          <w:rFonts w:hint="eastAsia" w:ascii="仿宋_GB2312" w:hAnsi="宋体" w:eastAsia="仿宋_GB2312"/>
          <w:b/>
          <w:sz w:val="24"/>
          <w:szCs w:val="24"/>
        </w:rPr>
      </w:pPr>
      <w:bookmarkStart w:id="74" w:name="_Toc254970686"/>
      <w:bookmarkStart w:id="75" w:name="_Toc254970545"/>
      <w:r>
        <w:rPr>
          <w:rFonts w:hint="eastAsia" w:ascii="仿宋_GB2312" w:hAnsi="宋体" w:eastAsia="仿宋_GB2312"/>
          <w:b/>
          <w:sz w:val="24"/>
          <w:szCs w:val="24"/>
        </w:rPr>
        <w:t>六、评标</w:t>
      </w:r>
      <w:bookmarkEnd w:id="74"/>
      <w:bookmarkEnd w:id="75"/>
    </w:p>
    <w:p>
      <w:pPr>
        <w:pStyle w:val="26"/>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25.组建评标委员会</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25.1本项目评标委员会由采购人代表和评审专家组成。</w:t>
      </w:r>
    </w:p>
    <w:p>
      <w:pPr>
        <w:pStyle w:val="26"/>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26.评标的方式</w:t>
      </w:r>
    </w:p>
    <w:p>
      <w:pPr>
        <w:snapToGrid w:val="0"/>
        <w:spacing w:line="370" w:lineRule="exact"/>
        <w:ind w:firstLine="420"/>
        <w:jc w:val="left"/>
        <w:rPr>
          <w:rFonts w:ascii="仿宋_GB2312" w:eastAsia="仿宋_GB2312"/>
          <w:sz w:val="24"/>
        </w:rPr>
      </w:pPr>
      <w:r>
        <w:rPr>
          <w:rFonts w:hint="eastAsia" w:ascii="仿宋_GB2312" w:eastAsia="仿宋_GB2312" w:cs="Courier New"/>
          <w:sz w:val="24"/>
        </w:rPr>
        <w:t>26.1本项目采用不公开方式评标，评标的依据为招标文件和投标文件。</w:t>
      </w:r>
    </w:p>
    <w:p>
      <w:pPr>
        <w:pStyle w:val="26"/>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27.</w:t>
      </w:r>
      <w:r>
        <w:rPr>
          <w:rFonts w:hint="eastAsia" w:ascii="仿宋_GB2312" w:hAnsi="宋体" w:eastAsia="仿宋_GB2312"/>
          <w:b/>
          <w:bCs/>
          <w:sz w:val="24"/>
          <w:szCs w:val="24"/>
        </w:rPr>
        <w:t>评标程序</w:t>
      </w:r>
    </w:p>
    <w:p>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27.1符合性审查</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（1）评标委员会审查、评价投标文件是否符合招标文件的商务、技术等实质性要求。</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（2）评标委员会将根据投标人的投标文件进行审查、核对，如有疑问，评标委员会将通过广西政府采购云平台，以询标函的方式要求投标人在线对相关问题进行澄清或者说明。</w:t>
      </w:r>
    </w:p>
    <w:p>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27.2投标文件的比较和评价</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（1）各投标人的技术得分为所有评委的有效评分的算术平均数。</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（2）评标委员会完成评标后，评委对各部分得分汇总，计算出本项目最终得分。评标委员会按评标标准推荐中标候选人同时起草评标报告。</w:t>
      </w:r>
    </w:p>
    <w:p>
      <w:pPr>
        <w:snapToGrid w:val="0"/>
        <w:spacing w:line="370" w:lineRule="exact"/>
        <w:ind w:firstLine="482" w:firstLineChars="200"/>
        <w:rPr>
          <w:rFonts w:ascii="仿宋_GB2312" w:eastAsia="仿宋_GB2312"/>
          <w:b/>
          <w:sz w:val="24"/>
        </w:rPr>
      </w:pPr>
      <w:r>
        <w:rPr>
          <w:rFonts w:hint="eastAsia" w:ascii="仿宋_GB2312" w:eastAsia="仿宋_GB2312"/>
          <w:b/>
          <w:sz w:val="24"/>
        </w:rPr>
        <w:t>28.澄清问题的形式</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28.1对于投标文件中含义不明确、同类问题表述不一致或者有明显文字和计算错误的内容，评标委员会应当通过广西政府采购云平台发起电子询标函，以书面形式要求投标人在规定的时间内作出必要的澄清、说明或者补正。</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28.2投标人应当在规定时间内通过广西政府采购云平台进行澄清、说明或者补正，并加盖投标人CA电子签章。投标人的澄清、说明或者补正不得超出投标文件的范围或者改变投标文件的实质性内容。</w:t>
      </w:r>
    </w:p>
    <w:p>
      <w:pPr>
        <w:pStyle w:val="38"/>
        <w:numPr>
          <w:ilvl w:val="0"/>
          <w:numId w:val="0"/>
        </w:numPr>
        <w:ind w:leftChars="0" w:firstLine="480" w:firstLineChars="200"/>
        <w:rPr>
          <w:rFonts w:hint="eastAsia" w:ascii="仿宋_GB2312" w:eastAsia="仿宋_GB2312" w:cs="Courier New" w:hAnsiTheme="minorHAnsi"/>
          <w:kern w:val="2"/>
          <w:sz w:val="24"/>
          <w:szCs w:val="24"/>
          <w:highlight w:val="none"/>
          <w:lang w:val="en-US" w:eastAsia="zh-CN" w:bidi="ar-SA"/>
        </w:rPr>
      </w:pPr>
      <w:r>
        <w:rPr>
          <w:rFonts w:hint="eastAsia" w:ascii="仿宋_GB2312" w:eastAsia="仿宋_GB2312" w:cs="Courier New"/>
          <w:sz w:val="24"/>
        </w:rPr>
        <w:t>28.3</w:t>
      </w:r>
      <w:r>
        <w:rPr>
          <w:rFonts w:hint="eastAsia" w:ascii="仿宋_GB2312" w:eastAsia="仿宋_GB2312" w:cs="Courier New" w:hAnsiTheme="minorHAnsi"/>
          <w:kern w:val="2"/>
          <w:sz w:val="24"/>
          <w:szCs w:val="24"/>
          <w:highlight w:val="none"/>
          <w:lang w:val="en-US" w:eastAsia="zh-CN" w:bidi="ar-SA"/>
        </w:rPr>
        <w:t>投标人有以下情形之一的，评标委员会有权视该投标文件无效:</w:t>
      </w:r>
    </w:p>
    <w:p>
      <w:pPr>
        <w:pStyle w:val="38"/>
        <w:ind w:left="0" w:leftChars="0" w:firstLine="240" w:firstLineChars="100"/>
        <w:rPr>
          <w:rFonts w:hint="eastAsia" w:ascii="仿宋_GB2312" w:eastAsia="仿宋_GB2312" w:cs="Courier New" w:hAnsiTheme="minorHAnsi"/>
          <w:kern w:val="2"/>
          <w:sz w:val="24"/>
          <w:szCs w:val="24"/>
          <w:highlight w:val="none"/>
          <w:lang w:val="en-US" w:eastAsia="zh-CN" w:bidi="ar-SA"/>
        </w:rPr>
      </w:pPr>
      <w:r>
        <w:rPr>
          <w:rFonts w:hint="eastAsia" w:ascii="仿宋_GB2312" w:eastAsia="仿宋_GB2312" w:cs="Courier New" w:hAnsiTheme="minorHAnsi"/>
          <w:kern w:val="2"/>
          <w:sz w:val="24"/>
          <w:szCs w:val="24"/>
          <w:highlight w:val="none"/>
          <w:lang w:val="en-US" w:eastAsia="zh-CN" w:bidi="ar-SA"/>
        </w:rPr>
        <w:t>（1）截止时间前未</w:t>
      </w:r>
      <w:r>
        <w:rPr>
          <w:rFonts w:hint="eastAsia" w:ascii="仿宋_GB2312" w:eastAsia="仿宋_GB2312" w:cs="Courier New"/>
          <w:kern w:val="2"/>
          <w:sz w:val="24"/>
          <w:szCs w:val="24"/>
          <w:highlight w:val="none"/>
          <w:lang w:val="en-US" w:eastAsia="zh-CN" w:bidi="ar-SA"/>
        </w:rPr>
        <w:t>澄清、说明或者补正</w:t>
      </w:r>
      <w:r>
        <w:rPr>
          <w:rFonts w:hint="eastAsia" w:ascii="仿宋_GB2312" w:eastAsia="仿宋_GB2312" w:cs="Courier New" w:hAnsiTheme="minorHAnsi"/>
          <w:kern w:val="2"/>
          <w:sz w:val="24"/>
          <w:szCs w:val="24"/>
          <w:highlight w:val="none"/>
          <w:lang w:val="en-US" w:eastAsia="zh-CN" w:bidi="ar-SA"/>
        </w:rPr>
        <w:t>，或</w:t>
      </w:r>
      <w:r>
        <w:rPr>
          <w:rFonts w:hint="eastAsia" w:ascii="仿宋_GB2312" w:eastAsia="仿宋_GB2312" w:cs="Courier New"/>
          <w:kern w:val="2"/>
          <w:sz w:val="24"/>
          <w:szCs w:val="24"/>
          <w:highlight w:val="none"/>
          <w:lang w:val="en-US" w:eastAsia="zh-CN" w:bidi="ar-SA"/>
        </w:rPr>
        <w:t>澄清、说明或者补正</w:t>
      </w:r>
      <w:r>
        <w:rPr>
          <w:rFonts w:hint="eastAsia" w:ascii="仿宋_GB2312" w:eastAsia="仿宋_GB2312" w:cs="Courier New" w:hAnsiTheme="minorHAnsi"/>
          <w:kern w:val="2"/>
          <w:sz w:val="24"/>
          <w:szCs w:val="24"/>
          <w:highlight w:val="none"/>
          <w:lang w:val="en-US" w:eastAsia="zh-CN" w:bidi="ar-SA"/>
        </w:rPr>
        <w:t>超过规定时间的:</w:t>
      </w:r>
    </w:p>
    <w:p>
      <w:pPr>
        <w:pStyle w:val="38"/>
        <w:ind w:left="0" w:leftChars="0" w:firstLine="240" w:firstLineChars="100"/>
        <w:rPr>
          <w:rFonts w:hint="eastAsia" w:ascii="仿宋_GB2312" w:eastAsia="仿宋_GB2312" w:cs="Courier New" w:hAnsiTheme="minorHAnsi"/>
          <w:kern w:val="2"/>
          <w:sz w:val="24"/>
          <w:szCs w:val="24"/>
          <w:highlight w:val="none"/>
          <w:lang w:val="en-US" w:eastAsia="zh-CN" w:bidi="ar-SA"/>
        </w:rPr>
      </w:pPr>
      <w:r>
        <w:rPr>
          <w:rFonts w:hint="eastAsia" w:ascii="仿宋_GB2312" w:eastAsia="仿宋_GB2312" w:cs="Courier New" w:hAnsiTheme="minorHAnsi"/>
          <w:kern w:val="2"/>
          <w:sz w:val="24"/>
          <w:szCs w:val="24"/>
          <w:highlight w:val="none"/>
          <w:lang w:val="en-US" w:eastAsia="zh-CN" w:bidi="ar-SA"/>
        </w:rPr>
        <w:t>（2）</w:t>
      </w:r>
      <w:r>
        <w:rPr>
          <w:rFonts w:hint="eastAsia" w:ascii="仿宋_GB2312" w:eastAsia="仿宋_GB2312" w:cs="Courier New"/>
          <w:kern w:val="2"/>
          <w:sz w:val="24"/>
          <w:szCs w:val="24"/>
          <w:highlight w:val="none"/>
          <w:lang w:val="en-US" w:eastAsia="zh-CN" w:bidi="ar-SA"/>
        </w:rPr>
        <w:t>澄清、说明或者补正</w:t>
      </w:r>
      <w:r>
        <w:rPr>
          <w:rFonts w:hint="eastAsia" w:ascii="仿宋_GB2312" w:eastAsia="仿宋_GB2312" w:cs="Courier New" w:hAnsiTheme="minorHAnsi"/>
          <w:kern w:val="2"/>
          <w:sz w:val="24"/>
          <w:szCs w:val="24"/>
          <w:highlight w:val="none"/>
          <w:lang w:val="en-US" w:eastAsia="zh-CN" w:bidi="ar-SA"/>
        </w:rPr>
        <w:t>超出投标文件范围或改变了投标文件的实质性内容的；</w:t>
      </w:r>
    </w:p>
    <w:p>
      <w:pPr>
        <w:pStyle w:val="38"/>
        <w:ind w:left="0" w:leftChars="0" w:firstLine="240" w:firstLineChars="100"/>
        <w:rPr>
          <w:rFonts w:hint="default" w:ascii="仿宋_GB2312" w:eastAsia="仿宋_GB2312" w:cs="Courier New" w:hAnsiTheme="minorHAnsi"/>
          <w:kern w:val="2"/>
          <w:sz w:val="24"/>
          <w:szCs w:val="24"/>
          <w:highlight w:val="none"/>
          <w:lang w:val="en-US" w:eastAsia="zh-CN" w:bidi="ar-SA"/>
        </w:rPr>
      </w:pPr>
      <w:r>
        <w:rPr>
          <w:rFonts w:hint="eastAsia" w:ascii="仿宋_GB2312" w:eastAsia="仿宋_GB2312" w:cs="Courier New" w:hAnsiTheme="minorHAnsi"/>
          <w:kern w:val="2"/>
          <w:sz w:val="24"/>
          <w:szCs w:val="24"/>
          <w:highlight w:val="none"/>
          <w:lang w:val="en-US" w:eastAsia="zh-CN" w:bidi="ar-SA"/>
        </w:rPr>
        <w:t>（3）</w:t>
      </w:r>
      <w:r>
        <w:rPr>
          <w:rFonts w:hint="eastAsia" w:ascii="仿宋_GB2312" w:eastAsia="仿宋_GB2312" w:cs="Courier New"/>
          <w:kern w:val="2"/>
          <w:sz w:val="24"/>
          <w:szCs w:val="24"/>
          <w:highlight w:val="none"/>
          <w:lang w:val="en-US" w:eastAsia="zh-CN" w:bidi="ar-SA"/>
        </w:rPr>
        <w:t>澄清、说明或者补正</w:t>
      </w:r>
      <w:r>
        <w:rPr>
          <w:rFonts w:hint="eastAsia" w:ascii="仿宋_GB2312" w:eastAsia="仿宋_GB2312" w:cs="Courier New" w:hAnsiTheme="minorHAnsi"/>
          <w:kern w:val="2"/>
          <w:sz w:val="24"/>
          <w:szCs w:val="24"/>
          <w:highlight w:val="none"/>
          <w:lang w:val="en-US" w:eastAsia="zh-CN" w:bidi="ar-SA"/>
        </w:rPr>
        <w:t>后投标文件仍不符合招标文件要求的。</w:t>
      </w:r>
    </w:p>
    <w:p>
      <w:pPr>
        <w:snapToGrid w:val="0"/>
        <w:spacing w:line="370" w:lineRule="exact"/>
        <w:ind w:firstLine="482" w:firstLineChars="200"/>
        <w:rPr>
          <w:rFonts w:ascii="仿宋_GB2312" w:eastAsia="仿宋_GB2312"/>
          <w:b/>
          <w:sz w:val="24"/>
        </w:rPr>
      </w:pPr>
      <w:r>
        <w:rPr>
          <w:rFonts w:hint="eastAsia" w:ascii="仿宋_GB2312" w:eastAsia="仿宋_GB2312"/>
          <w:b/>
          <w:sz w:val="24"/>
        </w:rPr>
        <w:t>29.错误修正</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29.1投标文件报价出现前后不一致的，除招标文件另有规定外，按照下列规定修正：</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（1）投标文件中开标一览表（报价表）内容与投标文件中相应内容不一致的，以开标一览表（报价表）为准；</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（2）大写金额和小写金额不一致的，以大写金额为准；</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（3）单价金额小数点或者百分比有明显错位的，以开标一览表的总价为准，并修改单价；</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（4）总价金额与按单价汇总金额不一致的，以单价金额计算结果为准。</w:t>
      </w:r>
    </w:p>
    <w:p>
      <w:pPr>
        <w:snapToGrid w:val="0"/>
        <w:spacing w:line="370" w:lineRule="exact"/>
        <w:ind w:firstLine="420"/>
        <w:jc w:val="left"/>
        <w:rPr>
          <w:rFonts w:ascii="仿宋_GB2312" w:eastAsia="仿宋_GB2312" w:cs="Courier New"/>
          <w:b/>
          <w:sz w:val="24"/>
        </w:rPr>
      </w:pPr>
      <w:r>
        <w:rPr>
          <w:rFonts w:hint="eastAsia" w:ascii="仿宋_GB2312" w:eastAsia="仿宋_GB2312" w:cs="Courier New"/>
          <w:b/>
          <w:sz w:val="24"/>
        </w:rPr>
        <w:t>同时出现两种以上不一致的，按照前款规定的顺序修正。评标委员会通过广西政府采购云平台发起询标函，投标人在规定时间内通过广西政府采购云平台确认，投标人的确认应当加盖投标人CA电子签章。修正后的报价按照87号令第五十一条第二款的规定经投标人确认后产生约束力，投标人不确认的，其投标无效。</w:t>
      </w:r>
    </w:p>
    <w:p>
      <w:pPr>
        <w:pStyle w:val="26"/>
        <w:tabs>
          <w:tab w:val="left" w:pos="630"/>
        </w:tabs>
        <w:snapToGrid w:val="0"/>
        <w:spacing w:line="37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30.评标原则和评标方法</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30.1评标原则。评标委员会必须公平、公正、客观，不带任何倾向性和启发性；不得向外界透露任何与评标有关的内容；任何单位和个人不得干扰、影响评标的正常进行；评标委员会及有关工作人员不得私下与投标人接触。</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30.2本项目评标方法是综合评分法，具体评标内容及评标标准等详见第四章：评标方法及评标标准。</w:t>
      </w:r>
    </w:p>
    <w:p>
      <w:pPr>
        <w:pStyle w:val="26"/>
        <w:snapToGrid w:val="0"/>
        <w:spacing w:line="37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31.评标过程的监控</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31.1本项目评标过程实行全程录音、录像监控（或政府采购监督管理部门工作人员进行现场监督），投标人在评标过程中所进行的试图影响评标结果的不公正活动，可能导致其投标被拒绝。</w:t>
      </w:r>
    </w:p>
    <w:p>
      <w:pPr>
        <w:pStyle w:val="26"/>
        <w:snapToGrid w:val="0"/>
        <w:spacing w:line="370" w:lineRule="exact"/>
        <w:ind w:firstLine="482" w:firstLineChars="200"/>
        <w:rPr>
          <w:rFonts w:hint="eastAsia" w:ascii="仿宋_GB2312" w:hAnsi="宋体" w:eastAsia="仿宋_GB2312"/>
          <w:sz w:val="24"/>
          <w:szCs w:val="24"/>
        </w:rPr>
      </w:pPr>
      <w:r>
        <w:rPr>
          <w:rFonts w:hint="eastAsia" w:ascii="仿宋_GB2312" w:hAnsi="宋体" w:eastAsia="仿宋_GB2312"/>
          <w:b/>
          <w:sz w:val="24"/>
          <w:szCs w:val="24"/>
        </w:rPr>
        <w:t>七、评标结果</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32.采购人或者采购代理机构核对评标结果。</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33.采购人或者采购代理机构在公告中标结果的同时，对未通过资格审查的投标人，应当告知其未通过的原因；采用综合评分法评审的，还应当告知未中标人本人的评审得分与排序。</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34.采购人或者采购代理机构在评标结束后2个工作日内将评标报告送采购人，采购人在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35.采购人或采购代理机构应当自中标人确定之日起2个工作日内，在中国政府采购网、广西壮族自治区政府采购网、柳州市政府采购网发布中标公告。在发布中标公告的同时，向中标人发出中标通知书。</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36.在中标通知书发出前，采购人或采购代理机构应当对中标人信用进行查询，并按照信用信息使用规则处理。</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37.投标人对中标公告有异议的，应当在中标公告</w:t>
      </w:r>
      <w:r>
        <w:rPr>
          <w:rFonts w:hint="eastAsia" w:ascii="仿宋_GB2312" w:hAnsi="宋体" w:eastAsia="仿宋_GB2312"/>
          <w:bCs/>
          <w:sz w:val="24"/>
        </w:rPr>
        <w:t>期限届满</w:t>
      </w:r>
      <w:r>
        <w:rPr>
          <w:rFonts w:hint="eastAsia" w:ascii="仿宋_GB2312" w:eastAsia="仿宋_GB2312" w:cs="Courier New"/>
          <w:sz w:val="24"/>
        </w:rPr>
        <w:t>之日起七个工作日内，以书面形式向采购人或采购代理机构提出质疑，并及时索要书面回执。</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38.采购人或采购代理机构（采购代理机构应当按照有关规定就采购人委托授权范围内的事项）在收到投标人的书面质疑后七个工作日内作出答复，但答复的内容不得涉及商业秘密。</w:t>
      </w:r>
    </w:p>
    <w:p>
      <w:pPr>
        <w:pStyle w:val="26"/>
        <w:snapToGrid w:val="0"/>
        <w:spacing w:line="370" w:lineRule="exact"/>
        <w:ind w:firstLine="472" w:firstLineChars="196"/>
        <w:rPr>
          <w:rFonts w:hint="eastAsia" w:ascii="仿宋_GB2312" w:hAnsi="宋体" w:eastAsia="仿宋_GB2312"/>
          <w:b/>
          <w:sz w:val="24"/>
          <w:szCs w:val="24"/>
        </w:rPr>
      </w:pPr>
      <w:bookmarkStart w:id="76" w:name="_Toc254970547"/>
      <w:bookmarkStart w:id="77" w:name="_Toc254970688"/>
      <w:r>
        <w:rPr>
          <w:rFonts w:hint="eastAsia" w:ascii="仿宋_GB2312" w:hAnsi="宋体" w:eastAsia="仿宋_GB2312"/>
          <w:b/>
          <w:sz w:val="24"/>
          <w:szCs w:val="24"/>
        </w:rPr>
        <w:t>八、</w:t>
      </w:r>
      <w:bookmarkEnd w:id="76"/>
      <w:bookmarkEnd w:id="77"/>
      <w:r>
        <w:rPr>
          <w:rFonts w:hint="eastAsia" w:ascii="仿宋_GB2312" w:hAnsi="宋体" w:eastAsia="仿宋_GB2312"/>
          <w:b/>
          <w:sz w:val="24"/>
          <w:szCs w:val="24"/>
        </w:rPr>
        <w:t>签订合同</w:t>
      </w:r>
    </w:p>
    <w:p>
      <w:pPr>
        <w:pStyle w:val="26"/>
        <w:snapToGrid w:val="0"/>
        <w:spacing w:line="370" w:lineRule="exact"/>
        <w:ind w:firstLine="472" w:firstLineChars="196"/>
        <w:rPr>
          <w:rFonts w:hint="eastAsia" w:ascii="仿宋_GB2312" w:hAnsi="宋体" w:eastAsia="仿宋_GB2312"/>
          <w:b/>
          <w:bCs/>
          <w:sz w:val="24"/>
          <w:szCs w:val="24"/>
        </w:rPr>
      </w:pPr>
      <w:r>
        <w:rPr>
          <w:rFonts w:hint="eastAsia" w:ascii="仿宋_GB2312" w:hAnsi="宋体" w:eastAsia="仿宋_GB2312"/>
          <w:b/>
          <w:sz w:val="24"/>
          <w:szCs w:val="24"/>
        </w:rPr>
        <w:t>39.合同授予标准</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39.1合同将授予被确定实质上响应招标文件要求，具备履行合同能力，综合评分排名第一的投标人。</w:t>
      </w:r>
    </w:p>
    <w:p>
      <w:pPr>
        <w:snapToGrid w:val="0"/>
        <w:spacing w:line="370" w:lineRule="exact"/>
        <w:ind w:firstLine="420"/>
        <w:jc w:val="left"/>
        <w:rPr>
          <w:rFonts w:ascii="仿宋_GB2312" w:eastAsia="仿宋_GB2312" w:cs="Courier New"/>
          <w:b/>
          <w:bCs/>
          <w:sz w:val="24"/>
        </w:rPr>
      </w:pPr>
      <w:r>
        <w:rPr>
          <w:rFonts w:hint="eastAsia" w:ascii="仿宋_GB2312" w:eastAsia="仿宋_GB2312" w:cs="Courier New"/>
          <w:b/>
          <w:bCs/>
          <w:sz w:val="24"/>
        </w:rPr>
        <w:t>40.签订合同</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40.1中标人接到中标通知书后，应按有关规定与采购人签订合同。</w:t>
      </w:r>
    </w:p>
    <w:p>
      <w:pPr>
        <w:snapToGrid w:val="0"/>
        <w:spacing w:line="360" w:lineRule="exact"/>
        <w:ind w:right="-470" w:rightChars="-224" w:firstLine="420"/>
        <w:jc w:val="left"/>
        <w:rPr>
          <w:rFonts w:ascii="仿宋_GB2312" w:eastAsia="仿宋_GB2312" w:cs="Courier New"/>
          <w:sz w:val="24"/>
        </w:rPr>
        <w:sectPr>
          <w:pgSz w:w="11906" w:h="16838"/>
          <w:pgMar w:top="1440" w:right="1440" w:bottom="1440" w:left="1440" w:header="851" w:footer="992" w:gutter="0"/>
          <w:cols w:space="720" w:num="1"/>
          <w:docGrid w:linePitch="312" w:charSpace="0"/>
        </w:sectPr>
      </w:pPr>
      <w:r>
        <w:rPr>
          <w:rFonts w:hint="eastAsia" w:ascii="仿宋_GB2312" w:eastAsia="仿宋_GB2312" w:cs="Courier New"/>
          <w:sz w:val="24"/>
        </w:rPr>
        <w:t>40.2中标人因不可抗力或者自身原因不能履行采购合同的，采购人或采购代理机构应将该情况报政府采购监督管理部门，从合格的中标候选人中另行确定中标人或重新开展政府采购活动</w:t>
      </w:r>
      <w:bookmarkEnd w:id="59"/>
      <w:r>
        <w:rPr>
          <w:rFonts w:hint="eastAsia" w:ascii="仿宋_GB2312" w:eastAsia="仿宋_GB2312" w:cs="Courier New"/>
          <w:sz w:val="24"/>
        </w:rPr>
        <w:t>。</w:t>
      </w:r>
      <w:bookmarkStart w:id="78" w:name="_Toc254970689"/>
      <w:bookmarkStart w:id="79" w:name="_Toc254970548"/>
      <w:bookmarkStart w:id="80" w:name="_Toc497578452"/>
    </w:p>
    <w:p/>
    <w:p/>
    <w:p/>
    <w:p/>
    <w:p/>
    <w:p/>
    <w:p/>
    <w:p/>
    <w:p/>
    <w:p/>
    <w:p/>
    <w:p/>
    <w:p/>
    <w:p/>
    <w:p/>
    <w:p/>
    <w:p/>
    <w:p>
      <w:pPr>
        <w:pStyle w:val="3"/>
        <w:jc w:val="center"/>
        <w:rPr>
          <w:sz w:val="30"/>
          <w:szCs w:val="30"/>
        </w:rPr>
      </w:pPr>
      <w:bookmarkStart w:id="81" w:name="_Toc27328"/>
      <w:r>
        <w:rPr>
          <w:rFonts w:hint="eastAsia"/>
          <w:sz w:val="30"/>
          <w:szCs w:val="30"/>
        </w:rPr>
        <w:t xml:space="preserve">第四章 </w:t>
      </w:r>
      <w:bookmarkEnd w:id="78"/>
      <w:bookmarkEnd w:id="79"/>
      <w:r>
        <w:rPr>
          <w:rFonts w:hint="eastAsia"/>
          <w:sz w:val="30"/>
          <w:szCs w:val="30"/>
        </w:rPr>
        <w:t>评标方法及评标标准</w:t>
      </w:r>
      <w:bookmarkEnd w:id="80"/>
      <w:bookmarkEnd w:id="81"/>
      <w:r>
        <w:tab/>
      </w:r>
    </w:p>
    <w:p>
      <w:pPr>
        <w:tabs>
          <w:tab w:val="left" w:pos="3055"/>
        </w:tabs>
        <w:jc w:val="center"/>
        <w:rPr>
          <w:b/>
          <w:sz w:val="30"/>
          <w:szCs w:val="30"/>
        </w:rPr>
      </w:pPr>
      <w:r>
        <w:br w:type="page"/>
      </w:r>
      <w:r>
        <w:rPr>
          <w:rFonts w:hint="eastAsia" w:ascii="宋体" w:hAnsi="宋体" w:cs="Courier New"/>
          <w:b/>
          <w:bCs/>
          <w:color w:val="000000"/>
          <w:sz w:val="32"/>
          <w:szCs w:val="32"/>
        </w:rPr>
        <w:t>评标方法及评标标准</w:t>
      </w:r>
    </w:p>
    <w:p>
      <w:pPr>
        <w:spacing w:line="390" w:lineRule="exact"/>
        <w:ind w:right="-168" w:rightChars="-80" w:firstLine="482" w:firstLineChars="200"/>
        <w:rPr>
          <w:rFonts w:ascii="仿宋_GB2312" w:eastAsia="仿宋_GB2312"/>
          <w:b/>
          <w:bCs/>
          <w:sz w:val="24"/>
        </w:rPr>
      </w:pPr>
      <w:r>
        <w:rPr>
          <w:rFonts w:hint="eastAsia" w:ascii="仿宋_GB2312" w:eastAsia="仿宋_GB2312"/>
          <w:b/>
          <w:bCs/>
          <w:sz w:val="24"/>
        </w:rPr>
        <w:t>一、评标原则</w:t>
      </w:r>
    </w:p>
    <w:p>
      <w:pPr>
        <w:spacing w:line="390" w:lineRule="exact"/>
        <w:ind w:right="-168" w:rightChars="-80"/>
        <w:rPr>
          <w:rFonts w:ascii="仿宋_GB2312" w:eastAsia="仿宋_GB2312"/>
          <w:sz w:val="24"/>
        </w:rPr>
      </w:pPr>
      <w:r>
        <w:rPr>
          <w:rFonts w:hint="eastAsia" w:ascii="仿宋_GB2312" w:eastAsia="仿宋_GB2312"/>
          <w:sz w:val="24"/>
        </w:rPr>
        <w:t xml:space="preserve">    （一）评委构成：本招标采购项目的评委分别由依法组成的评审专家、采购人代表共</w:t>
      </w:r>
      <w:r>
        <w:rPr>
          <w:rFonts w:hint="eastAsia" w:ascii="仿宋_GB2312" w:eastAsia="仿宋_GB2312"/>
          <w:sz w:val="24"/>
          <w:lang w:val="en-US" w:eastAsia="zh-CN"/>
        </w:rPr>
        <w:t>七</w:t>
      </w:r>
      <w:r>
        <w:rPr>
          <w:rFonts w:hint="eastAsia" w:ascii="仿宋_GB2312" w:eastAsia="仿宋_GB2312"/>
          <w:sz w:val="24"/>
        </w:rPr>
        <w:t>人或以上单数构成，其中专家人数不少于评标委员会成员总数的三分之二。</w:t>
      </w:r>
    </w:p>
    <w:p>
      <w:pPr>
        <w:spacing w:line="390" w:lineRule="exact"/>
        <w:ind w:right="-168" w:rightChars="-80" w:firstLine="435"/>
        <w:rPr>
          <w:rFonts w:ascii="仿宋_GB2312" w:eastAsia="仿宋_GB2312"/>
          <w:b/>
          <w:sz w:val="24"/>
        </w:rPr>
      </w:pPr>
      <w:r>
        <w:rPr>
          <w:rFonts w:hint="eastAsia" w:ascii="仿宋_GB2312" w:eastAsia="仿宋_GB2312"/>
          <w:b/>
          <w:sz w:val="24"/>
        </w:rPr>
        <w:t>（二）评标依据：评委将以招投标文件为评标依据，对投标人的价格、服务方案、信誉、业绩等方面按百分制打分。</w:t>
      </w:r>
    </w:p>
    <w:p>
      <w:pPr>
        <w:spacing w:line="390" w:lineRule="exact"/>
        <w:ind w:right="-168" w:rightChars="-80" w:firstLine="435"/>
        <w:rPr>
          <w:rFonts w:ascii="仿宋_GB2312" w:eastAsia="仿宋_GB2312"/>
          <w:sz w:val="24"/>
        </w:rPr>
      </w:pPr>
      <w:r>
        <w:rPr>
          <w:rFonts w:hint="eastAsia" w:ascii="仿宋_GB2312" w:eastAsia="仿宋_GB2312"/>
          <w:sz w:val="24"/>
        </w:rPr>
        <w:t>（三）评标方式：以封闭方式进行。</w:t>
      </w:r>
    </w:p>
    <w:p>
      <w:pPr>
        <w:spacing w:line="390" w:lineRule="exact"/>
        <w:ind w:right="-168" w:rightChars="-80" w:firstLine="435"/>
        <w:rPr>
          <w:rFonts w:hint="eastAsia" w:ascii="仿宋_GB2312" w:eastAsia="仿宋_GB2312"/>
          <w:sz w:val="24"/>
        </w:rPr>
      </w:pPr>
      <w:r>
        <w:rPr>
          <w:rFonts w:hint="eastAsia" w:ascii="仿宋_GB2312" w:eastAsia="仿宋_GB2312"/>
          <w:sz w:val="24"/>
        </w:rPr>
        <w:t>（四）在政府采购评审中出现下列情形之一的，</w:t>
      </w:r>
      <w:r>
        <w:rPr>
          <w:rFonts w:hint="eastAsia" w:ascii="仿宋_GB2312" w:eastAsia="仿宋_GB2312"/>
          <w:sz w:val="24"/>
          <w:lang w:eastAsia="zh-CN"/>
        </w:rPr>
        <w:t>评标委员会</w:t>
      </w:r>
      <w:r>
        <w:rPr>
          <w:rFonts w:hint="eastAsia" w:ascii="仿宋_GB2312" w:eastAsia="仿宋_GB2312"/>
          <w:sz w:val="24"/>
        </w:rPr>
        <w:t>应当启动异常低价投标审查程序：</w:t>
      </w:r>
    </w:p>
    <w:p>
      <w:pPr>
        <w:spacing w:line="390" w:lineRule="exact"/>
        <w:ind w:right="-168" w:rightChars="-80" w:firstLine="435"/>
        <w:rPr>
          <w:rFonts w:hint="eastAsia" w:ascii="仿宋_GB2312" w:eastAsia="仿宋_GB2312"/>
          <w:sz w:val="24"/>
        </w:rPr>
      </w:pPr>
      <w:r>
        <w:rPr>
          <w:rFonts w:hint="eastAsia" w:ascii="仿宋_GB2312" w:eastAsia="仿宋_GB2312"/>
          <w:sz w:val="24"/>
        </w:rPr>
        <w:t>1.投标报价低于全部通过符合性审查投标人投标报价平均值50%的，即投标报价&lt;全部通过符合性审查投标人投标报价平均值×50%；</w:t>
      </w:r>
    </w:p>
    <w:p>
      <w:pPr>
        <w:spacing w:line="390" w:lineRule="exact"/>
        <w:ind w:right="-168" w:rightChars="-80" w:firstLine="435"/>
        <w:rPr>
          <w:rFonts w:hint="eastAsia" w:ascii="仿宋_GB2312" w:eastAsia="仿宋_GB2312"/>
          <w:sz w:val="24"/>
        </w:rPr>
      </w:pPr>
      <w:r>
        <w:rPr>
          <w:rFonts w:hint="eastAsia" w:ascii="仿宋_GB2312" w:eastAsia="仿宋_GB2312"/>
          <w:sz w:val="24"/>
        </w:rPr>
        <w:t>2.投标报价低于通过符合性审查的次低报价投标人投标报价50%的，即投标报价&lt;通过符合性审查的次低报价投标人投标报价×50%；</w:t>
      </w:r>
    </w:p>
    <w:p>
      <w:pPr>
        <w:spacing w:line="390" w:lineRule="exact"/>
        <w:ind w:right="-168" w:rightChars="-80" w:firstLine="435"/>
        <w:rPr>
          <w:rFonts w:hint="eastAsia" w:ascii="仿宋_GB2312" w:eastAsia="仿宋_GB2312"/>
          <w:sz w:val="24"/>
        </w:rPr>
      </w:pPr>
      <w:r>
        <w:rPr>
          <w:rFonts w:hint="eastAsia" w:ascii="仿宋_GB2312" w:eastAsia="仿宋_GB2312"/>
          <w:sz w:val="24"/>
        </w:rPr>
        <w:t>3.投标报价低于采购项目最高限价45%的，即投标报价&lt;采购项目最高限价×45%；</w:t>
      </w:r>
    </w:p>
    <w:p>
      <w:pPr>
        <w:spacing w:line="390" w:lineRule="exact"/>
        <w:ind w:right="-168" w:rightChars="-80" w:firstLine="435"/>
        <w:rPr>
          <w:rFonts w:hint="eastAsia" w:ascii="仿宋_GB2312" w:eastAsia="仿宋_GB2312"/>
          <w:sz w:val="24"/>
        </w:rPr>
      </w:pPr>
      <w:r>
        <w:rPr>
          <w:rFonts w:hint="eastAsia" w:ascii="仿宋_GB2312" w:eastAsia="仿宋_GB2312"/>
          <w:sz w:val="24"/>
        </w:rPr>
        <w:t>4.</w:t>
      </w:r>
      <w:r>
        <w:rPr>
          <w:rFonts w:hint="eastAsia" w:ascii="仿宋_GB2312" w:eastAsia="仿宋_GB2312"/>
          <w:sz w:val="24"/>
          <w:lang w:eastAsia="zh-CN"/>
        </w:rPr>
        <w:t>评标委员会</w:t>
      </w:r>
      <w:r>
        <w:rPr>
          <w:rFonts w:hint="eastAsia" w:ascii="仿宋_GB2312" w:eastAsia="仿宋_GB2312"/>
          <w:sz w:val="24"/>
        </w:rPr>
        <w:t>基于专业判断，认为投标人报价过低，有可能影响产品质量或者不能诚信履约的其他情形。</w:t>
      </w:r>
    </w:p>
    <w:p>
      <w:pPr>
        <w:spacing w:line="390" w:lineRule="exact"/>
        <w:ind w:right="-168" w:rightChars="-80" w:firstLine="435"/>
        <w:rPr>
          <w:rFonts w:hint="eastAsia" w:ascii="仿宋_GB2312" w:eastAsia="仿宋_GB2312"/>
          <w:sz w:val="24"/>
        </w:rPr>
      </w:pPr>
      <w:r>
        <w:rPr>
          <w:rFonts w:hint="eastAsia" w:ascii="仿宋_GB2312" w:eastAsia="仿宋_GB2312"/>
          <w:sz w:val="24"/>
          <w:lang w:eastAsia="zh-CN"/>
        </w:rPr>
        <w:t>评标委员会</w:t>
      </w:r>
      <w:r>
        <w:rPr>
          <w:rFonts w:hint="eastAsia" w:ascii="仿宋_GB2312" w:eastAsia="仿宋_GB2312"/>
          <w:sz w:val="24"/>
        </w:rPr>
        <w:t>启动异常低价投标审查后，属于前述第1项至第4项情形的，应当要求相关投标人在评审现场合理的时间内对投标价格作出解释，提供项目具体成本测算等与报价合理性相关的书面说明及必要的证明材料，包括但不限于原材料成本、人工成本、制造费用等，给予相关投标人的合理时间一般不少于30分钟。其中，属于第3项情形，投标人已随投标文件一并提交相关书面说明及必要的证明材料的，在评审现场可不再重复提交。</w:t>
      </w:r>
    </w:p>
    <w:p>
      <w:pPr>
        <w:spacing w:line="390" w:lineRule="exact"/>
        <w:ind w:right="-168" w:rightChars="-80" w:firstLine="435"/>
        <w:rPr>
          <w:rFonts w:ascii="仿宋_GB2312" w:eastAsia="仿宋_GB2312"/>
          <w:sz w:val="24"/>
        </w:rPr>
      </w:pPr>
      <w:r>
        <w:rPr>
          <w:rFonts w:hint="eastAsia" w:ascii="仿宋_GB2312" w:eastAsia="仿宋_GB2312"/>
          <w:sz w:val="24"/>
        </w:rPr>
        <w:t>投标人不能提供书面说明、证明材料，或者提供的书面说明、证明材料不能证明其报价合理性的，</w:t>
      </w:r>
      <w:r>
        <w:rPr>
          <w:rFonts w:hint="eastAsia" w:ascii="仿宋_GB2312" w:eastAsia="仿宋_GB2312"/>
          <w:sz w:val="24"/>
          <w:lang w:eastAsia="zh-CN"/>
        </w:rPr>
        <w:t>评标委员会</w:t>
      </w:r>
      <w:r>
        <w:rPr>
          <w:rFonts w:hint="eastAsia" w:ascii="仿宋_GB2312" w:eastAsia="仿宋_GB2312"/>
          <w:sz w:val="24"/>
        </w:rPr>
        <w:t xml:space="preserve">应当将其作为无效投标处理。  </w:t>
      </w:r>
    </w:p>
    <w:p>
      <w:pPr>
        <w:spacing w:line="390" w:lineRule="exact"/>
        <w:ind w:right="-168" w:rightChars="-80" w:firstLine="435"/>
        <w:rPr>
          <w:rFonts w:ascii="仿宋_GB2312" w:eastAsia="仿宋_GB2312"/>
          <w:b/>
          <w:bCs/>
          <w:sz w:val="24"/>
        </w:rPr>
      </w:pPr>
      <w:r>
        <w:rPr>
          <w:rFonts w:hint="eastAsia" w:ascii="仿宋_GB2312" w:eastAsia="仿宋_GB2312"/>
          <w:b/>
          <w:bCs/>
          <w:sz w:val="24"/>
        </w:rPr>
        <w:t>二、评标方法</w:t>
      </w:r>
      <w:r>
        <w:rPr>
          <w:rFonts w:ascii="仿宋_GB2312" w:eastAsia="仿宋_GB2312"/>
          <w:b/>
          <w:bCs/>
          <w:sz w:val="24"/>
        </w:rPr>
        <w:tab/>
      </w:r>
    </w:p>
    <w:p>
      <w:pPr>
        <w:spacing w:line="390" w:lineRule="exact"/>
        <w:ind w:right="-168" w:rightChars="-80" w:firstLine="435"/>
        <w:rPr>
          <w:rFonts w:ascii="仿宋_GB2312" w:eastAsia="仿宋_GB2312"/>
          <w:sz w:val="24"/>
        </w:rPr>
      </w:pPr>
      <w:r>
        <w:rPr>
          <w:rFonts w:hint="eastAsia" w:ascii="仿宋_GB2312" w:eastAsia="仿宋_GB2312"/>
          <w:sz w:val="24"/>
        </w:rPr>
        <w:t>（一）对进入详评的，采用百分制综合评分法。</w:t>
      </w:r>
    </w:p>
    <w:p>
      <w:pPr>
        <w:spacing w:line="400" w:lineRule="atLeast"/>
        <w:ind w:firstLine="480" w:firstLineChars="200"/>
        <w:jc w:val="left"/>
        <w:rPr>
          <w:rFonts w:hint="eastAsia" w:ascii="仿宋_GB2312" w:hAnsi="宋体" w:eastAsia="仿宋_GB2312"/>
          <w:color w:val="000000"/>
          <w:sz w:val="24"/>
        </w:rPr>
      </w:pPr>
      <w:r>
        <w:rPr>
          <w:rFonts w:hint="eastAsia" w:ascii="仿宋_GB2312" w:eastAsia="仿宋_GB2312"/>
          <w:sz w:val="24"/>
        </w:rPr>
        <w:t>（二）计分办法（分值计算保留小数点后两位，第三位四舍五入）</w:t>
      </w:r>
      <w:r>
        <w:rPr>
          <w:rFonts w:hint="eastAsia" w:ascii="仿宋_GB2312" w:hAnsi="宋体" w:eastAsia="仿宋_GB2312"/>
          <w:color w:val="000000"/>
          <w:sz w:val="24"/>
        </w:rPr>
        <w:t>：</w:t>
      </w:r>
    </w:p>
    <w:tbl>
      <w:tblPr>
        <w:tblStyle w:val="48"/>
        <w:tblpPr w:leftFromText="180" w:rightFromText="180" w:vertAnchor="text" w:horzAnchor="page" w:tblpX="986" w:tblpY="590"/>
        <w:tblOverlap w:val="never"/>
        <w:tblW w:w="1084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3"/>
        <w:gridCol w:w="1134"/>
        <w:gridCol w:w="6213"/>
        <w:gridCol w:w="1034"/>
        <w:gridCol w:w="14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3" w:hRule="atLeast"/>
        </w:trPr>
        <w:tc>
          <w:tcPr>
            <w:tcW w:w="10841" w:type="dxa"/>
            <w:gridSpan w:val="5"/>
            <w:shd w:val="clear" w:color="auto" w:fill="D7D7D7"/>
            <w:noWrap w:val="0"/>
            <w:vAlign w:val="center"/>
          </w:tcPr>
          <w:p>
            <w:pPr>
              <w:spacing w:line="390" w:lineRule="exact"/>
              <w:ind w:right="-168" w:rightChars="-80"/>
              <w:jc w:val="center"/>
              <w:rPr>
                <w:rFonts w:ascii="仿宋_GB2312" w:eastAsia="仿宋_GB2312"/>
                <w:b/>
                <w:sz w:val="24"/>
                <w:highlight w:val="none"/>
              </w:rPr>
            </w:pPr>
            <w:r>
              <w:rPr>
                <w:rFonts w:hint="eastAsia" w:ascii="仿宋_GB2312" w:eastAsia="仿宋_GB2312"/>
                <w:b/>
                <w:sz w:val="32"/>
                <w:highlight w:val="none"/>
              </w:rPr>
              <w:t>客观分</w:t>
            </w:r>
            <w:r>
              <w:rPr>
                <w:rFonts w:ascii="仿宋_GB2312" w:eastAsia="仿宋_GB2312"/>
                <w:b/>
                <w:sz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3" w:type="dxa"/>
            <w:noWrap w:val="0"/>
            <w:vAlign w:val="center"/>
          </w:tcPr>
          <w:p>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评分项</w:t>
            </w:r>
          </w:p>
        </w:tc>
        <w:tc>
          <w:tcPr>
            <w:tcW w:w="1134" w:type="dxa"/>
            <w:noWrap w:val="0"/>
            <w:vAlign w:val="center"/>
          </w:tcPr>
          <w:p>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评审因素</w:t>
            </w:r>
          </w:p>
        </w:tc>
        <w:tc>
          <w:tcPr>
            <w:tcW w:w="6213" w:type="dxa"/>
            <w:noWrap w:val="0"/>
            <w:vAlign w:val="center"/>
          </w:tcPr>
          <w:p>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评分标准说明</w:t>
            </w:r>
          </w:p>
        </w:tc>
        <w:tc>
          <w:tcPr>
            <w:tcW w:w="1034" w:type="dxa"/>
            <w:noWrap w:val="0"/>
            <w:vAlign w:val="center"/>
          </w:tcPr>
          <w:p>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分值</w:t>
            </w:r>
          </w:p>
        </w:tc>
        <w:tc>
          <w:tcPr>
            <w:tcW w:w="1467" w:type="dxa"/>
            <w:noWrap w:val="0"/>
            <w:vAlign w:val="center"/>
          </w:tcPr>
          <w:p>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对应的投标文件格式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993" w:type="dxa"/>
            <w:noWrap w:val="0"/>
            <w:vAlign w:val="center"/>
          </w:tcPr>
          <w:p>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价格分</w:t>
            </w:r>
          </w:p>
        </w:tc>
        <w:tc>
          <w:tcPr>
            <w:tcW w:w="1134" w:type="dxa"/>
            <w:noWrap w:val="0"/>
            <w:vAlign w:val="center"/>
          </w:tcPr>
          <w:p>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价格</w:t>
            </w:r>
          </w:p>
        </w:tc>
        <w:tc>
          <w:tcPr>
            <w:tcW w:w="6213" w:type="dxa"/>
            <w:noWrap w:val="0"/>
            <w:vAlign w:val="center"/>
          </w:tcPr>
          <w:p>
            <w:pPr>
              <w:spacing w:line="380" w:lineRule="exact"/>
              <w:ind w:firstLine="420" w:firstLineChars="200"/>
              <w:jc w:val="left"/>
              <w:rPr>
                <w:rFonts w:ascii="仿宋_GB2312" w:hAnsi="仿宋_GB2312" w:eastAsia="仿宋_GB2312" w:cs="仿宋_GB2312"/>
                <w:highlight w:val="none"/>
              </w:rPr>
            </w:pPr>
            <w:r>
              <w:rPr>
                <w:rFonts w:hint="eastAsia" w:ascii="仿宋_GB2312" w:hAnsi="仿宋_GB2312" w:eastAsia="仿宋_GB2312" w:cs="仿宋_GB2312"/>
                <w:highlight w:val="none"/>
              </w:rPr>
              <w:t>1.满足招标文件要求且投标价格最低的投标报价为评标基准价，其投标人的报价分为最高分</w:t>
            </w:r>
            <w:r>
              <w:rPr>
                <w:rFonts w:hint="eastAsia" w:ascii="仿宋_GB2312" w:hAnsi="仿宋_GB2312" w:eastAsia="仿宋_GB2312" w:cs="仿宋_GB2312"/>
                <w:highlight w:val="none"/>
                <w:lang w:val="en-US" w:eastAsia="zh-CN"/>
              </w:rPr>
              <w:t>20</w:t>
            </w:r>
            <w:r>
              <w:rPr>
                <w:rFonts w:hint="eastAsia" w:ascii="仿宋_GB2312" w:hAnsi="仿宋_GB2312" w:eastAsia="仿宋_GB2312" w:cs="仿宋_GB2312"/>
                <w:highlight w:val="none"/>
              </w:rPr>
              <w:t>分；</w:t>
            </w:r>
          </w:p>
          <w:p>
            <w:pPr>
              <w:spacing w:line="380" w:lineRule="exact"/>
              <w:ind w:firstLine="420" w:firstLineChars="200"/>
              <w:jc w:val="left"/>
              <w:rPr>
                <w:rFonts w:ascii="仿宋_GB2312" w:hAnsi="仿宋_GB2312" w:eastAsia="仿宋_GB2312" w:cs="仿宋_GB2312"/>
                <w:highlight w:val="none"/>
              </w:rPr>
            </w:pPr>
            <w:r>
              <w:rPr>
                <w:rFonts w:hint="eastAsia" w:ascii="仿宋_GB2312" w:hAnsi="仿宋_GB2312" w:eastAsia="仿宋_GB2312" w:cs="仿宋_GB2312"/>
                <w:highlight w:val="none"/>
              </w:rPr>
              <w:t>2.其他投标人的报价得分按以下公式计算：</w:t>
            </w:r>
          </w:p>
          <w:p>
            <w:pPr>
              <w:spacing w:line="380" w:lineRule="exact"/>
              <w:ind w:firstLine="420" w:firstLineChars="200"/>
              <w:jc w:val="left"/>
              <w:rPr>
                <w:rFonts w:ascii="仿宋_GB2312" w:hAnsi="仿宋_GB2312" w:eastAsia="仿宋_GB2312" w:cs="仿宋_GB2312"/>
                <w:highlight w:val="none"/>
              </w:rPr>
            </w:pPr>
            <w:r>
              <w:rPr>
                <w:rFonts w:hint="eastAsia" w:ascii="仿宋_GB2312" w:hAnsi="仿宋_GB2312" w:eastAsia="仿宋_GB2312" w:cs="仿宋_GB2312"/>
                <w:highlight w:val="none"/>
              </w:rPr>
              <w:t>报价得分=（评标基准价／某投标人投标报价）×</w:t>
            </w:r>
            <w:r>
              <w:rPr>
                <w:rFonts w:hint="eastAsia" w:ascii="仿宋_GB2312" w:hAnsi="仿宋_GB2312" w:eastAsia="仿宋_GB2312" w:cs="仿宋_GB2312"/>
                <w:highlight w:val="none"/>
                <w:lang w:val="en-US" w:eastAsia="zh-CN"/>
              </w:rPr>
              <w:t>20</w:t>
            </w:r>
            <w:r>
              <w:rPr>
                <w:rFonts w:hint="eastAsia" w:ascii="仿宋_GB2312" w:hAnsi="仿宋_GB2312" w:eastAsia="仿宋_GB2312" w:cs="仿宋_GB2312"/>
                <w:highlight w:val="none"/>
              </w:rPr>
              <w:t>分；</w:t>
            </w:r>
          </w:p>
          <w:p>
            <w:pPr>
              <w:spacing w:line="380" w:lineRule="exact"/>
              <w:ind w:firstLine="422" w:firstLineChars="200"/>
              <w:jc w:val="left"/>
              <w:rPr>
                <w:rFonts w:ascii="仿宋_GB2312" w:hAnsi="仿宋_GB2312" w:eastAsia="仿宋_GB2312" w:cs="仿宋_GB2312"/>
                <w:b/>
                <w:highlight w:val="none"/>
              </w:rPr>
            </w:pPr>
            <w:r>
              <w:rPr>
                <w:rFonts w:hint="eastAsia" w:ascii="仿宋_GB2312" w:hAnsi="仿宋_GB2312" w:eastAsia="仿宋_GB2312" w:cs="仿宋_GB2312"/>
                <w:b/>
                <w:bCs/>
                <w:highlight w:val="none"/>
              </w:rPr>
              <w:t>注：专门面向中小企业采购的项目或者采购包，不再执行价格评审优惠的扶持政策。</w:t>
            </w:r>
          </w:p>
        </w:tc>
        <w:tc>
          <w:tcPr>
            <w:tcW w:w="1034" w:type="dxa"/>
            <w:noWrap w:val="0"/>
            <w:vAlign w:val="center"/>
          </w:tcPr>
          <w:p>
            <w:pPr>
              <w:spacing w:line="360" w:lineRule="exact"/>
              <w:jc w:val="center"/>
              <w:rPr>
                <w:rFonts w:hint="default" w:ascii="仿宋_GB2312" w:hAnsi="仿宋_GB2312" w:eastAsia="仿宋_GB2312" w:cs="仿宋_GB2312"/>
                <w:b/>
                <w:highlight w:val="none"/>
                <w:lang w:val="en-US" w:eastAsia="zh-CN"/>
              </w:rPr>
            </w:pPr>
            <w:r>
              <w:rPr>
                <w:rFonts w:hint="eastAsia" w:ascii="仿宋_GB2312" w:hAnsi="仿宋_GB2312" w:eastAsia="仿宋_GB2312" w:cs="仿宋_GB2312"/>
                <w:b/>
                <w:bCs/>
                <w:highlight w:val="none"/>
                <w:lang w:val="en-US" w:eastAsia="zh-CN"/>
              </w:rPr>
              <w:t>20</w:t>
            </w:r>
          </w:p>
        </w:tc>
        <w:tc>
          <w:tcPr>
            <w:tcW w:w="1467" w:type="dxa"/>
            <w:noWrap w:val="0"/>
            <w:vAlign w:val="center"/>
          </w:tcPr>
          <w:p>
            <w:pPr>
              <w:spacing w:line="360" w:lineRule="exact"/>
              <w:jc w:val="center"/>
              <w:rPr>
                <w:rFonts w:ascii="仿宋_GB2312" w:hAnsi="仿宋_GB2312" w:eastAsia="仿宋_GB2312" w:cs="仿宋_GB2312"/>
                <w:b/>
                <w:bCs/>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0" w:hRule="atLeast"/>
        </w:trPr>
        <w:tc>
          <w:tcPr>
            <w:tcW w:w="993" w:type="dxa"/>
            <w:noWrap w:val="0"/>
            <w:vAlign w:val="center"/>
          </w:tcPr>
          <w:p>
            <w:pPr>
              <w:spacing w:line="360" w:lineRule="exact"/>
              <w:jc w:val="center"/>
              <w:rPr>
                <w:rFonts w:hint="eastAsia" w:ascii="仿宋_GB2312" w:hAnsi="仿宋_GB2312" w:eastAsia="仿宋_GB2312" w:cs="仿宋_GB2312"/>
                <w:b/>
                <w:highlight w:val="none"/>
              </w:rPr>
            </w:pPr>
          </w:p>
          <w:p>
            <w:pPr>
              <w:spacing w:line="360" w:lineRule="exact"/>
              <w:jc w:val="center"/>
              <w:rPr>
                <w:rFonts w:hint="eastAsia" w:ascii="仿宋_GB2312" w:hAnsi="仿宋_GB2312" w:eastAsia="仿宋_GB2312" w:cs="仿宋_GB2312"/>
                <w:b/>
                <w:highlight w:val="none"/>
              </w:rPr>
            </w:pPr>
          </w:p>
          <w:p>
            <w:pPr>
              <w:spacing w:line="360" w:lineRule="exact"/>
              <w:jc w:val="center"/>
              <w:rPr>
                <w:rFonts w:hint="eastAsia" w:ascii="仿宋_GB2312" w:hAnsi="仿宋_GB2312" w:eastAsia="仿宋_GB2312" w:cs="仿宋_GB2312"/>
                <w:b/>
                <w:highlight w:val="none"/>
              </w:rPr>
            </w:pPr>
          </w:p>
          <w:p>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人员配置方案</w:t>
            </w:r>
          </w:p>
          <w:p>
            <w:pPr>
              <w:spacing w:line="360" w:lineRule="exact"/>
              <w:jc w:val="center"/>
              <w:rPr>
                <w:rFonts w:ascii="仿宋_GB2312" w:hAnsi="仿宋_GB2312" w:eastAsia="仿宋_GB2312" w:cs="仿宋_GB2312"/>
                <w:b/>
                <w:highlight w:val="none"/>
              </w:rPr>
            </w:pPr>
          </w:p>
          <w:p>
            <w:pPr>
              <w:spacing w:line="360" w:lineRule="exact"/>
              <w:jc w:val="center"/>
              <w:rPr>
                <w:rFonts w:ascii="仿宋_GB2312" w:hAnsi="仿宋_GB2312" w:eastAsia="仿宋_GB2312" w:cs="仿宋_GB2312"/>
                <w:b/>
                <w:highlight w:val="none"/>
              </w:rPr>
            </w:pPr>
          </w:p>
          <w:p>
            <w:pPr>
              <w:spacing w:line="360" w:lineRule="exact"/>
              <w:jc w:val="center"/>
              <w:rPr>
                <w:rFonts w:ascii="仿宋_GB2312" w:hAnsi="仿宋_GB2312" w:eastAsia="仿宋_GB2312" w:cs="仿宋_GB2312"/>
                <w:b/>
                <w:highlight w:val="none"/>
              </w:rPr>
            </w:pPr>
          </w:p>
        </w:tc>
        <w:tc>
          <w:tcPr>
            <w:tcW w:w="1134" w:type="dxa"/>
            <w:noWrap w:val="0"/>
            <w:vAlign w:val="center"/>
          </w:tcPr>
          <w:p>
            <w:pPr>
              <w:spacing w:line="360" w:lineRule="exact"/>
              <w:jc w:val="center"/>
              <w:rPr>
                <w:rFonts w:ascii="仿宋_GB2312" w:hAnsi="仿宋_GB2312" w:eastAsia="仿宋_GB2312" w:cs="仿宋_GB2312"/>
                <w:highlight w:val="none"/>
              </w:rPr>
            </w:pPr>
            <w:r>
              <w:rPr>
                <w:rFonts w:hint="eastAsia" w:ascii="仿宋_GB2312" w:hAnsi="仿宋_GB2312" w:eastAsia="仿宋_GB2312" w:cs="仿宋_GB2312"/>
                <w:b/>
                <w:bCs/>
                <w:highlight w:val="none"/>
              </w:rPr>
              <w:t>项目经理</w:t>
            </w:r>
          </w:p>
        </w:tc>
        <w:tc>
          <w:tcPr>
            <w:tcW w:w="6213" w:type="dxa"/>
            <w:noWrap w:val="0"/>
            <w:vAlign w:val="center"/>
          </w:tcPr>
          <w:p>
            <w:pPr>
              <w:numPr>
                <w:ilvl w:val="-1"/>
                <w:numId w:val="0"/>
              </w:numPr>
              <w:spacing w:line="380" w:lineRule="exact"/>
              <w:ind w:left="420" w:leftChars="200" w:firstLine="0" w:firstLineChars="0"/>
              <w:rPr>
                <w:rFonts w:hint="eastAsia" w:ascii="仿宋_GB2312" w:hAnsi="仿宋_GB2312" w:eastAsia="仿宋_GB2312" w:cs="仿宋_GB2312"/>
                <w:highlight w:val="none"/>
                <w:lang w:eastAsia="zh-CN"/>
              </w:rPr>
            </w:pPr>
            <w:r>
              <w:rPr>
                <w:rFonts w:hint="eastAsia" w:ascii="仿宋_GB2312" w:hAnsi="仿宋_GB2312" w:eastAsia="仿宋_GB2312" w:cs="仿宋_GB2312"/>
                <w:highlight w:val="none"/>
                <w:lang w:val="en-US" w:eastAsia="zh-CN"/>
              </w:rPr>
              <w:t>1.每有1人</w:t>
            </w:r>
            <w:r>
              <w:rPr>
                <w:rFonts w:hint="default" w:ascii="仿宋_GB2312" w:hAnsi="仿宋_GB2312" w:eastAsia="仿宋_GB2312" w:cs="仿宋_GB2312"/>
                <w:highlight w:val="none"/>
                <w:lang w:eastAsia="zh-CN"/>
              </w:rPr>
              <w:t>具有</w:t>
            </w:r>
            <w:r>
              <w:rPr>
                <w:rFonts w:hint="eastAsia" w:ascii="仿宋_GB2312" w:hAnsi="仿宋_GB2312" w:eastAsia="仿宋_GB2312" w:cs="仿宋_GB2312"/>
                <w:highlight w:val="none"/>
                <w:lang w:val="en-US" w:eastAsia="zh-CN"/>
              </w:rPr>
              <w:t>本科</w:t>
            </w:r>
            <w:r>
              <w:rPr>
                <w:rFonts w:hint="default" w:ascii="仿宋_GB2312" w:hAnsi="仿宋_GB2312" w:eastAsia="仿宋_GB2312" w:cs="仿宋_GB2312"/>
                <w:highlight w:val="none"/>
                <w:lang w:eastAsia="zh-CN"/>
              </w:rPr>
              <w:t>以上学历得1分</w:t>
            </w:r>
            <w:r>
              <w:rPr>
                <w:rFonts w:hint="eastAsia" w:ascii="仿宋_GB2312" w:hAnsi="仿宋_GB2312" w:eastAsia="仿宋_GB2312" w:cs="仿宋_GB2312"/>
                <w:highlight w:val="none"/>
                <w:lang w:eastAsia="zh-CN"/>
              </w:rPr>
              <w:t>，</w:t>
            </w:r>
            <w:r>
              <w:rPr>
                <w:rFonts w:hint="eastAsia" w:ascii="仿宋_GB2312" w:hAnsi="仿宋_GB2312" w:eastAsia="仿宋_GB2312" w:cs="仿宋_GB2312"/>
                <w:highlight w:val="none"/>
                <w:lang w:val="en-US" w:eastAsia="zh-CN"/>
              </w:rPr>
              <w:t>满分1分</w:t>
            </w:r>
            <w:r>
              <w:rPr>
                <w:rFonts w:hint="eastAsia" w:ascii="仿宋_GB2312" w:hAnsi="仿宋_GB2312" w:eastAsia="仿宋_GB2312" w:cs="仿宋_GB2312"/>
                <w:highlight w:val="none"/>
                <w:lang w:eastAsia="zh-CN"/>
              </w:rPr>
              <w:t>；</w:t>
            </w:r>
          </w:p>
          <w:p>
            <w:pPr>
              <w:numPr>
                <w:ilvl w:val="-1"/>
                <w:numId w:val="0"/>
              </w:numPr>
              <w:spacing w:line="380" w:lineRule="exact"/>
              <w:ind w:left="0" w:leftChars="0" w:firstLine="420" w:firstLineChars="200"/>
              <w:rPr>
                <w:rFonts w:hint="eastAsia" w:ascii="仿宋_GB2312" w:hAnsi="仿宋_GB2312" w:eastAsia="仿宋_GB2312" w:cs="仿宋_GB2312"/>
                <w:bCs/>
                <w:highlight w:val="none"/>
                <w:lang w:eastAsia="zh-CN"/>
              </w:rPr>
            </w:pPr>
            <w:r>
              <w:rPr>
                <w:rFonts w:hint="eastAsia" w:ascii="仿宋_GB2312" w:hAnsi="仿宋_GB2312" w:eastAsia="仿宋_GB2312" w:cs="仿宋_GB2312"/>
                <w:highlight w:val="none"/>
                <w:lang w:val="en-US" w:eastAsia="zh-CN"/>
              </w:rPr>
              <w:t>2.每有1人</w:t>
            </w:r>
            <w:r>
              <w:rPr>
                <w:rFonts w:ascii="仿宋_GB2312" w:hAnsi="仿宋_GB2312" w:eastAsia="仿宋_GB2312" w:cs="仿宋_GB2312"/>
                <w:highlight w:val="none"/>
              </w:rPr>
              <w:t>具有</w:t>
            </w:r>
            <w:r>
              <w:rPr>
                <w:rFonts w:hint="default" w:ascii="仿宋_GB2312" w:hAnsi="仿宋_GB2312" w:eastAsia="仿宋_GB2312" w:cs="仿宋_GB2312"/>
                <w:highlight w:val="none"/>
              </w:rPr>
              <w:t>5</w:t>
            </w:r>
            <w:r>
              <w:rPr>
                <w:rFonts w:hint="eastAsia" w:ascii="仿宋_GB2312" w:hAnsi="仿宋_GB2312" w:eastAsia="仿宋_GB2312" w:cs="仿宋_GB2312"/>
                <w:highlight w:val="none"/>
                <w:lang w:val="en-US" w:eastAsia="zh-CN"/>
              </w:rPr>
              <w:t>年以上物业管理工作经验得1分</w:t>
            </w:r>
            <w:r>
              <w:rPr>
                <w:rFonts w:hint="eastAsia" w:ascii="仿宋_GB2312" w:hAnsi="仿宋_GB2312" w:eastAsia="仿宋_GB2312" w:cs="仿宋_GB2312"/>
                <w:highlight w:val="none"/>
              </w:rPr>
              <w:t>，</w:t>
            </w:r>
            <w:r>
              <w:rPr>
                <w:rFonts w:hint="eastAsia" w:ascii="仿宋_GB2312" w:hAnsi="仿宋_GB2312" w:eastAsia="仿宋_GB2312" w:cs="仿宋_GB2312"/>
                <w:bCs/>
                <w:highlight w:val="none"/>
              </w:rPr>
              <w:t>满分</w:t>
            </w:r>
            <w:r>
              <w:rPr>
                <w:rFonts w:hint="eastAsia" w:ascii="仿宋_GB2312" w:hAnsi="仿宋_GB2312" w:eastAsia="仿宋_GB2312" w:cs="仿宋_GB2312"/>
                <w:bCs/>
                <w:highlight w:val="none"/>
                <w:lang w:val="en-US" w:eastAsia="zh-CN"/>
              </w:rPr>
              <w:t>1</w:t>
            </w:r>
            <w:r>
              <w:rPr>
                <w:rFonts w:hint="eastAsia" w:ascii="仿宋_GB2312" w:hAnsi="仿宋_GB2312" w:eastAsia="仿宋_GB2312" w:cs="仿宋_GB2312"/>
                <w:bCs/>
                <w:highlight w:val="none"/>
              </w:rPr>
              <w:t>分</w:t>
            </w:r>
            <w:r>
              <w:rPr>
                <w:rFonts w:hint="eastAsia" w:ascii="仿宋_GB2312" w:hAnsi="仿宋_GB2312" w:eastAsia="仿宋_GB2312" w:cs="仿宋_GB2312"/>
                <w:bCs/>
                <w:highlight w:val="none"/>
                <w:lang w:eastAsia="zh-CN"/>
              </w:rPr>
              <w:t>。</w:t>
            </w:r>
          </w:p>
          <w:p>
            <w:pPr>
              <w:spacing w:line="380" w:lineRule="exact"/>
              <w:ind w:firstLine="422" w:firstLineChars="200"/>
              <w:rPr>
                <w:rFonts w:ascii="仿宋_GB2312" w:hAnsi="仿宋_GB2312" w:eastAsia="仿宋_GB2312" w:cs="仿宋_GB2312"/>
                <w:b/>
                <w:bCs/>
                <w:highlight w:val="none"/>
              </w:rPr>
            </w:pPr>
            <w:r>
              <w:rPr>
                <w:rFonts w:hint="eastAsia" w:ascii="仿宋_GB2312" w:hAnsi="仿宋_GB2312" w:eastAsia="仿宋_GB2312" w:cs="仿宋_GB2312"/>
                <w:b/>
                <w:bCs/>
                <w:highlight w:val="none"/>
              </w:rPr>
              <w:t>注：投标人提供以下材料：</w:t>
            </w:r>
          </w:p>
          <w:p>
            <w:pPr>
              <w:spacing w:line="380" w:lineRule="exact"/>
              <w:ind w:firstLine="422" w:firstLineChars="200"/>
              <w:rPr>
                <w:rFonts w:ascii="仿宋_GB2312" w:hAnsi="仿宋_GB2312" w:eastAsia="仿宋_GB2312" w:cs="仿宋_GB2312"/>
                <w:b/>
                <w:bCs/>
                <w:highlight w:val="none"/>
              </w:rPr>
            </w:pPr>
            <w:r>
              <w:rPr>
                <w:rFonts w:hint="eastAsia" w:ascii="仿宋_GB2312" w:hAnsi="仿宋_GB2312" w:eastAsia="仿宋_GB2312" w:cs="仿宋_GB2312"/>
                <w:b/>
                <w:bCs/>
                <w:highlight w:val="none"/>
              </w:rPr>
              <w:t>1.项目经理须是投标人正式员工，并提供聘用合同、协议等佐证材料，未提供证明材料的，该人员不予计分；</w:t>
            </w:r>
          </w:p>
          <w:p>
            <w:pPr>
              <w:spacing w:line="380" w:lineRule="exact"/>
              <w:ind w:firstLine="422" w:firstLineChars="200"/>
              <w:rPr>
                <w:rFonts w:ascii="仿宋_GB2312" w:hAnsi="仿宋_GB2312" w:eastAsia="仿宋_GB2312" w:cs="仿宋_GB2312"/>
                <w:b/>
                <w:bCs/>
                <w:highlight w:val="none"/>
              </w:rPr>
            </w:pPr>
            <w:r>
              <w:rPr>
                <w:rFonts w:hint="eastAsia" w:ascii="仿宋_GB2312" w:hAnsi="仿宋_GB2312" w:eastAsia="仿宋_GB2312" w:cs="仿宋_GB2312"/>
                <w:b/>
                <w:bCs/>
                <w:highlight w:val="none"/>
              </w:rPr>
              <w:t>2.项目经理相关学历、</w:t>
            </w:r>
            <w:r>
              <w:rPr>
                <w:rFonts w:hint="eastAsia" w:ascii="仿宋_GB2312" w:hAnsi="仿宋_GB2312" w:eastAsia="仿宋_GB2312" w:cs="仿宋_GB2312"/>
                <w:b/>
                <w:bCs/>
                <w:highlight w:val="none"/>
                <w:lang w:val="en-US" w:eastAsia="zh-CN"/>
              </w:rPr>
              <w:t>工作经验证明材料（能够体现工作经验的合同或物业业主单位的证明），未</w:t>
            </w:r>
            <w:r>
              <w:rPr>
                <w:rFonts w:hint="eastAsia" w:ascii="仿宋_GB2312" w:hAnsi="仿宋_GB2312" w:eastAsia="仿宋_GB2312" w:cs="仿宋_GB2312"/>
                <w:b/>
                <w:bCs/>
                <w:highlight w:val="none"/>
              </w:rPr>
              <w:t>提供的，对应加分项不予计分。</w:t>
            </w:r>
          </w:p>
        </w:tc>
        <w:tc>
          <w:tcPr>
            <w:tcW w:w="1034" w:type="dxa"/>
            <w:noWrap w:val="0"/>
            <w:vAlign w:val="center"/>
          </w:tcPr>
          <w:p>
            <w:pPr>
              <w:spacing w:line="360" w:lineRule="exact"/>
              <w:jc w:val="center"/>
              <w:rPr>
                <w:rFonts w:hint="eastAsia" w:ascii="仿宋_GB2312" w:hAnsi="仿宋_GB2312" w:eastAsia="仿宋_GB2312" w:cs="仿宋_GB2312"/>
                <w:highlight w:val="none"/>
                <w:lang w:eastAsia="zh-CN"/>
              </w:rPr>
            </w:pPr>
            <w:r>
              <w:rPr>
                <w:rFonts w:hint="eastAsia" w:ascii="仿宋_GB2312" w:hAnsi="仿宋_GB2312" w:eastAsia="仿宋_GB2312" w:cs="仿宋_GB2312"/>
                <w:b/>
                <w:bCs/>
                <w:highlight w:val="none"/>
                <w:lang w:val="en-US" w:eastAsia="zh-CN"/>
              </w:rPr>
              <w:t>2</w:t>
            </w:r>
          </w:p>
        </w:tc>
        <w:tc>
          <w:tcPr>
            <w:tcW w:w="1467" w:type="dxa"/>
            <w:noWrap w:val="0"/>
            <w:vAlign w:val="center"/>
          </w:tcPr>
          <w:p>
            <w:pPr>
              <w:spacing w:line="360" w:lineRule="exact"/>
              <w:jc w:val="center"/>
              <w:rPr>
                <w:rFonts w:hint="eastAsia" w:ascii="仿宋_GB2312" w:hAnsi="仿宋_GB2312" w:eastAsia="仿宋_GB2312" w:cs="仿宋_GB2312"/>
                <w:b/>
                <w:bCs/>
                <w:highlight w:val="none"/>
                <w:lang w:eastAsia="zh-CN"/>
              </w:rPr>
            </w:pPr>
            <w:r>
              <w:rPr>
                <w:rFonts w:hint="eastAsia" w:ascii="仿宋_GB2312" w:hAnsi="仿宋_GB2312" w:eastAsia="仿宋_GB2312" w:cs="仿宋_GB2312"/>
                <w:highlight w:val="none"/>
                <w:lang w:eastAsia="zh-CN"/>
              </w:rPr>
              <w:t>人员配置分方案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trPr>
        <w:tc>
          <w:tcPr>
            <w:tcW w:w="993" w:type="dxa"/>
            <w:tcBorders>
              <w:bottom w:val="single" w:color="auto" w:sz="4" w:space="0"/>
            </w:tcBorders>
            <w:noWrap w:val="0"/>
            <w:vAlign w:val="center"/>
          </w:tcPr>
          <w:p>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人员配置方案</w:t>
            </w:r>
          </w:p>
        </w:tc>
        <w:tc>
          <w:tcPr>
            <w:tcW w:w="1134" w:type="dxa"/>
            <w:tcBorders>
              <w:bottom w:val="single" w:color="auto" w:sz="4" w:space="0"/>
            </w:tcBorders>
            <w:noWrap w:val="0"/>
            <w:vAlign w:val="center"/>
          </w:tcPr>
          <w:p>
            <w:pPr>
              <w:spacing w:line="40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其余人员配置方案</w:t>
            </w:r>
          </w:p>
        </w:tc>
        <w:tc>
          <w:tcPr>
            <w:tcW w:w="6213" w:type="dxa"/>
            <w:noWrap w:val="0"/>
            <w:vAlign w:val="center"/>
          </w:tcPr>
          <w:p>
            <w:pPr>
              <w:spacing w:line="380" w:lineRule="exact"/>
              <w:ind w:firstLine="422" w:firstLineChars="200"/>
              <w:rPr>
                <w:rFonts w:hint="eastAsia" w:ascii="仿宋_GB2312" w:hAnsi="仿宋_GB2312" w:eastAsia="仿宋_GB2312" w:cs="仿宋_GB2312"/>
                <w:b/>
                <w:bCs/>
              </w:rPr>
            </w:pPr>
            <w:r>
              <w:rPr>
                <w:rFonts w:hint="eastAsia" w:ascii="仿宋_GB2312" w:hAnsi="仿宋_GB2312" w:eastAsia="仿宋_GB2312" w:cs="仿宋_GB2312"/>
                <w:b/>
                <w:bCs/>
              </w:rPr>
              <w:t>1.维修</w:t>
            </w:r>
            <w:r>
              <w:rPr>
                <w:rFonts w:hint="eastAsia" w:ascii="仿宋_GB2312" w:hAnsi="仿宋_GB2312" w:eastAsia="仿宋_GB2312" w:cs="仿宋_GB2312"/>
                <w:b/>
                <w:bCs/>
                <w:lang w:eastAsia="zh-CN"/>
              </w:rPr>
              <w:t>维护人</w:t>
            </w:r>
            <w:r>
              <w:rPr>
                <w:rFonts w:hint="eastAsia" w:ascii="仿宋_GB2312" w:hAnsi="仿宋_GB2312" w:eastAsia="仿宋_GB2312" w:cs="仿宋_GB2312"/>
                <w:b/>
                <w:bCs/>
              </w:rPr>
              <w:t>员（</w:t>
            </w:r>
            <w:r>
              <w:rPr>
                <w:rFonts w:hint="eastAsia" w:ascii="仿宋_GB2312" w:hAnsi="仿宋_GB2312" w:eastAsia="仿宋_GB2312" w:cs="仿宋_GB2312"/>
                <w:b/>
                <w:bCs/>
                <w:lang w:val="en-US" w:eastAsia="zh-CN"/>
              </w:rPr>
              <w:t>6</w:t>
            </w:r>
            <w:r>
              <w:rPr>
                <w:rFonts w:hint="eastAsia" w:ascii="仿宋_GB2312" w:hAnsi="仿宋_GB2312" w:eastAsia="仿宋_GB2312" w:cs="仿宋_GB2312"/>
                <w:b/>
                <w:bCs/>
              </w:rPr>
              <w:t>分）：</w:t>
            </w:r>
          </w:p>
          <w:p>
            <w:pPr>
              <w:spacing w:line="380" w:lineRule="exact"/>
              <w:ind w:firstLine="420" w:firstLineChars="200"/>
              <w:rPr>
                <w:rFonts w:hint="eastAsia" w:ascii="仿宋_GB2312" w:hAnsi="仿宋_GB2312" w:eastAsia="仿宋_GB2312" w:cs="仿宋_GB2312"/>
                <w:lang w:val="en-US" w:eastAsia="zh-CN"/>
              </w:rPr>
            </w:pPr>
            <w:r>
              <w:rPr>
                <w:rFonts w:hint="eastAsia" w:ascii="微软雅黑" w:hAnsi="微软雅黑" w:eastAsia="微软雅黑" w:cs="微软雅黑"/>
                <w:lang w:val="en-US" w:eastAsia="zh-CN"/>
              </w:rPr>
              <w:t>①</w:t>
            </w:r>
            <w:r>
              <w:rPr>
                <w:rFonts w:hint="eastAsia" w:ascii="仿宋_GB2312" w:hAnsi="仿宋_GB2312" w:eastAsia="仿宋_GB2312" w:cs="仿宋_GB2312"/>
                <w:b/>
                <w:bCs/>
                <w:lang w:val="en-US" w:eastAsia="zh-CN"/>
              </w:rPr>
              <w:t>承诺</w:t>
            </w:r>
            <w:r>
              <w:rPr>
                <w:rFonts w:hint="eastAsia" w:ascii="仿宋_GB2312" w:hAnsi="仿宋_GB2312" w:eastAsia="仿宋_GB2312" w:cs="仿宋_GB2312"/>
                <w:lang w:val="en-US" w:eastAsia="zh-CN"/>
              </w:rPr>
              <w:t>每有1名电工具有2年以上低压电工工作经验得1分，满分2分；</w:t>
            </w:r>
          </w:p>
          <w:p>
            <w:pPr>
              <w:spacing w:line="380" w:lineRule="exact"/>
              <w:ind w:firstLine="420" w:firstLineChars="200"/>
              <w:rPr>
                <w:rFonts w:hint="eastAsia" w:ascii="仿宋_GB2312" w:hAnsi="仿宋_GB2312" w:eastAsia="仿宋_GB2312" w:cs="仿宋_GB2312"/>
                <w:lang w:val="en-US" w:eastAsia="zh-CN"/>
              </w:rPr>
            </w:pPr>
            <w:r>
              <w:rPr>
                <w:rFonts w:hint="eastAsia" w:ascii="微软雅黑" w:hAnsi="微软雅黑" w:eastAsia="微软雅黑" w:cs="微软雅黑"/>
                <w:lang w:val="en-US" w:eastAsia="zh-CN"/>
              </w:rPr>
              <w:t>②</w:t>
            </w:r>
            <w:r>
              <w:rPr>
                <w:rFonts w:hint="eastAsia" w:ascii="仿宋_GB2312" w:hAnsi="仿宋_GB2312" w:eastAsia="仿宋_GB2312" w:cs="仿宋_GB2312"/>
                <w:b/>
                <w:bCs/>
                <w:lang w:val="en-US" w:eastAsia="zh-CN"/>
              </w:rPr>
              <w:t>承诺</w:t>
            </w:r>
            <w:r>
              <w:rPr>
                <w:rFonts w:hint="eastAsia" w:ascii="仿宋_GB2312" w:hAnsi="仿宋_GB2312" w:eastAsia="仿宋_GB2312" w:cs="仿宋_GB2312"/>
                <w:lang w:val="en-US" w:eastAsia="zh-CN"/>
              </w:rPr>
              <w:t>每有1名空调维修工具有2年以上制冷与空调设备安装修炼作业工作经验得1分，满分1分；</w:t>
            </w:r>
          </w:p>
          <w:p>
            <w:pPr>
              <w:spacing w:line="380" w:lineRule="exact"/>
              <w:ind w:firstLine="420" w:firstLineChars="200"/>
              <w:rPr>
                <w:rFonts w:hint="eastAsia" w:ascii="仿宋_GB2312" w:hAnsi="仿宋_GB2312" w:eastAsia="仿宋_GB2312" w:cs="仿宋_GB2312"/>
                <w:lang w:val="en-US" w:eastAsia="zh-CN"/>
              </w:rPr>
            </w:pPr>
            <w:r>
              <w:rPr>
                <w:rFonts w:hint="eastAsia" w:ascii="微软雅黑" w:hAnsi="微软雅黑" w:eastAsia="微软雅黑" w:cs="微软雅黑"/>
                <w:lang w:val="en-US" w:eastAsia="zh-CN"/>
              </w:rPr>
              <w:t>③</w:t>
            </w:r>
            <w:r>
              <w:rPr>
                <w:rFonts w:hint="eastAsia" w:ascii="仿宋_GB2312" w:hAnsi="仿宋_GB2312" w:eastAsia="仿宋_GB2312" w:cs="仿宋_GB2312"/>
                <w:b/>
                <w:bCs/>
                <w:lang w:val="en-US" w:eastAsia="zh-CN"/>
              </w:rPr>
              <w:t>承诺</w:t>
            </w:r>
            <w:r>
              <w:rPr>
                <w:rFonts w:hint="eastAsia" w:ascii="仿宋_GB2312" w:hAnsi="仿宋_GB2312" w:eastAsia="仿宋_GB2312" w:cs="仿宋_GB2312"/>
                <w:lang w:val="en-US" w:eastAsia="zh-CN"/>
              </w:rPr>
              <w:t>每有1名电焊工具有2年上熔化焊接与热切割作业工作经验得1分，满分1分；</w:t>
            </w:r>
          </w:p>
          <w:p>
            <w:pPr>
              <w:spacing w:line="380" w:lineRule="exact"/>
              <w:ind w:firstLine="420" w:firstLineChars="200"/>
              <w:rPr>
                <w:rFonts w:hint="eastAsia" w:ascii="仿宋_GB2312" w:hAnsi="仿宋_GB2312" w:eastAsia="仿宋_GB2312" w:cs="仿宋_GB2312"/>
                <w:lang w:val="en-US" w:eastAsia="zh-CN"/>
              </w:rPr>
            </w:pPr>
            <w:r>
              <w:rPr>
                <w:rFonts w:hint="eastAsia" w:ascii="微软雅黑" w:hAnsi="微软雅黑" w:eastAsia="微软雅黑" w:cs="微软雅黑"/>
                <w:lang w:val="en-US" w:eastAsia="zh-CN"/>
              </w:rPr>
              <w:t>④</w:t>
            </w:r>
            <w:r>
              <w:rPr>
                <w:rFonts w:hint="eastAsia" w:ascii="仿宋_GB2312" w:hAnsi="仿宋_GB2312" w:eastAsia="仿宋_GB2312" w:cs="仿宋_GB2312"/>
                <w:b/>
                <w:bCs/>
                <w:lang w:val="en-US" w:eastAsia="zh-CN"/>
              </w:rPr>
              <w:t>承诺</w:t>
            </w:r>
            <w:r>
              <w:rPr>
                <w:rFonts w:hint="eastAsia" w:ascii="仿宋_GB2312" w:hAnsi="仿宋_GB2312" w:eastAsia="仿宋_GB2312" w:cs="仿宋_GB2312"/>
                <w:lang w:val="en-US" w:eastAsia="zh-CN"/>
              </w:rPr>
              <w:t>每有1名电工持有《特种作业操作证》（高压电工）的得2分，满分2分。</w:t>
            </w:r>
          </w:p>
          <w:p>
            <w:pPr>
              <w:spacing w:line="380" w:lineRule="exact"/>
              <w:ind w:firstLine="422" w:firstLineChars="200"/>
              <w:rPr>
                <w:rFonts w:hint="eastAsia" w:ascii="仿宋_GB2312" w:hAnsi="仿宋_GB2312" w:eastAsia="仿宋_GB2312" w:cs="仿宋_GB2312"/>
                <w:b/>
                <w:bCs/>
              </w:rPr>
            </w:pPr>
            <w:r>
              <w:rPr>
                <w:rFonts w:hint="eastAsia" w:ascii="仿宋_GB2312" w:hAnsi="仿宋_GB2312" w:eastAsia="仿宋_GB2312" w:cs="仿宋_GB2312"/>
                <w:b/>
                <w:bCs/>
                <w:lang w:val="en-US" w:eastAsia="zh-CN"/>
              </w:rPr>
              <w:t>2</w:t>
            </w:r>
            <w:r>
              <w:rPr>
                <w:rFonts w:hint="eastAsia" w:ascii="仿宋_GB2312" w:hAnsi="仿宋_GB2312" w:eastAsia="仿宋_GB2312" w:cs="仿宋_GB2312"/>
                <w:b/>
                <w:bCs/>
              </w:rPr>
              <w:t>.保洁</w:t>
            </w:r>
            <w:r>
              <w:rPr>
                <w:rFonts w:hint="eastAsia" w:ascii="仿宋_GB2312" w:hAnsi="仿宋_GB2312" w:eastAsia="仿宋_GB2312" w:cs="仿宋_GB2312"/>
                <w:b/>
                <w:bCs/>
                <w:lang w:eastAsia="zh-CN"/>
              </w:rPr>
              <w:t>人</w:t>
            </w:r>
            <w:r>
              <w:rPr>
                <w:rFonts w:hint="eastAsia" w:ascii="仿宋_GB2312" w:hAnsi="仿宋_GB2312" w:eastAsia="仿宋_GB2312" w:cs="仿宋_GB2312"/>
                <w:b/>
                <w:bCs/>
              </w:rPr>
              <w:t>员（</w:t>
            </w:r>
            <w:r>
              <w:rPr>
                <w:rFonts w:hint="eastAsia" w:ascii="仿宋_GB2312" w:hAnsi="仿宋_GB2312" w:eastAsia="仿宋_GB2312" w:cs="仿宋_GB2312"/>
                <w:b/>
                <w:bCs/>
                <w:lang w:val="en-US" w:eastAsia="zh-CN"/>
              </w:rPr>
              <w:t>4</w:t>
            </w:r>
            <w:r>
              <w:rPr>
                <w:rFonts w:hint="eastAsia" w:ascii="仿宋_GB2312" w:hAnsi="仿宋_GB2312" w:eastAsia="仿宋_GB2312" w:cs="仿宋_GB2312"/>
                <w:b/>
                <w:bCs/>
              </w:rPr>
              <w:t>分）：</w:t>
            </w:r>
          </w:p>
          <w:p>
            <w:pPr>
              <w:spacing w:line="380" w:lineRule="exact"/>
              <w:ind w:firstLine="422" w:firstLineChars="200"/>
              <w:rPr>
                <w:rFonts w:hint="eastAsia" w:ascii="仿宋_GB2312" w:hAnsi="仿宋_GB2312" w:eastAsia="仿宋_GB2312" w:cs="仿宋_GB2312"/>
                <w:lang w:val="en-US" w:eastAsia="zh-CN"/>
              </w:rPr>
            </w:pPr>
            <w:r>
              <w:rPr>
                <w:rFonts w:hint="eastAsia" w:ascii="仿宋_GB2312" w:hAnsi="仿宋_GB2312" w:eastAsia="仿宋_GB2312" w:cs="仿宋_GB2312"/>
                <w:b/>
                <w:bCs/>
              </w:rPr>
              <w:t>承诺</w:t>
            </w:r>
            <w:r>
              <w:rPr>
                <w:rFonts w:hint="eastAsia" w:ascii="仿宋_GB2312" w:hAnsi="仿宋_GB2312" w:eastAsia="仿宋_GB2312" w:cs="仿宋_GB2312"/>
              </w:rPr>
              <w:t>每有1名保洁员具有</w:t>
            </w:r>
            <w:r>
              <w:rPr>
                <w:rFonts w:hint="eastAsia" w:ascii="仿宋_GB2312" w:hAnsi="仿宋_GB2312" w:eastAsia="仿宋_GB2312" w:cs="仿宋_GB2312"/>
                <w:lang w:val="en-US" w:eastAsia="zh-CN"/>
              </w:rPr>
              <w:t>2</w:t>
            </w:r>
            <w:r>
              <w:rPr>
                <w:rFonts w:hint="eastAsia" w:ascii="仿宋_GB2312" w:hAnsi="仿宋_GB2312" w:eastAsia="仿宋_GB2312" w:cs="仿宋_GB2312"/>
              </w:rPr>
              <w:t>年以上会务保洁工作经验得1分，满分</w:t>
            </w:r>
            <w:r>
              <w:rPr>
                <w:rFonts w:hint="eastAsia" w:ascii="仿宋_GB2312" w:hAnsi="仿宋_GB2312" w:eastAsia="仿宋_GB2312" w:cs="仿宋_GB2312"/>
                <w:lang w:val="en-US" w:eastAsia="zh-CN"/>
              </w:rPr>
              <w:t>4</w:t>
            </w:r>
            <w:r>
              <w:rPr>
                <w:rFonts w:hint="eastAsia" w:ascii="仿宋_GB2312" w:hAnsi="仿宋_GB2312" w:eastAsia="仿宋_GB2312" w:cs="仿宋_GB2312"/>
              </w:rPr>
              <w:t>分。</w:t>
            </w:r>
          </w:p>
          <w:p>
            <w:pPr>
              <w:spacing w:line="380" w:lineRule="exact"/>
              <w:ind w:firstLine="422" w:firstLineChars="200"/>
              <w:rPr>
                <w:rFonts w:hint="eastAsia" w:ascii="仿宋_GB2312" w:hAnsi="仿宋_GB2312" w:eastAsia="仿宋_GB2312" w:cs="仿宋_GB2312"/>
                <w:b/>
                <w:bCs/>
              </w:rPr>
            </w:pPr>
            <w:r>
              <w:rPr>
                <w:rFonts w:hint="eastAsia" w:ascii="仿宋_GB2312" w:hAnsi="仿宋_GB2312" w:eastAsia="仿宋_GB2312" w:cs="仿宋_GB2312"/>
                <w:b/>
                <w:bCs/>
                <w:lang w:val="en-US" w:eastAsia="zh-CN"/>
              </w:rPr>
              <w:t>3</w:t>
            </w:r>
            <w:r>
              <w:rPr>
                <w:rFonts w:hint="eastAsia" w:ascii="仿宋_GB2312" w:hAnsi="仿宋_GB2312" w:eastAsia="仿宋_GB2312" w:cs="仿宋_GB2312"/>
                <w:b/>
                <w:bCs/>
              </w:rPr>
              <w:t>.</w:t>
            </w:r>
            <w:r>
              <w:rPr>
                <w:rFonts w:hint="eastAsia" w:ascii="仿宋_GB2312" w:hAnsi="仿宋_GB2312" w:eastAsia="仿宋_GB2312" w:cs="仿宋_GB2312"/>
                <w:b/>
                <w:bCs/>
                <w:lang w:val="en-US" w:eastAsia="zh-CN"/>
              </w:rPr>
              <w:t>绿化养护</w:t>
            </w:r>
            <w:r>
              <w:rPr>
                <w:rFonts w:hint="eastAsia" w:ascii="仿宋_GB2312" w:hAnsi="仿宋_GB2312" w:eastAsia="仿宋_GB2312" w:cs="仿宋_GB2312"/>
                <w:b/>
                <w:bCs/>
                <w:lang w:eastAsia="zh-CN"/>
              </w:rPr>
              <w:t>人</w:t>
            </w:r>
            <w:r>
              <w:rPr>
                <w:rFonts w:hint="eastAsia" w:ascii="仿宋_GB2312" w:hAnsi="仿宋_GB2312" w:eastAsia="仿宋_GB2312" w:cs="仿宋_GB2312"/>
                <w:b/>
                <w:bCs/>
              </w:rPr>
              <w:t>员（</w:t>
            </w:r>
            <w:r>
              <w:rPr>
                <w:rFonts w:hint="eastAsia" w:ascii="仿宋_GB2312" w:hAnsi="仿宋_GB2312" w:eastAsia="仿宋_GB2312" w:cs="仿宋_GB2312"/>
                <w:b/>
                <w:bCs/>
                <w:lang w:val="en-US" w:eastAsia="zh-CN"/>
              </w:rPr>
              <w:t>6</w:t>
            </w:r>
            <w:r>
              <w:rPr>
                <w:rFonts w:hint="eastAsia" w:ascii="仿宋_GB2312" w:hAnsi="仿宋_GB2312" w:eastAsia="仿宋_GB2312" w:cs="仿宋_GB2312"/>
                <w:b/>
                <w:bCs/>
              </w:rPr>
              <w:t>分）：</w:t>
            </w:r>
          </w:p>
          <w:p>
            <w:pPr>
              <w:numPr>
                <w:ilvl w:val="0"/>
                <w:numId w:val="0"/>
              </w:numPr>
              <w:spacing w:line="400" w:lineRule="exact"/>
              <w:ind w:leftChars="0" w:firstLine="422" w:firstLineChars="200"/>
              <w:rPr>
                <w:rFonts w:hint="eastAsia" w:ascii="仿宋_GB2312" w:hAnsi="仿宋_GB2312" w:eastAsia="仿宋_GB2312" w:cs="仿宋_GB2312"/>
                <w:lang w:val="en-US" w:eastAsia="zh-CN"/>
              </w:rPr>
            </w:pPr>
            <w:r>
              <w:rPr>
                <w:rFonts w:hint="eastAsia" w:ascii="仿宋_GB2312" w:hAnsi="仿宋_GB2312" w:eastAsia="仿宋_GB2312" w:cs="仿宋_GB2312"/>
                <w:b/>
                <w:bCs/>
                <w:lang w:val="en-US" w:eastAsia="zh-CN"/>
              </w:rPr>
              <w:t>承诺</w:t>
            </w:r>
            <w:r>
              <w:rPr>
                <w:rFonts w:hint="eastAsia" w:ascii="仿宋_GB2312" w:hAnsi="仿宋_GB2312" w:eastAsia="仿宋_GB2312" w:cs="仿宋_GB2312"/>
                <w:lang w:val="en-US" w:eastAsia="zh-CN"/>
              </w:rPr>
              <w:t>每有1名绿化养护人员</w:t>
            </w:r>
            <w:r>
              <w:rPr>
                <w:rFonts w:hint="eastAsia" w:ascii="仿宋_GB2312" w:hAnsi="仿宋_GB2312" w:eastAsia="仿宋_GB2312" w:cs="仿宋_GB2312"/>
              </w:rPr>
              <w:t>具有</w:t>
            </w:r>
            <w:r>
              <w:rPr>
                <w:rFonts w:hint="eastAsia" w:ascii="仿宋_GB2312" w:hAnsi="仿宋_GB2312" w:eastAsia="仿宋_GB2312" w:cs="仿宋_GB2312"/>
                <w:lang w:val="en-US" w:eastAsia="zh-CN"/>
              </w:rPr>
              <w:t>园林管理或绿化</w:t>
            </w:r>
            <w:r>
              <w:rPr>
                <w:rFonts w:hint="eastAsia" w:ascii="仿宋_GB2312" w:hAnsi="仿宋_GB2312" w:eastAsia="仿宋_GB2312" w:cs="仿宋_GB2312"/>
                <w:highlight w:val="none"/>
                <w:lang w:val="en-US" w:eastAsia="zh-CN"/>
              </w:rPr>
              <w:t>养护</w:t>
            </w:r>
            <w:r>
              <w:rPr>
                <w:rFonts w:hint="eastAsia" w:ascii="仿宋_GB2312" w:hAnsi="仿宋_GB2312" w:eastAsia="仿宋_GB2312" w:cs="仿宋_GB2312"/>
                <w:lang w:val="en-US" w:eastAsia="zh-CN"/>
              </w:rPr>
              <w:t>工作经验得的1分，满分6分；</w:t>
            </w:r>
          </w:p>
          <w:p>
            <w:pPr>
              <w:spacing w:line="380" w:lineRule="exact"/>
              <w:ind w:firstLine="422" w:firstLineChars="200"/>
              <w:rPr>
                <w:rFonts w:hint="eastAsia" w:ascii="仿宋_GB2312" w:hAnsi="仿宋_GB2312" w:eastAsia="仿宋_GB2312" w:cs="仿宋_GB2312"/>
                <w:b/>
                <w:bCs/>
              </w:rPr>
            </w:pPr>
            <w:r>
              <w:rPr>
                <w:rFonts w:hint="eastAsia" w:ascii="仿宋_GB2312" w:hAnsi="仿宋_GB2312" w:eastAsia="仿宋_GB2312" w:cs="仿宋_GB2312"/>
                <w:b/>
                <w:bCs/>
                <w:lang w:val="en-US" w:eastAsia="zh-CN"/>
              </w:rPr>
              <w:t>4</w:t>
            </w:r>
            <w:r>
              <w:rPr>
                <w:rFonts w:hint="eastAsia" w:ascii="仿宋_GB2312" w:hAnsi="仿宋_GB2312" w:eastAsia="仿宋_GB2312" w:cs="仿宋_GB2312"/>
                <w:b/>
                <w:bCs/>
              </w:rPr>
              <w:t>.</w:t>
            </w:r>
            <w:r>
              <w:rPr>
                <w:rFonts w:hint="eastAsia" w:ascii="仿宋_GB2312" w:hAnsi="仿宋_GB2312" w:eastAsia="仿宋_GB2312" w:cs="仿宋_GB2312"/>
                <w:b/>
                <w:bCs/>
                <w:lang w:eastAsia="zh-CN"/>
              </w:rPr>
              <w:t>学生公寓</w:t>
            </w:r>
            <w:r>
              <w:rPr>
                <w:rFonts w:hint="eastAsia" w:ascii="仿宋_GB2312" w:hAnsi="仿宋_GB2312" w:eastAsia="仿宋_GB2312" w:cs="仿宋_GB2312"/>
                <w:b/>
                <w:bCs/>
              </w:rPr>
              <w:t>管理员（</w:t>
            </w:r>
            <w:r>
              <w:rPr>
                <w:rFonts w:hint="eastAsia" w:ascii="仿宋_GB2312" w:hAnsi="仿宋_GB2312" w:eastAsia="仿宋_GB2312" w:cs="仿宋_GB2312"/>
                <w:b/>
                <w:bCs/>
                <w:lang w:val="en-US" w:eastAsia="zh-CN"/>
              </w:rPr>
              <w:t>6</w:t>
            </w:r>
            <w:r>
              <w:rPr>
                <w:rFonts w:hint="eastAsia" w:ascii="仿宋_GB2312" w:hAnsi="仿宋_GB2312" w:eastAsia="仿宋_GB2312" w:cs="仿宋_GB2312"/>
                <w:b/>
                <w:bCs/>
              </w:rPr>
              <w:t>分）：</w:t>
            </w:r>
          </w:p>
          <w:p>
            <w:pPr>
              <w:spacing w:line="380" w:lineRule="exact"/>
              <w:ind w:firstLine="422" w:firstLineChars="200"/>
              <w:rPr>
                <w:rFonts w:hint="eastAsia" w:ascii="仿宋_GB2312" w:hAnsi="仿宋_GB2312" w:eastAsia="仿宋_GB2312" w:cs="仿宋_GB2312"/>
              </w:rPr>
            </w:pPr>
            <w:r>
              <w:rPr>
                <w:rFonts w:hint="eastAsia" w:ascii="仿宋_GB2312" w:hAnsi="仿宋_GB2312" w:eastAsia="仿宋_GB2312" w:cs="仿宋_GB2312"/>
                <w:b/>
                <w:bCs/>
              </w:rPr>
              <w:t>承诺</w:t>
            </w:r>
            <w:r>
              <w:rPr>
                <w:rFonts w:hint="eastAsia" w:ascii="仿宋_GB2312" w:hAnsi="仿宋_GB2312" w:eastAsia="仿宋_GB2312" w:cs="仿宋_GB2312"/>
              </w:rPr>
              <w:t>每有1名</w:t>
            </w:r>
            <w:r>
              <w:rPr>
                <w:rFonts w:hint="eastAsia" w:ascii="仿宋_GB2312" w:hAnsi="仿宋_GB2312" w:eastAsia="仿宋_GB2312" w:cs="仿宋_GB2312"/>
                <w:lang w:val="en-US" w:eastAsia="zh-CN"/>
              </w:rPr>
              <w:t>学生</w:t>
            </w:r>
            <w:r>
              <w:rPr>
                <w:rFonts w:hint="eastAsia" w:ascii="仿宋_GB2312" w:hAnsi="仿宋_GB2312" w:eastAsia="仿宋_GB2312" w:cs="仿宋_GB2312"/>
              </w:rPr>
              <w:t>公寓管理员具有</w:t>
            </w:r>
            <w:r>
              <w:rPr>
                <w:rFonts w:hint="eastAsia" w:ascii="仿宋_GB2312" w:hAnsi="仿宋_GB2312" w:eastAsia="仿宋_GB2312" w:cs="仿宋_GB2312"/>
                <w:lang w:val="en-US" w:eastAsia="zh-CN"/>
              </w:rPr>
              <w:t>3</w:t>
            </w:r>
            <w:r>
              <w:rPr>
                <w:rFonts w:hint="eastAsia" w:ascii="仿宋_GB2312" w:hAnsi="仿宋_GB2312" w:eastAsia="仿宋_GB2312" w:cs="仿宋_GB2312"/>
              </w:rPr>
              <w:t>年以上</w:t>
            </w:r>
            <w:r>
              <w:rPr>
                <w:rFonts w:hint="eastAsia" w:ascii="仿宋_GB2312" w:hAnsi="仿宋_GB2312" w:eastAsia="仿宋_GB2312" w:cs="仿宋_GB2312"/>
                <w:lang w:val="en-US" w:eastAsia="zh-CN"/>
              </w:rPr>
              <w:t>学生公寓管理</w:t>
            </w:r>
            <w:r>
              <w:rPr>
                <w:rFonts w:hint="eastAsia" w:ascii="仿宋_GB2312" w:hAnsi="仿宋_GB2312" w:eastAsia="仿宋_GB2312" w:cs="仿宋_GB2312"/>
              </w:rPr>
              <w:t>工作经验得1分，满分</w:t>
            </w:r>
            <w:r>
              <w:rPr>
                <w:rFonts w:hint="eastAsia" w:ascii="仿宋_GB2312" w:hAnsi="仿宋_GB2312" w:eastAsia="仿宋_GB2312" w:cs="仿宋_GB2312"/>
                <w:lang w:val="en-US" w:eastAsia="zh-CN"/>
              </w:rPr>
              <w:t>6</w:t>
            </w:r>
            <w:r>
              <w:rPr>
                <w:rFonts w:hint="eastAsia" w:ascii="仿宋_GB2312" w:hAnsi="仿宋_GB2312" w:eastAsia="仿宋_GB2312" w:cs="仿宋_GB2312"/>
              </w:rPr>
              <w:t>分。</w:t>
            </w:r>
          </w:p>
          <w:p>
            <w:pPr>
              <w:spacing w:line="380" w:lineRule="exact"/>
              <w:ind w:firstLine="422" w:firstLineChars="200"/>
              <w:rPr>
                <w:rFonts w:hint="eastAsia" w:ascii="仿宋_GB2312" w:hAnsi="仿宋_GB2312" w:eastAsia="仿宋_GB2312" w:cs="仿宋_GB2312"/>
                <w:b/>
                <w:bCs/>
              </w:rPr>
            </w:pPr>
            <w:r>
              <w:rPr>
                <w:rFonts w:hint="eastAsia" w:ascii="仿宋_GB2312" w:hAnsi="仿宋_GB2312" w:eastAsia="仿宋_GB2312" w:cs="仿宋_GB2312"/>
                <w:b/>
                <w:bCs/>
                <w:lang w:val="en-US" w:eastAsia="zh-CN"/>
              </w:rPr>
              <w:t>5</w:t>
            </w:r>
            <w:r>
              <w:rPr>
                <w:rFonts w:hint="eastAsia" w:ascii="仿宋_GB2312" w:hAnsi="仿宋_GB2312" w:eastAsia="仿宋_GB2312" w:cs="仿宋_GB2312"/>
                <w:b/>
                <w:bCs/>
              </w:rPr>
              <w:t>.</w:t>
            </w:r>
            <w:r>
              <w:rPr>
                <w:rFonts w:hint="eastAsia" w:ascii="仿宋_GB2312" w:hAnsi="仿宋_GB2312" w:eastAsia="仿宋_GB2312" w:cs="仿宋_GB2312"/>
                <w:b/>
                <w:bCs/>
                <w:lang w:eastAsia="zh-CN"/>
              </w:rPr>
              <w:t>学员公寓</w:t>
            </w:r>
            <w:r>
              <w:rPr>
                <w:rFonts w:hint="eastAsia" w:ascii="仿宋_GB2312" w:hAnsi="仿宋_GB2312" w:eastAsia="仿宋_GB2312" w:cs="仿宋_GB2312"/>
                <w:b/>
                <w:bCs/>
              </w:rPr>
              <w:t>管理员（2分）：</w:t>
            </w:r>
          </w:p>
          <w:p>
            <w:pPr>
              <w:spacing w:line="380" w:lineRule="exact"/>
              <w:ind w:firstLine="422" w:firstLineChars="200"/>
              <w:rPr>
                <w:rFonts w:hint="eastAsia" w:ascii="仿宋_GB2312" w:hAnsi="仿宋_GB2312" w:eastAsia="仿宋_GB2312" w:cs="仿宋_GB2312"/>
                <w:lang w:val="en-US" w:eastAsia="zh-CN"/>
              </w:rPr>
            </w:pPr>
            <w:r>
              <w:rPr>
                <w:rFonts w:hint="eastAsia" w:ascii="仿宋_GB2312" w:hAnsi="仿宋_GB2312" w:eastAsia="仿宋_GB2312" w:cs="仿宋_GB2312"/>
                <w:b/>
                <w:bCs/>
              </w:rPr>
              <w:t>承诺</w:t>
            </w:r>
            <w:r>
              <w:rPr>
                <w:rFonts w:hint="eastAsia" w:ascii="仿宋_GB2312" w:hAnsi="仿宋_GB2312" w:eastAsia="仿宋_GB2312" w:cs="仿宋_GB2312"/>
              </w:rPr>
              <w:t>每有1名学员公寓管理员具有</w:t>
            </w:r>
            <w:r>
              <w:rPr>
                <w:rFonts w:hint="eastAsia" w:ascii="仿宋_GB2312" w:hAnsi="仿宋_GB2312" w:eastAsia="仿宋_GB2312" w:cs="仿宋_GB2312"/>
                <w:lang w:val="en-US" w:eastAsia="zh-CN"/>
              </w:rPr>
              <w:t>3</w:t>
            </w:r>
            <w:r>
              <w:rPr>
                <w:rFonts w:hint="eastAsia" w:ascii="仿宋_GB2312" w:hAnsi="仿宋_GB2312" w:eastAsia="仿宋_GB2312" w:cs="仿宋_GB2312"/>
              </w:rPr>
              <w:t>年以上接待工作经验得1分，满分2分。</w:t>
            </w:r>
          </w:p>
          <w:p>
            <w:pPr>
              <w:pStyle w:val="38"/>
              <w:ind w:left="0" w:leftChars="0" w:firstLine="422" w:firstLineChars="200"/>
            </w:pPr>
            <w:r>
              <w:rPr>
                <w:rFonts w:hint="eastAsia" w:ascii="仿宋_GB2312" w:eastAsia="仿宋_GB2312" w:cs="Times New Roman"/>
                <w:b/>
                <w:bCs/>
                <w:color w:val="auto"/>
                <w:kern w:val="2"/>
                <w:sz w:val="21"/>
                <w:szCs w:val="24"/>
                <w:highlight w:val="none"/>
                <w:lang w:val="en-US" w:eastAsia="zh-CN" w:bidi="ar-SA"/>
              </w:rPr>
              <w:t>注：</w:t>
            </w:r>
            <w:r>
              <w:rPr>
                <w:rFonts w:hint="eastAsia" w:ascii="仿宋_GB2312" w:hAnsi="Times New Roman" w:eastAsia="仿宋_GB2312" w:cs="Times New Roman"/>
                <w:b/>
                <w:bCs/>
                <w:color w:val="auto"/>
                <w:kern w:val="2"/>
                <w:sz w:val="21"/>
                <w:szCs w:val="24"/>
                <w:highlight w:val="none"/>
                <w:lang w:val="en-US" w:eastAsia="zh-CN" w:bidi="ar-SA"/>
              </w:rPr>
              <w:t>承诺是指</w:t>
            </w:r>
            <w:r>
              <w:rPr>
                <w:rFonts w:hint="eastAsia" w:ascii="仿宋_GB2312" w:eastAsia="仿宋_GB2312" w:cs="Times New Roman"/>
                <w:b/>
                <w:bCs/>
                <w:color w:val="auto"/>
                <w:kern w:val="2"/>
                <w:sz w:val="21"/>
                <w:szCs w:val="24"/>
                <w:highlight w:val="none"/>
                <w:lang w:val="en-US" w:eastAsia="zh-CN" w:bidi="ar-SA"/>
              </w:rPr>
              <w:t>投标人</w:t>
            </w:r>
            <w:r>
              <w:rPr>
                <w:rFonts w:hint="eastAsia" w:ascii="仿宋_GB2312" w:hAnsi="Times New Roman" w:eastAsia="仿宋_GB2312" w:cs="Times New Roman"/>
                <w:b/>
                <w:bCs/>
                <w:color w:val="auto"/>
                <w:kern w:val="2"/>
                <w:sz w:val="21"/>
                <w:szCs w:val="24"/>
                <w:highlight w:val="none"/>
                <w:lang w:val="en-US" w:eastAsia="zh-CN" w:bidi="ar-SA"/>
              </w:rPr>
              <w:t>在《</w:t>
            </w:r>
            <w:r>
              <w:rPr>
                <w:rFonts w:hint="eastAsia" w:ascii="仿宋_GB2312" w:eastAsia="仿宋_GB2312" w:cs="Times New Roman"/>
                <w:b/>
                <w:bCs/>
                <w:color w:val="auto"/>
                <w:kern w:val="2"/>
                <w:sz w:val="21"/>
                <w:szCs w:val="24"/>
                <w:highlight w:val="none"/>
                <w:lang w:val="en-US" w:eastAsia="zh-CN" w:bidi="ar-SA"/>
              </w:rPr>
              <w:t>人员配置分方案</w:t>
            </w:r>
            <w:r>
              <w:rPr>
                <w:rFonts w:hint="eastAsia" w:ascii="仿宋_GB2312" w:hAnsi="Times New Roman" w:eastAsia="仿宋_GB2312" w:cs="Times New Roman"/>
                <w:b/>
                <w:bCs/>
                <w:color w:val="auto"/>
                <w:kern w:val="2"/>
                <w:sz w:val="21"/>
                <w:szCs w:val="24"/>
                <w:highlight w:val="none"/>
                <w:lang w:val="en-US" w:eastAsia="zh-CN" w:bidi="ar-SA"/>
              </w:rPr>
              <w:t>》中响应人员素质信息，无需提供相关证明材料。</w:t>
            </w:r>
          </w:p>
        </w:tc>
        <w:tc>
          <w:tcPr>
            <w:tcW w:w="1034" w:type="dxa"/>
            <w:noWrap w:val="0"/>
            <w:vAlign w:val="center"/>
          </w:tcPr>
          <w:p>
            <w:pPr>
              <w:spacing w:line="360" w:lineRule="exact"/>
              <w:jc w:val="center"/>
              <w:rPr>
                <w:rFonts w:hint="default" w:ascii="仿宋_GB2312" w:hAnsi="仿宋_GB2312" w:eastAsia="仿宋_GB2312" w:cs="仿宋_GB2312"/>
                <w:b/>
                <w:highlight w:val="none"/>
                <w:lang w:val="en-US" w:eastAsia="zh-CN"/>
              </w:rPr>
            </w:pPr>
            <w:r>
              <w:rPr>
                <w:rFonts w:hint="eastAsia" w:ascii="仿宋_GB2312" w:hAnsi="仿宋_GB2312" w:eastAsia="仿宋_GB2312" w:cs="仿宋_GB2312"/>
                <w:b/>
                <w:bCs/>
                <w:highlight w:val="none"/>
                <w:lang w:val="en-US" w:eastAsia="zh-CN"/>
              </w:rPr>
              <w:t>24</w:t>
            </w:r>
          </w:p>
        </w:tc>
        <w:tc>
          <w:tcPr>
            <w:tcW w:w="1467" w:type="dxa"/>
            <w:noWrap w:val="0"/>
            <w:vAlign w:val="center"/>
          </w:tcPr>
          <w:p>
            <w:pPr>
              <w:spacing w:line="360" w:lineRule="exact"/>
              <w:jc w:val="center"/>
              <w:rPr>
                <w:rFonts w:hint="eastAsia" w:ascii="仿宋_GB2312" w:hAnsi="仿宋_GB2312" w:eastAsia="仿宋_GB2312" w:cs="仿宋_GB2312"/>
                <w:highlight w:val="none"/>
                <w:lang w:eastAsia="zh-CN"/>
              </w:rPr>
            </w:pPr>
            <w:r>
              <w:rPr>
                <w:rFonts w:hint="eastAsia" w:ascii="仿宋_GB2312" w:hAnsi="仿宋_GB2312" w:eastAsia="仿宋_GB2312" w:cs="仿宋_GB2312"/>
                <w:highlight w:val="none"/>
                <w:lang w:eastAsia="zh-CN"/>
              </w:rPr>
              <w:t>人员配置分方案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3" w:type="dxa"/>
            <w:noWrap w:val="0"/>
            <w:vAlign w:val="center"/>
          </w:tcPr>
          <w:p>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信誉分</w:t>
            </w:r>
          </w:p>
        </w:tc>
        <w:tc>
          <w:tcPr>
            <w:tcW w:w="1134" w:type="dxa"/>
            <w:tcBorders>
              <w:top w:val="single" w:color="auto" w:sz="4" w:space="0"/>
            </w:tcBorders>
            <w:noWrap w:val="0"/>
            <w:vAlign w:val="center"/>
          </w:tcPr>
          <w:p>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体系认证</w:t>
            </w:r>
          </w:p>
        </w:tc>
        <w:tc>
          <w:tcPr>
            <w:tcW w:w="6213" w:type="dxa"/>
            <w:noWrap w:val="0"/>
            <w:vAlign w:val="center"/>
          </w:tcPr>
          <w:p>
            <w:pPr>
              <w:spacing w:line="380" w:lineRule="exact"/>
              <w:ind w:firstLine="420" w:firstLineChars="200"/>
              <w:rPr>
                <w:rFonts w:ascii="仿宋_GB2312" w:hAnsi="仿宋_GB2312" w:eastAsia="仿宋_GB2312" w:cs="仿宋_GB2312"/>
                <w:highlight w:val="none"/>
              </w:rPr>
            </w:pPr>
            <w:r>
              <w:rPr>
                <w:rFonts w:hint="eastAsia" w:ascii="仿宋_GB2312" w:hAnsi="仿宋_GB2312" w:eastAsia="仿宋_GB2312" w:cs="仿宋_GB2312"/>
                <w:highlight w:val="none"/>
              </w:rPr>
              <w:t>1.投标人具备有效的质量管理体系认证证书得2分，满分</w:t>
            </w:r>
            <w:r>
              <w:rPr>
                <w:rFonts w:ascii="仿宋_GB2312" w:hAnsi="仿宋_GB2312" w:eastAsia="仿宋_GB2312" w:cs="仿宋_GB2312"/>
                <w:highlight w:val="none"/>
              </w:rPr>
              <w:t>2</w:t>
            </w:r>
            <w:r>
              <w:rPr>
                <w:rFonts w:hint="eastAsia" w:ascii="仿宋_GB2312" w:hAnsi="仿宋_GB2312" w:eastAsia="仿宋_GB2312" w:cs="仿宋_GB2312"/>
                <w:highlight w:val="none"/>
              </w:rPr>
              <w:t>分；</w:t>
            </w:r>
          </w:p>
          <w:p>
            <w:pPr>
              <w:spacing w:line="380" w:lineRule="exact"/>
              <w:ind w:firstLine="420" w:firstLineChars="200"/>
              <w:rPr>
                <w:highlight w:val="none"/>
              </w:rPr>
            </w:pPr>
            <w:r>
              <w:rPr>
                <w:rFonts w:hint="eastAsia" w:ascii="仿宋_GB2312" w:hAnsi="仿宋_GB2312" w:eastAsia="仿宋_GB2312" w:cs="仿宋_GB2312"/>
                <w:highlight w:val="none"/>
              </w:rPr>
              <w:t>2.投标人具备有效的职业健康安全管理体系认证证书得</w:t>
            </w:r>
            <w:r>
              <w:rPr>
                <w:rFonts w:ascii="仿宋_GB2312" w:hAnsi="仿宋_GB2312" w:eastAsia="仿宋_GB2312" w:cs="仿宋_GB2312"/>
                <w:highlight w:val="none"/>
              </w:rPr>
              <w:t>2</w:t>
            </w:r>
            <w:r>
              <w:rPr>
                <w:rFonts w:hint="eastAsia" w:ascii="仿宋_GB2312" w:hAnsi="仿宋_GB2312" w:eastAsia="仿宋_GB2312" w:cs="仿宋_GB2312"/>
                <w:highlight w:val="none"/>
              </w:rPr>
              <w:t>分，满分</w:t>
            </w:r>
            <w:r>
              <w:rPr>
                <w:rFonts w:ascii="仿宋_GB2312" w:hAnsi="仿宋_GB2312" w:eastAsia="仿宋_GB2312" w:cs="仿宋_GB2312"/>
                <w:highlight w:val="none"/>
              </w:rPr>
              <w:t>2</w:t>
            </w:r>
            <w:r>
              <w:rPr>
                <w:rFonts w:hint="eastAsia" w:ascii="仿宋_GB2312" w:hAnsi="仿宋_GB2312" w:eastAsia="仿宋_GB2312" w:cs="仿宋_GB2312"/>
                <w:highlight w:val="none"/>
              </w:rPr>
              <w:t>分；</w:t>
            </w:r>
          </w:p>
          <w:p>
            <w:pPr>
              <w:spacing w:line="380" w:lineRule="exact"/>
              <w:ind w:firstLine="420" w:firstLineChars="200"/>
              <w:rPr>
                <w:highlight w:val="none"/>
              </w:rPr>
            </w:pPr>
            <w:r>
              <w:rPr>
                <w:rFonts w:hint="eastAsia" w:ascii="仿宋_GB2312" w:hAnsi="仿宋_GB2312" w:eastAsia="仿宋_GB2312" w:cs="仿宋_GB2312"/>
                <w:highlight w:val="none"/>
              </w:rPr>
              <w:t>3.投标人具备有效的环境管理体系认证证书得</w:t>
            </w:r>
            <w:r>
              <w:rPr>
                <w:rFonts w:ascii="仿宋_GB2312" w:hAnsi="仿宋_GB2312" w:eastAsia="仿宋_GB2312" w:cs="仿宋_GB2312"/>
                <w:highlight w:val="none"/>
              </w:rPr>
              <w:t>2</w:t>
            </w:r>
            <w:r>
              <w:rPr>
                <w:rFonts w:hint="eastAsia" w:ascii="仿宋_GB2312" w:hAnsi="仿宋_GB2312" w:eastAsia="仿宋_GB2312" w:cs="仿宋_GB2312"/>
                <w:highlight w:val="none"/>
              </w:rPr>
              <w:t>分，满分</w:t>
            </w:r>
            <w:r>
              <w:rPr>
                <w:rFonts w:ascii="仿宋_GB2312" w:hAnsi="仿宋_GB2312" w:eastAsia="仿宋_GB2312" w:cs="仿宋_GB2312"/>
                <w:highlight w:val="none"/>
              </w:rPr>
              <w:t>2</w:t>
            </w:r>
            <w:r>
              <w:rPr>
                <w:rFonts w:hint="eastAsia" w:ascii="仿宋_GB2312" w:hAnsi="仿宋_GB2312" w:eastAsia="仿宋_GB2312" w:cs="仿宋_GB2312"/>
                <w:highlight w:val="none"/>
              </w:rPr>
              <w:t>分。</w:t>
            </w:r>
          </w:p>
          <w:p>
            <w:pPr>
              <w:spacing w:line="380" w:lineRule="exact"/>
              <w:ind w:firstLine="422" w:firstLineChars="200"/>
              <w:rPr>
                <w:rFonts w:ascii="仿宋_GB2312" w:hAnsi="仿宋_GB2312" w:eastAsia="仿宋_GB2312" w:cs="仿宋_GB2312"/>
                <w:b/>
                <w:bCs/>
                <w:highlight w:val="none"/>
              </w:rPr>
            </w:pPr>
            <w:r>
              <w:rPr>
                <w:rFonts w:hint="eastAsia" w:ascii="仿宋_GB2312" w:hAnsi="仿宋_GB2312" w:eastAsia="仿宋_GB2312" w:cs="仿宋_GB2312"/>
                <w:b/>
                <w:bCs/>
                <w:highlight w:val="none"/>
              </w:rPr>
              <w:t>注：投标人提供上述证书材料并加盖</w:t>
            </w:r>
            <w:r>
              <w:rPr>
                <w:rFonts w:hint="eastAsia" w:ascii="仿宋_GB2312" w:hAnsi="仿宋_GB2312" w:eastAsia="仿宋_GB2312" w:cs="仿宋_GB2312"/>
                <w:b/>
                <w:highlight w:val="none"/>
              </w:rPr>
              <w:t>投标人</w:t>
            </w:r>
            <w:r>
              <w:rPr>
                <w:rFonts w:hint="eastAsia" w:ascii="仿宋_GB2312" w:hAnsi="仿宋_GB2312" w:eastAsia="仿宋_GB2312" w:cs="仿宋_GB2312"/>
                <w:b/>
                <w:bCs/>
                <w:highlight w:val="none"/>
              </w:rPr>
              <w:t>CA电子签章，否则不予计分。</w:t>
            </w:r>
          </w:p>
        </w:tc>
        <w:tc>
          <w:tcPr>
            <w:tcW w:w="1034" w:type="dxa"/>
            <w:noWrap w:val="0"/>
            <w:vAlign w:val="center"/>
          </w:tcPr>
          <w:p>
            <w:pPr>
              <w:spacing w:line="360" w:lineRule="exact"/>
              <w:jc w:val="center"/>
              <w:rPr>
                <w:rFonts w:ascii="仿宋_GB2312" w:hAnsi="仿宋_GB2312" w:eastAsia="仿宋_GB2312" w:cs="仿宋_GB2312"/>
                <w:b/>
                <w:bCs/>
                <w:highlight w:val="none"/>
              </w:rPr>
            </w:pPr>
            <w:r>
              <w:rPr>
                <w:rFonts w:ascii="仿宋_GB2312" w:hAnsi="仿宋_GB2312" w:eastAsia="仿宋_GB2312" w:cs="仿宋_GB2312"/>
                <w:b/>
                <w:bCs/>
                <w:highlight w:val="none"/>
              </w:rPr>
              <w:t>6</w:t>
            </w:r>
          </w:p>
        </w:tc>
        <w:tc>
          <w:tcPr>
            <w:tcW w:w="1467" w:type="dxa"/>
            <w:noWrap w:val="0"/>
            <w:vAlign w:val="center"/>
          </w:tcPr>
          <w:p>
            <w:pPr>
              <w:spacing w:line="360" w:lineRule="exact"/>
              <w:jc w:val="center"/>
              <w:rPr>
                <w:rFonts w:ascii="仿宋_GB2312" w:hAnsi="仿宋_GB2312" w:eastAsia="仿宋_GB2312" w:cs="仿宋_GB2312"/>
                <w:highlight w:val="none"/>
              </w:rPr>
            </w:pPr>
            <w:r>
              <w:rPr>
                <w:rFonts w:hint="eastAsia" w:ascii="仿宋_GB2312" w:hAnsi="仿宋_GB2312" w:eastAsia="仿宋_GB2312" w:cs="仿宋_GB2312"/>
                <w:highlight w:val="none"/>
              </w:rPr>
              <w:t>相关认证证书材料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3" w:type="dxa"/>
            <w:noWrap w:val="0"/>
            <w:vAlign w:val="center"/>
          </w:tcPr>
          <w:p>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bCs/>
                <w:highlight w:val="none"/>
              </w:rPr>
              <w:t>业绩分</w:t>
            </w:r>
          </w:p>
        </w:tc>
        <w:tc>
          <w:tcPr>
            <w:tcW w:w="1134" w:type="dxa"/>
            <w:noWrap w:val="0"/>
            <w:vAlign w:val="center"/>
          </w:tcPr>
          <w:p>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同类项目经验</w:t>
            </w:r>
          </w:p>
        </w:tc>
        <w:tc>
          <w:tcPr>
            <w:tcW w:w="6213" w:type="dxa"/>
            <w:noWrap w:val="0"/>
            <w:vAlign w:val="center"/>
          </w:tcPr>
          <w:p>
            <w:pPr>
              <w:spacing w:line="380" w:lineRule="exact"/>
              <w:ind w:firstLine="420" w:firstLineChars="200"/>
              <w:rPr>
                <w:rFonts w:ascii="仿宋_GB2312" w:hAnsi="仿宋_GB2312" w:eastAsia="仿宋_GB2312" w:cs="仿宋_GB2312"/>
                <w:highlight w:val="none"/>
              </w:rPr>
            </w:pPr>
            <w:r>
              <w:rPr>
                <w:rFonts w:hint="eastAsia" w:ascii="仿宋_GB2312" w:hAnsi="仿宋_GB2312" w:eastAsia="仿宋_GB2312" w:cs="仿宋_GB2312"/>
                <w:highlight w:val="none"/>
              </w:rPr>
              <w:t>投标人202</w:t>
            </w:r>
            <w:r>
              <w:rPr>
                <w:rFonts w:hint="eastAsia" w:ascii="仿宋_GB2312" w:hAnsi="仿宋_GB2312" w:eastAsia="仿宋_GB2312" w:cs="仿宋_GB2312"/>
                <w:highlight w:val="none"/>
                <w:lang w:val="en-US" w:eastAsia="zh-CN"/>
              </w:rPr>
              <w:t>3</w:t>
            </w:r>
            <w:r>
              <w:rPr>
                <w:rFonts w:hint="eastAsia" w:ascii="仿宋_GB2312" w:hAnsi="仿宋_GB2312" w:eastAsia="仿宋_GB2312" w:cs="仿宋_GB2312"/>
                <w:highlight w:val="none"/>
              </w:rPr>
              <w:t>年1月1日起至今承接的</w:t>
            </w:r>
            <w:r>
              <w:rPr>
                <w:rFonts w:hint="eastAsia" w:ascii="仿宋_GB2312" w:hAnsi="仿宋_GB2312" w:eastAsia="仿宋_GB2312" w:cs="仿宋_GB2312"/>
                <w:highlight w:val="none"/>
                <w:lang w:val="en-US" w:eastAsia="zh-CN"/>
              </w:rPr>
              <w:t>同类物业</w:t>
            </w:r>
            <w:r>
              <w:rPr>
                <w:rFonts w:hint="eastAsia" w:ascii="仿宋_GB2312" w:hAnsi="仿宋_GB2312" w:eastAsia="仿宋_GB2312" w:cs="仿宋_GB2312"/>
                <w:highlight w:val="none"/>
              </w:rPr>
              <w:t>服务项目，每有</w:t>
            </w:r>
            <w:r>
              <w:rPr>
                <w:rFonts w:hint="eastAsia" w:ascii="仿宋_GB2312" w:hAnsi="仿宋_GB2312" w:eastAsia="仿宋_GB2312" w:cs="仿宋_GB2312"/>
                <w:highlight w:val="none"/>
                <w:lang w:val="en-US" w:eastAsia="zh-CN"/>
              </w:rPr>
              <w:t>一份合同</w:t>
            </w:r>
            <w:r>
              <w:rPr>
                <w:rFonts w:hint="eastAsia" w:ascii="仿宋_GB2312" w:hAnsi="仿宋_GB2312" w:eastAsia="仿宋_GB2312" w:cs="仿宋_GB2312"/>
                <w:highlight w:val="none"/>
              </w:rPr>
              <w:t>得</w:t>
            </w:r>
            <w:r>
              <w:rPr>
                <w:rFonts w:ascii="仿宋_GB2312" w:hAnsi="仿宋_GB2312" w:eastAsia="仿宋_GB2312" w:cs="仿宋_GB2312"/>
                <w:highlight w:val="none"/>
              </w:rPr>
              <w:t>2</w:t>
            </w:r>
            <w:r>
              <w:rPr>
                <w:rFonts w:hint="eastAsia" w:ascii="仿宋_GB2312" w:hAnsi="仿宋_GB2312" w:eastAsia="仿宋_GB2312" w:cs="仿宋_GB2312"/>
                <w:highlight w:val="none"/>
              </w:rPr>
              <w:t>分，满分</w:t>
            </w:r>
            <w:r>
              <w:rPr>
                <w:rFonts w:hint="eastAsia" w:ascii="仿宋_GB2312" w:hAnsi="仿宋_GB2312" w:eastAsia="仿宋_GB2312" w:cs="仿宋_GB2312"/>
                <w:highlight w:val="none"/>
                <w:lang w:val="en-US" w:eastAsia="zh-CN"/>
              </w:rPr>
              <w:t>8</w:t>
            </w:r>
            <w:r>
              <w:rPr>
                <w:rFonts w:hint="eastAsia" w:ascii="仿宋_GB2312" w:hAnsi="仿宋_GB2312" w:eastAsia="仿宋_GB2312" w:cs="仿宋_GB2312"/>
                <w:highlight w:val="none"/>
              </w:rPr>
              <w:t>分；</w:t>
            </w:r>
          </w:p>
          <w:p>
            <w:pPr>
              <w:spacing w:line="380" w:lineRule="exact"/>
              <w:ind w:firstLine="422" w:firstLineChars="200"/>
              <w:rPr>
                <w:highlight w:val="none"/>
              </w:rPr>
            </w:pPr>
            <w:r>
              <w:rPr>
                <w:rFonts w:hint="eastAsia" w:ascii="仿宋_GB2312" w:hAnsi="仿宋_GB2312" w:eastAsia="仿宋_GB2312" w:cs="仿宋_GB2312"/>
                <w:b/>
                <w:bCs/>
                <w:highlight w:val="none"/>
              </w:rPr>
              <w:t>注：1.同类物业项目是指服务内容</w:t>
            </w:r>
            <w:r>
              <w:rPr>
                <w:rFonts w:hint="eastAsia" w:ascii="仿宋_GB2312" w:hAnsi="仿宋_GB2312" w:eastAsia="仿宋_GB2312" w:cs="仿宋_GB2312"/>
                <w:b/>
                <w:bCs/>
                <w:highlight w:val="none"/>
                <w:lang w:val="en-US" w:eastAsia="zh-CN"/>
              </w:rPr>
              <w:t>同时</w:t>
            </w:r>
            <w:r>
              <w:rPr>
                <w:rFonts w:hint="eastAsia" w:ascii="仿宋_GB2312" w:hAnsi="仿宋_GB2312" w:eastAsia="仿宋_GB2312" w:cs="仿宋_GB2312"/>
                <w:b/>
                <w:bCs/>
                <w:highlight w:val="none"/>
              </w:rPr>
              <w:t>包含维修、保洁、宿舍管理</w:t>
            </w:r>
            <w:r>
              <w:rPr>
                <w:rFonts w:hint="eastAsia" w:ascii="仿宋_GB2312" w:hAnsi="仿宋_GB2312" w:eastAsia="仿宋_GB2312" w:cs="仿宋_GB2312"/>
                <w:b/>
                <w:bCs/>
                <w:highlight w:val="none"/>
                <w:lang w:eastAsia="zh-CN"/>
              </w:rPr>
              <w:t>、</w:t>
            </w:r>
            <w:r>
              <w:rPr>
                <w:rFonts w:hint="eastAsia" w:ascii="仿宋_GB2312" w:hAnsi="仿宋_GB2312" w:eastAsia="仿宋_GB2312" w:cs="仿宋_GB2312"/>
                <w:b/>
                <w:bCs/>
                <w:color w:val="auto"/>
                <w:highlight w:val="none"/>
                <w:lang w:val="en-US" w:eastAsia="zh-CN"/>
              </w:rPr>
              <w:t>绿化</w:t>
            </w:r>
            <w:r>
              <w:rPr>
                <w:rFonts w:hint="eastAsia" w:ascii="仿宋_GB2312" w:hAnsi="仿宋_GB2312" w:eastAsia="仿宋_GB2312" w:cs="仿宋_GB2312"/>
                <w:b/>
                <w:bCs/>
                <w:highlight w:val="none"/>
              </w:rPr>
              <w:t>内容的物业项目；</w:t>
            </w:r>
          </w:p>
          <w:p>
            <w:pPr>
              <w:spacing w:line="380" w:lineRule="exact"/>
              <w:ind w:firstLine="422" w:firstLineChars="200"/>
              <w:rPr>
                <w:rFonts w:ascii="仿宋_GB2312" w:hAnsi="仿宋_GB2312" w:eastAsia="仿宋_GB2312" w:cs="仿宋_GB2312"/>
                <w:b/>
                <w:bCs/>
                <w:highlight w:val="none"/>
              </w:rPr>
            </w:pPr>
            <w:r>
              <w:rPr>
                <w:rFonts w:hint="eastAsia" w:ascii="仿宋_GB2312" w:hAnsi="仿宋_GB2312" w:eastAsia="仿宋_GB2312" w:cs="仿宋_GB2312"/>
                <w:b/>
                <w:bCs/>
                <w:highlight w:val="none"/>
              </w:rPr>
              <w:t>2.承接时间以合同签订时间为准。</w:t>
            </w:r>
          </w:p>
          <w:p>
            <w:pPr>
              <w:spacing w:line="380" w:lineRule="exact"/>
              <w:ind w:firstLine="422" w:firstLineChars="200"/>
              <w:rPr>
                <w:rFonts w:ascii="仿宋_GB2312" w:hAnsi="仿宋_GB2312" w:eastAsia="仿宋_GB2312" w:cs="仿宋_GB2312"/>
                <w:b/>
                <w:bCs/>
                <w:highlight w:val="none"/>
              </w:rPr>
            </w:pPr>
            <w:r>
              <w:rPr>
                <w:rFonts w:hint="eastAsia" w:ascii="仿宋_GB2312" w:hAnsi="仿宋_GB2312" w:eastAsia="仿宋_GB2312" w:cs="仿宋_GB2312"/>
                <w:b/>
                <w:bCs/>
                <w:highlight w:val="none"/>
              </w:rPr>
              <w:t>3.投标人提供上述合同等材料并加盖投标人CA电子签章，否则不予计分。</w:t>
            </w:r>
          </w:p>
        </w:tc>
        <w:tc>
          <w:tcPr>
            <w:tcW w:w="1034" w:type="dxa"/>
            <w:noWrap w:val="0"/>
            <w:vAlign w:val="center"/>
          </w:tcPr>
          <w:p>
            <w:pPr>
              <w:spacing w:line="360" w:lineRule="exact"/>
              <w:jc w:val="center"/>
              <w:rPr>
                <w:rFonts w:hint="eastAsia" w:ascii="仿宋_GB2312" w:hAnsi="仿宋_GB2312" w:eastAsia="仿宋_GB2312" w:cs="仿宋_GB2312"/>
                <w:b/>
                <w:bCs/>
                <w:highlight w:val="none"/>
                <w:lang w:eastAsia="zh-CN"/>
              </w:rPr>
            </w:pPr>
            <w:r>
              <w:rPr>
                <w:rFonts w:hint="eastAsia" w:ascii="仿宋_GB2312" w:hAnsi="仿宋_GB2312" w:eastAsia="仿宋_GB2312" w:cs="仿宋_GB2312"/>
                <w:b/>
                <w:bCs/>
                <w:highlight w:val="none"/>
                <w:lang w:val="en-US" w:eastAsia="zh-CN"/>
              </w:rPr>
              <w:t>8</w:t>
            </w:r>
          </w:p>
        </w:tc>
        <w:tc>
          <w:tcPr>
            <w:tcW w:w="1467" w:type="dxa"/>
            <w:noWrap w:val="0"/>
            <w:vAlign w:val="center"/>
          </w:tcPr>
          <w:p>
            <w:pPr>
              <w:spacing w:line="360" w:lineRule="exact"/>
              <w:jc w:val="center"/>
              <w:rPr>
                <w:rFonts w:ascii="仿宋_GB2312" w:hAnsi="仿宋_GB2312" w:eastAsia="仿宋_GB2312" w:cs="仿宋_GB2312"/>
                <w:highlight w:val="none"/>
              </w:rPr>
            </w:pPr>
            <w:r>
              <w:rPr>
                <w:rFonts w:hint="eastAsia" w:ascii="仿宋_GB2312" w:hAnsi="仿宋_GB2312" w:eastAsia="仿宋_GB2312" w:cs="仿宋_GB2312"/>
                <w:highlight w:val="none"/>
              </w:rPr>
              <w:t>投标人同类项目经验一览表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40" w:type="dxa"/>
            <w:gridSpan w:val="3"/>
            <w:noWrap w:val="0"/>
            <w:vAlign w:val="center"/>
          </w:tcPr>
          <w:p>
            <w:pPr>
              <w:spacing w:line="440" w:lineRule="exact"/>
              <w:ind w:firstLine="422" w:firstLineChars="200"/>
              <w:jc w:val="center"/>
              <w:rPr>
                <w:rFonts w:ascii="仿宋_GB2312" w:hAnsi="宋体" w:eastAsia="仿宋_GB2312"/>
                <w:b/>
                <w:bCs/>
                <w:highlight w:val="none"/>
              </w:rPr>
            </w:pPr>
            <w:r>
              <w:rPr>
                <w:rFonts w:hint="eastAsia" w:ascii="仿宋_GB2312" w:hAnsi="宋体" w:eastAsia="仿宋_GB2312"/>
                <w:b/>
                <w:bCs/>
                <w:highlight w:val="none"/>
              </w:rPr>
              <w:t>客观分总分</w:t>
            </w:r>
          </w:p>
        </w:tc>
        <w:tc>
          <w:tcPr>
            <w:tcW w:w="1034" w:type="dxa"/>
            <w:noWrap w:val="0"/>
            <w:vAlign w:val="center"/>
          </w:tcPr>
          <w:p>
            <w:pPr>
              <w:spacing w:line="360" w:lineRule="exact"/>
              <w:jc w:val="center"/>
              <w:rPr>
                <w:rFonts w:hint="default" w:ascii="仿宋_GB2312" w:hAnsi="仿宋_GB2312" w:eastAsia="仿宋_GB2312" w:cs="仿宋_GB2312"/>
                <w:b/>
                <w:bCs/>
                <w:highlight w:val="none"/>
                <w:lang w:val="en-US" w:eastAsia="zh-CN"/>
              </w:rPr>
            </w:pPr>
            <w:r>
              <w:rPr>
                <w:rFonts w:hint="eastAsia" w:ascii="仿宋_GB2312" w:hAnsi="仿宋_GB2312" w:eastAsia="仿宋_GB2312" w:cs="仿宋_GB2312"/>
                <w:b/>
                <w:bCs/>
                <w:highlight w:val="none"/>
                <w:lang w:val="en-US" w:eastAsia="zh-CN"/>
              </w:rPr>
              <w:t>60</w:t>
            </w:r>
          </w:p>
        </w:tc>
        <w:tc>
          <w:tcPr>
            <w:tcW w:w="1467" w:type="dxa"/>
            <w:noWrap w:val="0"/>
            <w:vAlign w:val="center"/>
          </w:tcPr>
          <w:p>
            <w:pPr>
              <w:spacing w:line="360" w:lineRule="exact"/>
              <w:jc w:val="center"/>
              <w:rPr>
                <w:rFonts w:ascii="仿宋_GB2312" w:hAnsi="仿宋_GB2312" w:eastAsia="仿宋_GB2312" w:cs="仿宋_GB2312"/>
                <w:b/>
                <w:bCs/>
                <w:highlight w:val="none"/>
              </w:rPr>
            </w:pPr>
          </w:p>
        </w:tc>
      </w:tr>
    </w:tbl>
    <w:tbl>
      <w:tblPr>
        <w:tblStyle w:val="48"/>
        <w:tblpPr w:leftFromText="180" w:rightFromText="180" w:vertAnchor="text" w:horzAnchor="page" w:tblpX="1016" w:tblpY="948"/>
        <w:tblOverlap w:val="never"/>
        <w:tblW w:w="1081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3"/>
        <w:gridCol w:w="1134"/>
        <w:gridCol w:w="6168"/>
        <w:gridCol w:w="1026"/>
        <w:gridCol w:w="14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10811" w:type="dxa"/>
            <w:gridSpan w:val="5"/>
            <w:shd w:val="clear" w:color="auto" w:fill="D7D7D7"/>
            <w:noWrap w:val="0"/>
            <w:vAlign w:val="center"/>
          </w:tcPr>
          <w:p>
            <w:pPr>
              <w:spacing w:line="390" w:lineRule="exact"/>
              <w:ind w:right="-168" w:rightChars="-80"/>
              <w:jc w:val="center"/>
              <w:rPr>
                <w:rFonts w:ascii="仿宋_GB2312" w:eastAsia="仿宋_GB2312"/>
                <w:sz w:val="24"/>
                <w:highlight w:val="none"/>
              </w:rPr>
            </w:pPr>
            <w:r>
              <w:rPr>
                <w:rFonts w:hint="eastAsia" w:ascii="仿宋_GB2312" w:eastAsia="仿宋_GB2312"/>
                <w:b/>
                <w:sz w:val="32"/>
                <w:highlight w:val="none"/>
              </w:rPr>
              <w:t>主观分</w:t>
            </w:r>
            <w:r>
              <w:rPr>
                <w:rFonts w:ascii="仿宋_GB2312" w:eastAsia="仿宋_GB2312"/>
                <w:sz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5" w:hRule="atLeast"/>
        </w:trPr>
        <w:tc>
          <w:tcPr>
            <w:tcW w:w="993" w:type="dxa"/>
            <w:noWrap w:val="0"/>
            <w:vAlign w:val="center"/>
          </w:tcPr>
          <w:p>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评分项</w:t>
            </w:r>
          </w:p>
        </w:tc>
        <w:tc>
          <w:tcPr>
            <w:tcW w:w="1134" w:type="dxa"/>
            <w:noWrap w:val="0"/>
            <w:vAlign w:val="center"/>
          </w:tcPr>
          <w:p>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评审因素</w:t>
            </w:r>
          </w:p>
        </w:tc>
        <w:tc>
          <w:tcPr>
            <w:tcW w:w="6168" w:type="dxa"/>
            <w:noWrap w:val="0"/>
            <w:vAlign w:val="center"/>
          </w:tcPr>
          <w:p>
            <w:pPr>
              <w:spacing w:line="34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评分标准说明</w:t>
            </w:r>
          </w:p>
        </w:tc>
        <w:tc>
          <w:tcPr>
            <w:tcW w:w="1026" w:type="dxa"/>
            <w:noWrap w:val="0"/>
            <w:vAlign w:val="center"/>
          </w:tcPr>
          <w:p>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分值</w:t>
            </w:r>
          </w:p>
        </w:tc>
        <w:tc>
          <w:tcPr>
            <w:tcW w:w="1490" w:type="dxa"/>
            <w:noWrap w:val="0"/>
            <w:vAlign w:val="center"/>
          </w:tcPr>
          <w:p>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对应的投标文件格式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3" w:type="dxa"/>
            <w:vMerge w:val="restart"/>
            <w:noWrap w:val="0"/>
            <w:vAlign w:val="center"/>
          </w:tcPr>
          <w:p>
            <w:pPr>
              <w:spacing w:line="390" w:lineRule="exact"/>
              <w:ind w:right="-168" w:rightChars="-80"/>
              <w:jc w:val="center"/>
              <w:rPr>
                <w:rFonts w:ascii="仿宋_GB2312" w:eastAsia="仿宋_GB2312"/>
                <w:b/>
                <w:sz w:val="24"/>
                <w:highlight w:val="none"/>
              </w:rPr>
            </w:pPr>
            <w:r>
              <w:rPr>
                <w:rFonts w:hint="eastAsia" w:ascii="仿宋_GB2312" w:eastAsia="仿宋_GB2312"/>
                <w:b/>
                <w:sz w:val="24"/>
                <w:highlight w:val="none"/>
              </w:rPr>
              <w:t>服务方案</w:t>
            </w:r>
          </w:p>
        </w:tc>
        <w:tc>
          <w:tcPr>
            <w:tcW w:w="1134" w:type="dxa"/>
            <w:noWrap w:val="0"/>
            <w:vAlign w:val="center"/>
          </w:tcPr>
          <w:p>
            <w:pPr>
              <w:spacing w:line="400" w:lineRule="exact"/>
              <w:jc w:val="center"/>
              <w:rPr>
                <w:rFonts w:ascii="仿宋_GB2312" w:hAnsi="仿宋_GB2312" w:eastAsia="仿宋_GB2312" w:cs="仿宋_GB2312"/>
                <w:highlight w:val="none"/>
              </w:rPr>
            </w:pPr>
            <w:r>
              <w:rPr>
                <w:rFonts w:hint="eastAsia" w:ascii="仿宋_GB2312" w:hAnsi="仿宋_GB2312" w:eastAsia="仿宋_GB2312" w:cs="仿宋_GB2312"/>
                <w:b/>
                <w:bCs/>
                <w:highlight w:val="none"/>
              </w:rPr>
              <w:t>针对本项目的理解分析和</w:t>
            </w:r>
            <w:r>
              <w:rPr>
                <w:rFonts w:hint="eastAsia" w:ascii="仿宋_GB2312" w:hAnsi="仿宋_GB2312" w:eastAsia="仿宋_GB2312" w:cs="仿宋_GB2312"/>
                <w:b/>
                <w:bCs/>
                <w:highlight w:val="none"/>
                <w:lang w:val="en-US" w:eastAsia="zh-CN"/>
              </w:rPr>
              <w:t>物业服务</w:t>
            </w:r>
            <w:r>
              <w:rPr>
                <w:rFonts w:hint="eastAsia" w:ascii="仿宋_GB2312" w:hAnsi="仿宋_GB2312" w:eastAsia="仿宋_GB2312" w:cs="仿宋_GB2312"/>
                <w:b/>
                <w:bCs/>
                <w:highlight w:val="none"/>
              </w:rPr>
              <w:t>方案</w:t>
            </w:r>
          </w:p>
        </w:tc>
        <w:tc>
          <w:tcPr>
            <w:tcW w:w="6168" w:type="dxa"/>
            <w:shd w:val="clear" w:color="auto" w:fill="auto"/>
            <w:noWrap w:val="0"/>
            <w:vAlign w:val="center"/>
          </w:tcPr>
          <w:p>
            <w:pPr>
              <w:widowControl/>
              <w:spacing w:line="400" w:lineRule="exact"/>
              <w:ind w:firstLine="422" w:firstLineChars="200"/>
              <w:rPr>
                <w:rFonts w:ascii="仿宋_GB2312" w:hAnsi="仿宋_GB2312" w:eastAsia="仿宋_GB2312" w:cs="仿宋_GB2312"/>
                <w:szCs w:val="21"/>
                <w:highlight w:val="none"/>
              </w:rPr>
            </w:pPr>
            <w:r>
              <w:rPr>
                <w:rFonts w:hint="eastAsia" w:ascii="仿宋_GB2312" w:hAnsi="仿宋_GB2312" w:eastAsia="仿宋_GB2312" w:cs="仿宋_GB2312"/>
                <w:b/>
                <w:bCs/>
                <w:highlight w:val="none"/>
              </w:rPr>
              <w:t>一档（</w:t>
            </w:r>
            <w:r>
              <w:rPr>
                <w:rFonts w:hint="eastAsia" w:ascii="仿宋_GB2312" w:hAnsi="仿宋_GB2312" w:eastAsia="仿宋_GB2312" w:cs="仿宋_GB2312"/>
                <w:b/>
                <w:bCs/>
                <w:highlight w:val="none"/>
                <w:lang w:val="en-US" w:eastAsia="zh-CN"/>
              </w:rPr>
              <w:t>15</w:t>
            </w:r>
            <w:r>
              <w:rPr>
                <w:rFonts w:hint="eastAsia" w:ascii="仿宋_GB2312" w:hAnsi="仿宋_GB2312" w:eastAsia="仿宋_GB2312" w:cs="仿宋_GB2312"/>
                <w:b/>
                <w:bCs/>
                <w:highlight w:val="none"/>
              </w:rPr>
              <w:t>分）：</w:t>
            </w:r>
            <w:r>
              <w:rPr>
                <w:rFonts w:hint="eastAsia" w:ascii="仿宋_GB2312" w:hAnsi="仿宋_GB2312" w:eastAsia="仿宋_GB2312" w:cs="仿宋_GB2312"/>
                <w:color w:val="auto"/>
                <w:kern w:val="2"/>
                <w:sz w:val="21"/>
                <w:szCs w:val="24"/>
                <w:highlight w:val="none"/>
                <w:lang w:val="en-US" w:eastAsia="zh-CN" w:bidi="ar-SA"/>
              </w:rPr>
              <w:t>对高校校园特点、师生需求、后勤管理、重点区域（办公楼、实训教学楼、学生公寓、学员公寓、礼堂）理解全面精准，有专题分析，明确服务重难点与风险点，内容完整详细、描述准确、针对性强；工作方案全覆盖，涵盖保洁、维修、公寓管理、绿化、有害生物防治、垃圾分类及清理、化粪池清掏及管道疏通、</w:t>
            </w:r>
            <w:r>
              <w:rPr>
                <w:rFonts w:hint="eastAsia" w:ascii="仿宋_GB2312" w:hAnsi="仿宋_GB2312" w:eastAsia="仿宋_GB2312" w:cs="仿宋_GB2312"/>
                <w:b w:val="0"/>
                <w:bCs w:val="0"/>
                <w:sz w:val="21"/>
                <w:szCs w:val="21"/>
                <w:highlight w:val="none"/>
              </w:rPr>
              <w:t>蓄水池（箱）清洗消毒和水质</w:t>
            </w:r>
            <w:r>
              <w:rPr>
                <w:rFonts w:hint="eastAsia" w:ascii="仿宋_GB2312" w:hAnsi="仿宋_GB2312" w:eastAsia="仿宋_GB2312" w:cs="仿宋_GB2312"/>
                <w:b w:val="0"/>
                <w:bCs w:val="0"/>
                <w:sz w:val="21"/>
                <w:szCs w:val="21"/>
                <w:highlight w:val="none"/>
                <w:lang w:eastAsia="zh-CN"/>
              </w:rPr>
              <w:t>检测</w:t>
            </w:r>
            <w:r>
              <w:rPr>
                <w:rFonts w:hint="eastAsia" w:ascii="仿宋_GB2312" w:hAnsi="仿宋_GB2312" w:eastAsia="仿宋_GB2312" w:cs="仿宋_GB2312"/>
                <w:color w:val="auto"/>
                <w:kern w:val="2"/>
                <w:sz w:val="21"/>
                <w:szCs w:val="21"/>
                <w:highlight w:val="none"/>
                <w:lang w:val="en-US" w:eastAsia="zh-CN" w:bidi="ar-SA"/>
              </w:rPr>
              <w:t>，提供标准化、规范化服务，切实可行，有详细可行的服务流程</w:t>
            </w:r>
            <w:r>
              <w:rPr>
                <w:rFonts w:hint="eastAsia" w:ascii="仿宋_GB2312" w:hAnsi="仿宋_GB2312" w:eastAsia="仿宋_GB2312" w:cs="仿宋_GB2312"/>
                <w:color w:val="auto"/>
                <w:szCs w:val="21"/>
                <w:highlight w:val="none"/>
              </w:rPr>
              <w:t>，实施性强</w:t>
            </w:r>
            <w:r>
              <w:rPr>
                <w:rFonts w:hint="eastAsia" w:ascii="仿宋_GB2312" w:hAnsi="仿宋_GB2312" w:eastAsia="仿宋_GB2312" w:cs="仿宋_GB2312"/>
                <w:color w:val="auto"/>
                <w:szCs w:val="21"/>
                <w:highlight w:val="none"/>
                <w:lang w:eastAsia="zh-CN"/>
              </w:rPr>
              <w:t>，</w:t>
            </w:r>
            <w:r>
              <w:rPr>
                <w:rFonts w:hint="eastAsia" w:ascii="仿宋_GB2312" w:hAnsi="仿宋_GB2312" w:eastAsia="仿宋_GB2312" w:cs="仿宋_GB2312"/>
                <w:color w:val="auto"/>
                <w:kern w:val="2"/>
                <w:sz w:val="21"/>
                <w:szCs w:val="21"/>
                <w:highlight w:val="none"/>
                <w:lang w:val="en-US" w:eastAsia="zh-CN" w:bidi="ar-SA"/>
              </w:rPr>
              <w:t>且服务流程科学合理、高效优化；保洁和公寓管理有专门针对流行性疾病防控常态化方案。</w:t>
            </w:r>
          </w:p>
          <w:p>
            <w:pPr>
              <w:widowControl/>
              <w:spacing w:line="400" w:lineRule="exact"/>
              <w:ind w:firstLine="422" w:firstLineChars="200"/>
              <w:rPr>
                <w:rFonts w:hint="default" w:ascii="仿宋_GB2312" w:hAnsi="仿宋_GB2312" w:eastAsia="仿宋_GB2312" w:cs="仿宋_GB2312"/>
                <w:highlight w:val="none"/>
                <w:lang w:val="en-US" w:eastAsia="zh-CN"/>
              </w:rPr>
            </w:pPr>
            <w:r>
              <w:rPr>
                <w:rFonts w:hint="eastAsia" w:ascii="仿宋_GB2312" w:hAnsi="仿宋_GB2312" w:eastAsia="仿宋_GB2312" w:cs="仿宋_GB2312"/>
                <w:b/>
                <w:bCs/>
                <w:highlight w:val="none"/>
              </w:rPr>
              <w:t>二档（</w:t>
            </w:r>
            <w:r>
              <w:rPr>
                <w:rFonts w:hint="eastAsia" w:ascii="仿宋_GB2312" w:hAnsi="仿宋_GB2312" w:eastAsia="仿宋_GB2312" w:cs="仿宋_GB2312"/>
                <w:b/>
                <w:bCs/>
                <w:highlight w:val="none"/>
                <w:lang w:val="en-US" w:eastAsia="zh-CN"/>
              </w:rPr>
              <w:t>8</w:t>
            </w:r>
            <w:r>
              <w:rPr>
                <w:rFonts w:hint="eastAsia" w:ascii="仿宋_GB2312" w:hAnsi="仿宋_GB2312" w:eastAsia="仿宋_GB2312" w:cs="仿宋_GB2312"/>
                <w:b/>
                <w:bCs/>
                <w:highlight w:val="none"/>
              </w:rPr>
              <w:t>分）：</w:t>
            </w:r>
            <w:r>
              <w:rPr>
                <w:rFonts w:hint="eastAsia" w:ascii="仿宋_GB2312" w:hAnsi="仿宋_GB2312" w:eastAsia="仿宋_GB2312" w:cs="仿宋_GB2312"/>
                <w:color w:val="auto"/>
                <w:highlight w:val="none"/>
                <w:lang w:val="en-US" w:eastAsia="zh-CN"/>
              </w:rPr>
              <w:t>对本项目理解较全面，能识别主要服务需求和重点区域，工作方案覆盖主要服务内容（</w:t>
            </w:r>
            <w:r>
              <w:rPr>
                <w:rFonts w:hint="eastAsia" w:ascii="仿宋_GB2312" w:hAnsi="仿宋_GB2312" w:eastAsia="仿宋_GB2312" w:cs="仿宋_GB2312"/>
                <w:highlight w:val="none"/>
                <w:lang w:val="en-US" w:eastAsia="zh-CN"/>
              </w:rPr>
              <w:t>保洁、维修、绿化、学生公寓管理、垃圾分类及清理、有害生物防治</w:t>
            </w:r>
            <w:r>
              <w:rPr>
                <w:rFonts w:hint="eastAsia" w:ascii="仿宋_GB2312" w:hAnsi="仿宋_GB2312" w:eastAsia="仿宋_GB2312" w:cs="仿宋_GB2312"/>
                <w:color w:val="auto"/>
                <w:highlight w:val="none"/>
                <w:lang w:val="en-US" w:eastAsia="zh-CN"/>
              </w:rPr>
              <w:t>），对高校物业特点有基本分析</w:t>
            </w:r>
            <w:r>
              <w:rPr>
                <w:rFonts w:hint="eastAsia" w:ascii="仿宋_GB2312" w:hAnsi="仿宋_GB2312" w:eastAsia="仿宋_GB2312" w:cs="仿宋_GB2312"/>
                <w:color w:val="auto"/>
                <w:highlight w:val="none"/>
              </w:rPr>
              <w:t>，具有一定的合理性</w:t>
            </w:r>
            <w:r>
              <w:rPr>
                <w:rFonts w:hint="eastAsia" w:ascii="仿宋_GB2312" w:hAnsi="仿宋_GB2312" w:eastAsia="仿宋_GB2312" w:cs="仿宋_GB2312"/>
                <w:color w:val="auto"/>
                <w:highlight w:val="none"/>
                <w:lang w:val="en-US" w:eastAsia="zh-CN"/>
              </w:rPr>
              <w:t>但针对性一般</w:t>
            </w:r>
            <w:r>
              <w:rPr>
                <w:rFonts w:hint="eastAsia" w:ascii="仿宋_GB2312" w:hAnsi="仿宋_GB2312" w:eastAsia="仿宋_GB2312" w:cs="仿宋_GB2312"/>
                <w:color w:val="auto"/>
                <w:highlight w:val="none"/>
                <w:lang w:eastAsia="zh-CN"/>
              </w:rPr>
              <w:t>；有</w:t>
            </w:r>
            <w:r>
              <w:rPr>
                <w:rFonts w:hint="eastAsia" w:ascii="仿宋_GB2312" w:hAnsi="仿宋_GB2312" w:eastAsia="仿宋_GB2312" w:cs="仿宋_GB2312"/>
                <w:color w:val="auto"/>
                <w:highlight w:val="none"/>
              </w:rPr>
              <w:t>较详细的服务流程，服务流程较合理；</w:t>
            </w:r>
            <w:r>
              <w:rPr>
                <w:rFonts w:hint="eastAsia" w:ascii="仿宋_GB2312" w:hAnsi="仿宋_GB2312" w:eastAsia="仿宋_GB2312" w:cs="仿宋_GB2312"/>
                <w:color w:val="auto"/>
                <w:highlight w:val="none"/>
                <w:lang w:val="en-US" w:eastAsia="zh-CN"/>
              </w:rPr>
              <w:t>人员、设备、作业标准配置较好，可操作性较好。</w:t>
            </w:r>
          </w:p>
          <w:p>
            <w:pPr>
              <w:widowControl/>
              <w:spacing w:line="400" w:lineRule="exact"/>
              <w:ind w:firstLine="422" w:firstLineChars="200"/>
              <w:rPr>
                <w:rFonts w:ascii="仿宋_GB2312" w:hAnsi="仿宋_GB2312" w:eastAsia="仿宋_GB2312" w:cs="仿宋_GB2312"/>
                <w:highlight w:val="none"/>
              </w:rPr>
            </w:pPr>
            <w:r>
              <w:rPr>
                <w:rFonts w:hint="eastAsia" w:ascii="仿宋_GB2312" w:hAnsi="仿宋_GB2312" w:eastAsia="仿宋_GB2312" w:cs="仿宋_GB2312"/>
                <w:b/>
                <w:bCs/>
                <w:highlight w:val="none"/>
              </w:rPr>
              <w:t>三档（</w:t>
            </w:r>
            <w:r>
              <w:rPr>
                <w:rFonts w:hint="eastAsia" w:ascii="仿宋_GB2312" w:hAnsi="仿宋_GB2312" w:eastAsia="仿宋_GB2312" w:cs="仿宋_GB2312"/>
                <w:b/>
                <w:bCs/>
                <w:highlight w:val="none"/>
                <w:lang w:val="en-US" w:eastAsia="zh-CN"/>
              </w:rPr>
              <w:t>4</w:t>
            </w:r>
            <w:r>
              <w:rPr>
                <w:rFonts w:hint="eastAsia" w:ascii="仿宋_GB2312" w:hAnsi="仿宋_GB2312" w:eastAsia="仿宋_GB2312" w:cs="仿宋_GB2312"/>
                <w:b/>
                <w:bCs/>
                <w:highlight w:val="none"/>
              </w:rPr>
              <w:t>分）：</w:t>
            </w:r>
            <w:r>
              <w:rPr>
                <w:rFonts w:hint="eastAsia" w:ascii="仿宋_GB2312" w:hAnsi="仿宋_GB2312" w:eastAsia="仿宋_GB2312" w:cs="仿宋_GB2312"/>
                <w:color w:val="auto"/>
                <w:highlight w:val="none"/>
              </w:rPr>
              <w:t>对项目需求理解不够到位</w:t>
            </w:r>
            <w:r>
              <w:rPr>
                <w:rFonts w:hint="eastAsia" w:ascii="仿宋_GB2312" w:hAnsi="仿宋_GB2312" w:eastAsia="仿宋_GB2312" w:cs="仿宋_GB2312"/>
                <w:color w:val="auto"/>
                <w:szCs w:val="24"/>
                <w:highlight w:val="none"/>
              </w:rPr>
              <w:t>，科学合理性较弱</w:t>
            </w:r>
            <w:r>
              <w:rPr>
                <w:rFonts w:hint="eastAsia" w:ascii="仿宋_GB2312" w:hAnsi="仿宋_GB2312" w:eastAsia="仿宋_GB2312" w:cs="仿宋_GB2312"/>
                <w:color w:val="auto"/>
                <w:szCs w:val="24"/>
                <w:highlight w:val="none"/>
                <w:lang w:eastAsia="zh-CN"/>
              </w:rPr>
              <w:t>，</w:t>
            </w:r>
            <w:r>
              <w:rPr>
                <w:rFonts w:hint="eastAsia" w:ascii="仿宋_GB2312" w:hAnsi="仿宋_GB2312" w:eastAsia="仿宋_GB2312" w:cs="仿宋_GB2312"/>
                <w:color w:val="auto"/>
                <w:szCs w:val="24"/>
                <w:highlight w:val="none"/>
                <w:lang w:val="en-US" w:eastAsia="zh-CN"/>
              </w:rPr>
              <w:t>未结合高校特点分析，工作方案缺项，配置与标准笼统，量化不足，可操作性一般，仅简单复述招标文件内容，无针对性分析</w:t>
            </w:r>
            <w:r>
              <w:rPr>
                <w:rFonts w:hint="eastAsia" w:ascii="仿宋_GB2312" w:hAnsi="仿宋_GB2312" w:eastAsia="仿宋_GB2312" w:cs="仿宋_GB2312"/>
                <w:highlight w:val="none"/>
              </w:rPr>
              <w:t>。方案满足采购需求</w:t>
            </w:r>
            <w:r>
              <w:rPr>
                <w:rFonts w:hint="eastAsia" w:ascii="仿宋_GB2312" w:hAnsi="仿宋_GB2312" w:eastAsia="仿宋_GB2312" w:cs="仿宋_GB2312"/>
                <w:highlight w:val="none"/>
                <w:lang w:eastAsia="zh-CN"/>
              </w:rPr>
              <w:t>（</w:t>
            </w:r>
            <w:r>
              <w:rPr>
                <w:rFonts w:hint="eastAsia" w:ascii="仿宋_GB2312" w:hAnsi="仿宋_GB2312" w:eastAsia="仿宋_GB2312" w:cs="仿宋_GB2312"/>
                <w:highlight w:val="none"/>
                <w:lang w:val="en-US" w:eastAsia="zh-CN"/>
              </w:rPr>
              <w:t>保洁、维修、学生公寓管理、绿化</w:t>
            </w:r>
            <w:r>
              <w:rPr>
                <w:rFonts w:hint="eastAsia" w:ascii="仿宋_GB2312" w:hAnsi="仿宋_GB2312" w:eastAsia="仿宋_GB2312" w:cs="仿宋_GB2312"/>
                <w:highlight w:val="none"/>
                <w:lang w:eastAsia="zh-CN"/>
              </w:rPr>
              <w:t>）</w:t>
            </w:r>
            <w:r>
              <w:rPr>
                <w:rFonts w:hint="eastAsia" w:ascii="仿宋_GB2312" w:hAnsi="仿宋_GB2312" w:eastAsia="仿宋_GB2312" w:cs="仿宋_GB2312"/>
                <w:highlight w:val="none"/>
              </w:rPr>
              <w:t>，</w:t>
            </w:r>
            <w:r>
              <w:rPr>
                <w:rFonts w:hint="eastAsia" w:ascii="仿宋_GB2312" w:hAnsi="仿宋_GB2312" w:eastAsia="仿宋_GB2312" w:cs="仿宋_GB2312"/>
                <w:color w:val="auto"/>
                <w:highlight w:val="none"/>
                <w:lang w:val="en-US" w:eastAsia="zh-CN"/>
              </w:rPr>
              <w:t>内容简单</w:t>
            </w:r>
            <w:r>
              <w:rPr>
                <w:rFonts w:hint="eastAsia" w:ascii="仿宋_GB2312" w:hAnsi="仿宋_GB2312" w:eastAsia="仿宋_GB2312" w:cs="仿宋_GB2312"/>
                <w:highlight w:val="none"/>
              </w:rPr>
              <w:t>，</w:t>
            </w:r>
            <w:r>
              <w:rPr>
                <w:rFonts w:hint="eastAsia" w:ascii="仿宋_GB2312" w:hAnsi="仿宋_GB2312" w:eastAsia="仿宋_GB2312" w:cs="仿宋_GB2312"/>
                <w:highlight w:val="none"/>
                <w:lang w:val="en-US" w:eastAsia="zh-CN"/>
              </w:rPr>
              <w:t>无可操作性标准</w:t>
            </w:r>
            <w:r>
              <w:rPr>
                <w:rFonts w:hint="eastAsia" w:ascii="仿宋_GB2312" w:hAnsi="仿宋_GB2312" w:eastAsia="仿宋_GB2312" w:cs="仿宋_GB2312"/>
                <w:highlight w:val="none"/>
              </w:rPr>
              <w:t>。</w:t>
            </w:r>
          </w:p>
          <w:p>
            <w:pPr>
              <w:pStyle w:val="26"/>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bCs/>
                <w:color w:val="auto"/>
                <w:szCs w:val="21"/>
                <w:highlight w:val="none"/>
                <w:lang w:eastAsia="zh-CN"/>
              </w:rPr>
            </w:pPr>
            <w:r>
              <w:rPr>
                <w:rFonts w:hint="eastAsia" w:ascii="仿宋_GB2312" w:hAnsi="仿宋_GB2312" w:eastAsia="仿宋_GB2312" w:cs="仿宋_GB2312"/>
                <w:b/>
                <w:bCs/>
                <w:color w:val="auto"/>
                <w:szCs w:val="21"/>
                <w:highlight w:val="none"/>
              </w:rPr>
              <w:t>注：1.</w:t>
            </w:r>
            <w:r>
              <w:rPr>
                <w:rFonts w:hint="eastAsia" w:ascii="仿宋_GB2312" w:hAnsi="仿宋_GB2312" w:eastAsia="仿宋_GB2312" w:cs="仿宋_GB2312"/>
                <w:b/>
                <w:bCs/>
                <w:color w:val="auto"/>
                <w:szCs w:val="21"/>
                <w:highlight w:val="none"/>
                <w:lang w:val="en-US" w:eastAsia="zh-CN"/>
              </w:rPr>
              <w:t>对本项目的理解和分析</w:t>
            </w:r>
            <w:r>
              <w:rPr>
                <w:rFonts w:hint="eastAsia" w:ascii="仿宋_GB2312" w:hAnsi="仿宋_GB2312" w:eastAsia="仿宋_GB2312" w:cs="仿宋_GB2312"/>
                <w:b/>
                <w:bCs/>
                <w:color w:val="auto"/>
                <w:szCs w:val="21"/>
                <w:highlight w:val="none"/>
              </w:rPr>
              <w:t>包括</w:t>
            </w:r>
            <w:r>
              <w:rPr>
                <w:rFonts w:hint="eastAsia" w:ascii="仿宋_GB2312" w:hAnsi="仿宋_GB2312" w:eastAsia="仿宋_GB2312" w:cs="仿宋_GB2312"/>
                <w:b/>
                <w:bCs/>
                <w:color w:val="auto"/>
                <w:szCs w:val="21"/>
                <w:highlight w:val="none"/>
                <w:lang w:val="en-US" w:eastAsia="zh-CN"/>
              </w:rPr>
              <w:t>但不限于</w:t>
            </w:r>
            <w:r>
              <w:rPr>
                <w:rFonts w:hint="eastAsia" w:ascii="仿宋_GB2312" w:hAnsi="仿宋_GB2312" w:eastAsia="仿宋_GB2312" w:cs="仿宋_GB2312"/>
                <w:b/>
                <w:bCs/>
                <w:color w:val="auto"/>
                <w:szCs w:val="21"/>
                <w:highlight w:val="none"/>
                <w:lang w:eastAsia="zh-CN"/>
              </w:rPr>
              <w:t>：（</w:t>
            </w:r>
            <w:r>
              <w:rPr>
                <w:rFonts w:hint="eastAsia" w:ascii="仿宋_GB2312" w:hAnsi="仿宋_GB2312" w:eastAsia="仿宋_GB2312" w:cs="仿宋_GB2312"/>
                <w:b/>
                <w:bCs/>
                <w:color w:val="auto"/>
                <w:szCs w:val="21"/>
                <w:highlight w:val="none"/>
                <w:lang w:val="en-US" w:eastAsia="zh-CN"/>
              </w:rPr>
              <w:t>1）</w:t>
            </w:r>
            <w:r>
              <w:rPr>
                <w:rFonts w:hint="eastAsia" w:ascii="仿宋_GB2312" w:hAnsi="仿宋_GB2312" w:eastAsia="仿宋_GB2312" w:cs="仿宋_GB2312"/>
                <w:b/>
                <w:bCs/>
                <w:color w:val="auto"/>
                <w:highlight w:val="none"/>
              </w:rPr>
              <w:t>针对本项目服务内容进行理解分析</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核心需求把握、场景特点分析、重难点问题识别，以及方案设计完整性、针对性、可操作性、科学性，覆盖校园服务全流程；</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val="en-US" w:eastAsia="zh-CN"/>
              </w:rPr>
              <w:t>2</w:t>
            </w:r>
            <w:r>
              <w:rPr>
                <w:rFonts w:hint="eastAsia" w:ascii="仿宋_GB2312" w:hAnsi="仿宋_GB2312" w:eastAsia="仿宋_GB2312" w:cs="仿宋_GB2312"/>
                <w:b/>
                <w:bCs/>
                <w:color w:val="auto"/>
                <w:szCs w:val="21"/>
                <w:highlight w:val="none"/>
              </w:rPr>
              <w:t>）保洁</w:t>
            </w:r>
            <w:r>
              <w:rPr>
                <w:rFonts w:hint="eastAsia" w:ascii="仿宋_GB2312" w:hAnsi="仿宋_GB2312" w:eastAsia="仿宋_GB2312" w:cs="仿宋_GB2312"/>
                <w:b/>
                <w:bCs/>
                <w:color w:val="auto"/>
                <w:szCs w:val="21"/>
                <w:highlight w:val="none"/>
                <w:lang w:eastAsia="zh-CN"/>
              </w:rPr>
              <w:t>方案</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eastAsia="zh-CN"/>
              </w:rPr>
              <w:t>（</w:t>
            </w:r>
            <w:r>
              <w:rPr>
                <w:rFonts w:hint="eastAsia" w:ascii="仿宋_GB2312" w:hAnsi="仿宋_GB2312" w:eastAsia="仿宋_GB2312" w:cs="仿宋_GB2312"/>
                <w:b/>
                <w:bCs/>
                <w:color w:val="auto"/>
                <w:szCs w:val="21"/>
                <w:highlight w:val="none"/>
                <w:lang w:val="en-US" w:eastAsia="zh-CN"/>
              </w:rPr>
              <w:t>3</w:t>
            </w:r>
            <w:r>
              <w:rPr>
                <w:rFonts w:hint="eastAsia" w:ascii="仿宋_GB2312" w:hAnsi="仿宋_GB2312" w:eastAsia="仿宋_GB2312" w:cs="仿宋_GB2312"/>
                <w:b/>
                <w:bCs/>
                <w:color w:val="auto"/>
                <w:szCs w:val="21"/>
                <w:highlight w:val="none"/>
                <w:lang w:eastAsia="zh-CN"/>
              </w:rPr>
              <w:t>）</w:t>
            </w:r>
            <w:r>
              <w:rPr>
                <w:rFonts w:hint="eastAsia" w:ascii="仿宋_GB2312" w:hAnsi="仿宋_GB2312" w:eastAsia="仿宋_GB2312" w:cs="仿宋_GB2312"/>
                <w:b/>
                <w:bCs/>
                <w:color w:val="auto"/>
                <w:szCs w:val="21"/>
                <w:highlight w:val="none"/>
              </w:rPr>
              <w:t>设施设备维护</w:t>
            </w:r>
            <w:r>
              <w:rPr>
                <w:rFonts w:hint="eastAsia" w:ascii="仿宋_GB2312" w:hAnsi="仿宋_GB2312" w:eastAsia="仿宋_GB2312" w:cs="仿宋_GB2312"/>
                <w:b/>
                <w:bCs/>
                <w:color w:val="auto"/>
                <w:szCs w:val="21"/>
                <w:highlight w:val="none"/>
                <w:lang w:eastAsia="zh-CN"/>
              </w:rPr>
              <w:t>方案；</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val="en-US" w:eastAsia="zh-CN"/>
              </w:rPr>
              <w:t>4</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val="en-US" w:eastAsia="zh-CN"/>
              </w:rPr>
              <w:t>公寓管理方案</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eastAsia="zh-CN"/>
              </w:rPr>
              <w:t>（</w:t>
            </w:r>
            <w:r>
              <w:rPr>
                <w:rFonts w:hint="eastAsia" w:ascii="仿宋_GB2312" w:hAnsi="仿宋_GB2312" w:eastAsia="仿宋_GB2312" w:cs="仿宋_GB2312"/>
                <w:b/>
                <w:bCs/>
                <w:color w:val="auto"/>
                <w:szCs w:val="21"/>
                <w:highlight w:val="none"/>
                <w:lang w:val="en-US" w:eastAsia="zh-CN"/>
              </w:rPr>
              <w:t>5</w:t>
            </w:r>
            <w:r>
              <w:rPr>
                <w:rFonts w:hint="eastAsia" w:ascii="仿宋_GB2312" w:hAnsi="仿宋_GB2312" w:eastAsia="仿宋_GB2312" w:cs="仿宋_GB2312"/>
                <w:b/>
                <w:bCs/>
                <w:color w:val="auto"/>
                <w:szCs w:val="21"/>
                <w:highlight w:val="none"/>
                <w:lang w:eastAsia="zh-CN"/>
              </w:rPr>
              <w:t>）</w:t>
            </w:r>
            <w:r>
              <w:rPr>
                <w:rFonts w:hint="eastAsia" w:ascii="仿宋_GB2312" w:hAnsi="仿宋_GB2312" w:eastAsia="仿宋_GB2312" w:cs="仿宋_GB2312"/>
                <w:b/>
                <w:bCs/>
                <w:color w:val="auto"/>
                <w:szCs w:val="21"/>
                <w:highlight w:val="none"/>
                <w:lang w:val="en-US" w:eastAsia="zh-CN"/>
              </w:rPr>
              <w:t>绿化服务方案；</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val="en-US" w:eastAsia="zh-CN"/>
              </w:rPr>
              <w:t>6</w:t>
            </w:r>
            <w:r>
              <w:rPr>
                <w:rFonts w:hint="eastAsia" w:ascii="仿宋_GB2312" w:hAnsi="仿宋_GB2312" w:eastAsia="仿宋_GB2312" w:cs="仿宋_GB2312"/>
                <w:b/>
                <w:bCs/>
                <w:color w:val="auto"/>
                <w:szCs w:val="21"/>
                <w:highlight w:val="none"/>
                <w:lang w:eastAsia="zh-CN"/>
              </w:rPr>
              <w:t>）</w:t>
            </w:r>
            <w:r>
              <w:rPr>
                <w:rFonts w:hint="eastAsia" w:ascii="仿宋_GB2312" w:hAnsi="仿宋_GB2312" w:eastAsia="仿宋_GB2312" w:cs="仿宋_GB2312"/>
                <w:b/>
                <w:bCs/>
                <w:color w:val="auto"/>
                <w:szCs w:val="21"/>
                <w:highlight w:val="none"/>
                <w:lang w:val="en-US" w:eastAsia="zh-CN"/>
              </w:rPr>
              <w:t>有害生物综合防治方案；（7）化粪池清掏管道疏通方案；（8）水质消毒及检测方案；</w:t>
            </w:r>
            <w:r>
              <w:rPr>
                <w:rFonts w:hint="eastAsia" w:ascii="仿宋_GB2312" w:hAnsi="仿宋_GB2312" w:eastAsia="仿宋_GB2312" w:cs="仿宋_GB2312"/>
                <w:b/>
                <w:bCs/>
                <w:color w:val="auto"/>
                <w:szCs w:val="21"/>
                <w:highlight w:val="none"/>
                <w:lang w:eastAsia="zh-CN"/>
              </w:rPr>
              <w:t>（</w:t>
            </w:r>
            <w:r>
              <w:rPr>
                <w:rFonts w:hint="eastAsia" w:ascii="仿宋_GB2312" w:hAnsi="仿宋_GB2312" w:eastAsia="仿宋_GB2312" w:cs="仿宋_GB2312"/>
                <w:b/>
                <w:bCs/>
                <w:color w:val="auto"/>
                <w:szCs w:val="21"/>
                <w:highlight w:val="none"/>
                <w:lang w:val="en-US" w:eastAsia="zh-CN"/>
              </w:rPr>
              <w:t>9</w:t>
            </w:r>
            <w:r>
              <w:rPr>
                <w:rFonts w:hint="eastAsia" w:ascii="仿宋_GB2312" w:hAnsi="仿宋_GB2312" w:eastAsia="仿宋_GB2312" w:cs="仿宋_GB2312"/>
                <w:b/>
                <w:bCs/>
                <w:color w:val="auto"/>
                <w:szCs w:val="21"/>
                <w:highlight w:val="none"/>
                <w:lang w:eastAsia="zh-CN"/>
              </w:rPr>
              <w:t>）</w:t>
            </w:r>
            <w:r>
              <w:rPr>
                <w:rFonts w:hint="eastAsia" w:ascii="仿宋_GB2312" w:hAnsi="仿宋_GB2312" w:eastAsia="仿宋_GB2312" w:cs="仿宋_GB2312"/>
                <w:b/>
                <w:bCs/>
                <w:color w:val="auto"/>
                <w:szCs w:val="21"/>
                <w:highlight w:val="none"/>
                <w:lang w:val="en-US" w:eastAsia="zh-CN"/>
              </w:rPr>
              <w:t>垃圾分类及清理方案</w:t>
            </w:r>
            <w:r>
              <w:rPr>
                <w:rFonts w:hint="eastAsia" w:ascii="仿宋_GB2312" w:hAnsi="仿宋_GB2312" w:eastAsia="仿宋_GB2312" w:cs="仿宋_GB2312"/>
                <w:b/>
                <w:bCs/>
                <w:szCs w:val="24"/>
                <w:highlight w:val="none"/>
              </w:rPr>
              <w:t xml:space="preserve">。 </w:t>
            </w:r>
          </w:p>
          <w:p>
            <w:pPr>
              <w:widowControl/>
              <w:spacing w:line="400" w:lineRule="exact"/>
              <w:ind w:firstLine="422" w:firstLineChars="200"/>
              <w:rPr>
                <w:rFonts w:ascii="仿宋_GB2312" w:hAnsi="仿宋_GB2312" w:eastAsia="仿宋_GB2312" w:cs="仿宋_GB2312"/>
                <w:kern w:val="2"/>
                <w:sz w:val="21"/>
                <w:szCs w:val="24"/>
                <w:highlight w:val="none"/>
                <w:lang w:val="en-US" w:eastAsia="zh-CN" w:bidi="ar-SA"/>
              </w:rPr>
            </w:pPr>
            <w:r>
              <w:rPr>
                <w:rFonts w:hint="eastAsia" w:ascii="仿宋_GB2312" w:hAnsi="仿宋_GB2312" w:eastAsia="仿宋_GB2312" w:cs="仿宋_GB2312"/>
                <w:b/>
                <w:bCs/>
                <w:color w:val="auto"/>
                <w:szCs w:val="21"/>
                <w:highlight w:val="none"/>
                <w:lang w:val="en-US" w:eastAsia="zh-CN"/>
              </w:rPr>
              <w:t>2.</w:t>
            </w:r>
            <w:r>
              <w:rPr>
                <w:rFonts w:hint="eastAsia" w:ascii="仿宋_GB2312" w:hAnsi="仿宋_GB2312" w:eastAsia="仿宋_GB2312" w:cs="仿宋_GB2312"/>
                <w:b/>
                <w:bCs/>
                <w:color w:val="auto"/>
                <w:szCs w:val="21"/>
                <w:highlight w:val="none"/>
              </w:rPr>
              <w:t>未提供方案或提供的内容与本项目无关的得0分。</w:t>
            </w:r>
          </w:p>
        </w:tc>
        <w:tc>
          <w:tcPr>
            <w:tcW w:w="1026" w:type="dxa"/>
            <w:noWrap w:val="0"/>
            <w:vAlign w:val="center"/>
          </w:tcPr>
          <w:p>
            <w:pPr>
              <w:spacing w:line="400" w:lineRule="exact"/>
              <w:jc w:val="center"/>
              <w:rPr>
                <w:rFonts w:hint="default" w:ascii="仿宋_GB2312" w:hAnsi="仿宋_GB2312" w:eastAsia="仿宋_GB2312" w:cs="仿宋_GB2312"/>
                <w:b/>
                <w:bCs/>
                <w:highlight w:val="none"/>
                <w:lang w:val="en-US" w:eastAsia="zh-CN"/>
              </w:rPr>
            </w:pPr>
            <w:r>
              <w:rPr>
                <w:rFonts w:hint="eastAsia" w:ascii="仿宋_GB2312" w:hAnsi="仿宋_GB2312" w:eastAsia="仿宋_GB2312" w:cs="仿宋_GB2312"/>
                <w:b/>
                <w:bCs/>
                <w:highlight w:val="none"/>
                <w:lang w:val="en-US" w:eastAsia="zh-CN"/>
              </w:rPr>
              <w:t>15</w:t>
            </w:r>
          </w:p>
        </w:tc>
        <w:tc>
          <w:tcPr>
            <w:tcW w:w="1490" w:type="dxa"/>
            <w:noWrap w:val="0"/>
            <w:vAlign w:val="center"/>
          </w:tcPr>
          <w:p>
            <w:pPr>
              <w:spacing w:line="400" w:lineRule="exact"/>
              <w:jc w:val="center"/>
              <w:rPr>
                <w:rFonts w:ascii="仿宋_GB2312" w:hAnsi="仿宋_GB2312" w:eastAsia="仿宋_GB2312" w:cs="仿宋_GB2312"/>
                <w:b/>
                <w:bCs/>
                <w:highlight w:val="none"/>
              </w:rPr>
            </w:pPr>
            <w:r>
              <w:rPr>
                <w:rFonts w:hint="eastAsia" w:ascii="仿宋_GB2312" w:hAnsi="仿宋_GB2312" w:eastAsia="仿宋_GB2312" w:cs="仿宋_GB2312"/>
                <w:highlight w:val="none"/>
              </w:rPr>
              <w:t>针对本项目的理解分析和</w:t>
            </w:r>
            <w:r>
              <w:rPr>
                <w:rFonts w:hint="eastAsia" w:ascii="仿宋_GB2312" w:hAnsi="仿宋_GB2312" w:eastAsia="仿宋_GB2312" w:cs="仿宋_GB2312"/>
                <w:highlight w:val="none"/>
                <w:lang w:eastAsia="zh-CN"/>
              </w:rPr>
              <w:t>物业服务</w:t>
            </w:r>
            <w:r>
              <w:rPr>
                <w:rFonts w:hint="eastAsia" w:ascii="仿宋_GB2312" w:hAnsi="仿宋_GB2312" w:eastAsia="仿宋_GB2312" w:cs="仿宋_GB2312"/>
                <w:bCs/>
                <w:highlight w:val="none"/>
              </w:rPr>
              <w:t>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5" w:hRule="atLeast"/>
        </w:trPr>
        <w:tc>
          <w:tcPr>
            <w:tcW w:w="993" w:type="dxa"/>
            <w:vMerge w:val="continue"/>
            <w:noWrap w:val="0"/>
            <w:vAlign w:val="center"/>
          </w:tcPr>
          <w:p>
            <w:pPr>
              <w:spacing w:line="390" w:lineRule="exact"/>
              <w:ind w:right="-168" w:rightChars="-80"/>
              <w:jc w:val="center"/>
              <w:rPr>
                <w:rFonts w:ascii="仿宋_GB2312" w:eastAsia="仿宋_GB2312"/>
                <w:b/>
                <w:sz w:val="24"/>
                <w:highlight w:val="none"/>
              </w:rPr>
            </w:pPr>
          </w:p>
        </w:tc>
        <w:tc>
          <w:tcPr>
            <w:tcW w:w="1134" w:type="dxa"/>
            <w:noWrap w:val="0"/>
            <w:vAlign w:val="center"/>
          </w:tcPr>
          <w:p>
            <w:pPr>
              <w:widowControl/>
              <w:spacing w:line="400" w:lineRule="exact"/>
              <w:jc w:val="center"/>
              <w:rPr>
                <w:rFonts w:ascii="仿宋_GB2312" w:hAnsi="仿宋_GB2312" w:eastAsia="仿宋_GB2312" w:cs="仿宋_GB2312"/>
                <w:highlight w:val="none"/>
              </w:rPr>
            </w:pPr>
            <w:r>
              <w:rPr>
                <w:rFonts w:hint="eastAsia" w:ascii="仿宋_GB2312" w:hAnsi="仿宋_GB2312" w:eastAsia="仿宋_GB2312" w:cs="仿宋_GB2312"/>
                <w:b/>
                <w:highlight w:val="none"/>
              </w:rPr>
              <w:t>针对本项目的管理模式和管理机制</w:t>
            </w:r>
          </w:p>
        </w:tc>
        <w:tc>
          <w:tcPr>
            <w:tcW w:w="6168" w:type="dxa"/>
            <w:noWrap w:val="0"/>
            <w:vAlign w:val="center"/>
          </w:tcPr>
          <w:p>
            <w:pPr>
              <w:widowControl/>
              <w:tabs>
                <w:tab w:val="left" w:pos="312"/>
              </w:tabs>
              <w:spacing w:line="400" w:lineRule="exact"/>
              <w:ind w:firstLine="422" w:firstLineChars="200"/>
              <w:rPr>
                <w:rFonts w:ascii="仿宋_GB2312" w:hAnsi="仿宋_GB2312" w:eastAsia="仿宋_GB2312" w:cs="仿宋_GB2312"/>
                <w:highlight w:val="none"/>
              </w:rPr>
            </w:pPr>
            <w:r>
              <w:rPr>
                <w:rFonts w:hint="eastAsia" w:ascii="仿宋_GB2312" w:hAnsi="仿宋_GB2312" w:eastAsia="仿宋_GB2312" w:cs="仿宋_GB2312"/>
                <w:b/>
                <w:bCs/>
                <w:highlight w:val="none"/>
              </w:rPr>
              <w:t>一档（</w:t>
            </w:r>
            <w:r>
              <w:rPr>
                <w:rFonts w:hint="eastAsia" w:ascii="仿宋_GB2312" w:hAnsi="仿宋_GB2312" w:eastAsia="仿宋_GB2312" w:cs="仿宋_GB2312"/>
                <w:b/>
                <w:bCs/>
                <w:highlight w:val="none"/>
                <w:lang w:val="en-US" w:eastAsia="zh-CN"/>
              </w:rPr>
              <w:t>8</w:t>
            </w:r>
            <w:r>
              <w:rPr>
                <w:rFonts w:hint="eastAsia" w:ascii="仿宋_GB2312" w:hAnsi="仿宋_GB2312" w:eastAsia="仿宋_GB2312" w:cs="仿宋_GB2312"/>
                <w:b/>
                <w:bCs/>
                <w:highlight w:val="none"/>
              </w:rPr>
              <w:t>分）：</w:t>
            </w:r>
            <w:r>
              <w:rPr>
                <w:rFonts w:hint="eastAsia" w:ascii="仿宋_GB2312" w:eastAsia="仿宋_GB2312"/>
                <w:highlight w:val="none"/>
              </w:rPr>
              <w:t>方案针对本项目服务内容及需求，岗位制度及服务要求详细，切合实际，具体实施能高度配合采购人相关工作，科学合理，各项管理制度完善、详细、可行；</w:t>
            </w:r>
          </w:p>
          <w:p>
            <w:pPr>
              <w:widowControl/>
              <w:tabs>
                <w:tab w:val="left" w:pos="312"/>
              </w:tabs>
              <w:spacing w:line="400" w:lineRule="exact"/>
              <w:ind w:firstLine="422" w:firstLineChars="200"/>
              <w:rPr>
                <w:rFonts w:ascii="仿宋_GB2312" w:hAnsi="仿宋_GB2312" w:eastAsia="仿宋_GB2312" w:cs="仿宋_GB2312"/>
                <w:highlight w:val="none"/>
              </w:rPr>
            </w:pPr>
            <w:r>
              <w:rPr>
                <w:rFonts w:hint="eastAsia" w:ascii="仿宋_GB2312" w:hAnsi="仿宋_GB2312" w:eastAsia="仿宋_GB2312" w:cs="仿宋_GB2312"/>
                <w:b/>
                <w:bCs/>
                <w:highlight w:val="none"/>
              </w:rPr>
              <w:t>二档（</w:t>
            </w:r>
            <w:r>
              <w:rPr>
                <w:rFonts w:hint="eastAsia" w:ascii="仿宋_GB2312" w:hAnsi="仿宋_GB2312" w:eastAsia="仿宋_GB2312" w:cs="仿宋_GB2312"/>
                <w:b/>
                <w:bCs/>
                <w:highlight w:val="none"/>
                <w:lang w:val="en-US" w:eastAsia="zh-CN"/>
              </w:rPr>
              <w:t>5</w:t>
            </w:r>
            <w:r>
              <w:rPr>
                <w:rFonts w:hint="eastAsia" w:ascii="仿宋_GB2312" w:hAnsi="仿宋_GB2312" w:eastAsia="仿宋_GB2312" w:cs="仿宋_GB2312"/>
                <w:b/>
                <w:bCs/>
                <w:highlight w:val="none"/>
              </w:rPr>
              <w:t>分）：</w:t>
            </w:r>
            <w:r>
              <w:rPr>
                <w:rFonts w:hint="eastAsia" w:ascii="仿宋_GB2312" w:eastAsia="仿宋_GB2312"/>
                <w:highlight w:val="none"/>
              </w:rPr>
              <w:t>方案能较好满足采购需求，具有一定的科学合理性，各项管理制度较完善</w:t>
            </w:r>
            <w:r>
              <w:rPr>
                <w:rFonts w:hint="eastAsia" w:ascii="仿宋_GB2312" w:hAnsi="仿宋_GB2312" w:eastAsia="仿宋_GB2312" w:cs="仿宋_GB2312"/>
                <w:highlight w:val="none"/>
              </w:rPr>
              <w:t>；</w:t>
            </w:r>
          </w:p>
          <w:p>
            <w:pPr>
              <w:widowControl/>
              <w:spacing w:line="400" w:lineRule="exact"/>
              <w:ind w:firstLine="422" w:firstLineChars="200"/>
              <w:rPr>
                <w:rFonts w:ascii="仿宋_GB2312" w:hAnsi="仿宋_GB2312" w:eastAsia="仿宋_GB2312" w:cs="仿宋_GB2312"/>
                <w:highlight w:val="none"/>
              </w:rPr>
            </w:pPr>
            <w:r>
              <w:rPr>
                <w:rFonts w:hint="eastAsia" w:ascii="仿宋_GB2312" w:hAnsi="仿宋_GB2312" w:eastAsia="仿宋_GB2312" w:cs="仿宋_GB2312"/>
                <w:b/>
                <w:bCs/>
                <w:highlight w:val="none"/>
              </w:rPr>
              <w:t>三档（</w:t>
            </w:r>
            <w:r>
              <w:rPr>
                <w:rFonts w:hint="eastAsia" w:ascii="仿宋_GB2312" w:hAnsi="仿宋_GB2312" w:eastAsia="仿宋_GB2312" w:cs="仿宋_GB2312"/>
                <w:b/>
                <w:bCs/>
                <w:highlight w:val="none"/>
                <w:lang w:val="en-US" w:eastAsia="zh-CN"/>
              </w:rPr>
              <w:t>3</w:t>
            </w:r>
            <w:r>
              <w:rPr>
                <w:rFonts w:hint="eastAsia" w:ascii="仿宋_GB2312" w:hAnsi="仿宋_GB2312" w:eastAsia="仿宋_GB2312" w:cs="仿宋_GB2312"/>
                <w:b/>
                <w:bCs/>
                <w:highlight w:val="none"/>
              </w:rPr>
              <w:t>分）：</w:t>
            </w:r>
            <w:r>
              <w:rPr>
                <w:rFonts w:hint="eastAsia" w:ascii="仿宋_GB2312" w:hAnsi="仿宋_GB2312" w:eastAsia="仿宋_GB2312" w:cs="仿宋_GB2312"/>
                <w:b w:val="0"/>
                <w:bCs w:val="0"/>
                <w:highlight w:val="none"/>
                <w:lang w:eastAsia="zh-CN"/>
              </w:rPr>
              <w:t>有各岗位责任制度和服务管理制度，</w:t>
            </w:r>
            <w:r>
              <w:rPr>
                <w:rFonts w:hint="eastAsia" w:ascii="仿宋_GB2312" w:eastAsia="仿宋_GB2312"/>
                <w:highlight w:val="none"/>
              </w:rPr>
              <w:t>管理制度内容简单</w:t>
            </w:r>
            <w:r>
              <w:rPr>
                <w:rFonts w:hint="eastAsia" w:ascii="仿宋_GB2312" w:hAnsi="仿宋_GB2312" w:eastAsia="仿宋_GB2312" w:cs="仿宋_GB2312"/>
                <w:highlight w:val="none"/>
              </w:rPr>
              <w:t>。</w:t>
            </w:r>
          </w:p>
          <w:p>
            <w:pPr>
              <w:widowControl/>
              <w:spacing w:line="400" w:lineRule="exact"/>
              <w:ind w:firstLine="422" w:firstLineChars="200"/>
              <w:rPr>
                <w:rFonts w:ascii="仿宋_GB2312" w:hAnsi="仿宋_GB2312" w:eastAsia="仿宋_GB2312" w:cs="仿宋_GB2312"/>
                <w:b/>
                <w:bCs/>
                <w:highlight w:val="none"/>
              </w:rPr>
            </w:pPr>
            <w:r>
              <w:rPr>
                <w:rFonts w:hint="eastAsia" w:ascii="仿宋_GB2312" w:hAnsi="仿宋_GB2312" w:eastAsia="仿宋_GB2312" w:cs="仿宋_GB2312"/>
                <w:b/>
                <w:bCs/>
                <w:highlight w:val="none"/>
              </w:rPr>
              <w:t>注：1.该方案内容包括但不限于：（1）岗位责任制度；（2）服务沟通机制；（3）工作记录及档案管理（包括交接验收资料、巡视记录、档案管理、投诉与处理记录、其它管理与服务活动记录等）。</w:t>
            </w:r>
          </w:p>
          <w:p>
            <w:pPr>
              <w:widowControl/>
              <w:spacing w:line="400" w:lineRule="exact"/>
              <w:ind w:firstLine="422" w:firstLineChars="200"/>
              <w:rPr>
                <w:rFonts w:ascii="仿宋_GB2312" w:hAnsi="仿宋_GB2312" w:eastAsia="仿宋_GB2312" w:cs="仿宋_GB2312"/>
                <w:highlight w:val="none"/>
              </w:rPr>
            </w:pPr>
            <w:r>
              <w:rPr>
                <w:rFonts w:hint="eastAsia" w:ascii="仿宋_GB2312" w:hAnsi="仿宋_GB2312" w:eastAsia="仿宋_GB2312" w:cs="仿宋_GB2312"/>
                <w:b/>
                <w:bCs/>
                <w:highlight w:val="none"/>
              </w:rPr>
              <w:t>2.未提供方案或提供的内容与本项目无关的得0分。</w:t>
            </w:r>
          </w:p>
        </w:tc>
        <w:tc>
          <w:tcPr>
            <w:tcW w:w="1026" w:type="dxa"/>
            <w:noWrap w:val="0"/>
            <w:vAlign w:val="center"/>
          </w:tcPr>
          <w:p>
            <w:pPr>
              <w:spacing w:line="400" w:lineRule="exact"/>
              <w:jc w:val="center"/>
              <w:rPr>
                <w:rFonts w:hint="eastAsia" w:ascii="仿宋_GB2312" w:hAnsi="仿宋_GB2312" w:eastAsia="仿宋_GB2312" w:cs="仿宋_GB2312"/>
                <w:b/>
                <w:bCs/>
                <w:highlight w:val="none"/>
                <w:lang w:eastAsia="zh-CN"/>
              </w:rPr>
            </w:pPr>
            <w:r>
              <w:rPr>
                <w:rFonts w:hint="eastAsia" w:ascii="仿宋_GB2312" w:hAnsi="仿宋_GB2312" w:eastAsia="仿宋_GB2312" w:cs="仿宋_GB2312"/>
                <w:b/>
                <w:bCs/>
                <w:highlight w:val="none"/>
                <w:lang w:val="en-US" w:eastAsia="zh-CN"/>
              </w:rPr>
              <w:t>8</w:t>
            </w:r>
          </w:p>
        </w:tc>
        <w:tc>
          <w:tcPr>
            <w:tcW w:w="1490" w:type="dxa"/>
            <w:noWrap w:val="0"/>
            <w:vAlign w:val="center"/>
          </w:tcPr>
          <w:p>
            <w:pPr>
              <w:spacing w:line="400" w:lineRule="exact"/>
              <w:jc w:val="center"/>
              <w:rPr>
                <w:rFonts w:ascii="仿宋_GB2312" w:hAnsi="仿宋_GB2312" w:eastAsia="仿宋_GB2312" w:cs="仿宋_GB2312"/>
                <w:b/>
                <w:bCs/>
                <w:highlight w:val="none"/>
              </w:rPr>
            </w:pPr>
            <w:r>
              <w:rPr>
                <w:rFonts w:hint="eastAsia" w:ascii="仿宋_GB2312" w:hAnsi="仿宋_GB2312" w:eastAsia="仿宋_GB2312" w:cs="仿宋_GB2312"/>
                <w:highlight w:val="none"/>
              </w:rPr>
              <w:t>针对本项目的管理模式和管理机制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3" w:type="dxa"/>
            <w:noWrap w:val="0"/>
            <w:vAlign w:val="center"/>
          </w:tcPr>
          <w:p>
            <w:pPr>
              <w:spacing w:line="390" w:lineRule="exact"/>
              <w:ind w:right="-168" w:rightChars="-80"/>
              <w:jc w:val="center"/>
              <w:rPr>
                <w:rFonts w:ascii="仿宋_GB2312" w:eastAsia="仿宋_GB2312"/>
                <w:b/>
                <w:sz w:val="24"/>
                <w:highlight w:val="none"/>
              </w:rPr>
            </w:pPr>
            <w:r>
              <w:rPr>
                <w:rFonts w:hint="eastAsia" w:ascii="仿宋_GB2312" w:eastAsia="仿宋_GB2312"/>
                <w:b/>
                <w:sz w:val="24"/>
                <w:highlight w:val="none"/>
              </w:rPr>
              <w:t>服务方案</w:t>
            </w:r>
          </w:p>
        </w:tc>
        <w:tc>
          <w:tcPr>
            <w:tcW w:w="1134" w:type="dxa"/>
            <w:noWrap w:val="0"/>
            <w:vAlign w:val="center"/>
          </w:tcPr>
          <w:p>
            <w:pPr>
              <w:spacing w:line="360" w:lineRule="exact"/>
              <w:jc w:val="center"/>
              <w:rPr>
                <w:rFonts w:ascii="仿宋_GB2312" w:hAnsi="仿宋_GB2312" w:eastAsia="仿宋_GB2312" w:cs="仿宋_GB2312"/>
                <w:b/>
                <w:bCs/>
                <w:highlight w:val="none"/>
              </w:rPr>
            </w:pPr>
            <w:r>
              <w:rPr>
                <w:rFonts w:hint="eastAsia" w:ascii="仿宋_GB2312" w:hAnsi="仿宋_GB2312" w:eastAsia="仿宋_GB2312" w:cs="仿宋_GB2312"/>
                <w:b/>
                <w:highlight w:val="none"/>
              </w:rPr>
              <w:t>应急预案和应急配合方案</w:t>
            </w:r>
          </w:p>
        </w:tc>
        <w:tc>
          <w:tcPr>
            <w:tcW w:w="6168" w:type="dxa"/>
            <w:noWrap w:val="0"/>
            <w:vAlign w:val="center"/>
          </w:tcPr>
          <w:p>
            <w:pPr>
              <w:spacing w:line="400" w:lineRule="exact"/>
              <w:ind w:firstLine="422" w:firstLineChars="200"/>
              <w:rPr>
                <w:rFonts w:ascii="仿宋_GB2312" w:hAnsi="仿宋_GB2312" w:eastAsia="仿宋_GB2312" w:cs="仿宋_GB2312"/>
                <w:highlight w:val="none"/>
              </w:rPr>
            </w:pPr>
            <w:r>
              <w:rPr>
                <w:rFonts w:hint="eastAsia" w:ascii="仿宋_GB2312" w:hAnsi="仿宋_GB2312" w:eastAsia="仿宋_GB2312" w:cs="仿宋_GB2312"/>
                <w:b/>
                <w:bCs/>
                <w:highlight w:val="none"/>
              </w:rPr>
              <w:t>一档（</w:t>
            </w:r>
            <w:r>
              <w:rPr>
                <w:rFonts w:hint="eastAsia" w:ascii="仿宋_GB2312" w:hAnsi="仿宋_GB2312" w:eastAsia="仿宋_GB2312" w:cs="仿宋_GB2312"/>
                <w:b/>
                <w:bCs/>
                <w:highlight w:val="none"/>
                <w:lang w:val="en-US" w:eastAsia="zh-CN"/>
              </w:rPr>
              <w:t>5</w:t>
            </w:r>
            <w:r>
              <w:rPr>
                <w:rFonts w:hint="eastAsia" w:ascii="仿宋_GB2312" w:hAnsi="仿宋_GB2312" w:eastAsia="仿宋_GB2312" w:cs="仿宋_GB2312"/>
                <w:b/>
                <w:bCs/>
                <w:highlight w:val="none"/>
              </w:rPr>
              <w:t>分）：</w:t>
            </w:r>
            <w:r>
              <w:rPr>
                <w:rFonts w:hint="eastAsia" w:ascii="仿宋_GB2312" w:hAnsi="仿宋_GB2312" w:eastAsia="仿宋_GB2312" w:cs="仿宋_GB2312"/>
                <w:b w:val="0"/>
                <w:bCs w:val="0"/>
                <w:highlight w:val="none"/>
              </w:rPr>
              <w:t>用电应急预案、用水应急预案、台风暴雨应急预案、突发火灾应急预案、设备故障应急预案、公共安全及卫生应急预案</w:t>
            </w:r>
            <w:r>
              <w:rPr>
                <w:rFonts w:hint="eastAsia" w:ascii="仿宋_GB2312" w:hAnsi="仿宋_GB2312" w:eastAsia="仿宋_GB2312" w:cs="仿宋_GB2312"/>
                <w:b w:val="0"/>
                <w:bCs w:val="0"/>
                <w:highlight w:val="none"/>
                <w:lang w:eastAsia="zh-CN"/>
              </w:rPr>
              <w:t>。</w:t>
            </w:r>
            <w:r>
              <w:rPr>
                <w:rFonts w:hint="eastAsia" w:ascii="仿宋_GB2312" w:eastAsia="仿宋_GB2312"/>
                <w:highlight w:val="none"/>
              </w:rPr>
              <w:t>报告程序、处理措施、注意事项及相关记录科学合理、可操作性强，联动联防机制保障力度强，应急措施从项目实际出发，针对性强，实施性强；</w:t>
            </w:r>
          </w:p>
          <w:p>
            <w:pPr>
              <w:spacing w:line="400" w:lineRule="exact"/>
              <w:ind w:firstLine="422" w:firstLineChars="200"/>
              <w:rPr>
                <w:rFonts w:ascii="仿宋_GB2312" w:hAnsi="仿宋_GB2312" w:eastAsia="仿宋_GB2312" w:cs="仿宋_GB2312"/>
                <w:highlight w:val="none"/>
              </w:rPr>
            </w:pPr>
            <w:r>
              <w:rPr>
                <w:rFonts w:hint="eastAsia" w:ascii="仿宋_GB2312" w:hAnsi="仿宋_GB2312" w:eastAsia="仿宋_GB2312" w:cs="仿宋_GB2312"/>
                <w:b/>
                <w:bCs/>
                <w:highlight w:val="none"/>
              </w:rPr>
              <w:t>二档（</w:t>
            </w:r>
            <w:r>
              <w:rPr>
                <w:rFonts w:hint="eastAsia" w:ascii="仿宋_GB2312" w:hAnsi="仿宋_GB2312" w:eastAsia="仿宋_GB2312" w:cs="仿宋_GB2312"/>
                <w:b/>
                <w:bCs/>
                <w:highlight w:val="none"/>
                <w:lang w:val="en-US" w:eastAsia="zh-CN"/>
              </w:rPr>
              <w:t>3</w:t>
            </w:r>
            <w:r>
              <w:rPr>
                <w:rFonts w:hint="eastAsia" w:ascii="仿宋_GB2312" w:hAnsi="仿宋_GB2312" w:eastAsia="仿宋_GB2312" w:cs="仿宋_GB2312"/>
                <w:b/>
                <w:bCs/>
                <w:highlight w:val="none"/>
              </w:rPr>
              <w:t>分）：</w:t>
            </w:r>
            <w:r>
              <w:rPr>
                <w:rFonts w:hint="default" w:ascii="仿宋_GB2312" w:hAnsi="仿宋_GB2312" w:eastAsia="仿宋_GB2312" w:cs="仿宋_GB2312"/>
                <w:b w:val="0"/>
                <w:bCs w:val="0"/>
                <w:highlight w:val="none"/>
                <w:lang w:val="en-US"/>
              </w:rPr>
              <w:t>用电应急预案、用水应急预案、台风暴雨应急预案、突发火灾应急预案、设备故障应急预案、公共安全及卫生应急预案</w:t>
            </w:r>
            <w:r>
              <w:rPr>
                <w:rFonts w:hint="default" w:ascii="仿宋_GB2312" w:eastAsia="仿宋_GB2312"/>
                <w:highlight w:val="none"/>
                <w:lang w:val="en-US"/>
              </w:rPr>
              <w:t>具有一定的科学性、可操作性较强</w:t>
            </w:r>
            <w:r>
              <w:rPr>
                <w:rFonts w:hint="eastAsia" w:ascii="仿宋_GB2312" w:hAnsi="仿宋_GB2312" w:eastAsia="仿宋_GB2312" w:cs="仿宋_GB2312"/>
                <w:highlight w:val="none"/>
              </w:rPr>
              <w:t>；</w:t>
            </w:r>
          </w:p>
          <w:p>
            <w:pPr>
              <w:spacing w:line="400" w:lineRule="exact"/>
              <w:ind w:firstLine="422" w:firstLineChars="200"/>
              <w:rPr>
                <w:rFonts w:ascii="仿宋_GB2312" w:hAnsi="仿宋_GB2312" w:eastAsia="仿宋_GB2312" w:cs="仿宋_GB2312"/>
                <w:highlight w:val="none"/>
              </w:rPr>
            </w:pPr>
            <w:r>
              <w:rPr>
                <w:rFonts w:hint="eastAsia" w:ascii="仿宋_GB2312" w:hAnsi="仿宋_GB2312" w:eastAsia="仿宋_GB2312" w:cs="仿宋_GB2312"/>
                <w:b/>
                <w:bCs/>
                <w:highlight w:val="none"/>
              </w:rPr>
              <w:t>三档（</w:t>
            </w:r>
            <w:r>
              <w:rPr>
                <w:rFonts w:hint="eastAsia" w:ascii="仿宋_GB2312" w:hAnsi="仿宋_GB2312" w:eastAsia="仿宋_GB2312" w:cs="仿宋_GB2312"/>
                <w:b/>
                <w:bCs/>
                <w:highlight w:val="none"/>
                <w:lang w:val="en-US" w:eastAsia="zh-CN"/>
              </w:rPr>
              <w:t>1</w:t>
            </w:r>
            <w:r>
              <w:rPr>
                <w:rFonts w:hint="eastAsia" w:ascii="仿宋_GB2312" w:hAnsi="仿宋_GB2312" w:eastAsia="仿宋_GB2312" w:cs="仿宋_GB2312"/>
                <w:b/>
                <w:bCs/>
                <w:highlight w:val="none"/>
              </w:rPr>
              <w:t>分）：</w:t>
            </w:r>
            <w:r>
              <w:rPr>
                <w:rFonts w:hint="default" w:ascii="仿宋_GB2312" w:hAnsi="仿宋_GB2312" w:eastAsia="仿宋_GB2312" w:cs="仿宋_GB2312"/>
                <w:b w:val="0"/>
                <w:bCs w:val="0"/>
                <w:highlight w:val="none"/>
                <w:lang w:val="en-US"/>
              </w:rPr>
              <w:t>用电应急预案、用水应急预案、台风暴雨应急预案、突发火灾应急预案、设备故障应急预案、公共安全及卫生应急预案</w:t>
            </w:r>
            <w:r>
              <w:rPr>
                <w:rFonts w:hint="default" w:ascii="仿宋_GB2312" w:eastAsia="仿宋_GB2312"/>
                <w:highlight w:val="none"/>
                <w:lang w:val="en-US"/>
              </w:rPr>
              <w:t>科学性、可操作性一般</w:t>
            </w:r>
            <w:r>
              <w:rPr>
                <w:rFonts w:hint="eastAsia" w:ascii="仿宋_GB2312" w:hAnsi="仿宋_GB2312" w:eastAsia="仿宋_GB2312" w:cs="仿宋_GB2312"/>
                <w:highlight w:val="none"/>
              </w:rPr>
              <w:t>。</w:t>
            </w:r>
          </w:p>
          <w:p>
            <w:pPr>
              <w:spacing w:line="400" w:lineRule="exact"/>
              <w:ind w:firstLine="422" w:firstLineChars="200"/>
              <w:rPr>
                <w:rFonts w:ascii="仿宋_GB2312" w:hAnsi="仿宋_GB2312" w:eastAsia="仿宋_GB2312" w:cs="仿宋_GB2312"/>
                <w:highlight w:val="none"/>
              </w:rPr>
            </w:pPr>
            <w:r>
              <w:rPr>
                <w:rFonts w:hint="eastAsia" w:ascii="仿宋_GB2312" w:hAnsi="仿宋_GB2312" w:eastAsia="仿宋_GB2312" w:cs="仿宋_GB2312"/>
                <w:b/>
                <w:bCs/>
                <w:highlight w:val="none"/>
              </w:rPr>
              <w:t>注：未提供方案或提供的内容与本项目无关的得0分。</w:t>
            </w:r>
          </w:p>
        </w:tc>
        <w:tc>
          <w:tcPr>
            <w:tcW w:w="1026" w:type="dxa"/>
            <w:noWrap w:val="0"/>
            <w:vAlign w:val="center"/>
          </w:tcPr>
          <w:p>
            <w:pPr>
              <w:spacing w:line="360" w:lineRule="exact"/>
              <w:jc w:val="center"/>
              <w:rPr>
                <w:rFonts w:hint="eastAsia" w:ascii="仿宋_GB2312" w:hAnsi="仿宋_GB2312" w:eastAsia="仿宋_GB2312" w:cs="仿宋_GB2312"/>
                <w:b/>
                <w:bCs/>
                <w:highlight w:val="none"/>
                <w:lang w:eastAsia="zh-CN"/>
              </w:rPr>
            </w:pPr>
            <w:r>
              <w:rPr>
                <w:rFonts w:hint="eastAsia" w:ascii="仿宋_GB2312" w:hAnsi="仿宋_GB2312" w:eastAsia="仿宋_GB2312" w:cs="仿宋_GB2312"/>
                <w:b/>
                <w:bCs/>
                <w:highlight w:val="none"/>
                <w:lang w:val="en-US" w:eastAsia="zh-CN"/>
              </w:rPr>
              <w:t>5</w:t>
            </w:r>
          </w:p>
        </w:tc>
        <w:tc>
          <w:tcPr>
            <w:tcW w:w="1490" w:type="dxa"/>
            <w:noWrap w:val="0"/>
            <w:vAlign w:val="center"/>
          </w:tcPr>
          <w:p>
            <w:pPr>
              <w:spacing w:line="360" w:lineRule="exact"/>
              <w:jc w:val="center"/>
              <w:rPr>
                <w:rFonts w:ascii="仿宋_GB2312" w:hAnsi="仿宋_GB2312" w:eastAsia="仿宋_GB2312" w:cs="仿宋_GB2312"/>
                <w:b/>
                <w:bCs/>
                <w:highlight w:val="none"/>
              </w:rPr>
            </w:pPr>
            <w:r>
              <w:rPr>
                <w:rFonts w:hint="eastAsia" w:ascii="仿宋_GB2312" w:hAnsi="仿宋_GB2312" w:eastAsia="仿宋_GB2312" w:cs="仿宋_GB2312"/>
                <w:highlight w:val="none"/>
              </w:rPr>
              <w:t>应急预案和应急配合方案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3" w:type="dxa"/>
            <w:noWrap w:val="0"/>
            <w:vAlign w:val="center"/>
          </w:tcPr>
          <w:p>
            <w:pPr>
              <w:spacing w:line="390" w:lineRule="exact"/>
              <w:ind w:right="-168" w:rightChars="-80"/>
              <w:jc w:val="center"/>
              <w:rPr>
                <w:rFonts w:hint="eastAsia" w:ascii="仿宋_GB2312" w:eastAsia="仿宋_GB2312"/>
                <w:b/>
                <w:sz w:val="24"/>
                <w:highlight w:val="none"/>
              </w:rPr>
            </w:pPr>
            <w:r>
              <w:rPr>
                <w:rFonts w:hint="eastAsia" w:ascii="仿宋_GB2312" w:eastAsia="仿宋_GB2312"/>
                <w:b/>
                <w:sz w:val="24"/>
                <w:highlight w:val="none"/>
              </w:rPr>
              <w:t>服务方案</w:t>
            </w:r>
          </w:p>
        </w:tc>
        <w:tc>
          <w:tcPr>
            <w:tcW w:w="1134" w:type="dxa"/>
            <w:noWrap w:val="0"/>
            <w:vAlign w:val="center"/>
          </w:tcPr>
          <w:p>
            <w:pPr>
              <w:spacing w:line="360" w:lineRule="exact"/>
              <w:jc w:val="center"/>
              <w:rPr>
                <w:rFonts w:hint="eastAsia" w:ascii="仿宋_GB2312" w:hAnsi="仿宋_GB2312" w:eastAsia="仿宋_GB2312" w:cs="仿宋_GB2312"/>
                <w:b/>
                <w:highlight w:val="none"/>
              </w:rPr>
            </w:pPr>
            <w:r>
              <w:rPr>
                <w:rFonts w:hint="eastAsia" w:ascii="仿宋_GB2312" w:hAnsi="仿宋_GB2312" w:eastAsia="仿宋_GB2312" w:cs="仿宋_GB2312"/>
                <w:b/>
                <w:bCs/>
                <w:kern w:val="0"/>
                <w:sz w:val="21"/>
                <w:szCs w:val="21"/>
                <w:lang w:val="en-US" w:eastAsia="zh-CN" w:bidi="ar"/>
              </w:rPr>
              <w:t>物资配备方案</w:t>
            </w:r>
          </w:p>
        </w:tc>
        <w:tc>
          <w:tcPr>
            <w:tcW w:w="6168" w:type="dxa"/>
            <w:noWrap w:val="0"/>
            <w:vAlign w:val="center"/>
          </w:tcPr>
          <w:p>
            <w:pPr>
              <w:pStyle w:val="797"/>
              <w:widowControl/>
              <w:spacing w:line="400" w:lineRule="exact"/>
              <w:ind w:left="0" w:firstLine="422"/>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b/>
                <w:bCs/>
                <w:kern w:val="0"/>
                <w:sz w:val="21"/>
                <w:szCs w:val="21"/>
                <w:lang w:val="en-US" w:eastAsia="zh-CN" w:bidi="ar"/>
              </w:rPr>
              <w:t>一档（12分）：</w:t>
            </w:r>
            <w:r>
              <w:rPr>
                <w:rFonts w:hint="eastAsia" w:ascii="仿宋_GB2312" w:hAnsi="仿宋_GB2312" w:eastAsia="仿宋_GB2312" w:cs="仿宋_GB2312"/>
                <w:kern w:val="0"/>
                <w:sz w:val="21"/>
                <w:szCs w:val="21"/>
                <w:lang w:val="en-US" w:eastAsia="zh-CN" w:bidi="ar"/>
              </w:rPr>
              <w:t>拟投入本项目的设备设施品类齐全、性能优越、设备较新、针对性强，优于采购需求，利于本项目服务，拟投入的设施设备能明显提高服务质量；</w:t>
            </w:r>
          </w:p>
          <w:p>
            <w:pPr>
              <w:pStyle w:val="797"/>
              <w:widowControl/>
              <w:spacing w:line="400" w:lineRule="exact"/>
              <w:ind w:left="0" w:firstLine="422"/>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b/>
                <w:bCs/>
                <w:kern w:val="0"/>
                <w:sz w:val="21"/>
                <w:szCs w:val="21"/>
                <w:lang w:val="en-US" w:eastAsia="zh-CN" w:bidi="ar"/>
              </w:rPr>
              <w:t>二档（8分）：</w:t>
            </w:r>
            <w:r>
              <w:rPr>
                <w:rFonts w:hint="eastAsia" w:ascii="仿宋_GB2312" w:hAnsi="仿宋_GB2312" w:eastAsia="仿宋_GB2312" w:cs="仿宋_GB2312"/>
                <w:kern w:val="0"/>
                <w:sz w:val="21"/>
                <w:szCs w:val="21"/>
                <w:lang w:val="en-US" w:eastAsia="zh-CN" w:bidi="ar"/>
              </w:rPr>
              <w:t>拟投入本项目的设备设施数量或品类优于采购需求，品类齐全、性能良好、设备年限较长、针对性一般，有设施设备针对本项目使用频率、使用成效的方案；</w:t>
            </w:r>
          </w:p>
          <w:p>
            <w:pPr>
              <w:pStyle w:val="797"/>
              <w:widowControl/>
              <w:spacing w:line="400" w:lineRule="exact"/>
              <w:ind w:left="0" w:firstLine="422"/>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b/>
                <w:bCs/>
                <w:kern w:val="0"/>
                <w:sz w:val="21"/>
                <w:szCs w:val="21"/>
                <w:lang w:val="en-US" w:eastAsia="zh-CN" w:bidi="ar"/>
              </w:rPr>
              <w:t>三档（4分）：</w:t>
            </w:r>
            <w:r>
              <w:rPr>
                <w:rFonts w:hint="eastAsia" w:ascii="仿宋_GB2312" w:hAnsi="仿宋_GB2312" w:eastAsia="仿宋_GB2312" w:cs="仿宋_GB2312"/>
                <w:kern w:val="0"/>
                <w:sz w:val="21"/>
                <w:szCs w:val="21"/>
                <w:lang w:val="en-US" w:eastAsia="zh-CN" w:bidi="ar"/>
              </w:rPr>
              <w:t>拟投入本项目的设备设施数量或品类略优于采购需求，设备性能一般，设备较陈旧，针对性较弱。</w:t>
            </w:r>
          </w:p>
          <w:p>
            <w:pPr>
              <w:pStyle w:val="797"/>
              <w:widowControl/>
              <w:spacing w:line="400" w:lineRule="exact"/>
              <w:ind w:left="0" w:firstLine="422"/>
              <w:rPr>
                <w:rFonts w:hint="eastAsia" w:ascii="仿宋_GB2312" w:hAnsi="仿宋_GB2312" w:eastAsia="仿宋_GB2312" w:cs="仿宋_GB2312"/>
                <w:b/>
                <w:bCs/>
                <w:kern w:val="0"/>
                <w:sz w:val="21"/>
                <w:szCs w:val="21"/>
                <w:lang w:val="en-US" w:eastAsia="zh-CN" w:bidi="ar"/>
              </w:rPr>
            </w:pPr>
            <w:r>
              <w:rPr>
                <w:rFonts w:hint="eastAsia" w:ascii="仿宋_GB2312" w:hAnsi="仿宋_GB2312" w:eastAsia="仿宋_GB2312" w:cs="仿宋_GB2312"/>
                <w:b/>
                <w:bCs/>
                <w:kern w:val="0"/>
                <w:sz w:val="21"/>
                <w:szCs w:val="21"/>
                <w:lang w:val="en-US" w:eastAsia="zh-CN" w:bidi="ar"/>
              </w:rPr>
              <w:t>注：1.投标人可以在方案中提供产品说明书、发票、租赁合同（协议）等可体现产品使用期限、产品性能等信息的材料；</w:t>
            </w:r>
          </w:p>
          <w:p>
            <w:pPr>
              <w:spacing w:line="400" w:lineRule="exact"/>
              <w:ind w:firstLine="422" w:firstLineChars="200"/>
              <w:rPr>
                <w:rFonts w:hint="eastAsia" w:ascii="仿宋_GB2312" w:hAnsi="仿宋_GB2312" w:eastAsia="仿宋_GB2312" w:cs="仿宋_GB2312"/>
                <w:b/>
                <w:bCs/>
                <w:highlight w:val="none"/>
              </w:rPr>
            </w:pPr>
            <w:r>
              <w:rPr>
                <w:rFonts w:hint="eastAsia" w:ascii="仿宋_GB2312" w:hAnsi="仿宋_GB2312" w:eastAsia="仿宋_GB2312" w:cs="仿宋_GB2312"/>
                <w:b/>
                <w:bCs/>
                <w:kern w:val="0"/>
                <w:sz w:val="21"/>
                <w:szCs w:val="21"/>
                <w:lang w:val="en-US" w:eastAsia="zh-CN" w:bidi="ar"/>
              </w:rPr>
              <w:t>2.未提供方案和内容与本项目无关的得0分。</w:t>
            </w:r>
          </w:p>
        </w:tc>
        <w:tc>
          <w:tcPr>
            <w:tcW w:w="1026" w:type="dxa"/>
            <w:noWrap w:val="0"/>
            <w:vAlign w:val="center"/>
          </w:tcPr>
          <w:p>
            <w:pPr>
              <w:spacing w:line="360" w:lineRule="exact"/>
              <w:jc w:val="center"/>
              <w:rPr>
                <w:rFonts w:hint="eastAsia" w:ascii="仿宋_GB2312" w:hAnsi="仿宋_GB2312" w:eastAsia="仿宋_GB2312" w:cs="仿宋_GB2312"/>
                <w:b/>
                <w:bCs/>
                <w:highlight w:val="none"/>
                <w:lang w:val="en-US" w:eastAsia="zh-CN"/>
              </w:rPr>
            </w:pPr>
            <w:r>
              <w:rPr>
                <w:rFonts w:hint="eastAsia" w:ascii="仿宋_GB2312" w:hAnsi="仿宋_GB2312" w:eastAsia="仿宋_GB2312" w:cs="仿宋_GB2312"/>
                <w:b/>
                <w:bCs/>
                <w:kern w:val="0"/>
                <w:sz w:val="21"/>
                <w:szCs w:val="21"/>
                <w:lang w:val="en-US" w:eastAsia="zh-CN" w:bidi="ar"/>
              </w:rPr>
              <w:t>12</w:t>
            </w:r>
          </w:p>
        </w:tc>
        <w:tc>
          <w:tcPr>
            <w:tcW w:w="1490" w:type="dxa"/>
            <w:noWrap w:val="0"/>
            <w:vAlign w:val="center"/>
          </w:tcPr>
          <w:p>
            <w:pPr>
              <w:spacing w:line="360" w:lineRule="exact"/>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lang w:eastAsia="zh-CN"/>
              </w:rPr>
              <w:t>物资配备方案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8295" w:type="dxa"/>
            <w:gridSpan w:val="3"/>
            <w:noWrap w:val="0"/>
            <w:vAlign w:val="top"/>
          </w:tcPr>
          <w:p>
            <w:pPr>
              <w:pStyle w:val="26"/>
              <w:tabs>
                <w:tab w:val="left" w:pos="312"/>
              </w:tabs>
              <w:spacing w:line="400" w:lineRule="exact"/>
              <w:ind w:firstLine="422" w:firstLineChars="200"/>
              <w:jc w:val="center"/>
              <w:rPr>
                <w:rFonts w:ascii="仿宋_GB2312" w:hAnsi="仿宋_GB2312" w:eastAsia="仿宋_GB2312" w:cs="仿宋_GB2312"/>
                <w:b/>
                <w:szCs w:val="24"/>
                <w:highlight w:val="none"/>
              </w:rPr>
            </w:pPr>
            <w:r>
              <w:rPr>
                <w:rFonts w:hint="eastAsia" w:ascii="仿宋_GB2312" w:hAnsi="仿宋_GB2312" w:eastAsia="仿宋_GB2312" w:cs="仿宋_GB2312"/>
                <w:b/>
                <w:szCs w:val="24"/>
                <w:highlight w:val="none"/>
              </w:rPr>
              <w:t>主观分总分</w:t>
            </w:r>
          </w:p>
        </w:tc>
        <w:tc>
          <w:tcPr>
            <w:tcW w:w="1026" w:type="dxa"/>
            <w:noWrap w:val="0"/>
            <w:vAlign w:val="center"/>
          </w:tcPr>
          <w:p>
            <w:pPr>
              <w:spacing w:line="360" w:lineRule="exact"/>
              <w:jc w:val="center"/>
              <w:rPr>
                <w:rFonts w:hint="default" w:ascii="仿宋_GB2312" w:hAnsi="仿宋_GB2312" w:eastAsia="仿宋_GB2312" w:cs="仿宋_GB2312"/>
                <w:b/>
                <w:bCs/>
                <w:highlight w:val="none"/>
                <w:lang w:val="en-US" w:eastAsia="zh-CN"/>
              </w:rPr>
            </w:pPr>
            <w:r>
              <w:rPr>
                <w:rFonts w:hint="eastAsia" w:ascii="仿宋_GB2312" w:hAnsi="仿宋_GB2312" w:eastAsia="仿宋_GB2312" w:cs="仿宋_GB2312"/>
                <w:b/>
                <w:bCs/>
                <w:highlight w:val="none"/>
                <w:lang w:val="en-US" w:eastAsia="zh-CN"/>
              </w:rPr>
              <w:t>40</w:t>
            </w:r>
          </w:p>
        </w:tc>
        <w:tc>
          <w:tcPr>
            <w:tcW w:w="1490" w:type="dxa"/>
            <w:noWrap w:val="0"/>
            <w:vAlign w:val="center"/>
          </w:tcPr>
          <w:p>
            <w:pPr>
              <w:spacing w:line="360" w:lineRule="exact"/>
              <w:jc w:val="center"/>
              <w:rPr>
                <w:rFonts w:ascii="仿宋_GB2312" w:hAnsi="仿宋_GB2312" w:eastAsia="仿宋_GB2312" w:cs="仿宋_GB2312"/>
                <w:highlight w:val="none"/>
              </w:rPr>
            </w:pPr>
          </w:p>
        </w:tc>
      </w:tr>
    </w:tbl>
    <w:p>
      <w:pPr>
        <w:spacing w:line="390" w:lineRule="exact"/>
        <w:ind w:right="-168" w:rightChars="-80" w:firstLine="241" w:firstLineChars="100"/>
        <w:rPr>
          <w:rFonts w:ascii="仿宋_GB2312" w:eastAsia="仿宋_GB2312"/>
          <w:b/>
          <w:sz w:val="24"/>
        </w:rPr>
      </w:pPr>
      <w:r>
        <w:rPr>
          <w:rFonts w:hint="eastAsia" w:ascii="仿宋_GB2312" w:eastAsia="仿宋_GB2312"/>
          <w:b/>
          <w:sz w:val="24"/>
        </w:rPr>
        <w:t>（三）总得分=客观分+主观分</w:t>
      </w:r>
    </w:p>
    <w:p>
      <w:pPr>
        <w:adjustRightInd w:val="0"/>
        <w:spacing w:line="400" w:lineRule="exact"/>
        <w:ind w:firstLine="482" w:firstLineChars="200"/>
        <w:jc w:val="left"/>
        <w:textAlignment w:val="baseline"/>
        <w:rPr>
          <w:rFonts w:hint="eastAsia" w:ascii="仿宋_GB2312" w:hAnsi="宋体" w:eastAsia="仿宋_GB2312"/>
          <w:b/>
          <w:kern w:val="0"/>
          <w:sz w:val="24"/>
        </w:rPr>
      </w:pPr>
      <w:bookmarkStart w:id="82" w:name="gxebd_pack_1_EvalFactorScoreEnd"/>
      <w:bookmarkEnd w:id="82"/>
      <w:r>
        <w:rPr>
          <w:rFonts w:hint="eastAsia" w:ascii="仿宋_GB2312" w:hAnsi="宋体" w:eastAsia="仿宋_GB2312"/>
          <w:b/>
          <w:kern w:val="0"/>
          <w:sz w:val="24"/>
        </w:rPr>
        <w:t>三、中标标准及中标候选人推荐原则</w:t>
      </w:r>
    </w:p>
    <w:p>
      <w:pPr>
        <w:adjustRightInd w:val="0"/>
        <w:spacing w:line="400" w:lineRule="exact"/>
        <w:ind w:firstLine="482" w:firstLineChars="200"/>
        <w:jc w:val="left"/>
        <w:textAlignment w:val="baseline"/>
        <w:rPr>
          <w:rFonts w:hint="eastAsia" w:ascii="仿宋_GB2312" w:hAnsi="宋体" w:eastAsia="仿宋_GB2312"/>
          <w:b/>
          <w:kern w:val="0"/>
          <w:sz w:val="24"/>
        </w:rPr>
      </w:pPr>
      <w:r>
        <w:rPr>
          <w:rFonts w:hint="eastAsia" w:ascii="仿宋_GB2312" w:hAnsi="宋体" w:eastAsia="仿宋_GB2312"/>
          <w:b/>
          <w:kern w:val="0"/>
          <w:sz w:val="24"/>
        </w:rPr>
        <w:t>评标委员会将根据综合得分由高到低排列次序（得分相同时，以投标报价由低到高顺序排列；得分相同且投标报价相同的，按技术指标优劣顺序排列）并推荐综合得分前三名为中标候选人。采购人应当确定</w:t>
      </w:r>
      <w:r>
        <w:rPr>
          <w:rFonts w:hint="eastAsia" w:ascii="仿宋_GB2312" w:hAnsi="宋体" w:eastAsia="仿宋_GB2312"/>
          <w:b/>
          <w:kern w:val="0"/>
          <w:sz w:val="24"/>
          <w:lang w:eastAsia="zh-CN"/>
        </w:rPr>
        <w:t>评标委员会</w:t>
      </w:r>
      <w:r>
        <w:rPr>
          <w:rFonts w:hint="eastAsia" w:ascii="仿宋_GB2312" w:hAnsi="宋体" w:eastAsia="仿宋_GB2312"/>
          <w:b/>
          <w:kern w:val="0"/>
          <w:sz w:val="24"/>
        </w:rPr>
        <w:t>推荐排名第一的中标候选人为中标人。排名第一的中标候选人放弃中标、因不可抗力提出不能履行合同的，采购人或采购代理机构应将该情况报政府采购监督管理部门，从合格的中标候选人中另行确定中标人或重新开展政府采购活动。</w:t>
      </w:r>
    </w:p>
    <w:p>
      <w:pPr>
        <w:pStyle w:val="26"/>
        <w:spacing w:line="360" w:lineRule="exact"/>
        <w:ind w:firstLine="482" w:firstLineChars="200"/>
        <w:rPr>
          <w:rFonts w:hint="eastAsia" w:hAnsi="宋体"/>
          <w:b/>
          <w:bCs/>
          <w:color w:val="FF0000"/>
        </w:rPr>
        <w:sectPr>
          <w:pgSz w:w="11906" w:h="16838"/>
          <w:pgMar w:top="1440" w:right="566" w:bottom="1440" w:left="851" w:header="851" w:footer="992" w:gutter="0"/>
          <w:cols w:space="720" w:num="1"/>
          <w:docGrid w:linePitch="312" w:charSpace="0"/>
        </w:sectPr>
      </w:pPr>
      <w:r>
        <w:rPr>
          <w:rFonts w:hint="eastAsia" w:ascii="仿宋_GB2312" w:hAnsi="宋体" w:eastAsia="仿宋_GB2312"/>
          <w:b/>
          <w:kern w:val="0"/>
          <w:sz w:val="24"/>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r>
        <w:rPr>
          <w:rFonts w:hint="eastAsia" w:ascii="仿宋_GB2312" w:hAnsi="宋体" w:eastAsia="仿宋_GB2312"/>
          <w:b/>
          <w:bCs/>
          <w:color w:val="000000" w:themeColor="text1"/>
          <w:sz w:val="24"/>
          <w14:textFill>
            <w14:solidFill>
              <w14:schemeClr w14:val="tx1"/>
            </w14:solidFill>
          </w14:textFill>
        </w:rPr>
        <w:t>。</w:t>
      </w: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pStyle w:val="3"/>
        <w:jc w:val="center"/>
        <w:rPr>
          <w:rFonts w:ascii="仿宋_GB2312" w:eastAsia="仿宋_GB2312"/>
          <w:b w:val="0"/>
          <w:bCs w:val="0"/>
          <w:sz w:val="32"/>
          <w:szCs w:val="32"/>
        </w:rPr>
      </w:pPr>
      <w:bookmarkStart w:id="83" w:name="_Toc497578453"/>
      <w:bookmarkStart w:id="84" w:name="_Toc21458"/>
      <w:r>
        <w:rPr>
          <w:rFonts w:hint="eastAsia"/>
          <w:sz w:val="30"/>
          <w:szCs w:val="30"/>
        </w:rPr>
        <w:t>第五章 合同主要条款格式及广西壮族自治区政府采购项目合同验收书格式</w:t>
      </w:r>
      <w:bookmarkEnd w:id="83"/>
      <w:bookmarkEnd w:id="84"/>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rPr>
          <w:rFonts w:hint="eastAsia" w:ascii="仿宋_GB2312" w:hAnsi="华文中宋" w:eastAsia="仿宋_GB2312"/>
          <w:bCs/>
          <w:sz w:val="32"/>
          <w:szCs w:val="32"/>
        </w:rPr>
      </w:pPr>
    </w:p>
    <w:p>
      <w:pPr>
        <w:snapToGrid w:val="0"/>
        <w:rPr>
          <w:rFonts w:hint="eastAsia" w:ascii="仿宋_GB2312" w:hAnsi="华文中宋" w:eastAsia="仿宋_GB2312"/>
          <w:bCs/>
          <w:sz w:val="32"/>
          <w:szCs w:val="32"/>
        </w:rPr>
      </w:pPr>
    </w:p>
    <w:p>
      <w:pPr>
        <w:snapToGrid w:val="0"/>
        <w:jc w:val="left"/>
        <w:rPr>
          <w:rFonts w:ascii="仿宋_GB2312" w:eastAsia="仿宋_GB2312"/>
          <w:b/>
          <w:sz w:val="24"/>
        </w:rPr>
      </w:pPr>
      <w:r>
        <w:rPr>
          <w:rFonts w:hint="eastAsia" w:ascii="仿宋_GB2312" w:eastAsia="仿宋_GB2312"/>
          <w:b/>
          <w:sz w:val="24"/>
        </w:rPr>
        <w:br w:type="page"/>
      </w:r>
      <w:r>
        <w:rPr>
          <w:rFonts w:hint="eastAsia" w:ascii="仿宋_GB2312" w:hAnsi="华文中宋" w:eastAsia="仿宋_GB2312"/>
          <w:bCs/>
          <w:sz w:val="32"/>
          <w:szCs w:val="32"/>
        </w:rPr>
        <w:t xml:space="preserve">  </w:t>
      </w:r>
      <w:r>
        <w:rPr>
          <w:rFonts w:hint="eastAsia" w:ascii="仿宋_GB2312" w:eastAsia="仿宋_GB2312"/>
          <w:b/>
          <w:sz w:val="24"/>
        </w:rPr>
        <w:t>合同使用说明：1.根据《中华人民共和国政府采购法》、《</w:t>
      </w:r>
      <w:r>
        <w:rPr>
          <w:rFonts w:hint="eastAsia" w:ascii="仿宋_GB2312" w:eastAsia="仿宋_GB2312"/>
          <w:b/>
          <w:bCs/>
          <w:sz w:val="24"/>
        </w:rPr>
        <w:t>中华人民共和国民法典</w:t>
      </w:r>
      <w:r>
        <w:rPr>
          <w:rFonts w:hint="eastAsia" w:ascii="仿宋_GB2312" w:eastAsia="仿宋_GB2312"/>
          <w:b/>
          <w:sz w:val="24"/>
        </w:rPr>
        <w:t>》等法律、法规规定，按照招标文件规定条款和中标人投标文件及其承诺，甲乙双方签订本合同。</w:t>
      </w:r>
    </w:p>
    <w:p>
      <w:pPr>
        <w:snapToGrid w:val="0"/>
        <w:ind w:firstLine="482" w:firstLineChars="200"/>
        <w:jc w:val="left"/>
        <w:rPr>
          <w:rFonts w:ascii="仿宋_GB2312" w:eastAsia="仿宋_GB2312"/>
          <w:b/>
          <w:sz w:val="24"/>
        </w:rPr>
      </w:pPr>
      <w:r>
        <w:rPr>
          <w:rFonts w:hint="eastAsia" w:ascii="仿宋_GB2312" w:eastAsia="仿宋_GB2312"/>
          <w:b/>
          <w:sz w:val="24"/>
        </w:rPr>
        <w:t>2.本合同</w:t>
      </w:r>
      <w:r>
        <w:rPr>
          <w:rFonts w:ascii="仿宋_GB2312" w:eastAsia="仿宋_GB2312"/>
          <w:b/>
          <w:sz w:val="24"/>
        </w:rPr>
        <w:t>为中小企业</w:t>
      </w:r>
      <w:r>
        <w:rPr>
          <w:rFonts w:hint="eastAsia" w:ascii="仿宋_GB2312" w:eastAsia="仿宋_GB2312"/>
          <w:b/>
          <w:sz w:val="24"/>
        </w:rPr>
        <w:t>预留合同。</w:t>
      </w:r>
    </w:p>
    <w:p>
      <w:pPr>
        <w:pStyle w:val="26"/>
        <w:spacing w:line="400" w:lineRule="exact"/>
        <w:jc w:val="left"/>
        <w:rPr>
          <w:b/>
          <w:sz w:val="32"/>
        </w:rPr>
      </w:pPr>
    </w:p>
    <w:p>
      <w:pPr>
        <w:spacing w:line="400" w:lineRule="exact"/>
        <w:jc w:val="center"/>
        <w:rPr>
          <w:rFonts w:cs="Courier New"/>
          <w:b/>
          <w:bCs/>
          <w:sz w:val="32"/>
          <w:szCs w:val="32"/>
        </w:rPr>
      </w:pPr>
      <w:r>
        <w:rPr>
          <w:rFonts w:hint="eastAsia" w:hAnsi="Courier New" w:cs="Courier New"/>
          <w:b/>
          <w:sz w:val="32"/>
          <w:szCs w:val="21"/>
        </w:rPr>
        <w:t xml:space="preserve">合同书 </w:t>
      </w:r>
    </w:p>
    <w:p>
      <w:pPr>
        <w:snapToGrid w:val="0"/>
        <w:spacing w:line="400" w:lineRule="exact"/>
        <w:ind w:right="480" w:firstLine="6600" w:firstLineChars="2750"/>
        <w:rPr>
          <w:rFonts w:ascii="仿宋_GB2312" w:eastAsia="仿宋_GB2312"/>
          <w:bCs/>
          <w:sz w:val="24"/>
          <w:u w:val="single"/>
        </w:rPr>
      </w:pPr>
      <w:r>
        <w:rPr>
          <w:rFonts w:hint="eastAsia" w:ascii="仿宋_GB2312" w:eastAsia="仿宋_GB2312"/>
          <w:bCs/>
          <w:sz w:val="24"/>
        </w:rPr>
        <w:t>合同编号：XXXX</w:t>
      </w:r>
    </w:p>
    <w:p>
      <w:pPr>
        <w:snapToGrid w:val="0"/>
        <w:spacing w:line="400" w:lineRule="exact"/>
        <w:rPr>
          <w:rFonts w:ascii="仿宋_GB2312" w:eastAsia="仿宋_GB2312"/>
          <w:sz w:val="24"/>
          <w:u w:val="single"/>
        </w:rPr>
      </w:pPr>
      <w:r>
        <w:rPr>
          <w:rFonts w:hint="eastAsia" w:ascii="仿宋_GB2312" w:eastAsia="仿宋_GB2312"/>
          <w:sz w:val="24"/>
        </w:rPr>
        <w:t>采购单位（甲方）</w:t>
      </w:r>
      <w:r>
        <w:rPr>
          <w:rFonts w:hint="eastAsia" w:ascii="仿宋_GB2312" w:eastAsia="仿宋_GB2312"/>
          <w:sz w:val="24"/>
          <w:u w:val="single"/>
        </w:rPr>
        <w:t xml:space="preserve">                          </w:t>
      </w:r>
      <w:r>
        <w:rPr>
          <w:rFonts w:hint="eastAsia" w:ascii="仿宋_GB2312" w:eastAsia="仿宋_GB2312"/>
          <w:sz w:val="24"/>
        </w:rPr>
        <w:t xml:space="preserve">  </w:t>
      </w:r>
      <w:r>
        <w:rPr>
          <w:rFonts w:hint="eastAsia" w:ascii="仿宋_GB2312" w:eastAsia="仿宋_GB2312"/>
          <w:spacing w:val="-20"/>
          <w:sz w:val="24"/>
        </w:rPr>
        <w:t>采 购 计 划 表 编 号：</w:t>
      </w:r>
      <w:r>
        <w:rPr>
          <w:rFonts w:hint="eastAsia" w:ascii="仿宋_GB2312" w:eastAsia="仿宋_GB2312"/>
          <w:sz w:val="24"/>
          <w:u w:val="single"/>
        </w:rPr>
        <w:t xml:space="preserve">             </w:t>
      </w:r>
    </w:p>
    <w:p>
      <w:pPr>
        <w:snapToGrid w:val="0"/>
        <w:spacing w:line="400" w:lineRule="exact"/>
        <w:rPr>
          <w:rFonts w:ascii="仿宋_GB2312" w:eastAsia="仿宋_GB2312"/>
          <w:spacing w:val="-20"/>
          <w:sz w:val="24"/>
        </w:rPr>
      </w:pPr>
      <w:r>
        <w:rPr>
          <w:rFonts w:hint="eastAsia" w:ascii="仿宋_GB2312" w:eastAsia="仿宋_GB2312"/>
          <w:sz w:val="24"/>
        </w:rPr>
        <w:t>供 应 商（乙方）</w:t>
      </w:r>
      <w:r>
        <w:rPr>
          <w:rFonts w:hint="eastAsia" w:ascii="仿宋_GB2312" w:eastAsia="仿宋_GB2312"/>
          <w:sz w:val="24"/>
          <w:u w:val="single"/>
        </w:rPr>
        <w:t xml:space="preserve">                          </w:t>
      </w:r>
      <w:r>
        <w:rPr>
          <w:rFonts w:hint="eastAsia" w:ascii="仿宋_GB2312" w:eastAsia="仿宋_GB2312"/>
          <w:sz w:val="24"/>
        </w:rPr>
        <w:t xml:space="preserve">  </w:t>
      </w:r>
    </w:p>
    <w:p>
      <w:pPr>
        <w:snapToGrid w:val="0"/>
        <w:spacing w:line="400" w:lineRule="exact"/>
        <w:rPr>
          <w:rFonts w:ascii="仿宋_GB2312" w:eastAsia="仿宋_GB2312"/>
          <w:sz w:val="24"/>
          <w:u w:val="single"/>
        </w:rPr>
      </w:pPr>
      <w:r>
        <w:rPr>
          <w:rFonts w:hint="eastAsia" w:ascii="仿宋_GB2312" w:eastAsia="仿宋_GB2312"/>
          <w:sz w:val="24"/>
        </w:rPr>
        <w:t>项目名称及编号：</w:t>
      </w:r>
      <w:r>
        <w:rPr>
          <w:rFonts w:hint="eastAsia" w:ascii="仿宋_GB2312" w:eastAsia="仿宋_GB2312"/>
          <w:sz w:val="24"/>
          <w:u w:val="single"/>
        </w:rPr>
        <w:t xml:space="preserve">                          </w:t>
      </w:r>
      <w:r>
        <w:rPr>
          <w:rFonts w:hint="eastAsia" w:ascii="仿宋_GB2312" w:eastAsia="仿宋_GB2312"/>
          <w:sz w:val="24"/>
        </w:rPr>
        <w:t xml:space="preserve">    </w:t>
      </w:r>
    </w:p>
    <w:p>
      <w:pPr>
        <w:snapToGrid w:val="0"/>
        <w:spacing w:line="400" w:lineRule="exact"/>
        <w:rPr>
          <w:rFonts w:ascii="仿宋_GB2312" w:eastAsia="仿宋_GB2312"/>
          <w:sz w:val="24"/>
          <w:u w:val="single"/>
        </w:rPr>
      </w:pPr>
      <w:r>
        <w:rPr>
          <w:rFonts w:hint="eastAsia" w:ascii="仿宋_GB2312" w:eastAsia="仿宋_GB2312"/>
          <w:sz w:val="24"/>
        </w:rPr>
        <w:t>签  订  地  点：</w:t>
      </w:r>
      <w:r>
        <w:rPr>
          <w:rFonts w:hint="eastAsia" w:ascii="仿宋_GB2312" w:eastAsia="仿宋_GB2312"/>
          <w:sz w:val="24"/>
          <w:u w:val="single"/>
        </w:rPr>
        <w:t xml:space="preserve">                          </w:t>
      </w:r>
      <w:r>
        <w:rPr>
          <w:rFonts w:hint="eastAsia" w:ascii="仿宋_GB2312" w:eastAsia="仿宋_GB2312"/>
          <w:sz w:val="24"/>
        </w:rPr>
        <w:t xml:space="preserve">  签 订 时 间：</w:t>
      </w:r>
      <w:r>
        <w:rPr>
          <w:rFonts w:hint="eastAsia" w:ascii="仿宋_GB2312" w:eastAsia="仿宋_GB2312"/>
          <w:sz w:val="24"/>
          <w:u w:val="single"/>
        </w:rPr>
        <w:t xml:space="preserve">     年    月   日   </w:t>
      </w:r>
    </w:p>
    <w:p>
      <w:pPr>
        <w:spacing w:line="400" w:lineRule="exact"/>
        <w:ind w:firstLine="480" w:firstLineChars="200"/>
        <w:jc w:val="left"/>
        <w:rPr>
          <w:rFonts w:ascii="仿宋_GB2312" w:eastAsia="仿宋_GB2312"/>
          <w:sz w:val="24"/>
        </w:rPr>
      </w:pPr>
      <w:r>
        <w:rPr>
          <w:rFonts w:hint="eastAsia" w:ascii="仿宋_GB2312" w:eastAsia="仿宋_GB2312"/>
          <w:sz w:val="24"/>
        </w:rPr>
        <w:t>根据《中华人民共和国政府采购法》、《中华人民共和国民法典》等法律、法规规定，按照招标文件规定条款和中标</w:t>
      </w:r>
      <w:r>
        <w:rPr>
          <w:rFonts w:hint="eastAsia" w:ascii="仿宋_GB2312" w:eastAsia="仿宋_GB2312"/>
          <w:sz w:val="24"/>
          <w:lang w:val="en-US" w:eastAsia="zh-CN"/>
        </w:rPr>
        <w:t>人投标文件及</w:t>
      </w:r>
      <w:r>
        <w:rPr>
          <w:rFonts w:hint="eastAsia" w:ascii="仿宋_GB2312" w:eastAsia="仿宋_GB2312"/>
          <w:sz w:val="24"/>
        </w:rPr>
        <w:t>承诺，就甲方委托乙方提供</w:t>
      </w:r>
      <w:r>
        <w:rPr>
          <w:rFonts w:ascii="仿宋_GB2312" w:hAnsi="宋体" w:eastAsia="仿宋_GB2312"/>
          <w:sz w:val="24"/>
          <w:u w:val="single"/>
        </w:rPr>
        <w:t>柳州城市职业学院2026-2029年物业管理服务采购</w:t>
      </w:r>
      <w:r>
        <w:rPr>
          <w:rFonts w:hint="eastAsia" w:ascii="仿宋_GB2312" w:eastAsia="仿宋_GB2312"/>
          <w:sz w:val="24"/>
        </w:rPr>
        <w:t>之相关事宜，达成以下协议，并承诺共同遵守。</w:t>
      </w:r>
    </w:p>
    <w:p>
      <w:pPr>
        <w:numPr>
          <w:ilvl w:val="0"/>
          <w:numId w:val="6"/>
        </w:numPr>
        <w:adjustRightInd w:val="0"/>
        <w:spacing w:line="400" w:lineRule="exact"/>
        <w:jc w:val="left"/>
        <w:textAlignment w:val="baseline"/>
        <w:rPr>
          <w:rFonts w:ascii="仿宋_GB2312" w:eastAsia="仿宋_GB2312"/>
          <w:b/>
          <w:sz w:val="24"/>
        </w:rPr>
      </w:pPr>
      <w:r>
        <w:rPr>
          <w:rFonts w:hint="eastAsia" w:ascii="仿宋_GB2312" w:eastAsia="仿宋_GB2312"/>
          <w:b/>
          <w:sz w:val="24"/>
        </w:rPr>
        <w:t xml:space="preserve"> 合同标的</w:t>
      </w:r>
    </w:p>
    <w:tbl>
      <w:tblPr>
        <w:tblStyle w:val="48"/>
        <w:tblW w:w="92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1201"/>
        <w:gridCol w:w="3803"/>
        <w:gridCol w:w="589"/>
        <w:gridCol w:w="648"/>
        <w:gridCol w:w="1206"/>
        <w:gridCol w:w="1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trPr>
        <w:tc>
          <w:tcPr>
            <w:tcW w:w="610" w:type="dxa"/>
            <w:vAlign w:val="center"/>
          </w:tcPr>
          <w:p>
            <w:pPr>
              <w:snapToGrid w:val="0"/>
              <w:spacing w:line="400" w:lineRule="exact"/>
              <w:jc w:val="center"/>
              <w:rPr>
                <w:rFonts w:ascii="仿宋_GB2312" w:eastAsia="仿宋_GB2312"/>
                <w:sz w:val="24"/>
              </w:rPr>
            </w:pPr>
            <w:r>
              <w:rPr>
                <w:rFonts w:hint="eastAsia" w:ascii="仿宋_GB2312" w:eastAsia="仿宋_GB2312"/>
                <w:sz w:val="24"/>
              </w:rPr>
              <w:t>序号</w:t>
            </w:r>
          </w:p>
        </w:tc>
        <w:tc>
          <w:tcPr>
            <w:tcW w:w="1201" w:type="dxa"/>
            <w:vAlign w:val="center"/>
          </w:tcPr>
          <w:p>
            <w:pPr>
              <w:snapToGrid w:val="0"/>
              <w:spacing w:line="400" w:lineRule="exact"/>
              <w:jc w:val="center"/>
              <w:rPr>
                <w:rFonts w:ascii="仿宋_GB2312" w:eastAsia="仿宋_GB2312"/>
                <w:sz w:val="24"/>
              </w:rPr>
            </w:pPr>
            <w:r>
              <w:rPr>
                <w:rFonts w:hint="eastAsia" w:ascii="仿宋_GB2312" w:eastAsia="仿宋_GB2312"/>
                <w:sz w:val="24"/>
              </w:rPr>
              <w:t>服务名称</w:t>
            </w:r>
          </w:p>
        </w:tc>
        <w:tc>
          <w:tcPr>
            <w:tcW w:w="3803" w:type="dxa"/>
            <w:vAlign w:val="center"/>
          </w:tcPr>
          <w:p>
            <w:pPr>
              <w:snapToGrid w:val="0"/>
              <w:spacing w:line="400" w:lineRule="exact"/>
              <w:jc w:val="center"/>
              <w:rPr>
                <w:rFonts w:ascii="仿宋_GB2312" w:eastAsia="仿宋_GB2312"/>
                <w:sz w:val="24"/>
              </w:rPr>
            </w:pPr>
            <w:r>
              <w:rPr>
                <w:rFonts w:hint="eastAsia" w:ascii="仿宋_GB2312" w:eastAsia="仿宋_GB2312"/>
                <w:sz w:val="24"/>
              </w:rPr>
              <w:t>服务内容</w:t>
            </w:r>
          </w:p>
        </w:tc>
        <w:tc>
          <w:tcPr>
            <w:tcW w:w="589" w:type="dxa"/>
            <w:vAlign w:val="center"/>
          </w:tcPr>
          <w:p>
            <w:pPr>
              <w:snapToGrid w:val="0"/>
              <w:spacing w:line="400" w:lineRule="exact"/>
              <w:jc w:val="center"/>
              <w:rPr>
                <w:rFonts w:ascii="仿宋_GB2312" w:eastAsia="仿宋_GB2312"/>
                <w:sz w:val="24"/>
              </w:rPr>
            </w:pPr>
            <w:r>
              <w:rPr>
                <w:rFonts w:hint="eastAsia" w:ascii="仿宋_GB2312" w:eastAsia="仿宋_GB2312"/>
                <w:sz w:val="24"/>
              </w:rPr>
              <w:t>数量</w:t>
            </w:r>
          </w:p>
        </w:tc>
        <w:tc>
          <w:tcPr>
            <w:tcW w:w="648" w:type="dxa"/>
            <w:vAlign w:val="center"/>
          </w:tcPr>
          <w:p>
            <w:pPr>
              <w:snapToGrid w:val="0"/>
              <w:spacing w:line="400" w:lineRule="exact"/>
              <w:jc w:val="center"/>
              <w:rPr>
                <w:rFonts w:ascii="仿宋_GB2312" w:eastAsia="仿宋_GB2312"/>
                <w:sz w:val="24"/>
              </w:rPr>
            </w:pPr>
            <w:r>
              <w:rPr>
                <w:rFonts w:hint="eastAsia" w:ascii="仿宋_GB2312" w:eastAsia="仿宋_GB2312"/>
                <w:sz w:val="24"/>
              </w:rPr>
              <w:t>单位</w:t>
            </w:r>
          </w:p>
        </w:tc>
        <w:tc>
          <w:tcPr>
            <w:tcW w:w="1206" w:type="dxa"/>
            <w:vAlign w:val="center"/>
          </w:tcPr>
          <w:p>
            <w:pPr>
              <w:snapToGrid w:val="0"/>
              <w:spacing w:line="400" w:lineRule="exact"/>
              <w:jc w:val="center"/>
              <w:rPr>
                <w:rFonts w:ascii="仿宋_GB2312" w:eastAsia="仿宋_GB2312"/>
                <w:sz w:val="24"/>
              </w:rPr>
            </w:pPr>
            <w:r>
              <w:rPr>
                <w:rFonts w:hint="eastAsia" w:ascii="仿宋_GB2312" w:eastAsia="仿宋_GB2312"/>
                <w:sz w:val="24"/>
              </w:rPr>
              <w:t>单价（元）</w:t>
            </w:r>
          </w:p>
        </w:tc>
        <w:tc>
          <w:tcPr>
            <w:tcW w:w="1207" w:type="dxa"/>
            <w:vAlign w:val="center"/>
          </w:tcPr>
          <w:p>
            <w:pPr>
              <w:snapToGrid w:val="0"/>
              <w:spacing w:line="400" w:lineRule="exact"/>
              <w:jc w:val="center"/>
              <w:rPr>
                <w:rFonts w:ascii="仿宋_GB2312" w:eastAsia="仿宋_GB2312"/>
                <w:sz w:val="24"/>
              </w:rPr>
            </w:pPr>
            <w:r>
              <w:rPr>
                <w:rFonts w:hint="eastAsia" w:ascii="仿宋_GB2312" w:eastAsia="仿宋_GB2312"/>
                <w:sz w:val="24"/>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610" w:type="dxa"/>
            <w:vAlign w:val="center"/>
          </w:tcPr>
          <w:p>
            <w:pPr>
              <w:snapToGrid w:val="0"/>
              <w:spacing w:line="400" w:lineRule="exact"/>
              <w:jc w:val="center"/>
              <w:rPr>
                <w:rFonts w:ascii="仿宋_GB2312" w:eastAsia="仿宋_GB2312"/>
                <w:sz w:val="24"/>
              </w:rPr>
            </w:pPr>
            <w:r>
              <w:rPr>
                <w:rFonts w:hint="eastAsia" w:ascii="仿宋_GB2312" w:eastAsia="仿宋_GB2312"/>
                <w:sz w:val="24"/>
              </w:rPr>
              <w:t>1</w:t>
            </w:r>
          </w:p>
        </w:tc>
        <w:tc>
          <w:tcPr>
            <w:tcW w:w="1201" w:type="dxa"/>
            <w:vAlign w:val="center"/>
          </w:tcPr>
          <w:p>
            <w:pPr>
              <w:snapToGrid w:val="0"/>
              <w:spacing w:line="400" w:lineRule="exact"/>
              <w:jc w:val="center"/>
              <w:rPr>
                <w:rFonts w:ascii="仿宋_GB2312" w:eastAsia="仿宋_GB2312"/>
                <w:sz w:val="24"/>
              </w:rPr>
            </w:pPr>
          </w:p>
        </w:tc>
        <w:tc>
          <w:tcPr>
            <w:tcW w:w="3803" w:type="dxa"/>
            <w:vAlign w:val="center"/>
          </w:tcPr>
          <w:p>
            <w:pPr>
              <w:snapToGrid w:val="0"/>
              <w:spacing w:line="400" w:lineRule="exact"/>
              <w:jc w:val="center"/>
              <w:rPr>
                <w:rFonts w:ascii="仿宋_GB2312" w:eastAsia="仿宋_GB2312"/>
                <w:kern w:val="0"/>
                <w:sz w:val="24"/>
              </w:rPr>
            </w:pPr>
          </w:p>
        </w:tc>
        <w:tc>
          <w:tcPr>
            <w:tcW w:w="589" w:type="dxa"/>
            <w:vAlign w:val="center"/>
          </w:tcPr>
          <w:p>
            <w:pPr>
              <w:snapToGrid w:val="0"/>
              <w:spacing w:line="400" w:lineRule="exact"/>
              <w:jc w:val="center"/>
              <w:rPr>
                <w:rFonts w:ascii="仿宋_GB2312" w:eastAsia="仿宋_GB2312"/>
                <w:sz w:val="24"/>
              </w:rPr>
            </w:pPr>
          </w:p>
        </w:tc>
        <w:tc>
          <w:tcPr>
            <w:tcW w:w="648" w:type="dxa"/>
            <w:vAlign w:val="center"/>
          </w:tcPr>
          <w:p>
            <w:pPr>
              <w:snapToGrid w:val="0"/>
              <w:spacing w:line="400" w:lineRule="exact"/>
              <w:jc w:val="center"/>
              <w:rPr>
                <w:rFonts w:ascii="仿宋_GB2312" w:eastAsia="仿宋_GB2312"/>
                <w:sz w:val="24"/>
              </w:rPr>
            </w:pPr>
          </w:p>
        </w:tc>
        <w:tc>
          <w:tcPr>
            <w:tcW w:w="1206" w:type="dxa"/>
            <w:vAlign w:val="center"/>
          </w:tcPr>
          <w:p>
            <w:pPr>
              <w:snapToGrid w:val="0"/>
              <w:spacing w:line="400" w:lineRule="exact"/>
              <w:jc w:val="center"/>
              <w:rPr>
                <w:rFonts w:ascii="仿宋_GB2312" w:eastAsia="仿宋_GB2312"/>
                <w:sz w:val="24"/>
              </w:rPr>
            </w:pPr>
          </w:p>
        </w:tc>
        <w:tc>
          <w:tcPr>
            <w:tcW w:w="1207" w:type="dxa"/>
            <w:vAlign w:val="center"/>
          </w:tcPr>
          <w:p>
            <w:pPr>
              <w:snapToGrid w:val="0"/>
              <w:spacing w:line="400" w:lineRule="exact"/>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9264" w:type="dxa"/>
            <w:gridSpan w:val="7"/>
            <w:vAlign w:val="center"/>
          </w:tcPr>
          <w:p>
            <w:pPr>
              <w:snapToGrid w:val="0"/>
              <w:spacing w:line="400" w:lineRule="exact"/>
              <w:jc w:val="left"/>
              <w:rPr>
                <w:rFonts w:ascii="仿宋_GB2312" w:eastAsia="仿宋_GB2312"/>
                <w:sz w:val="24"/>
                <w:u w:val="single"/>
              </w:rPr>
            </w:pPr>
            <w:r>
              <w:rPr>
                <w:rFonts w:hint="eastAsia" w:ascii="仿宋_GB2312" w:eastAsia="仿宋_GB2312"/>
                <w:sz w:val="24"/>
              </w:rPr>
              <w:t>人民币合计金额（大写）                          （小写）¥</w:t>
            </w:r>
            <w:r>
              <w:rPr>
                <w:rFonts w:hint="eastAsia" w:ascii="仿宋_GB2312" w:eastAsia="仿宋_GB2312"/>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9264" w:type="dxa"/>
            <w:gridSpan w:val="7"/>
            <w:vAlign w:val="center"/>
          </w:tcPr>
          <w:p>
            <w:pPr>
              <w:snapToGrid w:val="0"/>
              <w:spacing w:line="400" w:lineRule="exact"/>
              <w:jc w:val="left"/>
              <w:rPr>
                <w:rFonts w:ascii="仿宋_GB2312" w:eastAsia="仿宋_GB2312"/>
                <w:sz w:val="24"/>
              </w:rPr>
            </w:pPr>
            <w:r>
              <w:rPr>
                <w:rFonts w:hint="eastAsia" w:ascii="仿宋_GB2312" w:eastAsia="仿宋_GB2312"/>
                <w:sz w:val="24"/>
              </w:rPr>
              <w:t>服务交接时间：自合同约定提供服务之日起</w:t>
            </w:r>
            <w:r>
              <w:rPr>
                <w:rFonts w:hint="eastAsia" w:ascii="仿宋_GB2312" w:eastAsia="仿宋_GB2312"/>
                <w:sz w:val="24"/>
                <w:u w:val="single"/>
              </w:rPr>
              <w:t xml:space="preserve">  </w:t>
            </w:r>
            <w:r>
              <w:rPr>
                <w:rFonts w:hint="eastAsia" w:ascii="仿宋_GB2312" w:eastAsia="仿宋_GB2312"/>
                <w:sz w:val="24"/>
              </w:rPr>
              <w:t>日内办理完服务交接手续。</w:t>
            </w:r>
          </w:p>
        </w:tc>
      </w:tr>
    </w:tbl>
    <w:p>
      <w:pPr>
        <w:tabs>
          <w:tab w:val="left" w:pos="851"/>
          <w:tab w:val="left" w:pos="993"/>
          <w:tab w:val="left" w:pos="1134"/>
        </w:tabs>
        <w:spacing w:line="400" w:lineRule="exact"/>
        <w:ind w:firstLine="480" w:firstLineChars="200"/>
        <w:jc w:val="left"/>
        <w:rPr>
          <w:rFonts w:ascii="仿宋_GB2312" w:eastAsia="仿宋_GB2312"/>
          <w:sz w:val="24"/>
        </w:rPr>
      </w:pPr>
      <w:r>
        <w:rPr>
          <w:rFonts w:hint="eastAsia" w:ascii="仿宋_GB2312" w:eastAsia="仿宋_GB2312"/>
          <w:sz w:val="24"/>
        </w:rPr>
        <w:t>合同合计金额包括为了实施和完成服务所需的各种费用及合同包含的所有风险、责任等各项应有的费用。如招投标文件对其另有规定的，从其规定。</w:t>
      </w:r>
    </w:p>
    <w:p>
      <w:pPr>
        <w:spacing w:line="400" w:lineRule="exact"/>
        <w:ind w:firstLine="590" w:firstLineChars="245"/>
        <w:jc w:val="left"/>
        <w:rPr>
          <w:rFonts w:ascii="仿宋_GB2312" w:eastAsia="仿宋_GB2312"/>
          <w:b/>
          <w:sz w:val="24"/>
        </w:rPr>
      </w:pPr>
      <w:r>
        <w:rPr>
          <w:rFonts w:hint="eastAsia" w:ascii="仿宋_GB2312" w:eastAsia="仿宋_GB2312"/>
          <w:b/>
          <w:sz w:val="24"/>
        </w:rPr>
        <w:t>第二条  服务基本情况：</w:t>
      </w:r>
    </w:p>
    <w:p>
      <w:pPr>
        <w:spacing w:line="400" w:lineRule="exact"/>
        <w:ind w:firstLine="588" w:firstLineChars="245"/>
        <w:jc w:val="left"/>
        <w:rPr>
          <w:rFonts w:ascii="仿宋_GB2312" w:eastAsia="仿宋_GB2312"/>
          <w:sz w:val="24"/>
        </w:rPr>
      </w:pPr>
      <w:r>
        <w:rPr>
          <w:rFonts w:hint="eastAsia" w:ascii="仿宋_GB2312" w:eastAsia="仿宋_GB2312"/>
          <w:sz w:val="24"/>
        </w:rPr>
        <w:t>（一）具体管理范围及构成详见本项目采购文件中第二章《采购需求》的相关内容。</w:t>
      </w:r>
    </w:p>
    <w:p>
      <w:pPr>
        <w:spacing w:line="400" w:lineRule="exact"/>
        <w:ind w:firstLine="590" w:firstLineChars="245"/>
        <w:jc w:val="left"/>
        <w:rPr>
          <w:rFonts w:ascii="仿宋_GB2312" w:eastAsia="仿宋_GB2312"/>
          <w:b/>
          <w:sz w:val="24"/>
        </w:rPr>
      </w:pPr>
      <w:r>
        <w:rPr>
          <w:rFonts w:hint="eastAsia" w:ascii="仿宋_GB2312" w:eastAsia="仿宋_GB2312"/>
          <w:b/>
          <w:sz w:val="24"/>
        </w:rPr>
        <w:t>（二）乙方提供的管理服务包括以下内容：</w:t>
      </w:r>
    </w:p>
    <w:p>
      <w:pPr>
        <w:spacing w:line="400" w:lineRule="exact"/>
        <w:ind w:firstLine="588" w:firstLineChars="245"/>
        <w:jc w:val="left"/>
        <w:rPr>
          <w:rFonts w:ascii="仿宋_GB2312" w:eastAsia="仿宋_GB2312"/>
          <w:sz w:val="24"/>
          <w:u w:val="single"/>
        </w:rPr>
      </w:pPr>
      <w:r>
        <w:rPr>
          <w:rFonts w:hint="eastAsia" w:ascii="仿宋_GB2312" w:eastAsia="仿宋_GB2312"/>
          <w:sz w:val="24"/>
        </w:rPr>
        <w:t>1.</w:t>
      </w:r>
      <w:r>
        <w:rPr>
          <w:rFonts w:hint="eastAsia" w:ascii="仿宋_GB2312" w:eastAsia="仿宋_GB2312"/>
          <w:sz w:val="24"/>
          <w:u w:val="single"/>
        </w:rPr>
        <w:t>具体服务内容包含乙方投标文件承诺服务内容。</w:t>
      </w:r>
      <w:r>
        <w:rPr>
          <w:rFonts w:hint="eastAsia" w:ascii="仿宋_GB2312" w:eastAsia="仿宋_GB2312"/>
          <w:sz w:val="24"/>
        </w:rPr>
        <w:t xml:space="preserve">                           </w:t>
      </w:r>
    </w:p>
    <w:p>
      <w:pPr>
        <w:spacing w:line="400" w:lineRule="exact"/>
        <w:ind w:firstLine="588" w:firstLineChars="245"/>
        <w:jc w:val="left"/>
        <w:rPr>
          <w:rFonts w:ascii="仿宋_GB2312" w:eastAsia="仿宋_GB2312"/>
          <w:sz w:val="24"/>
          <w:u w:val="single"/>
        </w:rPr>
      </w:pPr>
      <w:r>
        <w:rPr>
          <w:rFonts w:hint="eastAsia" w:ascii="仿宋_GB2312" w:eastAsia="仿宋_GB2312"/>
          <w:sz w:val="24"/>
        </w:rPr>
        <w:t>2.</w:t>
      </w:r>
      <w:r>
        <w:rPr>
          <w:rFonts w:hint="eastAsia" w:ascii="仿宋_GB2312" w:eastAsia="仿宋_GB2312"/>
          <w:sz w:val="24"/>
          <w:u w:val="single"/>
        </w:rPr>
        <w:t xml:space="preserve">                                          </w:t>
      </w:r>
      <w:r>
        <w:rPr>
          <w:rFonts w:hint="eastAsia" w:ascii="仿宋_GB2312" w:eastAsia="仿宋_GB2312"/>
          <w:sz w:val="24"/>
        </w:rPr>
        <w:t xml:space="preserve">                          </w:t>
      </w:r>
    </w:p>
    <w:p>
      <w:pPr>
        <w:spacing w:line="400" w:lineRule="exact"/>
        <w:ind w:firstLine="588" w:firstLineChars="245"/>
        <w:jc w:val="left"/>
        <w:rPr>
          <w:rFonts w:ascii="仿宋_GB2312" w:eastAsia="仿宋_GB2312"/>
          <w:sz w:val="24"/>
          <w:u w:val="single"/>
        </w:rPr>
      </w:pPr>
      <w:r>
        <w:rPr>
          <w:rFonts w:hint="eastAsia" w:ascii="仿宋_GB2312" w:eastAsia="仿宋_GB2312"/>
          <w:sz w:val="24"/>
        </w:rPr>
        <w:t>3.</w:t>
      </w:r>
      <w:r>
        <w:rPr>
          <w:rFonts w:hint="eastAsia" w:ascii="仿宋_GB2312" w:eastAsia="仿宋_GB2312"/>
          <w:sz w:val="24"/>
          <w:u w:val="single"/>
        </w:rPr>
        <w:t xml:space="preserve">                                          </w:t>
      </w:r>
      <w:r>
        <w:rPr>
          <w:rFonts w:hint="eastAsia" w:ascii="仿宋_GB2312" w:eastAsia="仿宋_GB2312"/>
          <w:sz w:val="24"/>
        </w:rPr>
        <w:t xml:space="preserve"> </w:t>
      </w:r>
    </w:p>
    <w:p>
      <w:pPr>
        <w:tabs>
          <w:tab w:val="left" w:pos="851"/>
          <w:tab w:val="left" w:pos="993"/>
          <w:tab w:val="left" w:pos="1134"/>
        </w:tabs>
        <w:spacing w:line="400" w:lineRule="exact"/>
        <w:ind w:left="481" w:leftChars="229" w:firstLine="120" w:firstLineChars="50"/>
        <w:jc w:val="left"/>
        <w:rPr>
          <w:rFonts w:ascii="仿宋_GB2312" w:eastAsia="仿宋_GB2312"/>
          <w:sz w:val="24"/>
        </w:rPr>
      </w:pPr>
      <w:r>
        <w:rPr>
          <w:rFonts w:hint="eastAsia" w:ascii="仿宋_GB2312" w:eastAsia="仿宋_GB2312"/>
          <w:b/>
          <w:bCs/>
          <w:kern w:val="0"/>
          <w:sz w:val="24"/>
        </w:rPr>
        <w:t xml:space="preserve">第三条  </w:t>
      </w:r>
      <w:r>
        <w:rPr>
          <w:rFonts w:hint="eastAsia" w:ascii="仿宋_GB2312" w:eastAsia="仿宋_GB2312"/>
          <w:b/>
          <w:sz w:val="24"/>
        </w:rPr>
        <w:t>服务期限、服务人数及工作时间</w:t>
      </w:r>
    </w:p>
    <w:p>
      <w:pPr>
        <w:tabs>
          <w:tab w:val="left" w:pos="851"/>
          <w:tab w:val="left" w:pos="993"/>
          <w:tab w:val="left" w:pos="1134"/>
        </w:tabs>
        <w:spacing w:line="400" w:lineRule="exact"/>
        <w:ind w:left="481" w:leftChars="229" w:firstLine="120" w:firstLineChars="50"/>
        <w:jc w:val="left"/>
        <w:rPr>
          <w:rFonts w:ascii="仿宋_GB2312" w:eastAsia="仿宋_GB2312"/>
          <w:sz w:val="24"/>
        </w:rPr>
      </w:pPr>
      <w:r>
        <w:rPr>
          <w:rFonts w:hint="eastAsia" w:ascii="仿宋_GB2312" w:eastAsia="仿宋_GB2312"/>
          <w:sz w:val="24"/>
        </w:rPr>
        <w:t>（一）服务期限：</w:t>
      </w:r>
      <w:r>
        <w:rPr>
          <w:rFonts w:hint="eastAsia" w:ascii="仿宋_GB2312" w:eastAsia="仿宋_GB2312"/>
          <w:sz w:val="24"/>
          <w:u w:val="single"/>
        </w:rPr>
        <w:t>自   年   月  日起至     年  月   日止，共     年</w:t>
      </w:r>
      <w:r>
        <w:rPr>
          <w:rFonts w:hint="eastAsia" w:ascii="仿宋_GB2312" w:eastAsia="仿宋_GB2312"/>
          <w:sz w:val="24"/>
        </w:rPr>
        <w:t>。</w:t>
      </w:r>
    </w:p>
    <w:p>
      <w:pPr>
        <w:snapToGrid w:val="0"/>
        <w:spacing w:line="400" w:lineRule="exact"/>
        <w:ind w:firstLine="600" w:firstLineChars="250"/>
        <w:jc w:val="left"/>
        <w:rPr>
          <w:rFonts w:ascii="仿宋_GB2312" w:eastAsia="仿宋_GB2312" w:cs="Arial"/>
          <w:bCs/>
          <w:sz w:val="24"/>
          <w:szCs w:val="21"/>
        </w:rPr>
      </w:pPr>
      <w:r>
        <w:rPr>
          <w:rFonts w:hint="eastAsia" w:ascii="仿宋_GB2312" w:eastAsia="仿宋_GB2312" w:cs="Courier New"/>
          <w:sz w:val="24"/>
          <w:szCs w:val="21"/>
        </w:rPr>
        <w:t>（二）服务人数：乙方向甲方派服务</w:t>
      </w:r>
      <w:r>
        <w:rPr>
          <w:rFonts w:hint="eastAsia" w:ascii="仿宋_GB2312" w:eastAsia="仿宋_GB2312" w:cs="Arial"/>
          <w:bCs/>
          <w:sz w:val="24"/>
          <w:szCs w:val="21"/>
        </w:rPr>
        <w:t>人员</w:t>
      </w:r>
      <w:r>
        <w:rPr>
          <w:rFonts w:hint="eastAsia" w:ascii="仿宋_GB2312" w:eastAsia="仿宋_GB2312" w:cs="Courier New"/>
          <w:sz w:val="24"/>
          <w:szCs w:val="21"/>
          <w:u w:val="single"/>
        </w:rPr>
        <w:t xml:space="preserve">    </w:t>
      </w:r>
      <w:r>
        <w:rPr>
          <w:rFonts w:hint="eastAsia" w:ascii="仿宋_GB2312" w:eastAsia="仿宋_GB2312" w:cs="Courier New"/>
          <w:sz w:val="24"/>
          <w:szCs w:val="21"/>
        </w:rPr>
        <w:t>名。</w:t>
      </w:r>
    </w:p>
    <w:p>
      <w:pPr>
        <w:tabs>
          <w:tab w:val="left" w:pos="851"/>
          <w:tab w:val="left" w:pos="993"/>
          <w:tab w:val="left" w:pos="1134"/>
        </w:tabs>
        <w:spacing w:line="400" w:lineRule="exact"/>
        <w:ind w:left="481" w:leftChars="229" w:firstLine="120" w:firstLineChars="50"/>
        <w:jc w:val="left"/>
        <w:rPr>
          <w:rFonts w:ascii="仿宋_GB2312" w:eastAsia="仿宋_GB2312"/>
          <w:b/>
          <w:bCs/>
          <w:kern w:val="0"/>
          <w:sz w:val="24"/>
        </w:rPr>
      </w:pPr>
      <w:r>
        <w:rPr>
          <w:rFonts w:hint="eastAsia" w:ascii="仿宋_GB2312" w:eastAsia="仿宋_GB2312"/>
          <w:b/>
          <w:bCs/>
          <w:kern w:val="0"/>
          <w:sz w:val="24"/>
        </w:rPr>
        <w:t>第四条  质量保证</w:t>
      </w:r>
    </w:p>
    <w:p>
      <w:pPr>
        <w:tabs>
          <w:tab w:val="left" w:pos="851"/>
          <w:tab w:val="left" w:pos="993"/>
          <w:tab w:val="left" w:pos="1134"/>
        </w:tabs>
        <w:spacing w:line="400" w:lineRule="exact"/>
        <w:ind w:firstLine="470" w:firstLineChars="196"/>
        <w:jc w:val="left"/>
        <w:rPr>
          <w:rFonts w:ascii="仿宋_GB2312" w:eastAsia="仿宋_GB2312"/>
          <w:bCs/>
          <w:kern w:val="0"/>
          <w:sz w:val="24"/>
        </w:rPr>
      </w:pPr>
      <w:r>
        <w:rPr>
          <w:rFonts w:hint="eastAsia" w:ascii="仿宋_GB2312" w:eastAsia="仿宋_GB2312"/>
          <w:bCs/>
          <w:kern w:val="0"/>
          <w:sz w:val="24"/>
        </w:rPr>
        <w:t>乙方提供的服务质量标准按国家和地方政府的规定和本合同约定的服务质量要求及乙方在投标文件中的承诺执行。</w:t>
      </w:r>
    </w:p>
    <w:p>
      <w:pPr>
        <w:spacing w:line="400" w:lineRule="exact"/>
        <w:ind w:firstLine="590" w:firstLineChars="245"/>
        <w:jc w:val="left"/>
        <w:rPr>
          <w:rFonts w:ascii="仿宋_GB2312" w:eastAsia="仿宋_GB2312"/>
          <w:b/>
          <w:sz w:val="24"/>
        </w:rPr>
      </w:pPr>
      <w:r>
        <w:rPr>
          <w:rFonts w:hint="eastAsia" w:ascii="仿宋_GB2312" w:eastAsia="仿宋_GB2312"/>
          <w:b/>
          <w:sz w:val="24"/>
        </w:rPr>
        <w:t>第五条  服务费及支付</w:t>
      </w:r>
    </w:p>
    <w:p>
      <w:pPr>
        <w:snapToGrid w:val="0"/>
        <w:spacing w:line="400" w:lineRule="exact"/>
        <w:ind w:firstLine="600" w:firstLineChars="250"/>
        <w:jc w:val="left"/>
        <w:rPr>
          <w:rFonts w:ascii="仿宋_GB2312" w:eastAsia="仿宋_GB2312"/>
          <w:sz w:val="24"/>
        </w:rPr>
      </w:pPr>
      <w:r>
        <w:rPr>
          <w:rFonts w:hint="eastAsia" w:ascii="仿宋_GB2312" w:eastAsia="仿宋_GB2312"/>
          <w:sz w:val="24"/>
        </w:rPr>
        <w:t>（一）资金性质：</w:t>
      </w:r>
      <w:r>
        <w:rPr>
          <w:rFonts w:hint="eastAsia" w:ascii="仿宋_GB2312" w:eastAsia="仿宋_GB2312"/>
          <w:sz w:val="24"/>
          <w:u w:val="single"/>
        </w:rPr>
        <w:t xml:space="preserve">                </w:t>
      </w:r>
      <w:r>
        <w:rPr>
          <w:rFonts w:hint="eastAsia" w:ascii="仿宋_GB2312" w:eastAsia="仿宋_GB2312"/>
          <w:sz w:val="24"/>
        </w:rPr>
        <w:t>。</w:t>
      </w:r>
    </w:p>
    <w:p>
      <w:pPr>
        <w:snapToGrid w:val="0"/>
        <w:spacing w:line="400" w:lineRule="exact"/>
        <w:ind w:firstLine="600" w:firstLineChars="250"/>
        <w:jc w:val="left"/>
        <w:rPr>
          <w:rFonts w:ascii="仿宋_GB2312" w:eastAsia="仿宋_GB2312"/>
          <w:sz w:val="24"/>
        </w:rPr>
      </w:pPr>
      <w:r>
        <w:rPr>
          <w:rFonts w:hint="eastAsia" w:ascii="仿宋_GB2312" w:eastAsia="仿宋_GB2312"/>
          <w:sz w:val="24"/>
        </w:rPr>
        <w:t>（二）合同总金额：（大写）</w:t>
      </w:r>
      <w:r>
        <w:rPr>
          <w:rFonts w:hint="eastAsia" w:ascii="仿宋_GB2312" w:eastAsia="仿宋_GB2312"/>
          <w:sz w:val="24"/>
          <w:u w:val="single"/>
        </w:rPr>
        <w:t xml:space="preserve">            </w:t>
      </w:r>
      <w:r>
        <w:rPr>
          <w:rFonts w:hint="eastAsia" w:ascii="仿宋_GB2312" w:eastAsia="仿宋_GB2312"/>
          <w:sz w:val="24"/>
        </w:rPr>
        <w:t>（小写）¥</w:t>
      </w:r>
      <w:r>
        <w:rPr>
          <w:rFonts w:hint="eastAsia" w:ascii="仿宋_GB2312" w:eastAsia="仿宋_GB2312"/>
          <w:sz w:val="24"/>
          <w:u w:val="single"/>
        </w:rPr>
        <w:t xml:space="preserve">           </w:t>
      </w:r>
      <w:r>
        <w:rPr>
          <w:rFonts w:hint="eastAsia" w:ascii="仿宋_GB2312" w:eastAsia="仿宋_GB2312"/>
          <w:sz w:val="24"/>
        </w:rPr>
        <w:t>；</w:t>
      </w:r>
    </w:p>
    <w:p>
      <w:pPr>
        <w:tabs>
          <w:tab w:val="left" w:pos="851"/>
          <w:tab w:val="left" w:pos="993"/>
          <w:tab w:val="left" w:pos="1134"/>
        </w:tabs>
        <w:spacing w:line="400" w:lineRule="exact"/>
        <w:ind w:firstLine="600" w:firstLineChars="250"/>
        <w:jc w:val="left"/>
        <w:rPr>
          <w:rFonts w:ascii="仿宋_GB2312" w:eastAsia="仿宋_GB2312"/>
          <w:sz w:val="24"/>
        </w:rPr>
      </w:pPr>
      <w:r>
        <w:rPr>
          <w:rFonts w:hint="eastAsia" w:ascii="仿宋_GB2312" w:eastAsia="仿宋_GB2312"/>
          <w:sz w:val="24"/>
        </w:rPr>
        <w:t>（三）支付办法：</w:t>
      </w:r>
    </w:p>
    <w:p>
      <w:pPr>
        <w:spacing w:line="400" w:lineRule="exact"/>
        <w:ind w:firstLine="588" w:firstLineChars="245"/>
        <w:jc w:val="left"/>
        <w:rPr>
          <w:rFonts w:ascii="仿宋_GB2312" w:eastAsia="仿宋_GB2312"/>
          <w:sz w:val="24"/>
        </w:rPr>
      </w:pPr>
      <w:r>
        <w:rPr>
          <w:rFonts w:hint="eastAsia" w:ascii="仿宋_GB2312" w:eastAsia="仿宋_GB2312" w:cs="Arial"/>
          <w:bCs/>
          <w:sz w:val="24"/>
        </w:rPr>
        <w:t>本项目合同正式生效之日起，甲方按</w:t>
      </w:r>
      <w:r>
        <w:rPr>
          <w:rFonts w:hint="eastAsia" w:ascii="仿宋_GB2312" w:eastAsia="仿宋_GB2312" w:cs="Arial"/>
          <w:bCs/>
          <w:sz w:val="24"/>
          <w:u w:val="single"/>
        </w:rPr>
        <w:t xml:space="preserve">      </w:t>
      </w:r>
      <w:r>
        <w:rPr>
          <w:rFonts w:hint="eastAsia" w:ascii="仿宋_GB2312" w:eastAsia="仿宋_GB2312" w:cs="Arial"/>
          <w:bCs/>
          <w:sz w:val="24"/>
        </w:rPr>
        <w:t>向</w:t>
      </w:r>
      <w:r>
        <w:rPr>
          <w:rFonts w:hint="eastAsia" w:ascii="仿宋_GB2312" w:eastAsia="仿宋_GB2312" w:cs="Arial"/>
          <w:bCs/>
          <w:sz w:val="24"/>
          <w:lang w:val="en-US" w:eastAsia="zh-CN"/>
        </w:rPr>
        <w:t>乙方</w:t>
      </w:r>
      <w:r>
        <w:rPr>
          <w:rFonts w:hint="eastAsia" w:ascii="仿宋_GB2312" w:eastAsia="仿宋_GB2312" w:cs="Arial"/>
          <w:bCs/>
          <w:sz w:val="24"/>
        </w:rPr>
        <w:t>支付服务费。</w:t>
      </w:r>
      <w:r>
        <w:rPr>
          <w:rFonts w:hint="eastAsia" w:ascii="仿宋_GB2312" w:eastAsia="仿宋_GB2312"/>
          <w:sz w:val="24"/>
        </w:rPr>
        <w:t>具体支付约定见本项目采购文件中第二章《采购需求》的相关内容。</w:t>
      </w:r>
    </w:p>
    <w:p>
      <w:pPr>
        <w:tabs>
          <w:tab w:val="left" w:pos="851"/>
          <w:tab w:val="left" w:pos="993"/>
          <w:tab w:val="left" w:pos="1134"/>
        </w:tabs>
        <w:spacing w:line="400" w:lineRule="exact"/>
        <w:ind w:firstLine="600" w:firstLineChars="250"/>
        <w:jc w:val="left"/>
        <w:rPr>
          <w:rFonts w:ascii="仿宋_GB2312" w:eastAsia="仿宋_GB2312"/>
          <w:sz w:val="24"/>
        </w:rPr>
      </w:pPr>
      <w:r>
        <w:rPr>
          <w:rFonts w:hint="eastAsia" w:ascii="仿宋_GB2312" w:eastAsia="仿宋_GB2312"/>
          <w:sz w:val="24"/>
        </w:rPr>
        <w:t>（四）支付方式：转账或电汇形式</w:t>
      </w:r>
    </w:p>
    <w:p>
      <w:pPr>
        <w:tabs>
          <w:tab w:val="left" w:pos="851"/>
          <w:tab w:val="left" w:pos="993"/>
          <w:tab w:val="left" w:pos="1134"/>
        </w:tabs>
        <w:spacing w:line="400" w:lineRule="exact"/>
        <w:ind w:firstLine="600" w:firstLineChars="250"/>
        <w:jc w:val="left"/>
        <w:rPr>
          <w:rFonts w:ascii="仿宋_GB2312" w:eastAsia="仿宋_GB2312"/>
          <w:sz w:val="24"/>
        </w:rPr>
      </w:pPr>
      <w:r>
        <w:rPr>
          <w:rFonts w:hint="eastAsia" w:ascii="仿宋_GB2312" w:eastAsia="仿宋_GB2312"/>
          <w:sz w:val="24"/>
        </w:rPr>
        <w:t>（五）甲方将服务费付至乙方指定的以下银行账号：</w:t>
      </w:r>
    </w:p>
    <w:p>
      <w:pPr>
        <w:spacing w:line="400" w:lineRule="exact"/>
        <w:ind w:left="480" w:firstLine="200"/>
        <w:jc w:val="left"/>
        <w:rPr>
          <w:rFonts w:ascii="仿宋_GB2312" w:eastAsia="仿宋_GB2312"/>
          <w:sz w:val="24"/>
          <w:u w:val="single"/>
        </w:rPr>
      </w:pPr>
      <w:r>
        <w:rPr>
          <w:rFonts w:hint="eastAsia" w:ascii="仿宋_GB2312" w:eastAsia="仿宋_GB2312"/>
          <w:sz w:val="24"/>
        </w:rPr>
        <w:t>开户名：</w:t>
      </w:r>
      <w:r>
        <w:rPr>
          <w:rFonts w:hint="eastAsia" w:ascii="仿宋_GB2312" w:eastAsia="仿宋_GB2312"/>
          <w:sz w:val="24"/>
          <w:u w:val="single"/>
        </w:rPr>
        <w:t xml:space="preserve">                                   </w:t>
      </w:r>
    </w:p>
    <w:p>
      <w:pPr>
        <w:spacing w:line="400" w:lineRule="exact"/>
        <w:ind w:left="480" w:firstLine="200"/>
        <w:jc w:val="left"/>
        <w:rPr>
          <w:rFonts w:ascii="仿宋_GB2312" w:eastAsia="仿宋_GB2312"/>
          <w:sz w:val="24"/>
        </w:rPr>
      </w:pPr>
      <w:r>
        <w:rPr>
          <w:rFonts w:hint="eastAsia" w:ascii="仿宋_GB2312" w:eastAsia="仿宋_GB2312"/>
          <w:sz w:val="24"/>
        </w:rPr>
        <w:t>开户银行：</w:t>
      </w:r>
      <w:r>
        <w:rPr>
          <w:rFonts w:hint="eastAsia" w:ascii="仿宋_GB2312" w:eastAsia="仿宋_GB2312"/>
          <w:sz w:val="24"/>
          <w:u w:val="single"/>
        </w:rPr>
        <w:t xml:space="preserve">                                 </w:t>
      </w:r>
    </w:p>
    <w:p>
      <w:pPr>
        <w:spacing w:line="400" w:lineRule="exact"/>
        <w:ind w:left="480" w:firstLine="200"/>
        <w:jc w:val="left"/>
        <w:rPr>
          <w:rFonts w:ascii="仿宋_GB2312" w:eastAsia="仿宋_GB2312"/>
          <w:sz w:val="24"/>
          <w:u w:val="single"/>
        </w:rPr>
      </w:pPr>
      <w:r>
        <w:rPr>
          <w:rFonts w:hint="eastAsia" w:ascii="仿宋_GB2312" w:eastAsia="仿宋_GB2312"/>
          <w:sz w:val="24"/>
        </w:rPr>
        <w:t>账号：</w:t>
      </w:r>
      <w:r>
        <w:rPr>
          <w:rFonts w:hint="eastAsia" w:ascii="仿宋_GB2312" w:eastAsia="仿宋_GB2312"/>
          <w:sz w:val="24"/>
          <w:u w:val="single"/>
        </w:rPr>
        <w:t xml:space="preserve">                                     </w:t>
      </w:r>
    </w:p>
    <w:p>
      <w:pPr>
        <w:spacing w:line="400" w:lineRule="exact"/>
        <w:ind w:firstLine="472" w:firstLineChars="196"/>
        <w:jc w:val="left"/>
        <w:rPr>
          <w:rFonts w:ascii="仿宋_GB2312" w:eastAsia="仿宋_GB2312"/>
          <w:b/>
          <w:sz w:val="24"/>
        </w:rPr>
      </w:pPr>
      <w:r>
        <w:rPr>
          <w:rFonts w:hint="eastAsia" w:ascii="仿宋_GB2312" w:eastAsia="仿宋_GB2312"/>
          <w:b/>
          <w:sz w:val="24"/>
        </w:rPr>
        <w:t>第六条  税费</w:t>
      </w:r>
    </w:p>
    <w:p>
      <w:pPr>
        <w:spacing w:line="400" w:lineRule="exact"/>
        <w:ind w:firstLine="588" w:firstLineChars="245"/>
        <w:jc w:val="left"/>
        <w:rPr>
          <w:rFonts w:ascii="仿宋_GB2312" w:eastAsia="仿宋_GB2312"/>
          <w:sz w:val="24"/>
        </w:rPr>
      </w:pPr>
      <w:r>
        <w:rPr>
          <w:rFonts w:hint="eastAsia" w:ascii="仿宋_GB2312" w:eastAsia="仿宋_GB2312"/>
          <w:sz w:val="24"/>
        </w:rPr>
        <w:t>本合同执行中相关的一切税费均由乙方负担。</w:t>
      </w:r>
    </w:p>
    <w:p>
      <w:pPr>
        <w:spacing w:line="400" w:lineRule="exact"/>
        <w:ind w:firstLine="472" w:firstLineChars="196"/>
        <w:jc w:val="left"/>
        <w:rPr>
          <w:rFonts w:ascii="仿宋_GB2312" w:eastAsia="仿宋_GB2312"/>
          <w:b/>
          <w:sz w:val="24"/>
        </w:rPr>
      </w:pPr>
      <w:r>
        <w:rPr>
          <w:rFonts w:hint="eastAsia" w:ascii="仿宋_GB2312" w:eastAsia="仿宋_GB2312"/>
          <w:b/>
          <w:sz w:val="24"/>
        </w:rPr>
        <w:t>第七条  甲方的权利和义务</w:t>
      </w:r>
    </w:p>
    <w:p>
      <w:pPr>
        <w:spacing w:line="400" w:lineRule="exact"/>
        <w:ind w:firstLine="480" w:firstLineChars="200"/>
        <w:jc w:val="left"/>
        <w:rPr>
          <w:rFonts w:ascii="仿宋_GB2312" w:eastAsia="仿宋_GB2312"/>
          <w:sz w:val="24"/>
          <w:u w:val="single"/>
        </w:rPr>
      </w:pPr>
      <w:r>
        <w:rPr>
          <w:rFonts w:hint="eastAsia" w:ascii="仿宋_GB2312" w:eastAsia="仿宋_GB2312"/>
          <w:sz w:val="24"/>
        </w:rPr>
        <w:t>（一）</w:t>
      </w:r>
      <w:r>
        <w:rPr>
          <w:rFonts w:hint="eastAsia" w:ascii="仿宋_GB2312" w:eastAsia="仿宋_GB2312"/>
          <w:sz w:val="24"/>
          <w:u w:val="single"/>
        </w:rPr>
        <w:t>包含招标文件的第二章《采购需求》中约定的甲方的权利和义务。</w:t>
      </w:r>
      <w:r>
        <w:rPr>
          <w:rFonts w:hint="eastAsia" w:ascii="仿宋_GB2312" w:eastAsia="仿宋_GB2312"/>
          <w:sz w:val="24"/>
        </w:rPr>
        <w:t xml:space="preserve">           </w:t>
      </w:r>
    </w:p>
    <w:p>
      <w:pPr>
        <w:spacing w:line="400" w:lineRule="exact"/>
        <w:ind w:firstLine="480" w:firstLineChars="200"/>
        <w:jc w:val="left"/>
        <w:rPr>
          <w:rFonts w:ascii="仿宋_GB2312" w:eastAsia="仿宋_GB2312"/>
          <w:sz w:val="24"/>
          <w:u w:val="single"/>
        </w:rPr>
      </w:pPr>
      <w:r>
        <w:rPr>
          <w:rFonts w:hint="eastAsia" w:ascii="仿宋_GB2312" w:eastAsia="仿宋_GB2312"/>
          <w:sz w:val="24"/>
        </w:rPr>
        <w:t>（二）</w:t>
      </w:r>
      <w:r>
        <w:rPr>
          <w:rFonts w:hint="eastAsia" w:ascii="仿宋_GB2312" w:eastAsia="仿宋_GB2312"/>
          <w:sz w:val="24"/>
          <w:u w:val="single"/>
        </w:rPr>
        <w:t xml:space="preserve">                                                          </w:t>
      </w:r>
      <w:r>
        <w:rPr>
          <w:rFonts w:hint="eastAsia" w:ascii="仿宋_GB2312" w:eastAsia="仿宋_GB2312"/>
          <w:sz w:val="24"/>
        </w:rPr>
        <w:t xml:space="preserve">           </w:t>
      </w:r>
    </w:p>
    <w:p>
      <w:pPr>
        <w:spacing w:line="400" w:lineRule="exact"/>
        <w:ind w:firstLine="480" w:firstLineChars="200"/>
        <w:jc w:val="left"/>
        <w:rPr>
          <w:rFonts w:ascii="仿宋_GB2312" w:eastAsia="仿宋_GB2312"/>
          <w:sz w:val="24"/>
          <w:u w:val="single"/>
        </w:rPr>
      </w:pPr>
      <w:r>
        <w:rPr>
          <w:rFonts w:hint="eastAsia" w:ascii="仿宋_GB2312" w:eastAsia="仿宋_GB2312"/>
          <w:sz w:val="24"/>
        </w:rPr>
        <w:t>（三）</w:t>
      </w:r>
      <w:r>
        <w:rPr>
          <w:rFonts w:hint="eastAsia" w:ascii="仿宋_GB2312" w:eastAsia="仿宋_GB2312"/>
          <w:sz w:val="24"/>
          <w:u w:val="single"/>
        </w:rPr>
        <w:t xml:space="preserve">                                                          </w:t>
      </w:r>
      <w:r>
        <w:rPr>
          <w:rFonts w:hint="eastAsia" w:ascii="仿宋_GB2312" w:eastAsia="仿宋_GB2312"/>
          <w:sz w:val="24"/>
        </w:rPr>
        <w:t xml:space="preserve">           </w:t>
      </w:r>
    </w:p>
    <w:p>
      <w:pPr>
        <w:spacing w:line="400" w:lineRule="exact"/>
        <w:ind w:firstLine="472" w:firstLineChars="196"/>
        <w:jc w:val="left"/>
        <w:rPr>
          <w:rFonts w:ascii="仿宋_GB2312" w:eastAsia="仿宋_GB2312"/>
          <w:b/>
          <w:sz w:val="24"/>
        </w:rPr>
      </w:pPr>
      <w:r>
        <w:rPr>
          <w:rFonts w:hint="eastAsia" w:ascii="仿宋_GB2312" w:eastAsia="仿宋_GB2312"/>
          <w:b/>
          <w:sz w:val="24"/>
        </w:rPr>
        <w:t>第八条  乙方的权利和义务</w:t>
      </w:r>
    </w:p>
    <w:p>
      <w:pPr>
        <w:spacing w:line="400" w:lineRule="exact"/>
        <w:ind w:firstLine="480" w:firstLineChars="200"/>
        <w:jc w:val="left"/>
        <w:rPr>
          <w:rFonts w:ascii="仿宋_GB2312" w:eastAsia="仿宋_GB2312"/>
          <w:sz w:val="24"/>
          <w:u w:val="single"/>
        </w:rPr>
      </w:pPr>
      <w:r>
        <w:rPr>
          <w:rFonts w:hint="eastAsia" w:ascii="仿宋_GB2312" w:eastAsia="仿宋_GB2312"/>
          <w:sz w:val="24"/>
        </w:rPr>
        <w:t>（一）</w:t>
      </w:r>
      <w:r>
        <w:rPr>
          <w:rFonts w:hint="eastAsia" w:ascii="仿宋_GB2312" w:eastAsia="仿宋_GB2312"/>
          <w:sz w:val="24"/>
          <w:u w:val="single"/>
        </w:rPr>
        <w:t>包含招标文件的第二章《采购需求》中约定的乙方的权利和义务。</w:t>
      </w:r>
      <w:r>
        <w:rPr>
          <w:rFonts w:hint="eastAsia" w:ascii="仿宋_GB2312" w:eastAsia="仿宋_GB2312"/>
          <w:sz w:val="24"/>
        </w:rPr>
        <w:t xml:space="preserve">           </w:t>
      </w:r>
    </w:p>
    <w:p>
      <w:pPr>
        <w:spacing w:line="400" w:lineRule="exact"/>
        <w:ind w:firstLine="480" w:firstLineChars="200"/>
        <w:jc w:val="left"/>
        <w:rPr>
          <w:rFonts w:ascii="仿宋_GB2312" w:eastAsia="仿宋_GB2312"/>
          <w:sz w:val="24"/>
          <w:u w:val="single"/>
        </w:rPr>
      </w:pPr>
      <w:r>
        <w:rPr>
          <w:rFonts w:hint="eastAsia" w:ascii="仿宋_GB2312" w:eastAsia="仿宋_GB2312"/>
          <w:sz w:val="24"/>
        </w:rPr>
        <w:t>（二）</w:t>
      </w:r>
      <w:r>
        <w:rPr>
          <w:rFonts w:hint="eastAsia" w:ascii="仿宋_GB2312" w:eastAsia="仿宋_GB2312"/>
          <w:sz w:val="24"/>
          <w:u w:val="single"/>
        </w:rPr>
        <w:t xml:space="preserve">                                                          </w:t>
      </w:r>
      <w:r>
        <w:rPr>
          <w:rFonts w:hint="eastAsia" w:ascii="仿宋_GB2312" w:eastAsia="仿宋_GB2312"/>
          <w:sz w:val="24"/>
        </w:rPr>
        <w:t xml:space="preserve">           </w:t>
      </w:r>
    </w:p>
    <w:p>
      <w:pPr>
        <w:spacing w:line="400" w:lineRule="exact"/>
        <w:ind w:firstLine="480" w:firstLineChars="200"/>
        <w:jc w:val="left"/>
        <w:rPr>
          <w:rFonts w:ascii="仿宋_GB2312" w:eastAsia="仿宋_GB2312"/>
          <w:sz w:val="24"/>
          <w:u w:val="single"/>
        </w:rPr>
      </w:pPr>
      <w:r>
        <w:rPr>
          <w:rFonts w:hint="eastAsia" w:ascii="仿宋_GB2312" w:eastAsia="仿宋_GB2312"/>
          <w:sz w:val="24"/>
        </w:rPr>
        <w:t>（三）</w:t>
      </w:r>
      <w:r>
        <w:rPr>
          <w:rFonts w:hint="eastAsia" w:ascii="仿宋_GB2312" w:eastAsia="仿宋_GB2312"/>
          <w:sz w:val="24"/>
          <w:u w:val="single"/>
        </w:rPr>
        <w:t xml:space="preserve">                                                          </w:t>
      </w:r>
      <w:r>
        <w:rPr>
          <w:rFonts w:hint="eastAsia" w:ascii="仿宋_GB2312" w:eastAsia="仿宋_GB2312"/>
          <w:sz w:val="24"/>
        </w:rPr>
        <w:t xml:space="preserve">           </w:t>
      </w:r>
    </w:p>
    <w:p>
      <w:pPr>
        <w:snapToGrid w:val="0"/>
        <w:spacing w:line="400" w:lineRule="exact"/>
        <w:ind w:firstLine="472" w:firstLineChars="196"/>
        <w:jc w:val="left"/>
        <w:rPr>
          <w:rFonts w:ascii="仿宋_GB2312" w:eastAsia="仿宋_GB2312"/>
          <w:b/>
          <w:sz w:val="24"/>
        </w:rPr>
      </w:pPr>
      <w:r>
        <w:rPr>
          <w:rFonts w:hint="eastAsia" w:ascii="仿宋_GB2312" w:eastAsia="仿宋_GB2312"/>
          <w:b/>
          <w:sz w:val="24"/>
        </w:rPr>
        <w:t>第九条  违约责任</w:t>
      </w:r>
    </w:p>
    <w:p>
      <w:pPr>
        <w:tabs>
          <w:tab w:val="left" w:pos="567"/>
        </w:tabs>
        <w:spacing w:line="400" w:lineRule="exact"/>
        <w:ind w:firstLine="480" w:firstLineChars="200"/>
        <w:jc w:val="left"/>
        <w:rPr>
          <w:rFonts w:ascii="仿宋_GB2312" w:eastAsia="仿宋_GB2312"/>
          <w:sz w:val="24"/>
        </w:rPr>
      </w:pPr>
      <w:r>
        <w:rPr>
          <w:rFonts w:hint="eastAsia" w:ascii="仿宋_GB2312" w:eastAsia="仿宋_GB2312"/>
          <w:sz w:val="24"/>
        </w:rPr>
        <w:t>（一）合同双方均应按约定履行，如存在逾期提供服务或逾期付款的，每逾期一日应按逾期提供服务所对应的款项或逾期应付款的</w:t>
      </w:r>
      <w:r>
        <w:rPr>
          <w:rFonts w:hint="eastAsia" w:ascii="仿宋_GB2312" w:eastAsia="仿宋_GB2312"/>
          <w:sz w:val="24"/>
          <w:u w:val="single"/>
        </w:rPr>
        <w:t xml:space="preserve">   </w:t>
      </w:r>
      <w:r>
        <w:rPr>
          <w:rFonts w:hint="eastAsia" w:ascii="仿宋_GB2312" w:eastAsia="仿宋_GB2312"/>
          <w:sz w:val="24"/>
        </w:rPr>
        <w:t>‰支付违约金；逾期超过</w:t>
      </w:r>
      <w:r>
        <w:rPr>
          <w:rFonts w:hint="eastAsia" w:ascii="仿宋_GB2312" w:eastAsia="仿宋_GB2312"/>
          <w:sz w:val="24"/>
          <w:u w:val="single"/>
        </w:rPr>
        <w:t xml:space="preserve">    </w:t>
      </w:r>
      <w:r>
        <w:rPr>
          <w:rFonts w:hint="eastAsia" w:ascii="仿宋_GB2312" w:eastAsia="仿宋_GB2312"/>
          <w:sz w:val="24"/>
        </w:rPr>
        <w:t>日的，守约方有权解除合同，并要求违约方按合同总价款的</w:t>
      </w:r>
      <w:r>
        <w:rPr>
          <w:rFonts w:hint="eastAsia" w:ascii="仿宋_GB2312" w:eastAsia="仿宋_GB2312"/>
          <w:sz w:val="24"/>
          <w:u w:val="single"/>
        </w:rPr>
        <w:t xml:space="preserve">   </w:t>
      </w:r>
      <w:r>
        <w:rPr>
          <w:rFonts w:hint="eastAsia" w:ascii="仿宋_GB2312" w:eastAsia="仿宋_GB2312"/>
          <w:sz w:val="24"/>
        </w:rPr>
        <w:t>%支付违约金；</w:t>
      </w:r>
    </w:p>
    <w:p>
      <w:pPr>
        <w:tabs>
          <w:tab w:val="left" w:pos="567"/>
        </w:tabs>
        <w:spacing w:line="400" w:lineRule="exact"/>
        <w:ind w:firstLine="480" w:firstLineChars="200"/>
        <w:jc w:val="left"/>
        <w:rPr>
          <w:rFonts w:ascii="仿宋_GB2312" w:eastAsia="仿宋_GB2312"/>
          <w:sz w:val="24"/>
        </w:rPr>
      </w:pPr>
      <w:r>
        <w:rPr>
          <w:rFonts w:hint="eastAsia" w:ascii="仿宋_GB2312" w:eastAsia="仿宋_GB2312"/>
          <w:kern w:val="0"/>
          <w:sz w:val="24"/>
        </w:rPr>
        <w:t>（二）</w:t>
      </w:r>
      <w:r>
        <w:rPr>
          <w:rFonts w:hint="eastAsia" w:ascii="仿宋_GB2312" w:eastAsia="仿宋_GB2312"/>
          <w:sz w:val="24"/>
        </w:rPr>
        <w:t>乙方未按合同约定全面提供服务的，对于未完成部分，甲方有权不予付款，并要求乙方按未完成部分价款的</w:t>
      </w:r>
      <w:r>
        <w:rPr>
          <w:rFonts w:hint="eastAsia" w:ascii="仿宋_GB2312" w:eastAsia="仿宋_GB2312"/>
          <w:sz w:val="24"/>
          <w:u w:val="single"/>
        </w:rPr>
        <w:t xml:space="preserve">   </w:t>
      </w:r>
      <w:r>
        <w:rPr>
          <w:rFonts w:hint="eastAsia" w:ascii="仿宋_GB2312" w:eastAsia="仿宋_GB2312"/>
          <w:sz w:val="24"/>
        </w:rPr>
        <w:t>%支付违约金。如未完成部分与整个合同的履行有直接影响，导致合同无法履行或无法实现合同目的的，甲方有权解除合同，并要求乙方按合同总价款的</w:t>
      </w:r>
      <w:r>
        <w:rPr>
          <w:rFonts w:hint="eastAsia" w:ascii="仿宋_GB2312" w:eastAsia="仿宋_GB2312"/>
          <w:sz w:val="24"/>
          <w:u w:val="single"/>
        </w:rPr>
        <w:t xml:space="preserve">   </w:t>
      </w:r>
      <w:r>
        <w:rPr>
          <w:rFonts w:hint="eastAsia" w:ascii="仿宋_GB2312" w:eastAsia="仿宋_GB2312"/>
          <w:sz w:val="24"/>
        </w:rPr>
        <w:t>%支付违约金；</w:t>
      </w:r>
    </w:p>
    <w:p>
      <w:pPr>
        <w:tabs>
          <w:tab w:val="left" w:pos="567"/>
        </w:tabs>
        <w:spacing w:line="400" w:lineRule="exact"/>
        <w:ind w:firstLine="480" w:firstLineChars="200"/>
        <w:jc w:val="left"/>
        <w:rPr>
          <w:rFonts w:ascii="仿宋_GB2312" w:eastAsia="仿宋_GB2312"/>
          <w:sz w:val="24"/>
        </w:rPr>
      </w:pPr>
      <w:r>
        <w:rPr>
          <w:rFonts w:hint="eastAsia" w:ascii="仿宋_GB2312" w:eastAsia="仿宋_GB2312"/>
          <w:kern w:val="0"/>
          <w:sz w:val="24"/>
        </w:rPr>
        <w:t>（三）</w:t>
      </w:r>
      <w:r>
        <w:rPr>
          <w:rFonts w:hint="eastAsia" w:ascii="仿宋_GB2312" w:eastAsia="仿宋_GB2312"/>
          <w:sz w:val="24"/>
        </w:rPr>
        <w:t>1.如乙方提供的服务不符合合同约定，甲方有权解除合同，并要求乙方按合同总价款的</w:t>
      </w:r>
      <w:r>
        <w:rPr>
          <w:rFonts w:hint="eastAsia" w:ascii="仿宋_GB2312" w:eastAsia="仿宋_GB2312"/>
          <w:sz w:val="24"/>
          <w:u w:val="single"/>
        </w:rPr>
        <w:t xml:space="preserve">   </w:t>
      </w:r>
      <w:r>
        <w:rPr>
          <w:rFonts w:hint="eastAsia" w:ascii="仿宋_GB2312" w:eastAsia="仿宋_GB2312"/>
          <w:sz w:val="24"/>
        </w:rPr>
        <w:t>%支付违约金。2.如甲方同意由乙方继续履行合同或重新提供符合合同约定服务的，乙方除继续履行外，仍需按合同总价款的</w:t>
      </w:r>
      <w:r>
        <w:rPr>
          <w:rFonts w:hint="eastAsia" w:ascii="仿宋_GB2312" w:eastAsia="仿宋_GB2312"/>
          <w:sz w:val="24"/>
          <w:u w:val="single"/>
        </w:rPr>
        <w:t xml:space="preserve">   </w:t>
      </w:r>
      <w:r>
        <w:rPr>
          <w:rFonts w:hint="eastAsia" w:ascii="仿宋_GB2312" w:eastAsia="仿宋_GB2312"/>
          <w:sz w:val="24"/>
        </w:rPr>
        <w:t>%支付违约金（此项违约金的设置比例不得高于前款所约定的违约金比例）；</w:t>
      </w:r>
    </w:p>
    <w:p>
      <w:pPr>
        <w:tabs>
          <w:tab w:val="left" w:pos="567"/>
        </w:tabs>
        <w:spacing w:line="400" w:lineRule="exact"/>
        <w:ind w:firstLine="480" w:firstLineChars="200"/>
        <w:jc w:val="left"/>
        <w:rPr>
          <w:rFonts w:ascii="仿宋_GB2312" w:eastAsia="仿宋_GB2312"/>
          <w:sz w:val="24"/>
        </w:rPr>
      </w:pPr>
      <w:r>
        <w:rPr>
          <w:rFonts w:hint="eastAsia" w:ascii="仿宋_GB2312" w:eastAsia="仿宋_GB2312"/>
          <w:kern w:val="0"/>
          <w:sz w:val="24"/>
        </w:rPr>
        <w:t>（四）</w:t>
      </w:r>
      <w:r>
        <w:rPr>
          <w:rFonts w:hint="eastAsia" w:ascii="仿宋_GB2312" w:eastAsia="仿宋_GB2312"/>
          <w:sz w:val="24"/>
        </w:rPr>
        <w:t>若乙方违约，造成甲方的损失超过违约金额的，乙方应赔偿甲方超出违约金部分的损失；</w:t>
      </w:r>
    </w:p>
    <w:p>
      <w:pPr>
        <w:tabs>
          <w:tab w:val="left" w:pos="567"/>
        </w:tabs>
        <w:spacing w:line="400" w:lineRule="exact"/>
        <w:ind w:firstLine="480" w:firstLineChars="200"/>
        <w:jc w:val="left"/>
        <w:rPr>
          <w:rFonts w:ascii="仿宋_GB2312" w:eastAsia="仿宋_GB2312"/>
          <w:sz w:val="24"/>
        </w:rPr>
      </w:pPr>
      <w:r>
        <w:rPr>
          <w:rFonts w:hint="eastAsia" w:ascii="仿宋_GB2312" w:eastAsia="仿宋_GB2312"/>
          <w:sz w:val="24"/>
        </w:rPr>
        <w:t>（五）合同一方违约，另一方为主张权利而支付的费用（该包括但不限于诉讼费、律师费、公告费等），由违约方承担。</w:t>
      </w:r>
    </w:p>
    <w:p>
      <w:pPr>
        <w:tabs>
          <w:tab w:val="left" w:pos="567"/>
        </w:tabs>
        <w:spacing w:line="400" w:lineRule="exact"/>
        <w:ind w:firstLine="480" w:firstLineChars="200"/>
        <w:jc w:val="left"/>
        <w:rPr>
          <w:rFonts w:ascii="仿宋_GB2312" w:eastAsia="仿宋_GB2312"/>
          <w:sz w:val="24"/>
        </w:rPr>
      </w:pPr>
      <w:r>
        <w:rPr>
          <w:rFonts w:hint="eastAsia" w:ascii="仿宋_GB2312" w:eastAsia="仿宋_GB2312"/>
          <w:sz w:val="24"/>
        </w:rPr>
        <w:t>（六）违约金的约定支付比例按相关法律法规规定自行约定。</w:t>
      </w:r>
    </w:p>
    <w:p>
      <w:pPr>
        <w:spacing w:line="400" w:lineRule="exact"/>
        <w:ind w:firstLine="354" w:firstLineChars="147"/>
        <w:jc w:val="left"/>
        <w:rPr>
          <w:rFonts w:ascii="仿宋_GB2312" w:eastAsia="仿宋_GB2312"/>
          <w:b/>
          <w:sz w:val="24"/>
        </w:rPr>
      </w:pPr>
      <w:r>
        <w:rPr>
          <w:rFonts w:hint="eastAsia" w:ascii="仿宋_GB2312" w:eastAsia="仿宋_GB2312"/>
          <w:b/>
          <w:sz w:val="24"/>
        </w:rPr>
        <w:t>第十条  不可抗力事件处理</w:t>
      </w:r>
    </w:p>
    <w:p>
      <w:pPr>
        <w:snapToGrid w:val="0"/>
        <w:spacing w:line="400" w:lineRule="exact"/>
        <w:ind w:firstLine="480" w:firstLineChars="200"/>
        <w:rPr>
          <w:rFonts w:ascii="仿宋_GB2312" w:eastAsia="仿宋_GB2312" w:cs="Courier New"/>
          <w:sz w:val="24"/>
          <w:szCs w:val="21"/>
        </w:rPr>
      </w:pPr>
      <w:r>
        <w:rPr>
          <w:rFonts w:hint="eastAsia" w:ascii="仿宋_GB2312" w:eastAsia="仿宋_GB2312"/>
          <w:sz w:val="24"/>
        </w:rPr>
        <w:t>（一）</w:t>
      </w:r>
      <w:r>
        <w:rPr>
          <w:rFonts w:hint="eastAsia" w:ascii="仿宋_GB2312" w:eastAsia="仿宋_GB2312" w:cs="Courier New"/>
          <w:sz w:val="24"/>
          <w:szCs w:val="21"/>
        </w:rPr>
        <w:t>在合同有效期内，任何一方因不可抗力事件导致不能履行合同，则合同履行期可延长，其延长期与不可抗力影响期相同。</w:t>
      </w:r>
    </w:p>
    <w:p>
      <w:pPr>
        <w:snapToGrid w:val="0"/>
        <w:spacing w:line="400" w:lineRule="exact"/>
        <w:ind w:firstLine="480" w:firstLineChars="200"/>
        <w:rPr>
          <w:rFonts w:ascii="仿宋_GB2312" w:eastAsia="仿宋_GB2312" w:cs="Courier New"/>
          <w:sz w:val="24"/>
          <w:szCs w:val="21"/>
        </w:rPr>
      </w:pPr>
      <w:r>
        <w:rPr>
          <w:rFonts w:hint="eastAsia" w:ascii="仿宋_GB2312" w:eastAsia="仿宋_GB2312" w:cs="Courier New"/>
          <w:sz w:val="24"/>
          <w:szCs w:val="21"/>
        </w:rPr>
        <w:t>（二）不可抗力事件发生后，应立即通知对方，并寄送有关权威机构出具的证明。</w:t>
      </w:r>
    </w:p>
    <w:p>
      <w:pPr>
        <w:snapToGrid w:val="0"/>
        <w:spacing w:line="400" w:lineRule="exact"/>
        <w:ind w:firstLine="480" w:firstLineChars="200"/>
        <w:rPr>
          <w:rFonts w:ascii="仿宋_GB2312" w:eastAsia="仿宋_GB2312" w:cs="Courier New"/>
          <w:sz w:val="24"/>
          <w:szCs w:val="21"/>
        </w:rPr>
      </w:pPr>
      <w:r>
        <w:rPr>
          <w:rFonts w:hint="eastAsia" w:ascii="仿宋_GB2312" w:eastAsia="仿宋_GB2312" w:cs="Courier New"/>
          <w:sz w:val="24"/>
          <w:szCs w:val="21"/>
        </w:rPr>
        <w:t>（三）不可抗力事件延续30天以上，双方应通过友好协商，确定是否继续履行合同。</w:t>
      </w:r>
    </w:p>
    <w:p>
      <w:pPr>
        <w:spacing w:line="400" w:lineRule="exact"/>
        <w:ind w:firstLine="472" w:firstLineChars="196"/>
        <w:jc w:val="left"/>
        <w:rPr>
          <w:rFonts w:ascii="仿宋_GB2312" w:eastAsia="仿宋_GB2312"/>
          <w:b/>
          <w:sz w:val="24"/>
        </w:rPr>
      </w:pPr>
      <w:r>
        <w:rPr>
          <w:rFonts w:hint="eastAsia" w:ascii="仿宋_GB2312" w:eastAsia="仿宋_GB2312"/>
          <w:b/>
          <w:sz w:val="24"/>
        </w:rPr>
        <w:t>第十一条  争议解决</w:t>
      </w:r>
    </w:p>
    <w:p>
      <w:pPr>
        <w:spacing w:line="400" w:lineRule="exact"/>
        <w:ind w:firstLine="480" w:firstLineChars="200"/>
        <w:jc w:val="left"/>
        <w:rPr>
          <w:rFonts w:ascii="仿宋_GB2312" w:eastAsia="仿宋_GB2312"/>
          <w:sz w:val="24"/>
        </w:rPr>
      </w:pPr>
      <w:r>
        <w:rPr>
          <w:rFonts w:hint="eastAsia" w:ascii="仿宋_GB2312" w:eastAsia="仿宋_GB2312"/>
          <w:sz w:val="24"/>
        </w:rPr>
        <w:t>（一）因履行本合同引起的或与本合同有关的争议，甲乙双方应首先通过友好协商解决，如果协商不能解决，可向甲方住所地的人民法院提起诉讼。</w:t>
      </w:r>
    </w:p>
    <w:p>
      <w:pPr>
        <w:spacing w:line="400" w:lineRule="exact"/>
        <w:ind w:firstLine="480" w:firstLineChars="200"/>
        <w:jc w:val="left"/>
        <w:rPr>
          <w:rFonts w:hint="eastAsia" w:ascii="仿宋_GB2312" w:eastAsia="仿宋_GB2312"/>
          <w:sz w:val="24"/>
          <w:lang w:eastAsia="zh-CN"/>
        </w:rPr>
      </w:pPr>
      <w:r>
        <w:rPr>
          <w:rFonts w:hint="eastAsia" w:ascii="仿宋_GB2312" w:eastAsia="仿宋_GB2312"/>
          <w:sz w:val="24"/>
        </w:rPr>
        <w:t>（二）诉讼期间，本合同继续履行</w:t>
      </w:r>
      <w:r>
        <w:rPr>
          <w:rFonts w:hint="eastAsia" w:ascii="仿宋_GB2312" w:eastAsia="仿宋_GB2312"/>
          <w:sz w:val="24"/>
          <w:lang w:eastAsia="zh-CN"/>
        </w:rPr>
        <w:t>。</w:t>
      </w:r>
    </w:p>
    <w:p>
      <w:pPr>
        <w:spacing w:line="400" w:lineRule="exact"/>
        <w:ind w:firstLine="472" w:firstLineChars="196"/>
        <w:jc w:val="left"/>
        <w:rPr>
          <w:rFonts w:ascii="仿宋_GB2312" w:eastAsia="仿宋_GB2312"/>
          <w:b/>
          <w:sz w:val="24"/>
        </w:rPr>
      </w:pPr>
      <w:r>
        <w:rPr>
          <w:rFonts w:hint="eastAsia" w:ascii="仿宋_GB2312" w:eastAsia="仿宋_GB2312"/>
          <w:b/>
          <w:sz w:val="24"/>
        </w:rPr>
        <w:t>第十二条  合同生效及其它</w:t>
      </w:r>
    </w:p>
    <w:p>
      <w:pPr>
        <w:snapToGrid w:val="0"/>
        <w:spacing w:line="400" w:lineRule="exact"/>
        <w:ind w:firstLine="480" w:firstLineChars="200"/>
        <w:rPr>
          <w:rFonts w:ascii="仿宋_GB2312" w:eastAsia="仿宋_GB2312"/>
          <w:sz w:val="24"/>
        </w:rPr>
      </w:pPr>
      <w:r>
        <w:rPr>
          <w:rFonts w:hint="eastAsia" w:ascii="仿宋_GB2312" w:eastAsia="仿宋_GB2312"/>
          <w:sz w:val="24"/>
        </w:rPr>
        <w:t>（一）合同经双方法定代表人或授权代表</w:t>
      </w:r>
      <w:r>
        <w:rPr>
          <w:rFonts w:hint="eastAsia" w:ascii="仿宋_GB2312" w:eastAsia="仿宋_GB2312"/>
          <w:sz w:val="24"/>
          <w:lang w:val="en-US" w:eastAsia="zh-CN"/>
        </w:rPr>
        <w:t>签章</w:t>
      </w:r>
      <w:r>
        <w:rPr>
          <w:rFonts w:hint="eastAsia" w:ascii="仿宋_GB2312" w:eastAsia="仿宋_GB2312"/>
          <w:sz w:val="24"/>
        </w:rPr>
        <w:t>并加盖单位公章后生效。</w:t>
      </w:r>
    </w:p>
    <w:p>
      <w:pPr>
        <w:snapToGrid w:val="0"/>
        <w:spacing w:line="400" w:lineRule="exact"/>
        <w:ind w:firstLine="470" w:firstLineChars="196"/>
        <w:jc w:val="left"/>
        <w:rPr>
          <w:rFonts w:ascii="仿宋_GB2312" w:eastAsia="仿宋_GB2312"/>
          <w:sz w:val="24"/>
        </w:rPr>
      </w:pPr>
      <w:r>
        <w:rPr>
          <w:rFonts w:hint="eastAsia" w:ascii="仿宋_GB2312" w:eastAsia="仿宋_GB2312"/>
          <w:sz w:val="24"/>
        </w:rPr>
        <w:t>（二）本合同未尽事宜，遵照《中华人民共和国民法典》有关条文执行。</w:t>
      </w:r>
    </w:p>
    <w:p>
      <w:pPr>
        <w:snapToGrid w:val="0"/>
        <w:spacing w:line="400" w:lineRule="exact"/>
        <w:ind w:firstLine="472" w:firstLineChars="196"/>
        <w:jc w:val="left"/>
        <w:rPr>
          <w:rFonts w:ascii="仿宋_GB2312" w:eastAsia="仿宋_GB2312"/>
          <w:b/>
          <w:sz w:val="24"/>
        </w:rPr>
      </w:pPr>
      <w:r>
        <w:rPr>
          <w:rFonts w:hint="eastAsia" w:ascii="仿宋_GB2312" w:eastAsia="仿宋_GB2312"/>
          <w:b/>
          <w:sz w:val="24"/>
        </w:rPr>
        <w:t>第十三条  合同的变更、终止与转让</w:t>
      </w:r>
    </w:p>
    <w:p>
      <w:pPr>
        <w:spacing w:line="400" w:lineRule="exact"/>
        <w:ind w:firstLine="480" w:firstLineChars="200"/>
        <w:jc w:val="left"/>
        <w:rPr>
          <w:rFonts w:ascii="仿宋_GB2312" w:eastAsia="仿宋_GB2312"/>
          <w:sz w:val="24"/>
        </w:rPr>
      </w:pPr>
      <w:r>
        <w:rPr>
          <w:rFonts w:hint="eastAsia" w:ascii="仿宋_GB2312" w:eastAsia="仿宋_GB2312"/>
          <w:sz w:val="24"/>
        </w:rPr>
        <w:t>（一）除《中华人民共和国政府采购法》第五十条规定的情形外，本合同一经签订，甲乙双方不得擅自变更、中止或终止。</w:t>
      </w:r>
    </w:p>
    <w:p>
      <w:pPr>
        <w:spacing w:line="400" w:lineRule="exact"/>
        <w:ind w:firstLine="480" w:firstLineChars="200"/>
        <w:jc w:val="left"/>
        <w:rPr>
          <w:rFonts w:ascii="仿宋_GB2312" w:eastAsia="仿宋_GB2312"/>
          <w:sz w:val="24"/>
        </w:rPr>
      </w:pPr>
      <w:r>
        <w:rPr>
          <w:rFonts w:hint="eastAsia" w:ascii="仿宋_GB2312" w:eastAsia="仿宋_GB2312"/>
          <w:sz w:val="24"/>
        </w:rPr>
        <w:t>（二）乙方不得擅自转让其应履行的合同义务。</w:t>
      </w:r>
    </w:p>
    <w:p>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第十四条  签订本合同依据</w:t>
      </w:r>
    </w:p>
    <w:p>
      <w:pPr>
        <w:snapToGrid w:val="0"/>
        <w:spacing w:line="400" w:lineRule="exact"/>
        <w:ind w:firstLine="480" w:firstLineChars="200"/>
        <w:rPr>
          <w:rFonts w:ascii="仿宋_GB2312" w:eastAsia="仿宋_GB2312"/>
          <w:sz w:val="24"/>
        </w:rPr>
      </w:pPr>
      <w:r>
        <w:rPr>
          <w:rFonts w:hint="eastAsia" w:ascii="仿宋_GB2312" w:eastAsia="仿宋_GB2312"/>
          <w:kern w:val="0"/>
          <w:sz w:val="24"/>
        </w:rPr>
        <w:t>（一）</w:t>
      </w:r>
      <w:r>
        <w:rPr>
          <w:rFonts w:hint="eastAsia" w:ascii="仿宋_GB2312" w:eastAsia="仿宋_GB2312"/>
          <w:sz w:val="24"/>
        </w:rPr>
        <w:t>政府采购招标文件；</w:t>
      </w:r>
    </w:p>
    <w:p>
      <w:pPr>
        <w:snapToGrid w:val="0"/>
        <w:spacing w:line="400" w:lineRule="exact"/>
        <w:ind w:firstLine="480" w:firstLineChars="200"/>
        <w:rPr>
          <w:rFonts w:ascii="仿宋_GB2312" w:eastAsia="仿宋_GB2312"/>
          <w:sz w:val="24"/>
        </w:rPr>
      </w:pPr>
      <w:r>
        <w:rPr>
          <w:rFonts w:hint="eastAsia" w:ascii="仿宋_GB2312" w:eastAsia="仿宋_GB2312"/>
          <w:kern w:val="0"/>
          <w:sz w:val="24"/>
        </w:rPr>
        <w:t>（二）</w:t>
      </w:r>
      <w:r>
        <w:rPr>
          <w:rFonts w:hint="eastAsia" w:ascii="仿宋_GB2312" w:eastAsia="仿宋_GB2312"/>
          <w:sz w:val="24"/>
        </w:rPr>
        <w:t>乙方提供的采购投标（或应答）文件；</w:t>
      </w:r>
    </w:p>
    <w:p>
      <w:pPr>
        <w:snapToGrid w:val="0"/>
        <w:spacing w:line="400" w:lineRule="exact"/>
        <w:ind w:firstLine="480" w:firstLineChars="200"/>
        <w:rPr>
          <w:rFonts w:ascii="仿宋_GB2312" w:eastAsia="仿宋_GB2312"/>
          <w:sz w:val="24"/>
        </w:rPr>
      </w:pPr>
      <w:r>
        <w:rPr>
          <w:rFonts w:hint="eastAsia" w:ascii="仿宋_GB2312" w:eastAsia="仿宋_GB2312"/>
          <w:kern w:val="0"/>
          <w:sz w:val="24"/>
        </w:rPr>
        <w:t>（三）</w:t>
      </w:r>
      <w:r>
        <w:rPr>
          <w:rFonts w:hint="eastAsia" w:ascii="仿宋_GB2312" w:eastAsia="仿宋_GB2312"/>
          <w:sz w:val="24"/>
        </w:rPr>
        <w:t>投标承诺书；</w:t>
      </w:r>
    </w:p>
    <w:p>
      <w:pPr>
        <w:snapToGrid w:val="0"/>
        <w:spacing w:line="400" w:lineRule="exact"/>
        <w:ind w:firstLine="480" w:firstLineChars="200"/>
        <w:rPr>
          <w:rFonts w:ascii="仿宋_GB2312" w:eastAsia="仿宋_GB2312"/>
          <w:sz w:val="24"/>
        </w:rPr>
      </w:pPr>
      <w:r>
        <w:rPr>
          <w:rFonts w:hint="eastAsia" w:ascii="仿宋_GB2312" w:eastAsia="仿宋_GB2312"/>
          <w:kern w:val="0"/>
          <w:sz w:val="24"/>
        </w:rPr>
        <w:t>（四）</w:t>
      </w:r>
      <w:r>
        <w:rPr>
          <w:rFonts w:hint="eastAsia" w:ascii="仿宋_GB2312" w:eastAsia="仿宋_GB2312"/>
          <w:sz w:val="24"/>
        </w:rPr>
        <w:t>中标或成交通知书。</w:t>
      </w:r>
    </w:p>
    <w:p>
      <w:pPr>
        <w:snapToGrid w:val="0"/>
        <w:spacing w:line="400" w:lineRule="exact"/>
        <w:ind w:firstLine="482" w:firstLineChars="200"/>
        <w:rPr>
          <w:rFonts w:ascii="仿宋_GB2312" w:eastAsia="仿宋_GB2312"/>
          <w:b/>
          <w:sz w:val="24"/>
        </w:rPr>
      </w:pPr>
      <w:r>
        <w:rPr>
          <w:rFonts w:hint="eastAsia" w:ascii="仿宋_GB2312" w:eastAsia="仿宋_GB2312"/>
          <w:b/>
          <w:sz w:val="24"/>
        </w:rPr>
        <w:t>第十五条  合同组成部分及解释顺序</w:t>
      </w:r>
    </w:p>
    <w:p>
      <w:pPr>
        <w:snapToGrid w:val="0"/>
        <w:spacing w:line="400" w:lineRule="exact"/>
        <w:ind w:firstLine="480" w:firstLineChars="200"/>
        <w:rPr>
          <w:rFonts w:ascii="仿宋_GB2312" w:eastAsia="仿宋_GB2312"/>
          <w:sz w:val="24"/>
        </w:rPr>
      </w:pPr>
      <w:r>
        <w:rPr>
          <w:rFonts w:hint="eastAsia" w:ascii="仿宋_GB2312" w:eastAsia="仿宋_GB2312"/>
          <w:sz w:val="24"/>
        </w:rPr>
        <w:t>下列文件作为合同的组成部分，互为补充和解释，如有不清楚或相互矛盾之处，以下面所列顺序在前的为准。</w:t>
      </w:r>
    </w:p>
    <w:p>
      <w:pPr>
        <w:snapToGrid w:val="0"/>
        <w:spacing w:line="400" w:lineRule="exact"/>
        <w:ind w:firstLine="480" w:firstLineChars="200"/>
        <w:rPr>
          <w:rFonts w:ascii="仿宋_GB2312" w:eastAsia="仿宋_GB2312"/>
          <w:sz w:val="24"/>
        </w:rPr>
      </w:pPr>
      <w:r>
        <w:rPr>
          <w:rFonts w:hint="eastAsia" w:ascii="仿宋_GB2312" w:eastAsia="仿宋_GB2312"/>
          <w:sz w:val="24"/>
        </w:rPr>
        <w:t>（一）双方签订的补充协议、双方协商同意的变更、纪要、协议；</w:t>
      </w:r>
    </w:p>
    <w:p>
      <w:pPr>
        <w:snapToGrid w:val="0"/>
        <w:spacing w:line="400" w:lineRule="exact"/>
        <w:ind w:firstLine="480" w:firstLineChars="200"/>
        <w:rPr>
          <w:rFonts w:ascii="仿宋_GB2312" w:eastAsia="仿宋_GB2312"/>
          <w:sz w:val="24"/>
        </w:rPr>
      </w:pPr>
      <w:r>
        <w:rPr>
          <w:rFonts w:hint="eastAsia" w:ascii="仿宋_GB2312" w:eastAsia="仿宋_GB2312"/>
          <w:kern w:val="0"/>
          <w:sz w:val="24"/>
        </w:rPr>
        <w:t>（二）</w:t>
      </w:r>
      <w:r>
        <w:rPr>
          <w:rFonts w:hint="eastAsia" w:ascii="仿宋_GB2312" w:eastAsia="仿宋_GB2312"/>
          <w:sz w:val="24"/>
        </w:rPr>
        <w:t>本合同书；</w:t>
      </w:r>
    </w:p>
    <w:p>
      <w:pPr>
        <w:snapToGrid w:val="0"/>
        <w:spacing w:line="400" w:lineRule="exact"/>
        <w:ind w:firstLine="480" w:firstLineChars="200"/>
        <w:rPr>
          <w:rFonts w:ascii="仿宋_GB2312" w:eastAsia="仿宋_GB2312"/>
          <w:sz w:val="24"/>
        </w:rPr>
      </w:pPr>
      <w:r>
        <w:rPr>
          <w:rFonts w:hint="eastAsia" w:ascii="仿宋_GB2312" w:eastAsia="仿宋_GB2312"/>
          <w:kern w:val="0"/>
          <w:sz w:val="24"/>
        </w:rPr>
        <w:t>（三）</w:t>
      </w:r>
      <w:r>
        <w:rPr>
          <w:rFonts w:hint="eastAsia" w:ascii="仿宋_GB2312" w:eastAsia="仿宋_GB2312"/>
          <w:sz w:val="24"/>
        </w:rPr>
        <w:t>中标或成交通知书；</w:t>
      </w:r>
    </w:p>
    <w:p>
      <w:pPr>
        <w:snapToGrid w:val="0"/>
        <w:spacing w:line="400" w:lineRule="exact"/>
        <w:ind w:firstLine="480" w:firstLineChars="200"/>
        <w:rPr>
          <w:rFonts w:ascii="仿宋_GB2312" w:eastAsia="仿宋_GB2312"/>
          <w:sz w:val="24"/>
        </w:rPr>
      </w:pPr>
      <w:r>
        <w:rPr>
          <w:rFonts w:hint="eastAsia" w:ascii="仿宋_GB2312" w:eastAsia="仿宋_GB2312"/>
          <w:kern w:val="0"/>
          <w:sz w:val="24"/>
        </w:rPr>
        <w:t>（四）</w:t>
      </w:r>
      <w:r>
        <w:rPr>
          <w:rFonts w:hint="eastAsia" w:ascii="仿宋_GB2312" w:eastAsia="仿宋_GB2312"/>
          <w:sz w:val="24"/>
        </w:rPr>
        <w:t>投标文件及承诺。</w:t>
      </w:r>
    </w:p>
    <w:p>
      <w:pPr>
        <w:spacing w:line="400" w:lineRule="exact"/>
        <w:ind w:firstLine="472" w:firstLineChars="196"/>
        <w:rPr>
          <w:rFonts w:ascii="仿宋_GB2312" w:eastAsia="仿宋_GB2312"/>
          <w:sz w:val="24"/>
        </w:rPr>
      </w:pPr>
      <w:r>
        <w:rPr>
          <w:rFonts w:hint="eastAsia" w:ascii="仿宋_GB2312" w:eastAsia="仿宋_GB2312"/>
          <w:b/>
          <w:sz w:val="24"/>
        </w:rPr>
        <w:t>第十六条</w:t>
      </w:r>
      <w:r>
        <w:rPr>
          <w:rFonts w:hint="eastAsia" w:ascii="仿宋_GB2312" w:eastAsia="仿宋_GB2312"/>
          <w:sz w:val="24"/>
        </w:rPr>
        <w:t xml:space="preserve">  本合同一式</w:t>
      </w:r>
      <w:r>
        <w:rPr>
          <w:rFonts w:hint="eastAsia" w:ascii="仿宋_GB2312" w:hAnsi="宋体" w:eastAsia="仿宋_GB2312"/>
          <w:sz w:val="24"/>
          <w:u w:val="single"/>
        </w:rPr>
        <w:t xml:space="preserve">   </w:t>
      </w:r>
      <w:r>
        <w:rPr>
          <w:rFonts w:hint="eastAsia" w:ascii="仿宋_GB2312" w:eastAsia="仿宋_GB2312"/>
          <w:sz w:val="24"/>
        </w:rPr>
        <w:t>份，具有同等法律效力，采购代理机构</w:t>
      </w:r>
      <w:r>
        <w:rPr>
          <w:rFonts w:hint="eastAsia" w:ascii="仿宋_GB2312" w:eastAsia="仿宋_GB2312"/>
          <w:sz w:val="24"/>
          <w:u w:val="single"/>
        </w:rPr>
        <w:t xml:space="preserve">    </w:t>
      </w:r>
      <w:r>
        <w:rPr>
          <w:rFonts w:hint="eastAsia" w:ascii="仿宋_GB2312" w:eastAsia="仿宋_GB2312"/>
          <w:sz w:val="24"/>
        </w:rPr>
        <w:t>份，</w:t>
      </w:r>
      <w:r>
        <w:rPr>
          <w:rFonts w:hint="eastAsia" w:ascii="仿宋_GB2312" w:hAnsi="宋体" w:eastAsia="仿宋_GB2312"/>
          <w:sz w:val="24"/>
        </w:rPr>
        <w:t>甲方</w:t>
      </w:r>
      <w:r>
        <w:rPr>
          <w:rFonts w:hint="eastAsia" w:ascii="仿宋_GB2312" w:hAnsi="宋体" w:eastAsia="仿宋_GB2312"/>
          <w:sz w:val="24"/>
          <w:u w:val="single"/>
        </w:rPr>
        <w:t xml:space="preserve">  </w:t>
      </w:r>
      <w:r>
        <w:rPr>
          <w:rFonts w:hint="eastAsia" w:ascii="仿宋_GB2312" w:hAnsi="宋体" w:eastAsia="仿宋_GB2312"/>
          <w:sz w:val="24"/>
        </w:rPr>
        <w:t>份，乙方</w:t>
      </w:r>
      <w:r>
        <w:rPr>
          <w:rFonts w:hint="eastAsia" w:ascii="仿宋_GB2312" w:hAnsi="宋体" w:eastAsia="仿宋_GB2312"/>
          <w:sz w:val="24"/>
          <w:u w:val="single"/>
        </w:rPr>
        <w:t xml:space="preserve">   </w:t>
      </w:r>
      <w:r>
        <w:rPr>
          <w:rFonts w:hint="eastAsia" w:ascii="仿宋_GB2312" w:hAnsi="宋体" w:eastAsia="仿宋_GB2312"/>
          <w:sz w:val="24"/>
        </w:rPr>
        <w:t>份</w:t>
      </w:r>
      <w:r>
        <w:rPr>
          <w:rFonts w:hint="eastAsia" w:ascii="仿宋_GB2312" w:eastAsia="仿宋_GB2312"/>
          <w:sz w:val="24"/>
        </w:rPr>
        <w:t>（可根据需要另增加）。</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2"/>
        <w:gridCol w:w="4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552" w:type="dxa"/>
            <w:vAlign w:val="center"/>
          </w:tcPr>
          <w:p>
            <w:pPr>
              <w:snapToGrid w:val="0"/>
              <w:spacing w:line="320" w:lineRule="exact"/>
              <w:rPr>
                <w:rFonts w:ascii="仿宋_GB2312" w:eastAsia="仿宋_GB2312"/>
                <w:sz w:val="24"/>
              </w:rPr>
            </w:pPr>
            <w:r>
              <w:rPr>
                <w:rFonts w:hint="eastAsia" w:ascii="仿宋_GB2312" w:eastAsia="仿宋_GB2312"/>
                <w:sz w:val="24"/>
              </w:rPr>
              <w:t xml:space="preserve">甲方（章）           </w:t>
            </w:r>
          </w:p>
          <w:p>
            <w:pPr>
              <w:snapToGrid w:val="0"/>
              <w:spacing w:line="320" w:lineRule="exact"/>
              <w:ind w:firstLine="480" w:firstLineChars="200"/>
              <w:rPr>
                <w:rFonts w:ascii="仿宋_GB2312" w:eastAsia="仿宋_GB2312"/>
                <w:sz w:val="24"/>
              </w:rPr>
            </w:pPr>
          </w:p>
          <w:p>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c>
          <w:tcPr>
            <w:tcW w:w="4690" w:type="dxa"/>
            <w:vAlign w:val="center"/>
          </w:tcPr>
          <w:p>
            <w:pPr>
              <w:snapToGrid w:val="0"/>
              <w:spacing w:line="320" w:lineRule="exact"/>
              <w:rPr>
                <w:rFonts w:ascii="仿宋_GB2312" w:eastAsia="仿宋_GB2312"/>
                <w:sz w:val="24"/>
              </w:rPr>
            </w:pPr>
            <w:r>
              <w:rPr>
                <w:rFonts w:hint="eastAsia" w:ascii="仿宋_GB2312" w:eastAsia="仿宋_GB2312"/>
                <w:sz w:val="24"/>
              </w:rPr>
              <w:t xml:space="preserve">乙方（章）              </w:t>
            </w:r>
          </w:p>
          <w:p>
            <w:pPr>
              <w:snapToGrid w:val="0"/>
              <w:spacing w:line="320" w:lineRule="exact"/>
              <w:ind w:firstLine="480" w:firstLineChars="200"/>
              <w:rPr>
                <w:rFonts w:ascii="仿宋_GB2312" w:eastAsia="仿宋_GB2312"/>
                <w:sz w:val="24"/>
              </w:rPr>
            </w:pPr>
          </w:p>
          <w:p>
            <w:pPr>
              <w:snapToGrid w:val="0"/>
              <w:spacing w:line="320" w:lineRule="exact"/>
              <w:ind w:firstLine="480" w:firstLineChars="200"/>
              <w:jc w:val="right"/>
              <w:rPr>
                <w:rFonts w:ascii="仿宋_GB2312" w:eastAsia="仿宋_GB2312"/>
                <w:sz w:val="24"/>
              </w:rPr>
            </w:pPr>
            <w:r>
              <w:rPr>
                <w:rFonts w:hint="eastAsia" w:ascii="仿宋_GB2312" w:eastAsia="仿宋_GB2312"/>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552" w:type="dxa"/>
            <w:vAlign w:val="center"/>
          </w:tcPr>
          <w:p>
            <w:pPr>
              <w:snapToGrid w:val="0"/>
              <w:spacing w:line="320" w:lineRule="exact"/>
              <w:rPr>
                <w:rFonts w:ascii="仿宋_GB2312" w:eastAsia="仿宋_GB2312"/>
                <w:sz w:val="24"/>
              </w:rPr>
            </w:pPr>
            <w:r>
              <w:rPr>
                <w:rFonts w:hint="eastAsia" w:ascii="仿宋_GB2312" w:eastAsia="仿宋_GB2312"/>
                <w:sz w:val="24"/>
              </w:rPr>
              <w:t>单位地址：</w:t>
            </w:r>
          </w:p>
        </w:tc>
        <w:tc>
          <w:tcPr>
            <w:tcW w:w="4690" w:type="dxa"/>
            <w:vAlign w:val="center"/>
          </w:tcPr>
          <w:p>
            <w:pPr>
              <w:snapToGrid w:val="0"/>
              <w:spacing w:line="320" w:lineRule="exact"/>
              <w:rPr>
                <w:rFonts w:ascii="仿宋_GB2312" w:eastAsia="仿宋_GB2312"/>
                <w:sz w:val="24"/>
              </w:rPr>
            </w:pPr>
            <w:r>
              <w:rPr>
                <w:rFonts w:hint="eastAsia" w:ascii="仿宋_GB2312" w:eastAsia="仿宋_GB2312"/>
                <w:sz w:val="24"/>
              </w:rPr>
              <w:t>单位地址：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rPr>
        <w:tc>
          <w:tcPr>
            <w:tcW w:w="4552" w:type="dxa"/>
            <w:vAlign w:val="center"/>
          </w:tcPr>
          <w:p>
            <w:pPr>
              <w:snapToGrid w:val="0"/>
              <w:spacing w:line="320" w:lineRule="exact"/>
              <w:rPr>
                <w:rFonts w:ascii="仿宋_GB2312" w:eastAsia="仿宋_GB2312"/>
                <w:sz w:val="24"/>
              </w:rPr>
            </w:pPr>
            <w:r>
              <w:rPr>
                <w:rFonts w:hint="eastAsia" w:ascii="仿宋_GB2312" w:eastAsia="仿宋_GB2312"/>
                <w:sz w:val="24"/>
              </w:rPr>
              <w:t>法定代表人：</w:t>
            </w:r>
          </w:p>
        </w:tc>
        <w:tc>
          <w:tcPr>
            <w:tcW w:w="4690" w:type="dxa"/>
            <w:vAlign w:val="center"/>
          </w:tcPr>
          <w:p>
            <w:pPr>
              <w:snapToGrid w:val="0"/>
              <w:spacing w:line="320" w:lineRule="exact"/>
              <w:rPr>
                <w:rFonts w:ascii="仿宋_GB2312" w:eastAsia="仿宋_GB2312"/>
                <w:sz w:val="24"/>
              </w:rPr>
            </w:pPr>
            <w:r>
              <w:rPr>
                <w:rFonts w:hint="eastAsia" w:ascii="仿宋_GB2312" w:eastAsia="仿宋_GB2312"/>
                <w:sz w:val="24"/>
              </w:rPr>
              <w:t>法定代表人：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552" w:type="dxa"/>
            <w:vAlign w:val="center"/>
          </w:tcPr>
          <w:p>
            <w:pPr>
              <w:snapToGrid w:val="0"/>
              <w:spacing w:line="320" w:lineRule="exact"/>
              <w:rPr>
                <w:rFonts w:ascii="仿宋_GB2312" w:eastAsia="仿宋_GB2312"/>
                <w:sz w:val="24"/>
              </w:rPr>
            </w:pPr>
            <w:r>
              <w:rPr>
                <w:rFonts w:hint="eastAsia" w:ascii="仿宋_GB2312" w:eastAsia="仿宋_GB2312"/>
                <w:sz w:val="24"/>
              </w:rPr>
              <w:t>委托代理人：</w:t>
            </w:r>
          </w:p>
        </w:tc>
        <w:tc>
          <w:tcPr>
            <w:tcW w:w="4690" w:type="dxa"/>
            <w:vAlign w:val="center"/>
          </w:tcPr>
          <w:p>
            <w:pPr>
              <w:snapToGrid w:val="0"/>
              <w:spacing w:line="320" w:lineRule="exact"/>
              <w:rPr>
                <w:rFonts w:ascii="仿宋_GB2312" w:eastAsia="仿宋_GB2312"/>
                <w:sz w:val="24"/>
              </w:rPr>
            </w:pPr>
            <w:r>
              <w:rPr>
                <w:rFonts w:hint="eastAsia" w:ascii="仿宋_GB2312" w:eastAsia="仿宋_GB2312"/>
                <w:sz w:val="24"/>
              </w:rPr>
              <w:t>委托代理人：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4552" w:type="dxa"/>
            <w:vAlign w:val="center"/>
          </w:tcPr>
          <w:p>
            <w:pPr>
              <w:snapToGrid w:val="0"/>
              <w:spacing w:line="320" w:lineRule="exact"/>
              <w:rPr>
                <w:rFonts w:ascii="仿宋_GB2312" w:eastAsia="仿宋_GB2312"/>
                <w:sz w:val="24"/>
              </w:rPr>
            </w:pPr>
            <w:r>
              <w:rPr>
                <w:rFonts w:hint="eastAsia" w:ascii="仿宋_GB2312" w:eastAsia="仿宋_GB2312"/>
                <w:sz w:val="24"/>
              </w:rPr>
              <w:t>电    话：</w:t>
            </w:r>
          </w:p>
        </w:tc>
        <w:tc>
          <w:tcPr>
            <w:tcW w:w="4690" w:type="dxa"/>
            <w:vAlign w:val="center"/>
          </w:tcPr>
          <w:p>
            <w:pPr>
              <w:snapToGrid w:val="0"/>
              <w:spacing w:line="320" w:lineRule="exact"/>
              <w:rPr>
                <w:rFonts w:ascii="仿宋_GB2312" w:eastAsia="仿宋_GB2312"/>
                <w:sz w:val="24"/>
              </w:rPr>
            </w:pPr>
            <w:r>
              <w:rPr>
                <w:rFonts w:hint="eastAsia" w:ascii="仿宋_GB2312" w:eastAsia="仿宋_GB2312"/>
                <w:sz w:val="24"/>
              </w:rPr>
              <w:t>电    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4552" w:type="dxa"/>
            <w:vAlign w:val="center"/>
          </w:tcPr>
          <w:p>
            <w:pPr>
              <w:snapToGrid w:val="0"/>
              <w:spacing w:line="320" w:lineRule="exact"/>
              <w:rPr>
                <w:rFonts w:ascii="仿宋_GB2312" w:eastAsia="仿宋_GB2312"/>
                <w:sz w:val="24"/>
              </w:rPr>
            </w:pPr>
            <w:r>
              <w:rPr>
                <w:rFonts w:hint="eastAsia" w:ascii="仿宋_GB2312" w:eastAsia="仿宋_GB2312"/>
                <w:sz w:val="24"/>
              </w:rPr>
              <w:t>电子邮箱：</w:t>
            </w:r>
          </w:p>
        </w:tc>
        <w:tc>
          <w:tcPr>
            <w:tcW w:w="4690" w:type="dxa"/>
            <w:vAlign w:val="center"/>
          </w:tcPr>
          <w:p>
            <w:pPr>
              <w:snapToGrid w:val="0"/>
              <w:spacing w:line="320" w:lineRule="exact"/>
              <w:rPr>
                <w:rFonts w:ascii="仿宋_GB2312" w:eastAsia="仿宋_GB2312"/>
                <w:sz w:val="24"/>
              </w:rPr>
            </w:pPr>
            <w:r>
              <w:rPr>
                <w:rFonts w:hint="eastAsia" w:ascii="仿宋_GB2312" w:eastAsia="仿宋_GB2312"/>
                <w:sz w:val="24"/>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552" w:type="dxa"/>
            <w:vAlign w:val="center"/>
          </w:tcPr>
          <w:p>
            <w:pPr>
              <w:snapToGrid w:val="0"/>
              <w:spacing w:line="320" w:lineRule="exact"/>
              <w:rPr>
                <w:rFonts w:ascii="仿宋_GB2312" w:eastAsia="仿宋_GB2312"/>
                <w:sz w:val="24"/>
              </w:rPr>
            </w:pPr>
            <w:r>
              <w:rPr>
                <w:rFonts w:hint="eastAsia" w:ascii="仿宋_GB2312" w:eastAsia="仿宋_GB2312"/>
                <w:sz w:val="24"/>
              </w:rPr>
              <w:t>开户银行：</w:t>
            </w:r>
          </w:p>
        </w:tc>
        <w:tc>
          <w:tcPr>
            <w:tcW w:w="4690" w:type="dxa"/>
            <w:vAlign w:val="center"/>
          </w:tcPr>
          <w:p>
            <w:pPr>
              <w:snapToGrid w:val="0"/>
              <w:spacing w:line="320" w:lineRule="exact"/>
              <w:rPr>
                <w:rFonts w:ascii="仿宋_GB2312" w:eastAsia="仿宋_GB2312"/>
                <w:sz w:val="24"/>
              </w:rPr>
            </w:pPr>
            <w:r>
              <w:rPr>
                <w:rFonts w:hint="eastAsia" w:ascii="仿宋_GB2312" w:eastAsia="仿宋_GB2312"/>
                <w:sz w:val="24"/>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4552" w:type="dxa"/>
            <w:vAlign w:val="center"/>
          </w:tcPr>
          <w:p>
            <w:pPr>
              <w:snapToGrid w:val="0"/>
              <w:spacing w:line="320" w:lineRule="exact"/>
              <w:rPr>
                <w:rFonts w:ascii="仿宋_GB2312" w:eastAsia="仿宋_GB2312"/>
                <w:sz w:val="24"/>
              </w:rPr>
            </w:pPr>
            <w:r>
              <w:rPr>
                <w:rFonts w:hint="eastAsia" w:ascii="仿宋_GB2312" w:eastAsia="仿宋_GB2312"/>
                <w:sz w:val="24"/>
              </w:rPr>
              <w:t>账    号：</w:t>
            </w:r>
          </w:p>
        </w:tc>
        <w:tc>
          <w:tcPr>
            <w:tcW w:w="4690" w:type="dxa"/>
            <w:vAlign w:val="center"/>
          </w:tcPr>
          <w:p>
            <w:pPr>
              <w:snapToGrid w:val="0"/>
              <w:spacing w:line="320" w:lineRule="exact"/>
              <w:rPr>
                <w:rFonts w:ascii="仿宋_GB2312" w:eastAsia="仿宋_GB2312"/>
                <w:sz w:val="24"/>
              </w:rPr>
            </w:pPr>
            <w:r>
              <w:rPr>
                <w:rFonts w:hint="eastAsia" w:ascii="仿宋_GB2312" w:eastAsia="仿宋_GB2312"/>
                <w:sz w:val="24"/>
              </w:rPr>
              <w:t>账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552" w:type="dxa"/>
            <w:vAlign w:val="center"/>
          </w:tcPr>
          <w:p>
            <w:pPr>
              <w:snapToGrid w:val="0"/>
              <w:spacing w:line="320" w:lineRule="exact"/>
              <w:rPr>
                <w:rFonts w:ascii="仿宋_GB2312" w:eastAsia="仿宋_GB2312"/>
                <w:sz w:val="24"/>
              </w:rPr>
            </w:pPr>
            <w:r>
              <w:rPr>
                <w:rFonts w:hint="eastAsia" w:ascii="仿宋_GB2312" w:eastAsia="仿宋_GB2312"/>
                <w:sz w:val="24"/>
              </w:rPr>
              <w:t>邮政编码：</w:t>
            </w:r>
          </w:p>
        </w:tc>
        <w:tc>
          <w:tcPr>
            <w:tcW w:w="4690" w:type="dxa"/>
            <w:vAlign w:val="center"/>
          </w:tcPr>
          <w:p>
            <w:pPr>
              <w:snapToGrid w:val="0"/>
              <w:spacing w:line="320" w:lineRule="exact"/>
              <w:rPr>
                <w:rFonts w:ascii="仿宋_GB2312" w:eastAsia="仿宋_GB2312"/>
                <w:sz w:val="24"/>
              </w:rPr>
            </w:pPr>
            <w:r>
              <w:rPr>
                <w:rFonts w:hint="eastAsia" w:ascii="仿宋_GB2312" w:eastAsia="仿宋_GB2312"/>
                <w:sz w:val="24"/>
              </w:rPr>
              <w:t>邮政编码：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7" w:hRule="atLeast"/>
        </w:trPr>
        <w:tc>
          <w:tcPr>
            <w:tcW w:w="9242" w:type="dxa"/>
            <w:gridSpan w:val="2"/>
          </w:tcPr>
          <w:p>
            <w:pPr>
              <w:snapToGrid w:val="0"/>
              <w:spacing w:line="320" w:lineRule="exact"/>
              <w:rPr>
                <w:rFonts w:ascii="仿宋_GB2312" w:eastAsia="仿宋_GB2312"/>
                <w:sz w:val="24"/>
              </w:rPr>
            </w:pPr>
            <w:r>
              <w:rPr>
                <w:rFonts w:hint="eastAsia" w:ascii="仿宋_GB2312" w:eastAsia="仿宋_GB2312"/>
                <w:sz w:val="24"/>
              </w:rPr>
              <w:t>经办人：</w:t>
            </w:r>
          </w:p>
          <w:p>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r>
    </w:tbl>
    <w:p>
      <w:pPr>
        <w:spacing w:line="360" w:lineRule="exact"/>
        <w:ind w:left="420" w:leftChars="200" w:firstLine="360" w:firstLineChars="150"/>
        <w:jc w:val="left"/>
        <w:rPr>
          <w:rFonts w:ascii="仿宋_GB2312" w:eastAsia="仿宋_GB2312"/>
          <w:sz w:val="24"/>
        </w:rPr>
      </w:pPr>
    </w:p>
    <w:p>
      <w:pPr>
        <w:snapToGrid w:val="0"/>
        <w:rPr>
          <w:rFonts w:ascii="仿宋_GB2312" w:eastAsia="仿宋_GB2312"/>
          <w:b/>
          <w:bCs/>
          <w:sz w:val="24"/>
        </w:rPr>
      </w:pPr>
    </w:p>
    <w:p>
      <w:pPr>
        <w:widowControl/>
        <w:jc w:val="left"/>
        <w:rPr>
          <w:rFonts w:hint="eastAsia" w:ascii="仿宋_GB2312" w:hAnsi="华文中宋" w:eastAsia="仿宋_GB2312"/>
          <w:bCs/>
          <w:sz w:val="32"/>
          <w:szCs w:val="32"/>
        </w:rPr>
      </w:pPr>
    </w:p>
    <w:p>
      <w:pPr>
        <w:spacing w:line="276" w:lineRule="auto"/>
        <w:rPr>
          <w:rFonts w:hint="eastAsia" w:ascii="仿宋_GB2312" w:hAnsi="华文中宋" w:eastAsia="仿宋_GB2312"/>
          <w:bCs/>
          <w:sz w:val="32"/>
          <w:szCs w:val="32"/>
        </w:rPr>
      </w:pPr>
    </w:p>
    <w:p>
      <w:pPr>
        <w:spacing w:line="276" w:lineRule="auto"/>
        <w:jc w:val="center"/>
        <w:rPr>
          <w:rFonts w:ascii="仿宋_GB2312" w:eastAsia="仿宋_GB2312"/>
          <w:b/>
          <w:sz w:val="44"/>
          <w:szCs w:val="44"/>
        </w:rPr>
      </w:pPr>
      <w:r>
        <w:rPr>
          <w:rFonts w:ascii="仿宋_GB2312" w:eastAsia="仿宋_GB2312"/>
          <w:b/>
          <w:sz w:val="44"/>
          <w:szCs w:val="44"/>
        </w:rPr>
        <w:br w:type="page"/>
      </w:r>
      <w:r>
        <w:rPr>
          <w:rFonts w:hint="eastAsia" w:ascii="仿宋_GB2312" w:eastAsia="仿宋_GB2312"/>
          <w:b/>
          <w:sz w:val="44"/>
          <w:szCs w:val="44"/>
        </w:rPr>
        <w:t>合 同 附 件</w:t>
      </w:r>
    </w:p>
    <w:p>
      <w:pPr>
        <w:snapToGrid w:val="0"/>
        <w:spacing w:line="276" w:lineRule="auto"/>
        <w:jc w:val="center"/>
        <w:rPr>
          <w:rFonts w:ascii="仿宋_GB2312" w:eastAsia="仿宋_GB2312"/>
          <w:b/>
          <w:sz w:val="24"/>
        </w:rPr>
      </w:pPr>
      <w:r>
        <w:rPr>
          <w:rFonts w:hint="eastAsia" w:ascii="仿宋_GB2312" w:eastAsia="仿宋_GB2312"/>
          <w:b/>
          <w:sz w:val="24"/>
        </w:rPr>
        <w:t>（服务类）</w:t>
      </w:r>
    </w:p>
    <w:tbl>
      <w:tblPr>
        <w:tblStyle w:val="48"/>
        <w:tblW w:w="9242" w:type="dxa"/>
        <w:tblInd w:w="0" w:type="dxa"/>
        <w:tblLayout w:type="fixed"/>
        <w:tblCellMar>
          <w:top w:w="0" w:type="dxa"/>
          <w:left w:w="108" w:type="dxa"/>
          <w:bottom w:w="0" w:type="dxa"/>
          <w:right w:w="108" w:type="dxa"/>
        </w:tblCellMar>
      </w:tblPr>
      <w:tblGrid>
        <w:gridCol w:w="4766"/>
        <w:gridCol w:w="4476"/>
      </w:tblGrid>
      <w:tr>
        <w:tblPrEx>
          <w:tblCellMar>
            <w:top w:w="0" w:type="dxa"/>
            <w:left w:w="108" w:type="dxa"/>
            <w:bottom w:w="0" w:type="dxa"/>
            <w:right w:w="108" w:type="dxa"/>
          </w:tblCellMar>
        </w:tblPrEx>
        <w:trPr>
          <w:trHeight w:val="2072" w:hRule="atLeast"/>
        </w:trPr>
        <w:tc>
          <w:tcPr>
            <w:tcW w:w="9242" w:type="dxa"/>
            <w:gridSpan w:val="2"/>
            <w:tcBorders>
              <w:top w:val="single" w:color="auto" w:sz="4" w:space="0"/>
              <w:left w:val="single" w:color="auto" w:sz="4" w:space="0"/>
              <w:bottom w:val="nil"/>
              <w:right w:val="single" w:color="auto" w:sz="4" w:space="0"/>
            </w:tcBorders>
          </w:tcPr>
          <w:p>
            <w:pPr>
              <w:snapToGrid w:val="0"/>
              <w:spacing w:line="276" w:lineRule="auto"/>
              <w:rPr>
                <w:rFonts w:ascii="仿宋_GB2312" w:eastAsia="仿宋_GB2312"/>
                <w:sz w:val="24"/>
              </w:rPr>
            </w:pPr>
            <w:r>
              <w:rPr>
                <w:rFonts w:hint="eastAsia" w:ascii="仿宋_GB2312" w:eastAsia="仿宋_GB2312"/>
                <w:sz w:val="24"/>
              </w:rPr>
              <w:t>1.供应商承诺具体事项：</w:t>
            </w:r>
          </w:p>
          <w:p>
            <w:pPr>
              <w:snapToGrid w:val="0"/>
              <w:spacing w:line="276" w:lineRule="auto"/>
              <w:rPr>
                <w:rFonts w:ascii="仿宋_GB2312" w:eastAsia="仿宋_GB2312"/>
                <w:sz w:val="24"/>
              </w:rPr>
            </w:pPr>
            <w:r>
              <w:rPr>
                <w:rFonts w:hint="eastAsia" w:ascii="仿宋_GB2312" w:eastAsia="仿宋_GB2312"/>
                <w:sz w:val="24"/>
              </w:rPr>
              <w:t xml:space="preserve">    </w:t>
            </w:r>
          </w:p>
        </w:tc>
      </w:tr>
      <w:tr>
        <w:tblPrEx>
          <w:tblCellMar>
            <w:top w:w="0" w:type="dxa"/>
            <w:left w:w="108" w:type="dxa"/>
            <w:bottom w:w="0" w:type="dxa"/>
            <w:right w:w="108" w:type="dxa"/>
          </w:tblCellMar>
        </w:tblPrEx>
        <w:trPr>
          <w:trHeight w:val="2133" w:hRule="atLeast"/>
        </w:trPr>
        <w:tc>
          <w:tcPr>
            <w:tcW w:w="9242" w:type="dxa"/>
            <w:gridSpan w:val="2"/>
            <w:tcBorders>
              <w:top w:val="single" w:color="auto" w:sz="4" w:space="0"/>
              <w:left w:val="single" w:color="auto" w:sz="4" w:space="0"/>
              <w:bottom w:val="nil"/>
              <w:right w:val="single" w:color="auto" w:sz="4" w:space="0"/>
            </w:tcBorders>
          </w:tcPr>
          <w:p>
            <w:pPr>
              <w:snapToGrid w:val="0"/>
              <w:spacing w:line="276" w:lineRule="auto"/>
              <w:rPr>
                <w:rFonts w:ascii="仿宋_GB2312" w:eastAsia="仿宋_GB2312"/>
                <w:sz w:val="24"/>
              </w:rPr>
            </w:pPr>
            <w:r>
              <w:rPr>
                <w:rFonts w:hint="eastAsia" w:ascii="仿宋_GB2312" w:eastAsia="仿宋_GB2312"/>
                <w:sz w:val="24"/>
              </w:rPr>
              <w:t>2.服务期责任：</w:t>
            </w:r>
          </w:p>
          <w:p>
            <w:pPr>
              <w:snapToGrid w:val="0"/>
              <w:spacing w:line="276" w:lineRule="auto"/>
              <w:rPr>
                <w:rFonts w:ascii="仿宋_GB2312" w:eastAsia="仿宋_GB2312"/>
                <w:sz w:val="24"/>
              </w:rPr>
            </w:pPr>
            <w:r>
              <w:rPr>
                <w:rFonts w:hint="eastAsia" w:ascii="仿宋_GB2312" w:eastAsia="仿宋_GB2312"/>
                <w:sz w:val="24"/>
              </w:rPr>
              <w:t xml:space="preserve">    </w:t>
            </w:r>
          </w:p>
        </w:tc>
      </w:tr>
      <w:tr>
        <w:tblPrEx>
          <w:tblCellMar>
            <w:top w:w="0" w:type="dxa"/>
            <w:left w:w="108" w:type="dxa"/>
            <w:bottom w:w="0" w:type="dxa"/>
            <w:right w:w="108" w:type="dxa"/>
          </w:tblCellMar>
        </w:tblPrEx>
        <w:trPr>
          <w:trHeight w:val="2702" w:hRule="atLeast"/>
        </w:trPr>
        <w:tc>
          <w:tcPr>
            <w:tcW w:w="9242" w:type="dxa"/>
            <w:gridSpan w:val="2"/>
            <w:tcBorders>
              <w:top w:val="single" w:color="auto" w:sz="4" w:space="0"/>
              <w:left w:val="single" w:color="auto" w:sz="4" w:space="0"/>
              <w:bottom w:val="nil"/>
              <w:right w:val="single" w:color="auto" w:sz="4" w:space="0"/>
            </w:tcBorders>
          </w:tcPr>
          <w:p>
            <w:pPr>
              <w:snapToGrid w:val="0"/>
              <w:spacing w:line="276" w:lineRule="auto"/>
              <w:rPr>
                <w:rFonts w:ascii="仿宋_GB2312" w:eastAsia="仿宋_GB2312"/>
                <w:sz w:val="24"/>
              </w:rPr>
            </w:pPr>
            <w:r>
              <w:rPr>
                <w:rFonts w:hint="eastAsia" w:ascii="仿宋_GB2312" w:eastAsia="仿宋_GB2312"/>
                <w:sz w:val="24"/>
              </w:rPr>
              <w:t>3.其他具体事项：</w:t>
            </w:r>
          </w:p>
          <w:p>
            <w:pPr>
              <w:snapToGrid w:val="0"/>
              <w:spacing w:line="276" w:lineRule="auto"/>
              <w:rPr>
                <w:rFonts w:ascii="仿宋_GB2312" w:eastAsia="仿宋_GB2312"/>
                <w:sz w:val="24"/>
              </w:rPr>
            </w:pPr>
            <w:r>
              <w:rPr>
                <w:rFonts w:hint="eastAsia" w:ascii="仿宋_GB2312" w:eastAsia="仿宋_GB2312"/>
                <w:sz w:val="24"/>
              </w:rPr>
              <w:t xml:space="preserve">    </w:t>
            </w:r>
          </w:p>
        </w:tc>
      </w:tr>
      <w:tr>
        <w:tblPrEx>
          <w:tblCellMar>
            <w:top w:w="0" w:type="dxa"/>
            <w:left w:w="108" w:type="dxa"/>
            <w:bottom w:w="0" w:type="dxa"/>
            <w:right w:w="108" w:type="dxa"/>
          </w:tblCellMar>
        </w:tblPrEx>
        <w:trPr>
          <w:trHeight w:val="2577" w:hRule="atLeast"/>
        </w:trPr>
        <w:tc>
          <w:tcPr>
            <w:tcW w:w="4766"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ascii="仿宋_GB2312" w:eastAsia="仿宋_GB2312"/>
                <w:sz w:val="24"/>
              </w:rPr>
            </w:pPr>
            <w:r>
              <w:rPr>
                <w:rFonts w:hint="eastAsia" w:ascii="仿宋_GB2312" w:eastAsia="仿宋_GB2312"/>
                <w:sz w:val="24"/>
              </w:rPr>
              <w:t>甲方（章）</w:t>
            </w: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 </w:t>
            </w:r>
          </w:p>
        </w:tc>
        <w:tc>
          <w:tcPr>
            <w:tcW w:w="4476"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ascii="仿宋_GB2312" w:eastAsia="仿宋_GB2312"/>
                <w:sz w:val="24"/>
              </w:rPr>
            </w:pPr>
            <w:r>
              <w:rPr>
                <w:rFonts w:hint="eastAsia" w:ascii="仿宋_GB2312" w:eastAsia="仿宋_GB2312"/>
                <w:sz w:val="24"/>
              </w:rPr>
              <w:t>乙方（章）</w:t>
            </w: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w:t>
            </w:r>
          </w:p>
        </w:tc>
      </w:tr>
    </w:tbl>
    <w:p>
      <w:pPr>
        <w:snapToGrid w:val="0"/>
        <w:spacing w:line="276" w:lineRule="auto"/>
        <w:rPr>
          <w:rFonts w:ascii="仿宋_GB2312" w:eastAsia="仿宋_GB2312"/>
          <w:sz w:val="24"/>
        </w:rPr>
      </w:pPr>
      <w:r>
        <w:rPr>
          <w:rFonts w:hint="eastAsia" w:ascii="仿宋_GB2312" w:eastAsia="仿宋_GB2312"/>
          <w:b/>
          <w:sz w:val="24"/>
        </w:rPr>
        <w:t>注：</w:t>
      </w:r>
      <w:r>
        <w:rPr>
          <w:rFonts w:hint="eastAsia" w:ascii="仿宋_GB2312" w:eastAsia="仿宋_GB2312"/>
          <w:sz w:val="24"/>
        </w:rPr>
        <w:t>填不下时可另加附页</w:t>
      </w:r>
    </w:p>
    <w:p>
      <w:pPr>
        <w:spacing w:line="276" w:lineRule="auto"/>
        <w:jc w:val="center"/>
        <w:rPr>
          <w:rFonts w:hint="eastAsia" w:ascii="仿宋_GB2312" w:hAnsi="华文中宋" w:eastAsia="仿宋_GB2312"/>
          <w:bCs/>
          <w:sz w:val="32"/>
          <w:szCs w:val="32"/>
        </w:rPr>
      </w:pPr>
    </w:p>
    <w:p>
      <w:pPr>
        <w:spacing w:line="276" w:lineRule="auto"/>
        <w:jc w:val="center"/>
        <w:rPr>
          <w:rFonts w:hint="eastAsia" w:ascii="仿宋_GB2312" w:hAnsi="华文中宋" w:eastAsia="仿宋_GB2312"/>
          <w:bCs/>
          <w:sz w:val="32"/>
          <w:szCs w:val="32"/>
        </w:rPr>
      </w:pPr>
    </w:p>
    <w:p>
      <w:pPr>
        <w:spacing w:line="276" w:lineRule="auto"/>
        <w:jc w:val="center"/>
        <w:rPr>
          <w:rFonts w:hint="eastAsia" w:ascii="仿宋_GB2312" w:hAnsi="华文中宋" w:eastAsia="仿宋_GB2312"/>
          <w:bCs/>
          <w:sz w:val="32"/>
          <w:szCs w:val="32"/>
        </w:rPr>
      </w:pPr>
    </w:p>
    <w:p>
      <w:pPr>
        <w:spacing w:line="276" w:lineRule="auto"/>
        <w:jc w:val="center"/>
        <w:rPr>
          <w:rFonts w:hint="eastAsia" w:ascii="仿宋_GB2312" w:hAnsi="华文中宋" w:eastAsia="仿宋_GB2312"/>
          <w:bCs/>
          <w:sz w:val="32"/>
          <w:szCs w:val="32"/>
        </w:rPr>
      </w:pPr>
    </w:p>
    <w:p>
      <w:pPr>
        <w:spacing w:before="120" w:beforeLines="50" w:after="480" w:afterLines="200" w:line="340" w:lineRule="exact"/>
        <w:jc w:val="center"/>
        <w:rPr>
          <w:b/>
          <w:kern w:val="0"/>
          <w:sz w:val="32"/>
          <w:szCs w:val="32"/>
        </w:rPr>
      </w:pPr>
      <w:r>
        <w:rPr>
          <w:rFonts w:ascii="仿宋_GB2312" w:hAnsi="华文中宋" w:eastAsia="仿宋_GB2312"/>
          <w:bCs/>
          <w:sz w:val="32"/>
          <w:szCs w:val="32"/>
        </w:rPr>
        <w:br w:type="page"/>
      </w:r>
      <w:r>
        <w:rPr>
          <w:rFonts w:hint="eastAsia"/>
          <w:b/>
          <w:bCs/>
          <w:kern w:val="0"/>
          <w:sz w:val="32"/>
          <w:szCs w:val="32"/>
        </w:rPr>
        <w:t>广西壮族自治区政府采购项目</w:t>
      </w:r>
      <w:r>
        <w:rPr>
          <w:rFonts w:hint="eastAsia"/>
          <w:b/>
          <w:kern w:val="0"/>
          <w:sz w:val="32"/>
          <w:szCs w:val="32"/>
        </w:rPr>
        <w:t>合同验收书（格式）</w:t>
      </w:r>
    </w:p>
    <w:p>
      <w:pPr>
        <w:spacing w:line="340" w:lineRule="exact"/>
        <w:ind w:firstLine="420" w:firstLineChars="200"/>
        <w:rPr>
          <w:rFonts w:ascii="仿宋_GB2312" w:eastAsia="仿宋_GB2312"/>
          <w:kern w:val="0"/>
          <w:szCs w:val="21"/>
        </w:rPr>
      </w:pPr>
      <w:r>
        <w:rPr>
          <w:rFonts w:hint="eastAsia" w:ascii="仿宋_GB2312" w:eastAsia="仿宋_GB2312"/>
          <w:kern w:val="0"/>
          <w:szCs w:val="21"/>
        </w:rPr>
        <w:t>根据政府采购项目（采购合同编号：</w:t>
      </w:r>
      <w:r>
        <w:rPr>
          <w:rFonts w:hint="eastAsia" w:ascii="仿宋_GB2312" w:eastAsia="仿宋_GB2312"/>
          <w:kern w:val="0"/>
          <w:szCs w:val="21"/>
        </w:rPr>
        <w:softHyphen/>
      </w:r>
      <w:r>
        <w:rPr>
          <w:rFonts w:hint="eastAsia" w:eastAsia="仿宋_GB2312"/>
          <w:kern w:val="0"/>
          <w:szCs w:val="21"/>
        </w:rPr>
        <w:t>   </w:t>
      </w:r>
      <w:r>
        <w:rPr>
          <w:rFonts w:hint="eastAsia" w:ascii="仿宋_GB2312" w:eastAsia="仿宋_GB2312"/>
          <w:kern w:val="0"/>
          <w:szCs w:val="21"/>
        </w:rPr>
        <w:t>）的约定，我单位对</w:t>
      </w:r>
      <w:r>
        <w:rPr>
          <w:rFonts w:hint="eastAsia" w:ascii="仿宋_GB2312" w:eastAsia="仿宋_GB2312"/>
          <w:kern w:val="0"/>
          <w:szCs w:val="21"/>
          <w:u w:val="single"/>
        </w:rPr>
        <w:t>（ 项目名称 ）</w:t>
      </w:r>
      <w:r>
        <w:rPr>
          <w:rFonts w:hint="eastAsia" w:ascii="仿宋_GB2312" w:eastAsia="仿宋_GB2312"/>
          <w:kern w:val="0"/>
          <w:szCs w:val="21"/>
        </w:rPr>
        <w:t>政府采购项目中标供应商</w:t>
      </w:r>
      <w:r>
        <w:rPr>
          <w:rFonts w:hint="eastAsia" w:ascii="仿宋_GB2312" w:eastAsia="仿宋_GB2312"/>
          <w:kern w:val="0"/>
          <w:szCs w:val="21"/>
          <w:u w:val="single"/>
        </w:rPr>
        <w:t>（ 公司名称 ）</w:t>
      </w:r>
      <w:r>
        <w:rPr>
          <w:rFonts w:hint="eastAsia" w:ascii="仿宋_GB2312" w:eastAsia="仿宋_GB2312"/>
          <w:kern w:val="0"/>
          <w:szCs w:val="21"/>
        </w:rPr>
        <w:t>提供的服务进行了验收，验收情况如下：</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4"/>
        <w:gridCol w:w="1715"/>
        <w:gridCol w:w="409"/>
        <w:gridCol w:w="2449"/>
        <w:gridCol w:w="94"/>
        <w:gridCol w:w="1493"/>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gridSpan w:val="2"/>
          </w:tcPr>
          <w:p>
            <w:pPr>
              <w:spacing w:line="340" w:lineRule="exact"/>
              <w:jc w:val="center"/>
              <w:rPr>
                <w:rFonts w:ascii="仿宋_GB2312" w:eastAsia="仿宋_GB2312"/>
                <w:b/>
                <w:szCs w:val="21"/>
              </w:rPr>
            </w:pPr>
            <w:r>
              <w:rPr>
                <w:rFonts w:hint="eastAsia" w:ascii="仿宋_GB2312" w:eastAsia="仿宋_GB2312"/>
                <w:kern w:val="0"/>
                <w:szCs w:val="21"/>
              </w:rPr>
              <w:t>验收方式：</w:t>
            </w:r>
          </w:p>
        </w:tc>
        <w:tc>
          <w:tcPr>
            <w:tcW w:w="5873" w:type="dxa"/>
            <w:gridSpan w:val="5"/>
          </w:tcPr>
          <w:p>
            <w:pPr>
              <w:spacing w:line="340" w:lineRule="exact"/>
              <w:jc w:val="center"/>
              <w:rPr>
                <w:rFonts w:ascii="仿宋_GB2312" w:eastAsia="仿宋_GB2312"/>
                <w:b/>
                <w:szCs w:val="21"/>
              </w:rPr>
            </w:pPr>
            <w:r>
              <w:rPr>
                <w:rFonts w:hint="eastAsia" w:ascii="仿宋_GB2312" w:eastAsia="仿宋_GB2312"/>
                <w:kern w:val="0"/>
                <w:szCs w:val="21"/>
              </w:rPr>
              <w:t>□自行验收</w:t>
            </w:r>
            <w:r>
              <w:rPr>
                <w:rFonts w:hint="eastAsia" w:eastAsia="仿宋_GB2312"/>
                <w:kern w:val="0"/>
                <w:szCs w:val="21"/>
              </w:rPr>
              <w:t>    </w:t>
            </w:r>
            <w:r>
              <w:rPr>
                <w:rFonts w:hint="eastAsia" w:ascii="仿宋_GB2312" w:eastAsia="仿宋_GB2312"/>
                <w:kern w:val="0"/>
                <w:szCs w:val="21"/>
              </w:rPr>
              <w:t>□委托验收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序号</w:t>
            </w:r>
          </w:p>
        </w:tc>
        <w:tc>
          <w:tcPr>
            <w:tcW w:w="1715"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名</w:t>
            </w:r>
            <w:r>
              <w:rPr>
                <w:rFonts w:hint="eastAsia" w:eastAsia="仿宋_GB2312"/>
                <w:kern w:val="0"/>
                <w:szCs w:val="21"/>
              </w:rPr>
              <w:t> </w:t>
            </w:r>
            <w:r>
              <w:rPr>
                <w:rFonts w:hint="eastAsia" w:ascii="仿宋_GB2312" w:eastAsia="仿宋_GB2312"/>
                <w:kern w:val="0"/>
                <w:szCs w:val="21"/>
              </w:rPr>
              <w:t>称</w:t>
            </w:r>
          </w:p>
        </w:tc>
        <w:tc>
          <w:tcPr>
            <w:tcW w:w="2952" w:type="dxa"/>
            <w:gridSpan w:val="3"/>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服务内容、标准</w:t>
            </w:r>
          </w:p>
        </w:tc>
        <w:tc>
          <w:tcPr>
            <w:tcW w:w="1493" w:type="dxa"/>
            <w:vAlign w:val="center"/>
          </w:tcPr>
          <w:p>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数量</w:t>
            </w:r>
          </w:p>
        </w:tc>
        <w:tc>
          <w:tcPr>
            <w:tcW w:w="1428"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金</w:t>
            </w:r>
            <w:r>
              <w:rPr>
                <w:rFonts w:hint="eastAsia" w:eastAsia="仿宋_GB2312"/>
                <w:kern w:val="0"/>
                <w:szCs w:val="21"/>
              </w:rPr>
              <w:t> </w:t>
            </w:r>
            <w:r>
              <w:rPr>
                <w:rFonts w:hint="eastAsia" w:ascii="仿宋_GB2312" w:eastAsia="仿宋_GB2312"/>
                <w:kern w:val="0"/>
                <w:szCs w:val="21"/>
              </w:rPr>
              <w:t>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715"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952" w:type="dxa"/>
            <w:gridSpan w:val="3"/>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493" w:type="dxa"/>
            <w:vAlign w:val="center"/>
          </w:tcPr>
          <w:p>
            <w:pPr>
              <w:widowControl/>
              <w:snapToGrid w:val="0"/>
              <w:spacing w:before="100" w:beforeAutospacing="1" w:after="100" w:afterAutospacing="1" w:line="320" w:lineRule="atLeast"/>
              <w:jc w:val="center"/>
              <w:rPr>
                <w:rFonts w:ascii="仿宋_GB2312" w:eastAsia="仿宋_GB2312"/>
                <w:kern w:val="0"/>
                <w:szCs w:val="21"/>
              </w:rPr>
            </w:pPr>
          </w:p>
        </w:tc>
        <w:tc>
          <w:tcPr>
            <w:tcW w:w="1428"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715"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952" w:type="dxa"/>
            <w:gridSpan w:val="3"/>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493" w:type="dxa"/>
            <w:vAlign w:val="center"/>
          </w:tcPr>
          <w:p>
            <w:pPr>
              <w:widowControl/>
              <w:snapToGrid w:val="0"/>
              <w:spacing w:before="100" w:beforeAutospacing="1" w:after="100" w:afterAutospacing="1" w:line="320" w:lineRule="atLeast"/>
              <w:jc w:val="center"/>
              <w:rPr>
                <w:rFonts w:ascii="仿宋_GB2312" w:eastAsia="仿宋_GB2312"/>
                <w:kern w:val="0"/>
                <w:szCs w:val="21"/>
              </w:rPr>
            </w:pPr>
          </w:p>
        </w:tc>
        <w:tc>
          <w:tcPr>
            <w:tcW w:w="1428"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715"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952" w:type="dxa"/>
            <w:gridSpan w:val="3"/>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493" w:type="dxa"/>
            <w:vAlign w:val="center"/>
          </w:tcPr>
          <w:p>
            <w:pPr>
              <w:widowControl/>
              <w:snapToGrid w:val="0"/>
              <w:spacing w:before="100" w:beforeAutospacing="1" w:after="100" w:afterAutospacing="1" w:line="320" w:lineRule="atLeast"/>
              <w:jc w:val="center"/>
              <w:rPr>
                <w:rFonts w:ascii="仿宋_GB2312" w:eastAsia="仿宋_GB2312"/>
                <w:kern w:val="0"/>
                <w:szCs w:val="21"/>
              </w:rPr>
            </w:pPr>
          </w:p>
        </w:tc>
        <w:tc>
          <w:tcPr>
            <w:tcW w:w="1428"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1" w:type="dxa"/>
            <w:gridSpan w:val="5"/>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w:t>
            </w:r>
            <w:r>
              <w:rPr>
                <w:rFonts w:hint="eastAsia" w:eastAsia="仿宋_GB2312"/>
                <w:kern w:val="0"/>
                <w:szCs w:val="21"/>
              </w:rPr>
              <w:t>  </w:t>
            </w:r>
            <w:r>
              <w:rPr>
                <w:rFonts w:hint="eastAsia" w:ascii="仿宋_GB2312" w:eastAsia="仿宋_GB2312"/>
                <w:kern w:val="0"/>
                <w:szCs w:val="21"/>
              </w:rPr>
              <w:t>计</w:t>
            </w:r>
          </w:p>
        </w:tc>
        <w:tc>
          <w:tcPr>
            <w:tcW w:w="1493" w:type="dxa"/>
            <w:vAlign w:val="center"/>
          </w:tcPr>
          <w:p>
            <w:pPr>
              <w:widowControl/>
              <w:snapToGrid w:val="0"/>
              <w:spacing w:before="100" w:beforeAutospacing="1" w:after="100" w:afterAutospacing="1" w:line="320" w:lineRule="atLeast"/>
              <w:jc w:val="center"/>
              <w:rPr>
                <w:rFonts w:ascii="仿宋_GB2312" w:eastAsia="仿宋_GB2312"/>
                <w:kern w:val="0"/>
                <w:szCs w:val="21"/>
              </w:rPr>
            </w:pPr>
          </w:p>
        </w:tc>
        <w:tc>
          <w:tcPr>
            <w:tcW w:w="1428"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7"/>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合计大写金额：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54"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服务开始日期</w:t>
            </w:r>
          </w:p>
        </w:tc>
        <w:tc>
          <w:tcPr>
            <w:tcW w:w="2124" w:type="dxa"/>
            <w:gridSpan w:val="2"/>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449"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合同验收日期</w:t>
            </w:r>
          </w:p>
        </w:tc>
        <w:tc>
          <w:tcPr>
            <w:tcW w:w="3015" w:type="dxa"/>
            <w:gridSpan w:val="3"/>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654" w:type="dxa"/>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p>
        </w:tc>
        <w:tc>
          <w:tcPr>
            <w:tcW w:w="2124" w:type="dxa"/>
            <w:gridSpan w:val="2"/>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p>
        </w:tc>
        <w:tc>
          <w:tcPr>
            <w:tcW w:w="2449" w:type="dxa"/>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p>
        </w:tc>
        <w:tc>
          <w:tcPr>
            <w:tcW w:w="3015" w:type="dxa"/>
            <w:gridSpan w:val="3"/>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654" w:type="dxa"/>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验收具体内容</w:t>
            </w:r>
          </w:p>
        </w:tc>
        <w:tc>
          <w:tcPr>
            <w:tcW w:w="7588" w:type="dxa"/>
            <w:gridSpan w:val="6"/>
            <w:vAlign w:val="center"/>
          </w:tcPr>
          <w:p>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（应按采购合同、采购文件、投标响应文件及验收方案等进行验收；并核对中标供应商配备的服务人员数量、人员素质、服务规范要求等方面是否达到合同约定。可附件）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654" w:type="dxa"/>
            <w:vMerge w:val="restart"/>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验收小组意见</w:t>
            </w:r>
          </w:p>
        </w:tc>
        <w:tc>
          <w:tcPr>
            <w:tcW w:w="7588" w:type="dxa"/>
            <w:gridSpan w:val="6"/>
            <w:vAlign w:val="center"/>
          </w:tcPr>
          <w:p>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验收结论性意见：</w:t>
            </w:r>
          </w:p>
          <w:p>
            <w:pPr>
              <w:widowControl/>
              <w:snapToGrid w:val="0"/>
              <w:spacing w:before="100" w:beforeAutospacing="1" w:after="100" w:afterAutospacing="1" w:line="320" w:lineRule="atLeast"/>
              <w:jc w:val="left"/>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Merge w:val="continue"/>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p>
        </w:tc>
        <w:tc>
          <w:tcPr>
            <w:tcW w:w="7588" w:type="dxa"/>
            <w:gridSpan w:val="6"/>
            <w:vAlign w:val="center"/>
          </w:tcPr>
          <w:p>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有异议的意见和说明理由：</w:t>
            </w:r>
          </w:p>
          <w:p>
            <w:pPr>
              <w:widowControl/>
              <w:snapToGrid w:val="0"/>
              <w:spacing w:before="100" w:beforeAutospacing="1" w:after="100" w:afterAutospacing="1" w:line="320" w:lineRule="atLeast"/>
              <w:jc w:val="left"/>
              <w:rPr>
                <w:rFonts w:ascii="仿宋_GB2312" w:eastAsia="仿宋_GB2312"/>
                <w:kern w:val="0"/>
                <w:szCs w:val="21"/>
              </w:rPr>
            </w:pPr>
            <w:r>
              <w:rPr>
                <w:rFonts w:hint="eastAsia" w:eastAsia="仿宋_GB2312"/>
                <w:kern w:val="0"/>
                <w:szCs w:val="21"/>
              </w:rPr>
              <w:t>        </w:t>
            </w:r>
            <w:r>
              <w:rPr>
                <w:rFonts w:hint="eastAsia" w:ascii="仿宋_GB2312" w:eastAsia="仿宋_GB2312"/>
                <w:kern w:val="0"/>
                <w:szCs w:val="21"/>
              </w:rPr>
              <w:t xml:space="preserve"> </w:t>
            </w:r>
            <w:r>
              <w:rPr>
                <w:rFonts w:hint="eastAsia" w:eastAsia="仿宋_GB2312"/>
                <w:kern w:val="0"/>
                <w:szCs w:val="21"/>
              </w:rPr>
              <w:t>                     </w:t>
            </w:r>
            <w:r>
              <w:rPr>
                <w:rFonts w:hint="eastAsia" w:ascii="仿宋_GB2312" w:eastAsia="仿宋_GB2312"/>
                <w:kern w:val="0"/>
                <w:szCs w:val="21"/>
              </w:rPr>
              <w:t xml:space="preserve">                </w:t>
            </w:r>
            <w:r>
              <w:rPr>
                <w:rFonts w:hint="eastAsia" w:eastAsia="仿宋_GB2312"/>
                <w:kern w:val="0"/>
                <w:szCs w:val="21"/>
              </w:rPr>
              <w:t> </w:t>
            </w:r>
            <w:r>
              <w:rPr>
                <w:rFonts w:hint="eastAsia" w:ascii="仿宋_GB2312" w:eastAsia="仿宋_GB2312"/>
                <w:kern w:val="0"/>
                <w:szCs w:val="21"/>
              </w:rPr>
              <w:t xml:space="preserve">                                            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242" w:type="dxa"/>
            <w:gridSpan w:val="7"/>
            <w:vAlign w:val="center"/>
          </w:tcPr>
          <w:p>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验收小组成员签字：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7"/>
            <w:vAlign w:val="center"/>
          </w:tcPr>
          <w:p>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监督人员或其他相关人员签字：</w:t>
            </w:r>
          </w:p>
          <w:p>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或受邀机构的意见（盖章）：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7"/>
            <w:vAlign w:val="center"/>
          </w:tcPr>
          <w:p>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中标供应商负责人签字或者盖章：     采购人或受托机构的意见（盖章）：</w:t>
            </w:r>
          </w:p>
          <w:p>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联系电话： </w:t>
            </w:r>
            <w:r>
              <w:rPr>
                <w:rFonts w:hint="eastAsia" w:eastAsia="仿宋_GB2312"/>
                <w:kern w:val="0"/>
                <w:szCs w:val="21"/>
              </w:rPr>
              <w:t>  </w:t>
            </w:r>
            <w:r>
              <w:rPr>
                <w:rFonts w:hint="eastAsia" w:ascii="仿宋_GB2312" w:eastAsia="仿宋_GB2312"/>
                <w:kern w:val="0"/>
                <w:szCs w:val="21"/>
              </w:rPr>
              <w:t xml:space="preserve">  </w:t>
            </w:r>
            <w:r>
              <w:rPr>
                <w:rFonts w:hint="eastAsia" w:eastAsia="仿宋_GB2312"/>
                <w:kern w:val="0"/>
                <w:szCs w:val="21"/>
              </w:rPr>
              <w:t>  </w:t>
            </w:r>
            <w:r>
              <w:rPr>
                <w:rFonts w:hint="eastAsia" w:ascii="仿宋_GB2312" w:eastAsia="仿宋_GB2312"/>
                <w:kern w:val="0"/>
                <w:szCs w:val="21"/>
              </w:rPr>
              <w:t xml:space="preserve"> 年</w:t>
            </w:r>
            <w:r>
              <w:rPr>
                <w:rFonts w:hint="eastAsia" w:eastAsia="仿宋_GB2312"/>
                <w:kern w:val="0"/>
                <w:szCs w:val="21"/>
              </w:rPr>
              <w:t>  </w:t>
            </w:r>
            <w:r>
              <w:rPr>
                <w:rFonts w:hint="eastAsia" w:ascii="仿宋_GB2312" w:eastAsia="仿宋_GB2312"/>
                <w:kern w:val="0"/>
                <w:szCs w:val="21"/>
              </w:rPr>
              <w:t xml:space="preserve"> 月</w:t>
            </w:r>
            <w:r>
              <w:rPr>
                <w:rFonts w:hint="eastAsia" w:eastAsia="仿宋_GB2312"/>
                <w:kern w:val="0"/>
                <w:szCs w:val="21"/>
              </w:rPr>
              <w:t>  </w:t>
            </w:r>
            <w:r>
              <w:rPr>
                <w:rFonts w:hint="eastAsia" w:ascii="仿宋_GB2312" w:eastAsia="仿宋_GB2312"/>
                <w:kern w:val="0"/>
                <w:szCs w:val="21"/>
              </w:rPr>
              <w:t xml:space="preserve"> 日                 联系电话： </w:t>
            </w:r>
            <w:r>
              <w:rPr>
                <w:rFonts w:hint="eastAsia" w:eastAsia="仿宋_GB2312"/>
                <w:kern w:val="0"/>
                <w:szCs w:val="21"/>
              </w:rPr>
              <w:t>       </w:t>
            </w:r>
            <w:r>
              <w:rPr>
                <w:rFonts w:hint="eastAsia" w:ascii="仿宋_GB2312" w:eastAsia="仿宋_GB2312"/>
                <w:kern w:val="0"/>
                <w:szCs w:val="21"/>
              </w:rPr>
              <w:t xml:space="preserve"> 年</w:t>
            </w:r>
            <w:r>
              <w:rPr>
                <w:rFonts w:hint="eastAsia" w:eastAsia="仿宋_GB2312"/>
                <w:kern w:val="0"/>
                <w:szCs w:val="21"/>
              </w:rPr>
              <w:t>  </w:t>
            </w:r>
            <w:r>
              <w:rPr>
                <w:rFonts w:hint="eastAsia" w:ascii="仿宋_GB2312" w:eastAsia="仿宋_GB2312"/>
                <w:kern w:val="0"/>
                <w:szCs w:val="21"/>
              </w:rPr>
              <w:t xml:space="preserve"> 月</w:t>
            </w:r>
            <w:r>
              <w:rPr>
                <w:rFonts w:hint="eastAsia" w:eastAsia="仿宋_GB2312"/>
                <w:kern w:val="0"/>
                <w:szCs w:val="21"/>
              </w:rPr>
              <w:t>  </w:t>
            </w:r>
            <w:r>
              <w:rPr>
                <w:rFonts w:hint="eastAsia" w:ascii="仿宋_GB2312" w:eastAsia="仿宋_GB2312"/>
                <w:kern w:val="0"/>
                <w:szCs w:val="21"/>
              </w:rPr>
              <w:t xml:space="preserve"> 日</w:t>
            </w:r>
          </w:p>
        </w:tc>
      </w:tr>
    </w:tbl>
    <w:p>
      <w:pPr>
        <w:spacing w:line="276" w:lineRule="auto"/>
        <w:jc w:val="left"/>
        <w:rPr>
          <w:rFonts w:hint="eastAsia" w:ascii="仿宋_GB2312" w:hAnsi="华文中宋" w:eastAsia="仿宋_GB2312"/>
          <w:bCs/>
          <w:szCs w:val="21"/>
        </w:rPr>
      </w:pPr>
    </w:p>
    <w:p>
      <w:pPr>
        <w:spacing w:line="276" w:lineRule="auto"/>
        <w:jc w:val="left"/>
        <w:rPr>
          <w:rFonts w:hint="eastAsia" w:ascii="仿宋_GB2312" w:hAnsi="华文中宋" w:eastAsia="仿宋_GB2312"/>
          <w:b/>
          <w:bCs/>
          <w:szCs w:val="21"/>
        </w:rPr>
      </w:pPr>
      <w:r>
        <w:rPr>
          <w:rFonts w:hint="eastAsia" w:ascii="仿宋_GB2312" w:hAnsi="华文中宋" w:eastAsia="仿宋_GB2312"/>
          <w:b/>
          <w:bCs/>
          <w:szCs w:val="21"/>
        </w:rPr>
        <w:t>备注：本验收书一式三份（采购人一份、中标人一份、采购代理机构一份）</w:t>
      </w:r>
    </w:p>
    <w:p>
      <w:pPr>
        <w:snapToGrid w:val="0"/>
        <w:jc w:val="left"/>
        <w:rPr>
          <w:rFonts w:hint="eastAsia" w:ascii="仿宋_GB2312" w:hAnsi="华文中宋" w:eastAsia="仿宋_GB2312"/>
          <w:b/>
          <w:szCs w:val="21"/>
        </w:rPr>
        <w:sectPr>
          <w:footerReference r:id="rId10" w:type="default"/>
          <w:pgSz w:w="11906" w:h="16838"/>
          <w:pgMar w:top="1440" w:right="1440" w:bottom="1440" w:left="1440" w:header="851" w:footer="992" w:gutter="0"/>
          <w:cols w:space="720" w:num="1"/>
          <w:docGrid w:linePitch="312" w:charSpace="0"/>
        </w:sectPr>
      </w:pPr>
    </w:p>
    <w:p>
      <w:pPr>
        <w:spacing w:line="276" w:lineRule="auto"/>
        <w:jc w:val="center"/>
        <w:rPr>
          <w:rFonts w:hint="eastAsia" w:ascii="仿宋_GB2312" w:hAnsi="华文中宋" w:eastAsia="仿宋_GB2312"/>
          <w:bCs/>
          <w:sz w:val="32"/>
          <w:szCs w:val="32"/>
        </w:rPr>
      </w:pPr>
    </w:p>
    <w:p>
      <w:pPr>
        <w:spacing w:line="276" w:lineRule="auto"/>
        <w:jc w:val="center"/>
        <w:rPr>
          <w:rFonts w:hint="eastAsia" w:ascii="仿宋_GB2312" w:hAnsi="华文中宋" w:eastAsia="仿宋_GB2312"/>
          <w:bCs/>
          <w:sz w:val="32"/>
          <w:szCs w:val="32"/>
        </w:rPr>
      </w:pPr>
    </w:p>
    <w:p>
      <w:pPr>
        <w:spacing w:line="276" w:lineRule="auto"/>
        <w:jc w:val="center"/>
        <w:rPr>
          <w:rFonts w:hint="eastAsia" w:ascii="仿宋_GB2312" w:hAnsi="华文中宋" w:eastAsia="仿宋_GB2312"/>
          <w:bCs/>
          <w:sz w:val="32"/>
          <w:szCs w:val="32"/>
        </w:rPr>
      </w:pPr>
    </w:p>
    <w:p>
      <w:pPr>
        <w:spacing w:line="276" w:lineRule="auto"/>
        <w:jc w:val="center"/>
        <w:rPr>
          <w:rFonts w:hint="eastAsia" w:ascii="仿宋_GB2312" w:hAnsi="华文中宋" w:eastAsia="仿宋_GB2312"/>
          <w:bCs/>
          <w:sz w:val="32"/>
          <w:szCs w:val="32"/>
        </w:rPr>
      </w:pPr>
    </w:p>
    <w:p>
      <w:pPr>
        <w:spacing w:line="276" w:lineRule="auto"/>
        <w:jc w:val="center"/>
        <w:rPr>
          <w:rFonts w:hint="eastAsia" w:ascii="仿宋_GB2312" w:hAnsi="华文中宋" w:eastAsia="仿宋_GB2312"/>
          <w:bCs/>
          <w:sz w:val="32"/>
          <w:szCs w:val="32"/>
        </w:rPr>
      </w:pPr>
    </w:p>
    <w:p>
      <w:pPr>
        <w:spacing w:line="276" w:lineRule="auto"/>
        <w:jc w:val="center"/>
        <w:rPr>
          <w:rFonts w:hint="eastAsia" w:ascii="仿宋_GB2312" w:hAnsi="华文中宋" w:eastAsia="仿宋_GB2312"/>
          <w:bCs/>
          <w:sz w:val="32"/>
          <w:szCs w:val="32"/>
        </w:rPr>
      </w:pPr>
    </w:p>
    <w:p>
      <w:pPr>
        <w:spacing w:line="276" w:lineRule="auto"/>
        <w:jc w:val="center"/>
        <w:rPr>
          <w:rFonts w:hint="eastAsia" w:ascii="仿宋_GB2312" w:hAnsi="华文中宋" w:eastAsia="仿宋_GB2312"/>
          <w:bCs/>
          <w:sz w:val="32"/>
          <w:szCs w:val="32"/>
        </w:rPr>
      </w:pPr>
    </w:p>
    <w:p>
      <w:pPr>
        <w:spacing w:line="276" w:lineRule="auto"/>
        <w:jc w:val="center"/>
        <w:rPr>
          <w:rFonts w:hint="eastAsia" w:ascii="仿宋_GB2312" w:hAnsi="华文中宋" w:eastAsia="仿宋_GB2312"/>
          <w:bCs/>
          <w:sz w:val="32"/>
          <w:szCs w:val="32"/>
        </w:rPr>
      </w:pPr>
    </w:p>
    <w:p>
      <w:pPr>
        <w:spacing w:line="276" w:lineRule="auto"/>
        <w:jc w:val="center"/>
        <w:rPr>
          <w:rFonts w:hint="eastAsia" w:ascii="仿宋_GB2312" w:hAnsi="华文中宋" w:eastAsia="仿宋_GB2312"/>
          <w:bCs/>
          <w:sz w:val="32"/>
          <w:szCs w:val="32"/>
        </w:rPr>
      </w:pPr>
    </w:p>
    <w:p>
      <w:pPr>
        <w:spacing w:line="276" w:lineRule="auto"/>
        <w:jc w:val="center"/>
        <w:rPr>
          <w:rFonts w:hint="eastAsia" w:ascii="仿宋_GB2312" w:hAnsi="华文中宋" w:eastAsia="仿宋_GB2312"/>
          <w:bCs/>
          <w:sz w:val="32"/>
          <w:szCs w:val="32"/>
        </w:rPr>
      </w:pPr>
    </w:p>
    <w:p>
      <w:pPr>
        <w:pStyle w:val="3"/>
        <w:jc w:val="center"/>
        <w:rPr>
          <w:rFonts w:ascii="仿宋_GB2312" w:eastAsia="仿宋_GB2312"/>
        </w:rPr>
      </w:pPr>
      <w:bookmarkStart w:id="85" w:name="_Toc504053343"/>
      <w:bookmarkStart w:id="86" w:name="_Toc504231525"/>
      <w:bookmarkStart w:id="87" w:name="_Toc13344"/>
      <w:bookmarkStart w:id="88" w:name="_Toc517113880"/>
      <w:r>
        <w:rPr>
          <w:rFonts w:hint="eastAsia"/>
          <w:sz w:val="32"/>
        </w:rPr>
        <w:t>第六章 投标文件格式</w:t>
      </w:r>
      <w:bookmarkEnd w:id="85"/>
      <w:bookmarkEnd w:id="86"/>
      <w:bookmarkEnd w:id="87"/>
      <w:bookmarkEnd w:id="88"/>
    </w:p>
    <w:p>
      <w:pPr>
        <w:spacing w:line="276" w:lineRule="auto"/>
        <w:rPr>
          <w:rFonts w:ascii="仿宋_GB2312" w:eastAsia="仿宋_GB2312"/>
          <w:b/>
          <w:sz w:val="44"/>
          <w:szCs w:val="44"/>
        </w:rPr>
        <w:sectPr>
          <w:pgSz w:w="11906" w:h="16838"/>
          <w:pgMar w:top="1440" w:right="1440" w:bottom="1440" w:left="1440" w:header="851" w:footer="992" w:gutter="0"/>
          <w:cols w:space="720" w:num="1"/>
          <w:docGrid w:linePitch="312" w:charSpace="0"/>
        </w:sectPr>
      </w:pPr>
    </w:p>
    <w:p>
      <w:pPr>
        <w:pageBreakBefore/>
        <w:spacing w:line="460" w:lineRule="exact"/>
        <w:jc w:val="center"/>
        <w:rPr>
          <w:rFonts w:hint="eastAsia" w:ascii="仿宋_GB2312" w:hAnsi="仿宋_GB2312" w:eastAsia="仿宋_GB2312" w:cs="仿宋_GB2312"/>
          <w:b/>
          <w:sz w:val="36"/>
          <w:szCs w:val="36"/>
        </w:rPr>
      </w:pPr>
      <w:bookmarkStart w:id="89" w:name="_Hlk101451325"/>
      <w:r>
        <w:rPr>
          <w:rFonts w:hint="eastAsia" w:ascii="仿宋_GB2312" w:hAnsi="仿宋_GB2312" w:eastAsia="仿宋_GB2312" w:cs="仿宋_GB2312"/>
          <w:b/>
          <w:sz w:val="36"/>
          <w:szCs w:val="36"/>
        </w:rPr>
        <w:t>投标人提交电子投标文件须知</w:t>
      </w:r>
    </w:p>
    <w:p>
      <w:pPr>
        <w:adjustRightInd w:val="0"/>
        <w:snapToGrid w:val="0"/>
        <w:spacing w:line="460" w:lineRule="exact"/>
        <w:ind w:firstLine="480" w:firstLineChars="200"/>
        <w:jc w:val="left"/>
        <w:rPr>
          <w:rFonts w:hint="eastAsia" w:ascii="仿宋_GB2312" w:hAnsi="仿宋_GB2312" w:eastAsia="仿宋_GB2312" w:cs="仿宋_GB2312"/>
          <w:bCs/>
          <w:sz w:val="24"/>
        </w:rPr>
      </w:pPr>
    </w:p>
    <w:p>
      <w:pPr>
        <w:adjustRightInd w:val="0"/>
        <w:snapToGrid w:val="0"/>
        <w:spacing w:line="420" w:lineRule="exact"/>
        <w:ind w:firstLine="480"/>
        <w:jc w:val="left"/>
        <w:rPr>
          <w:rFonts w:hint="eastAsia" w:ascii="仿宋_GB2312" w:hAnsi="仿宋_GB2312" w:eastAsia="仿宋_GB2312" w:cs="仿宋_GB2312"/>
          <w:b/>
          <w:sz w:val="24"/>
        </w:rPr>
      </w:pPr>
      <w:r>
        <w:rPr>
          <w:rFonts w:hint="eastAsia" w:ascii="仿宋_GB2312" w:hAnsi="仿宋_GB2312" w:eastAsia="仿宋_GB2312" w:cs="仿宋_GB2312"/>
          <w:b/>
          <w:sz w:val="24"/>
        </w:rPr>
        <w:t>参与电子标的投标人必须为广西政府采购云平台的正式供应商且申领CA证书，各供应商应在开标前及时完成平台注册、CA证书申领、CA证书绑定、下载投标客户端，熟悉并掌握广西政府采购云平台电子标系统操作。</w:t>
      </w:r>
    </w:p>
    <w:p>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一、投标人应保证全部声明和问题的回答是真实的和准确的。</w:t>
      </w:r>
    </w:p>
    <w:p>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二、评标委员会将应用投标人提交的资料作出自己的判断。</w:t>
      </w:r>
    </w:p>
    <w:p>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三、投标人提交的材料将在一定期限内被保密保存，不予退还。</w:t>
      </w:r>
    </w:p>
    <w:p>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四、电子投标文件编制格式及规范要求：</w:t>
      </w:r>
    </w:p>
    <w:p>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（一）投标文件应使用广西政府采购云平台客户端软件，并按照本公开招标文件和广西政府采购云平台要求编制并加密投标文件。未按规定加密的投标文件，广西政府采购云平台将拒收。</w:t>
      </w:r>
    </w:p>
    <w:p>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（二）投标文件制作并加密完成后应在广西政府采购云平台上传完成。</w:t>
      </w:r>
    </w:p>
    <w:p>
      <w:pPr>
        <w:adjustRightInd w:val="0"/>
        <w:snapToGrid w:val="0"/>
        <w:spacing w:line="420" w:lineRule="exact"/>
        <w:ind w:firstLine="482" w:firstLineChars="200"/>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（三）投标文件应使用CA证书进行电子签章。在签章时，投标人应注意CA电子签章的位置，如因CA电子签章遮挡重要、关键信息导致评标委员会作出对投标人不利评审的，后果由投标人负责。</w:t>
      </w:r>
    </w:p>
    <w:p>
      <w:pPr>
        <w:adjustRightInd w:val="0"/>
        <w:snapToGrid w:val="0"/>
        <w:spacing w:line="420" w:lineRule="exact"/>
        <w:ind w:firstLine="482" w:firstLineChars="200"/>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（四）投标人应准确设置评审关联点。未设置或设置错误导致投标文件被误读、漏读或者查找不到相关内容的，是投标人的责任。</w:t>
      </w:r>
    </w:p>
    <w:p>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（五）投标文件所提供的相关材料的尺寸和清晰度应该能够在电脑上被阅读、识别和判断。</w:t>
      </w:r>
    </w:p>
    <w:p>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（六）投标文件内容无法阅读、识别和判断的，视为未提供。</w:t>
      </w:r>
    </w:p>
    <w:p>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（七）投标文件的容量大小须符合广西政府采购云平台规定。</w:t>
      </w:r>
    </w:p>
    <w:p>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五、投标人在使用广西政府采购云平台进行投标过程中遇到涉及平台使用的任何问题，可致电平台技术支持热线咨询，联系方式：</w:t>
      </w:r>
      <w:r>
        <w:rPr>
          <w:rFonts w:ascii="仿宋_GB2312" w:hAnsi="仿宋_GB2312" w:eastAsia="仿宋_GB2312" w:cs="仿宋_GB2312"/>
          <w:b/>
          <w:sz w:val="24"/>
        </w:rPr>
        <w:t>95763</w:t>
      </w:r>
      <w:r>
        <w:rPr>
          <w:rFonts w:hint="eastAsia" w:ascii="仿宋_GB2312" w:hAnsi="仿宋_GB2312" w:eastAsia="仿宋_GB2312" w:cs="仿宋_GB2312"/>
          <w:b/>
          <w:sz w:val="24"/>
        </w:rPr>
        <w:t>。</w:t>
      </w:r>
    </w:p>
    <w:p>
      <w:pPr>
        <w:snapToGrid w:val="0"/>
        <w:spacing w:line="42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六、特别说明</w:t>
      </w:r>
    </w:p>
    <w:p>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（一）投标文件中须加盖公章部分均采用投标人CA电子签章，否则视为投标无效。</w:t>
      </w:r>
    </w:p>
    <w:p>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（二）</w:t>
      </w:r>
      <w:r>
        <w:rPr>
          <w:rFonts w:hint="eastAsia" w:ascii="仿宋_GB2312" w:eastAsia="仿宋_GB2312"/>
          <w:b/>
          <w:bCs/>
          <w:sz w:val="24"/>
        </w:rPr>
        <w:t>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pPr>
        <w:jc w:val="left"/>
        <w:rPr>
          <w:rFonts w:ascii="仿宋_GB2312" w:eastAsia="仿宋_GB2312"/>
          <w:b/>
          <w:bCs/>
          <w:sz w:val="32"/>
          <w:szCs w:val="32"/>
          <w:highlight w:val="yellow"/>
        </w:rPr>
        <w:sectPr>
          <w:pgSz w:w="11906" w:h="16838"/>
          <w:pgMar w:top="1440" w:right="1274" w:bottom="1440" w:left="1440" w:header="851" w:footer="992" w:gutter="0"/>
          <w:cols w:space="720" w:num="1"/>
          <w:docGrid w:linePitch="312" w:charSpace="0"/>
        </w:sectPr>
      </w:pPr>
      <w:bookmarkStart w:id="90" w:name="_Hlk50566209"/>
    </w:p>
    <w:bookmarkEnd w:id="90"/>
    <w:p>
      <w:pPr>
        <w:adjustRightInd w:val="0"/>
        <w:snapToGrid w:val="0"/>
        <w:spacing w:line="460" w:lineRule="exact"/>
        <w:jc w:val="left"/>
        <w:rPr>
          <w:rFonts w:ascii="仿宋_GB2312" w:eastAsia="仿宋_GB2312"/>
          <w:b/>
          <w:sz w:val="44"/>
          <w:szCs w:val="44"/>
        </w:rPr>
      </w:pPr>
    </w:p>
    <w:p>
      <w:pPr>
        <w:jc w:val="center"/>
        <w:rPr>
          <w:rFonts w:ascii="仿宋_GB2312" w:eastAsia="仿宋_GB2312"/>
          <w:b/>
          <w:sz w:val="44"/>
          <w:szCs w:val="44"/>
        </w:rPr>
      </w:pPr>
    </w:p>
    <w:p>
      <w:pPr>
        <w:jc w:val="center"/>
        <w:rPr>
          <w:rFonts w:ascii="仿宋_GB2312" w:eastAsia="仿宋_GB2312"/>
          <w:b/>
          <w:sz w:val="44"/>
          <w:szCs w:val="44"/>
        </w:rPr>
      </w:pPr>
    </w:p>
    <w:p>
      <w:pPr>
        <w:jc w:val="center"/>
        <w:rPr>
          <w:rFonts w:ascii="仿宋_GB2312" w:eastAsia="仿宋_GB2312"/>
          <w:b/>
          <w:sz w:val="44"/>
          <w:szCs w:val="44"/>
        </w:rPr>
      </w:pPr>
    </w:p>
    <w:p>
      <w:pPr>
        <w:jc w:val="center"/>
        <w:rPr>
          <w:rFonts w:ascii="仿宋_GB2312" w:eastAsia="仿宋_GB2312"/>
          <w:b/>
          <w:sz w:val="44"/>
          <w:szCs w:val="44"/>
        </w:rPr>
      </w:pPr>
    </w:p>
    <w:p>
      <w:pPr>
        <w:jc w:val="center"/>
        <w:rPr>
          <w:rFonts w:ascii="仿宋_GB2312" w:eastAsia="仿宋_GB2312"/>
          <w:b/>
          <w:sz w:val="44"/>
          <w:szCs w:val="44"/>
        </w:rPr>
      </w:pPr>
    </w:p>
    <w:p>
      <w:pPr>
        <w:jc w:val="center"/>
        <w:rPr>
          <w:rFonts w:ascii="仿宋_GB2312" w:eastAsia="仿宋_GB2312"/>
          <w:b/>
          <w:sz w:val="44"/>
          <w:szCs w:val="44"/>
        </w:rPr>
      </w:pPr>
    </w:p>
    <w:p>
      <w:pPr>
        <w:jc w:val="center"/>
        <w:rPr>
          <w:rFonts w:ascii="仿宋_GB2312" w:eastAsia="仿宋_GB2312"/>
          <w:b/>
          <w:sz w:val="44"/>
          <w:szCs w:val="44"/>
        </w:rPr>
      </w:pPr>
    </w:p>
    <w:p>
      <w:pPr>
        <w:jc w:val="center"/>
        <w:rPr>
          <w:rFonts w:ascii="仿宋_GB2312" w:eastAsia="仿宋_GB2312"/>
          <w:b/>
          <w:sz w:val="44"/>
          <w:szCs w:val="44"/>
        </w:rPr>
      </w:pPr>
    </w:p>
    <w:p>
      <w:pPr>
        <w:jc w:val="center"/>
        <w:rPr>
          <w:rFonts w:ascii="仿宋_GB2312" w:eastAsia="仿宋_GB2312"/>
          <w:b/>
          <w:sz w:val="44"/>
          <w:szCs w:val="44"/>
        </w:rPr>
      </w:pPr>
    </w:p>
    <w:p>
      <w:pPr>
        <w:jc w:val="center"/>
        <w:rPr>
          <w:rFonts w:hint="eastAsia" w:ascii="仿宋_GB2312" w:hAnsi="宋体" w:eastAsia="仿宋_GB2312"/>
          <w:b/>
          <w:bCs/>
          <w:sz w:val="72"/>
          <w:szCs w:val="72"/>
        </w:rPr>
      </w:pPr>
      <w:r>
        <w:rPr>
          <w:rFonts w:hint="eastAsia" w:ascii="仿宋_GB2312" w:hAnsi="宋体" w:eastAsia="仿宋_GB2312"/>
          <w:b/>
          <w:bCs/>
          <w:sz w:val="56"/>
          <w:szCs w:val="56"/>
        </w:rPr>
        <w:t>一、资 格 文 件 格 式</w:t>
      </w:r>
    </w:p>
    <w:p>
      <w:pPr>
        <w:snapToGrid w:val="0"/>
        <w:spacing w:before="50" w:after="120" w:afterLines="50" w:line="360" w:lineRule="exact"/>
        <w:jc w:val="left"/>
        <w:rPr>
          <w:rFonts w:ascii="仿宋_GB2312" w:eastAsia="仿宋_GB2312"/>
          <w:b/>
          <w:sz w:val="44"/>
          <w:szCs w:val="44"/>
        </w:rPr>
      </w:pPr>
    </w:p>
    <w:p>
      <w:pPr>
        <w:snapToGrid w:val="0"/>
        <w:spacing w:before="50" w:after="120" w:afterLines="50" w:line="360" w:lineRule="exact"/>
        <w:jc w:val="left"/>
        <w:rPr>
          <w:rFonts w:ascii="仿宋_GB2312" w:eastAsia="仿宋_GB2312"/>
          <w:b/>
          <w:sz w:val="44"/>
          <w:szCs w:val="44"/>
        </w:rPr>
      </w:pPr>
    </w:p>
    <w:p>
      <w:pPr>
        <w:snapToGrid w:val="0"/>
        <w:spacing w:before="50" w:after="120" w:afterLines="50" w:line="360" w:lineRule="exact"/>
        <w:jc w:val="left"/>
        <w:rPr>
          <w:rFonts w:ascii="仿宋_GB2312" w:eastAsia="仿宋_GB2312"/>
          <w:b/>
          <w:sz w:val="44"/>
          <w:szCs w:val="44"/>
        </w:rPr>
      </w:pPr>
    </w:p>
    <w:p>
      <w:pPr>
        <w:snapToGrid w:val="0"/>
        <w:spacing w:before="50" w:after="120" w:afterLines="50" w:line="360" w:lineRule="exact"/>
        <w:jc w:val="left"/>
        <w:rPr>
          <w:rFonts w:ascii="仿宋_GB2312" w:eastAsia="仿宋_GB2312"/>
          <w:b/>
          <w:sz w:val="44"/>
          <w:szCs w:val="44"/>
        </w:rPr>
      </w:pPr>
    </w:p>
    <w:p>
      <w:pPr>
        <w:snapToGrid w:val="0"/>
        <w:spacing w:before="50" w:after="120" w:afterLines="50" w:line="360" w:lineRule="exact"/>
        <w:jc w:val="left"/>
        <w:rPr>
          <w:rFonts w:ascii="仿宋_GB2312" w:eastAsia="仿宋_GB2312"/>
          <w:b/>
          <w:sz w:val="44"/>
          <w:szCs w:val="44"/>
        </w:rPr>
      </w:pPr>
    </w:p>
    <w:p>
      <w:pPr>
        <w:snapToGrid w:val="0"/>
        <w:spacing w:before="50" w:after="120" w:afterLines="50" w:line="360" w:lineRule="exact"/>
        <w:jc w:val="left"/>
        <w:rPr>
          <w:rFonts w:ascii="仿宋_GB2312" w:eastAsia="仿宋_GB2312"/>
          <w:b/>
          <w:sz w:val="44"/>
          <w:szCs w:val="44"/>
        </w:rPr>
      </w:pPr>
    </w:p>
    <w:p>
      <w:pPr>
        <w:snapToGrid w:val="0"/>
        <w:spacing w:before="50" w:after="120" w:afterLines="50" w:line="360" w:lineRule="exact"/>
        <w:jc w:val="left"/>
        <w:rPr>
          <w:rFonts w:ascii="仿宋_GB2312" w:eastAsia="仿宋_GB2312"/>
          <w:b/>
          <w:sz w:val="44"/>
          <w:szCs w:val="44"/>
        </w:rPr>
      </w:pPr>
    </w:p>
    <w:p>
      <w:pPr>
        <w:snapToGrid w:val="0"/>
        <w:spacing w:before="50" w:after="120" w:afterLines="50" w:line="360" w:lineRule="exact"/>
        <w:jc w:val="left"/>
        <w:rPr>
          <w:rFonts w:ascii="仿宋_GB2312" w:eastAsia="仿宋_GB2312"/>
          <w:b/>
          <w:sz w:val="44"/>
          <w:szCs w:val="44"/>
        </w:rPr>
      </w:pPr>
    </w:p>
    <w:p>
      <w:pPr>
        <w:snapToGrid w:val="0"/>
        <w:spacing w:before="50" w:after="120" w:afterLines="50" w:line="360" w:lineRule="exact"/>
        <w:jc w:val="left"/>
        <w:rPr>
          <w:rFonts w:ascii="仿宋_GB2312" w:eastAsia="仿宋_GB2312"/>
          <w:b/>
          <w:sz w:val="44"/>
          <w:szCs w:val="44"/>
        </w:rPr>
      </w:pPr>
    </w:p>
    <w:p>
      <w:pPr>
        <w:snapToGrid w:val="0"/>
        <w:spacing w:before="50" w:after="120" w:afterLines="50" w:line="360" w:lineRule="exact"/>
        <w:jc w:val="left"/>
        <w:rPr>
          <w:rFonts w:ascii="仿宋_GB2312" w:eastAsia="仿宋_GB2312"/>
          <w:b/>
          <w:sz w:val="44"/>
          <w:szCs w:val="44"/>
        </w:rPr>
      </w:pPr>
    </w:p>
    <w:p>
      <w:pPr>
        <w:snapToGrid w:val="0"/>
        <w:spacing w:before="50" w:after="120" w:afterLines="50" w:line="360" w:lineRule="exact"/>
        <w:jc w:val="left"/>
        <w:rPr>
          <w:rFonts w:ascii="仿宋_GB2312" w:eastAsia="仿宋_GB2312"/>
          <w:b/>
          <w:sz w:val="44"/>
          <w:szCs w:val="44"/>
        </w:rPr>
      </w:pPr>
    </w:p>
    <w:p>
      <w:pPr>
        <w:snapToGrid w:val="0"/>
        <w:spacing w:before="50" w:after="120" w:afterLines="50" w:line="360" w:lineRule="exact"/>
        <w:jc w:val="left"/>
        <w:rPr>
          <w:rFonts w:ascii="仿宋_GB2312" w:eastAsia="仿宋_GB2312"/>
          <w:b/>
          <w:sz w:val="44"/>
          <w:szCs w:val="44"/>
        </w:rPr>
      </w:pPr>
    </w:p>
    <w:p>
      <w:pPr>
        <w:snapToGrid w:val="0"/>
        <w:spacing w:before="50" w:after="120" w:afterLines="50" w:line="360" w:lineRule="exact"/>
        <w:jc w:val="left"/>
        <w:rPr>
          <w:rFonts w:ascii="仿宋_GB2312" w:eastAsia="仿宋_GB2312"/>
          <w:b/>
          <w:sz w:val="44"/>
          <w:szCs w:val="44"/>
        </w:rPr>
      </w:pPr>
    </w:p>
    <w:p>
      <w:pPr>
        <w:snapToGrid w:val="0"/>
        <w:spacing w:before="50" w:after="120" w:afterLines="50" w:line="360" w:lineRule="exact"/>
        <w:jc w:val="left"/>
        <w:rPr>
          <w:rFonts w:ascii="仿宋_GB2312" w:eastAsia="仿宋_GB2312"/>
          <w:b/>
          <w:sz w:val="44"/>
          <w:szCs w:val="44"/>
        </w:rPr>
      </w:pPr>
    </w:p>
    <w:p>
      <w:pPr>
        <w:snapToGrid w:val="0"/>
        <w:spacing w:before="50" w:after="120" w:afterLines="50" w:line="360" w:lineRule="exact"/>
        <w:jc w:val="left"/>
        <w:rPr>
          <w:rFonts w:ascii="仿宋_GB2312" w:eastAsia="仿宋_GB2312"/>
          <w:b/>
          <w:sz w:val="44"/>
          <w:szCs w:val="44"/>
        </w:rPr>
      </w:pPr>
    </w:p>
    <w:p>
      <w:pPr>
        <w:snapToGrid w:val="0"/>
        <w:spacing w:before="50" w:after="120" w:afterLines="50" w:line="360" w:lineRule="exact"/>
        <w:jc w:val="left"/>
        <w:rPr>
          <w:rFonts w:ascii="仿宋_GB2312" w:eastAsia="仿宋_GB2312"/>
          <w:b/>
          <w:sz w:val="44"/>
          <w:szCs w:val="44"/>
        </w:rPr>
      </w:pPr>
    </w:p>
    <w:p>
      <w:pPr>
        <w:snapToGrid w:val="0"/>
        <w:spacing w:before="120" w:beforeLines="50" w:after="50"/>
        <w:outlineLvl w:val="1"/>
        <w:rPr>
          <w:rFonts w:ascii="仿宋_GB2312" w:eastAsia="仿宋_GB2312"/>
          <w:bCs/>
          <w:sz w:val="30"/>
          <w:szCs w:val="30"/>
        </w:rPr>
        <w:sectPr>
          <w:pgSz w:w="11906" w:h="16838"/>
          <w:pgMar w:top="1440" w:right="1440" w:bottom="1440" w:left="1440" w:header="851" w:footer="992" w:gutter="0"/>
          <w:cols w:space="720" w:num="1"/>
          <w:docGrid w:linePitch="312" w:charSpace="0"/>
        </w:sectPr>
      </w:pPr>
    </w:p>
    <w:p>
      <w:pPr>
        <w:tabs>
          <w:tab w:val="left" w:pos="3870"/>
          <w:tab w:val="left" w:pos="4085"/>
        </w:tabs>
        <w:snapToGrid w:val="0"/>
        <w:spacing w:line="500" w:lineRule="exact"/>
        <w:jc w:val="left"/>
        <w:rPr>
          <w:rFonts w:ascii="仿宋_GB2312" w:eastAsia="仿宋_GB2312"/>
          <w:bCs/>
        </w:rPr>
      </w:pPr>
      <w:r>
        <w:rPr>
          <w:rFonts w:hint="eastAsia" w:ascii="仿宋_GB2312" w:eastAsia="仿宋_GB2312"/>
          <w:b/>
          <w:bCs/>
          <w:sz w:val="24"/>
        </w:rPr>
        <w:t>资格文件目录</w:t>
      </w:r>
      <w:r>
        <w:rPr>
          <w:rFonts w:hint="eastAsia" w:ascii="仿宋_GB2312" w:eastAsia="仿宋_GB2312"/>
          <w:b/>
          <w:sz w:val="24"/>
        </w:rPr>
        <w:t>：</w:t>
      </w:r>
    </w:p>
    <w:p>
      <w:pPr>
        <w:tabs>
          <w:tab w:val="left" w:pos="3870"/>
          <w:tab w:val="left" w:pos="4085"/>
        </w:tabs>
        <w:snapToGrid w:val="0"/>
        <w:spacing w:line="500" w:lineRule="exact"/>
        <w:jc w:val="center"/>
        <w:rPr>
          <w:rFonts w:ascii="仿宋_GB2312" w:eastAsia="仿宋_GB2312"/>
          <w:sz w:val="44"/>
          <w:szCs w:val="44"/>
        </w:rPr>
      </w:pPr>
      <w:r>
        <w:rPr>
          <w:rFonts w:hint="eastAsia" w:ascii="仿宋_GB2312" w:eastAsia="仿宋_GB2312"/>
          <w:sz w:val="44"/>
          <w:szCs w:val="44"/>
        </w:rPr>
        <w:t>目    录</w:t>
      </w:r>
    </w:p>
    <w:p>
      <w:pPr>
        <w:pStyle w:val="323"/>
        <w:spacing w:before="0" w:beforeAutospacing="0" w:after="0" w:afterAutospacing="0" w:line="4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w:t>
      </w:r>
    </w:p>
    <w:p>
      <w:pPr>
        <w:pStyle w:val="323"/>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w:t>
      </w:r>
    </w:p>
    <w:p>
      <w:pPr>
        <w:pStyle w:val="323"/>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w:t>
      </w:r>
    </w:p>
    <w:p>
      <w:pPr>
        <w:pStyle w:val="323"/>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pPr>
        <w:pStyle w:val="323"/>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（5）本项目属于专门面向中小企业采购的项目，投标人</w:t>
      </w:r>
      <w:r>
        <w:rPr>
          <w:rFonts w:hint="eastAsia" w:ascii="仿宋_GB2312" w:eastAsia="仿宋_GB2312"/>
          <w:b/>
          <w:bCs/>
          <w:color w:val="000000"/>
        </w:rPr>
        <w:t>必须提供</w:t>
      </w:r>
      <w:r>
        <w:rPr>
          <w:rFonts w:hint="eastAsia" w:ascii="仿宋_GB2312" w:eastAsia="仿宋_GB2312"/>
          <w:color w:val="000000"/>
        </w:rPr>
        <w:t>以下中小企业证明材料之一：</w:t>
      </w:r>
      <w:r>
        <w:rPr>
          <w:rFonts w:hint="eastAsia" w:ascii="仿宋_GB2312" w:eastAsia="仿宋_GB2312"/>
          <w:color w:val="000000"/>
        </w:rPr>
        <w:br w:type="textWrapping"/>
      </w:r>
      <w:r>
        <w:rPr>
          <w:rFonts w:hint="eastAsia" w:ascii="仿宋_GB2312" w:eastAsia="仿宋_GB2312"/>
          <w:color w:val="000000"/>
        </w:rPr>
        <w:t>   ①中小企业声明函（服务由中小企业承接的</w:t>
      </w:r>
      <w:r>
        <w:rPr>
          <w:rFonts w:hint="eastAsia" w:ascii="仿宋_GB2312" w:eastAsia="仿宋_GB2312"/>
          <w:b/>
          <w:bCs/>
          <w:color w:val="000000"/>
        </w:rPr>
        <w:t>必须提供</w:t>
      </w:r>
      <w:r>
        <w:rPr>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②残疾人福利性单位声明函（服务由残疾人福利性单位承接的</w:t>
      </w:r>
      <w:r>
        <w:rPr>
          <w:rFonts w:hint="eastAsia" w:ascii="仿宋_GB2312" w:eastAsia="仿宋_GB2312"/>
          <w:b/>
          <w:bCs/>
          <w:color w:val="000000"/>
        </w:rPr>
        <w:t>必须提供</w:t>
      </w:r>
      <w:r>
        <w:rPr>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③监狱企业由省级以上监狱管理局、戒毒管理局（含新疆生产建设兵团）出具的属于监狱企业的证明文件（服务由监狱企业承接的</w:t>
      </w:r>
      <w:r>
        <w:rPr>
          <w:rFonts w:hint="eastAsia" w:ascii="仿宋_GB2312" w:eastAsia="仿宋_GB2312"/>
          <w:b/>
          <w:bCs/>
          <w:color w:val="000000"/>
        </w:rPr>
        <w:t>必须提供</w:t>
      </w:r>
      <w:r>
        <w:rPr>
          <w:rFonts w:hint="eastAsia" w:ascii="仿宋_GB2312" w:eastAsia="仿宋_GB2312"/>
          <w:color w:val="000000"/>
        </w:rPr>
        <w:t>）………………………………</w:t>
      </w:r>
    </w:p>
    <w:p>
      <w:pPr>
        <w:tabs>
          <w:tab w:val="left" w:pos="3870"/>
          <w:tab w:val="left" w:pos="4085"/>
        </w:tabs>
        <w:snapToGrid w:val="0"/>
        <w:spacing w:line="500" w:lineRule="exact"/>
        <w:ind w:firstLine="480" w:firstLineChars="200"/>
        <w:jc w:val="left"/>
        <w:rPr>
          <w:rFonts w:ascii="仿宋_GB2312" w:eastAsia="仿宋_GB2312"/>
          <w:sz w:val="24"/>
        </w:rPr>
        <w:sectPr>
          <w:pgSz w:w="11906" w:h="16838"/>
          <w:pgMar w:top="1440" w:right="991" w:bottom="1440" w:left="1440" w:header="851" w:footer="992" w:gutter="0"/>
          <w:cols w:space="720" w:num="1"/>
          <w:docGrid w:linePitch="312" w:charSpace="0"/>
        </w:sectPr>
      </w:pPr>
    </w:p>
    <w:p>
      <w:pPr>
        <w:pStyle w:val="80"/>
        <w:numPr>
          <w:ilvl w:val="0"/>
          <w:numId w:val="7"/>
        </w:numPr>
        <w:snapToGrid w:val="0"/>
        <w:spacing w:before="50" w:after="120" w:afterLines="50" w:line="360" w:lineRule="exact"/>
        <w:ind w:left="709" w:firstLineChars="0"/>
        <w:jc w:val="left"/>
        <w:rPr>
          <w:rFonts w:ascii="仿宋_GB2312" w:hAnsi="Courier New" w:eastAsia="仿宋_GB2312" w:cs="Courier New"/>
          <w:b/>
          <w:color w:val="000000"/>
          <w:sz w:val="24"/>
        </w:rPr>
      </w:pPr>
      <w:bookmarkStart w:id="91" w:name="_Hlk101434389"/>
      <w:r>
        <w:rPr>
          <w:rFonts w:hint="eastAsia" w:ascii="仿宋_GB2312" w:hAnsi="Courier New" w:eastAsia="仿宋_GB2312" w:cs="Courier New"/>
          <w:b/>
          <w:color w:val="000000"/>
          <w:sz w:val="24"/>
        </w:rPr>
        <w:t>法定代表人身份证明书格式（必须提供）：</w:t>
      </w:r>
    </w:p>
    <w:p>
      <w:pPr>
        <w:pStyle w:val="26"/>
        <w:ind w:left="-10" w:firstLine="10" w:firstLineChars="3"/>
        <w:jc w:val="center"/>
        <w:rPr>
          <w:rFonts w:ascii="仿宋_GB2312" w:hAnsi="Times New Roman" w:eastAsia="仿宋_GB2312"/>
          <w:b/>
          <w:sz w:val="32"/>
        </w:rPr>
      </w:pPr>
    </w:p>
    <w:p>
      <w:pPr>
        <w:pStyle w:val="26"/>
        <w:ind w:left="-10" w:firstLine="10" w:firstLineChars="3"/>
        <w:jc w:val="center"/>
        <w:rPr>
          <w:rFonts w:ascii="仿宋_GB2312" w:hAnsi="Times New Roman" w:eastAsia="仿宋_GB2312"/>
          <w:b/>
          <w:sz w:val="32"/>
        </w:rPr>
      </w:pPr>
      <w:r>
        <w:rPr>
          <w:rFonts w:hint="eastAsia" w:ascii="仿宋_GB2312" w:hAnsi="Times New Roman" w:eastAsia="仿宋_GB2312"/>
          <w:b/>
          <w:sz w:val="32"/>
        </w:rPr>
        <w:t>法定代表人身份证明书</w:t>
      </w:r>
    </w:p>
    <w:p>
      <w:pPr>
        <w:pStyle w:val="26"/>
        <w:ind w:left="-10" w:firstLine="13" w:firstLineChars="3"/>
        <w:jc w:val="center"/>
        <w:rPr>
          <w:rFonts w:ascii="仿宋_GB2312" w:hAnsi="Times New Roman" w:eastAsia="仿宋_GB2312"/>
          <w:b/>
          <w:sz w:val="44"/>
        </w:rPr>
      </w:pPr>
    </w:p>
    <w:p>
      <w:pPr>
        <w:pStyle w:val="26"/>
        <w:spacing w:line="360" w:lineRule="exact"/>
        <w:ind w:firstLine="277"/>
        <w:rPr>
          <w:rFonts w:ascii="仿宋_GB2312" w:hAnsi="Times New Roman" w:eastAsia="仿宋_GB2312"/>
          <w:u w:val="single"/>
        </w:rPr>
      </w:pPr>
      <w:r>
        <w:rPr>
          <w:rFonts w:hint="eastAsia" w:ascii="仿宋_GB2312" w:hAnsi="宋体" w:eastAsia="仿宋_GB2312"/>
        </w:rPr>
        <w:t>单位名称：</w:t>
      </w:r>
      <w:r>
        <w:rPr>
          <w:rFonts w:hint="eastAsia" w:ascii="仿宋_GB2312" w:hAnsi="Times New Roman" w:eastAsia="仿宋_GB2312"/>
          <w:u w:val="single"/>
        </w:rPr>
        <w:t xml:space="preserve">                         </w:t>
      </w:r>
    </w:p>
    <w:p>
      <w:pPr>
        <w:pStyle w:val="26"/>
        <w:spacing w:line="360" w:lineRule="exact"/>
        <w:ind w:firstLine="277"/>
        <w:rPr>
          <w:rFonts w:ascii="仿宋_GB2312" w:hAnsi="Times New Roman" w:eastAsia="仿宋_GB2312"/>
        </w:rPr>
      </w:pPr>
      <w:r>
        <w:rPr>
          <w:rFonts w:hint="eastAsia" w:ascii="仿宋_GB2312" w:hAnsi="宋体" w:eastAsia="仿宋_GB2312"/>
        </w:rPr>
        <w:t>单位性质：</w:t>
      </w:r>
      <w:r>
        <w:rPr>
          <w:rFonts w:hint="eastAsia" w:ascii="仿宋_GB2312" w:hAnsi="Times New Roman" w:eastAsia="仿宋_GB2312"/>
          <w:u w:val="single"/>
        </w:rPr>
        <w:t xml:space="preserve">                         </w:t>
      </w:r>
    </w:p>
    <w:p>
      <w:pPr>
        <w:pStyle w:val="26"/>
        <w:spacing w:line="360" w:lineRule="exact"/>
        <w:ind w:firstLine="277"/>
        <w:rPr>
          <w:rFonts w:ascii="仿宋_GB2312" w:hAnsi="Times New Roman" w:eastAsia="仿宋_GB2312"/>
        </w:rPr>
      </w:pPr>
      <w:r>
        <w:rPr>
          <w:rFonts w:hint="eastAsia" w:ascii="仿宋_GB2312" w:hAnsi="宋体" w:eastAsia="仿宋_GB2312"/>
        </w:rPr>
        <w:t>地</w:t>
      </w:r>
      <w:r>
        <w:rPr>
          <w:rFonts w:hint="eastAsia" w:ascii="仿宋_GB2312" w:hAnsi="Times New Roman" w:eastAsia="仿宋_GB2312"/>
        </w:rPr>
        <w:t xml:space="preserve">    </w:t>
      </w:r>
      <w:r>
        <w:rPr>
          <w:rFonts w:hint="eastAsia" w:ascii="仿宋_GB2312" w:hAnsi="宋体" w:eastAsia="仿宋_GB2312"/>
        </w:rPr>
        <w:t>址：</w:t>
      </w:r>
      <w:r>
        <w:rPr>
          <w:rFonts w:hint="eastAsia" w:ascii="仿宋_GB2312" w:hAnsi="Times New Roman" w:eastAsia="仿宋_GB2312"/>
          <w:u w:val="single"/>
        </w:rPr>
        <w:t xml:space="preserve">                         </w:t>
      </w:r>
    </w:p>
    <w:p>
      <w:pPr>
        <w:pStyle w:val="26"/>
        <w:spacing w:line="360" w:lineRule="exact"/>
        <w:ind w:firstLine="277"/>
        <w:rPr>
          <w:rFonts w:ascii="仿宋_GB2312" w:hAnsi="Times New Roman" w:eastAsia="仿宋_GB2312"/>
        </w:rPr>
      </w:pPr>
      <w:r>
        <w:rPr>
          <w:rFonts w:hint="eastAsia" w:ascii="仿宋_GB2312" w:hAnsi="宋体" w:eastAsia="仿宋_GB2312"/>
        </w:rPr>
        <w:t>成立时间：</w:t>
      </w:r>
      <w:r>
        <w:rPr>
          <w:rFonts w:hint="eastAsia" w:ascii="仿宋_GB2312" w:hAnsi="Times New Roman" w:eastAsia="仿宋_GB2312"/>
          <w:u w:val="single"/>
        </w:rPr>
        <w:t xml:space="preserve">              </w:t>
      </w:r>
      <w:r>
        <w:rPr>
          <w:rFonts w:hint="eastAsia" w:ascii="仿宋_GB2312" w:hAnsi="宋体" w:eastAsia="仿宋_GB2312"/>
        </w:rPr>
        <w:t>年</w:t>
      </w:r>
      <w:r>
        <w:rPr>
          <w:rFonts w:hint="eastAsia" w:ascii="仿宋_GB2312" w:hAnsi="Times New Roman" w:eastAsia="仿宋_GB2312"/>
          <w:u w:val="single"/>
        </w:rPr>
        <w:t xml:space="preserve">   </w:t>
      </w:r>
      <w:r>
        <w:rPr>
          <w:rFonts w:hint="eastAsia" w:ascii="仿宋_GB2312" w:hAnsi="宋体" w:eastAsia="仿宋_GB2312"/>
        </w:rPr>
        <w:t>月</w:t>
      </w:r>
      <w:r>
        <w:rPr>
          <w:rFonts w:hint="eastAsia" w:ascii="仿宋_GB2312" w:hAnsi="Times New Roman" w:eastAsia="仿宋_GB2312"/>
          <w:u w:val="single"/>
        </w:rPr>
        <w:t xml:space="preserve">   </w:t>
      </w:r>
      <w:r>
        <w:rPr>
          <w:rFonts w:hint="eastAsia" w:ascii="仿宋_GB2312" w:hAnsi="宋体" w:eastAsia="仿宋_GB2312"/>
        </w:rPr>
        <w:t>日</w:t>
      </w:r>
    </w:p>
    <w:p>
      <w:pPr>
        <w:pStyle w:val="26"/>
        <w:spacing w:line="360" w:lineRule="exact"/>
        <w:ind w:firstLine="277"/>
        <w:rPr>
          <w:rFonts w:ascii="仿宋_GB2312" w:hAnsi="Times New Roman" w:eastAsia="仿宋_GB2312"/>
          <w:u w:val="single"/>
        </w:rPr>
      </w:pPr>
      <w:r>
        <w:rPr>
          <w:rFonts w:hint="eastAsia" w:ascii="仿宋_GB2312" w:hAnsi="宋体" w:eastAsia="仿宋_GB2312"/>
        </w:rPr>
        <w:t>经营期限：</w:t>
      </w:r>
      <w:r>
        <w:rPr>
          <w:rFonts w:hint="eastAsia" w:ascii="仿宋_GB2312" w:hAnsi="Times New Roman" w:eastAsia="仿宋_GB2312"/>
          <w:u w:val="single"/>
        </w:rPr>
        <w:t xml:space="preserve">                          </w:t>
      </w:r>
    </w:p>
    <w:p>
      <w:pPr>
        <w:pStyle w:val="26"/>
        <w:spacing w:line="360" w:lineRule="exact"/>
        <w:ind w:firstLine="277"/>
        <w:rPr>
          <w:rFonts w:ascii="仿宋_GB2312" w:hAnsi="Times New Roman" w:eastAsia="仿宋_GB2312"/>
        </w:rPr>
      </w:pPr>
      <w:r>
        <w:rPr>
          <w:rFonts w:hint="eastAsia" w:ascii="仿宋_GB2312" w:hAnsi="宋体" w:eastAsia="仿宋_GB2312"/>
        </w:rPr>
        <w:t>姓名：</w:t>
      </w:r>
      <w:r>
        <w:rPr>
          <w:rFonts w:hint="eastAsia" w:ascii="仿宋_GB2312" w:hAnsi="Times New Roman" w:eastAsia="仿宋_GB2312"/>
          <w:u w:val="single"/>
        </w:rPr>
        <w:t xml:space="preserve">       </w:t>
      </w:r>
      <w:r>
        <w:rPr>
          <w:rFonts w:hint="eastAsia" w:ascii="仿宋_GB2312" w:hAnsi="宋体" w:eastAsia="仿宋_GB2312"/>
        </w:rPr>
        <w:t>性别：</w:t>
      </w:r>
      <w:r>
        <w:rPr>
          <w:rFonts w:hint="eastAsia" w:ascii="仿宋_GB2312" w:hAnsi="Times New Roman" w:eastAsia="仿宋_GB2312"/>
          <w:u w:val="single"/>
        </w:rPr>
        <w:t xml:space="preserve">   </w:t>
      </w:r>
      <w:r>
        <w:rPr>
          <w:rFonts w:hint="eastAsia" w:ascii="仿宋_GB2312" w:hAnsi="宋体" w:eastAsia="仿宋_GB2312"/>
        </w:rPr>
        <w:t>年龄：</w:t>
      </w:r>
      <w:r>
        <w:rPr>
          <w:rFonts w:hint="eastAsia" w:ascii="仿宋_GB2312" w:hAnsi="Times New Roman" w:eastAsia="仿宋_GB2312"/>
          <w:u w:val="single"/>
        </w:rPr>
        <w:t xml:space="preserve">     </w:t>
      </w:r>
      <w:r>
        <w:rPr>
          <w:rFonts w:hint="eastAsia" w:ascii="仿宋_GB2312" w:hAnsi="宋体" w:eastAsia="仿宋_GB2312"/>
        </w:rPr>
        <w:t>职务：</w:t>
      </w:r>
      <w:r>
        <w:rPr>
          <w:rFonts w:hint="eastAsia" w:ascii="仿宋_GB2312" w:hAnsi="Times New Roman" w:eastAsia="仿宋_GB2312"/>
          <w:u w:val="single"/>
        </w:rPr>
        <w:t xml:space="preserve">       </w:t>
      </w:r>
    </w:p>
    <w:p>
      <w:pPr>
        <w:pStyle w:val="26"/>
        <w:spacing w:line="360" w:lineRule="exact"/>
        <w:ind w:firstLine="277"/>
        <w:rPr>
          <w:rFonts w:ascii="仿宋_GB2312" w:hAnsi="Times New Roman" w:eastAsia="仿宋_GB2312"/>
        </w:rPr>
      </w:pPr>
      <w:r>
        <w:rPr>
          <w:rFonts w:hint="eastAsia" w:ascii="仿宋_GB2312" w:hAnsi="宋体" w:eastAsia="仿宋_GB2312"/>
        </w:rPr>
        <w:t>系</w:t>
      </w:r>
      <w:r>
        <w:rPr>
          <w:rFonts w:hint="eastAsia" w:ascii="仿宋_GB2312" w:hAnsi="Times New Roman" w:eastAsia="仿宋_GB2312"/>
          <w:u w:val="single"/>
        </w:rPr>
        <w:t xml:space="preserve">     </w:t>
      </w:r>
      <w:r>
        <w:rPr>
          <w:rFonts w:hint="eastAsia" w:ascii="仿宋_GB2312" w:hAnsi="宋体" w:eastAsia="仿宋_GB2312"/>
          <w:u w:val="single"/>
        </w:rPr>
        <w:t>（投标人名称）</w:t>
      </w:r>
      <w:r>
        <w:rPr>
          <w:rFonts w:hint="eastAsia" w:ascii="仿宋_GB2312" w:hAnsi="Times New Roman" w:eastAsia="仿宋_GB2312"/>
          <w:u w:val="single"/>
        </w:rPr>
        <w:t xml:space="preserve">  </w:t>
      </w:r>
      <w:r>
        <w:rPr>
          <w:rFonts w:hint="eastAsia" w:ascii="仿宋_GB2312" w:hAnsi="宋体" w:eastAsia="仿宋_GB2312"/>
        </w:rPr>
        <w:t>的法定代表人。</w:t>
      </w:r>
    </w:p>
    <w:p>
      <w:pPr>
        <w:pStyle w:val="26"/>
        <w:spacing w:line="360" w:lineRule="exact"/>
        <w:ind w:firstLine="277"/>
        <w:rPr>
          <w:rFonts w:ascii="仿宋_GB2312" w:hAnsi="Times New Roman" w:eastAsia="仿宋_GB2312"/>
        </w:rPr>
      </w:pPr>
      <w:r>
        <w:rPr>
          <w:rFonts w:hint="eastAsia" w:ascii="仿宋_GB2312" w:hAnsi="宋体" w:eastAsia="仿宋_GB2312"/>
        </w:rPr>
        <w:t>特此证明。</w:t>
      </w:r>
    </w:p>
    <w:p>
      <w:pPr>
        <w:pStyle w:val="26"/>
        <w:spacing w:line="360" w:lineRule="exact"/>
        <w:ind w:right="420" w:firstLine="5565" w:firstLineChars="2650"/>
        <w:rPr>
          <w:rFonts w:ascii="仿宋_GB2312" w:hAnsi="Times New Roman" w:eastAsia="仿宋_GB2312"/>
        </w:rPr>
      </w:pPr>
      <w:r>
        <w:rPr>
          <w:rFonts w:hint="eastAsia" w:ascii="仿宋_GB2312" w:hAnsi="Times New Roman" w:eastAsia="仿宋_GB2312"/>
        </w:rPr>
        <w:t>投标人（</w:t>
      </w:r>
      <w:r>
        <w:rPr>
          <w:rFonts w:hint="eastAsia" w:ascii="仿宋_GB2312" w:hAnsi="Times New Roman" w:eastAsia="仿宋_GB2312"/>
          <w:b/>
          <w:bCs/>
        </w:rPr>
        <w:t>CA电子签章</w:t>
      </w:r>
      <w:r>
        <w:rPr>
          <w:rFonts w:hint="eastAsia" w:ascii="仿宋_GB2312" w:hAnsi="Times New Roman" w:eastAsia="仿宋_GB2312"/>
        </w:rPr>
        <w:t>）：</w:t>
      </w:r>
      <w:r>
        <w:rPr>
          <w:rFonts w:hint="eastAsia" w:ascii="仿宋_GB2312" w:hAnsi="Times New Roman" w:eastAsia="仿宋_GB2312"/>
          <w:u w:val="single"/>
        </w:rPr>
        <w:t xml:space="preserve">     </w:t>
      </w:r>
      <w:r>
        <w:rPr>
          <w:rFonts w:ascii="仿宋_GB2312" w:hAnsi="Times New Roman" w:eastAsia="仿宋_GB2312"/>
          <w:u w:val="single"/>
        </w:rPr>
        <w:t xml:space="preserve">     </w:t>
      </w:r>
    </w:p>
    <w:p>
      <w:pPr>
        <w:pStyle w:val="26"/>
        <w:spacing w:line="360" w:lineRule="exact"/>
        <w:ind w:firstLine="420"/>
        <w:jc w:val="center"/>
        <w:rPr>
          <w:rFonts w:ascii="仿宋_GB2312" w:hAnsi="Times New Roman" w:eastAsia="仿宋_GB2312"/>
        </w:rPr>
      </w:pPr>
      <w:r>
        <w:rPr>
          <w:rFonts w:hint="eastAsia" w:ascii="仿宋_GB2312" w:hAnsi="Times New Roman" w:eastAsia="仿宋_GB2312"/>
        </w:rPr>
        <w:t xml:space="preserve">                                                 </w:t>
      </w:r>
      <w:r>
        <w:rPr>
          <w:rFonts w:hint="eastAsia" w:ascii="仿宋_GB2312" w:hAnsi="宋体" w:eastAsia="仿宋_GB2312"/>
        </w:rPr>
        <w:t>日期：       年   月   日</w:t>
      </w:r>
    </w:p>
    <w:p>
      <w:pPr>
        <w:pStyle w:val="26"/>
        <w:spacing w:line="360" w:lineRule="exact"/>
        <w:rPr>
          <w:rFonts w:ascii="仿宋_GB2312" w:hAnsi="Times New Roman" w:eastAsia="仿宋_GB2312"/>
        </w:rPr>
      </w:pPr>
      <w:r>
        <mc:AlternateContent>
          <mc:Choice Requires="wps">
            <w:drawing>
              <wp:anchor distT="0" distB="0" distL="114300" distR="114300" simplePos="0" relativeHeight="251659264" behindDoc="0" locked="0" layoutInCell="1" allowOverlap="1">
                <wp:simplePos x="0" y="0"/>
                <wp:positionH relativeFrom="column">
                  <wp:posOffset>-436245</wp:posOffset>
                </wp:positionH>
                <wp:positionV relativeFrom="paragraph">
                  <wp:posOffset>103505</wp:posOffset>
                </wp:positionV>
                <wp:extent cx="6459855" cy="8255"/>
                <wp:effectExtent l="11430" t="6985" r="5715" b="13335"/>
                <wp:wrapNone/>
                <wp:docPr id="6" name="直线 13"/>
                <wp:cNvGraphicFramePr/>
                <a:graphic xmlns:a="http://schemas.openxmlformats.org/drawingml/2006/main">
                  <a:graphicData uri="http://schemas.microsoft.com/office/word/2010/wordprocessingShape">
                    <wps:wsp>
                      <wps:cNvCnPr>
                        <a:cxnSpLocks noChangeShapeType="1"/>
                      </wps:cNvCnPr>
                      <wps:spPr bwMode="auto">
                        <a:xfrm flipV="1">
                          <a:off x="0" y="0"/>
                          <a:ext cx="6459855" cy="8255"/>
                        </a:xfrm>
                        <a:prstGeom prst="line">
                          <a:avLst/>
                        </a:prstGeom>
                        <a:noFill/>
                        <a:ln w="9525">
                          <a:solidFill>
                            <a:srgbClr val="000000"/>
                          </a:solidFill>
                          <a:round/>
                        </a:ln>
                      </wps:spPr>
                      <wps:bodyPr/>
                    </wps:wsp>
                  </a:graphicData>
                </a:graphic>
              </wp:anchor>
            </w:drawing>
          </mc:Choice>
          <mc:Fallback>
            <w:pict>
              <v:line id="直线 13" o:spid="_x0000_s1026" o:spt="20" style="position:absolute;left:0pt;flip:y;margin-left:-34.35pt;margin-top:8.15pt;height:0.65pt;width:508.65pt;z-index:251659264;mso-width-relative:page;mso-height-relative:page;" filled="f" stroked="t" coordsize="21600,21600" o:gfxdata="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GnlhDXAAAACQEA&#10;AA8AAAAAAAAAAQAgAAAAIgAAAGRycy9kb3ducmV2LnhtbFBLAQIUABQAAAAIAIdO4kATWbsU4gEA&#10;AK8DAAAOAAAAAAAAAAEAIAAAACYBAABkcnMvZTJvRG9jLnhtbFBLBQYAAAAABgAGAFkBAAB6BQAA&#10;AAA=&#10;">
                <v:fill on="f" focussize="0,0"/>
                <v:stroke color="#000000" joinstyle="round"/>
                <v:imagedata o:title=""/>
                <o:lock v:ext="edit" aspectratio="f"/>
              </v:line>
            </w:pict>
          </mc:Fallback>
        </mc:AlternateContent>
      </w:r>
      <w:r>
        <w:rPr>
          <w:rFonts w:hint="eastAsia" w:ascii="仿宋_GB2312" w:hAnsi="Times New Roman" w:eastAsia="仿宋_GB2312"/>
        </w:rPr>
        <w:t xml:space="preserve">                                                                                                                                                                                        </w:t>
      </w:r>
    </w:p>
    <w:p>
      <w:pPr>
        <w:pStyle w:val="26"/>
        <w:spacing w:line="480" w:lineRule="exact"/>
        <w:rPr>
          <w:rFonts w:ascii="仿宋_GB2312" w:hAnsi="Times New Roman" w:eastAsia="仿宋_GB2312"/>
        </w:rPr>
      </w:pPr>
      <w:r>
        <mc:AlternateContent>
          <mc:Choice Requires="wps">
            <w:drawing>
              <wp:anchor distT="0" distB="0" distL="114300" distR="114300" simplePos="0" relativeHeight="251661312" behindDoc="0" locked="0" layoutInCell="1" allowOverlap="1">
                <wp:simplePos x="0" y="0"/>
                <wp:positionH relativeFrom="column">
                  <wp:posOffset>-114935</wp:posOffset>
                </wp:positionH>
                <wp:positionV relativeFrom="paragraph">
                  <wp:posOffset>168910</wp:posOffset>
                </wp:positionV>
                <wp:extent cx="3488690" cy="1896745"/>
                <wp:effectExtent l="8890" t="5715" r="7620" b="12065"/>
                <wp:wrapNone/>
                <wp:docPr id="5" name="矩形 14"/>
                <wp:cNvGraphicFramePr/>
                <a:graphic xmlns:a="http://schemas.openxmlformats.org/drawingml/2006/main">
                  <a:graphicData uri="http://schemas.microsoft.com/office/word/2010/wordprocessingShape">
                    <wps:wsp>
                      <wps:cNvSpPr>
                        <a:spLocks noChangeArrowheads="1"/>
                      </wps:cNvSpPr>
                      <wps:spPr bwMode="auto">
                        <a:xfrm>
                          <a:off x="0" y="0"/>
                          <a:ext cx="3488690" cy="1896745"/>
                        </a:xfrm>
                        <a:prstGeom prst="rect">
                          <a:avLst/>
                        </a:prstGeom>
                        <a:solidFill>
                          <a:srgbClr val="FFFFFF"/>
                        </a:solidFill>
                        <a:ln w="9525">
                          <a:solidFill>
                            <a:srgbClr val="000000"/>
                          </a:solidFill>
                          <a:miter lim="800000"/>
                        </a:ln>
                      </wps:spPr>
                      <wps:txbx>
                        <w:txbxContent>
                          <w:p>
                            <w:pPr>
                              <w:jc w:val="left"/>
                              <w:rPr>
                                <w:rFonts w:hint="eastAsia" w:ascii="仿宋_GB2312" w:hAnsi="仿宋_GB2312" w:eastAsia="仿宋_GB2312" w:cs="仿宋_GB2312"/>
                              </w:rPr>
                            </w:pPr>
                          </w:p>
                          <w:p>
                            <w:pPr>
                              <w:jc w:val="left"/>
                              <w:rPr>
                                <w:rFonts w:hint="eastAsia" w:ascii="仿宋_GB2312" w:hAnsi="仿宋_GB2312" w:eastAsia="仿宋_GB2312" w:cs="仿宋_GB2312"/>
                              </w:rPr>
                            </w:pPr>
                          </w:p>
                          <w:p>
                            <w:pPr>
                              <w:jc w:val="left"/>
                              <w:rPr>
                                <w:rFonts w:hint="eastAsia" w:ascii="仿宋_GB2312" w:hAnsi="仿宋_GB2312" w:eastAsia="仿宋_GB2312" w:cs="仿宋_GB2312"/>
                              </w:rPr>
                            </w:pPr>
                          </w:p>
                          <w:p>
                            <w:pPr>
                              <w:jc w:val="left"/>
                              <w:rPr>
                                <w:rFonts w:hint="eastAsia" w:ascii="仿宋_GB2312" w:hAnsi="仿宋_GB2312" w:eastAsia="仿宋_GB2312" w:cs="仿宋_GB2312"/>
                              </w:rPr>
                            </w:pPr>
                          </w:p>
                          <w:p>
                            <w:pPr>
                              <w:ind w:right="-195" w:rightChars="-93"/>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pPr>
                              <w:jc w:val="center"/>
                              <w:rPr>
                                <w:rFonts w:hint="eastAsia" w:ascii="仿宋_GB2312" w:hAnsi="仿宋_GB2312" w:eastAsia="仿宋_GB2312" w:cs="仿宋_GB2312"/>
                                <w:b/>
                              </w:rPr>
                            </w:pPr>
                            <w:r>
                              <w:rPr>
                                <w:rFonts w:hint="eastAsia" w:ascii="仿宋_GB2312" w:hAnsi="仿宋_GB2312" w:eastAsia="仿宋_GB2312" w:cs="仿宋_GB2312"/>
                                <w:b/>
                              </w:rPr>
                              <w:t>（正面）</w:t>
                            </w:r>
                          </w:p>
                          <w:p/>
                        </w:txbxContent>
                      </wps:txbx>
                      <wps:bodyPr rot="0" vert="horz" wrap="square" lIns="91440" tIns="45720" rIns="91440" bIns="45720" anchor="t" anchorCtr="0" upright="1">
                        <a:noAutofit/>
                      </wps:bodyPr>
                    </wps:wsp>
                  </a:graphicData>
                </a:graphic>
              </wp:anchor>
            </w:drawing>
          </mc:Choice>
          <mc:Fallback>
            <w:pict>
              <v:rect id="矩形 14" o:spid="_x0000_s1026" o:spt="1" style="position:absolute;left:0pt;margin-left:-9.05pt;margin-top:13.3pt;height:149.35pt;width:274.7pt;z-index:251661312;mso-width-relative:page;mso-height-relative:page;" fillcolor="#FFFFFF" filled="t" stroked="t" coordsize="21600,21600" o:gfxdata="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i2KZl2QAAAAoBAAAPAAAAAAAAAAEAIAAAACIAAABkcnMv&#10;ZG93bnJldi54bWxQSwECFAAUAAAACACHTuJAf1X8bzsCAAB8BAAADgAAAAAAAAABACAAAAAoAQAA&#10;ZHJzL2Uyb0RvYy54bWxQSwUGAAAAAAYABgBZAQAA1QUAAAAA&#10;">
                <v:fill on="t" focussize="0,0"/>
                <v:stroke color="#000000" miterlimit="8" joinstyle="miter"/>
                <v:imagedata o:title=""/>
                <o:lock v:ext="edit" aspectratio="f"/>
                <v:textbox>
                  <w:txbxContent>
                    <w:p>
                      <w:pPr>
                        <w:jc w:val="left"/>
                        <w:rPr>
                          <w:rFonts w:hint="eastAsia" w:ascii="仿宋_GB2312" w:hAnsi="仿宋_GB2312" w:eastAsia="仿宋_GB2312" w:cs="仿宋_GB2312"/>
                        </w:rPr>
                      </w:pPr>
                    </w:p>
                    <w:p>
                      <w:pPr>
                        <w:jc w:val="left"/>
                        <w:rPr>
                          <w:rFonts w:hint="eastAsia" w:ascii="仿宋_GB2312" w:hAnsi="仿宋_GB2312" w:eastAsia="仿宋_GB2312" w:cs="仿宋_GB2312"/>
                        </w:rPr>
                      </w:pPr>
                    </w:p>
                    <w:p>
                      <w:pPr>
                        <w:jc w:val="left"/>
                        <w:rPr>
                          <w:rFonts w:hint="eastAsia" w:ascii="仿宋_GB2312" w:hAnsi="仿宋_GB2312" w:eastAsia="仿宋_GB2312" w:cs="仿宋_GB2312"/>
                        </w:rPr>
                      </w:pPr>
                    </w:p>
                    <w:p>
                      <w:pPr>
                        <w:jc w:val="left"/>
                        <w:rPr>
                          <w:rFonts w:hint="eastAsia" w:ascii="仿宋_GB2312" w:hAnsi="仿宋_GB2312" w:eastAsia="仿宋_GB2312" w:cs="仿宋_GB2312"/>
                        </w:rPr>
                      </w:pPr>
                    </w:p>
                    <w:p>
                      <w:pPr>
                        <w:ind w:right="-195" w:rightChars="-93"/>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pPr>
                        <w:jc w:val="center"/>
                        <w:rPr>
                          <w:rFonts w:hint="eastAsia" w:ascii="仿宋_GB2312" w:hAnsi="仿宋_GB2312" w:eastAsia="仿宋_GB2312" w:cs="仿宋_GB2312"/>
                          <w:b/>
                        </w:rPr>
                      </w:pPr>
                      <w:r>
                        <w:rPr>
                          <w:rFonts w:hint="eastAsia" w:ascii="仿宋_GB2312" w:hAnsi="仿宋_GB2312" w:eastAsia="仿宋_GB2312" w:cs="仿宋_GB2312"/>
                          <w:b/>
                        </w:rPr>
                        <w:t>（正面）</w:t>
                      </w:r>
                    </w:p>
                    <w:p/>
                  </w:txbxContent>
                </v:textbox>
              </v:rect>
            </w:pict>
          </mc:Fallback>
        </mc:AlternateContent>
      </w:r>
    </w:p>
    <w:p>
      <w:pPr>
        <w:pStyle w:val="26"/>
        <w:spacing w:line="480" w:lineRule="exact"/>
        <w:rPr>
          <w:rFonts w:ascii="仿宋_GB2312" w:hAnsi="Times New Roman" w:eastAsia="仿宋_GB2312"/>
        </w:rPr>
      </w:pPr>
    </w:p>
    <w:p>
      <w:pPr>
        <w:pStyle w:val="26"/>
        <w:spacing w:line="480" w:lineRule="exact"/>
        <w:rPr>
          <w:rFonts w:ascii="仿宋_GB2312" w:hAnsi="Times New Roman" w:eastAsia="仿宋_GB2312"/>
        </w:rPr>
      </w:pPr>
    </w:p>
    <w:p>
      <w:pPr>
        <w:pStyle w:val="26"/>
        <w:spacing w:line="480" w:lineRule="exact"/>
        <w:rPr>
          <w:rFonts w:ascii="仿宋_GB2312" w:hAnsi="Times New Roman" w:eastAsia="仿宋_GB2312"/>
        </w:rPr>
      </w:pPr>
    </w:p>
    <w:p>
      <w:pPr>
        <w:pStyle w:val="26"/>
        <w:spacing w:line="480" w:lineRule="exact"/>
        <w:rPr>
          <w:rFonts w:ascii="仿宋_GB2312" w:hAnsi="Times New Roman" w:eastAsia="仿宋_GB2312"/>
        </w:rPr>
      </w:pPr>
    </w:p>
    <w:p>
      <w:pPr>
        <w:pStyle w:val="26"/>
        <w:spacing w:line="240" w:lineRule="atLeast"/>
        <w:ind w:firstLine="6300" w:firstLineChars="3000"/>
        <w:rPr>
          <w:rFonts w:ascii="仿宋_GB2312" w:hAnsi="Times New Roman" w:eastAsia="仿宋_GB2312"/>
        </w:rPr>
      </w:pPr>
    </w:p>
    <w:p>
      <w:pPr>
        <w:pStyle w:val="26"/>
        <w:spacing w:line="480" w:lineRule="exact"/>
        <w:rPr>
          <w:rFonts w:ascii="仿宋_GB2312" w:hAnsi="Times New Roman" w:eastAsia="仿宋_GB2312"/>
        </w:rPr>
      </w:pPr>
    </w:p>
    <w:p>
      <w:pPr>
        <w:pStyle w:val="26"/>
        <w:spacing w:line="240" w:lineRule="exact"/>
        <w:rPr>
          <w:rFonts w:ascii="仿宋_GB2312" w:hAnsi="Times New Roman" w:eastAsia="仿宋_GB2312"/>
        </w:rPr>
      </w:pPr>
    </w:p>
    <w:p>
      <w:pPr>
        <w:pStyle w:val="26"/>
        <w:spacing w:line="240" w:lineRule="exact"/>
        <w:rPr>
          <w:rFonts w:ascii="仿宋_GB2312" w:hAnsi="Times New Roman" w:eastAsia="仿宋_GB2312"/>
        </w:rPr>
      </w:pPr>
      <w:r>
        <mc:AlternateContent>
          <mc:Choice Requires="wps">
            <w:drawing>
              <wp:anchor distT="0" distB="0" distL="114300" distR="114300" simplePos="0" relativeHeight="251662336" behindDoc="0" locked="0" layoutInCell="1" allowOverlap="1">
                <wp:simplePos x="0" y="0"/>
                <wp:positionH relativeFrom="column">
                  <wp:posOffset>-90170</wp:posOffset>
                </wp:positionH>
                <wp:positionV relativeFrom="paragraph">
                  <wp:posOffset>120015</wp:posOffset>
                </wp:positionV>
                <wp:extent cx="3463925" cy="1852295"/>
                <wp:effectExtent l="5080" t="13970" r="7620" b="10160"/>
                <wp:wrapNone/>
                <wp:docPr id="4" name="矩形 15"/>
                <wp:cNvGraphicFramePr/>
                <a:graphic xmlns:a="http://schemas.openxmlformats.org/drawingml/2006/main">
                  <a:graphicData uri="http://schemas.microsoft.com/office/word/2010/wordprocessingShape">
                    <wps:wsp>
                      <wps:cNvSpPr>
                        <a:spLocks noChangeArrowheads="1"/>
                      </wps:cNvSpPr>
                      <wps:spPr bwMode="auto">
                        <a:xfrm>
                          <a:off x="0" y="0"/>
                          <a:ext cx="3463925" cy="1852295"/>
                        </a:xfrm>
                        <a:prstGeom prst="rect">
                          <a:avLst/>
                        </a:prstGeom>
                        <a:solidFill>
                          <a:srgbClr val="FFFFFF"/>
                        </a:solidFill>
                        <a:ln w="9525">
                          <a:solidFill>
                            <a:srgbClr val="000000"/>
                          </a:solidFill>
                          <a:miter lim="800000"/>
                        </a:ln>
                      </wps:spPr>
                      <wps:txbx>
                        <w:txbxContent>
                          <w:p>
                            <w:pPr>
                              <w:jc w:val="left"/>
                              <w:rPr>
                                <w:rFonts w:hint="eastAsia" w:ascii="仿宋_GB2312" w:hAnsi="仿宋_GB2312" w:eastAsia="仿宋_GB2312" w:cs="仿宋_GB2312"/>
                              </w:rPr>
                            </w:pPr>
                          </w:p>
                          <w:p>
                            <w:pPr>
                              <w:jc w:val="left"/>
                              <w:rPr>
                                <w:rFonts w:hint="eastAsia" w:ascii="仿宋_GB2312" w:hAnsi="仿宋_GB2312" w:eastAsia="仿宋_GB2312" w:cs="仿宋_GB2312"/>
                              </w:rPr>
                            </w:pPr>
                          </w:p>
                          <w:p>
                            <w:pPr>
                              <w:jc w:val="left"/>
                              <w:rPr>
                                <w:rFonts w:hint="eastAsia" w:ascii="仿宋_GB2312" w:hAnsi="仿宋_GB2312" w:eastAsia="仿宋_GB2312" w:cs="仿宋_GB2312"/>
                              </w:rPr>
                            </w:pPr>
                          </w:p>
                          <w:p>
                            <w:pPr>
                              <w:jc w:val="left"/>
                              <w:rPr>
                                <w:rFonts w:hint="eastAsia" w:ascii="仿宋_GB2312" w:hAnsi="仿宋_GB2312" w:eastAsia="仿宋_GB2312" w:cs="仿宋_GB2312"/>
                              </w:rPr>
                            </w:pPr>
                          </w:p>
                          <w:p>
                            <w:pPr>
                              <w:ind w:right="-99" w:rightChars="-47"/>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pPr>
                              <w:jc w:val="center"/>
                              <w:rPr>
                                <w:rFonts w:hint="eastAsia" w:ascii="仿宋_GB2312" w:hAnsi="仿宋_GB2312" w:eastAsia="仿宋_GB2312" w:cs="仿宋_GB2312"/>
                                <w:b/>
                              </w:rPr>
                            </w:pPr>
                            <w:r>
                              <w:rPr>
                                <w:rFonts w:hint="eastAsia" w:ascii="仿宋_GB2312" w:hAnsi="仿宋_GB2312" w:eastAsia="仿宋_GB2312" w:cs="仿宋_GB2312"/>
                                <w:b/>
                              </w:rPr>
                              <w:t>（背面）</w:t>
                            </w:r>
                          </w:p>
                          <w:p/>
                        </w:txbxContent>
                      </wps:txbx>
                      <wps:bodyPr rot="0" vert="horz" wrap="square" lIns="91440" tIns="45720" rIns="91440" bIns="45720" anchor="t" anchorCtr="0" upright="1">
                        <a:noAutofit/>
                      </wps:bodyPr>
                    </wps:wsp>
                  </a:graphicData>
                </a:graphic>
              </wp:anchor>
            </w:drawing>
          </mc:Choice>
          <mc:Fallback>
            <w:pict>
              <v:rect id="矩形 15" o:spid="_x0000_s1026" o:spt="1" style="position:absolute;left:0pt;margin-left:-7.1pt;margin-top:9.45pt;height:145.85pt;width:272.75pt;z-index:251662336;mso-width-relative:page;mso-height-relative:page;" fillcolor="#FFFFFF" filled="t" stroked="t" coordsize="21600,21600" o:gfxdata="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TjNE/YAAAACgEAAA8AAAAAAAAAAQAgAAAAIgAAAGRycy9kb3du&#10;cmV2LnhtbFBLAQIUABQAAAAIAIdO4kCrEEpsOAIAAHwEAAAOAAAAAAAAAAEAIAAAACcBAABkcnMv&#10;ZTJvRG9jLnhtbFBLBQYAAAAABgAGAFkBAADRBQAAAAA=&#10;">
                <v:fill on="t" focussize="0,0"/>
                <v:stroke color="#000000" miterlimit="8" joinstyle="miter"/>
                <v:imagedata o:title=""/>
                <o:lock v:ext="edit" aspectratio="f"/>
                <v:textbox>
                  <w:txbxContent>
                    <w:p>
                      <w:pPr>
                        <w:jc w:val="left"/>
                        <w:rPr>
                          <w:rFonts w:hint="eastAsia" w:ascii="仿宋_GB2312" w:hAnsi="仿宋_GB2312" w:eastAsia="仿宋_GB2312" w:cs="仿宋_GB2312"/>
                        </w:rPr>
                      </w:pPr>
                    </w:p>
                    <w:p>
                      <w:pPr>
                        <w:jc w:val="left"/>
                        <w:rPr>
                          <w:rFonts w:hint="eastAsia" w:ascii="仿宋_GB2312" w:hAnsi="仿宋_GB2312" w:eastAsia="仿宋_GB2312" w:cs="仿宋_GB2312"/>
                        </w:rPr>
                      </w:pPr>
                    </w:p>
                    <w:p>
                      <w:pPr>
                        <w:jc w:val="left"/>
                        <w:rPr>
                          <w:rFonts w:hint="eastAsia" w:ascii="仿宋_GB2312" w:hAnsi="仿宋_GB2312" w:eastAsia="仿宋_GB2312" w:cs="仿宋_GB2312"/>
                        </w:rPr>
                      </w:pPr>
                    </w:p>
                    <w:p>
                      <w:pPr>
                        <w:jc w:val="left"/>
                        <w:rPr>
                          <w:rFonts w:hint="eastAsia" w:ascii="仿宋_GB2312" w:hAnsi="仿宋_GB2312" w:eastAsia="仿宋_GB2312" w:cs="仿宋_GB2312"/>
                        </w:rPr>
                      </w:pPr>
                    </w:p>
                    <w:p>
                      <w:pPr>
                        <w:ind w:right="-99" w:rightChars="-47"/>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pPr>
                        <w:jc w:val="center"/>
                        <w:rPr>
                          <w:rFonts w:hint="eastAsia" w:ascii="仿宋_GB2312" w:hAnsi="仿宋_GB2312" w:eastAsia="仿宋_GB2312" w:cs="仿宋_GB2312"/>
                          <w:b/>
                        </w:rPr>
                      </w:pPr>
                      <w:r>
                        <w:rPr>
                          <w:rFonts w:hint="eastAsia" w:ascii="仿宋_GB2312" w:hAnsi="仿宋_GB2312" w:eastAsia="仿宋_GB2312" w:cs="仿宋_GB2312"/>
                          <w:b/>
                        </w:rPr>
                        <w:t>（背面）</w:t>
                      </w:r>
                    </w:p>
                    <w:p/>
                  </w:txbxContent>
                </v:textbox>
              </v:rect>
            </w:pict>
          </mc:Fallback>
        </mc:AlternateContent>
      </w:r>
    </w:p>
    <w:p>
      <w:pPr>
        <w:pStyle w:val="26"/>
        <w:spacing w:line="240" w:lineRule="exact"/>
        <w:rPr>
          <w:rFonts w:ascii="仿宋_GB2312" w:hAnsi="Times New Roman" w:eastAsia="仿宋_GB2312"/>
        </w:rPr>
      </w:pPr>
    </w:p>
    <w:p>
      <w:pPr>
        <w:pStyle w:val="26"/>
        <w:spacing w:line="240" w:lineRule="exact"/>
        <w:rPr>
          <w:rFonts w:ascii="仿宋_GB2312" w:hAnsi="Times New Roman" w:eastAsia="仿宋_GB2312"/>
          <w:sz w:val="44"/>
        </w:rPr>
      </w:pPr>
    </w:p>
    <w:p>
      <w:pPr>
        <w:pStyle w:val="26"/>
        <w:spacing w:line="240" w:lineRule="exact"/>
        <w:rPr>
          <w:rFonts w:ascii="仿宋_GB2312" w:hAnsi="Times New Roman" w:eastAsia="仿宋_GB2312"/>
          <w:sz w:val="44"/>
        </w:rPr>
      </w:pPr>
    </w:p>
    <w:p>
      <w:pPr>
        <w:pStyle w:val="26"/>
        <w:spacing w:line="240" w:lineRule="exact"/>
        <w:rPr>
          <w:rFonts w:ascii="仿宋_GB2312" w:hAnsi="Times New Roman" w:eastAsia="仿宋_GB2312"/>
          <w:sz w:val="44"/>
        </w:rPr>
      </w:pPr>
    </w:p>
    <w:p>
      <w:pPr>
        <w:pStyle w:val="26"/>
        <w:spacing w:line="240" w:lineRule="exact"/>
        <w:rPr>
          <w:rFonts w:ascii="仿宋_GB2312" w:hAnsi="Times New Roman" w:eastAsia="仿宋_GB2312"/>
          <w:sz w:val="44"/>
        </w:rPr>
      </w:pPr>
    </w:p>
    <w:p>
      <w:pPr>
        <w:jc w:val="center"/>
        <w:rPr>
          <w:rFonts w:ascii="仿宋_GB2312" w:eastAsia="仿宋_GB2312"/>
        </w:rPr>
      </w:pPr>
    </w:p>
    <w:p>
      <w:pPr>
        <w:jc w:val="center"/>
        <w:rPr>
          <w:rFonts w:ascii="仿宋_GB2312" w:eastAsia="仿宋_GB2312"/>
        </w:rPr>
      </w:pPr>
      <w:r>
        <w:rPr>
          <w:rFonts w:hint="eastAsia" w:ascii="仿宋_GB2312" w:eastAsia="仿宋_GB2312"/>
        </w:rPr>
        <w:t xml:space="preserve">      </w:t>
      </w:r>
    </w:p>
    <w:p>
      <w:pPr>
        <w:jc w:val="center"/>
        <w:rPr>
          <w:rFonts w:ascii="仿宋_GB2312" w:eastAsia="仿宋_GB2312"/>
          <w:u w:val="single"/>
        </w:rPr>
      </w:pPr>
      <w:r>
        <w:rPr>
          <w:rFonts w:hint="eastAsia" w:ascii="仿宋_GB2312" w:eastAsia="仿宋_GB2312"/>
        </w:rPr>
        <w:t xml:space="preserve">        </w:t>
      </w:r>
    </w:p>
    <w:p>
      <w:pPr>
        <w:pStyle w:val="26"/>
        <w:spacing w:line="240" w:lineRule="exact"/>
        <w:rPr>
          <w:rFonts w:ascii="仿宋_GB2312" w:hAnsi="Times New Roman" w:eastAsia="仿宋_GB2312"/>
          <w:sz w:val="44"/>
        </w:rPr>
      </w:pPr>
    </w:p>
    <w:p>
      <w:pPr>
        <w:pStyle w:val="26"/>
        <w:spacing w:line="240" w:lineRule="atLeast"/>
        <w:ind w:firstLine="6615" w:firstLineChars="3150"/>
        <w:rPr>
          <w:rFonts w:ascii="仿宋_GB2312" w:hAnsi="Times New Roman" w:eastAsia="仿宋_GB2312"/>
        </w:rPr>
      </w:pPr>
    </w:p>
    <w:p>
      <w:pPr>
        <w:pStyle w:val="26"/>
        <w:spacing w:line="240" w:lineRule="atLeast"/>
        <w:ind w:firstLine="6615" w:firstLineChars="3150"/>
        <w:rPr>
          <w:rFonts w:ascii="仿宋_GB2312" w:hAnsi="Times New Roman" w:eastAsia="仿宋_GB2312"/>
        </w:rPr>
      </w:pPr>
    </w:p>
    <w:p>
      <w:pPr>
        <w:pStyle w:val="26"/>
        <w:spacing w:line="240" w:lineRule="atLeast"/>
        <w:rPr>
          <w:rFonts w:ascii="仿宋_GB2312" w:hAnsi="Times New Roman" w:eastAsia="仿宋_GB2312"/>
        </w:rPr>
      </w:pPr>
    </w:p>
    <w:p>
      <w:pPr>
        <w:pStyle w:val="26"/>
        <w:spacing w:line="360" w:lineRule="exact"/>
        <w:ind w:firstLine="5355" w:firstLineChars="2550"/>
        <w:rPr>
          <w:rFonts w:ascii="Times New Roman" w:hAnsi="Times New Roman"/>
          <w:u w:val="single"/>
        </w:rPr>
      </w:pPr>
      <w:r>
        <w:rPr>
          <w:rFonts w:hint="eastAsia" w:ascii="仿宋_GB2312" w:hAnsi="Times New Roman" w:eastAsia="仿宋_GB2312"/>
        </w:rPr>
        <w:t>法定代表人</w:t>
      </w:r>
      <w:r>
        <w:rPr>
          <w:rFonts w:hint="eastAsia" w:ascii="仿宋_GB2312" w:eastAsia="仿宋_GB2312"/>
          <w:b/>
          <w:bCs/>
        </w:rPr>
        <w:t>（签字）</w:t>
      </w:r>
      <w:r>
        <w:rPr>
          <w:rFonts w:hint="eastAsia" w:ascii="仿宋_GB2312" w:hAnsi="Times New Roman" w:eastAsia="仿宋_GB2312"/>
          <w:b/>
          <w:bCs/>
        </w:rPr>
        <w:t>：</w:t>
      </w:r>
      <w:r>
        <w:rPr>
          <w:rFonts w:hint="eastAsia" w:ascii="仿宋_GB2312" w:hAnsi="Times New Roman" w:eastAsia="仿宋_GB2312"/>
          <w:u w:val="single"/>
        </w:rPr>
        <w:t xml:space="preserve">      </w:t>
      </w:r>
      <w:r>
        <w:rPr>
          <w:rFonts w:ascii="Times New Roman" w:hAnsi="Times New Roman"/>
          <w:u w:val="single"/>
        </w:rPr>
        <w:t xml:space="preserve">      </w:t>
      </w:r>
    </w:p>
    <w:p>
      <w:pPr>
        <w:pStyle w:val="26"/>
        <w:spacing w:line="360" w:lineRule="exact"/>
        <w:rPr>
          <w:rFonts w:ascii="仿宋_GB2312" w:eastAsia="仿宋_GB2312"/>
          <w:b/>
          <w:sz w:val="24"/>
        </w:rPr>
      </w:pPr>
    </w:p>
    <w:p>
      <w:pPr>
        <w:pStyle w:val="26"/>
        <w:spacing w:line="360" w:lineRule="exact"/>
        <w:ind w:firstLine="482" w:firstLineChars="200"/>
        <w:rPr>
          <w:rFonts w:ascii="Times New Roman" w:hAnsi="Times New Roman"/>
        </w:rPr>
      </w:pPr>
      <w:r>
        <w:rPr>
          <w:rFonts w:hint="eastAsia" w:ascii="仿宋_GB2312" w:eastAsia="仿宋_GB2312"/>
          <w:b/>
          <w:sz w:val="24"/>
        </w:rPr>
        <w:t>注：此项材料必须</w:t>
      </w:r>
      <w:r>
        <w:rPr>
          <w:rFonts w:hint="eastAsia" w:ascii="仿宋_GB2312" w:hAnsi="宋体" w:eastAsia="仿宋_GB2312"/>
          <w:b/>
          <w:bCs/>
          <w:sz w:val="24"/>
        </w:rPr>
        <w:t>以PDF格式上传</w:t>
      </w:r>
      <w:bookmarkEnd w:id="91"/>
      <w:r>
        <w:rPr>
          <w:rFonts w:hint="eastAsia" w:ascii="仿宋_GB2312" w:hAnsi="宋体" w:eastAsia="仿宋_GB2312"/>
          <w:b/>
          <w:bCs/>
          <w:sz w:val="24"/>
        </w:rPr>
        <w:t>。</w:t>
      </w:r>
    </w:p>
    <w:p>
      <w:pPr>
        <w:pStyle w:val="26"/>
        <w:spacing w:line="360" w:lineRule="exact"/>
        <w:ind w:firstLine="420" w:firstLineChars="200"/>
        <w:rPr>
          <w:rFonts w:ascii="Times New Roman" w:hAnsi="Times New Roman"/>
        </w:rPr>
        <w:sectPr>
          <w:pgSz w:w="11906" w:h="16838"/>
          <w:pgMar w:top="1440" w:right="1440" w:bottom="1440" w:left="1440" w:header="851" w:footer="992" w:gutter="0"/>
          <w:cols w:space="720" w:num="1"/>
          <w:docGrid w:linePitch="312" w:charSpace="0"/>
        </w:sectPr>
      </w:pPr>
    </w:p>
    <w:p>
      <w:pPr>
        <w:pStyle w:val="26"/>
        <w:spacing w:line="320" w:lineRule="exact"/>
        <w:rPr>
          <w:rFonts w:ascii="仿宋_GB2312" w:hAnsi="Times New Roman" w:eastAsia="仿宋_GB2312"/>
          <w:spacing w:val="-4"/>
        </w:rPr>
      </w:pPr>
      <w:r>
        <w:rPr>
          <w:rFonts w:hint="eastAsia" w:ascii="仿宋_GB2312" w:eastAsia="仿宋_GB2312"/>
          <w:b/>
          <w:color w:val="000000"/>
          <w:sz w:val="24"/>
          <w:szCs w:val="24"/>
        </w:rPr>
        <w:t>（</w:t>
      </w:r>
      <w:r>
        <w:rPr>
          <w:rFonts w:ascii="仿宋_GB2312" w:eastAsia="仿宋_GB2312"/>
          <w:b/>
          <w:color w:val="000000"/>
          <w:sz w:val="24"/>
          <w:szCs w:val="24"/>
        </w:rPr>
        <w:t>2</w:t>
      </w:r>
      <w:r>
        <w:rPr>
          <w:rFonts w:hint="eastAsia" w:ascii="仿宋_GB2312" w:eastAsia="仿宋_GB2312"/>
          <w:b/>
          <w:color w:val="000000"/>
          <w:sz w:val="24"/>
          <w:szCs w:val="24"/>
        </w:rPr>
        <w:t>）</w:t>
      </w:r>
      <w:bookmarkStart w:id="92" w:name="_Hlk101434427"/>
      <w:r>
        <w:rPr>
          <w:rFonts w:hint="eastAsia" w:ascii="仿宋_GB2312" w:eastAsia="仿宋_GB2312"/>
          <w:b/>
          <w:color w:val="000000"/>
          <w:sz w:val="24"/>
          <w:szCs w:val="24"/>
        </w:rPr>
        <w:t>法定代表人授权委托书格式（委托代理时必须提供）</w:t>
      </w:r>
      <w:r>
        <w:rPr>
          <w:rFonts w:hint="eastAsia" w:ascii="仿宋_GB2312" w:hAnsi="Times New Roman" w:eastAsia="仿宋_GB2312"/>
          <w:b/>
        </w:rPr>
        <w:t>：</w:t>
      </w:r>
    </w:p>
    <w:p>
      <w:pPr>
        <w:pStyle w:val="26"/>
        <w:spacing w:line="320" w:lineRule="exact"/>
        <w:jc w:val="center"/>
        <w:rPr>
          <w:rFonts w:ascii="仿宋_GB2312" w:hAnsi="Times New Roman" w:eastAsia="仿宋_GB2312"/>
          <w:sz w:val="32"/>
        </w:rPr>
      </w:pPr>
    </w:p>
    <w:p>
      <w:pPr>
        <w:pStyle w:val="26"/>
        <w:spacing w:line="320" w:lineRule="exact"/>
        <w:jc w:val="center"/>
        <w:rPr>
          <w:rFonts w:ascii="仿宋_GB2312" w:hAnsi="Times New Roman" w:eastAsia="仿宋_GB2312"/>
          <w:b/>
          <w:bCs/>
          <w:sz w:val="32"/>
        </w:rPr>
      </w:pPr>
      <w:r>
        <w:rPr>
          <w:rFonts w:hint="eastAsia" w:ascii="仿宋_GB2312" w:hAnsi="Times New Roman" w:eastAsia="仿宋_GB2312"/>
          <w:b/>
          <w:bCs/>
          <w:sz w:val="32"/>
        </w:rPr>
        <w:t>法定代表人授权委托书</w:t>
      </w:r>
    </w:p>
    <w:p>
      <w:pPr>
        <w:snapToGrid w:val="0"/>
        <w:spacing w:line="400" w:lineRule="exact"/>
        <w:rPr>
          <w:rFonts w:ascii="仿宋_GB2312" w:eastAsia="仿宋_GB2312"/>
          <w:bCs/>
          <w:szCs w:val="21"/>
        </w:rPr>
      </w:pPr>
    </w:p>
    <w:p>
      <w:pPr>
        <w:snapToGrid w:val="0"/>
        <w:spacing w:line="360" w:lineRule="exact"/>
        <w:rPr>
          <w:rFonts w:hint="eastAsia" w:ascii="仿宋_GB2312" w:hAnsi="宋体" w:eastAsia="仿宋_GB2312"/>
          <w:szCs w:val="21"/>
          <w:u w:val="single"/>
        </w:rPr>
      </w:pPr>
      <w:r>
        <w:rPr>
          <w:rFonts w:hint="eastAsia" w:ascii="仿宋_GB2312" w:hAnsi="宋体" w:eastAsia="仿宋_GB2312"/>
          <w:szCs w:val="21"/>
          <w:u w:val="single"/>
        </w:rPr>
        <w:t>致：</w:t>
      </w:r>
      <w:r>
        <w:rPr>
          <w:rFonts w:ascii="仿宋_GB2312" w:eastAsia="仿宋_GB2312"/>
          <w:szCs w:val="21"/>
          <w:u w:val="single"/>
        </w:rPr>
        <w:t>柳州城市职业学院</w:t>
      </w:r>
      <w:r>
        <w:rPr>
          <w:rFonts w:hint="eastAsia" w:ascii="仿宋_GB2312" w:hAnsi="宋体" w:eastAsia="仿宋_GB2312"/>
          <w:szCs w:val="21"/>
          <w:u w:val="single"/>
        </w:rPr>
        <w:t>、柳州市政府集中采购中心：</w:t>
      </w:r>
    </w:p>
    <w:p>
      <w:pPr>
        <w:snapToGrid w:val="0"/>
        <w:spacing w:line="360" w:lineRule="exact"/>
        <w:ind w:firstLine="630" w:firstLineChars="300"/>
        <w:rPr>
          <w:rFonts w:ascii="仿宋_GB2312" w:eastAsia="仿宋_GB2312"/>
          <w:szCs w:val="21"/>
        </w:rPr>
      </w:pPr>
      <w:r>
        <w:rPr>
          <w:rFonts w:hint="eastAsia" w:ascii="仿宋_GB2312" w:eastAsia="仿宋_GB2312"/>
          <w:szCs w:val="21"/>
        </w:rPr>
        <w:t xml:space="preserve">我 </w:t>
      </w:r>
      <w:r>
        <w:rPr>
          <w:rFonts w:hint="eastAsia" w:ascii="仿宋_GB2312" w:eastAsia="仿宋_GB2312"/>
          <w:szCs w:val="21"/>
          <w:u w:val="single"/>
        </w:rPr>
        <w:t xml:space="preserve">                </w:t>
      </w:r>
      <w:r>
        <w:rPr>
          <w:rFonts w:hint="eastAsia" w:ascii="仿宋_GB2312" w:eastAsia="仿宋_GB2312"/>
          <w:szCs w:val="21"/>
        </w:rPr>
        <w:t>（姓名）系</w:t>
      </w:r>
      <w:r>
        <w:rPr>
          <w:rFonts w:hint="eastAsia" w:ascii="仿宋_GB2312" w:eastAsia="仿宋_GB2312"/>
          <w:szCs w:val="21"/>
          <w:u w:val="single"/>
        </w:rPr>
        <w:t xml:space="preserve">                               </w:t>
      </w:r>
      <w:r>
        <w:rPr>
          <w:rFonts w:hint="eastAsia" w:ascii="仿宋_GB2312" w:eastAsia="仿宋_GB2312"/>
          <w:szCs w:val="21"/>
        </w:rPr>
        <w:t>（投标人名称）的法定代表人，现授权委托</w:t>
      </w:r>
      <w:r>
        <w:rPr>
          <w:rFonts w:hint="eastAsia" w:ascii="仿宋_GB2312" w:eastAsia="仿宋_GB2312"/>
          <w:szCs w:val="21"/>
          <w:u w:val="single"/>
        </w:rPr>
        <w:t xml:space="preserve">              </w:t>
      </w:r>
      <w:r>
        <w:rPr>
          <w:rFonts w:hint="eastAsia" w:ascii="仿宋_GB2312" w:eastAsia="仿宋_GB2312"/>
          <w:szCs w:val="21"/>
        </w:rPr>
        <w:t>（姓名）以我方的名义参加</w:t>
      </w:r>
      <w:r>
        <w:rPr>
          <w:rFonts w:hint="eastAsia" w:ascii="仿宋_GB2312" w:eastAsia="仿宋_GB2312"/>
          <w:szCs w:val="21"/>
          <w:u w:val="single"/>
        </w:rPr>
        <w:t xml:space="preserve">              </w:t>
      </w:r>
      <w:r>
        <w:rPr>
          <w:rFonts w:hint="eastAsia" w:ascii="仿宋_GB2312" w:eastAsia="仿宋_GB2312"/>
          <w:szCs w:val="21"/>
        </w:rPr>
        <w:t>项目的投标活动，并代表我方全权办理针对上述项目的投标、开标、转为其他方式采购、评标、签约等具体事务和签署相关文件。</w:t>
      </w:r>
    </w:p>
    <w:p>
      <w:pPr>
        <w:snapToGrid w:val="0"/>
        <w:spacing w:line="360" w:lineRule="exact"/>
        <w:rPr>
          <w:rFonts w:ascii="仿宋_GB2312" w:eastAsia="仿宋_GB2312"/>
          <w:szCs w:val="21"/>
        </w:rPr>
      </w:pPr>
      <w:r>
        <w:rPr>
          <w:rFonts w:hint="eastAsia" w:ascii="仿宋_GB2312" w:eastAsia="仿宋_GB2312"/>
          <w:szCs w:val="21"/>
        </w:rPr>
        <w:t xml:space="preserve">    我方对被授权人的签名事项负全部责任。</w:t>
      </w:r>
    </w:p>
    <w:p>
      <w:pPr>
        <w:snapToGrid w:val="0"/>
        <w:spacing w:line="360" w:lineRule="exact"/>
        <w:ind w:firstLine="480"/>
        <w:rPr>
          <w:rFonts w:ascii="仿宋_GB2312" w:eastAsia="仿宋_GB2312"/>
          <w:szCs w:val="21"/>
        </w:rPr>
      </w:pPr>
      <w:r>
        <w:rPr>
          <w:rFonts w:hint="eastAsia" w:ascii="仿宋_GB2312" w:eastAsia="仿宋_GB2312"/>
          <w:szCs w:val="21"/>
          <w:u w:val="single"/>
        </w:rPr>
        <w:t>在撤销授权的书面通知以前，本授权书一直有效。</w:t>
      </w:r>
      <w:r>
        <w:rPr>
          <w:rFonts w:hint="eastAsia" w:ascii="仿宋_GB2312" w:eastAsia="仿宋_GB2312"/>
          <w:szCs w:val="21"/>
        </w:rPr>
        <w:t>被授权人在授权书有效期内签署的所有文件不因授权的撤销而失效。</w:t>
      </w:r>
    </w:p>
    <w:p>
      <w:pPr>
        <w:snapToGrid w:val="0"/>
        <w:spacing w:line="360" w:lineRule="exact"/>
        <w:ind w:firstLine="480"/>
        <w:rPr>
          <w:rFonts w:ascii="仿宋_GB2312" w:eastAsia="仿宋_GB2312"/>
          <w:szCs w:val="21"/>
        </w:rPr>
      </w:pPr>
      <w:r>
        <w:rPr>
          <w:rFonts w:hint="eastAsia" w:ascii="仿宋_GB2312" w:eastAsia="仿宋_GB2312"/>
          <w:szCs w:val="21"/>
        </w:rPr>
        <w:t>被授权人无转委托权，特此委托。</w:t>
      </w:r>
    </w:p>
    <w:p>
      <w:pPr>
        <w:snapToGrid w:val="0"/>
        <w:spacing w:line="360" w:lineRule="exact"/>
        <w:rPr>
          <w:rFonts w:ascii="仿宋_GB2312" w:eastAsia="仿宋_GB2312"/>
          <w:szCs w:val="21"/>
        </w:rPr>
      </w:pPr>
    </w:p>
    <w:p>
      <w:pPr>
        <w:snapToGrid w:val="0"/>
        <w:spacing w:line="360" w:lineRule="exact"/>
        <w:rPr>
          <w:rFonts w:ascii="仿宋_GB2312" w:eastAsia="仿宋_GB2312"/>
          <w:szCs w:val="21"/>
          <w:u w:val="single"/>
        </w:rPr>
      </w:pPr>
      <w:r>
        <w:rPr>
          <w:rFonts w:hint="eastAsia" w:ascii="仿宋_GB2312" w:eastAsia="仿宋_GB2312"/>
          <w:szCs w:val="21"/>
        </w:rPr>
        <w:t>被授权人</w:t>
      </w:r>
      <w:r>
        <w:rPr>
          <w:rFonts w:hint="eastAsia" w:ascii="仿宋_GB2312" w:eastAsia="仿宋_GB2312"/>
          <w:b/>
          <w:bCs/>
          <w:szCs w:val="21"/>
        </w:rPr>
        <w:t>（签字）</w:t>
      </w:r>
      <w:r>
        <w:rPr>
          <w:rFonts w:hint="eastAsia" w:ascii="仿宋_GB2312" w:eastAsia="仿宋_GB2312"/>
          <w:szCs w:val="21"/>
        </w:rPr>
        <w:t>：</w:t>
      </w:r>
      <w:r>
        <w:rPr>
          <w:rFonts w:hint="eastAsia" w:ascii="仿宋_GB2312" w:eastAsia="仿宋_GB2312"/>
          <w:szCs w:val="21"/>
          <w:u w:val="single"/>
        </w:rPr>
        <w:t xml:space="preserve">               </w:t>
      </w:r>
      <w:r>
        <w:rPr>
          <w:rFonts w:hint="eastAsia" w:ascii="仿宋_GB2312" w:eastAsia="仿宋_GB2312"/>
          <w:szCs w:val="21"/>
        </w:rPr>
        <w:t xml:space="preserve">   法定代表人</w:t>
      </w:r>
      <w:r>
        <w:rPr>
          <w:rFonts w:hint="eastAsia" w:ascii="仿宋_GB2312" w:eastAsia="仿宋_GB2312"/>
          <w:b/>
          <w:bCs/>
          <w:szCs w:val="21"/>
        </w:rPr>
        <w:t>（</w:t>
      </w:r>
      <w:r>
        <w:rPr>
          <w:rFonts w:hint="eastAsia" w:ascii="仿宋_GB2312" w:eastAsia="仿宋_GB2312"/>
          <w:b/>
          <w:szCs w:val="21"/>
        </w:rPr>
        <w:t>签字</w:t>
      </w:r>
      <w:r>
        <w:rPr>
          <w:rFonts w:hint="eastAsia" w:ascii="仿宋_GB2312" w:eastAsia="仿宋_GB2312"/>
          <w:b/>
          <w:bCs/>
          <w:szCs w:val="21"/>
        </w:rPr>
        <w:t>）</w:t>
      </w:r>
      <w:r>
        <w:rPr>
          <w:rFonts w:hint="eastAsia" w:ascii="仿宋_GB2312" w:eastAsia="仿宋_GB2312"/>
          <w:szCs w:val="21"/>
        </w:rPr>
        <w:t>：</w:t>
      </w:r>
      <w:r>
        <w:rPr>
          <w:rFonts w:hint="eastAsia" w:ascii="仿宋_GB2312" w:eastAsia="仿宋_GB2312"/>
          <w:szCs w:val="21"/>
          <w:u w:val="single"/>
        </w:rPr>
        <w:t xml:space="preserve">                       </w:t>
      </w:r>
    </w:p>
    <w:p>
      <w:pPr>
        <w:snapToGrid w:val="0"/>
        <w:spacing w:line="360" w:lineRule="exact"/>
        <w:rPr>
          <w:rFonts w:ascii="仿宋_GB2312" w:eastAsia="仿宋_GB2312"/>
          <w:szCs w:val="21"/>
        </w:rPr>
      </w:pPr>
      <w:r>
        <w:rPr>
          <w:rFonts w:hint="eastAsia" w:ascii="仿宋_GB2312" w:eastAsia="仿宋_GB2312"/>
          <w:szCs w:val="21"/>
        </w:rPr>
        <w:t>被授权人所在部门：</w:t>
      </w:r>
      <w:r>
        <w:rPr>
          <w:rFonts w:hint="eastAsia" w:ascii="仿宋_GB2312" w:eastAsia="仿宋_GB2312"/>
          <w:szCs w:val="21"/>
          <w:u w:val="single"/>
        </w:rPr>
        <w:t xml:space="preserve">               </w:t>
      </w:r>
      <w:r>
        <w:rPr>
          <w:rFonts w:hint="eastAsia" w:ascii="仿宋_GB2312" w:eastAsia="仿宋_GB2312"/>
          <w:szCs w:val="21"/>
        </w:rPr>
        <w:t xml:space="preserve">           被授权人职务：</w:t>
      </w:r>
      <w:r>
        <w:rPr>
          <w:rFonts w:hint="eastAsia" w:ascii="仿宋_GB2312" w:eastAsia="仿宋_GB2312"/>
          <w:szCs w:val="21"/>
          <w:u w:val="single"/>
        </w:rPr>
        <w:t xml:space="preserve">                             </w:t>
      </w:r>
    </w:p>
    <w:p>
      <w:pPr>
        <w:snapToGrid w:val="0"/>
        <w:spacing w:line="360" w:lineRule="exact"/>
        <w:rPr>
          <w:rFonts w:ascii="仿宋_GB2312" w:eastAsia="仿宋_GB2312"/>
          <w:szCs w:val="21"/>
        </w:rPr>
      </w:pPr>
      <w:r>
        <w:rPr>
          <w:rFonts w:hint="eastAsia" w:ascii="仿宋_GB2312" w:eastAsia="仿宋_GB2312"/>
          <w:szCs w:val="21"/>
        </w:rPr>
        <w:t>被授权人身份证号码：</w:t>
      </w:r>
      <w:r>
        <w:rPr>
          <w:rFonts w:hint="eastAsia" w:ascii="仿宋_GB2312" w:eastAsia="仿宋_GB2312"/>
          <w:szCs w:val="21"/>
          <w:u w:val="single"/>
        </w:rPr>
        <w:t xml:space="preserve">                             </w:t>
      </w:r>
      <w:r>
        <w:rPr>
          <w:rFonts w:hint="eastAsia" w:ascii="仿宋_GB2312" w:eastAsia="仿宋_GB2312"/>
          <w:szCs w:val="21"/>
        </w:rPr>
        <w:t xml:space="preserve"> </w:t>
      </w:r>
    </w:p>
    <w:p>
      <w:pPr>
        <w:snapToGrid w:val="0"/>
        <w:spacing w:line="360" w:lineRule="exact"/>
        <w:jc w:val="center"/>
        <w:rPr>
          <w:rFonts w:ascii="仿宋_GB2312" w:eastAsia="仿宋_GB2312"/>
          <w:szCs w:val="21"/>
        </w:rPr>
      </w:pPr>
      <w:r>
        <w:rPr>
          <w:rFonts w:hint="eastAsia" w:ascii="仿宋_GB2312" w:eastAsia="仿宋_GB2312"/>
          <w:szCs w:val="21"/>
        </w:rPr>
        <w:t xml:space="preserve">                                   投标人</w:t>
      </w:r>
      <w:r>
        <w:rPr>
          <w:rFonts w:hint="eastAsia" w:ascii="仿宋_GB2312" w:eastAsia="仿宋_GB2312"/>
        </w:rPr>
        <w:t>（</w:t>
      </w:r>
      <w:r>
        <w:rPr>
          <w:rFonts w:hint="eastAsia" w:ascii="仿宋_GB2312" w:eastAsia="仿宋_GB2312"/>
          <w:b/>
          <w:bCs/>
        </w:rPr>
        <w:t>CA电子签章</w:t>
      </w:r>
      <w:r>
        <w:rPr>
          <w:rFonts w:hint="eastAsia" w:ascii="仿宋_GB2312" w:eastAsia="仿宋_GB2312"/>
        </w:rPr>
        <w:t>）：</w:t>
      </w:r>
      <w:r>
        <w:rPr>
          <w:rFonts w:hint="eastAsia" w:ascii="仿宋_GB2312" w:eastAsia="仿宋_GB2312"/>
          <w:u w:val="single"/>
        </w:rPr>
        <w:t xml:space="preserve">                </w:t>
      </w:r>
    </w:p>
    <w:p>
      <w:pPr>
        <w:pStyle w:val="26"/>
        <w:spacing w:line="360" w:lineRule="exact"/>
        <w:rPr>
          <w:rFonts w:ascii="仿宋_GB2312" w:hAnsi="Times New Roman" w:eastAsia="仿宋_GB2312"/>
        </w:rPr>
      </w:pPr>
      <w:r>
        <w:rPr>
          <w:rFonts w:hint="eastAsia" w:ascii="仿宋_GB2312" w:hAnsi="Times New Roman" w:eastAsia="仿宋_GB2312"/>
        </w:rPr>
        <w:t xml:space="preserve">                                                            </w:t>
      </w:r>
      <w:r>
        <w:rPr>
          <w:rFonts w:hint="eastAsia" w:ascii="仿宋_GB2312" w:hAnsi="宋体" w:eastAsia="仿宋_GB2312"/>
        </w:rPr>
        <w:t>日期：       年   月   日</w:t>
      </w:r>
    </w:p>
    <w:p>
      <w:pPr>
        <w:pStyle w:val="26"/>
        <w:spacing w:line="360" w:lineRule="exact"/>
        <w:rPr>
          <w:rFonts w:ascii="仿宋_GB2312" w:hAnsi="Times New Roman" w:eastAsia="仿宋_GB2312"/>
        </w:rPr>
      </w:pPr>
      <w:r>
        <mc:AlternateContent>
          <mc:Choice Requires="wps">
            <w:drawing>
              <wp:anchor distT="0" distB="0" distL="114300" distR="114300" simplePos="0" relativeHeight="251664384" behindDoc="0" locked="0" layoutInCell="1" allowOverlap="1">
                <wp:simplePos x="0" y="0"/>
                <wp:positionH relativeFrom="column">
                  <wp:posOffset>-139700</wp:posOffset>
                </wp:positionH>
                <wp:positionV relativeFrom="paragraph">
                  <wp:posOffset>223520</wp:posOffset>
                </wp:positionV>
                <wp:extent cx="3342640" cy="1809115"/>
                <wp:effectExtent l="0" t="0" r="10160" b="20320"/>
                <wp:wrapNone/>
                <wp:docPr id="2" name="矩形 17"/>
                <wp:cNvGraphicFramePr/>
                <a:graphic xmlns:a="http://schemas.openxmlformats.org/drawingml/2006/main">
                  <a:graphicData uri="http://schemas.microsoft.com/office/word/2010/wordprocessingShape">
                    <wps:wsp>
                      <wps:cNvSpPr>
                        <a:spLocks noChangeArrowheads="1"/>
                      </wps:cNvSpPr>
                      <wps:spPr bwMode="auto">
                        <a:xfrm>
                          <a:off x="0" y="0"/>
                          <a:ext cx="3342640" cy="1809043"/>
                        </a:xfrm>
                        <a:prstGeom prst="rect">
                          <a:avLst/>
                        </a:prstGeom>
                        <a:solidFill>
                          <a:srgbClr val="FFFFFF"/>
                        </a:solidFill>
                        <a:ln w="9525">
                          <a:solidFill>
                            <a:srgbClr val="000000"/>
                          </a:solidFill>
                          <a:miter lim="800000"/>
                        </a:ln>
                      </wps:spPr>
                      <wps:txbx>
                        <w:txbxContent>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pPr>
                              <w:jc w:val="center"/>
                              <w:rPr>
                                <w:rFonts w:hint="eastAsia" w:ascii="仿宋_GB2312" w:hAnsi="仿宋_GB2312" w:eastAsia="仿宋_GB2312" w:cs="仿宋_GB2312"/>
                              </w:rPr>
                            </w:pPr>
                            <w:r>
                              <w:rPr>
                                <w:rFonts w:hint="eastAsia" w:ascii="仿宋_GB2312" w:hAnsi="仿宋_GB2312" w:eastAsia="仿宋_GB2312" w:cs="仿宋_GB2312"/>
                                <w:b/>
                              </w:rPr>
                              <w:t>（正面）</w:t>
                            </w:r>
                          </w:p>
                          <w:p/>
                        </w:txbxContent>
                      </wps:txbx>
                      <wps:bodyPr rot="0" vert="horz" wrap="square" lIns="91440" tIns="45720" rIns="91440" bIns="45720" anchor="t" anchorCtr="0" upright="1">
                        <a:noAutofit/>
                      </wps:bodyPr>
                    </wps:wsp>
                  </a:graphicData>
                </a:graphic>
              </wp:anchor>
            </w:drawing>
          </mc:Choice>
          <mc:Fallback>
            <w:pict>
              <v:rect id="矩形 17" o:spid="_x0000_s1026" o:spt="1" style="position:absolute;left:0pt;margin-left:-11pt;margin-top:17.6pt;height:142.45pt;width:263.2pt;z-index:251664384;mso-width-relative:page;mso-height-relative:page;" fillcolor="#FFFFFF" filled="t" stroked="t" coordsize="21600,21600" o:gfxdata="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OxLjNgAAAAKAQAADwAAAAAAAAABACAAAAAiAAAAZHJzL2Rv&#10;d25yZXYueG1sUEsBAhQAFAAAAAgAh07iQByIBmo6AgAAfAQAAA4AAAAAAAAAAQAgAAAAJwEAAGRy&#10;cy9lMm9Eb2MueG1sUEsFBgAAAAAGAAYAWQEAANMFAAAAAA==&#10;">
                <v:fill on="t" focussize="0,0"/>
                <v:stroke color="#000000" miterlimit="8" joinstyle="miter"/>
                <v:imagedata o:title=""/>
                <o:lock v:ext="edit" aspectratio="f"/>
                <v:textbox>
                  <w:txbxContent>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pPr>
                        <w:jc w:val="center"/>
                        <w:rPr>
                          <w:rFonts w:hint="eastAsia" w:ascii="仿宋_GB2312" w:hAnsi="仿宋_GB2312" w:eastAsia="仿宋_GB2312" w:cs="仿宋_GB2312"/>
                        </w:rPr>
                      </w:pPr>
                      <w:r>
                        <w:rPr>
                          <w:rFonts w:hint="eastAsia" w:ascii="仿宋_GB2312" w:hAnsi="仿宋_GB2312" w:eastAsia="仿宋_GB2312" w:cs="仿宋_GB2312"/>
                          <w:b/>
                        </w:rPr>
                        <w:t>（正面）</w:t>
                      </w:r>
                    </w:p>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-462280</wp:posOffset>
                </wp:positionH>
                <wp:positionV relativeFrom="paragraph">
                  <wp:posOffset>99060</wp:posOffset>
                </wp:positionV>
                <wp:extent cx="6346825" cy="635"/>
                <wp:effectExtent l="13970" t="10160" r="11430" b="8255"/>
                <wp:wrapNone/>
                <wp:docPr id="3" name="直线 16"/>
                <wp:cNvGraphicFramePr/>
                <a:graphic xmlns:a="http://schemas.openxmlformats.org/drawingml/2006/main">
                  <a:graphicData uri="http://schemas.microsoft.com/office/word/2010/wordprocessingShape">
                    <wps:wsp>
                      <wps:cNvCnPr>
                        <a:cxnSpLocks noChangeShapeType="1"/>
                      </wps:cNvCnPr>
                      <wps:spPr bwMode="auto">
                        <a:xfrm>
                          <a:off x="0" y="0"/>
                          <a:ext cx="6346825" cy="635"/>
                        </a:xfrm>
                        <a:prstGeom prst="line">
                          <a:avLst/>
                        </a:prstGeom>
                        <a:noFill/>
                        <a:ln w="9525">
                          <a:solidFill>
                            <a:srgbClr val="000000"/>
                          </a:solidFill>
                          <a:round/>
                        </a:ln>
                      </wps:spPr>
                      <wps:bodyPr/>
                    </wps:wsp>
                  </a:graphicData>
                </a:graphic>
              </wp:anchor>
            </w:drawing>
          </mc:Choice>
          <mc:Fallback>
            <w:pict>
              <v:line id="直线 16" o:spid="_x0000_s1026" o:spt="20" style="position:absolute;left:0pt;margin-left:-36.4pt;margin-top:7.8pt;height:0.05pt;width:499.75pt;z-index:251663360;mso-width-relative:page;mso-height-relative:page;" filled="f" stroked="t" coordsize="21600,21600" o:gfxdata="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sYtZctcAAAAJAQAADwAAAAAAAAAB&#10;ACAAAAAiAAAAZHJzL2Rvd25yZXYueG1sUEsBAhQAFAAAAAgAh07iQEbqwVrYAQAApAMAAA4AAAAA&#10;AAAAAQAgAAAAJgEAAGRycy9lMm9Eb2MueG1sUEsFBgAAAAAGAAYAWQEAAHAFAAAAAA==&#10;">
                <v:fill on="f" focussize="0,0"/>
                <v:stroke color="#000000" joinstyle="round"/>
                <v:imagedata o:title=""/>
                <o:lock v:ext="edit" aspectratio="f"/>
              </v:line>
            </w:pict>
          </mc:Fallback>
        </mc:AlternateContent>
      </w:r>
      <w:r>
        <w:rPr>
          <w:rFonts w:hint="eastAsia" w:ascii="仿宋_GB2312" w:hAnsi="Times New Roman" w:eastAsia="仿宋_GB2312"/>
        </w:rPr>
        <w:t xml:space="preserve">                                                                                                                                                                                        </w:t>
      </w:r>
    </w:p>
    <w:p>
      <w:pPr>
        <w:pStyle w:val="26"/>
        <w:spacing w:line="480" w:lineRule="exact"/>
        <w:rPr>
          <w:rFonts w:ascii="仿宋_GB2312" w:hAnsi="Times New Roman" w:eastAsia="仿宋_GB2312"/>
        </w:rPr>
      </w:pPr>
    </w:p>
    <w:p>
      <w:pPr>
        <w:pStyle w:val="26"/>
        <w:spacing w:line="480" w:lineRule="exact"/>
        <w:rPr>
          <w:rFonts w:ascii="仿宋_GB2312" w:hAnsi="Times New Roman" w:eastAsia="仿宋_GB2312"/>
        </w:rPr>
      </w:pPr>
    </w:p>
    <w:p>
      <w:pPr>
        <w:pStyle w:val="26"/>
        <w:spacing w:line="480" w:lineRule="exact"/>
        <w:rPr>
          <w:rFonts w:ascii="仿宋_GB2312" w:hAnsi="Times New Roman" w:eastAsia="仿宋_GB2312"/>
        </w:rPr>
      </w:pPr>
    </w:p>
    <w:p>
      <w:pPr>
        <w:pStyle w:val="26"/>
        <w:spacing w:line="480" w:lineRule="exact"/>
        <w:rPr>
          <w:rFonts w:ascii="仿宋_GB2312" w:hAnsi="Times New Roman" w:eastAsia="仿宋_GB2312"/>
        </w:rPr>
      </w:pPr>
    </w:p>
    <w:p>
      <w:pPr>
        <w:pStyle w:val="26"/>
        <w:spacing w:line="480" w:lineRule="exact"/>
        <w:rPr>
          <w:rFonts w:ascii="仿宋_GB2312" w:hAnsi="Times New Roman" w:eastAsia="仿宋_GB2312"/>
        </w:rPr>
      </w:pPr>
    </w:p>
    <w:p>
      <w:pPr>
        <w:pStyle w:val="26"/>
        <w:spacing w:line="240" w:lineRule="atLeast"/>
        <w:ind w:firstLine="5460" w:firstLineChars="2600"/>
        <w:rPr>
          <w:rFonts w:ascii="仿宋_GB2312" w:hAnsi="Times New Roman" w:eastAsia="仿宋_GB2312"/>
          <w:u w:val="single"/>
        </w:rPr>
      </w:pPr>
    </w:p>
    <w:p>
      <w:pPr>
        <w:pStyle w:val="26"/>
        <w:spacing w:line="240" w:lineRule="atLeast"/>
        <w:ind w:firstLine="5460" w:firstLineChars="2600"/>
        <w:rPr>
          <w:rFonts w:ascii="仿宋_GB2312" w:hAnsi="Times New Roman" w:eastAsia="仿宋_GB2312"/>
          <w:u w:val="single"/>
        </w:rPr>
      </w:pPr>
    </w:p>
    <w:p>
      <w:pPr>
        <w:pStyle w:val="26"/>
        <w:spacing w:line="240" w:lineRule="atLeast"/>
        <w:rPr>
          <w:rFonts w:ascii="仿宋_GB2312" w:hAnsi="Times New Roman" w:eastAsia="仿宋_GB2312"/>
        </w:rPr>
      </w:pPr>
      <w:r>
        <mc:AlternateContent>
          <mc:Choice Requires="wps">
            <w:drawing>
              <wp:anchor distT="0" distB="0" distL="114300" distR="114300" simplePos="0" relativeHeight="251665408" behindDoc="0" locked="0" layoutInCell="1" allowOverlap="1">
                <wp:simplePos x="0" y="0"/>
                <wp:positionH relativeFrom="column">
                  <wp:posOffset>-138430</wp:posOffset>
                </wp:positionH>
                <wp:positionV relativeFrom="paragraph">
                  <wp:posOffset>113665</wp:posOffset>
                </wp:positionV>
                <wp:extent cx="3342640" cy="1927225"/>
                <wp:effectExtent l="0" t="0" r="10160" b="16510"/>
                <wp:wrapNone/>
                <wp:docPr id="1" name="矩形 18"/>
                <wp:cNvGraphicFramePr/>
                <a:graphic xmlns:a="http://schemas.openxmlformats.org/drawingml/2006/main">
                  <a:graphicData uri="http://schemas.microsoft.com/office/word/2010/wordprocessingShape">
                    <wps:wsp>
                      <wps:cNvSpPr>
                        <a:spLocks noChangeArrowheads="1"/>
                      </wps:cNvSpPr>
                      <wps:spPr bwMode="auto">
                        <a:xfrm>
                          <a:off x="0" y="0"/>
                          <a:ext cx="3342640" cy="1927185"/>
                        </a:xfrm>
                        <a:prstGeom prst="rect">
                          <a:avLst/>
                        </a:prstGeom>
                        <a:solidFill>
                          <a:srgbClr val="FFFFFF"/>
                        </a:solidFill>
                        <a:ln w="9525">
                          <a:solidFill>
                            <a:srgbClr val="000000"/>
                          </a:solidFill>
                          <a:miter lim="800000"/>
                        </a:ln>
                      </wps:spPr>
                      <wps:txbx>
                        <w:txbxContent>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pPr>
                              <w:jc w:val="center"/>
                              <w:rPr>
                                <w:rFonts w:hint="eastAsia" w:ascii="仿宋_GB2312" w:hAnsi="仿宋_GB2312" w:eastAsia="仿宋_GB2312" w:cs="仿宋_GB2312"/>
                              </w:rPr>
                            </w:pPr>
                            <w:r>
                              <w:rPr>
                                <w:rFonts w:hint="eastAsia" w:ascii="仿宋_GB2312" w:hAnsi="仿宋_GB2312" w:eastAsia="仿宋_GB2312" w:cs="仿宋_GB2312"/>
                                <w:b/>
                              </w:rPr>
                              <w:t>（背面）</w:t>
                            </w:r>
                          </w:p>
                          <w:p/>
                        </w:txbxContent>
                      </wps:txbx>
                      <wps:bodyPr rot="0" vert="horz" wrap="square" lIns="91440" tIns="45720" rIns="91440" bIns="45720" anchor="t" anchorCtr="0" upright="1">
                        <a:noAutofit/>
                      </wps:bodyPr>
                    </wps:wsp>
                  </a:graphicData>
                </a:graphic>
              </wp:anchor>
            </w:drawing>
          </mc:Choice>
          <mc:Fallback>
            <w:pict>
              <v:rect id="矩形 18" o:spid="_x0000_s1026" o:spt="1" style="position:absolute;left:0pt;margin-left:-10.9pt;margin-top:8.95pt;height:151.75pt;width:263.2pt;z-index:251665408;mso-width-relative:page;mso-height-relative:page;" fillcolor="#FFFFFF" filled="t" stroked="t" coordsize="21600,21600" o:gfxdata="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SXEk9gAAAAKAQAADwAAAAAAAAABACAAAAAiAAAAZHJzL2Rv&#10;d25yZXYueG1sUEsBAhQAFAAAAAgAh07iQAP2fjM6AgAAfAQAAA4AAAAAAAAAAQAgAAAAJwEAAGRy&#10;cy9lMm9Eb2MueG1sUEsFBgAAAAAGAAYAWQEAANMFAAAAAA==&#10;">
                <v:fill on="t" focussize="0,0"/>
                <v:stroke color="#000000" miterlimit="8" joinstyle="miter"/>
                <v:imagedata o:title=""/>
                <o:lock v:ext="edit" aspectratio="f"/>
                <v:textbox>
                  <w:txbxContent>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pPr>
                        <w:jc w:val="center"/>
                        <w:rPr>
                          <w:rFonts w:hint="eastAsia" w:ascii="仿宋_GB2312" w:hAnsi="仿宋_GB2312" w:eastAsia="仿宋_GB2312" w:cs="仿宋_GB2312"/>
                        </w:rPr>
                      </w:pPr>
                      <w:r>
                        <w:rPr>
                          <w:rFonts w:hint="eastAsia" w:ascii="仿宋_GB2312" w:hAnsi="仿宋_GB2312" w:eastAsia="仿宋_GB2312" w:cs="仿宋_GB2312"/>
                          <w:b/>
                        </w:rPr>
                        <w:t>（背面）</w:t>
                      </w:r>
                    </w:p>
                    <w:p/>
                  </w:txbxContent>
                </v:textbox>
              </v:rect>
            </w:pict>
          </mc:Fallback>
        </mc:AlternateContent>
      </w:r>
    </w:p>
    <w:p>
      <w:pPr>
        <w:pStyle w:val="26"/>
        <w:spacing w:line="240" w:lineRule="exact"/>
        <w:rPr>
          <w:rFonts w:ascii="仿宋_GB2312" w:hAnsi="Times New Roman" w:eastAsia="仿宋_GB2312"/>
        </w:rPr>
      </w:pPr>
    </w:p>
    <w:p>
      <w:pPr>
        <w:pStyle w:val="26"/>
        <w:spacing w:line="240" w:lineRule="exact"/>
        <w:rPr>
          <w:rFonts w:ascii="仿宋_GB2312" w:hAnsi="Times New Roman" w:eastAsia="仿宋_GB2312"/>
          <w:sz w:val="44"/>
        </w:rPr>
      </w:pPr>
    </w:p>
    <w:p>
      <w:pPr>
        <w:pStyle w:val="26"/>
        <w:spacing w:line="240" w:lineRule="exact"/>
        <w:rPr>
          <w:rFonts w:ascii="仿宋_GB2312" w:hAnsi="Times New Roman" w:eastAsia="仿宋_GB2312"/>
          <w:sz w:val="44"/>
        </w:rPr>
      </w:pPr>
    </w:p>
    <w:p>
      <w:pPr>
        <w:pStyle w:val="26"/>
        <w:spacing w:line="240" w:lineRule="exact"/>
        <w:rPr>
          <w:rFonts w:ascii="仿宋_GB2312" w:hAnsi="Times New Roman" w:eastAsia="仿宋_GB2312"/>
          <w:sz w:val="44"/>
        </w:rPr>
      </w:pPr>
    </w:p>
    <w:p>
      <w:pPr>
        <w:pStyle w:val="26"/>
        <w:spacing w:line="240" w:lineRule="exact"/>
        <w:rPr>
          <w:rFonts w:ascii="仿宋_GB2312" w:hAnsi="Times New Roman" w:eastAsia="仿宋_GB2312"/>
          <w:sz w:val="44"/>
        </w:rPr>
      </w:pPr>
    </w:p>
    <w:p>
      <w:pPr>
        <w:pStyle w:val="26"/>
        <w:spacing w:line="240" w:lineRule="exact"/>
        <w:rPr>
          <w:rFonts w:ascii="仿宋_GB2312" w:hAnsi="Times New Roman" w:eastAsia="仿宋_GB2312"/>
          <w:sz w:val="44"/>
        </w:rPr>
      </w:pPr>
    </w:p>
    <w:p>
      <w:pPr>
        <w:pStyle w:val="26"/>
        <w:spacing w:line="240" w:lineRule="exact"/>
        <w:rPr>
          <w:rFonts w:ascii="仿宋_GB2312" w:hAnsi="Times New Roman" w:eastAsia="仿宋_GB2312"/>
          <w:sz w:val="44"/>
        </w:rPr>
      </w:pPr>
    </w:p>
    <w:p>
      <w:pPr>
        <w:pStyle w:val="26"/>
        <w:spacing w:line="240" w:lineRule="exact"/>
        <w:rPr>
          <w:rFonts w:ascii="仿宋_GB2312" w:hAnsi="Times New Roman" w:eastAsia="仿宋_GB2312"/>
          <w:sz w:val="44"/>
        </w:rPr>
      </w:pPr>
    </w:p>
    <w:p>
      <w:pPr>
        <w:pStyle w:val="26"/>
        <w:spacing w:line="240" w:lineRule="exact"/>
        <w:rPr>
          <w:rFonts w:ascii="仿宋_GB2312" w:hAnsi="Times New Roman" w:eastAsia="仿宋_GB2312"/>
          <w:sz w:val="44"/>
        </w:rPr>
      </w:pPr>
    </w:p>
    <w:p>
      <w:pPr>
        <w:pStyle w:val="26"/>
        <w:spacing w:line="240" w:lineRule="exact"/>
        <w:rPr>
          <w:rFonts w:ascii="仿宋_GB2312" w:hAnsi="Times New Roman" w:eastAsia="仿宋_GB2312"/>
          <w:sz w:val="44"/>
        </w:rPr>
      </w:pPr>
    </w:p>
    <w:p>
      <w:pPr>
        <w:snapToGrid w:val="0"/>
        <w:spacing w:before="120" w:beforeLines="50" w:after="50"/>
        <w:ind w:firstLine="420" w:firstLineChars="200"/>
        <w:outlineLvl w:val="1"/>
        <w:rPr>
          <w:rFonts w:ascii="仿宋_GB2312" w:eastAsia="仿宋_GB2312"/>
        </w:rPr>
      </w:pPr>
      <w:r>
        <w:rPr>
          <w:rFonts w:hint="eastAsia" w:ascii="仿宋_GB2312" w:eastAsia="仿宋_GB2312"/>
        </w:rPr>
        <w:t xml:space="preserve">                                             </w:t>
      </w:r>
    </w:p>
    <w:p>
      <w:pPr>
        <w:snapToGrid w:val="0"/>
        <w:spacing w:before="120" w:beforeLines="50" w:after="50"/>
        <w:ind w:firstLine="420" w:firstLineChars="200"/>
        <w:outlineLvl w:val="1"/>
        <w:rPr>
          <w:rFonts w:ascii="仿宋_GB2312" w:eastAsia="仿宋_GB2312"/>
        </w:rPr>
      </w:pPr>
    </w:p>
    <w:p>
      <w:pPr>
        <w:snapToGrid w:val="0"/>
        <w:spacing w:before="120" w:beforeLines="50" w:after="50"/>
        <w:ind w:firstLine="482" w:firstLineChars="200"/>
        <w:outlineLvl w:val="1"/>
        <w:rPr>
          <w:rFonts w:ascii="仿宋_GB2312" w:eastAsia="仿宋_GB2312"/>
        </w:rPr>
        <w:sectPr>
          <w:pgSz w:w="11906" w:h="16838"/>
          <w:pgMar w:top="1440" w:right="1440" w:bottom="1440" w:left="1440" w:header="851" w:footer="992" w:gutter="0"/>
          <w:cols w:space="720" w:num="1"/>
          <w:docGrid w:linePitch="312" w:charSpace="0"/>
        </w:sectPr>
      </w:pPr>
      <w:r>
        <w:rPr>
          <w:rFonts w:hint="eastAsia" w:ascii="仿宋_GB2312" w:eastAsia="仿宋_GB2312"/>
          <w:b/>
          <w:sz w:val="24"/>
        </w:rPr>
        <w:t>注：此项材料必须</w:t>
      </w:r>
      <w:r>
        <w:rPr>
          <w:rFonts w:hint="eastAsia" w:ascii="仿宋_GB2312" w:hAnsi="宋体" w:eastAsia="仿宋_GB2312"/>
          <w:b/>
          <w:bCs/>
          <w:sz w:val="24"/>
        </w:rPr>
        <w:t>以PDF格式上传</w:t>
      </w:r>
      <w:bookmarkEnd w:id="92"/>
      <w:r>
        <w:rPr>
          <w:rFonts w:hint="eastAsia" w:ascii="仿宋_GB2312" w:hAnsi="宋体" w:eastAsia="仿宋_GB2312"/>
          <w:b/>
          <w:bCs/>
          <w:sz w:val="24"/>
        </w:rPr>
        <w:t>。</w:t>
      </w:r>
    </w:p>
    <w:p>
      <w:pPr>
        <w:snapToGrid w:val="0"/>
        <w:spacing w:line="400" w:lineRule="exact"/>
        <w:jc w:val="left"/>
        <w:rPr>
          <w:rFonts w:ascii="仿宋_GB2312" w:hAnsi="Calibri" w:eastAsia="仿宋_GB2312"/>
          <w:b/>
          <w:bCs/>
          <w:sz w:val="24"/>
        </w:rPr>
      </w:pPr>
      <w:r>
        <w:rPr>
          <w:rFonts w:hint="eastAsia" w:ascii="仿宋_GB2312" w:eastAsia="仿宋_GB2312"/>
          <w:b/>
          <w:bCs/>
          <w:szCs w:val="21"/>
        </w:rPr>
        <w:t>（3）</w:t>
      </w:r>
      <w:r>
        <w:rPr>
          <w:rFonts w:hint="eastAsia" w:ascii="仿宋_GB2312" w:hAnsi="Calibri" w:eastAsia="仿宋_GB2312"/>
          <w:b/>
          <w:bCs/>
          <w:sz w:val="24"/>
        </w:rPr>
        <w:t>投标人资格声明函</w:t>
      </w:r>
      <w:r>
        <w:rPr>
          <w:rFonts w:hint="eastAsia" w:ascii="仿宋_GB2312" w:eastAsia="仿宋_GB2312"/>
          <w:b/>
          <w:bCs/>
          <w:sz w:val="24"/>
        </w:rPr>
        <w:t>格式</w:t>
      </w:r>
      <w:r>
        <w:rPr>
          <w:rFonts w:hint="eastAsia" w:ascii="仿宋_GB2312" w:hAnsi="Calibri" w:eastAsia="仿宋_GB2312"/>
          <w:b/>
          <w:bCs/>
          <w:sz w:val="24"/>
        </w:rPr>
        <w:t>（必须提供）：</w:t>
      </w:r>
    </w:p>
    <w:p>
      <w:pPr>
        <w:snapToGrid w:val="0"/>
        <w:spacing w:before="50" w:after="120" w:afterLines="50" w:line="400" w:lineRule="exact"/>
        <w:jc w:val="center"/>
        <w:rPr>
          <w:rFonts w:ascii="仿宋_GB2312" w:eastAsia="仿宋_GB2312"/>
          <w:b/>
          <w:bCs/>
          <w:sz w:val="32"/>
          <w:szCs w:val="32"/>
        </w:rPr>
      </w:pPr>
    </w:p>
    <w:p>
      <w:pPr>
        <w:autoSpaceDE w:val="0"/>
        <w:autoSpaceDN w:val="0"/>
        <w:adjustRightInd w:val="0"/>
        <w:spacing w:line="400" w:lineRule="exact"/>
        <w:ind w:firstLine="640"/>
        <w:jc w:val="center"/>
        <w:rPr>
          <w:rFonts w:ascii="仿宋_GB2312" w:eastAsia="仿宋_GB2312"/>
          <w:b/>
          <w:bCs/>
          <w:sz w:val="32"/>
          <w:szCs w:val="32"/>
        </w:rPr>
      </w:pPr>
      <w:r>
        <w:rPr>
          <w:rFonts w:hint="eastAsia" w:ascii="仿宋_GB2312" w:eastAsia="仿宋_GB2312"/>
          <w:b/>
          <w:bCs/>
          <w:sz w:val="32"/>
          <w:szCs w:val="32"/>
        </w:rPr>
        <w:t>投标人资格声明函</w:t>
      </w:r>
    </w:p>
    <w:p>
      <w:pPr>
        <w:autoSpaceDE w:val="0"/>
        <w:autoSpaceDN w:val="0"/>
        <w:adjustRightInd w:val="0"/>
        <w:spacing w:line="400" w:lineRule="exact"/>
        <w:rPr>
          <w:rFonts w:ascii="仿宋_GB2312" w:eastAsia="仿宋_GB2312"/>
          <w:spacing w:val="6"/>
          <w:sz w:val="24"/>
        </w:rPr>
      </w:pPr>
      <w:r>
        <w:rPr>
          <w:rFonts w:hint="eastAsia" w:ascii="仿宋_GB2312" w:eastAsia="仿宋_GB2312"/>
          <w:spacing w:val="6"/>
          <w:sz w:val="24"/>
        </w:rPr>
        <w:t>致：</w:t>
      </w:r>
      <w:r>
        <w:rPr>
          <w:rFonts w:ascii="仿宋_GB2312" w:eastAsia="仿宋_GB2312"/>
          <w:spacing w:val="6"/>
          <w:sz w:val="24"/>
          <w:u w:val="single"/>
        </w:rPr>
        <w:t>柳州城市职业学院</w:t>
      </w:r>
      <w:r>
        <w:rPr>
          <w:rFonts w:hint="eastAsia" w:ascii="仿宋_GB2312" w:eastAsia="仿宋_GB2312"/>
          <w:spacing w:val="6"/>
          <w:sz w:val="24"/>
          <w:u w:val="single"/>
        </w:rPr>
        <w:t>、柳州市政府集中采购中心</w:t>
      </w:r>
      <w:r>
        <w:rPr>
          <w:rFonts w:hint="eastAsia" w:ascii="仿宋_GB2312" w:eastAsia="仿宋_GB2312"/>
          <w:spacing w:val="6"/>
          <w:sz w:val="24"/>
        </w:rPr>
        <w:t>：</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我方自愿参加</w:t>
      </w:r>
      <w:r>
        <w:rPr>
          <w:rFonts w:hint="eastAsia" w:ascii="仿宋_GB2312" w:eastAsia="仿宋_GB2312"/>
          <w:spacing w:val="6"/>
          <w:sz w:val="24"/>
          <w:u w:val="single"/>
        </w:rPr>
        <w:t xml:space="preserve">                       </w:t>
      </w:r>
      <w:r>
        <w:rPr>
          <w:rFonts w:hint="eastAsia" w:ascii="仿宋_GB2312" w:eastAsia="仿宋_GB2312"/>
          <w:spacing w:val="6"/>
          <w:sz w:val="24"/>
        </w:rPr>
        <w:t>项目（项目编号：</w:t>
      </w:r>
      <w:r>
        <w:rPr>
          <w:rFonts w:hint="eastAsia" w:ascii="仿宋_GB2312" w:eastAsia="仿宋_GB2312"/>
          <w:spacing w:val="6"/>
          <w:sz w:val="24"/>
          <w:u w:val="single"/>
        </w:rPr>
        <w:t xml:space="preserve">           </w:t>
      </w:r>
      <w:r>
        <w:rPr>
          <w:rFonts w:hint="eastAsia" w:ascii="仿宋_GB2312" w:eastAsia="仿宋_GB2312"/>
          <w:spacing w:val="6"/>
          <w:sz w:val="24"/>
        </w:rPr>
        <w:t xml:space="preserve">）的政府采购活动，并郑重承诺我方符合《中华人民共和国政府采购法》第二十二条规定的条件： </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（一）具有独立承担民事责任的能力； </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（二）具有良好的商业信誉和健全的财务会计制度； </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（三）具有履行合同所必需的设备和专业技术能力； </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（四）有依法缴纳税收和社会保障资金的良好记录； </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（五）参加政府采购活动前三年内，在经营活动中没有重大违法记录； </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（六）若以分公司名义参与政府采购活动的，已获得总公司针对本项目的授权；</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（七）法律、行政法规规定的其他条件。 </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我方保证上述承诺事项的真实性，如有弄虚作假或其他违法违规行为，愿意承担一切法律责任，并承担因此所造成的一切损失。 </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b/>
          <w:bCs/>
          <w:spacing w:val="6"/>
          <w:sz w:val="24"/>
        </w:rPr>
        <w:t>特此声明！</w:t>
      </w:r>
      <w:r>
        <w:rPr>
          <w:rFonts w:hint="eastAsia" w:ascii="仿宋_GB2312" w:eastAsia="仿宋_GB2312"/>
          <w:spacing w:val="6"/>
          <w:sz w:val="24"/>
        </w:rPr>
        <w:t xml:space="preserve"> </w:t>
      </w:r>
    </w:p>
    <w:p>
      <w:pPr>
        <w:pStyle w:val="47"/>
        <w:spacing w:line="400" w:lineRule="exact"/>
        <w:ind w:firstLine="504"/>
        <w:rPr>
          <w:rFonts w:ascii="仿宋_GB2312" w:eastAsia="仿宋_GB2312"/>
          <w:spacing w:val="6"/>
          <w:sz w:val="24"/>
        </w:rPr>
      </w:pPr>
    </w:p>
    <w:p>
      <w:pPr>
        <w:spacing w:line="400" w:lineRule="exact"/>
        <w:rPr>
          <w:sz w:val="24"/>
        </w:rPr>
      </w:pPr>
    </w:p>
    <w:p>
      <w:pPr>
        <w:spacing w:line="400" w:lineRule="exact"/>
        <w:jc w:val="center"/>
        <w:rPr>
          <w:rFonts w:ascii="仿宋_GB2312" w:eastAsia="仿宋_GB2312"/>
          <w:sz w:val="24"/>
          <w:u w:val="single"/>
        </w:rPr>
      </w:pPr>
      <w:r>
        <w:rPr>
          <w:rFonts w:hint="eastAsia" w:ascii="仿宋_GB2312" w:eastAsia="仿宋_GB2312"/>
          <w:sz w:val="24"/>
        </w:rPr>
        <w:t xml:space="preserve">                        法定代表人或委托代理人</w:t>
      </w:r>
      <w:r>
        <w:rPr>
          <w:rFonts w:hint="eastAsia" w:ascii="仿宋_GB2312" w:eastAsia="仿宋_GB2312"/>
          <w:b/>
          <w:bCs/>
          <w:sz w:val="24"/>
        </w:rPr>
        <w:t>（签字）：</w:t>
      </w:r>
      <w:r>
        <w:rPr>
          <w:rFonts w:hint="eastAsia" w:ascii="仿宋_GB2312" w:eastAsia="仿宋_GB2312"/>
          <w:sz w:val="24"/>
          <w:u w:val="single"/>
        </w:rPr>
        <w:t xml:space="preserve">         </w:t>
      </w:r>
    </w:p>
    <w:p>
      <w:pPr>
        <w:spacing w:line="400" w:lineRule="exact"/>
        <w:jc w:val="center"/>
        <w:rPr>
          <w:rFonts w:ascii="仿宋_GB2312" w:eastAsia="仿宋_GB2312"/>
          <w:sz w:val="24"/>
          <w:u w:val="single"/>
        </w:rPr>
      </w:pPr>
    </w:p>
    <w:p>
      <w:pPr>
        <w:pStyle w:val="26"/>
        <w:spacing w:line="400" w:lineRule="exact"/>
        <w:ind w:firstLine="5160" w:firstLineChars="2150"/>
        <w:rPr>
          <w:rFonts w:ascii="仿宋_GB2312" w:eastAsia="仿宋_GB2312"/>
          <w:sz w:val="24"/>
          <w:szCs w:val="24"/>
        </w:rPr>
      </w:pPr>
      <w:r>
        <w:rPr>
          <w:rFonts w:hint="eastAsia" w:ascii="仿宋_GB2312" w:eastAsia="仿宋_GB2312"/>
          <w:sz w:val="24"/>
          <w:szCs w:val="24"/>
        </w:rPr>
        <w:t>投标人</w:t>
      </w:r>
      <w:r>
        <w:rPr>
          <w:rFonts w:hint="eastAsia" w:ascii="仿宋_GB2312" w:eastAsia="仿宋_GB2312"/>
          <w:b/>
          <w:bCs/>
          <w:sz w:val="24"/>
          <w:szCs w:val="24"/>
        </w:rPr>
        <w:t>（CA电子签章）</w:t>
      </w:r>
      <w:r>
        <w:rPr>
          <w:rFonts w:hint="eastAsia" w:ascii="仿宋_GB2312" w:eastAsia="仿宋_GB2312"/>
          <w:sz w:val="24"/>
          <w:szCs w:val="24"/>
        </w:rPr>
        <w:t>：</w:t>
      </w:r>
      <w:r>
        <w:rPr>
          <w:rFonts w:hint="eastAsia" w:ascii="仿宋_GB2312" w:eastAsia="仿宋_GB2312"/>
          <w:sz w:val="24"/>
          <w:szCs w:val="24"/>
          <w:u w:val="single"/>
        </w:rPr>
        <w:t xml:space="preserve">                               </w:t>
      </w:r>
    </w:p>
    <w:p>
      <w:pPr>
        <w:pStyle w:val="26"/>
        <w:spacing w:line="400" w:lineRule="exact"/>
        <w:rPr>
          <w:rFonts w:hint="eastAsia" w:ascii="仿宋_GB2312" w:hAnsi="宋体" w:eastAsia="仿宋_GB2312"/>
          <w:sz w:val="24"/>
          <w:szCs w:val="24"/>
        </w:rPr>
      </w:pPr>
    </w:p>
    <w:p>
      <w:pPr>
        <w:pStyle w:val="26"/>
        <w:spacing w:line="400" w:lineRule="exact"/>
        <w:jc w:val="right"/>
        <w:rPr>
          <w:rFonts w:hint="eastAsia" w:ascii="仿宋_GB2312" w:hAnsi="宋体" w:eastAsia="仿宋_GB2312"/>
          <w:sz w:val="24"/>
          <w:szCs w:val="24"/>
        </w:rPr>
      </w:pPr>
      <w:r>
        <w:rPr>
          <w:rFonts w:hint="eastAsia" w:ascii="仿宋_GB2312" w:hAnsi="宋体" w:eastAsia="仿宋_GB2312"/>
          <w:sz w:val="24"/>
          <w:szCs w:val="24"/>
        </w:rPr>
        <w:t>日期：       年   月   日</w:t>
      </w:r>
    </w:p>
    <w:p>
      <w:pPr>
        <w:pStyle w:val="26"/>
        <w:spacing w:line="400" w:lineRule="exact"/>
        <w:ind w:firstLine="482" w:firstLineChars="200"/>
        <w:rPr>
          <w:rFonts w:hint="eastAsia" w:ascii="仿宋_GB2312" w:hAnsi="宋体" w:eastAsia="仿宋_GB2312"/>
          <w:b/>
          <w:bCs/>
          <w:sz w:val="24"/>
          <w:szCs w:val="24"/>
        </w:rPr>
      </w:pPr>
      <w:r>
        <w:rPr>
          <w:rFonts w:hint="eastAsia" w:ascii="仿宋_GB2312" w:eastAsia="仿宋_GB2312"/>
          <w:b/>
          <w:sz w:val="24"/>
          <w:szCs w:val="24"/>
        </w:rPr>
        <w:t>注：此项材料必须</w:t>
      </w:r>
      <w:r>
        <w:rPr>
          <w:rFonts w:hint="eastAsia" w:ascii="仿宋_GB2312" w:hAnsi="宋体" w:eastAsia="仿宋_GB2312"/>
          <w:b/>
          <w:bCs/>
          <w:sz w:val="24"/>
          <w:szCs w:val="24"/>
        </w:rPr>
        <w:t>以PDF格式上传。</w:t>
      </w:r>
    </w:p>
    <w:p>
      <w:pPr>
        <w:pStyle w:val="8"/>
        <w:overflowPunct w:val="0"/>
        <w:ind w:left="0" w:firstLine="0"/>
        <w:rPr>
          <w:rFonts w:ascii="仿宋_GB2312" w:hAnsi="Courier New" w:eastAsia="仿宋_GB2312" w:cs="Courier New"/>
          <w:bCs/>
          <w:color w:val="000000" w:themeColor="text1"/>
          <w:sz w:val="24"/>
          <w:szCs w:val="24"/>
          <w14:textFill>
            <w14:solidFill>
              <w14:schemeClr w14:val="tx1"/>
            </w14:solidFill>
          </w14:textFill>
        </w:rPr>
        <w:sectPr>
          <w:pgSz w:w="11906" w:h="16838"/>
          <w:pgMar w:top="1440" w:right="707" w:bottom="1440" w:left="1440" w:header="851" w:footer="992" w:gutter="0"/>
          <w:cols w:space="720" w:num="1"/>
          <w:docGrid w:linePitch="312" w:charSpace="0"/>
        </w:sectPr>
      </w:pPr>
    </w:p>
    <w:p>
      <w:pPr>
        <w:pStyle w:val="343"/>
        <w:spacing w:before="0" w:beforeAutospacing="0" w:after="0" w:afterAutospacing="0" w:line="460" w:lineRule="atLeast"/>
        <w:rPr>
          <w:rFonts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pPr>
        <w:snapToGrid w:val="0"/>
        <w:spacing w:line="400" w:lineRule="exact"/>
        <w:jc w:val="left"/>
        <w:rPr>
          <w:rFonts w:ascii="仿宋_GB2312" w:eastAsia="仿宋_GB2312"/>
          <w:bCs/>
          <w:color w:val="000000" w:themeColor="text1"/>
          <w:sz w:val="24"/>
          <w14:textFill>
            <w14:solidFill>
              <w14:schemeClr w14:val="tx1"/>
            </w14:solidFill>
          </w14:textFill>
        </w:rPr>
      </w:pPr>
    </w:p>
    <w:p>
      <w:pPr>
        <w:snapToGrid w:val="0"/>
        <w:spacing w:line="400" w:lineRule="exact"/>
        <w:jc w:val="left"/>
        <w:rPr>
          <w:rFonts w:ascii="仿宋_GB2312" w:eastAsia="仿宋_GB2312"/>
          <w:bCs/>
          <w:color w:val="000000" w:themeColor="text1"/>
          <w:sz w:val="24"/>
          <w14:textFill>
            <w14:solidFill>
              <w14:schemeClr w14:val="tx1"/>
            </w14:solidFill>
          </w14:textFill>
        </w:rPr>
      </w:pPr>
    </w:p>
    <w:p>
      <w:pPr>
        <w:snapToGrid w:val="0"/>
        <w:spacing w:before="120" w:beforeLines="50" w:after="50" w:line="400" w:lineRule="exact"/>
        <w:outlineLvl w:val="1"/>
        <w:rPr>
          <w:rFonts w:ascii="仿宋_GB2312" w:eastAsia="仿宋_GB2312"/>
          <w:b/>
          <w:bCs/>
          <w:color w:val="000000" w:themeColor="text1"/>
          <w:szCs w:val="21"/>
          <w14:textFill>
            <w14:solidFill>
              <w14:schemeClr w14:val="tx1"/>
            </w14:solidFill>
          </w14:textFill>
        </w:rPr>
      </w:pPr>
    </w:p>
    <w:p>
      <w:pPr>
        <w:ind w:firstLine="643" w:firstLineChars="200"/>
        <w:jc w:val="left"/>
        <w:rPr>
          <w:rFonts w:ascii="仿宋_GB2312" w:eastAsia="仿宋_GB2312"/>
          <w:b/>
          <w:bCs/>
          <w:sz w:val="32"/>
          <w:szCs w:val="32"/>
        </w:rPr>
      </w:pPr>
      <w:bookmarkStart w:id="93" w:name="_Hlk56503802"/>
      <w:r>
        <w:rPr>
          <w:rFonts w:hint="eastAsia" w:ascii="仿宋_GB2312" w:eastAsia="仿宋_GB2312"/>
          <w:b/>
          <w:bCs/>
          <w:sz w:val="32"/>
          <w:szCs w:val="32"/>
        </w:rPr>
        <w:t>注：第（4）项必须提供且为PDF格式，并加盖投标人CA电子签章。</w:t>
      </w:r>
    </w:p>
    <w:p>
      <w:pPr>
        <w:pStyle w:val="363"/>
        <w:rPr>
          <w:rFonts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（5）中小企业证明材料，投标人必须提供以下材料之一：</w:t>
      </w:r>
    </w:p>
    <w:p>
      <w:pPr>
        <w:pStyle w:val="363"/>
        <w:spacing w:line="405" w:lineRule="atLeast"/>
        <w:rPr>
          <w:rFonts w:hint="eastAsia" w:ascii="仿宋_GB2312" w:eastAsia="仿宋_GB2312"/>
          <w:color w:val="000000"/>
        </w:rPr>
      </w:pPr>
      <w:r>
        <w:rPr>
          <w:rFonts w:hint="eastAsia" w:ascii="仿宋_GB2312" w:eastAsia="仿宋_GB2312"/>
          <w:color w:val="000000"/>
        </w:rPr>
        <w:t>①</w:t>
      </w:r>
      <w:r>
        <w:rPr>
          <w:rFonts w:hint="eastAsia" w:ascii="仿宋_GB2312" w:eastAsia="仿宋_GB2312"/>
          <w:b/>
          <w:bCs/>
          <w:color w:val="000000"/>
        </w:rPr>
        <w:t>中小企业声明函格式（服务由中小企业</w:t>
      </w:r>
      <w:r>
        <w:rPr>
          <w:rFonts w:hint="eastAsia" w:ascii="仿宋_GB2312" w:eastAsia="仿宋_GB2312"/>
          <w:b/>
          <w:bCs/>
          <w:color w:val="000000"/>
          <w:lang w:eastAsia="zh-CN"/>
        </w:rPr>
        <w:t>承接</w:t>
      </w:r>
      <w:r>
        <w:rPr>
          <w:rFonts w:hint="eastAsia" w:ascii="仿宋_GB2312" w:eastAsia="仿宋_GB2312"/>
          <w:b/>
          <w:bCs/>
          <w:color w:val="000000"/>
        </w:rPr>
        <w:t>的必须提供）：</w:t>
      </w:r>
    </w:p>
    <w:p>
      <w:pPr>
        <w:pStyle w:val="363"/>
        <w:jc w:val="center"/>
        <w:rPr>
          <w:rFonts w:hint="eastAsia" w:ascii="仿宋_GB2312" w:eastAsia="仿宋_GB2312"/>
          <w:color w:val="000000"/>
        </w:rPr>
      </w:pPr>
      <w:r>
        <w:rPr>
          <w:rFonts w:hint="eastAsia" w:ascii="仿宋_GB2312" w:eastAsia="仿宋_GB2312"/>
          <w:b/>
          <w:bCs/>
          <w:color w:val="000000"/>
          <w:sz w:val="33"/>
          <w:szCs w:val="33"/>
        </w:rPr>
        <w:t>中小企业声明函（服务）</w:t>
      </w:r>
    </w:p>
    <w:p>
      <w:pPr>
        <w:pStyle w:val="363"/>
        <w:spacing w:line="405" w:lineRule="atLeast"/>
        <w:rPr>
          <w:rFonts w:hint="eastAsia" w:ascii="仿宋_GB2312" w:eastAsia="仿宋_GB2312"/>
          <w:color w:val="000000"/>
        </w:rPr>
      </w:pPr>
      <w:r>
        <w:rPr>
          <w:rFonts w:hint="eastAsia" w:ascii="仿宋_GB2312" w:eastAsia="仿宋_GB2312"/>
          <w:color w:val="000000"/>
        </w:rPr>
        <w:t>  本公司郑重声明，根据《政府采购促进中小企业发展管理办法》（财库﹝2020﹞46 号）的规定，本公司参加</w:t>
      </w:r>
      <w:r>
        <w:rPr>
          <w:rFonts w:hint="eastAsia" w:ascii="仿宋_GB2312" w:eastAsia="仿宋_GB2312"/>
          <w:color w:val="000000"/>
          <w:u w:val="single"/>
        </w:rPr>
        <w:t>柳州城市职业学院</w:t>
      </w:r>
      <w:r>
        <w:rPr>
          <w:rFonts w:hint="eastAsia" w:ascii="仿宋_GB2312" w:eastAsia="仿宋_GB2312"/>
          <w:color w:val="000000"/>
        </w:rPr>
        <w:t>的</w:t>
      </w:r>
      <w:r>
        <w:rPr>
          <w:rFonts w:hint="eastAsia" w:ascii="仿宋_GB2312" w:eastAsia="仿宋_GB2312"/>
          <w:color w:val="000000"/>
          <w:u w:val="single"/>
        </w:rPr>
        <w:t>柳州城市职业学院2026-2029年物业管理服务采购</w:t>
      </w:r>
      <w:r>
        <w:rPr>
          <w:rFonts w:hint="eastAsia" w:ascii="仿宋_GB2312" w:eastAsia="仿宋_GB2312"/>
          <w:color w:val="000000"/>
        </w:rPr>
        <w:t>活动，服务全部由符合政策要求的中小企业承接。相关企业的具体情况如下： </w:t>
      </w:r>
      <w:r>
        <w:rPr>
          <w:rFonts w:hint="eastAsia" w:ascii="仿宋_GB2312" w:eastAsia="仿宋_GB2312"/>
          <w:color w:val="000000"/>
        </w:rPr>
        <w:br w:type="textWrapping"/>
      </w:r>
      <w:r>
        <w:rPr>
          <w:rFonts w:hint="eastAsia" w:ascii="仿宋_GB2312" w:eastAsia="仿宋_GB2312"/>
          <w:color w:val="000000"/>
        </w:rPr>
        <w:t xml:space="preserve">  1. </w:t>
      </w:r>
      <w:r>
        <w:rPr>
          <w:rFonts w:hint="eastAsia" w:ascii="仿宋_GB2312" w:eastAsia="仿宋_GB2312"/>
          <w:color w:val="000000"/>
          <w:u w:val="single"/>
        </w:rPr>
        <w:t>柳州城市职业学院2026-2029年物业管理服务采购</w:t>
      </w:r>
      <w:r>
        <w:rPr>
          <w:rFonts w:hint="eastAsia" w:ascii="仿宋_GB2312" w:eastAsia="仿宋_GB2312"/>
          <w:color w:val="000000"/>
        </w:rPr>
        <w:t xml:space="preserve"> ，属于</w:t>
      </w:r>
      <w:r>
        <w:rPr>
          <w:rStyle w:val="793"/>
          <w:rFonts w:hint="eastAsia" w:ascii="仿宋_GB2312" w:eastAsia="仿宋_GB2312"/>
          <w:b/>
          <w:bCs/>
          <w:i w:val="0"/>
          <w:iCs w:val="0"/>
          <w:color w:val="000000"/>
          <w:u w:val="single"/>
          <w:lang w:eastAsia="zh-CN"/>
        </w:rPr>
        <w:t>物业管理</w:t>
      </w:r>
      <w:r>
        <w:rPr>
          <w:rFonts w:hint="eastAsia" w:ascii="仿宋_GB2312" w:eastAsia="仿宋_GB2312"/>
          <w:color w:val="000000"/>
        </w:rPr>
        <w:t xml:space="preserve"> ；承接企业为</w:t>
      </w:r>
      <w:r>
        <w:rPr>
          <w:rFonts w:hint="eastAsia" w:ascii="仿宋_GB2312" w:eastAsia="仿宋_GB2312"/>
          <w:color w:val="000000"/>
          <w:u w:val="single"/>
          <w:lang w:val="en-US" w:eastAsia="zh-CN"/>
        </w:rPr>
        <w:t xml:space="preserve">   </w:t>
      </w:r>
      <w:r>
        <w:rPr>
          <w:rFonts w:hint="eastAsia" w:ascii="仿宋_GB2312" w:eastAsia="仿宋_GB2312"/>
          <w:color w:val="000000"/>
          <w:lang w:val="en-US" w:eastAsia="zh-CN"/>
        </w:rPr>
        <w:t xml:space="preserve">    </w:t>
      </w:r>
      <w:r>
        <w:rPr>
          <w:rStyle w:val="364"/>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w:t>
      </w:r>
      <w:r>
        <w:rPr>
          <w:rFonts w:hint="eastAsia" w:ascii="仿宋_GB2312" w:eastAsia="仿宋_GB2312"/>
          <w:color w:val="000000"/>
        </w:rPr>
        <w:t>人，营业收入为</w:t>
      </w:r>
      <w:r>
        <w:rPr>
          <w:rFonts w:hint="eastAsia" w:ascii="仿宋_GB2312" w:eastAsia="仿宋_GB2312"/>
          <w:color w:val="000000"/>
          <w:u w:val="single"/>
        </w:rPr>
        <w:t>   </w:t>
      </w:r>
      <w:r>
        <w:rPr>
          <w:rFonts w:hint="eastAsia" w:ascii="仿宋_GB2312" w:eastAsia="仿宋_GB2312"/>
          <w:color w:val="000000"/>
        </w:rPr>
        <w:t>万元，资产总额为</w:t>
      </w:r>
      <w:r>
        <w:rPr>
          <w:rFonts w:hint="eastAsia" w:ascii="仿宋_GB2312" w:eastAsia="仿宋_GB2312"/>
          <w:color w:val="000000"/>
          <w:u w:val="single"/>
        </w:rPr>
        <w:t>  </w:t>
      </w:r>
      <w:r>
        <w:rPr>
          <w:rFonts w:hint="eastAsia" w:ascii="仿宋_GB2312" w:eastAsia="仿宋_GB2312"/>
          <w:color w:val="000000"/>
          <w:u w:val="single"/>
          <w:lang w:val="en-US" w:eastAsia="zh-CN"/>
        </w:rPr>
        <w:t xml:space="preserve"> </w:t>
      </w:r>
      <w:r>
        <w:rPr>
          <w:rFonts w:hint="eastAsia" w:ascii="仿宋_GB2312" w:eastAsia="仿宋_GB2312"/>
          <w:color w:val="000000"/>
          <w:u w:val="single"/>
        </w:rPr>
        <w:t xml:space="preserve">   </w:t>
      </w:r>
      <w:r>
        <w:rPr>
          <w:rFonts w:hint="eastAsia" w:ascii="仿宋_GB2312" w:eastAsia="仿宋_GB2312"/>
          <w:color w:val="000000"/>
        </w:rPr>
        <w:t>万元，属于</w:t>
      </w:r>
      <w:r>
        <w:rPr>
          <w:rFonts w:hint="eastAsia" w:ascii="仿宋_GB2312" w:eastAsia="仿宋_GB2312"/>
          <w:color w:val="000000"/>
          <w:u w:val="single"/>
          <w:lang w:val="en-US" w:eastAsia="zh-CN"/>
        </w:rPr>
        <w:t xml:space="preserve">      </w:t>
      </w:r>
      <w:r>
        <w:rPr>
          <w:rStyle w:val="364"/>
          <w:rFonts w:hint="eastAsia" w:ascii="仿宋_GB2312" w:eastAsia="仿宋_GB2312"/>
          <w:color w:val="000000"/>
          <w:u w:val="single"/>
        </w:rPr>
        <w:t>（中型企业、小型企业、微型企业）</w:t>
      </w:r>
      <w:r>
        <w:rPr>
          <w:rFonts w:hint="eastAsia" w:ascii="仿宋_GB2312" w:eastAsia="仿宋_GB2312"/>
          <w:color w:val="000000"/>
        </w:rPr>
        <w:t>；</w:t>
      </w:r>
    </w:p>
    <w:p>
      <w:pPr>
        <w:pStyle w:val="363"/>
        <w:spacing w:line="405" w:lineRule="atLeast"/>
        <w:rPr>
          <w:rFonts w:hint="eastAsia" w:ascii="仿宋_GB2312" w:eastAsia="仿宋_GB2312"/>
          <w:color w:val="000000"/>
        </w:rPr>
      </w:pPr>
      <w:r>
        <w:rPr>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w:t>
      </w:r>
      <w:r>
        <w:rPr>
          <w:rFonts w:hint="eastAsia" w:ascii="仿宋_GB2312" w:eastAsia="仿宋_GB2312"/>
          <w:color w:val="000000"/>
        </w:rPr>
        <w:br w:type="textWrapping"/>
      </w:r>
      <w:r>
        <w:rPr>
          <w:rFonts w:hint="eastAsia" w:ascii="仿宋_GB2312" w:eastAsia="仿宋_GB2312"/>
          <w:color w:val="000000"/>
        </w:rPr>
        <w:t>  以上企业，不属于大企业的分支机构，不存在控股股东为大企业的情形，也不存在与大企业的负责人为同一人的情形。</w:t>
      </w:r>
      <w:r>
        <w:rPr>
          <w:rFonts w:hint="eastAsia" w:ascii="仿宋_GB2312" w:eastAsia="仿宋_GB2312"/>
          <w:color w:val="000000"/>
        </w:rPr>
        <w:br w:type="textWrapping"/>
      </w:r>
      <w:r>
        <w:rPr>
          <w:rFonts w:hint="eastAsia" w:ascii="仿宋_GB2312" w:eastAsia="仿宋_GB2312"/>
          <w:color w:val="000000"/>
        </w:rPr>
        <w:t>  本企业对上述声明内容的真实性负责。如有虚假，将依法承担相应责任。</w:t>
      </w:r>
    </w:p>
    <w:p>
      <w:pPr>
        <w:pStyle w:val="363"/>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pPr>
        <w:pStyle w:val="363"/>
        <w:jc w:val="right"/>
        <w:rPr>
          <w:rFonts w:hint="eastAsia" w:ascii="仿宋_GB2312" w:eastAsia="仿宋_GB2312"/>
          <w:color w:val="000000"/>
        </w:rPr>
      </w:pPr>
      <w:r>
        <w:rPr>
          <w:rFonts w:hint="eastAsia" w:ascii="仿宋_GB2312" w:eastAsia="仿宋_GB2312"/>
          <w:color w:val="000000"/>
        </w:rPr>
        <w:t>日期：   年 月 日</w:t>
      </w:r>
    </w:p>
    <w:p>
      <w:pPr>
        <w:pStyle w:val="363"/>
        <w:spacing w:line="405" w:lineRule="atLeast"/>
        <w:rPr>
          <w:rFonts w:hint="eastAsia" w:ascii="仿宋_GB2312" w:eastAsia="仿宋_GB2312"/>
          <w:color w:val="000000"/>
        </w:rPr>
      </w:pPr>
      <w:r>
        <w:rPr>
          <w:rFonts w:hint="eastAsia" w:ascii="仿宋_GB2312" w:eastAsia="仿宋_GB2312"/>
          <w:b/>
          <w:bCs/>
          <w:color w:val="000000"/>
          <w:sz w:val="27"/>
          <w:szCs w:val="27"/>
        </w:rPr>
        <w:t>  注：1.此项材料必须以PDF格式上传；</w:t>
      </w:r>
      <w:r>
        <w:rPr>
          <w:rFonts w:hint="eastAsia" w:ascii="仿宋_GB2312" w:eastAsia="仿宋_GB2312"/>
          <w:b/>
          <w:bCs/>
          <w:color w:val="000000"/>
          <w:sz w:val="27"/>
          <w:szCs w:val="27"/>
        </w:rPr>
        <w:br w:type="textWrapping"/>
      </w:r>
      <w:r>
        <w:rPr>
          <w:rFonts w:hint="eastAsia" w:ascii="仿宋_GB2312" w:eastAsia="仿宋_GB2312"/>
          <w:b/>
          <w:bCs/>
          <w:color w:val="000000"/>
          <w:sz w:val="27"/>
          <w:szCs w:val="27"/>
        </w:rPr>
        <w:t>  2.投标人出具的《中小企业声明函》中填写的“所属行业”应与采购文件明确的“所属行业”内容一致。</w:t>
      </w:r>
      <w:r>
        <w:rPr>
          <w:rFonts w:hint="eastAsia" w:ascii="仿宋_GB2312" w:eastAsia="仿宋_GB2312"/>
          <w:b/>
          <w:bCs/>
          <w:color w:val="000000"/>
          <w:sz w:val="27"/>
          <w:szCs w:val="27"/>
        </w:rPr>
        <w:br w:type="textWrapping"/>
      </w:r>
      <w:r>
        <w:rPr>
          <w:rFonts w:hint="eastAsia" w:ascii="仿宋_GB2312" w:eastAsia="仿宋_GB2312"/>
          <w:b/>
          <w:bCs/>
          <w:color w:val="000000"/>
          <w:sz w:val="27"/>
          <w:szCs w:val="27"/>
        </w:rPr>
        <w:t>  采购标的对应的中小企业划分标准所属行业：</w:t>
      </w:r>
      <w:r>
        <w:rPr>
          <w:rFonts w:hint="eastAsia" w:ascii="仿宋_GB2312" w:eastAsia="仿宋_GB2312"/>
          <w:b/>
          <w:bCs/>
          <w:color w:val="000000"/>
          <w:sz w:val="27"/>
          <w:szCs w:val="27"/>
          <w:u w:val="single"/>
        </w:rPr>
        <w:t>物业管理</w:t>
      </w:r>
      <w:r>
        <w:rPr>
          <w:rFonts w:hint="eastAsia" w:ascii="仿宋_GB2312" w:eastAsia="仿宋_GB2312"/>
          <w:b/>
          <w:bCs/>
          <w:color w:val="000000"/>
          <w:sz w:val="27"/>
          <w:szCs w:val="27"/>
        </w:rPr>
        <w:t>。</w:t>
      </w:r>
      <w:r>
        <w:rPr>
          <w:rFonts w:hint="eastAsia" w:ascii="仿宋_GB2312" w:eastAsia="仿宋_GB2312"/>
          <w:color w:val="000000"/>
        </w:rPr>
        <w:br w:type="textWrapping"/>
      </w:r>
      <w:r>
        <w:rPr>
          <w:rFonts w:hint="eastAsia" w:ascii="仿宋_GB2312" w:eastAsia="仿宋_GB2312"/>
          <w:color w:val="000000"/>
        </w:rPr>
        <w:t>  3.从业人员、营业收入、资产总额填报上一年度数据，无上一年度数据的新成立企业可不填报。</w:t>
      </w:r>
      <w:r>
        <w:rPr>
          <w:rFonts w:hint="eastAsia" w:ascii="仿宋_GB2312" w:eastAsia="仿宋_GB2312"/>
          <w:color w:val="000000"/>
        </w:rPr>
        <w:br w:type="textWrapping"/>
      </w:r>
      <w:r>
        <w:rPr>
          <w:rFonts w:hint="eastAsia" w:ascii="仿宋_GB2312" w:eastAsia="仿宋_GB2312"/>
          <w:color w:val="000000"/>
        </w:rPr>
        <w:t>  4.为方便投标人识别企业规模类型，投标人可使用工业和信息化部组织开发的中小企业规模类型自测小程序生成企业规模类型测试结果。</w:t>
      </w:r>
      <w:r>
        <w:rPr>
          <w:rFonts w:hint="eastAsia" w:ascii="仿宋_GB2312" w:eastAsia="仿宋_GB2312"/>
          <w:color w:val="000000"/>
        </w:rPr>
        <w:br w:type="textWrapping"/>
      </w:r>
      <w:r>
        <w:rPr>
          <w:rFonts w:hint="eastAsia" w:ascii="仿宋_GB2312" w:eastAsia="仿宋_GB2312"/>
          <w:color w:val="000000"/>
        </w:rPr>
        <w:t>  自测小程序链接：https://baosong.miit.gov.cn/ScaleTest</w:t>
      </w:r>
      <w:r>
        <w:rPr>
          <w:rFonts w:hint="eastAsia" w:ascii="仿宋_GB2312" w:eastAsia="仿宋_GB2312"/>
          <w:color w:val="000000"/>
        </w:rPr>
        <w:br w:type="textWrapping"/>
      </w:r>
      <w:r>
        <w:rPr>
          <w:rFonts w:hint="eastAsia" w:ascii="仿宋_GB2312" w:eastAsia="仿宋_GB2312"/>
          <w:color w:val="000000"/>
        </w:rPr>
        <w:t>  5.投标人须按上述格式要求如实填写中小企业声明函，并对该声明函的真实性负责，否则不得享受相关中小企业扶持政策；</w:t>
      </w:r>
      <w:r>
        <w:rPr>
          <w:rFonts w:hint="eastAsia" w:ascii="仿宋_GB2312" w:eastAsia="仿宋_GB2312"/>
          <w:color w:val="000000"/>
        </w:rPr>
        <w:br w:type="textWrapping"/>
      </w:r>
      <w:r>
        <w:rPr>
          <w:rFonts w:hint="eastAsia" w:ascii="仿宋_GB2312" w:eastAsia="仿宋_GB2312"/>
          <w:color w:val="000000"/>
        </w:rPr>
        <w:t>  6.中标人依法享受中小企业扶持政策的，采购代理机构将在中标结果公告中公告其《中小企业声明函》；</w:t>
      </w:r>
      <w:r>
        <w:rPr>
          <w:rFonts w:hint="eastAsia" w:ascii="仿宋_GB2312" w:eastAsia="仿宋_GB2312"/>
          <w:color w:val="000000"/>
        </w:rPr>
        <w:br w:type="textWrapping"/>
      </w:r>
      <w:r>
        <w:rPr>
          <w:rFonts w:hint="eastAsia" w:ascii="仿宋_GB2312" w:eastAsia="仿宋_GB2312"/>
          <w:color w:val="000000"/>
        </w:rPr>
        <w:t>  7.中小微企业划型标准附表</w:t>
      </w:r>
      <w:r>
        <w:rPr>
          <w:rFonts w:hint="eastAsia" w:ascii="仿宋_GB2312" w:eastAsia="仿宋_GB2312"/>
          <w:color w:val="000000"/>
          <w:lang w:eastAsia="zh-CN"/>
        </w:rPr>
        <w:t>（</w:t>
      </w:r>
      <w:r>
        <w:rPr>
          <w:rFonts w:hint="eastAsia" w:ascii="仿宋_GB2312" w:eastAsia="仿宋_GB2312"/>
          <w:color w:val="auto"/>
        </w:rPr>
        <w:t>若附表有变动，按最新政策执行)</w:t>
      </w:r>
      <w:r>
        <w:rPr>
          <w:rFonts w:hint="eastAsia" w:ascii="仿宋_GB2312" w:eastAsia="仿宋_GB2312"/>
          <w:color w:val="000000"/>
        </w:rPr>
        <w:t>：</w:t>
      </w:r>
    </w:p>
    <w:p>
      <w:pPr>
        <w:pStyle w:val="363"/>
        <w:jc w:val="center"/>
        <w:rPr>
          <w:rFonts w:hint="eastAsia" w:ascii="仿宋_GB2312" w:eastAsia="仿宋_GB2312"/>
          <w:color w:val="000000"/>
        </w:rPr>
      </w:pPr>
      <w:r>
        <w:rPr>
          <w:rFonts w:hint="eastAsia" w:ascii="仿宋_GB2312" w:eastAsia="仿宋_GB2312"/>
          <w:b/>
          <w:bCs/>
          <w:color w:val="000000"/>
          <w:sz w:val="33"/>
          <w:szCs w:val="33"/>
        </w:rPr>
        <w:t>中小微企业划型标准</w:t>
      </w:r>
    </w:p>
    <w:tbl>
      <w:tblPr>
        <w:tblStyle w:val="48"/>
        <w:tblW w:w="5000" w:type="pct"/>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720"/>
        <w:gridCol w:w="1979"/>
        <w:gridCol w:w="1239"/>
        <w:gridCol w:w="2027"/>
        <w:gridCol w:w="1705"/>
        <w:gridCol w:w="1239"/>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60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行业名称</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指标名称</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计量单位</w:t>
            </w:r>
          </w:p>
        </w:tc>
        <w:tc>
          <w:tcPr>
            <w:tcW w:w="189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中型</w:t>
            </w:r>
          </w:p>
        </w:tc>
        <w:tc>
          <w:tcPr>
            <w:tcW w:w="159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小型</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微型</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农、林、牧、渔</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500≤Y&lt;20000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50≤Y&lt;500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Y&lt;50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工业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300≤X&lt;1000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X&lt;20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2000≤Y&lt;40000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300≤Y&lt;2000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Y&lt;300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建筑业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6000≤Y&lt;80000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300≤Y&lt;6000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Y&lt;300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资产总额(Z)</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5000≤Z&lt;80000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300≤Z&lt;5000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Z&lt;300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批发业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20≤X&lt;200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5≤X&lt;20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5000≤Y&lt;40000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1000≤Y&lt;5000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零售业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10≤X&lt;50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500≤Y&lt;20000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100≤Y&lt;500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交通运输业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300≤X&lt;1000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X&lt;20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3000≤Y&lt;30000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200≤Y&lt;3000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Y&lt;200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仓储业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100≤X&lt;200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X&lt;20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1000≤Y&lt;30000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邮政业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300≤X&lt;1000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X&lt;20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2000≤Y&lt;30000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100≤Y&lt;2000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住宿业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2000≤Y&lt;10000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100≤Y&lt;2000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餐饮业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2000≤Y&lt;10000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100≤Y&lt;2000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信息传输业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100≤X&lt;2000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1000≤Y&lt;100000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软件和信息</w:t>
            </w:r>
            <w:r>
              <w:rPr>
                <w:rFonts w:hint="eastAsia" w:ascii="仿宋_GB2312" w:eastAsia="仿宋_GB2312"/>
                <w:color w:val="000000"/>
              </w:rPr>
              <w:t xml:space="preserve"> </w:t>
            </w:r>
            <w:r>
              <w:rPr>
                <w:rFonts w:hint="eastAsia" w:ascii="仿宋_GB2312" w:eastAsia="仿宋_GB2312"/>
                <w:b/>
                <w:bCs/>
                <w:color w:val="000000"/>
              </w:rPr>
              <w:t>技术服务业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1000≤Y&lt;10000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50≤Y&lt;1000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Y&lt;50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房地产</w:t>
            </w:r>
            <w:r>
              <w:rPr>
                <w:rFonts w:hint="eastAsia" w:ascii="仿宋_GB2312" w:eastAsia="仿宋_GB2312"/>
                <w:color w:val="000000"/>
              </w:rPr>
              <w:t xml:space="preserve"> </w:t>
            </w:r>
            <w:r>
              <w:rPr>
                <w:rFonts w:hint="eastAsia" w:ascii="仿宋_GB2312" w:eastAsia="仿宋_GB2312"/>
                <w:b/>
                <w:bCs/>
                <w:color w:val="000000"/>
              </w:rPr>
              <w:t>开发经营</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1000≤Y&lt;200000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资产总额(Z)</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5000≤Z&lt;10000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2000≤Y&lt;5000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Y&lt;2000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物业管理</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300≤X&lt;1000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1000≤Y&lt;5000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500≤Y&lt;1000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Y&lt;500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租赁和商务服务业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资产总额(Z)</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8000≤Z&lt;120000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100≤Z&lt;8000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其他未列明</w:t>
            </w:r>
            <w:r>
              <w:rPr>
                <w:rFonts w:hint="eastAsia" w:ascii="仿宋_GB2312" w:eastAsia="仿宋_GB2312"/>
                <w:color w:val="000000"/>
              </w:rPr>
              <w:t xml:space="preserve"> </w:t>
            </w:r>
            <w:r>
              <w:rPr>
                <w:rFonts w:hint="eastAsia" w:ascii="仿宋_GB2312" w:eastAsia="仿宋_GB2312"/>
                <w:b/>
                <w:bCs/>
                <w:color w:val="000000"/>
              </w:rPr>
              <w:t>行业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bl>
    <w:p>
      <w:pPr>
        <w:pStyle w:val="363"/>
        <w:spacing w:line="405" w:lineRule="atLeast"/>
        <w:rPr>
          <w:rFonts w:hint="eastAsia" w:ascii="仿宋_GB2312" w:eastAsia="仿宋_GB2312"/>
          <w:color w:val="000000"/>
        </w:rPr>
      </w:pPr>
      <w:r>
        <w:rPr>
          <w:rFonts w:hint="eastAsia" w:ascii="仿宋_GB2312" w:eastAsia="仿宋_GB2312"/>
          <w:b/>
          <w:bCs/>
          <w:color w:val="000000"/>
        </w:rPr>
        <w:t>  说明:上述标准参照《关于印发中小企业划型标准规定的通知》(工信部联企业〔2011〕300号)，大型、中型和小型企业须同时满足所列指标的下限，否则下划一档;微型企业只须满足所列指标中的一项即可。</w:t>
      </w:r>
    </w:p>
    <w:p>
      <w:pPr>
        <w:pStyle w:val="363"/>
        <w:spacing w:line="405" w:lineRule="atLeast"/>
        <w:rPr>
          <w:rFonts w:hint="eastAsia" w:ascii="仿宋_GB2312" w:eastAsia="仿宋_GB2312"/>
          <w:color w:val="000000"/>
        </w:rPr>
      </w:pPr>
      <w:r>
        <w:rPr>
          <w:rFonts w:hint="eastAsia" w:ascii="仿宋_GB2312" w:eastAsia="仿宋_GB2312"/>
          <w:color w:val="000000"/>
        </w:rPr>
        <w:br w:type="page"/>
      </w:r>
      <w:r>
        <w:rPr>
          <w:rFonts w:hint="eastAsia" w:ascii="仿宋_GB2312" w:eastAsia="仿宋_GB2312"/>
          <w:color w:val="000000"/>
        </w:rPr>
        <w:t>②</w:t>
      </w:r>
      <w:r>
        <w:rPr>
          <w:rFonts w:hint="eastAsia" w:ascii="仿宋_GB2312" w:eastAsia="仿宋_GB2312"/>
          <w:b/>
          <w:bCs/>
          <w:color w:val="000000"/>
        </w:rPr>
        <w:t>残疾人福利性单位声明函（服务由残疾人福利性单位承接的必须提供）：</w:t>
      </w:r>
    </w:p>
    <w:p>
      <w:pPr>
        <w:pStyle w:val="363"/>
        <w:jc w:val="center"/>
        <w:rPr>
          <w:rFonts w:hint="eastAsia" w:ascii="仿宋_GB2312" w:eastAsia="仿宋_GB2312"/>
          <w:color w:val="000000"/>
        </w:rPr>
      </w:pPr>
      <w:r>
        <w:rPr>
          <w:rFonts w:hint="eastAsia" w:ascii="仿宋_GB2312" w:eastAsia="仿宋_GB2312"/>
          <w:b/>
          <w:bCs/>
          <w:color w:val="000000"/>
          <w:sz w:val="33"/>
          <w:szCs w:val="33"/>
        </w:rPr>
        <w:t>残疾人福利性单位声明函</w:t>
      </w:r>
    </w:p>
    <w:p>
      <w:pPr>
        <w:pStyle w:val="363"/>
        <w:spacing w:line="405" w:lineRule="atLeast"/>
        <w:rPr>
          <w:rFonts w:hint="eastAsia" w:ascii="仿宋_GB2312" w:eastAsia="仿宋_GB2312"/>
          <w:color w:val="000000"/>
        </w:rPr>
      </w:pPr>
      <w:r>
        <w:rPr>
          <w:rFonts w:hint="eastAsia" w:ascii="仿宋_GB2312" w:eastAsia="仿宋_GB2312"/>
          <w:color w:val="000000"/>
        </w:rPr>
        <w:t>  本单位郑重声明，根据《财政部 民政部 中国残疾人联合会关于促进残疾人就业政府采购政策的通知》（财库〔2017〕141号）的规定，本单位为符合条件的残疾人福利性单位，且本单位参加</w:t>
      </w:r>
      <w:r>
        <w:rPr>
          <w:rFonts w:hint="eastAsia" w:ascii="仿宋_GB2312" w:eastAsia="仿宋_GB2312"/>
          <w:color w:val="000000"/>
          <w:u w:val="single"/>
        </w:rPr>
        <w:t xml:space="preserve">     </w:t>
      </w:r>
      <w:r>
        <w:rPr>
          <w:rFonts w:hint="eastAsia" w:ascii="仿宋_GB2312" w:eastAsia="仿宋_GB2312"/>
          <w:color w:val="000000"/>
        </w:rPr>
        <w:t>单位的</w:t>
      </w:r>
      <w:r>
        <w:rPr>
          <w:rFonts w:hint="eastAsia" w:ascii="仿宋_GB2312" w:eastAsia="仿宋_GB2312"/>
          <w:color w:val="000000"/>
          <w:u w:val="single"/>
        </w:rPr>
        <w:t xml:space="preserve">     </w:t>
      </w:r>
      <w:r>
        <w:rPr>
          <w:rFonts w:hint="eastAsia" w:ascii="仿宋_GB2312" w:eastAsia="仿宋_GB2312"/>
          <w:color w:val="000000"/>
        </w:rPr>
        <w:t>项目采购活动提供本单位制造的货物（由本单位承担工程/提供服务），或者提供其他残疾人福利性单位制造的货物（不包括使用非残疾人福利性单位注册商标的货物）。</w:t>
      </w:r>
      <w:r>
        <w:rPr>
          <w:rFonts w:hint="eastAsia" w:ascii="仿宋_GB2312" w:eastAsia="仿宋_GB2312"/>
          <w:color w:val="000000"/>
        </w:rPr>
        <w:br w:type="textWrapping"/>
      </w:r>
      <w:r>
        <w:rPr>
          <w:rFonts w:hint="eastAsia" w:ascii="仿宋_GB2312" w:eastAsia="仿宋_GB2312"/>
          <w:color w:val="000000"/>
        </w:rPr>
        <w:t>  本单位对上述声明的真实性负责。如有虚假，将依法承担相应责任。</w:t>
      </w:r>
    </w:p>
    <w:p>
      <w:pPr>
        <w:pStyle w:val="363"/>
        <w:spacing w:line="405" w:lineRule="atLeast"/>
        <w:rPr>
          <w:rFonts w:hint="eastAsia" w:ascii="仿宋_GB2312" w:eastAsia="仿宋_GB2312"/>
          <w:color w:val="000000"/>
        </w:rPr>
      </w:pPr>
      <w:r>
        <w:rPr>
          <w:rFonts w:hint="eastAsia" w:ascii="仿宋_GB2312" w:eastAsia="仿宋_GB2312"/>
          <w:color w:val="000000"/>
        </w:rPr>
        <w:t>                                    </w:t>
      </w:r>
    </w:p>
    <w:p>
      <w:pPr>
        <w:pStyle w:val="363"/>
        <w:jc w:val="right"/>
        <w:rPr>
          <w:rFonts w:hint="eastAsia" w:ascii="仿宋_GB2312" w:eastAsia="仿宋_GB2312"/>
          <w:color w:val="000000"/>
        </w:rPr>
      </w:pPr>
      <w:r>
        <w:rPr>
          <w:rFonts w:hint="eastAsia" w:ascii="仿宋_GB2312" w:eastAsia="仿宋_GB2312"/>
          <w:color w:val="000000"/>
        </w:rPr>
        <w:t>   单位名称（</w:t>
      </w:r>
      <w:r>
        <w:rPr>
          <w:rFonts w:hint="eastAsia" w:ascii="仿宋_GB2312" w:eastAsia="仿宋_GB2312"/>
          <w:b/>
          <w:bCs/>
          <w:color w:val="000000"/>
        </w:rPr>
        <w:t>CA电子签章</w:t>
      </w:r>
      <w:r>
        <w:rPr>
          <w:rFonts w:hint="eastAsia" w:ascii="仿宋_GB2312" w:eastAsia="仿宋_GB2312"/>
          <w:color w:val="000000"/>
        </w:rPr>
        <w:t>）：   </w:t>
      </w:r>
    </w:p>
    <w:p>
      <w:pPr>
        <w:pStyle w:val="363"/>
        <w:jc w:val="right"/>
        <w:rPr>
          <w:rFonts w:hint="eastAsia" w:ascii="仿宋_GB2312" w:eastAsia="仿宋_GB2312"/>
          <w:color w:val="000000"/>
        </w:rPr>
      </w:pPr>
      <w:r>
        <w:rPr>
          <w:rFonts w:hint="eastAsia" w:ascii="仿宋_GB2312" w:eastAsia="仿宋_GB2312"/>
          <w:color w:val="000000"/>
        </w:rPr>
        <w:t>                                   日  期：   </w:t>
      </w:r>
    </w:p>
    <w:p>
      <w:pPr>
        <w:pStyle w:val="363"/>
        <w:spacing w:line="405" w:lineRule="atLeast"/>
        <w:rPr>
          <w:rFonts w:hint="eastAsia" w:ascii="仿宋_GB2312" w:eastAsia="仿宋_GB2312"/>
          <w:color w:val="000000"/>
        </w:rPr>
      </w:pPr>
      <w:r>
        <w:rPr>
          <w:rFonts w:hint="eastAsia" w:ascii="仿宋_GB2312" w:eastAsia="仿宋_GB2312"/>
          <w:b/>
          <w:bCs/>
          <w:color w:val="000000"/>
        </w:rPr>
        <w:t>  注：1.此项材料必须以PDF格式上传；</w:t>
      </w:r>
      <w:r>
        <w:rPr>
          <w:rFonts w:hint="eastAsia" w:ascii="仿宋_GB2312" w:eastAsia="仿宋_GB2312"/>
          <w:b/>
          <w:bCs/>
          <w:color w:val="000000"/>
        </w:rPr>
        <w:br w:type="textWrapping"/>
      </w:r>
      <w:r>
        <w:rPr>
          <w:rFonts w:hint="eastAsia" w:ascii="仿宋_GB2312" w:eastAsia="仿宋_GB2312"/>
          <w:b/>
          <w:bCs/>
          <w:color w:val="000000"/>
        </w:rPr>
        <w:t>  2.中标人声明为残疾人福利性单位的，采购代理机构将随中标结果同时公告其《残疾人福利性单位声明函》，接受社会监督；</w:t>
      </w:r>
      <w:r>
        <w:rPr>
          <w:rFonts w:hint="eastAsia" w:ascii="仿宋_GB2312" w:eastAsia="仿宋_GB2312"/>
          <w:b/>
          <w:bCs/>
          <w:color w:val="000000"/>
        </w:rPr>
        <w:br w:type="textWrapping"/>
      </w:r>
      <w:r>
        <w:rPr>
          <w:rFonts w:hint="eastAsia" w:ascii="仿宋_GB2312" w:eastAsia="仿宋_GB2312"/>
          <w:b/>
          <w:bCs/>
          <w:color w:val="000000"/>
        </w:rPr>
        <w:t>  3.享受政府采购支持政策的残疾人福利性单位应当同时满足以下条件：</w:t>
      </w:r>
      <w:r>
        <w:rPr>
          <w:rFonts w:hint="eastAsia" w:ascii="仿宋_GB2312" w:eastAsia="仿宋_GB2312"/>
          <w:color w:val="000000"/>
        </w:rPr>
        <w:br w:type="textWrapping"/>
      </w:r>
      <w:r>
        <w:rPr>
          <w:rFonts w:hint="eastAsia" w:ascii="仿宋_GB2312" w:eastAsia="仿宋_GB2312"/>
          <w:color w:val="000000"/>
        </w:rPr>
        <w:t>  （1）安置的残疾人占本单位在职职工人数的比例不低于25%（含25%），并且安置的残疾人人数不少于10人（含10人）；</w:t>
      </w:r>
      <w:r>
        <w:rPr>
          <w:rFonts w:hint="eastAsia" w:ascii="仿宋_GB2312" w:eastAsia="仿宋_GB2312"/>
          <w:color w:val="000000"/>
        </w:rPr>
        <w:br w:type="textWrapping"/>
      </w:r>
      <w:r>
        <w:rPr>
          <w:rFonts w:hint="eastAsia" w:ascii="仿宋_GB2312" w:eastAsia="仿宋_GB2312"/>
          <w:color w:val="000000"/>
        </w:rPr>
        <w:t>  （2）依法与安置的每位残疾人签订了一年以上（含一年）的劳动合同或服务协议；</w:t>
      </w:r>
      <w:r>
        <w:rPr>
          <w:rFonts w:hint="eastAsia" w:ascii="仿宋_GB2312" w:eastAsia="仿宋_GB2312"/>
          <w:color w:val="000000"/>
        </w:rPr>
        <w:br w:type="textWrapping"/>
      </w:r>
      <w:r>
        <w:rPr>
          <w:rFonts w:hint="eastAsia" w:ascii="仿宋_GB2312" w:eastAsia="仿宋_GB2312"/>
          <w:color w:val="000000"/>
        </w:rPr>
        <w:t>  （3）为安置的每位残疾人按月足额缴纳了基本养老保险、基本医疗保险、失业保险、工伤保险和生育保险等社会保险费；</w:t>
      </w:r>
      <w:r>
        <w:rPr>
          <w:rFonts w:hint="eastAsia" w:ascii="仿宋_GB2312" w:eastAsia="仿宋_GB2312"/>
          <w:color w:val="000000"/>
        </w:rPr>
        <w:br w:type="textWrapping"/>
      </w:r>
      <w:r>
        <w:rPr>
          <w:rFonts w:hint="eastAsia" w:ascii="仿宋_GB2312" w:eastAsia="仿宋_GB2312"/>
          <w:color w:val="000000"/>
        </w:rPr>
        <w:t>  （4）通过银行等金融机构向安置的每位残疾人，按月支付了不低于单位所在区县适用的经省级人民政府批准的月最低工资标准的工资；</w:t>
      </w:r>
      <w:r>
        <w:rPr>
          <w:rFonts w:hint="eastAsia" w:ascii="仿宋_GB2312" w:eastAsia="仿宋_GB2312"/>
          <w:color w:val="000000"/>
        </w:rPr>
        <w:br w:type="textWrapping"/>
      </w:r>
      <w:r>
        <w:rPr>
          <w:rFonts w:hint="eastAsia" w:ascii="仿宋_GB2312" w:eastAsia="仿宋_GB2312"/>
          <w:color w:val="000000"/>
        </w:rPr>
        <w:t>  （5）提供本单位制造的货物、承担的工程或者服务（以下简称产品），或者提供其他残疾人福利性单位制造的货物（不包括使用非残疾人福利性单位注册商标的货物）。</w:t>
      </w:r>
      <w:r>
        <w:rPr>
          <w:rFonts w:hint="eastAsia" w:ascii="仿宋_GB2312" w:eastAsia="仿宋_GB2312"/>
          <w:color w:val="000000"/>
        </w:rPr>
        <w:br w:type="textWrapping"/>
      </w:r>
      <w:r>
        <w:rPr>
          <w:rFonts w:hint="eastAsia" w:ascii="仿宋_GB2312" w:eastAsia="仿宋_GB2312"/>
          <w:color w:val="000000"/>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Style w:val="363"/>
        <w:spacing w:line="405" w:lineRule="atLeast"/>
        <w:rPr>
          <w:rFonts w:hint="eastAsia" w:ascii="仿宋_GB2312" w:eastAsia="仿宋_GB2312"/>
          <w:color w:val="000000"/>
        </w:rPr>
      </w:pPr>
      <w:r>
        <w:rPr>
          <w:rFonts w:hint="eastAsia" w:ascii="仿宋_GB2312" w:eastAsia="仿宋_GB2312"/>
          <w:color w:val="000000"/>
        </w:rPr>
        <w:br w:type="page"/>
      </w:r>
      <w:r>
        <w:rPr>
          <w:rFonts w:hint="eastAsia" w:ascii="仿宋_GB2312" w:eastAsia="仿宋_GB2312"/>
          <w:color w:val="000000"/>
        </w:rPr>
        <w:t>  ③</w:t>
      </w:r>
      <w:r>
        <w:rPr>
          <w:rFonts w:hint="eastAsia" w:ascii="仿宋_GB2312" w:eastAsia="仿宋_GB2312"/>
          <w:b/>
          <w:bCs/>
          <w:color w:val="000000"/>
        </w:rPr>
        <w:t>监狱企业由省级以上监狱管理局、戒毒管理局（含新疆生产建设兵团）出具的属于监狱企业的证明文件（服务由监狱企业承接的必须提供）</w:t>
      </w:r>
    </w:p>
    <w:p>
      <w:pPr>
        <w:pStyle w:val="363"/>
        <w:spacing w:line="405" w:lineRule="atLeast"/>
        <w:rPr>
          <w:rFonts w:hint="eastAsia" w:ascii="仿宋_GB2312" w:eastAsia="仿宋_GB2312"/>
          <w:color w:val="000000"/>
        </w:rPr>
      </w:pPr>
      <w:r>
        <w:rPr>
          <w:rFonts w:hint="eastAsia" w:ascii="仿宋_GB2312" w:eastAsia="仿宋_GB2312"/>
          <w:color w:val="000000"/>
        </w:rPr>
        <w:t> </w:t>
      </w:r>
    </w:p>
    <w:p>
      <w:pPr>
        <w:pStyle w:val="363"/>
        <w:spacing w:line="405" w:lineRule="atLeast"/>
        <w:rPr>
          <w:rFonts w:hint="eastAsia" w:ascii="仿宋_GB2312" w:eastAsia="仿宋_GB2312"/>
          <w:color w:val="000000"/>
        </w:rPr>
      </w:pPr>
      <w:r>
        <w:rPr>
          <w:rFonts w:hint="eastAsia" w:ascii="仿宋_GB2312" w:eastAsia="仿宋_GB2312"/>
          <w:color w:val="000000"/>
        </w:rPr>
        <w:t> </w:t>
      </w:r>
    </w:p>
    <w:p>
      <w:pPr>
        <w:pStyle w:val="363"/>
        <w:spacing w:line="405" w:lineRule="atLeast"/>
        <w:rPr>
          <w:rFonts w:hint="eastAsia" w:ascii="仿宋_GB2312" w:eastAsia="仿宋_GB2312"/>
          <w:color w:val="000000"/>
        </w:rPr>
      </w:pPr>
      <w:r>
        <w:rPr>
          <w:rFonts w:hint="eastAsia" w:ascii="仿宋_GB2312" w:eastAsia="仿宋_GB2312"/>
          <w:color w:val="000000"/>
        </w:rPr>
        <w:t> </w:t>
      </w:r>
    </w:p>
    <w:p>
      <w:pPr>
        <w:pStyle w:val="363"/>
        <w:spacing w:line="405" w:lineRule="atLeast"/>
        <w:rPr>
          <w:rFonts w:hint="eastAsia" w:ascii="仿宋_GB2312" w:eastAsia="仿宋_GB2312"/>
          <w:color w:val="000000"/>
        </w:rPr>
      </w:pPr>
      <w:r>
        <w:rPr>
          <w:rFonts w:hint="eastAsia" w:ascii="仿宋_GB2312" w:eastAsia="仿宋_GB2312"/>
          <w:b/>
          <w:bCs/>
          <w:color w:val="000000"/>
        </w:rPr>
        <w:t xml:space="preserve">  </w:t>
      </w:r>
      <w:r>
        <w:rPr>
          <w:rFonts w:hint="eastAsia" w:ascii="仿宋_GB2312" w:eastAsia="仿宋_GB2312"/>
          <w:b/>
          <w:bCs/>
          <w:color w:val="000000"/>
          <w:sz w:val="33"/>
          <w:szCs w:val="33"/>
        </w:rPr>
        <w:t>注：请以PDF格式提供并加盖投标人CA电子签章。</w:t>
      </w:r>
    </w:p>
    <w:p>
      <w:pPr>
        <w:pStyle w:val="363"/>
        <w:spacing w:line="405" w:lineRule="atLeast"/>
        <w:rPr>
          <w:rFonts w:hint="eastAsia" w:ascii="仿宋_GB2312" w:eastAsia="仿宋_GB2312"/>
          <w:color w:val="000000"/>
        </w:rPr>
      </w:pPr>
      <w:r>
        <w:rPr>
          <w:rFonts w:hint="eastAsia" w:ascii="仿宋_GB2312" w:eastAsia="仿宋_GB2312"/>
          <w:color w:val="000000"/>
        </w:rPr>
        <w:t> </w:t>
      </w:r>
    </w:p>
    <w:bookmarkEnd w:id="93"/>
    <w:p>
      <w:pPr>
        <w:snapToGrid w:val="0"/>
        <w:spacing w:before="120" w:beforeLines="50" w:after="50" w:line="400" w:lineRule="exact"/>
        <w:rPr>
          <w:rFonts w:ascii="仿宋_GB2312" w:eastAsia="仿宋_GB2312"/>
          <w:color w:val="000000" w:themeColor="text1"/>
          <w:szCs w:val="21"/>
          <w14:textFill>
            <w14:solidFill>
              <w14:schemeClr w14:val="tx1"/>
            </w14:solidFill>
          </w14:textFill>
        </w:rPr>
        <w:sectPr>
          <w:pgSz w:w="11906" w:h="16838"/>
          <w:pgMar w:top="1440" w:right="707" w:bottom="1440" w:left="1440" w:header="851" w:footer="992" w:gutter="0"/>
          <w:cols w:space="720" w:num="1"/>
          <w:docGrid w:linePitch="312" w:charSpace="0"/>
        </w:sectPr>
      </w:pPr>
    </w:p>
    <w:p>
      <w:pPr>
        <w:spacing w:line="276" w:lineRule="auto"/>
        <w:jc w:val="center"/>
        <w:rPr>
          <w:rFonts w:hint="eastAsia" w:ascii="仿宋_GB2312" w:hAnsi="宋体" w:eastAsia="仿宋_GB2312"/>
          <w:b/>
          <w:bCs/>
          <w:sz w:val="56"/>
          <w:szCs w:val="56"/>
        </w:rPr>
      </w:pPr>
      <w:r>
        <w:rPr>
          <w:rFonts w:hint="eastAsia" w:ascii="仿宋_GB2312" w:hAnsi="宋体" w:eastAsia="仿宋_GB2312"/>
          <w:b/>
          <w:bCs/>
          <w:sz w:val="56"/>
          <w:szCs w:val="56"/>
        </w:rPr>
        <w:t xml:space="preserve">   </w:t>
      </w:r>
    </w:p>
    <w:p>
      <w:pPr>
        <w:spacing w:line="276" w:lineRule="auto"/>
        <w:jc w:val="center"/>
        <w:rPr>
          <w:rFonts w:hint="eastAsia" w:ascii="仿宋_GB2312" w:hAnsi="宋体" w:eastAsia="仿宋_GB2312"/>
          <w:b/>
          <w:bCs/>
          <w:sz w:val="56"/>
          <w:szCs w:val="56"/>
        </w:rPr>
      </w:pPr>
    </w:p>
    <w:p>
      <w:pPr>
        <w:spacing w:line="276" w:lineRule="auto"/>
        <w:jc w:val="center"/>
        <w:rPr>
          <w:rFonts w:hint="eastAsia" w:ascii="仿宋_GB2312" w:hAnsi="宋体" w:eastAsia="仿宋_GB2312"/>
          <w:b/>
          <w:bCs/>
          <w:sz w:val="56"/>
          <w:szCs w:val="56"/>
        </w:rPr>
      </w:pPr>
    </w:p>
    <w:p>
      <w:pPr>
        <w:spacing w:line="276" w:lineRule="auto"/>
        <w:jc w:val="center"/>
        <w:rPr>
          <w:rFonts w:hint="eastAsia" w:ascii="仿宋_GB2312" w:hAnsi="宋体" w:eastAsia="仿宋_GB2312"/>
          <w:b/>
          <w:bCs/>
          <w:sz w:val="56"/>
          <w:szCs w:val="56"/>
        </w:rPr>
      </w:pPr>
    </w:p>
    <w:p>
      <w:pPr>
        <w:spacing w:line="276" w:lineRule="auto"/>
        <w:rPr>
          <w:rFonts w:hint="eastAsia" w:ascii="仿宋_GB2312" w:hAnsi="宋体" w:eastAsia="仿宋_GB2312"/>
          <w:b/>
          <w:bCs/>
          <w:sz w:val="56"/>
          <w:szCs w:val="56"/>
        </w:rPr>
      </w:pPr>
    </w:p>
    <w:p>
      <w:pPr>
        <w:spacing w:line="276" w:lineRule="auto"/>
        <w:rPr>
          <w:rFonts w:hint="eastAsia" w:ascii="仿宋_GB2312" w:hAnsi="宋体" w:eastAsia="仿宋_GB2312"/>
          <w:b/>
          <w:bCs/>
          <w:sz w:val="56"/>
          <w:szCs w:val="56"/>
        </w:rPr>
      </w:pPr>
    </w:p>
    <w:p>
      <w:pPr>
        <w:spacing w:line="276" w:lineRule="auto"/>
        <w:rPr>
          <w:rFonts w:hint="eastAsia" w:ascii="仿宋_GB2312" w:hAnsi="宋体" w:eastAsia="仿宋_GB2312"/>
          <w:b/>
          <w:bCs/>
          <w:sz w:val="56"/>
          <w:szCs w:val="56"/>
        </w:rPr>
      </w:pPr>
    </w:p>
    <w:p>
      <w:pPr>
        <w:spacing w:line="276" w:lineRule="auto"/>
        <w:jc w:val="center"/>
        <w:rPr>
          <w:rFonts w:hint="eastAsia" w:ascii="仿宋_GB2312" w:hAnsi="宋体" w:eastAsia="仿宋_GB2312"/>
          <w:b/>
          <w:bCs/>
          <w:sz w:val="56"/>
          <w:szCs w:val="56"/>
        </w:rPr>
      </w:pPr>
      <w:r>
        <w:rPr>
          <w:rFonts w:hint="eastAsia" w:ascii="仿宋_GB2312" w:hAnsi="宋体" w:eastAsia="仿宋_GB2312"/>
          <w:b/>
          <w:bCs/>
          <w:sz w:val="56"/>
          <w:szCs w:val="56"/>
        </w:rPr>
        <w:t>二、报  价 要 求 文  件  格  式</w:t>
      </w:r>
    </w:p>
    <w:p>
      <w:pPr>
        <w:snapToGrid w:val="0"/>
        <w:spacing w:before="50" w:after="50"/>
        <w:rPr>
          <w:rFonts w:ascii="仿宋_GB2312" w:eastAsia="仿宋_GB2312"/>
          <w:bCs/>
          <w:sz w:val="30"/>
          <w:szCs w:val="30"/>
        </w:rPr>
      </w:pPr>
    </w:p>
    <w:p>
      <w:pPr>
        <w:snapToGrid w:val="0"/>
        <w:spacing w:before="50" w:after="50"/>
        <w:rPr>
          <w:rFonts w:ascii="仿宋_GB2312" w:eastAsia="仿宋_GB2312"/>
          <w:bCs/>
          <w:sz w:val="30"/>
          <w:szCs w:val="30"/>
        </w:rPr>
        <w:sectPr>
          <w:pgSz w:w="11906" w:h="16838"/>
          <w:pgMar w:top="1440" w:right="1440" w:bottom="1440" w:left="1440" w:header="851" w:footer="992" w:gutter="0"/>
          <w:cols w:space="720" w:num="1"/>
          <w:docGrid w:linePitch="312" w:charSpace="0"/>
        </w:sectPr>
      </w:pPr>
    </w:p>
    <w:p>
      <w:pPr>
        <w:snapToGrid w:val="0"/>
        <w:spacing w:before="50" w:after="50" w:line="400" w:lineRule="exact"/>
        <w:rPr>
          <w:rFonts w:ascii="仿宋_GB2312" w:eastAsia="仿宋_GB2312"/>
          <w:b/>
          <w:bCs/>
          <w:sz w:val="24"/>
        </w:rPr>
      </w:pPr>
      <w:r>
        <w:rPr>
          <w:rFonts w:hint="eastAsia" w:ascii="仿宋_GB2312" w:eastAsia="仿宋_GB2312"/>
          <w:b/>
          <w:bCs/>
          <w:sz w:val="24"/>
        </w:rPr>
        <w:t>报价要求文件目录：</w:t>
      </w:r>
    </w:p>
    <w:p>
      <w:pPr>
        <w:snapToGrid w:val="0"/>
        <w:spacing w:before="50" w:after="50" w:line="400" w:lineRule="exact"/>
        <w:rPr>
          <w:rFonts w:ascii="仿宋_GB2312" w:eastAsia="仿宋_GB2312"/>
          <w:b/>
          <w:bCs/>
          <w:szCs w:val="21"/>
        </w:rPr>
      </w:pPr>
    </w:p>
    <w:p>
      <w:pPr>
        <w:tabs>
          <w:tab w:val="left" w:pos="3870"/>
          <w:tab w:val="left" w:pos="4085"/>
        </w:tabs>
        <w:snapToGrid w:val="0"/>
        <w:jc w:val="center"/>
        <w:rPr>
          <w:rFonts w:ascii="仿宋_GB2312" w:eastAsia="仿宋_GB2312"/>
          <w:sz w:val="36"/>
          <w:szCs w:val="36"/>
        </w:rPr>
      </w:pPr>
    </w:p>
    <w:p>
      <w:pPr>
        <w:spacing w:line="276" w:lineRule="auto"/>
        <w:jc w:val="center"/>
        <w:rPr>
          <w:rFonts w:ascii="仿宋_GB2312" w:eastAsia="仿宋_GB2312"/>
          <w:sz w:val="44"/>
          <w:szCs w:val="44"/>
        </w:rPr>
      </w:pPr>
      <w:r>
        <w:rPr>
          <w:rFonts w:hint="eastAsia" w:ascii="仿宋_GB2312" w:eastAsia="仿宋_GB2312"/>
          <w:sz w:val="44"/>
          <w:szCs w:val="44"/>
        </w:rPr>
        <w:t>目    录</w:t>
      </w:r>
    </w:p>
    <w:p>
      <w:pPr>
        <w:spacing w:line="360" w:lineRule="auto"/>
        <w:ind w:firstLine="480" w:firstLineChars="200"/>
        <w:rPr>
          <w:rFonts w:ascii="仿宋_GB2312" w:eastAsia="仿宋_GB2312" w:cs="Courier New"/>
          <w:sz w:val="24"/>
        </w:rPr>
      </w:pPr>
      <w:r>
        <w:rPr>
          <w:rFonts w:hint="eastAsia" w:ascii="仿宋_GB2312" w:eastAsia="仿宋_GB2312" w:cs="Courier New"/>
          <w:sz w:val="24"/>
        </w:rPr>
        <w:t>（1）开标一览表（</w:t>
      </w:r>
      <w:r>
        <w:rPr>
          <w:rFonts w:hint="eastAsia" w:ascii="仿宋_GB2312" w:eastAsia="仿宋_GB2312"/>
          <w:b/>
          <w:bCs/>
          <w:sz w:val="24"/>
        </w:rPr>
        <w:t>必须提供</w:t>
      </w:r>
      <w:r>
        <w:rPr>
          <w:rFonts w:hint="eastAsia" w:ascii="仿宋_GB2312" w:eastAsia="仿宋_GB2312" w:cs="Courier New"/>
          <w:sz w:val="24"/>
        </w:rPr>
        <w:t>）…………………………………………………………</w:t>
      </w:r>
    </w:p>
    <w:p>
      <w:pPr>
        <w:spacing w:line="360" w:lineRule="auto"/>
        <w:ind w:firstLine="1080" w:firstLineChars="450"/>
        <w:rPr>
          <w:rFonts w:ascii="仿宋_GB2312" w:eastAsia="仿宋_GB2312" w:cs="Courier New"/>
          <w:sz w:val="24"/>
        </w:rPr>
      </w:pPr>
    </w:p>
    <w:p>
      <w:pPr>
        <w:spacing w:line="360" w:lineRule="auto"/>
        <w:ind w:firstLine="424" w:firstLineChars="177"/>
        <w:rPr>
          <w:rFonts w:ascii="仿宋_GB2312" w:eastAsia="仿宋_GB2312" w:cs="Courier New"/>
          <w:sz w:val="24"/>
        </w:rPr>
      </w:pPr>
      <w:r>
        <w:rPr>
          <w:rFonts w:hint="eastAsia" w:ascii="仿宋_GB2312" w:eastAsia="仿宋_GB2312" w:cs="Courier New"/>
          <w:sz w:val="24"/>
        </w:rPr>
        <w:t>（</w:t>
      </w:r>
      <w:r>
        <w:rPr>
          <w:rFonts w:ascii="仿宋_GB2312" w:eastAsia="仿宋_GB2312" w:cs="Courier New"/>
          <w:sz w:val="24"/>
        </w:rPr>
        <w:t>2</w:t>
      </w:r>
      <w:r>
        <w:rPr>
          <w:rFonts w:hint="eastAsia" w:ascii="仿宋_GB2312" w:eastAsia="仿宋_GB2312" w:cs="Courier New"/>
          <w:sz w:val="24"/>
        </w:rPr>
        <w:t>）投标报价明细表</w:t>
      </w:r>
      <w:r>
        <w:rPr>
          <w:rFonts w:hint="eastAsia" w:ascii="仿宋_GB2312" w:eastAsia="仿宋_GB2312" w:cs="Courier New"/>
          <w:b/>
          <w:bCs/>
          <w:sz w:val="24"/>
        </w:rPr>
        <w:t>（必须提供）</w:t>
      </w:r>
      <w:r>
        <w:rPr>
          <w:rFonts w:hint="eastAsia" w:ascii="仿宋_GB2312" w:eastAsia="仿宋_GB2312" w:cs="Courier New"/>
          <w:sz w:val="24"/>
        </w:rPr>
        <w:t>……………………………………………………</w:t>
      </w:r>
    </w:p>
    <w:p>
      <w:pPr>
        <w:snapToGrid w:val="0"/>
        <w:spacing w:before="120" w:beforeLines="50" w:after="50" w:line="320" w:lineRule="exact"/>
        <w:jc w:val="center"/>
        <w:rPr>
          <w:rFonts w:ascii="仿宋_GB2312" w:eastAsia="仿宋_GB2312"/>
          <w:sz w:val="30"/>
          <w:szCs w:val="30"/>
        </w:rPr>
        <w:sectPr>
          <w:pgSz w:w="11906" w:h="16838"/>
          <w:pgMar w:top="1440" w:right="1440" w:bottom="1440" w:left="1440" w:header="851" w:footer="992" w:gutter="0"/>
          <w:cols w:space="720" w:num="1"/>
          <w:docGrid w:linePitch="312" w:charSpace="0"/>
        </w:sectPr>
      </w:pPr>
    </w:p>
    <w:p>
      <w:pPr>
        <w:spacing w:line="276" w:lineRule="auto"/>
        <w:jc w:val="left"/>
        <w:rPr>
          <w:rFonts w:ascii="仿宋_GB2312" w:hAnsi="Courier New" w:eastAsia="仿宋_GB2312" w:cs="Courier New"/>
          <w:b/>
          <w:sz w:val="24"/>
        </w:rPr>
      </w:pPr>
      <w:r>
        <w:rPr>
          <w:rFonts w:hint="eastAsia" w:ascii="仿宋_GB2312" w:hAnsi="Courier New" w:eastAsia="仿宋_GB2312" w:cs="Courier New"/>
          <w:b/>
          <w:sz w:val="24"/>
        </w:rPr>
        <w:t>（1）开标一览表格式（必须提供）：</w:t>
      </w:r>
    </w:p>
    <w:p>
      <w:pPr>
        <w:snapToGrid w:val="0"/>
        <w:spacing w:before="50" w:after="50" w:line="400" w:lineRule="exact"/>
        <w:jc w:val="center"/>
        <w:rPr>
          <w:rFonts w:ascii="仿宋_GB2312" w:eastAsia="仿宋_GB2312"/>
          <w:b/>
          <w:bCs/>
          <w:sz w:val="32"/>
          <w:szCs w:val="32"/>
        </w:rPr>
      </w:pPr>
      <w:r>
        <w:rPr>
          <w:rFonts w:hint="eastAsia" w:ascii="仿宋_GB2312" w:eastAsia="仿宋_GB2312"/>
          <w:b/>
          <w:bCs/>
          <w:sz w:val="32"/>
          <w:szCs w:val="32"/>
        </w:rPr>
        <w:t>开标一览表</w:t>
      </w:r>
    </w:p>
    <w:p>
      <w:pPr>
        <w:snapToGrid w:val="0"/>
        <w:spacing w:before="50" w:after="50" w:line="400" w:lineRule="exact"/>
        <w:jc w:val="center"/>
        <w:rPr>
          <w:rFonts w:ascii="仿宋_GB2312" w:eastAsia="仿宋_GB2312"/>
          <w:b/>
          <w:sz w:val="30"/>
        </w:rPr>
      </w:pPr>
    </w:p>
    <w:p>
      <w:pPr>
        <w:snapToGrid w:val="0"/>
        <w:spacing w:before="50" w:after="120" w:afterLines="50" w:line="400" w:lineRule="exact"/>
        <w:jc w:val="left"/>
        <w:rPr>
          <w:rFonts w:ascii="仿宋_GB2312" w:eastAsia="仿宋_GB2312"/>
          <w:sz w:val="24"/>
        </w:rPr>
      </w:pPr>
      <w:r>
        <w:rPr>
          <w:rFonts w:hint="eastAsia" w:ascii="仿宋_GB2312" w:eastAsia="仿宋_GB2312"/>
          <w:sz w:val="24"/>
        </w:rPr>
        <w:t>项目名称：</w:t>
      </w:r>
    </w:p>
    <w:p>
      <w:pPr>
        <w:snapToGrid w:val="0"/>
        <w:spacing w:before="50" w:after="120" w:afterLines="50" w:line="400" w:lineRule="exact"/>
        <w:jc w:val="left"/>
        <w:rPr>
          <w:rFonts w:ascii="仿宋_GB2312" w:eastAsia="仿宋_GB2312"/>
          <w:sz w:val="24"/>
        </w:rPr>
      </w:pPr>
      <w:r>
        <w:rPr>
          <w:rFonts w:hint="eastAsia" w:ascii="仿宋_GB2312" w:eastAsia="仿宋_GB2312"/>
          <w:sz w:val="24"/>
        </w:rPr>
        <w:t xml:space="preserve">项目编号： </w:t>
      </w:r>
    </w:p>
    <w:p>
      <w:pPr>
        <w:snapToGrid w:val="0"/>
        <w:spacing w:before="50" w:after="120" w:afterLines="50" w:line="400" w:lineRule="exact"/>
        <w:jc w:val="left"/>
        <w:rPr>
          <w:rFonts w:ascii="仿宋_GB2312" w:eastAsia="仿宋_GB2312"/>
          <w:b/>
          <w:sz w:val="24"/>
        </w:rPr>
      </w:pPr>
      <w:r>
        <w:rPr>
          <w:rFonts w:hint="eastAsia" w:ascii="仿宋_GB2312" w:eastAsia="仿宋_GB2312"/>
          <w:sz w:val="24"/>
        </w:rPr>
        <w:t xml:space="preserve">                                   </w:t>
      </w:r>
    </w:p>
    <w:p>
      <w:pPr>
        <w:snapToGrid w:val="0"/>
        <w:spacing w:before="50" w:after="120" w:afterLines="50" w:line="400" w:lineRule="exact"/>
        <w:ind w:firstLine="117" w:firstLineChars="49"/>
        <w:jc w:val="right"/>
        <w:rPr>
          <w:rFonts w:ascii="仿宋_GB2312" w:eastAsia="仿宋_GB2312"/>
          <w:b/>
          <w:sz w:val="24"/>
        </w:rPr>
      </w:pPr>
      <w:r>
        <w:rPr>
          <w:rFonts w:hint="eastAsia" w:ascii="仿宋_GB2312" w:eastAsia="仿宋_GB2312"/>
          <w:sz w:val="24"/>
        </w:rPr>
        <w:t xml:space="preserve">                                                金额单位：人民币（元）</w:t>
      </w:r>
    </w:p>
    <w:tbl>
      <w:tblPr>
        <w:tblStyle w:val="48"/>
        <w:tblW w:w="970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7"/>
        <w:gridCol w:w="3950"/>
        <w:gridCol w:w="1458"/>
        <w:gridCol w:w="1519"/>
        <w:gridCol w:w="192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ascii="仿宋_GB2312" w:eastAsia="仿宋_GB2312"/>
                <w:sz w:val="24"/>
              </w:rPr>
            </w:pPr>
            <w:r>
              <w:rPr>
                <w:rFonts w:hint="eastAsia" w:ascii="仿宋_GB2312" w:eastAsia="仿宋_GB2312"/>
                <w:sz w:val="24"/>
              </w:rPr>
              <w:t>序号</w:t>
            </w:r>
          </w:p>
        </w:tc>
        <w:tc>
          <w:tcPr>
            <w:tcW w:w="3950"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center"/>
              <w:rPr>
                <w:rFonts w:ascii="仿宋_GB2312" w:eastAsia="仿宋_GB2312"/>
                <w:sz w:val="24"/>
              </w:rPr>
            </w:pPr>
            <w:r>
              <w:rPr>
                <w:rFonts w:hint="eastAsia" w:ascii="仿宋_GB2312" w:eastAsia="仿宋_GB2312"/>
                <w:sz w:val="24"/>
              </w:rPr>
              <w:t>服务内容</w:t>
            </w:r>
          </w:p>
        </w:tc>
        <w:tc>
          <w:tcPr>
            <w:tcW w:w="1458"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center"/>
              <w:rPr>
                <w:rFonts w:ascii="仿宋_GB2312" w:eastAsia="仿宋_GB2312"/>
                <w:sz w:val="24"/>
              </w:rPr>
            </w:pPr>
            <w:r>
              <w:rPr>
                <w:rFonts w:hint="eastAsia" w:ascii="仿宋_GB2312" w:eastAsia="仿宋_GB2312"/>
                <w:sz w:val="24"/>
              </w:rPr>
              <w:t>单位及数量</w:t>
            </w:r>
          </w:p>
        </w:tc>
        <w:tc>
          <w:tcPr>
            <w:tcW w:w="15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center"/>
              <w:rPr>
                <w:rFonts w:ascii="仿宋_GB2312" w:eastAsia="仿宋_GB2312"/>
                <w:sz w:val="24"/>
              </w:rPr>
            </w:pPr>
            <w:r>
              <w:rPr>
                <w:rFonts w:hint="eastAsia" w:ascii="仿宋_GB2312" w:eastAsia="仿宋_GB2312"/>
                <w:sz w:val="24"/>
              </w:rPr>
              <w:t>报价</w:t>
            </w:r>
          </w:p>
        </w:tc>
        <w:tc>
          <w:tcPr>
            <w:tcW w:w="1926"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center"/>
              <w:rPr>
                <w:rFonts w:ascii="仿宋_GB2312" w:eastAsia="仿宋_GB2312"/>
                <w:sz w:val="24"/>
              </w:rPr>
            </w:pPr>
            <w:r>
              <w:rPr>
                <w:rFonts w:hint="eastAsia" w:ascii="仿宋_GB2312" w:eastAsia="仿宋_GB2312"/>
                <w:sz w:val="24"/>
              </w:rPr>
              <w:t>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9"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center"/>
              <w:rPr>
                <w:rFonts w:ascii="仿宋_GB2312" w:eastAsia="仿宋_GB2312"/>
                <w:sz w:val="24"/>
              </w:rPr>
            </w:pPr>
          </w:p>
        </w:tc>
        <w:tc>
          <w:tcPr>
            <w:tcW w:w="3950"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center"/>
              <w:rPr>
                <w:rFonts w:ascii="仿宋_GB2312" w:eastAsia="仿宋_GB2312"/>
                <w:sz w:val="24"/>
              </w:rPr>
            </w:pPr>
          </w:p>
        </w:tc>
        <w:tc>
          <w:tcPr>
            <w:tcW w:w="1458"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ascii="仿宋_GB2312" w:eastAsia="仿宋_GB2312"/>
                <w:sz w:val="24"/>
              </w:rPr>
            </w:pPr>
          </w:p>
        </w:tc>
        <w:tc>
          <w:tcPr>
            <w:tcW w:w="15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ascii="仿宋_GB2312" w:eastAsia="仿宋_GB2312"/>
                <w:sz w:val="24"/>
              </w:rPr>
            </w:pPr>
          </w:p>
        </w:tc>
        <w:tc>
          <w:tcPr>
            <w:tcW w:w="1926"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仿宋_GB2312" w:eastAsia="仿宋_GB2312"/>
                <w:sz w:val="24"/>
              </w:rPr>
            </w:pPr>
          </w:p>
        </w:tc>
        <w:tc>
          <w:tcPr>
            <w:tcW w:w="3950"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center"/>
              <w:rPr>
                <w:rFonts w:ascii="仿宋_GB2312" w:eastAsia="仿宋_GB2312"/>
                <w:sz w:val="24"/>
              </w:rPr>
            </w:pPr>
          </w:p>
        </w:tc>
        <w:tc>
          <w:tcPr>
            <w:tcW w:w="1458"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ascii="仿宋_GB2312" w:eastAsia="仿宋_GB2312"/>
                <w:sz w:val="24"/>
              </w:rPr>
            </w:pPr>
          </w:p>
        </w:tc>
        <w:tc>
          <w:tcPr>
            <w:tcW w:w="15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ascii="仿宋_GB2312" w:eastAsia="仿宋_GB2312"/>
                <w:sz w:val="24"/>
              </w:rPr>
            </w:pPr>
          </w:p>
        </w:tc>
        <w:tc>
          <w:tcPr>
            <w:tcW w:w="1926"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23"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仿宋_GB2312" w:eastAsia="仿宋_GB2312"/>
                <w:sz w:val="24"/>
              </w:rPr>
            </w:pPr>
          </w:p>
        </w:tc>
        <w:tc>
          <w:tcPr>
            <w:tcW w:w="3950"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center"/>
              <w:rPr>
                <w:rFonts w:ascii="仿宋_GB2312" w:eastAsia="仿宋_GB2312"/>
                <w:sz w:val="24"/>
              </w:rPr>
            </w:pPr>
          </w:p>
        </w:tc>
        <w:tc>
          <w:tcPr>
            <w:tcW w:w="1458"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ascii="仿宋_GB2312" w:eastAsia="仿宋_GB2312"/>
                <w:sz w:val="24"/>
              </w:rPr>
            </w:pPr>
          </w:p>
        </w:tc>
        <w:tc>
          <w:tcPr>
            <w:tcW w:w="15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ascii="仿宋_GB2312" w:eastAsia="仿宋_GB2312"/>
                <w:sz w:val="24"/>
              </w:rPr>
            </w:pPr>
          </w:p>
        </w:tc>
        <w:tc>
          <w:tcPr>
            <w:tcW w:w="1926"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9700" w:type="dxa"/>
            <w:gridSpan w:val="5"/>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ascii="仿宋_GB2312" w:eastAsia="仿宋_GB2312"/>
                <w:sz w:val="24"/>
                <w:u w:val="single"/>
              </w:rPr>
            </w:pPr>
            <w:r>
              <w:rPr>
                <w:rFonts w:hint="eastAsia" w:ascii="仿宋_GB2312" w:eastAsia="仿宋_GB2312"/>
                <w:b/>
                <w:sz w:val="24"/>
              </w:rPr>
              <w:t>总报价</w:t>
            </w:r>
            <w:r>
              <w:rPr>
                <w:rFonts w:hint="eastAsia" w:ascii="仿宋_GB2312" w:eastAsia="仿宋_GB2312"/>
                <w:sz w:val="24"/>
              </w:rPr>
              <w:t>（人民币大写）</w:t>
            </w:r>
            <w:r>
              <w:rPr>
                <w:rFonts w:hint="eastAsia" w:ascii="仿宋_GB2312" w:eastAsia="仿宋_GB2312"/>
                <w:sz w:val="24"/>
                <w:u w:val="single"/>
              </w:rPr>
              <w:t>：                     （</w:t>
            </w:r>
            <w:r>
              <w:rPr>
                <w:rFonts w:hint="eastAsia" w:ascii="宋体" w:hAnsi="宋体" w:cs="宋体"/>
                <w:sz w:val="24"/>
              </w:rPr>
              <w:t>¥</w:t>
            </w:r>
            <w:r>
              <w:rPr>
                <w:rFonts w:hint="eastAsia" w:ascii="仿宋_GB2312" w:eastAsia="仿宋_GB2312"/>
                <w:sz w:val="24"/>
                <w:u w:val="single"/>
              </w:rPr>
              <w:t xml:space="preserve">                ） </w:t>
            </w:r>
          </w:p>
        </w:tc>
      </w:tr>
    </w:tbl>
    <w:p>
      <w:pPr>
        <w:snapToGrid w:val="0"/>
        <w:spacing w:before="50" w:after="50" w:line="400" w:lineRule="exact"/>
        <w:jc w:val="left"/>
        <w:rPr>
          <w:rFonts w:ascii="仿宋_GB2312" w:eastAsia="仿宋_GB2312"/>
          <w:sz w:val="24"/>
        </w:rPr>
      </w:pPr>
    </w:p>
    <w:p>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注：1.</w:t>
      </w:r>
      <w:r>
        <w:rPr>
          <w:rFonts w:hint="eastAsia" w:ascii="仿宋_GB2312" w:eastAsia="仿宋_GB2312"/>
          <w:b/>
          <w:sz w:val="24"/>
        </w:rPr>
        <w:t>此项材料必须</w:t>
      </w:r>
      <w:r>
        <w:rPr>
          <w:rFonts w:hint="eastAsia" w:ascii="仿宋_GB2312" w:hAnsi="宋体" w:eastAsia="仿宋_GB2312"/>
          <w:b/>
          <w:bCs/>
          <w:sz w:val="24"/>
        </w:rPr>
        <w:t>以PDF格式上传；</w:t>
      </w:r>
    </w:p>
    <w:p>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2.报价一经涂改，应在涂改处加盖投标人CA电子签章或者由法定代表人或授权委托代理人签字或盖章，否则其投标作无效标处理；</w:t>
      </w:r>
    </w:p>
    <w:p>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3.投标费用包括采购需求中“</w:t>
      </w:r>
      <w:r>
        <w:rPr>
          <w:rFonts w:hint="eastAsia" w:ascii="仿宋_GB2312" w:hAnsi="宋体" w:eastAsia="仿宋_GB2312" w:cs="Arial"/>
          <w:b/>
          <w:bCs/>
          <w:sz w:val="24"/>
        </w:rPr>
        <w:t>报价要求</w:t>
      </w:r>
      <w:r>
        <w:rPr>
          <w:rFonts w:hint="eastAsia" w:ascii="仿宋_GB2312" w:eastAsia="仿宋_GB2312"/>
          <w:b/>
          <w:bCs/>
          <w:sz w:val="24"/>
        </w:rPr>
        <w:t>”中的所有费用；</w:t>
      </w:r>
    </w:p>
    <w:p>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4.以上报价应与“投标报价明细表”中的“总</w:t>
      </w:r>
      <w:r>
        <w:rPr>
          <w:rFonts w:hint="eastAsia" w:ascii="仿宋_GB2312" w:eastAsia="仿宋_GB2312"/>
          <w:b/>
          <w:bCs/>
          <w:sz w:val="24"/>
          <w:lang w:eastAsia="zh-CN"/>
        </w:rPr>
        <w:t>报</w:t>
      </w:r>
      <w:r>
        <w:rPr>
          <w:rFonts w:hint="eastAsia" w:ascii="仿宋_GB2312" w:eastAsia="仿宋_GB2312"/>
          <w:b/>
          <w:bCs/>
          <w:sz w:val="24"/>
        </w:rPr>
        <w:t>价”相一致。</w:t>
      </w:r>
    </w:p>
    <w:p>
      <w:pPr>
        <w:snapToGrid w:val="0"/>
        <w:spacing w:before="50" w:after="50" w:line="400" w:lineRule="exact"/>
        <w:ind w:firstLine="723" w:firstLineChars="200"/>
        <w:jc w:val="left"/>
        <w:rPr>
          <w:rFonts w:ascii="仿宋_GB2312" w:eastAsia="仿宋_GB2312"/>
          <w:b/>
          <w:bCs/>
          <w:sz w:val="36"/>
          <w:szCs w:val="36"/>
        </w:rPr>
      </w:pPr>
    </w:p>
    <w:p>
      <w:pPr>
        <w:snapToGrid w:val="0"/>
        <w:spacing w:line="400" w:lineRule="exact"/>
        <w:ind w:firstLine="420" w:firstLineChars="200"/>
        <w:rPr>
          <w:rFonts w:ascii="仿宋_GB2312" w:eastAsia="仿宋_GB2312"/>
          <w:szCs w:val="21"/>
        </w:rPr>
      </w:pPr>
      <w:r>
        <w:rPr>
          <w:rFonts w:hint="eastAsia" w:ascii="仿宋_GB2312" w:eastAsia="仿宋_GB2312"/>
          <w:szCs w:val="21"/>
        </w:rPr>
        <w:t xml:space="preserve">         </w:t>
      </w:r>
    </w:p>
    <w:p>
      <w:pPr>
        <w:snapToGrid w:val="0"/>
        <w:spacing w:line="400" w:lineRule="exact"/>
        <w:ind w:firstLine="420" w:firstLineChars="200"/>
        <w:rPr>
          <w:rFonts w:ascii="仿宋_GB2312" w:eastAsia="仿宋_GB2312"/>
          <w:szCs w:val="21"/>
        </w:rPr>
      </w:pPr>
    </w:p>
    <w:p>
      <w:pPr>
        <w:snapToGrid w:val="0"/>
        <w:spacing w:line="400" w:lineRule="exact"/>
        <w:ind w:firstLine="420" w:firstLineChars="200"/>
        <w:rPr>
          <w:rFonts w:ascii="仿宋_GB2312" w:eastAsia="仿宋_GB2312"/>
          <w:szCs w:val="21"/>
        </w:rPr>
      </w:pPr>
    </w:p>
    <w:p>
      <w:pPr>
        <w:pStyle w:val="26"/>
        <w:ind w:firstLine="4515" w:firstLineChars="2150"/>
        <w:rPr>
          <w:rFonts w:ascii="仿宋_GB2312" w:eastAsia="仿宋_GB2312"/>
        </w:rPr>
      </w:pPr>
    </w:p>
    <w:p>
      <w:pPr>
        <w:pStyle w:val="26"/>
        <w:ind w:firstLine="4515" w:firstLineChars="2150"/>
        <w:rPr>
          <w:rFonts w:ascii="仿宋_GB2312" w:eastAsia="仿宋_GB2312"/>
        </w:rPr>
      </w:pPr>
    </w:p>
    <w:p>
      <w:pPr>
        <w:jc w:val="center"/>
        <w:rPr>
          <w:rFonts w:ascii="仿宋_GB2312" w:eastAsia="仿宋_GB2312"/>
          <w:szCs w:val="21"/>
          <w:u w:val="single"/>
        </w:rPr>
      </w:pPr>
      <w:r>
        <w:rPr>
          <w:rFonts w:hint="eastAsia" w:ascii="仿宋_GB2312" w:eastAsia="仿宋_GB2312"/>
          <w:sz w:val="24"/>
        </w:rPr>
        <w:t>法定代表人或委托代理人</w:t>
      </w:r>
      <w:r>
        <w:rPr>
          <w:rFonts w:hint="eastAsia" w:ascii="仿宋_GB2312" w:eastAsia="仿宋_GB2312"/>
          <w:b/>
          <w:bCs/>
          <w:sz w:val="24"/>
        </w:rPr>
        <w:t>（签字）：</w:t>
      </w:r>
      <w:r>
        <w:rPr>
          <w:rFonts w:hint="eastAsia" w:ascii="仿宋_GB2312" w:eastAsia="仿宋_GB2312"/>
          <w:szCs w:val="21"/>
          <w:u w:val="single"/>
        </w:rPr>
        <w:t xml:space="preserve">         </w:t>
      </w:r>
      <w:r>
        <w:rPr>
          <w:rFonts w:ascii="仿宋_GB2312" w:eastAsia="仿宋_GB2312"/>
          <w:szCs w:val="21"/>
          <w:u w:val="single"/>
        </w:rPr>
        <w:t xml:space="preserve">         </w:t>
      </w:r>
    </w:p>
    <w:p>
      <w:pPr>
        <w:jc w:val="center"/>
        <w:rPr>
          <w:rFonts w:ascii="仿宋_GB2312" w:eastAsia="仿宋_GB2312"/>
          <w:szCs w:val="21"/>
          <w:u w:val="single"/>
        </w:rPr>
      </w:pPr>
    </w:p>
    <w:p>
      <w:pPr>
        <w:pStyle w:val="26"/>
        <w:ind w:firstLine="5160" w:firstLineChars="2150"/>
        <w:rPr>
          <w:rFonts w:ascii="仿宋_GB2312" w:eastAsia="仿宋_GB2312"/>
        </w:rPr>
      </w:pPr>
      <w:r>
        <w:rPr>
          <w:rFonts w:hint="eastAsia" w:ascii="仿宋_GB2312" w:eastAsia="仿宋_GB2312"/>
          <w:sz w:val="24"/>
          <w:szCs w:val="24"/>
        </w:rPr>
        <w:t>投标人</w:t>
      </w:r>
      <w:r>
        <w:rPr>
          <w:rFonts w:hint="eastAsia" w:ascii="仿宋_GB2312" w:eastAsia="仿宋_GB2312"/>
          <w:b/>
          <w:bCs/>
          <w:sz w:val="24"/>
          <w:szCs w:val="24"/>
        </w:rPr>
        <w:t>（CA电子签章）</w:t>
      </w:r>
      <w:r>
        <w:rPr>
          <w:rFonts w:hint="eastAsia" w:ascii="仿宋_GB2312" w:eastAsia="仿宋_GB2312"/>
        </w:rPr>
        <w:t>：</w:t>
      </w:r>
      <w:r>
        <w:rPr>
          <w:rFonts w:hint="eastAsia" w:ascii="仿宋_GB2312" w:eastAsia="仿宋_GB2312"/>
          <w:u w:val="single"/>
        </w:rPr>
        <w:t xml:space="preserve">                </w:t>
      </w:r>
    </w:p>
    <w:p>
      <w:pPr>
        <w:pStyle w:val="26"/>
        <w:spacing w:line="400" w:lineRule="exact"/>
        <w:rPr>
          <w:rFonts w:hint="eastAsia" w:ascii="仿宋_GB2312" w:hAnsi="宋体" w:eastAsia="仿宋_GB2312"/>
        </w:rPr>
      </w:pPr>
    </w:p>
    <w:p>
      <w:pPr>
        <w:pStyle w:val="26"/>
        <w:spacing w:line="240" w:lineRule="atLeast"/>
        <w:jc w:val="right"/>
        <w:rPr>
          <w:rFonts w:hint="eastAsia" w:ascii="仿宋_GB2312" w:hAnsi="宋体" w:eastAsia="仿宋_GB2312"/>
        </w:rPr>
      </w:pPr>
      <w:r>
        <w:rPr>
          <w:rFonts w:hint="eastAsia" w:ascii="仿宋_GB2312" w:hAnsi="宋体" w:eastAsia="仿宋_GB2312"/>
        </w:rPr>
        <w:t>日期：       年   月   日</w:t>
      </w:r>
    </w:p>
    <w:p>
      <w:pPr>
        <w:pStyle w:val="26"/>
        <w:spacing w:line="240" w:lineRule="atLeast"/>
        <w:jc w:val="left"/>
        <w:rPr>
          <w:rFonts w:hint="eastAsia" w:ascii="仿宋_GB2312" w:hAnsi="宋体" w:eastAsia="仿宋_GB2312"/>
        </w:rPr>
      </w:pPr>
    </w:p>
    <w:p>
      <w:pPr>
        <w:widowControl/>
        <w:jc w:val="left"/>
        <w:rPr>
          <w:rFonts w:hint="eastAsia" w:ascii="仿宋_GB2312" w:hAnsi="宋体" w:eastAsia="仿宋_GB2312" w:cs="Courier New"/>
          <w:szCs w:val="21"/>
        </w:rPr>
      </w:pPr>
      <w:r>
        <w:rPr>
          <w:rFonts w:ascii="仿宋_GB2312" w:hAnsi="宋体" w:eastAsia="仿宋_GB2312"/>
        </w:rPr>
        <w:br w:type="page"/>
      </w:r>
    </w:p>
    <w:p>
      <w:pPr>
        <w:spacing w:line="276" w:lineRule="auto"/>
        <w:jc w:val="left"/>
        <w:rPr>
          <w:rFonts w:hint="eastAsia" w:ascii="仿宋_GB2312" w:eastAsia="仿宋_GB2312"/>
          <w:b/>
          <w:sz w:val="24"/>
        </w:rPr>
      </w:pPr>
      <w:r>
        <w:rPr>
          <w:rFonts w:hint="eastAsia" w:ascii="仿宋_GB2312" w:eastAsia="仿宋_GB2312"/>
          <w:b/>
          <w:sz w:val="24"/>
        </w:rPr>
        <w:t>（</w:t>
      </w:r>
      <w:r>
        <w:rPr>
          <w:rFonts w:ascii="仿宋_GB2312" w:eastAsia="仿宋_GB2312"/>
          <w:b/>
          <w:sz w:val="24"/>
        </w:rPr>
        <w:t>2</w:t>
      </w:r>
      <w:r>
        <w:rPr>
          <w:rFonts w:hint="eastAsia" w:ascii="仿宋_GB2312" w:eastAsia="仿宋_GB2312"/>
          <w:b/>
          <w:sz w:val="24"/>
        </w:rPr>
        <w:t>）投标报价明细表格式（必须提供）：</w:t>
      </w:r>
    </w:p>
    <w:p>
      <w:pPr>
        <w:snapToGrid w:val="0"/>
        <w:spacing w:before="50" w:after="50" w:line="400" w:lineRule="exact"/>
        <w:ind w:firstLine="3518" w:firstLineChars="1095"/>
        <w:rPr>
          <w:rFonts w:hint="eastAsia" w:ascii="仿宋_GB2312" w:eastAsia="仿宋_GB2312"/>
          <w:b/>
          <w:sz w:val="32"/>
          <w:szCs w:val="32"/>
        </w:rPr>
      </w:pPr>
      <w:r>
        <w:rPr>
          <w:rFonts w:hint="eastAsia" w:ascii="仿宋_GB2312" w:eastAsia="仿宋_GB2312"/>
          <w:b/>
          <w:sz w:val="32"/>
          <w:szCs w:val="32"/>
        </w:rPr>
        <w:t>投标报价明细表</w:t>
      </w:r>
    </w:p>
    <w:p>
      <w:pPr>
        <w:snapToGrid w:val="0"/>
        <w:spacing w:before="50" w:after="156" w:afterLines="50" w:line="400" w:lineRule="exact"/>
        <w:jc w:val="left"/>
        <w:rPr>
          <w:rFonts w:hint="eastAsia" w:ascii="仿宋_GB2312" w:eastAsia="仿宋_GB2312"/>
          <w:sz w:val="24"/>
        </w:rPr>
      </w:pPr>
      <w:r>
        <w:rPr>
          <w:rFonts w:hint="eastAsia" w:ascii="仿宋_GB2312" w:eastAsia="仿宋_GB2312"/>
          <w:sz w:val="24"/>
        </w:rPr>
        <w:t>项目名称：</w:t>
      </w:r>
    </w:p>
    <w:p>
      <w:pPr>
        <w:snapToGrid w:val="0"/>
        <w:spacing w:before="50" w:after="156" w:afterLines="50" w:line="400" w:lineRule="exact"/>
        <w:jc w:val="left"/>
        <w:rPr>
          <w:rFonts w:hint="eastAsia" w:ascii="仿宋_GB2312" w:eastAsia="仿宋_GB2312"/>
          <w:sz w:val="24"/>
        </w:rPr>
      </w:pPr>
      <w:r>
        <w:rPr>
          <w:rFonts w:hint="eastAsia" w:ascii="仿宋_GB2312" w:eastAsia="仿宋_GB2312"/>
          <w:sz w:val="24"/>
        </w:rPr>
        <w:t>项目编号：</w:t>
      </w:r>
    </w:p>
    <w:p>
      <w:pPr>
        <w:spacing w:line="500" w:lineRule="exact"/>
        <w:rPr>
          <w:rFonts w:hint="eastAsia" w:ascii="仿宋_GB2312" w:hAnsi="宋体" w:eastAsia="仿宋_GB2312"/>
          <w:color w:val="000000"/>
          <w:sz w:val="24"/>
        </w:rPr>
      </w:pPr>
    </w:p>
    <w:p>
      <w:pPr>
        <w:snapToGrid w:val="0"/>
        <w:spacing w:before="50" w:after="156" w:afterLines="50" w:line="400" w:lineRule="exact"/>
        <w:ind w:firstLine="102" w:firstLineChars="49"/>
        <w:jc w:val="right"/>
        <w:rPr>
          <w:rFonts w:hint="eastAsia" w:ascii="仿宋_GB2312" w:eastAsia="仿宋_GB2312"/>
          <w:b/>
          <w:szCs w:val="21"/>
        </w:rPr>
      </w:pPr>
      <w:r>
        <w:rPr>
          <w:rFonts w:hint="eastAsia" w:ascii="仿宋_GB2312" w:eastAsia="仿宋_GB2312"/>
        </w:rPr>
        <w:t xml:space="preserve"> 金额单位：人民币（元）</w:t>
      </w:r>
    </w:p>
    <w:tbl>
      <w:tblPr>
        <w:tblStyle w:val="48"/>
        <w:tblW w:w="970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7"/>
        <w:gridCol w:w="3950"/>
        <w:gridCol w:w="1458"/>
        <w:gridCol w:w="1519"/>
        <w:gridCol w:w="192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ascii="仿宋_GB2312" w:eastAsia="仿宋_GB2312"/>
                <w:color w:val="auto"/>
                <w:sz w:val="24"/>
                <w:highlight w:val="none"/>
              </w:rPr>
            </w:pPr>
            <w:r>
              <w:rPr>
                <w:rFonts w:hint="eastAsia" w:ascii="仿宋_GB2312" w:eastAsia="仿宋_GB2312"/>
                <w:color w:val="auto"/>
                <w:sz w:val="24"/>
                <w:highlight w:val="none"/>
              </w:rPr>
              <w:t>序号</w:t>
            </w:r>
          </w:p>
        </w:tc>
        <w:tc>
          <w:tcPr>
            <w:tcW w:w="3950"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服务内容</w:t>
            </w:r>
          </w:p>
        </w:tc>
        <w:tc>
          <w:tcPr>
            <w:tcW w:w="1458"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单位及数量</w:t>
            </w:r>
          </w:p>
        </w:tc>
        <w:tc>
          <w:tcPr>
            <w:tcW w:w="15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报价</w:t>
            </w:r>
          </w:p>
        </w:tc>
        <w:tc>
          <w:tcPr>
            <w:tcW w:w="1926"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9"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center"/>
              <w:rPr>
                <w:rFonts w:ascii="仿宋_GB2312" w:eastAsia="仿宋_GB2312"/>
                <w:color w:val="auto"/>
                <w:sz w:val="24"/>
                <w:highlight w:val="none"/>
              </w:rPr>
            </w:pPr>
          </w:p>
        </w:tc>
        <w:tc>
          <w:tcPr>
            <w:tcW w:w="3950"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center"/>
              <w:rPr>
                <w:rFonts w:ascii="仿宋_GB2312" w:eastAsia="仿宋_GB2312"/>
                <w:color w:val="auto"/>
                <w:sz w:val="24"/>
                <w:highlight w:val="none"/>
              </w:rPr>
            </w:pPr>
          </w:p>
        </w:tc>
        <w:tc>
          <w:tcPr>
            <w:tcW w:w="1458"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ascii="仿宋_GB2312" w:eastAsia="仿宋_GB2312"/>
                <w:color w:val="auto"/>
                <w:sz w:val="24"/>
                <w:highlight w:val="none"/>
              </w:rPr>
            </w:pPr>
          </w:p>
        </w:tc>
        <w:tc>
          <w:tcPr>
            <w:tcW w:w="15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ascii="仿宋_GB2312" w:eastAsia="仿宋_GB2312"/>
                <w:color w:val="auto"/>
                <w:sz w:val="24"/>
                <w:highlight w:val="none"/>
              </w:rPr>
            </w:pPr>
          </w:p>
        </w:tc>
        <w:tc>
          <w:tcPr>
            <w:tcW w:w="1926"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ascii="仿宋_GB2312"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仿宋_GB2312" w:eastAsia="仿宋_GB2312"/>
                <w:color w:val="auto"/>
                <w:sz w:val="24"/>
                <w:highlight w:val="none"/>
              </w:rPr>
            </w:pPr>
          </w:p>
        </w:tc>
        <w:tc>
          <w:tcPr>
            <w:tcW w:w="3950"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center"/>
              <w:rPr>
                <w:rFonts w:ascii="仿宋_GB2312" w:eastAsia="仿宋_GB2312"/>
                <w:color w:val="auto"/>
                <w:sz w:val="24"/>
                <w:highlight w:val="none"/>
              </w:rPr>
            </w:pPr>
          </w:p>
        </w:tc>
        <w:tc>
          <w:tcPr>
            <w:tcW w:w="1458"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ascii="仿宋_GB2312" w:eastAsia="仿宋_GB2312"/>
                <w:color w:val="auto"/>
                <w:sz w:val="24"/>
                <w:highlight w:val="none"/>
              </w:rPr>
            </w:pPr>
          </w:p>
        </w:tc>
        <w:tc>
          <w:tcPr>
            <w:tcW w:w="15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ascii="仿宋_GB2312" w:eastAsia="仿宋_GB2312"/>
                <w:color w:val="auto"/>
                <w:sz w:val="24"/>
                <w:highlight w:val="none"/>
              </w:rPr>
            </w:pPr>
          </w:p>
        </w:tc>
        <w:tc>
          <w:tcPr>
            <w:tcW w:w="1926"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ascii="仿宋_GB2312"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23"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仿宋_GB2312" w:eastAsia="仿宋_GB2312"/>
                <w:color w:val="auto"/>
                <w:sz w:val="24"/>
                <w:highlight w:val="none"/>
              </w:rPr>
            </w:pPr>
          </w:p>
        </w:tc>
        <w:tc>
          <w:tcPr>
            <w:tcW w:w="3950"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center"/>
              <w:rPr>
                <w:rFonts w:ascii="仿宋_GB2312" w:eastAsia="仿宋_GB2312"/>
                <w:color w:val="auto"/>
                <w:sz w:val="24"/>
                <w:highlight w:val="none"/>
              </w:rPr>
            </w:pPr>
          </w:p>
        </w:tc>
        <w:tc>
          <w:tcPr>
            <w:tcW w:w="1458"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ascii="仿宋_GB2312" w:eastAsia="仿宋_GB2312"/>
                <w:color w:val="auto"/>
                <w:sz w:val="24"/>
                <w:highlight w:val="none"/>
              </w:rPr>
            </w:pPr>
          </w:p>
        </w:tc>
        <w:tc>
          <w:tcPr>
            <w:tcW w:w="15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ascii="仿宋_GB2312" w:eastAsia="仿宋_GB2312"/>
                <w:color w:val="auto"/>
                <w:sz w:val="24"/>
                <w:highlight w:val="none"/>
              </w:rPr>
            </w:pPr>
          </w:p>
        </w:tc>
        <w:tc>
          <w:tcPr>
            <w:tcW w:w="1926"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ascii="仿宋_GB2312"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9700" w:type="dxa"/>
            <w:gridSpan w:val="5"/>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ascii="仿宋_GB2312" w:eastAsia="仿宋_GB2312"/>
                <w:color w:val="auto"/>
                <w:sz w:val="24"/>
                <w:highlight w:val="none"/>
                <w:u w:val="single"/>
              </w:rPr>
            </w:pPr>
            <w:r>
              <w:rPr>
                <w:rFonts w:hint="eastAsia" w:ascii="仿宋_GB2312" w:eastAsia="仿宋_GB2312"/>
                <w:b/>
                <w:color w:val="auto"/>
                <w:sz w:val="24"/>
                <w:highlight w:val="none"/>
              </w:rPr>
              <w:t>总报价</w:t>
            </w:r>
            <w:r>
              <w:rPr>
                <w:rFonts w:hint="eastAsia" w:ascii="仿宋_GB2312" w:eastAsia="仿宋_GB2312"/>
                <w:color w:val="auto"/>
                <w:sz w:val="24"/>
                <w:highlight w:val="none"/>
              </w:rPr>
              <w:t>（人民币大写）</w:t>
            </w:r>
            <w:r>
              <w:rPr>
                <w:rFonts w:hint="eastAsia" w:ascii="仿宋_GB2312" w:eastAsia="仿宋_GB2312"/>
                <w:color w:val="auto"/>
                <w:sz w:val="24"/>
                <w:highlight w:val="none"/>
                <w:u w:val="single"/>
              </w:rPr>
              <w:t>：                     （</w:t>
            </w:r>
            <w:r>
              <w:rPr>
                <w:rFonts w:hint="eastAsia" w:ascii="宋体" w:hAnsi="宋体" w:cs="宋体"/>
                <w:color w:val="auto"/>
                <w:sz w:val="24"/>
                <w:highlight w:val="none"/>
              </w:rPr>
              <w:t>¥</w:t>
            </w:r>
            <w:r>
              <w:rPr>
                <w:rFonts w:hint="eastAsia" w:ascii="仿宋_GB2312" w:eastAsia="仿宋_GB2312"/>
                <w:color w:val="auto"/>
                <w:sz w:val="24"/>
                <w:highlight w:val="none"/>
                <w:u w:val="single"/>
              </w:rPr>
              <w:t xml:space="preserve">                ） </w:t>
            </w:r>
          </w:p>
        </w:tc>
      </w:tr>
    </w:tbl>
    <w:p>
      <w:pPr>
        <w:snapToGrid w:val="0"/>
        <w:spacing w:before="50" w:after="50" w:line="400" w:lineRule="exact"/>
        <w:ind w:firstLine="480" w:firstLineChars="200"/>
        <w:jc w:val="left"/>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注：</w:t>
      </w:r>
      <w:r>
        <w:rPr>
          <w:rFonts w:hint="eastAsia" w:ascii="仿宋_GB2312" w:eastAsia="仿宋_GB2312"/>
          <w:b/>
          <w:bCs/>
          <w:color w:val="auto"/>
          <w:sz w:val="24"/>
          <w:szCs w:val="24"/>
          <w:highlight w:val="none"/>
        </w:rPr>
        <w:t>1.投标报价明细表的总报价与开标一览表的总报价一致。</w:t>
      </w:r>
    </w:p>
    <w:p>
      <w:pPr>
        <w:snapToGrid w:val="0"/>
        <w:spacing w:before="50" w:after="50" w:line="400" w:lineRule="exact"/>
        <w:ind w:firstLine="480" w:firstLineChars="200"/>
        <w:jc w:val="left"/>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2.报价一经涂改，应在涂改处加盖投标人CA电子签章或者由法定代表人或授权委托代理人签字或盖章，否则其投标作无效标处理；</w:t>
      </w:r>
    </w:p>
    <w:p>
      <w:pPr>
        <w:snapToGrid w:val="0"/>
        <w:spacing w:before="50" w:line="400" w:lineRule="exact"/>
        <w:ind w:firstLine="482" w:firstLineChars="200"/>
        <w:jc w:val="left"/>
        <w:rPr>
          <w:rFonts w:hint="eastAsia" w:ascii="仿宋_GB2312" w:eastAsia="仿宋_GB2312"/>
          <w:b/>
          <w:bCs/>
          <w:color w:val="auto"/>
          <w:sz w:val="24"/>
          <w:szCs w:val="24"/>
          <w:highlight w:val="none"/>
        </w:rPr>
      </w:pPr>
      <w:r>
        <w:rPr>
          <w:rFonts w:hint="eastAsia" w:ascii="仿宋_GB2312" w:eastAsia="仿宋_GB2312"/>
          <w:b/>
          <w:bCs/>
          <w:color w:val="auto"/>
          <w:sz w:val="24"/>
          <w:szCs w:val="24"/>
          <w:highlight w:val="none"/>
        </w:rPr>
        <w:t>3.在填写时，如本表格不适合投标人的实际情况，可自行制表填写。</w:t>
      </w:r>
    </w:p>
    <w:p>
      <w:pPr>
        <w:snapToGrid w:val="0"/>
        <w:spacing w:before="50" w:after="50" w:line="400" w:lineRule="exact"/>
        <w:jc w:val="left"/>
        <w:rPr>
          <w:rFonts w:hint="eastAsia" w:ascii="仿宋_GB2312" w:eastAsia="仿宋_GB2312"/>
          <w:color w:val="auto"/>
          <w:sz w:val="24"/>
          <w:szCs w:val="24"/>
          <w:highlight w:val="none"/>
        </w:rPr>
      </w:pPr>
    </w:p>
    <w:p>
      <w:pPr>
        <w:snapToGrid w:val="0"/>
        <w:spacing w:before="50" w:after="50" w:line="400" w:lineRule="exact"/>
        <w:ind w:left="-2" w:leftChars="-1" w:right="-817" w:rightChars="-389" w:firstLine="480" w:firstLineChars="200"/>
        <w:jc w:val="left"/>
        <w:rPr>
          <w:rFonts w:hint="eastAsia" w:ascii="仿宋_GB2312" w:eastAsia="仿宋_GB2312"/>
          <w:color w:val="auto"/>
          <w:sz w:val="24"/>
          <w:szCs w:val="24"/>
          <w:highlight w:val="none"/>
          <w:u w:val="single"/>
        </w:rPr>
      </w:pPr>
      <w:r>
        <w:rPr>
          <w:rFonts w:hint="eastAsia" w:ascii="仿宋_GB2312" w:eastAsia="仿宋_GB2312"/>
          <w:color w:val="auto"/>
          <w:sz w:val="24"/>
          <w:szCs w:val="24"/>
          <w:highlight w:val="none"/>
        </w:rPr>
        <w:t xml:space="preserve">                         </w:t>
      </w:r>
      <w:r>
        <w:rPr>
          <w:rFonts w:ascii="仿宋_GB2312" w:eastAsia="仿宋_GB2312"/>
          <w:color w:val="auto"/>
          <w:sz w:val="24"/>
          <w:szCs w:val="24"/>
          <w:highlight w:val="none"/>
        </w:rPr>
        <w:t xml:space="preserve">    </w:t>
      </w:r>
      <w:r>
        <w:rPr>
          <w:rFonts w:hint="eastAsia" w:ascii="仿宋_GB2312" w:eastAsia="仿宋_GB2312"/>
          <w:color w:val="auto"/>
          <w:sz w:val="24"/>
          <w:szCs w:val="24"/>
          <w:highlight w:val="none"/>
        </w:rPr>
        <w:t>法定代表人或委托代理人</w:t>
      </w:r>
      <w:r>
        <w:rPr>
          <w:rFonts w:hint="eastAsia" w:ascii="仿宋_GB2312" w:eastAsia="仿宋_GB2312"/>
          <w:b/>
          <w:bCs/>
          <w:color w:val="auto"/>
          <w:sz w:val="24"/>
          <w:szCs w:val="24"/>
          <w:highlight w:val="none"/>
        </w:rPr>
        <w:t>（签字）：</w:t>
      </w:r>
      <w:r>
        <w:rPr>
          <w:rFonts w:hint="eastAsia" w:ascii="仿宋_GB2312" w:eastAsia="仿宋_GB2312"/>
          <w:color w:val="auto"/>
          <w:sz w:val="24"/>
          <w:szCs w:val="24"/>
          <w:highlight w:val="none"/>
          <w:u w:val="single"/>
        </w:rPr>
        <w:t xml:space="preserve">              </w:t>
      </w:r>
    </w:p>
    <w:p>
      <w:pPr>
        <w:snapToGrid w:val="0"/>
        <w:spacing w:before="50" w:after="50" w:line="400" w:lineRule="exact"/>
        <w:ind w:left="-2" w:leftChars="-1" w:right="-817" w:rightChars="-389" w:firstLine="5760" w:firstLineChars="2400"/>
        <w:jc w:val="left"/>
        <w:rPr>
          <w:rFonts w:ascii="仿宋_GB2312" w:hAnsi="Courier New" w:eastAsia="仿宋_GB2312" w:cs="Courier New"/>
          <w:color w:val="auto"/>
          <w:sz w:val="24"/>
          <w:szCs w:val="24"/>
          <w:highlight w:val="none"/>
        </w:rPr>
      </w:pPr>
      <w:r>
        <w:rPr>
          <w:rFonts w:hint="eastAsia" w:ascii="仿宋_GB2312" w:hAnsi="Courier New" w:eastAsia="仿宋_GB2312" w:cs="Courier New"/>
          <w:color w:val="auto"/>
          <w:sz w:val="24"/>
          <w:szCs w:val="24"/>
          <w:highlight w:val="none"/>
        </w:rPr>
        <w:t>投标人</w:t>
      </w:r>
      <w:r>
        <w:rPr>
          <w:rFonts w:hint="eastAsia" w:ascii="仿宋_GB2312" w:hAnsi="Courier New" w:eastAsia="仿宋_GB2312" w:cs="Courier New"/>
          <w:b/>
          <w:bCs/>
          <w:color w:val="auto"/>
          <w:sz w:val="24"/>
          <w:szCs w:val="24"/>
          <w:highlight w:val="none"/>
        </w:rPr>
        <w:t>（CA电子签章）</w:t>
      </w:r>
      <w:r>
        <w:rPr>
          <w:rFonts w:hint="eastAsia" w:ascii="仿宋_GB2312" w:hAnsi="Courier New" w:eastAsia="仿宋_GB2312" w:cs="Courier New"/>
          <w:color w:val="auto"/>
          <w:sz w:val="24"/>
          <w:szCs w:val="24"/>
          <w:highlight w:val="none"/>
        </w:rPr>
        <w:t>：</w:t>
      </w:r>
      <w:r>
        <w:rPr>
          <w:rFonts w:hint="eastAsia" w:ascii="仿宋_GB2312" w:hAnsi="Courier New" w:eastAsia="仿宋_GB2312" w:cs="Courier New"/>
          <w:color w:val="auto"/>
          <w:sz w:val="24"/>
          <w:szCs w:val="24"/>
          <w:highlight w:val="none"/>
          <w:u w:val="single"/>
        </w:rPr>
        <w:t xml:space="preserve">        </w:t>
      </w:r>
    </w:p>
    <w:p>
      <w:pPr>
        <w:snapToGrid w:val="0"/>
        <w:spacing w:before="120" w:beforeLines="50" w:after="50" w:line="400" w:lineRule="exact"/>
        <w:outlineLvl w:val="1"/>
        <w:rPr>
          <w:rFonts w:ascii="仿宋_GB2312" w:eastAsia="仿宋_GB2312"/>
          <w:b/>
          <w:bCs/>
          <w:szCs w:val="21"/>
        </w:rPr>
      </w:pPr>
    </w:p>
    <w:p>
      <w:pPr>
        <w:snapToGrid w:val="0"/>
        <w:spacing w:before="120" w:beforeLines="50" w:after="50" w:line="400" w:lineRule="exact"/>
        <w:outlineLvl w:val="1"/>
        <w:rPr>
          <w:rFonts w:ascii="仿宋_GB2312" w:eastAsia="仿宋_GB2312"/>
          <w:b/>
          <w:bCs/>
          <w:szCs w:val="21"/>
        </w:rPr>
      </w:pPr>
      <w:r>
        <w:rPr>
          <w:rFonts w:ascii="仿宋_GB2312" w:hAnsi="宋体" w:eastAsia="仿宋_GB2312" w:cs="仿宋_GB2312"/>
          <w:b/>
          <w:bCs/>
          <w:color w:val="000000"/>
          <w:sz w:val="24"/>
          <w:szCs w:val="24"/>
        </w:rPr>
        <w:t>注：此项材料必须以 PDF 格式上传。</w:t>
      </w:r>
    </w:p>
    <w:p>
      <w:pPr>
        <w:snapToGrid w:val="0"/>
        <w:spacing w:before="120" w:beforeLines="50" w:after="50" w:line="400" w:lineRule="exact"/>
        <w:outlineLvl w:val="1"/>
        <w:rPr>
          <w:rFonts w:ascii="仿宋_GB2312" w:eastAsia="仿宋_GB2312"/>
          <w:b/>
          <w:bCs/>
          <w:szCs w:val="21"/>
        </w:rPr>
      </w:pPr>
    </w:p>
    <w:p>
      <w:pPr>
        <w:snapToGrid w:val="0"/>
        <w:spacing w:before="120" w:beforeLines="50" w:after="50" w:line="400" w:lineRule="exact"/>
        <w:outlineLvl w:val="1"/>
        <w:rPr>
          <w:rFonts w:ascii="仿宋_GB2312" w:eastAsia="仿宋_GB2312"/>
          <w:b/>
          <w:bCs/>
          <w:szCs w:val="21"/>
        </w:rPr>
      </w:pPr>
    </w:p>
    <w:p>
      <w:pPr>
        <w:snapToGrid w:val="0"/>
        <w:spacing w:before="120" w:beforeLines="50" w:after="50" w:line="400" w:lineRule="exact"/>
        <w:outlineLvl w:val="1"/>
        <w:rPr>
          <w:rFonts w:ascii="仿宋_GB2312" w:eastAsia="仿宋_GB2312"/>
          <w:b/>
          <w:bCs/>
          <w:szCs w:val="21"/>
        </w:rPr>
      </w:pPr>
    </w:p>
    <w:p>
      <w:pPr>
        <w:snapToGrid w:val="0"/>
        <w:spacing w:before="120" w:beforeLines="50" w:after="50" w:line="400" w:lineRule="exact"/>
        <w:outlineLvl w:val="1"/>
        <w:rPr>
          <w:rFonts w:ascii="仿宋_GB2312" w:eastAsia="仿宋_GB2312"/>
          <w:b/>
          <w:bCs/>
          <w:szCs w:val="21"/>
        </w:rPr>
      </w:pPr>
    </w:p>
    <w:p>
      <w:pPr>
        <w:snapToGrid w:val="0"/>
        <w:spacing w:before="120" w:beforeLines="50" w:after="50" w:line="400" w:lineRule="exact"/>
        <w:outlineLvl w:val="1"/>
        <w:rPr>
          <w:rFonts w:ascii="仿宋_GB2312" w:eastAsia="仿宋_GB2312"/>
          <w:b/>
          <w:bCs/>
          <w:szCs w:val="21"/>
        </w:rPr>
      </w:pPr>
    </w:p>
    <w:p>
      <w:pPr>
        <w:snapToGrid w:val="0"/>
        <w:spacing w:before="120" w:beforeLines="50" w:after="50" w:line="400" w:lineRule="exact"/>
        <w:outlineLvl w:val="1"/>
        <w:rPr>
          <w:rFonts w:ascii="仿宋_GB2312" w:eastAsia="仿宋_GB2312"/>
          <w:b/>
          <w:bCs/>
          <w:szCs w:val="21"/>
        </w:rPr>
      </w:pPr>
    </w:p>
    <w:p>
      <w:pPr>
        <w:snapToGrid w:val="0"/>
        <w:spacing w:before="120" w:beforeLines="50" w:after="50" w:line="400" w:lineRule="exact"/>
        <w:outlineLvl w:val="1"/>
        <w:rPr>
          <w:rFonts w:ascii="仿宋_GB2312" w:eastAsia="仿宋_GB2312"/>
          <w:b/>
          <w:bCs/>
          <w:szCs w:val="21"/>
        </w:rPr>
      </w:pPr>
    </w:p>
    <w:p>
      <w:pPr>
        <w:snapToGrid w:val="0"/>
        <w:spacing w:before="120" w:beforeLines="50" w:after="50" w:line="400" w:lineRule="exact"/>
        <w:outlineLvl w:val="1"/>
        <w:rPr>
          <w:rFonts w:ascii="仿宋_GB2312" w:eastAsia="仿宋_GB2312"/>
          <w:b/>
          <w:bCs/>
          <w:szCs w:val="21"/>
        </w:rPr>
      </w:pPr>
    </w:p>
    <w:p>
      <w:pPr>
        <w:snapToGrid w:val="0"/>
        <w:spacing w:before="120" w:beforeLines="50" w:after="50" w:line="400" w:lineRule="exact"/>
        <w:outlineLvl w:val="1"/>
        <w:rPr>
          <w:rFonts w:ascii="仿宋_GB2312" w:eastAsia="仿宋_GB2312"/>
          <w:b/>
          <w:bCs/>
          <w:szCs w:val="21"/>
        </w:rPr>
      </w:pPr>
    </w:p>
    <w:p>
      <w:pPr>
        <w:spacing w:line="276" w:lineRule="auto"/>
        <w:rPr>
          <w:rFonts w:hint="eastAsia" w:ascii="仿宋_GB2312" w:hAnsi="宋体" w:eastAsia="仿宋_GB2312"/>
          <w:b/>
          <w:bCs/>
          <w:w w:val="95"/>
          <w:sz w:val="56"/>
          <w:szCs w:val="56"/>
        </w:rPr>
      </w:pPr>
    </w:p>
    <w:p>
      <w:pPr>
        <w:spacing w:line="276" w:lineRule="auto"/>
        <w:rPr>
          <w:rFonts w:hint="eastAsia" w:ascii="仿宋_GB2312" w:hAnsi="宋体" w:eastAsia="仿宋_GB2312"/>
          <w:b/>
          <w:bCs/>
          <w:w w:val="95"/>
          <w:sz w:val="56"/>
          <w:szCs w:val="56"/>
        </w:rPr>
      </w:pPr>
    </w:p>
    <w:p>
      <w:pPr>
        <w:spacing w:line="276" w:lineRule="auto"/>
        <w:rPr>
          <w:rFonts w:hint="eastAsia" w:ascii="仿宋_GB2312" w:hAnsi="宋体" w:eastAsia="仿宋_GB2312"/>
          <w:b/>
          <w:bCs/>
          <w:w w:val="95"/>
          <w:sz w:val="56"/>
          <w:szCs w:val="56"/>
        </w:rPr>
      </w:pPr>
    </w:p>
    <w:p>
      <w:pPr>
        <w:spacing w:line="276" w:lineRule="auto"/>
        <w:rPr>
          <w:rFonts w:hint="eastAsia" w:ascii="仿宋_GB2312" w:hAnsi="宋体" w:eastAsia="仿宋_GB2312"/>
          <w:b/>
          <w:bCs/>
          <w:w w:val="95"/>
          <w:sz w:val="56"/>
          <w:szCs w:val="56"/>
        </w:rPr>
      </w:pPr>
    </w:p>
    <w:p>
      <w:pPr>
        <w:spacing w:line="276" w:lineRule="auto"/>
        <w:rPr>
          <w:rFonts w:hint="eastAsia" w:ascii="仿宋_GB2312" w:hAnsi="宋体" w:eastAsia="仿宋_GB2312"/>
          <w:b/>
          <w:bCs/>
          <w:w w:val="95"/>
          <w:sz w:val="56"/>
          <w:szCs w:val="56"/>
        </w:rPr>
      </w:pPr>
    </w:p>
    <w:p>
      <w:pPr>
        <w:spacing w:line="276" w:lineRule="auto"/>
        <w:rPr>
          <w:rFonts w:hint="eastAsia" w:ascii="仿宋_GB2312" w:hAnsi="宋体" w:eastAsia="仿宋_GB2312"/>
          <w:b/>
          <w:bCs/>
          <w:w w:val="95"/>
          <w:sz w:val="56"/>
          <w:szCs w:val="56"/>
        </w:rPr>
      </w:pPr>
    </w:p>
    <w:p>
      <w:pPr>
        <w:spacing w:line="276" w:lineRule="auto"/>
        <w:rPr>
          <w:rFonts w:hint="eastAsia" w:ascii="仿宋_GB2312" w:hAnsi="宋体" w:eastAsia="仿宋_GB2312"/>
          <w:b/>
          <w:bCs/>
          <w:w w:val="95"/>
          <w:sz w:val="56"/>
          <w:szCs w:val="56"/>
        </w:rPr>
      </w:pPr>
      <w:r>
        <w:rPr>
          <w:rFonts w:hint="eastAsia" w:ascii="仿宋_GB2312" w:hAnsi="宋体" w:eastAsia="仿宋_GB2312"/>
          <w:b/>
          <w:bCs/>
          <w:w w:val="95"/>
          <w:sz w:val="56"/>
          <w:szCs w:val="56"/>
        </w:rPr>
        <w:t xml:space="preserve">三、商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务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技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术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文  件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格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式</w:t>
      </w:r>
    </w:p>
    <w:p>
      <w:pPr>
        <w:spacing w:line="276" w:lineRule="auto"/>
        <w:rPr>
          <w:rFonts w:hint="eastAsia" w:ascii="仿宋_GB2312" w:hAnsi="宋体" w:eastAsia="仿宋_GB2312"/>
          <w:b/>
          <w:bCs/>
          <w:w w:val="95"/>
          <w:sz w:val="56"/>
          <w:szCs w:val="56"/>
        </w:rPr>
      </w:pPr>
    </w:p>
    <w:p>
      <w:pPr>
        <w:spacing w:line="320" w:lineRule="exact"/>
        <w:ind w:right="1080"/>
        <w:jc w:val="left"/>
        <w:rPr>
          <w:rFonts w:hint="eastAsia" w:ascii="仿宋_GB2312" w:hAnsi="宋体" w:eastAsia="仿宋_GB2312" w:cs="Courier New"/>
          <w:sz w:val="24"/>
        </w:rPr>
        <w:sectPr>
          <w:pgSz w:w="11906" w:h="16838"/>
          <w:pgMar w:top="1440" w:right="1440" w:bottom="1440" w:left="1440" w:header="851" w:footer="992" w:gutter="0"/>
          <w:cols w:space="720" w:num="1"/>
          <w:docGrid w:linePitch="312" w:charSpace="0"/>
        </w:sectPr>
      </w:pPr>
    </w:p>
    <w:p>
      <w:pPr>
        <w:snapToGrid w:val="0"/>
        <w:spacing w:before="50" w:after="50" w:line="400" w:lineRule="exact"/>
        <w:rPr>
          <w:rFonts w:ascii="仿宋_GB2312" w:eastAsia="仿宋_GB2312"/>
          <w:b/>
          <w:bCs/>
          <w:sz w:val="24"/>
        </w:rPr>
      </w:pPr>
      <w:r>
        <w:rPr>
          <w:rFonts w:hint="eastAsia" w:ascii="仿宋_GB2312" w:eastAsia="仿宋_GB2312"/>
          <w:b/>
          <w:sz w:val="24"/>
        </w:rPr>
        <w:t>商务技术</w:t>
      </w:r>
      <w:r>
        <w:rPr>
          <w:rFonts w:hint="eastAsia" w:ascii="仿宋_GB2312" w:eastAsia="仿宋_GB2312"/>
          <w:b/>
          <w:bCs/>
          <w:sz w:val="24"/>
        </w:rPr>
        <w:t>文件目录：</w:t>
      </w:r>
    </w:p>
    <w:p>
      <w:pPr>
        <w:snapToGrid w:val="0"/>
        <w:spacing w:before="50" w:after="50"/>
        <w:rPr>
          <w:rFonts w:ascii="仿宋_GB2312" w:eastAsia="仿宋_GB2312"/>
          <w:b/>
          <w:bCs/>
          <w:sz w:val="24"/>
        </w:rPr>
      </w:pPr>
    </w:p>
    <w:p>
      <w:pPr>
        <w:tabs>
          <w:tab w:val="left" w:pos="3870"/>
          <w:tab w:val="left" w:pos="4085"/>
        </w:tabs>
        <w:snapToGrid w:val="0"/>
        <w:spacing w:line="400" w:lineRule="exact"/>
        <w:jc w:val="center"/>
        <w:rPr>
          <w:sz w:val="44"/>
          <w:szCs w:val="44"/>
        </w:rPr>
      </w:pPr>
      <w:r>
        <w:rPr>
          <w:sz w:val="44"/>
          <w:szCs w:val="44"/>
        </w:rPr>
        <w:t>目    录</w:t>
      </w:r>
    </w:p>
    <w:p>
      <w:pPr>
        <w:pStyle w:val="395"/>
        <w:spacing w:before="0" w:beforeAutospacing="0" w:after="0" w:afterAutospacing="0" w:line="400" w:lineRule="atLeast"/>
        <w:rPr>
          <w:rFonts w:ascii="仿宋_GB2312" w:eastAsia="仿宋_GB2312"/>
          <w:color w:val="000000"/>
        </w:rPr>
      </w:pPr>
      <w:r>
        <w:rPr>
          <w:rFonts w:hint="eastAsia" w:ascii="仿宋_GB2312" w:eastAsia="仿宋_GB2312"/>
          <w:color w:val="000000"/>
        </w:rPr>
        <w:t>  （1）投标函（</w:t>
      </w:r>
      <w:r>
        <w:rPr>
          <w:rFonts w:hint="eastAsia" w:ascii="仿宋_GB2312" w:eastAsia="仿宋_GB2312"/>
          <w:b/>
          <w:bCs/>
          <w:color w:val="000000"/>
        </w:rPr>
        <w:t>必须提供</w:t>
      </w:r>
      <w:r>
        <w:rPr>
          <w:rFonts w:hint="eastAsia" w:ascii="仿宋_GB2312" w:eastAsia="仿宋_GB2312"/>
          <w:color w:val="000000"/>
        </w:rPr>
        <w:t>）………………………………………………………………</w:t>
      </w:r>
    </w:p>
    <w:p>
      <w:pPr>
        <w:pStyle w:val="395"/>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（2）项目要求及服务需求响应表（</w:t>
      </w:r>
      <w:r>
        <w:rPr>
          <w:rFonts w:hint="eastAsia" w:ascii="仿宋_GB2312" w:eastAsia="仿宋_GB2312"/>
          <w:b/>
          <w:bCs/>
          <w:color w:val="000000"/>
        </w:rPr>
        <w:t>必须提供</w:t>
      </w:r>
      <w:r>
        <w:rPr>
          <w:rFonts w:hint="eastAsia" w:ascii="仿宋_GB2312" w:eastAsia="仿宋_GB2312"/>
          <w:color w:val="000000"/>
        </w:rPr>
        <w:t>）………………………………………</w:t>
      </w:r>
    </w:p>
    <w:p>
      <w:pPr>
        <w:pStyle w:val="395"/>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w:t>
      </w:r>
    </w:p>
    <w:p>
      <w:pPr>
        <w:pStyle w:val="395"/>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（4）拟投入服务团队承诺函（</w:t>
      </w:r>
      <w:r>
        <w:rPr>
          <w:rFonts w:hint="eastAsia" w:ascii="仿宋_GB2312" w:eastAsia="仿宋_GB2312"/>
          <w:b/>
          <w:bCs/>
          <w:color w:val="000000"/>
        </w:rPr>
        <w:t>必须提供</w:t>
      </w:r>
      <w:r>
        <w:rPr>
          <w:rFonts w:hint="eastAsia" w:ascii="仿宋_GB2312" w:eastAsia="仿宋_GB2312"/>
          <w:color w:val="000000"/>
        </w:rPr>
        <w:t>）……………………………………………</w:t>
      </w:r>
    </w:p>
    <w:p>
      <w:pPr>
        <w:pStyle w:val="395"/>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（5）</w:t>
      </w:r>
      <w:r>
        <w:rPr>
          <w:rFonts w:hint="eastAsia" w:ascii="仿宋_GB2312" w:eastAsia="仿宋_GB2312"/>
          <w:color w:val="000000"/>
          <w:lang w:eastAsia="zh-CN"/>
        </w:rPr>
        <w:t>人员配置分方案</w:t>
      </w:r>
      <w:r>
        <w:rPr>
          <w:rFonts w:hint="eastAsia" w:ascii="仿宋_GB2312" w:eastAsia="仿宋_GB2312"/>
          <w:color w:val="000000"/>
        </w:rPr>
        <w:t>（如有）…………………………………………………</w:t>
      </w:r>
    </w:p>
    <w:p>
      <w:pPr>
        <w:pStyle w:val="395"/>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（6）针对本项目的理解分析和</w:t>
      </w:r>
      <w:r>
        <w:rPr>
          <w:rFonts w:hint="eastAsia" w:ascii="仿宋_GB2312" w:eastAsia="仿宋_GB2312"/>
          <w:color w:val="000000"/>
          <w:lang w:eastAsia="zh-CN"/>
        </w:rPr>
        <w:t>物业服务</w:t>
      </w:r>
      <w:r>
        <w:rPr>
          <w:rFonts w:hint="eastAsia" w:ascii="仿宋_GB2312" w:eastAsia="仿宋_GB2312"/>
          <w:color w:val="000000"/>
        </w:rPr>
        <w:t>方案（如有）………………………………</w:t>
      </w:r>
    </w:p>
    <w:p>
      <w:pPr>
        <w:pStyle w:val="395"/>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 xml:space="preserve"> </w:t>
      </w:r>
      <w:r>
        <w:rPr>
          <w:rFonts w:hint="eastAsia" w:ascii="仿宋_GB2312" w:eastAsia="仿宋_GB2312"/>
          <w:color w:val="000000"/>
        </w:rPr>
        <w:t>（7）针对本项目的管理模式和管理机制（如有）……………………………………    </w:t>
      </w:r>
    </w:p>
    <w:p>
      <w:pPr>
        <w:pStyle w:val="395"/>
        <w:spacing w:before="0" w:beforeAutospacing="0" w:after="0" w:afterAutospacing="0" w:line="400" w:lineRule="atLeast"/>
        <w:ind w:firstLine="480" w:firstLineChars="200"/>
        <w:rPr>
          <w:rFonts w:hint="eastAsia" w:ascii="仿宋_GB2312" w:eastAsia="仿宋_GB2312"/>
          <w:color w:val="000000"/>
        </w:rPr>
      </w:pPr>
      <w:r>
        <w:rPr>
          <w:rFonts w:hint="eastAsia" w:ascii="仿宋_GB2312" w:eastAsia="仿宋_GB2312"/>
          <w:color w:val="000000"/>
        </w:rPr>
        <w:t>（</w:t>
      </w:r>
      <w:r>
        <w:rPr>
          <w:rFonts w:hint="eastAsia" w:ascii="仿宋_GB2312" w:eastAsia="仿宋_GB2312"/>
          <w:color w:val="000000"/>
          <w:lang w:val="en-US" w:eastAsia="zh-CN"/>
        </w:rPr>
        <w:t>8</w:t>
      </w:r>
      <w:r>
        <w:rPr>
          <w:rFonts w:hint="eastAsia" w:ascii="仿宋_GB2312" w:eastAsia="仿宋_GB2312"/>
          <w:color w:val="000000"/>
        </w:rPr>
        <w:t>）应急预案和应急配合方案（如有）………………………………………………</w:t>
      </w:r>
    </w:p>
    <w:p>
      <w:pPr>
        <w:pStyle w:val="395"/>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9</w:t>
      </w:r>
      <w:r>
        <w:rPr>
          <w:rFonts w:hint="eastAsia" w:ascii="仿宋_GB2312" w:eastAsia="仿宋_GB2312"/>
          <w:color w:val="000000"/>
        </w:rPr>
        <w:t>）</w:t>
      </w:r>
      <w:r>
        <w:rPr>
          <w:rFonts w:hint="eastAsia" w:ascii="仿宋_GB2312" w:eastAsia="仿宋_GB2312"/>
          <w:color w:val="000000"/>
          <w:lang w:eastAsia="zh-CN"/>
        </w:rPr>
        <w:t>物资配备</w:t>
      </w:r>
      <w:r>
        <w:rPr>
          <w:rFonts w:hint="eastAsia" w:ascii="仿宋_GB2312" w:eastAsia="仿宋_GB2312"/>
          <w:color w:val="000000"/>
        </w:rPr>
        <w:t>方案（如有）……………………………………………………………</w:t>
      </w:r>
    </w:p>
    <w:p>
      <w:pPr>
        <w:pStyle w:val="395"/>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10</w:t>
      </w:r>
      <w:r>
        <w:rPr>
          <w:rFonts w:hint="eastAsia" w:ascii="仿宋_GB2312" w:eastAsia="仿宋_GB2312"/>
          <w:color w:val="000000"/>
        </w:rPr>
        <w:t>）投标人同类项目经验一览表（如有）……………………………………………</w:t>
      </w:r>
    </w:p>
    <w:p>
      <w:pPr>
        <w:pStyle w:val="395"/>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11</w:t>
      </w:r>
      <w:r>
        <w:rPr>
          <w:rFonts w:hint="eastAsia" w:ascii="仿宋_GB2312" w:eastAsia="仿宋_GB2312"/>
          <w:color w:val="000000"/>
        </w:rPr>
        <w:t>）投标人具备有效的质量管理体系认证证书（如有）……………………………</w:t>
      </w:r>
    </w:p>
    <w:p>
      <w:pPr>
        <w:pStyle w:val="395"/>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12</w:t>
      </w:r>
      <w:r>
        <w:rPr>
          <w:rFonts w:hint="eastAsia" w:ascii="仿宋_GB2312" w:eastAsia="仿宋_GB2312"/>
          <w:color w:val="000000"/>
        </w:rPr>
        <w:t>）投标人具备有效的职业健康安全管理体系认证证书（如有）…………………</w:t>
      </w:r>
    </w:p>
    <w:p>
      <w:pPr>
        <w:pStyle w:val="395"/>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13</w:t>
      </w:r>
      <w:r>
        <w:rPr>
          <w:rFonts w:hint="eastAsia" w:ascii="仿宋_GB2312" w:eastAsia="仿宋_GB2312"/>
          <w:color w:val="000000"/>
        </w:rPr>
        <w:t>）投标人具备有效的环境管理体系认证证书（如有）……………………………</w:t>
      </w:r>
    </w:p>
    <w:p>
      <w:pPr>
        <w:pStyle w:val="395"/>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14</w:t>
      </w:r>
      <w:r>
        <w:rPr>
          <w:rFonts w:hint="eastAsia" w:ascii="仿宋_GB2312" w:eastAsia="仿宋_GB2312"/>
          <w:color w:val="000000"/>
        </w:rPr>
        <w:t>）投标人对本项目的合理化建议和改进措施（如有，格式自拟）………………</w:t>
      </w:r>
    </w:p>
    <w:p>
      <w:pPr>
        <w:pStyle w:val="395"/>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15</w:t>
      </w:r>
      <w:r>
        <w:rPr>
          <w:rFonts w:hint="eastAsia" w:ascii="仿宋_GB2312" w:eastAsia="仿宋_GB2312"/>
          <w:color w:val="000000"/>
        </w:rPr>
        <w:t>）投标人认为必要提供的声明及文件资料（如有，格式自拟）…………………</w:t>
      </w:r>
    </w:p>
    <w:p>
      <w:pPr>
        <w:spacing w:line="320" w:lineRule="exact"/>
        <w:ind w:right="95"/>
        <w:jc w:val="left"/>
        <w:rPr>
          <w:rFonts w:hint="eastAsia" w:ascii="仿宋_GB2312" w:hAnsi="宋体" w:eastAsia="仿宋_GB2312" w:cs="Courier New"/>
          <w:sz w:val="24"/>
        </w:rPr>
        <w:sectPr>
          <w:pgSz w:w="11906" w:h="16838"/>
          <w:pgMar w:top="1440" w:right="707" w:bottom="1440" w:left="1440" w:header="851" w:footer="992" w:gutter="0"/>
          <w:cols w:space="720" w:num="1"/>
          <w:docGrid w:linePitch="312" w:charSpace="0"/>
        </w:sectPr>
      </w:pPr>
    </w:p>
    <w:p>
      <w:pPr>
        <w:spacing w:line="400" w:lineRule="exact"/>
        <w:jc w:val="left"/>
        <w:rPr>
          <w:rFonts w:ascii="仿宋_GB2312" w:hAnsi="Courier New" w:eastAsia="仿宋_GB2312" w:cs="Courier New"/>
          <w:b/>
          <w:color w:val="000000"/>
          <w:sz w:val="24"/>
        </w:rPr>
      </w:pPr>
      <w:r>
        <w:rPr>
          <w:rFonts w:hint="eastAsia" w:ascii="仿宋_GB2312" w:hAnsi="Courier New" w:eastAsia="仿宋_GB2312" w:cs="Courier New"/>
          <w:b/>
          <w:color w:val="000000"/>
          <w:sz w:val="24"/>
        </w:rPr>
        <w:t>（1）投标函格式（必须提供）：</w:t>
      </w:r>
    </w:p>
    <w:p>
      <w:pPr>
        <w:snapToGrid w:val="0"/>
        <w:spacing w:before="50" w:after="50"/>
        <w:ind w:firstLine="3518" w:firstLineChars="1095"/>
        <w:rPr>
          <w:rFonts w:ascii="仿宋_GB2312" w:eastAsia="仿宋_GB2312"/>
          <w:b/>
          <w:sz w:val="32"/>
        </w:rPr>
      </w:pPr>
      <w:r>
        <w:rPr>
          <w:rFonts w:hint="eastAsia" w:ascii="仿宋_GB2312" w:eastAsia="仿宋_GB2312"/>
          <w:b/>
          <w:sz w:val="32"/>
          <w:szCs w:val="32"/>
        </w:rPr>
        <w:t>投 标 函</w:t>
      </w:r>
    </w:p>
    <w:p>
      <w:pPr>
        <w:pStyle w:val="26"/>
        <w:ind w:left="-10" w:firstLine="6" w:firstLineChars="3"/>
        <w:jc w:val="center"/>
        <w:rPr>
          <w:rFonts w:hint="eastAsia" w:ascii="仿宋_GB2312" w:hAnsi="宋体" w:eastAsia="仿宋_GB2312"/>
          <w:b/>
        </w:rPr>
      </w:pPr>
    </w:p>
    <w:p>
      <w:pPr>
        <w:snapToGrid w:val="0"/>
        <w:spacing w:line="400" w:lineRule="exact"/>
        <w:ind w:right="-187" w:rightChars="-89"/>
        <w:rPr>
          <w:rFonts w:ascii="仿宋_GB2312" w:eastAsia="仿宋_GB2312"/>
          <w:szCs w:val="21"/>
        </w:rPr>
      </w:pPr>
      <w:r>
        <w:rPr>
          <w:rFonts w:hint="eastAsia" w:ascii="仿宋_GB2312" w:eastAsia="仿宋_GB2312"/>
          <w:szCs w:val="21"/>
        </w:rPr>
        <w:t>致：</w:t>
      </w:r>
      <w:r>
        <w:rPr>
          <w:rFonts w:ascii="仿宋_GB2312" w:eastAsia="仿宋_GB2312"/>
          <w:szCs w:val="21"/>
          <w:u w:val="single"/>
        </w:rPr>
        <w:t>柳州城市职业学院</w:t>
      </w:r>
      <w:r>
        <w:rPr>
          <w:rFonts w:hint="eastAsia" w:ascii="仿宋_GB2312" w:eastAsia="仿宋_GB2312"/>
          <w:szCs w:val="21"/>
          <w:u w:val="single"/>
        </w:rPr>
        <w:t>、柳州市政府集中采购中心</w:t>
      </w:r>
      <w:r>
        <w:rPr>
          <w:rFonts w:hint="eastAsia" w:ascii="仿宋_GB2312" w:eastAsia="仿宋_GB2312"/>
          <w:szCs w:val="21"/>
        </w:rPr>
        <w:t>：</w:t>
      </w:r>
    </w:p>
    <w:p>
      <w:pPr>
        <w:snapToGrid w:val="0"/>
        <w:spacing w:line="400" w:lineRule="exact"/>
        <w:ind w:right="-187" w:rightChars="-89" w:firstLine="480"/>
        <w:rPr>
          <w:rFonts w:ascii="仿宋_GB2312" w:eastAsia="仿宋_GB2312"/>
          <w:szCs w:val="21"/>
        </w:rPr>
      </w:pPr>
      <w:r>
        <w:rPr>
          <w:rFonts w:hint="eastAsia" w:ascii="仿宋_GB2312" w:eastAsia="仿宋_GB2312"/>
          <w:szCs w:val="21"/>
        </w:rPr>
        <w:t>根据贵方</w:t>
      </w:r>
      <w:r>
        <w:rPr>
          <w:rFonts w:hint="eastAsia" w:ascii="仿宋_GB2312" w:eastAsia="仿宋_GB2312"/>
          <w:szCs w:val="21"/>
          <w:u w:val="single"/>
        </w:rPr>
        <w:t xml:space="preserve">                        </w:t>
      </w:r>
      <w:r>
        <w:rPr>
          <w:rFonts w:hint="eastAsia" w:ascii="仿宋_GB2312" w:eastAsia="仿宋_GB2312"/>
          <w:szCs w:val="21"/>
        </w:rPr>
        <w:t>项目的招标公告（项目编号：</w:t>
      </w:r>
      <w:r>
        <w:rPr>
          <w:rFonts w:hint="eastAsia" w:ascii="仿宋_GB2312" w:eastAsia="仿宋_GB2312"/>
          <w:szCs w:val="21"/>
          <w:u w:val="single"/>
        </w:rPr>
        <w:t xml:space="preserve">           </w:t>
      </w:r>
      <w:r>
        <w:rPr>
          <w:rFonts w:hint="eastAsia" w:ascii="仿宋_GB2312" w:eastAsia="仿宋_GB2312"/>
          <w:szCs w:val="21"/>
        </w:rPr>
        <w:t xml:space="preserve">），我方 </w:t>
      </w:r>
    </w:p>
    <w:p>
      <w:pPr>
        <w:snapToGrid w:val="0"/>
        <w:spacing w:line="400" w:lineRule="exact"/>
        <w:ind w:firstLine="420" w:firstLineChars="200"/>
        <w:rPr>
          <w:rFonts w:ascii="仿宋_GB2312" w:eastAsia="仿宋_GB2312"/>
          <w:szCs w:val="21"/>
        </w:rPr>
      </w:pPr>
      <w:r>
        <w:rPr>
          <w:rFonts w:hint="eastAsia" w:ascii="仿宋_GB2312" w:eastAsia="仿宋_GB2312"/>
          <w:szCs w:val="21"/>
          <w:u w:val="single"/>
        </w:rPr>
        <w:t xml:space="preserve">        </w:t>
      </w:r>
      <w:r>
        <w:rPr>
          <w:rFonts w:hint="eastAsia" w:ascii="仿宋_GB2312" w:eastAsia="仿宋_GB2312"/>
          <w:szCs w:val="21"/>
        </w:rPr>
        <w:t>（姓名及职务）经正式授权并代表投标人</w:t>
      </w:r>
      <w:r>
        <w:rPr>
          <w:rFonts w:hint="eastAsia" w:ascii="仿宋_GB2312" w:eastAsia="仿宋_GB2312"/>
          <w:szCs w:val="21"/>
          <w:u w:val="single"/>
        </w:rPr>
        <w:t xml:space="preserve">         </w:t>
      </w:r>
      <w:r>
        <w:rPr>
          <w:rFonts w:hint="eastAsia" w:ascii="仿宋_GB2312" w:eastAsia="仿宋_GB2312"/>
          <w:szCs w:val="21"/>
        </w:rPr>
        <w:t>（投标人名称）提交电子投标文件，包括：资格文件、报价要求文件、商务技术文件三部分。</w:t>
      </w:r>
    </w:p>
    <w:p>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据此函，授权代表宣布同意如下：</w:t>
      </w:r>
    </w:p>
    <w:p>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1.已详细审查全部招标文件，包括修改文件（如有的话）以及全部参考资料和有关附件，已经了解我方对于招标文件、采购过程、采购结果有依法进行询问、质疑、投诉的权利及相关渠道和要求。</w:t>
      </w:r>
    </w:p>
    <w:p>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2.在投标之前已经与贵方进行了充分的沟通，完全理解并接受招标文件的各项规定和要求，对招标文件的合理性、合法性不再有异议。</w:t>
      </w:r>
    </w:p>
    <w:p>
      <w:pPr>
        <w:snapToGrid w:val="0"/>
        <w:spacing w:line="400" w:lineRule="exact"/>
        <w:ind w:firstLine="420" w:firstLineChars="200"/>
        <w:rPr>
          <w:rFonts w:ascii="仿宋_GB2312" w:eastAsia="仿宋_GB2312"/>
          <w:szCs w:val="21"/>
        </w:rPr>
      </w:pPr>
      <w:r>
        <w:rPr>
          <w:rFonts w:hint="eastAsia" w:ascii="仿宋_GB2312" w:eastAsia="仿宋_GB2312"/>
          <w:szCs w:val="21"/>
        </w:rPr>
        <w:t>3.本投标有效期自投标截止日期后</w:t>
      </w:r>
      <w:r>
        <w:rPr>
          <w:rFonts w:hint="eastAsia" w:ascii="仿宋_GB2312" w:eastAsia="仿宋_GB2312"/>
          <w:szCs w:val="21"/>
          <w:u w:val="single"/>
        </w:rPr>
        <w:t xml:space="preserve">      </w:t>
      </w:r>
      <w:r>
        <w:rPr>
          <w:rFonts w:hint="eastAsia" w:ascii="仿宋_GB2312" w:eastAsia="仿宋_GB2312"/>
          <w:szCs w:val="21"/>
        </w:rPr>
        <w:t>天（日历天）</w:t>
      </w:r>
      <w:r>
        <w:rPr>
          <w:rFonts w:hint="eastAsia" w:ascii="仿宋_GB2312" w:hAnsi="宋体" w:eastAsia="仿宋_GB2312"/>
          <w:b/>
          <w:bCs/>
          <w:szCs w:val="21"/>
        </w:rPr>
        <w:t>（不得少于90天，否则投标无效）</w:t>
      </w:r>
      <w:r>
        <w:rPr>
          <w:rFonts w:hint="eastAsia" w:ascii="仿宋_GB2312" w:eastAsia="仿宋_GB2312"/>
          <w:szCs w:val="21"/>
        </w:rPr>
        <w:t>。</w:t>
      </w:r>
    </w:p>
    <w:p>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4.如中标，本投标文件至本项目合同履行完毕止均保持有效，本投标人将按招标文件及政府采购法律、法规的规定履行合同责任和义务。</w:t>
      </w:r>
    </w:p>
    <w:p>
      <w:pPr>
        <w:snapToGrid w:val="0"/>
        <w:spacing w:line="400" w:lineRule="exact"/>
        <w:ind w:firstLine="420" w:firstLineChars="200"/>
        <w:rPr>
          <w:rFonts w:ascii="仿宋_GB2312" w:eastAsia="仿宋_GB2312"/>
          <w:szCs w:val="21"/>
        </w:rPr>
      </w:pPr>
      <w:r>
        <w:rPr>
          <w:rFonts w:hint="eastAsia" w:ascii="仿宋_GB2312" w:eastAsia="仿宋_GB2312"/>
          <w:szCs w:val="21"/>
        </w:rPr>
        <w:t>5.同意按照贵方要求提供与投标有关的一切数据或资料</w:t>
      </w:r>
      <w:bookmarkStart w:id="94" w:name="_Hlk101451207"/>
      <w:r>
        <w:rPr>
          <w:rFonts w:hint="eastAsia" w:ascii="仿宋_GB2312" w:eastAsia="仿宋_GB2312"/>
          <w:szCs w:val="21"/>
        </w:rPr>
        <w:t>，并承诺我方向贵方提交的所有投标文件、资料都是准确的和真实的。</w:t>
      </w:r>
    </w:p>
    <w:p>
      <w:pPr>
        <w:snapToGrid w:val="0"/>
        <w:spacing w:line="400" w:lineRule="exact"/>
        <w:ind w:firstLine="420" w:firstLineChars="200"/>
        <w:rPr>
          <w:rFonts w:ascii="仿宋_GB2312" w:eastAsia="仿宋_GB2312"/>
          <w:szCs w:val="21"/>
        </w:rPr>
      </w:pPr>
      <w:r>
        <w:rPr>
          <w:rFonts w:hint="eastAsia" w:ascii="仿宋_GB2312" w:eastAsia="仿宋_GB2312"/>
          <w:szCs w:val="21"/>
        </w:rPr>
        <w:t>6.我方不是采购人的附属机构；在获知本项目采购信息后，与采购人聘请的为此项目提供咨询服务的公司及其附属机构没有任何联系。</w:t>
      </w:r>
    </w:p>
    <w:p>
      <w:pPr>
        <w:snapToGrid w:val="0"/>
        <w:spacing w:line="400" w:lineRule="exact"/>
        <w:ind w:firstLine="420" w:firstLineChars="200"/>
        <w:rPr>
          <w:rFonts w:ascii="仿宋_GB2312" w:eastAsia="仿宋_GB2312"/>
          <w:szCs w:val="21"/>
        </w:rPr>
      </w:pPr>
      <w:r>
        <w:rPr>
          <w:rFonts w:hint="eastAsia" w:ascii="仿宋_GB2312" w:eastAsia="仿宋_GB2312"/>
          <w:szCs w:val="21"/>
        </w:rPr>
        <w:t>7.以上事项如有虚假或隐瞒，我方愿意承担一切后果，并不再寻求任何旨在减轻或免除法律责任的辩解。</w:t>
      </w:r>
    </w:p>
    <w:p>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8.与本投标有关的一切正式往来信函请寄：</w:t>
      </w:r>
      <w:bookmarkEnd w:id="94"/>
    </w:p>
    <w:p>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地址：</w:t>
      </w:r>
      <w:r>
        <w:rPr>
          <w:rFonts w:hint="eastAsia" w:ascii="仿宋_GB2312" w:eastAsia="仿宋_GB2312"/>
          <w:szCs w:val="21"/>
          <w:u w:val="single"/>
        </w:rPr>
        <w:t xml:space="preserve">                       </w:t>
      </w:r>
      <w:r>
        <w:rPr>
          <w:rFonts w:hint="eastAsia" w:ascii="仿宋_GB2312" w:eastAsia="仿宋_GB2312"/>
          <w:szCs w:val="21"/>
        </w:rPr>
        <w:t>邮编：</w:t>
      </w:r>
      <w:r>
        <w:rPr>
          <w:rFonts w:hint="eastAsia" w:ascii="仿宋_GB2312" w:eastAsia="仿宋_GB2312"/>
          <w:szCs w:val="21"/>
          <w:u w:val="single"/>
        </w:rPr>
        <w:t xml:space="preserve">            </w:t>
      </w:r>
      <w:r>
        <w:rPr>
          <w:rFonts w:hint="eastAsia" w:ascii="仿宋_GB2312" w:eastAsia="仿宋_GB2312"/>
          <w:szCs w:val="21"/>
        </w:rPr>
        <w:t>电话：</w:t>
      </w:r>
      <w:r>
        <w:rPr>
          <w:rFonts w:hint="eastAsia" w:ascii="仿宋_GB2312" w:eastAsia="仿宋_GB2312"/>
          <w:szCs w:val="21"/>
          <w:u w:val="single"/>
        </w:rPr>
        <w:t xml:space="preserve">            </w:t>
      </w:r>
    </w:p>
    <w:p>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传真：</w:t>
      </w:r>
      <w:r>
        <w:rPr>
          <w:rFonts w:hint="eastAsia" w:ascii="仿宋_GB2312" w:eastAsia="仿宋_GB2312"/>
          <w:szCs w:val="21"/>
          <w:u w:val="single"/>
        </w:rPr>
        <w:t xml:space="preserve">               </w:t>
      </w:r>
      <w:r>
        <w:rPr>
          <w:rFonts w:hint="eastAsia" w:ascii="仿宋_GB2312" w:eastAsia="仿宋_GB2312"/>
          <w:szCs w:val="21"/>
        </w:rPr>
        <w:t>投标人代表姓名：</w:t>
      </w:r>
      <w:r>
        <w:rPr>
          <w:rFonts w:hint="eastAsia" w:ascii="仿宋_GB2312" w:eastAsia="仿宋_GB2312"/>
          <w:szCs w:val="21"/>
          <w:u w:val="single"/>
        </w:rPr>
        <w:t xml:space="preserve">            </w:t>
      </w:r>
      <w:r>
        <w:rPr>
          <w:rFonts w:hint="eastAsia" w:ascii="仿宋_GB2312" w:eastAsia="仿宋_GB2312"/>
          <w:szCs w:val="21"/>
        </w:rPr>
        <w:t>职务：</w:t>
      </w:r>
      <w:r>
        <w:rPr>
          <w:rFonts w:hint="eastAsia" w:ascii="仿宋_GB2312" w:eastAsia="仿宋_GB2312"/>
          <w:szCs w:val="21"/>
          <w:u w:val="single"/>
        </w:rPr>
        <w:t xml:space="preserve">            </w:t>
      </w:r>
    </w:p>
    <w:p>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投标人名称(全称)：</w:t>
      </w:r>
      <w:r>
        <w:rPr>
          <w:rFonts w:hint="eastAsia" w:ascii="仿宋_GB2312" w:eastAsia="仿宋_GB2312"/>
          <w:szCs w:val="21"/>
          <w:u w:val="single"/>
        </w:rPr>
        <w:t xml:space="preserve">                                                 </w:t>
      </w:r>
    </w:p>
    <w:p>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开户银行：</w:t>
      </w:r>
      <w:r>
        <w:rPr>
          <w:rFonts w:hint="eastAsia" w:ascii="仿宋_GB2312" w:eastAsia="仿宋_GB2312"/>
          <w:szCs w:val="21"/>
          <w:u w:val="single"/>
        </w:rPr>
        <w:t xml:space="preserve">                      </w:t>
      </w:r>
      <w:r>
        <w:rPr>
          <w:rFonts w:hint="eastAsia" w:ascii="仿宋_GB2312" w:eastAsia="仿宋_GB2312"/>
          <w:szCs w:val="21"/>
        </w:rPr>
        <w:t xml:space="preserve">   账号：</w:t>
      </w:r>
      <w:r>
        <w:rPr>
          <w:rFonts w:hint="eastAsia" w:ascii="仿宋_GB2312" w:eastAsia="仿宋_GB2312"/>
          <w:szCs w:val="21"/>
          <w:u w:val="single"/>
        </w:rPr>
        <w:t xml:space="preserve">                        </w:t>
      </w:r>
    </w:p>
    <w:p>
      <w:pPr>
        <w:snapToGrid w:val="0"/>
        <w:spacing w:line="400" w:lineRule="exact"/>
        <w:ind w:firstLine="420" w:firstLineChars="200"/>
        <w:rPr>
          <w:rFonts w:ascii="仿宋_GB2312" w:eastAsia="仿宋_GB2312"/>
          <w:szCs w:val="21"/>
        </w:rPr>
      </w:pPr>
      <w:r>
        <w:rPr>
          <w:rFonts w:hint="eastAsia" w:ascii="仿宋_GB2312" w:eastAsia="仿宋_GB2312"/>
          <w:szCs w:val="21"/>
        </w:rPr>
        <w:t xml:space="preserve">         </w:t>
      </w:r>
    </w:p>
    <w:p>
      <w:pPr>
        <w:pStyle w:val="26"/>
        <w:ind w:firstLine="4515" w:firstLineChars="2150"/>
        <w:rPr>
          <w:rFonts w:ascii="仿宋_GB2312" w:eastAsia="仿宋_GB2312"/>
        </w:rPr>
      </w:pPr>
    </w:p>
    <w:p>
      <w:pPr>
        <w:pStyle w:val="26"/>
        <w:ind w:firstLine="4515" w:firstLineChars="2150"/>
        <w:rPr>
          <w:rFonts w:ascii="仿宋_GB2312" w:eastAsia="仿宋_GB2312"/>
        </w:rPr>
      </w:pPr>
    </w:p>
    <w:p>
      <w:pPr>
        <w:jc w:val="center"/>
        <w:rPr>
          <w:rFonts w:ascii="仿宋_GB2312" w:eastAsia="仿宋_GB2312"/>
          <w:szCs w:val="21"/>
          <w:u w:val="single"/>
        </w:rPr>
      </w:pPr>
      <w:r>
        <w:rPr>
          <w:rFonts w:hint="eastAsia" w:ascii="仿宋_GB2312" w:eastAsia="仿宋_GB2312"/>
          <w:szCs w:val="21"/>
        </w:rPr>
        <w:t xml:space="preserve">                      法定代表人或委托代理人</w:t>
      </w:r>
      <w:r>
        <w:rPr>
          <w:rFonts w:hint="eastAsia" w:ascii="仿宋_GB2312" w:eastAsia="仿宋_GB2312"/>
          <w:b/>
          <w:bCs/>
          <w:szCs w:val="21"/>
        </w:rPr>
        <w:t>（签字）：</w:t>
      </w:r>
      <w:r>
        <w:rPr>
          <w:rFonts w:hint="eastAsia" w:ascii="仿宋_GB2312" w:eastAsia="仿宋_GB2312"/>
          <w:szCs w:val="21"/>
          <w:u w:val="single"/>
        </w:rPr>
        <w:t xml:space="preserve">         </w:t>
      </w:r>
    </w:p>
    <w:p>
      <w:pPr>
        <w:jc w:val="center"/>
        <w:rPr>
          <w:rFonts w:ascii="仿宋_GB2312" w:eastAsia="仿宋_GB2312"/>
          <w:szCs w:val="21"/>
          <w:u w:val="single"/>
        </w:rPr>
      </w:pPr>
    </w:p>
    <w:p>
      <w:pPr>
        <w:pStyle w:val="26"/>
        <w:ind w:firstLine="4515" w:firstLineChars="2150"/>
        <w:rPr>
          <w:rFonts w:ascii="仿宋_GB2312" w:eastAsia="仿宋_GB2312"/>
        </w:rPr>
      </w:pPr>
      <w:r>
        <w:rPr>
          <w:rFonts w:hint="eastAsia" w:ascii="仿宋_GB2312" w:eastAsia="仿宋_GB2312"/>
        </w:rPr>
        <w:t>投标人</w:t>
      </w:r>
      <w:r>
        <w:rPr>
          <w:rFonts w:hint="eastAsia" w:ascii="仿宋_GB2312" w:eastAsia="仿宋_GB2312"/>
          <w:b/>
          <w:bCs/>
        </w:rPr>
        <w:t>（CA电子签章）</w:t>
      </w:r>
      <w:r>
        <w:rPr>
          <w:rFonts w:hint="eastAsia" w:ascii="仿宋_GB2312" w:eastAsia="仿宋_GB2312"/>
        </w:rPr>
        <w:t>：</w:t>
      </w:r>
      <w:r>
        <w:rPr>
          <w:rFonts w:hint="eastAsia" w:ascii="仿宋_GB2312" w:eastAsia="仿宋_GB2312"/>
          <w:u w:val="single"/>
        </w:rPr>
        <w:t xml:space="preserve">                               </w:t>
      </w:r>
    </w:p>
    <w:p>
      <w:pPr>
        <w:pStyle w:val="26"/>
        <w:spacing w:line="400" w:lineRule="exact"/>
        <w:rPr>
          <w:rFonts w:hint="eastAsia" w:ascii="仿宋_GB2312" w:hAnsi="宋体" w:eastAsia="仿宋_GB2312"/>
        </w:rPr>
      </w:pPr>
    </w:p>
    <w:p>
      <w:pPr>
        <w:pStyle w:val="26"/>
        <w:spacing w:line="240" w:lineRule="atLeast"/>
        <w:jc w:val="right"/>
        <w:rPr>
          <w:rFonts w:hint="eastAsia" w:ascii="仿宋_GB2312" w:hAnsi="宋体" w:eastAsia="仿宋_GB2312"/>
        </w:rPr>
      </w:pPr>
      <w:r>
        <w:rPr>
          <w:rFonts w:hint="eastAsia" w:ascii="仿宋_GB2312" w:hAnsi="宋体" w:eastAsia="仿宋_GB2312"/>
        </w:rPr>
        <w:t>日期：       年   月   日</w:t>
      </w:r>
    </w:p>
    <w:p>
      <w:pPr>
        <w:pStyle w:val="26"/>
        <w:spacing w:line="360" w:lineRule="exact"/>
        <w:ind w:firstLine="482" w:firstLineChars="200"/>
        <w:rPr>
          <w:rFonts w:hint="eastAsia" w:ascii="仿宋_GB2312" w:hAnsi="宋体" w:eastAsia="仿宋_GB2312"/>
          <w:b/>
          <w:bCs/>
          <w:sz w:val="24"/>
        </w:rPr>
        <w:sectPr>
          <w:pgSz w:w="11906" w:h="16838"/>
          <w:pgMar w:top="1440" w:right="1440" w:bottom="1440" w:left="1440" w:header="851" w:footer="992" w:gutter="0"/>
          <w:cols w:space="720" w:num="1"/>
          <w:docGrid w:linePitch="312" w:charSpace="0"/>
        </w:sectPr>
      </w:pPr>
      <w:r>
        <w:rPr>
          <w:rFonts w:hint="eastAsia" w:ascii="仿宋_GB2312" w:eastAsia="仿宋_GB2312"/>
          <w:b/>
          <w:sz w:val="24"/>
        </w:rPr>
        <w:t>注：此项材料必须</w:t>
      </w:r>
      <w:r>
        <w:rPr>
          <w:rFonts w:hint="eastAsia" w:ascii="仿宋_GB2312" w:hAnsi="宋体" w:eastAsia="仿宋_GB2312"/>
          <w:b/>
          <w:bCs/>
          <w:sz w:val="24"/>
        </w:rPr>
        <w:t>以PDF格式上传。</w:t>
      </w:r>
    </w:p>
    <w:p>
      <w:pPr>
        <w:pStyle w:val="26"/>
        <w:spacing w:line="360" w:lineRule="exact"/>
        <w:rPr>
          <w:rFonts w:ascii="仿宋_GB2312" w:hAnsi="宋体" w:eastAsia="仿宋_GB2312"/>
          <w:b/>
          <w:bCs/>
          <w:sz w:val="24"/>
          <w:highlight w:val="none"/>
        </w:rPr>
      </w:pPr>
      <w:r>
        <w:rPr>
          <w:rFonts w:hint="eastAsia" w:ascii="仿宋_GB2312" w:hAnsi="宋体" w:eastAsia="仿宋_GB2312"/>
          <w:b/>
          <w:bCs/>
          <w:sz w:val="24"/>
          <w:highlight w:val="none"/>
        </w:rPr>
        <w:t>（2）项目要求及服务需求响应表格式</w:t>
      </w:r>
      <w:r>
        <w:rPr>
          <w:rFonts w:hint="eastAsia" w:ascii="仿宋_GB2312" w:eastAsia="仿宋_GB2312"/>
          <w:b/>
          <w:sz w:val="24"/>
          <w:highlight w:val="none"/>
        </w:rPr>
        <w:t>（必须提供）</w:t>
      </w:r>
      <w:r>
        <w:rPr>
          <w:rFonts w:hint="eastAsia" w:ascii="仿宋_GB2312" w:hAnsi="宋体" w:eastAsia="仿宋_GB2312"/>
          <w:b/>
          <w:bCs/>
          <w:sz w:val="24"/>
          <w:highlight w:val="none"/>
        </w:rPr>
        <w:t>：</w:t>
      </w:r>
    </w:p>
    <w:p>
      <w:pPr>
        <w:snapToGrid w:val="0"/>
        <w:spacing w:before="50" w:line="400" w:lineRule="exact"/>
        <w:jc w:val="center"/>
        <w:rPr>
          <w:rFonts w:ascii="仿宋_GB2312" w:hAnsi="宋体" w:eastAsia="仿宋_GB2312"/>
          <w:b/>
          <w:bCs/>
          <w:sz w:val="32"/>
          <w:szCs w:val="32"/>
          <w:highlight w:val="none"/>
        </w:rPr>
      </w:pPr>
      <w:r>
        <w:rPr>
          <w:rFonts w:hint="eastAsia" w:ascii="仿宋_GB2312" w:hAnsi="宋体" w:eastAsia="仿宋_GB2312"/>
          <w:b/>
          <w:bCs/>
          <w:sz w:val="32"/>
          <w:szCs w:val="32"/>
          <w:highlight w:val="none"/>
        </w:rPr>
        <w:t>项目要求及服务需求响应表</w:t>
      </w:r>
    </w:p>
    <w:p>
      <w:pPr>
        <w:snapToGrid w:val="0"/>
        <w:spacing w:before="50" w:line="400" w:lineRule="exact"/>
        <w:jc w:val="left"/>
        <w:rPr>
          <w:rFonts w:ascii="仿宋_GB2312" w:hAnsi="宋体" w:eastAsia="仿宋_GB2312"/>
          <w:sz w:val="24"/>
          <w:highlight w:val="none"/>
        </w:rPr>
      </w:pPr>
    </w:p>
    <w:tbl>
      <w:tblPr>
        <w:tblStyle w:val="48"/>
        <w:tblW w:w="924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71"/>
        <w:gridCol w:w="3638"/>
        <w:gridCol w:w="3282"/>
        <w:gridCol w:w="125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ascii="仿宋_GB2312" w:hAnsi="宋体" w:eastAsia="仿宋_GB2312"/>
                <w:sz w:val="24"/>
                <w:highlight w:val="none"/>
              </w:rPr>
            </w:pPr>
            <w:r>
              <w:rPr>
                <w:rFonts w:hint="eastAsia" w:ascii="仿宋_GB2312" w:hAnsi="宋体" w:eastAsia="仿宋_GB2312"/>
                <w:sz w:val="24"/>
                <w:highlight w:val="none"/>
              </w:rPr>
              <w:t>项目</w:t>
            </w:r>
          </w:p>
        </w:tc>
        <w:tc>
          <w:tcPr>
            <w:tcW w:w="363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ascii="仿宋_GB2312" w:hAnsi="宋体" w:eastAsia="仿宋_GB2312"/>
                <w:sz w:val="24"/>
                <w:highlight w:val="none"/>
              </w:rPr>
            </w:pPr>
            <w:r>
              <w:rPr>
                <w:rFonts w:hint="eastAsia" w:ascii="仿宋_GB2312" w:hAnsi="宋体" w:eastAsia="仿宋_GB2312"/>
                <w:sz w:val="24"/>
                <w:highlight w:val="none"/>
              </w:rPr>
              <w:t>招标文件要求</w:t>
            </w:r>
          </w:p>
        </w:tc>
        <w:tc>
          <w:tcPr>
            <w:tcW w:w="328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ascii="仿宋_GB2312" w:hAnsi="宋体" w:eastAsia="仿宋_GB2312"/>
                <w:sz w:val="24"/>
                <w:highlight w:val="none"/>
              </w:rPr>
            </w:pPr>
            <w:r>
              <w:rPr>
                <w:rFonts w:hint="eastAsia" w:ascii="仿宋_GB2312" w:hAnsi="宋体" w:eastAsia="仿宋_GB2312"/>
                <w:sz w:val="24"/>
                <w:highlight w:val="none"/>
              </w:rPr>
              <w:t>投标文件响应情况</w:t>
            </w:r>
          </w:p>
        </w:tc>
        <w:tc>
          <w:tcPr>
            <w:tcW w:w="125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ascii="仿宋_GB2312" w:hAnsi="宋体" w:eastAsia="仿宋_GB2312"/>
                <w:sz w:val="24"/>
                <w:highlight w:val="none"/>
              </w:rPr>
            </w:pPr>
            <w:r>
              <w:rPr>
                <w:rFonts w:hint="eastAsia" w:ascii="仿宋_GB2312" w:hAnsi="宋体" w:eastAsia="仿宋_GB2312"/>
                <w:sz w:val="24"/>
                <w:highlight w:val="none"/>
              </w:rPr>
              <w:t>偏离说明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9242" w:type="dxa"/>
            <w:gridSpan w:val="4"/>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r>
              <w:rPr>
                <w:rFonts w:hint="eastAsia" w:ascii="宋体" w:hAnsi="宋体" w:cs="宋体"/>
                <w:b/>
                <w:sz w:val="24"/>
                <w:highlight w:val="none"/>
                <w:lang w:bidi="ar"/>
              </w:rPr>
              <w:t>★</w:t>
            </w:r>
            <w:r>
              <w:rPr>
                <w:rFonts w:hint="eastAsia" w:ascii="仿宋_GB2312" w:hAnsi="宋体" w:eastAsia="仿宋_GB2312" w:cs="宋体"/>
                <w:b/>
                <w:kern w:val="0"/>
                <w:sz w:val="24"/>
                <w:highlight w:val="none"/>
              </w:rPr>
              <w:t>一、项目要求及服务需求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ascii="仿宋_GB2312" w:hAnsi="宋体" w:eastAsia="仿宋_GB2312"/>
                <w:sz w:val="24"/>
                <w:highlight w:val="none"/>
              </w:rPr>
            </w:pPr>
            <w:r>
              <w:rPr>
                <w:rFonts w:hint="eastAsia" w:ascii="仿宋_GB2312" w:hAnsi="宋体" w:eastAsia="仿宋_GB2312"/>
                <w:sz w:val="24"/>
                <w:highlight w:val="none"/>
              </w:rPr>
              <w:t>1</w:t>
            </w:r>
          </w:p>
        </w:tc>
        <w:tc>
          <w:tcPr>
            <w:tcW w:w="3638" w:type="dxa"/>
            <w:tcBorders>
              <w:top w:val="single" w:color="auto" w:sz="4" w:space="0"/>
              <w:left w:val="single" w:color="auto" w:sz="4" w:space="0"/>
              <w:bottom w:val="single" w:color="auto" w:sz="4" w:space="0"/>
              <w:right w:val="single" w:color="auto" w:sz="4" w:space="0"/>
            </w:tcBorders>
            <w:vAlign w:val="center"/>
          </w:tcPr>
          <w:p>
            <w:pPr>
              <w:pStyle w:val="26"/>
              <w:snapToGrid w:val="0"/>
              <w:spacing w:line="400" w:lineRule="exact"/>
              <w:ind w:firstLine="480" w:firstLineChars="200"/>
              <w:rPr>
                <w:rFonts w:ascii="仿宋_GB2312" w:hAnsi="宋体" w:eastAsia="仿宋_GB2312"/>
                <w:sz w:val="24"/>
                <w:highlight w:val="none"/>
              </w:rPr>
            </w:pPr>
          </w:p>
        </w:tc>
        <w:tc>
          <w:tcPr>
            <w:tcW w:w="3282" w:type="dxa"/>
            <w:tcBorders>
              <w:top w:val="single" w:color="auto" w:sz="4" w:space="0"/>
              <w:left w:val="single" w:color="auto" w:sz="4" w:space="0"/>
              <w:bottom w:val="single" w:color="auto" w:sz="4" w:space="0"/>
              <w:right w:val="single" w:color="auto" w:sz="4" w:space="0"/>
            </w:tcBorders>
            <w:vAlign w:val="center"/>
          </w:tcPr>
          <w:p>
            <w:pPr>
              <w:pStyle w:val="26"/>
              <w:snapToGrid w:val="0"/>
              <w:spacing w:line="400" w:lineRule="exact"/>
              <w:ind w:firstLine="480" w:firstLineChars="200"/>
              <w:rPr>
                <w:rFonts w:ascii="仿宋_GB2312" w:hAnsi="宋体" w:eastAsia="仿宋_GB2312"/>
                <w:sz w:val="24"/>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ascii="仿宋_GB2312" w:hAnsi="宋体" w:eastAsia="仿宋_GB2312"/>
                <w:sz w:val="24"/>
                <w:highlight w:val="none"/>
              </w:rPr>
            </w:pPr>
            <w:r>
              <w:rPr>
                <w:rFonts w:hint="eastAsia" w:ascii="仿宋_GB2312" w:hAnsi="宋体" w:eastAsia="仿宋_GB2312"/>
                <w:sz w:val="24"/>
                <w:highlight w:val="none"/>
              </w:rPr>
              <w:t>2</w:t>
            </w:r>
          </w:p>
        </w:tc>
        <w:tc>
          <w:tcPr>
            <w:tcW w:w="363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c>
          <w:tcPr>
            <w:tcW w:w="328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ascii="仿宋_GB2312" w:hAnsi="宋体" w:eastAsia="仿宋_GB2312"/>
                <w:sz w:val="24"/>
                <w:highlight w:val="none"/>
              </w:rPr>
            </w:pPr>
            <w:r>
              <w:rPr>
                <w:rFonts w:hint="eastAsia" w:ascii="仿宋_GB2312" w:hAnsi="宋体" w:eastAsia="仿宋_GB2312"/>
                <w:sz w:val="24"/>
                <w:highlight w:val="none"/>
              </w:rPr>
              <w:t>3</w:t>
            </w:r>
          </w:p>
        </w:tc>
        <w:tc>
          <w:tcPr>
            <w:tcW w:w="363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c>
          <w:tcPr>
            <w:tcW w:w="328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ascii="仿宋_GB2312" w:hAnsi="宋体" w:eastAsia="仿宋_GB2312"/>
                <w:sz w:val="24"/>
                <w:highlight w:val="none"/>
              </w:rPr>
            </w:pPr>
          </w:p>
        </w:tc>
        <w:tc>
          <w:tcPr>
            <w:tcW w:w="363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c>
          <w:tcPr>
            <w:tcW w:w="328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9242" w:type="dxa"/>
            <w:gridSpan w:val="4"/>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b/>
                <w:bCs/>
                <w:sz w:val="24"/>
                <w:highlight w:val="none"/>
              </w:rPr>
            </w:pPr>
            <w:r>
              <w:rPr>
                <w:rFonts w:ascii="仿宋_GB2312" w:hAnsi="宋体" w:eastAsia="仿宋_GB2312"/>
                <w:b/>
                <w:bCs/>
                <w:sz w:val="24"/>
                <w:highlight w:val="none"/>
              </w:rPr>
              <w:t>★</w:t>
            </w:r>
            <w:r>
              <w:rPr>
                <w:rFonts w:hint="eastAsia" w:ascii="仿宋_GB2312" w:hAnsi="宋体" w:eastAsia="仿宋_GB2312"/>
                <w:b/>
                <w:bCs/>
                <w:sz w:val="24"/>
                <w:highlight w:val="none"/>
              </w:rPr>
              <w:t>附件一：《柳州城市职业学院物业服务企业监督管理办法》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ascii="仿宋_GB2312" w:hAnsi="宋体" w:eastAsia="仿宋_GB2312"/>
                <w:sz w:val="24"/>
                <w:highlight w:val="none"/>
              </w:rPr>
            </w:pPr>
          </w:p>
        </w:tc>
        <w:tc>
          <w:tcPr>
            <w:tcW w:w="363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c>
          <w:tcPr>
            <w:tcW w:w="328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9242" w:type="dxa"/>
            <w:gridSpan w:val="4"/>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r>
              <w:rPr>
                <w:rFonts w:ascii="仿宋_GB2312" w:hAnsi="宋体" w:eastAsia="仿宋_GB2312"/>
                <w:b/>
                <w:bCs/>
                <w:sz w:val="24"/>
                <w:highlight w:val="none"/>
              </w:rPr>
              <w:t>★</w:t>
            </w:r>
            <w:r>
              <w:rPr>
                <w:rFonts w:hint="eastAsia" w:ascii="仿宋_GB2312" w:hAnsi="宋体" w:eastAsia="仿宋_GB2312"/>
                <w:b/>
                <w:bCs/>
                <w:sz w:val="24"/>
                <w:highlight w:val="none"/>
              </w:rPr>
              <w:t>附件二：《柳州城市职业学院校园环境卫生质量考核细则</w:t>
            </w:r>
            <w:r>
              <w:rPr>
                <w:rFonts w:ascii="仿宋_GB2312" w:hAnsi="宋体" w:eastAsia="仿宋_GB2312"/>
                <w:b/>
                <w:bCs/>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ascii="仿宋_GB2312" w:hAnsi="宋体" w:eastAsia="仿宋_GB2312"/>
                <w:sz w:val="24"/>
                <w:highlight w:val="none"/>
              </w:rPr>
            </w:pPr>
          </w:p>
        </w:tc>
        <w:tc>
          <w:tcPr>
            <w:tcW w:w="363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c>
          <w:tcPr>
            <w:tcW w:w="328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9242" w:type="dxa"/>
            <w:gridSpan w:val="4"/>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r>
              <w:rPr>
                <w:rFonts w:ascii="仿宋_GB2312" w:hAnsi="宋体" w:eastAsia="仿宋_GB2312"/>
                <w:b/>
                <w:bCs/>
                <w:sz w:val="24"/>
                <w:highlight w:val="none"/>
              </w:rPr>
              <w:t>★</w:t>
            </w:r>
            <w:r>
              <w:rPr>
                <w:rFonts w:hint="eastAsia" w:ascii="仿宋_GB2312" w:hAnsi="宋体" w:eastAsia="仿宋_GB2312"/>
                <w:b/>
                <w:bCs/>
                <w:sz w:val="24"/>
                <w:highlight w:val="none"/>
              </w:rPr>
              <w:t>附件三：《柳州城市职业学院设施设备维修维护质量考核细则</w:t>
            </w:r>
            <w:r>
              <w:rPr>
                <w:rFonts w:ascii="仿宋_GB2312" w:hAnsi="宋体" w:eastAsia="仿宋_GB2312"/>
                <w:b/>
                <w:bCs/>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ascii="仿宋_GB2312" w:hAnsi="宋体" w:eastAsia="仿宋_GB2312"/>
                <w:sz w:val="24"/>
                <w:highlight w:val="none"/>
              </w:rPr>
            </w:pPr>
          </w:p>
        </w:tc>
        <w:tc>
          <w:tcPr>
            <w:tcW w:w="363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c>
          <w:tcPr>
            <w:tcW w:w="328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9242" w:type="dxa"/>
            <w:gridSpan w:val="4"/>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r>
              <w:rPr>
                <w:rFonts w:ascii="仿宋_GB2312" w:hAnsi="宋体" w:eastAsia="仿宋_GB2312"/>
                <w:b/>
                <w:bCs/>
                <w:sz w:val="24"/>
                <w:highlight w:val="none"/>
              </w:rPr>
              <w:t>★</w:t>
            </w:r>
            <w:r>
              <w:rPr>
                <w:rFonts w:hint="eastAsia" w:ascii="仿宋_GB2312" w:hAnsi="宋体" w:eastAsia="仿宋_GB2312"/>
                <w:b/>
                <w:bCs/>
                <w:sz w:val="24"/>
                <w:highlight w:val="none"/>
              </w:rPr>
              <w:t>附件四：《柳州城市职业学院校园绿化养护质量考核细则</w:t>
            </w:r>
            <w:r>
              <w:rPr>
                <w:rFonts w:ascii="仿宋_GB2312" w:hAnsi="宋体" w:eastAsia="仿宋_GB2312"/>
                <w:b/>
                <w:bCs/>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ascii="仿宋_GB2312" w:hAnsi="宋体" w:eastAsia="仿宋_GB2312"/>
                <w:sz w:val="24"/>
                <w:highlight w:val="none"/>
              </w:rPr>
            </w:pPr>
          </w:p>
        </w:tc>
        <w:tc>
          <w:tcPr>
            <w:tcW w:w="363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c>
          <w:tcPr>
            <w:tcW w:w="328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9242" w:type="dxa"/>
            <w:gridSpan w:val="4"/>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r>
              <w:rPr>
                <w:rFonts w:ascii="仿宋_GB2312" w:hAnsi="宋体" w:eastAsia="仿宋_GB2312"/>
                <w:b/>
                <w:bCs/>
                <w:sz w:val="24"/>
                <w:highlight w:val="none"/>
              </w:rPr>
              <w:t>★</w:t>
            </w:r>
            <w:r>
              <w:rPr>
                <w:rFonts w:hint="eastAsia" w:ascii="仿宋_GB2312" w:hAnsi="宋体" w:eastAsia="仿宋_GB2312"/>
                <w:b/>
                <w:bCs/>
                <w:sz w:val="24"/>
                <w:highlight w:val="none"/>
              </w:rPr>
              <w:t>附件五：《柳州城市职业学院学生公寓管理质量考核细则</w:t>
            </w:r>
            <w:r>
              <w:rPr>
                <w:rFonts w:ascii="仿宋_GB2312" w:hAnsi="宋体" w:eastAsia="仿宋_GB2312"/>
                <w:b/>
                <w:bCs/>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ascii="仿宋_GB2312" w:hAnsi="宋体" w:eastAsia="仿宋_GB2312"/>
                <w:sz w:val="24"/>
                <w:highlight w:val="none"/>
              </w:rPr>
            </w:pPr>
          </w:p>
        </w:tc>
        <w:tc>
          <w:tcPr>
            <w:tcW w:w="363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c>
          <w:tcPr>
            <w:tcW w:w="328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9242" w:type="dxa"/>
            <w:gridSpan w:val="4"/>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r>
              <w:rPr>
                <w:rFonts w:ascii="仿宋_GB2312" w:hAnsi="宋体" w:eastAsia="仿宋_GB2312"/>
                <w:b/>
                <w:bCs/>
                <w:sz w:val="24"/>
                <w:highlight w:val="none"/>
              </w:rPr>
              <w:t>★</w:t>
            </w:r>
            <w:r>
              <w:rPr>
                <w:rFonts w:hint="eastAsia" w:ascii="仿宋_GB2312" w:hAnsi="宋体" w:eastAsia="仿宋_GB2312"/>
                <w:b/>
                <w:bCs/>
                <w:sz w:val="24"/>
                <w:highlight w:val="none"/>
              </w:rPr>
              <w:t>附件六：《柳州城市职业学院学员公寓管理质量考核细则</w:t>
            </w:r>
            <w:r>
              <w:rPr>
                <w:rFonts w:ascii="仿宋_GB2312" w:hAnsi="宋体" w:eastAsia="仿宋_GB2312"/>
                <w:b/>
                <w:bCs/>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ascii="仿宋_GB2312" w:hAnsi="宋体" w:eastAsia="仿宋_GB2312"/>
                <w:sz w:val="24"/>
                <w:highlight w:val="none"/>
              </w:rPr>
            </w:pPr>
          </w:p>
        </w:tc>
        <w:tc>
          <w:tcPr>
            <w:tcW w:w="363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c>
          <w:tcPr>
            <w:tcW w:w="328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ascii="仿宋_GB2312" w:hAnsi="宋体" w:eastAsia="仿宋_GB2312"/>
                <w:sz w:val="24"/>
                <w:highlight w:val="none"/>
              </w:rPr>
            </w:pPr>
          </w:p>
        </w:tc>
        <w:tc>
          <w:tcPr>
            <w:tcW w:w="363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c>
          <w:tcPr>
            <w:tcW w:w="328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9242" w:type="dxa"/>
            <w:gridSpan w:val="4"/>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r>
              <w:rPr>
                <w:rFonts w:ascii="仿宋_GB2312" w:hAnsi="宋体" w:eastAsia="仿宋_GB2312"/>
                <w:b/>
                <w:bCs/>
                <w:sz w:val="24"/>
                <w:highlight w:val="none"/>
              </w:rPr>
              <w:t>★</w:t>
            </w:r>
            <w:r>
              <w:rPr>
                <w:rFonts w:hint="eastAsia" w:ascii="仿宋_GB2312" w:hAnsi="宋体" w:eastAsia="仿宋_GB2312"/>
                <w:b/>
                <w:bCs/>
                <w:sz w:val="24"/>
                <w:highlight w:val="none"/>
              </w:rPr>
              <w:t>附件七：《柳州城市职业学院化粪池及排污管网清理质量考核细则</w:t>
            </w:r>
            <w:r>
              <w:rPr>
                <w:rFonts w:ascii="仿宋_GB2312" w:hAnsi="宋体" w:eastAsia="仿宋_GB2312"/>
                <w:b/>
                <w:bCs/>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ascii="仿宋_GB2312" w:hAnsi="宋体" w:eastAsia="仿宋_GB2312"/>
                <w:sz w:val="24"/>
                <w:highlight w:val="none"/>
              </w:rPr>
            </w:pPr>
          </w:p>
        </w:tc>
        <w:tc>
          <w:tcPr>
            <w:tcW w:w="363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c>
          <w:tcPr>
            <w:tcW w:w="328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9242" w:type="dxa"/>
            <w:gridSpan w:val="4"/>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r>
              <w:rPr>
                <w:rFonts w:ascii="仿宋_GB2312" w:hAnsi="宋体" w:eastAsia="仿宋_GB2312"/>
                <w:b/>
                <w:bCs/>
                <w:sz w:val="24"/>
                <w:highlight w:val="none"/>
              </w:rPr>
              <w:t>★</w:t>
            </w:r>
            <w:r>
              <w:rPr>
                <w:rFonts w:hint="eastAsia" w:ascii="仿宋_GB2312" w:hAnsi="宋体" w:eastAsia="仿宋_GB2312"/>
                <w:b/>
                <w:bCs/>
                <w:sz w:val="24"/>
                <w:highlight w:val="none"/>
              </w:rPr>
              <w:t>附件八：《柳州城市职业学院有害生物综合防治质量考核细则</w:t>
            </w:r>
            <w:r>
              <w:rPr>
                <w:rFonts w:ascii="仿宋_GB2312" w:hAnsi="宋体" w:eastAsia="仿宋_GB2312"/>
                <w:b/>
                <w:bCs/>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ascii="仿宋_GB2312" w:hAnsi="宋体" w:eastAsia="仿宋_GB2312"/>
                <w:sz w:val="24"/>
                <w:highlight w:val="none"/>
              </w:rPr>
            </w:pPr>
          </w:p>
        </w:tc>
        <w:tc>
          <w:tcPr>
            <w:tcW w:w="363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c>
          <w:tcPr>
            <w:tcW w:w="328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9242" w:type="dxa"/>
            <w:gridSpan w:val="4"/>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trike/>
                <w:sz w:val="24"/>
                <w:highlight w:val="none"/>
              </w:rPr>
            </w:pPr>
            <w:r>
              <w:rPr>
                <w:rFonts w:ascii="仿宋_GB2312" w:hAnsi="宋体" w:eastAsia="仿宋_GB2312"/>
                <w:b/>
                <w:bCs/>
                <w:sz w:val="24"/>
                <w:highlight w:val="none"/>
              </w:rPr>
              <w:t>★</w:t>
            </w:r>
            <w:r>
              <w:rPr>
                <w:rFonts w:hint="eastAsia" w:ascii="仿宋_GB2312" w:hAnsi="宋体" w:eastAsia="仿宋_GB2312"/>
                <w:b/>
                <w:bCs/>
                <w:sz w:val="24"/>
                <w:highlight w:val="none"/>
              </w:rPr>
              <w:t>附件</w:t>
            </w:r>
            <w:r>
              <w:rPr>
                <w:rFonts w:hint="eastAsia" w:ascii="仿宋_GB2312" w:hAnsi="宋体" w:eastAsia="仿宋_GB2312"/>
                <w:b/>
                <w:bCs/>
                <w:sz w:val="24"/>
                <w:highlight w:val="none"/>
                <w:lang w:val="en-US" w:eastAsia="zh-CN"/>
              </w:rPr>
              <w:t>九</w:t>
            </w:r>
            <w:r>
              <w:rPr>
                <w:rFonts w:hint="eastAsia" w:ascii="仿宋_GB2312" w:hAnsi="宋体" w:eastAsia="仿宋_GB2312"/>
                <w:b/>
                <w:bCs/>
                <w:sz w:val="24"/>
                <w:highlight w:val="none"/>
              </w:rPr>
              <w:t>：《柳州城市职业学院校园重要区域保洁质量考核细则</w:t>
            </w:r>
            <w:r>
              <w:rPr>
                <w:rFonts w:ascii="仿宋_GB2312" w:hAnsi="宋体" w:eastAsia="仿宋_GB2312"/>
                <w:b/>
                <w:bCs/>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ascii="仿宋_GB2312" w:hAnsi="宋体" w:eastAsia="仿宋_GB2312"/>
                <w:sz w:val="24"/>
                <w:highlight w:val="none"/>
              </w:rPr>
            </w:pPr>
          </w:p>
        </w:tc>
        <w:tc>
          <w:tcPr>
            <w:tcW w:w="363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c>
          <w:tcPr>
            <w:tcW w:w="328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9242" w:type="dxa"/>
            <w:gridSpan w:val="4"/>
            <w:tcBorders>
              <w:top w:val="single" w:color="auto" w:sz="4" w:space="0"/>
              <w:left w:val="single" w:color="auto" w:sz="4" w:space="0"/>
              <w:bottom w:val="single" w:color="auto" w:sz="4" w:space="0"/>
              <w:right w:val="single" w:color="auto" w:sz="4" w:space="0"/>
            </w:tcBorders>
            <w:vAlign w:val="center"/>
          </w:tcPr>
          <w:p>
            <w:pPr>
              <w:jc w:val="both"/>
              <w:rPr>
                <w:rFonts w:hint="eastAsia" w:ascii="仿宋_GB2312" w:hAnsi="宋体" w:eastAsia="仿宋_GB2312"/>
                <w:sz w:val="24"/>
                <w:highlight w:val="none"/>
                <w:lang w:eastAsia="zh-CN"/>
              </w:rPr>
            </w:pPr>
            <w:r>
              <w:rPr>
                <w:rFonts w:ascii="仿宋_GB2312" w:hAnsi="宋体" w:eastAsia="仿宋_GB2312"/>
                <w:b/>
                <w:bCs/>
                <w:sz w:val="24"/>
                <w:highlight w:val="none"/>
              </w:rPr>
              <w:t>★</w:t>
            </w:r>
            <w:r>
              <w:rPr>
                <w:rFonts w:hint="eastAsia" w:ascii="仿宋_GB2312" w:hAnsi="宋体" w:eastAsia="仿宋_GB2312"/>
                <w:b/>
                <w:bCs/>
                <w:sz w:val="24"/>
                <w:highlight w:val="none"/>
              </w:rPr>
              <w:t>附件</w:t>
            </w:r>
            <w:r>
              <w:rPr>
                <w:rFonts w:hint="eastAsia" w:ascii="仿宋_GB2312" w:hAnsi="宋体" w:eastAsia="仿宋_GB2312"/>
                <w:b/>
                <w:bCs/>
                <w:sz w:val="24"/>
                <w:highlight w:val="none"/>
                <w:lang w:val="en-US" w:eastAsia="zh-CN"/>
              </w:rPr>
              <w:t>十</w:t>
            </w:r>
            <w:r>
              <w:rPr>
                <w:rFonts w:hint="eastAsia" w:ascii="仿宋_GB2312" w:hAnsi="宋体" w:eastAsia="仿宋_GB2312"/>
                <w:b/>
                <w:bCs/>
                <w:sz w:val="24"/>
                <w:highlight w:val="none"/>
              </w:rPr>
              <w:t>：</w:t>
            </w:r>
            <w:r>
              <w:rPr>
                <w:rFonts w:hint="eastAsia" w:ascii="仿宋_GB2312" w:hAnsi="宋体" w:eastAsia="仿宋_GB2312"/>
                <w:b/>
                <w:bCs/>
                <w:sz w:val="24"/>
                <w:highlight w:val="none"/>
                <w:lang w:eastAsia="zh-CN"/>
              </w:rPr>
              <w:t>《</w:t>
            </w:r>
            <w:r>
              <w:rPr>
                <w:rFonts w:hint="eastAsia" w:ascii="仿宋_GB2312" w:hAnsi="仿宋_GB2312" w:eastAsia="仿宋_GB2312" w:cs="仿宋_GB2312"/>
                <w:b/>
                <w:bCs/>
                <w:sz w:val="24"/>
                <w:szCs w:val="24"/>
                <w:highlight w:val="none"/>
              </w:rPr>
              <w:t>柳州城市职业学院校园物业管理服务质量满意度问卷调查表</w:t>
            </w:r>
            <w:r>
              <w:rPr>
                <w:rFonts w:hint="eastAsia" w:ascii="仿宋_GB2312" w:hAnsi="仿宋_GB2312" w:eastAsia="仿宋_GB2312" w:cs="仿宋_GB2312"/>
                <w:b/>
                <w:bCs/>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ascii="仿宋_GB2312" w:hAnsi="宋体" w:eastAsia="仿宋_GB2312"/>
                <w:sz w:val="24"/>
                <w:highlight w:val="none"/>
              </w:rPr>
            </w:pPr>
          </w:p>
        </w:tc>
        <w:tc>
          <w:tcPr>
            <w:tcW w:w="363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c>
          <w:tcPr>
            <w:tcW w:w="328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9242" w:type="dxa"/>
            <w:gridSpan w:val="4"/>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r>
              <w:rPr>
                <w:rFonts w:hint="eastAsia" w:ascii="仿宋_GB2312" w:hAnsi="仿宋_GB2312" w:eastAsia="仿宋_GB2312" w:cs="仿宋_GB2312"/>
                <w:b/>
                <w:bCs/>
                <w:sz w:val="24"/>
                <w:szCs w:val="24"/>
                <w:highlight w:val="none"/>
              </w:rPr>
              <w:t>★附件</w:t>
            </w:r>
            <w:r>
              <w:rPr>
                <w:rFonts w:hint="eastAsia" w:ascii="仿宋_GB2312" w:hAnsi="仿宋_GB2312" w:eastAsia="仿宋_GB2312" w:cs="仿宋_GB2312"/>
                <w:b/>
                <w:bCs/>
                <w:sz w:val="24"/>
                <w:szCs w:val="24"/>
                <w:highlight w:val="none"/>
                <w:lang w:val="en-US" w:eastAsia="zh-CN"/>
              </w:rPr>
              <w:t>十一</w:t>
            </w:r>
            <w:r>
              <w:rPr>
                <w:rFonts w:hint="eastAsia" w:ascii="仿宋_GB2312" w:hAnsi="仿宋_GB2312" w:eastAsia="仿宋_GB2312" w:cs="仿宋_GB2312"/>
                <w:b/>
                <w:bCs/>
                <w:sz w:val="24"/>
                <w:szCs w:val="24"/>
                <w:highlight w:val="none"/>
              </w:rPr>
              <w:t>：</w:t>
            </w:r>
            <w:r>
              <w:rPr>
                <w:rFonts w:hint="eastAsia" w:ascii="仿宋_GB2312" w:hAnsi="仿宋_GB2312" w:eastAsia="仿宋_GB2312" w:cs="仿宋_GB2312"/>
                <w:b/>
                <w:color w:val="auto"/>
                <w:sz w:val="24"/>
                <w:szCs w:val="24"/>
                <w:highlight w:val="none"/>
              </w:rPr>
              <w:t>《中标人须投入的设备清单》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center"/>
              <w:rPr>
                <w:rFonts w:ascii="仿宋_GB2312" w:hAnsi="宋体" w:eastAsia="仿宋_GB2312"/>
                <w:sz w:val="24"/>
                <w:highlight w:val="none"/>
              </w:rPr>
            </w:pPr>
          </w:p>
        </w:tc>
        <w:tc>
          <w:tcPr>
            <w:tcW w:w="363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c>
          <w:tcPr>
            <w:tcW w:w="328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400" w:lineRule="exact"/>
              <w:jc w:val="left"/>
              <w:rPr>
                <w:rFonts w:ascii="仿宋_GB2312" w:hAnsi="宋体" w:eastAsia="仿宋_GB2312"/>
                <w:sz w:val="24"/>
                <w:highlight w:val="none"/>
              </w:rPr>
            </w:pPr>
          </w:p>
        </w:tc>
      </w:tr>
    </w:tbl>
    <w:p>
      <w:pPr>
        <w:snapToGrid w:val="0"/>
        <w:spacing w:before="50" w:line="400" w:lineRule="exact"/>
        <w:jc w:val="left"/>
        <w:rPr>
          <w:rFonts w:ascii="仿宋_GB2312" w:eastAsia="仿宋_GB2312"/>
          <w:b/>
          <w:sz w:val="24"/>
          <w:highlight w:val="none"/>
        </w:rPr>
      </w:pPr>
    </w:p>
    <w:p>
      <w:pPr>
        <w:pStyle w:val="26"/>
        <w:spacing w:line="360" w:lineRule="exact"/>
        <w:ind w:firstLine="482" w:firstLineChars="200"/>
        <w:rPr>
          <w:rFonts w:ascii="Times New Roman" w:hAnsi="Times New Roman"/>
          <w:highlight w:val="none"/>
        </w:rPr>
      </w:pPr>
      <w:r>
        <w:rPr>
          <w:rFonts w:hint="eastAsia" w:ascii="仿宋_GB2312" w:eastAsia="仿宋_GB2312"/>
          <w:b/>
          <w:bCs/>
          <w:kern w:val="0"/>
          <w:sz w:val="24"/>
          <w:highlight w:val="none"/>
        </w:rPr>
        <w:t>注：1.</w:t>
      </w:r>
      <w:r>
        <w:rPr>
          <w:rFonts w:hint="eastAsia" w:ascii="仿宋_GB2312" w:eastAsia="仿宋_GB2312"/>
          <w:b/>
          <w:sz w:val="24"/>
          <w:highlight w:val="none"/>
        </w:rPr>
        <w:t>此项材料必须</w:t>
      </w:r>
      <w:r>
        <w:rPr>
          <w:rFonts w:hint="eastAsia" w:ascii="仿宋_GB2312" w:hAnsi="宋体" w:eastAsia="仿宋_GB2312"/>
          <w:b/>
          <w:bCs/>
          <w:sz w:val="24"/>
          <w:highlight w:val="none"/>
        </w:rPr>
        <w:t>以PDF格式上传。</w:t>
      </w:r>
    </w:p>
    <w:p>
      <w:pPr>
        <w:spacing w:line="400" w:lineRule="exact"/>
        <w:ind w:firstLine="482" w:firstLineChars="200"/>
        <w:rPr>
          <w:rFonts w:ascii="仿宋_GB2312" w:eastAsia="仿宋_GB2312"/>
          <w:b/>
          <w:bCs/>
          <w:spacing w:val="20"/>
          <w:kern w:val="0"/>
          <w:sz w:val="24"/>
          <w:highlight w:val="none"/>
        </w:rPr>
      </w:pPr>
      <w:r>
        <w:rPr>
          <w:rFonts w:hint="eastAsia" w:ascii="仿宋_GB2312" w:eastAsia="仿宋_GB2312"/>
          <w:b/>
          <w:bCs/>
          <w:kern w:val="0"/>
          <w:sz w:val="24"/>
          <w:highlight w:val="none"/>
        </w:rPr>
        <w:t>2.</w:t>
      </w:r>
      <w:r>
        <w:rPr>
          <w:rFonts w:hint="eastAsia" w:ascii="仿宋_GB2312" w:hAnsi="宋体" w:eastAsia="仿宋_GB2312"/>
          <w:b/>
          <w:bCs/>
          <w:kern w:val="0"/>
          <w:sz w:val="24"/>
          <w:highlight w:val="none"/>
        </w:rPr>
        <w:t>投标人应根据招标文件“第二章 采购需求中的</w:t>
      </w:r>
      <w:r>
        <w:rPr>
          <w:rFonts w:hint="eastAsia" w:ascii="仿宋_GB2312" w:hAnsi="宋体" w:eastAsia="仿宋_GB2312" w:cs="宋体"/>
          <w:b/>
          <w:kern w:val="0"/>
          <w:sz w:val="24"/>
          <w:highlight w:val="none"/>
        </w:rPr>
        <w:t>项目要求及服务需求（包括附件一：《</w:t>
      </w:r>
      <w:r>
        <w:rPr>
          <w:rFonts w:hint="eastAsia" w:ascii="仿宋_GB2312" w:hAnsi="宋体" w:eastAsia="仿宋_GB2312"/>
          <w:b/>
          <w:bCs/>
          <w:sz w:val="24"/>
          <w:highlight w:val="none"/>
        </w:rPr>
        <w:t>柳州城市职业学院物业服务企业监督管理办法</w:t>
      </w:r>
      <w:r>
        <w:rPr>
          <w:rFonts w:hint="eastAsia" w:ascii="仿宋_GB2312" w:hAnsi="宋体" w:eastAsia="仿宋_GB2312" w:cs="宋体"/>
          <w:b/>
          <w:kern w:val="0"/>
          <w:sz w:val="24"/>
          <w:highlight w:val="none"/>
        </w:rPr>
        <w:t>》、附件二：《</w:t>
      </w:r>
      <w:r>
        <w:rPr>
          <w:rFonts w:hint="eastAsia" w:ascii="仿宋_GB2312" w:hAnsi="宋体" w:eastAsia="仿宋_GB2312"/>
          <w:b/>
          <w:bCs/>
          <w:sz w:val="24"/>
          <w:highlight w:val="none"/>
        </w:rPr>
        <w:t>柳州城市职业学院校园环境卫生质量考核细则</w:t>
      </w:r>
      <w:r>
        <w:rPr>
          <w:rFonts w:hint="eastAsia" w:ascii="仿宋_GB2312" w:hAnsi="宋体" w:eastAsia="仿宋_GB2312" w:cs="宋体"/>
          <w:b/>
          <w:kern w:val="0"/>
          <w:sz w:val="24"/>
          <w:highlight w:val="none"/>
        </w:rPr>
        <w:t>》、附件三：《</w:t>
      </w:r>
      <w:r>
        <w:rPr>
          <w:rFonts w:hint="eastAsia" w:ascii="仿宋_GB2312" w:hAnsi="宋体" w:eastAsia="仿宋_GB2312"/>
          <w:b/>
          <w:bCs/>
          <w:sz w:val="24"/>
          <w:highlight w:val="none"/>
        </w:rPr>
        <w:t>柳州城市职业学院设施设备维修维护质量考核细则</w:t>
      </w:r>
      <w:r>
        <w:rPr>
          <w:rFonts w:hint="eastAsia" w:ascii="仿宋_GB2312" w:hAnsi="宋体" w:eastAsia="仿宋_GB2312" w:cs="宋体"/>
          <w:b/>
          <w:kern w:val="0"/>
          <w:sz w:val="24"/>
          <w:highlight w:val="none"/>
        </w:rPr>
        <w:t>》、附件四：《</w:t>
      </w:r>
      <w:r>
        <w:rPr>
          <w:rFonts w:hint="eastAsia" w:ascii="仿宋_GB2312" w:hAnsi="宋体" w:eastAsia="仿宋_GB2312"/>
          <w:b/>
          <w:bCs/>
          <w:sz w:val="24"/>
          <w:highlight w:val="none"/>
        </w:rPr>
        <w:t>柳州城市职业学院校园绿化养护质量考核细则</w:t>
      </w:r>
      <w:r>
        <w:rPr>
          <w:rFonts w:hint="eastAsia" w:ascii="仿宋_GB2312" w:hAnsi="宋体" w:eastAsia="仿宋_GB2312" w:cs="宋体"/>
          <w:b/>
          <w:kern w:val="0"/>
          <w:sz w:val="24"/>
          <w:highlight w:val="none"/>
        </w:rPr>
        <w:t>》、附件五：《</w:t>
      </w:r>
      <w:r>
        <w:rPr>
          <w:rFonts w:hint="eastAsia" w:ascii="仿宋_GB2312" w:hAnsi="宋体" w:eastAsia="仿宋_GB2312"/>
          <w:b/>
          <w:bCs/>
          <w:sz w:val="24"/>
          <w:highlight w:val="none"/>
        </w:rPr>
        <w:t>柳州城市职业学院学生公寓管理质量考核细则</w:t>
      </w:r>
      <w:r>
        <w:rPr>
          <w:rFonts w:hint="eastAsia" w:ascii="仿宋_GB2312" w:hAnsi="宋体" w:eastAsia="仿宋_GB2312" w:cs="宋体"/>
          <w:b/>
          <w:kern w:val="0"/>
          <w:sz w:val="24"/>
          <w:highlight w:val="none"/>
        </w:rPr>
        <w:t>》、附件六：《</w:t>
      </w:r>
      <w:r>
        <w:rPr>
          <w:rFonts w:hint="eastAsia" w:ascii="仿宋_GB2312" w:hAnsi="宋体" w:eastAsia="仿宋_GB2312"/>
          <w:b/>
          <w:bCs/>
          <w:sz w:val="24"/>
          <w:highlight w:val="none"/>
        </w:rPr>
        <w:t>柳州城市职业学院学员公寓管理质量考核细则</w:t>
      </w:r>
      <w:r>
        <w:rPr>
          <w:rFonts w:hint="eastAsia" w:ascii="仿宋_GB2312" w:hAnsi="宋体" w:eastAsia="仿宋_GB2312" w:cs="宋体"/>
          <w:b/>
          <w:kern w:val="0"/>
          <w:sz w:val="24"/>
          <w:highlight w:val="none"/>
        </w:rPr>
        <w:t>》、附件七：《</w:t>
      </w:r>
      <w:r>
        <w:rPr>
          <w:rFonts w:hint="eastAsia" w:ascii="仿宋_GB2312" w:hAnsi="宋体" w:eastAsia="仿宋_GB2312"/>
          <w:b/>
          <w:bCs/>
          <w:sz w:val="24"/>
          <w:highlight w:val="none"/>
        </w:rPr>
        <w:t>柳州城市职业学院化粪池及排污管网清理质量考核细则</w:t>
      </w:r>
      <w:r>
        <w:rPr>
          <w:rFonts w:hint="eastAsia" w:ascii="仿宋_GB2312" w:hAnsi="宋体" w:eastAsia="仿宋_GB2312" w:cs="宋体"/>
          <w:b/>
          <w:kern w:val="0"/>
          <w:sz w:val="24"/>
          <w:highlight w:val="none"/>
        </w:rPr>
        <w:t>》、附件八：《</w:t>
      </w:r>
      <w:r>
        <w:rPr>
          <w:rFonts w:hint="eastAsia" w:ascii="仿宋_GB2312" w:hAnsi="宋体" w:eastAsia="仿宋_GB2312"/>
          <w:b/>
          <w:bCs/>
          <w:sz w:val="24"/>
          <w:highlight w:val="none"/>
        </w:rPr>
        <w:t>柳州城市职业学院有害生物综合防治质量考核细则</w:t>
      </w:r>
      <w:r>
        <w:rPr>
          <w:rFonts w:hint="eastAsia" w:ascii="仿宋_GB2312" w:hAnsi="宋体" w:eastAsia="仿宋_GB2312" w:cs="宋体"/>
          <w:b/>
          <w:kern w:val="0"/>
          <w:sz w:val="24"/>
          <w:highlight w:val="none"/>
        </w:rPr>
        <w:t>》、附件九：《</w:t>
      </w:r>
      <w:r>
        <w:rPr>
          <w:rFonts w:hint="eastAsia" w:ascii="仿宋_GB2312" w:hAnsi="宋体" w:eastAsia="仿宋_GB2312"/>
          <w:b/>
          <w:bCs/>
          <w:sz w:val="24"/>
          <w:highlight w:val="none"/>
        </w:rPr>
        <w:t>柳州城市职业学院校园重要区域保洁质量考核细则</w:t>
      </w:r>
      <w:r>
        <w:rPr>
          <w:rFonts w:hint="eastAsia" w:ascii="仿宋_GB2312" w:hAnsi="宋体" w:eastAsia="仿宋_GB2312" w:cs="宋体"/>
          <w:b/>
          <w:kern w:val="0"/>
          <w:sz w:val="24"/>
          <w:highlight w:val="none"/>
        </w:rPr>
        <w:t>》</w:t>
      </w:r>
      <w:r>
        <w:rPr>
          <w:rFonts w:hint="eastAsia" w:ascii="仿宋_GB2312" w:hAnsi="宋体" w:eastAsia="仿宋_GB2312" w:cs="宋体"/>
          <w:b/>
          <w:kern w:val="0"/>
          <w:sz w:val="24"/>
          <w:highlight w:val="none"/>
          <w:lang w:eastAsia="zh-CN"/>
        </w:rPr>
        <w:t>、附件十：《柳州城市职业学院校园物业管理服务质量满意度问卷调查表》、</w:t>
      </w:r>
      <w:r>
        <w:rPr>
          <w:rFonts w:hint="eastAsia" w:ascii="仿宋_GB2312" w:hAnsi="宋体" w:eastAsia="仿宋_GB2312"/>
          <w:b/>
          <w:bCs/>
          <w:sz w:val="24"/>
          <w:highlight w:val="none"/>
        </w:rPr>
        <w:t>附件</w:t>
      </w:r>
      <w:r>
        <w:rPr>
          <w:rFonts w:hint="eastAsia" w:ascii="仿宋_GB2312" w:hAnsi="宋体" w:eastAsia="仿宋_GB2312"/>
          <w:b/>
          <w:bCs/>
          <w:sz w:val="24"/>
          <w:highlight w:val="none"/>
          <w:lang w:val="en-US" w:eastAsia="zh-CN"/>
        </w:rPr>
        <w:t>十一</w:t>
      </w:r>
      <w:r>
        <w:rPr>
          <w:rFonts w:hint="eastAsia" w:ascii="仿宋_GB2312" w:hAnsi="宋体" w:eastAsia="仿宋_GB2312"/>
          <w:b/>
          <w:bCs/>
          <w:sz w:val="24"/>
          <w:highlight w:val="none"/>
        </w:rPr>
        <w:t>：</w:t>
      </w:r>
      <w:r>
        <w:rPr>
          <w:rFonts w:hint="eastAsia" w:ascii="仿宋_GB2312" w:hAnsi="仿宋_GB2312" w:eastAsia="仿宋_GB2312" w:cs="仿宋_GB2312"/>
          <w:b/>
          <w:color w:val="auto"/>
          <w:sz w:val="24"/>
          <w:szCs w:val="24"/>
          <w:highlight w:val="none"/>
        </w:rPr>
        <w:t>《中标人须投入的设备清单》</w:t>
      </w:r>
      <w:r>
        <w:rPr>
          <w:rFonts w:hint="eastAsia" w:ascii="仿宋_GB2312" w:hAnsi="宋体" w:eastAsia="仿宋_GB2312" w:cs="宋体"/>
          <w:b/>
          <w:kern w:val="0"/>
          <w:sz w:val="24"/>
          <w:highlight w:val="none"/>
        </w:rPr>
        <w:t>）</w:t>
      </w:r>
      <w:r>
        <w:rPr>
          <w:rFonts w:hint="eastAsia" w:ascii="仿宋_GB2312" w:hAnsi="宋体" w:eastAsia="仿宋_GB2312" w:cs="宋体"/>
          <w:b/>
          <w:bCs w:val="0"/>
          <w:kern w:val="0"/>
          <w:sz w:val="24"/>
          <w:highlight w:val="none"/>
        </w:rPr>
        <w:t>”，逐条说明所提供服务对招标文件的服务内容要求作出实质性响应的情况，并填写</w:t>
      </w:r>
      <w:r>
        <w:rPr>
          <w:rFonts w:hint="eastAsia" w:ascii="仿宋_GB2312" w:hAnsi="宋体" w:eastAsia="仿宋_GB2312"/>
          <w:b/>
          <w:bCs/>
          <w:kern w:val="0"/>
          <w:sz w:val="24"/>
          <w:highlight w:val="none"/>
        </w:rPr>
        <w:t>偏离说明。具体响应内容优于招标文件要求的请在“偏离说明”一栏填写“正偏离”，具体响应内容满足招标文件要求的填写“无偏离”，具体响应内容低于招标文件要求的填写“负偏离”；</w:t>
      </w:r>
    </w:p>
    <w:p>
      <w:pPr>
        <w:spacing w:line="400" w:lineRule="exact"/>
        <w:ind w:firstLine="482" w:firstLineChars="200"/>
        <w:rPr>
          <w:rFonts w:ascii="仿宋_GB2312" w:eastAsia="仿宋_GB2312"/>
          <w:b/>
          <w:sz w:val="24"/>
          <w:highlight w:val="none"/>
        </w:rPr>
      </w:pPr>
      <w:r>
        <w:rPr>
          <w:rFonts w:hint="eastAsia" w:ascii="仿宋_GB2312" w:hAnsi="宋体" w:eastAsia="仿宋_GB2312"/>
          <w:b/>
          <w:bCs/>
          <w:kern w:val="0"/>
          <w:sz w:val="24"/>
          <w:highlight w:val="none"/>
        </w:rPr>
        <w:t>3.投标人就标记“★”符号的实质性响应内容发生负偏离一项以上的，视为投标无效。</w:t>
      </w:r>
    </w:p>
    <w:p>
      <w:pPr>
        <w:spacing w:line="400" w:lineRule="exact"/>
        <w:ind w:firstLine="3600" w:firstLineChars="1500"/>
        <w:rPr>
          <w:rFonts w:ascii="仿宋_GB2312" w:hAnsi="Courier New" w:eastAsia="仿宋_GB2312" w:cs="Courier New"/>
          <w:sz w:val="24"/>
          <w:highlight w:val="none"/>
        </w:rPr>
      </w:pPr>
      <w:r>
        <w:rPr>
          <w:rFonts w:hint="eastAsia" w:ascii="仿宋_GB2312" w:eastAsia="仿宋_GB2312"/>
          <w:sz w:val="24"/>
          <w:highlight w:val="none"/>
        </w:rPr>
        <w:t>法定代表人或委托代理人</w:t>
      </w:r>
      <w:r>
        <w:rPr>
          <w:rFonts w:hint="eastAsia" w:ascii="仿宋_GB2312" w:eastAsia="仿宋_GB2312"/>
          <w:b/>
          <w:bCs/>
          <w:sz w:val="24"/>
          <w:highlight w:val="none"/>
        </w:rPr>
        <w:t>（签字）：</w:t>
      </w:r>
      <w:r>
        <w:rPr>
          <w:rFonts w:hint="eastAsia" w:ascii="仿宋_GB2312" w:eastAsia="仿宋_GB2312"/>
          <w:sz w:val="24"/>
          <w:highlight w:val="none"/>
          <w:u w:val="single"/>
        </w:rPr>
        <w:t xml:space="preserve">           </w:t>
      </w:r>
      <w:r>
        <w:rPr>
          <w:rFonts w:ascii="仿宋_GB2312" w:eastAsia="仿宋_GB2312"/>
          <w:sz w:val="24"/>
          <w:highlight w:val="none"/>
          <w:u w:val="single"/>
        </w:rPr>
        <w:t xml:space="preserve">      </w:t>
      </w:r>
    </w:p>
    <w:p>
      <w:pPr>
        <w:spacing w:line="400" w:lineRule="exact"/>
        <w:ind w:firstLine="5160" w:firstLineChars="2150"/>
        <w:rPr>
          <w:rFonts w:ascii="仿宋_GB2312" w:hAnsi="Courier New" w:eastAsia="仿宋_GB2312" w:cs="Courier New"/>
          <w:sz w:val="24"/>
          <w:highlight w:val="none"/>
        </w:rPr>
      </w:pPr>
      <w:r>
        <w:rPr>
          <w:rFonts w:hint="eastAsia" w:ascii="仿宋_GB2312" w:hAnsi="Courier New" w:eastAsia="仿宋_GB2312" w:cs="Courier New"/>
          <w:sz w:val="24"/>
          <w:highlight w:val="none"/>
        </w:rPr>
        <w:t>投标人</w:t>
      </w:r>
      <w:r>
        <w:rPr>
          <w:rFonts w:hint="eastAsia" w:ascii="仿宋_GB2312" w:hAnsi="Courier New" w:eastAsia="仿宋_GB2312" w:cs="Courier New"/>
          <w:b/>
          <w:bCs/>
          <w:sz w:val="24"/>
          <w:highlight w:val="none"/>
        </w:rPr>
        <w:t>（CA电子签章）</w:t>
      </w:r>
      <w:r>
        <w:rPr>
          <w:rFonts w:hint="eastAsia" w:ascii="仿宋_GB2312" w:hAnsi="Courier New" w:eastAsia="仿宋_GB2312" w:cs="Courier New"/>
          <w:sz w:val="24"/>
          <w:highlight w:val="none"/>
        </w:rPr>
        <w:t>：</w:t>
      </w:r>
      <w:r>
        <w:rPr>
          <w:rFonts w:hint="eastAsia" w:ascii="仿宋_GB2312" w:hAnsi="Courier New" w:eastAsia="仿宋_GB2312" w:cs="Courier New"/>
          <w:sz w:val="24"/>
          <w:highlight w:val="none"/>
          <w:u w:val="single"/>
        </w:rPr>
        <w:t xml:space="preserve">                                </w:t>
      </w:r>
    </w:p>
    <w:p>
      <w:pPr>
        <w:snapToGrid w:val="0"/>
        <w:spacing w:before="50" w:line="400" w:lineRule="exact"/>
        <w:jc w:val="right"/>
        <w:rPr>
          <w:rFonts w:ascii="仿宋_GB2312" w:hAnsi="宋体" w:eastAsia="仿宋_GB2312"/>
          <w:sz w:val="24"/>
          <w:highlight w:val="none"/>
        </w:rPr>
      </w:pPr>
    </w:p>
    <w:p>
      <w:pPr>
        <w:snapToGrid w:val="0"/>
        <w:spacing w:before="50" w:line="400" w:lineRule="exact"/>
        <w:jc w:val="right"/>
        <w:rPr>
          <w:rFonts w:ascii="仿宋_GB2312" w:hAnsi="宋体" w:eastAsia="仿宋_GB2312"/>
          <w:sz w:val="24"/>
          <w:highlight w:val="none"/>
        </w:rPr>
      </w:pPr>
      <w:r>
        <w:rPr>
          <w:rFonts w:hint="eastAsia" w:ascii="仿宋_GB2312" w:hAnsi="宋体" w:eastAsia="仿宋_GB2312"/>
          <w:sz w:val="24"/>
          <w:highlight w:val="none"/>
        </w:rPr>
        <w:t xml:space="preserve">日期： </w:t>
      </w:r>
      <w:r>
        <w:rPr>
          <w:rFonts w:ascii="仿宋_GB2312" w:hAnsi="宋体" w:eastAsia="仿宋_GB2312"/>
          <w:sz w:val="24"/>
          <w:highlight w:val="none"/>
        </w:rPr>
        <w:t xml:space="preserve"> </w:t>
      </w:r>
      <w:r>
        <w:rPr>
          <w:rFonts w:hint="eastAsia" w:ascii="仿宋_GB2312" w:hAnsi="宋体" w:eastAsia="仿宋_GB2312"/>
          <w:sz w:val="24"/>
          <w:highlight w:val="none"/>
        </w:rPr>
        <w:t xml:space="preserve">   年   </w:t>
      </w:r>
      <w:r>
        <w:rPr>
          <w:rFonts w:ascii="仿宋_GB2312" w:hAnsi="宋体" w:eastAsia="仿宋_GB2312"/>
          <w:sz w:val="24"/>
          <w:highlight w:val="none"/>
        </w:rPr>
        <w:t xml:space="preserve"> </w:t>
      </w:r>
      <w:r>
        <w:rPr>
          <w:rFonts w:hint="eastAsia" w:ascii="仿宋_GB2312" w:hAnsi="宋体" w:eastAsia="仿宋_GB2312"/>
          <w:sz w:val="24"/>
          <w:highlight w:val="none"/>
        </w:rPr>
        <w:t xml:space="preserve"> 月    日</w:t>
      </w:r>
    </w:p>
    <w:p>
      <w:pPr>
        <w:pStyle w:val="26"/>
        <w:spacing w:line="240" w:lineRule="atLeast"/>
        <w:jc w:val="both"/>
        <w:rPr>
          <w:rFonts w:hint="eastAsia" w:ascii="仿宋_GB2312" w:hAnsi="宋体" w:eastAsia="仿宋_GB2312"/>
        </w:rPr>
        <w:sectPr>
          <w:pgSz w:w="11906" w:h="16838"/>
          <w:pgMar w:top="1440" w:right="707" w:bottom="1440" w:left="1440" w:header="851" w:footer="992" w:gutter="0"/>
          <w:cols w:space="720" w:num="1"/>
          <w:docGrid w:linePitch="312" w:charSpace="0"/>
        </w:sectPr>
      </w:pPr>
    </w:p>
    <w:p>
      <w:pPr>
        <w:snapToGrid w:val="0"/>
        <w:spacing w:before="50"/>
        <w:ind w:firstLine="460" w:firstLineChars="191"/>
        <w:jc w:val="left"/>
        <w:rPr>
          <w:rFonts w:hint="eastAsia" w:ascii="仿宋_GB2312" w:hAnsi="宋体" w:eastAsia="仿宋_GB2312"/>
          <w:b/>
          <w:color w:val="000000"/>
          <w:sz w:val="24"/>
        </w:rPr>
      </w:pPr>
      <w:r>
        <w:rPr>
          <w:rFonts w:hint="eastAsia" w:ascii="仿宋_GB2312" w:hAnsi="宋体" w:eastAsia="仿宋_GB2312"/>
          <w:b/>
          <w:color w:val="000000"/>
          <w:sz w:val="24"/>
        </w:rPr>
        <w:t>（</w:t>
      </w:r>
      <w:r>
        <w:rPr>
          <w:rFonts w:ascii="仿宋_GB2312" w:hAnsi="宋体" w:eastAsia="仿宋_GB2312"/>
          <w:b/>
          <w:color w:val="000000"/>
          <w:sz w:val="24"/>
        </w:rPr>
        <w:t>3</w:t>
      </w:r>
      <w:r>
        <w:rPr>
          <w:rFonts w:hint="eastAsia" w:ascii="仿宋_GB2312" w:hAnsi="宋体" w:eastAsia="仿宋_GB2312"/>
          <w:b/>
          <w:color w:val="000000"/>
          <w:sz w:val="24"/>
        </w:rPr>
        <w:t>）商务响应表格式（必须提供）：</w:t>
      </w:r>
    </w:p>
    <w:p>
      <w:pPr>
        <w:snapToGrid w:val="0"/>
        <w:spacing w:before="50" w:line="300" w:lineRule="exact"/>
        <w:ind w:firstLine="643" w:firstLineChars="200"/>
        <w:jc w:val="center"/>
        <w:rPr>
          <w:rFonts w:ascii="仿宋_GB2312" w:eastAsia="仿宋_GB2312"/>
          <w:b/>
          <w:sz w:val="24"/>
        </w:rPr>
      </w:pPr>
      <w:r>
        <w:rPr>
          <w:rFonts w:hint="eastAsia" w:ascii="仿宋_GB2312" w:eastAsia="仿宋_GB2312"/>
          <w:b/>
          <w:sz w:val="32"/>
          <w:szCs w:val="32"/>
        </w:rPr>
        <w:t>商务响应表</w:t>
      </w:r>
    </w:p>
    <w:tbl>
      <w:tblPr>
        <w:tblStyle w:val="4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46"/>
        <w:gridCol w:w="2360"/>
        <w:gridCol w:w="1259"/>
        <w:gridCol w:w="301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项目</w:t>
            </w:r>
          </w:p>
        </w:tc>
        <w:tc>
          <w:tcPr>
            <w:tcW w:w="23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招标文件要求</w:t>
            </w:r>
          </w:p>
        </w:tc>
        <w:tc>
          <w:tcPr>
            <w:tcW w:w="125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偏离说明</w:t>
            </w:r>
          </w:p>
        </w:tc>
        <w:tc>
          <w:tcPr>
            <w:tcW w:w="301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投标人的承诺或说明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left"/>
              <w:rPr>
                <w:rFonts w:hint="eastAsia" w:ascii="仿宋_GB2312" w:hAnsi="宋体" w:eastAsia="仿宋_GB2312"/>
                <w:color w:val="000000"/>
                <w:sz w:val="24"/>
              </w:rPr>
            </w:pPr>
            <w:r>
              <w:rPr>
                <w:rFonts w:ascii="仿宋_GB2312" w:hAnsi="宋体" w:eastAsia="仿宋_GB2312"/>
                <w:b/>
                <w:bCs/>
                <w:sz w:val="24"/>
              </w:rPr>
              <w:t>★</w:t>
            </w:r>
            <w:r>
              <w:rPr>
                <w:rFonts w:hint="eastAsia" w:ascii="仿宋_GB2312" w:hAnsi="宋体" w:eastAsia="仿宋_GB2312"/>
                <w:b/>
                <w:bCs/>
                <w:color w:val="000000"/>
                <w:sz w:val="24"/>
              </w:rPr>
              <w:t>二、商务要求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报价要求</w:t>
            </w:r>
          </w:p>
        </w:tc>
        <w:tc>
          <w:tcPr>
            <w:tcW w:w="23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服务期限</w:t>
            </w:r>
          </w:p>
        </w:tc>
        <w:tc>
          <w:tcPr>
            <w:tcW w:w="23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处理问题响应时间</w:t>
            </w:r>
          </w:p>
        </w:tc>
        <w:tc>
          <w:tcPr>
            <w:tcW w:w="23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服务交接时间及地点</w:t>
            </w:r>
          </w:p>
        </w:tc>
        <w:tc>
          <w:tcPr>
            <w:tcW w:w="23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付款方式</w:t>
            </w:r>
          </w:p>
        </w:tc>
        <w:tc>
          <w:tcPr>
            <w:tcW w:w="23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履约保证金</w:t>
            </w:r>
          </w:p>
        </w:tc>
        <w:tc>
          <w:tcPr>
            <w:tcW w:w="23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left"/>
              <w:rPr>
                <w:rFonts w:hint="eastAsia" w:ascii="仿宋_GB2312" w:hAnsi="宋体" w:eastAsia="仿宋_GB2312"/>
                <w:color w:val="000000"/>
                <w:sz w:val="24"/>
              </w:rPr>
            </w:pPr>
            <w:r>
              <w:rPr>
                <w:rFonts w:ascii="仿宋_GB2312" w:hAnsi="宋体" w:eastAsia="仿宋_GB2312"/>
                <w:b/>
                <w:bCs/>
                <w:sz w:val="24"/>
              </w:rPr>
              <w:t>★</w:t>
            </w:r>
            <w:r>
              <w:rPr>
                <w:rFonts w:hint="eastAsia" w:ascii="仿宋_GB2312" w:hAnsi="宋体" w:eastAsia="仿宋_GB2312"/>
                <w:b/>
                <w:bCs/>
                <w:color w:val="000000"/>
                <w:sz w:val="24"/>
              </w:rPr>
              <w:t>三、</w:t>
            </w:r>
            <w:r>
              <w:rPr>
                <w:rFonts w:hint="eastAsia" w:ascii="仿宋_GB2312" w:hAnsi="宋体" w:eastAsia="仿宋_GB2312"/>
                <w:b/>
                <w:sz w:val="24"/>
              </w:rPr>
              <w:t>验收要求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验收标准及要求</w:t>
            </w:r>
          </w:p>
        </w:tc>
        <w:tc>
          <w:tcPr>
            <w:tcW w:w="23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left"/>
              <w:rPr>
                <w:rFonts w:hint="eastAsia" w:ascii="仿宋_GB2312" w:hAnsi="宋体" w:eastAsia="仿宋_GB2312"/>
                <w:color w:val="000000"/>
                <w:sz w:val="24"/>
              </w:rPr>
            </w:pPr>
            <w:r>
              <w:rPr>
                <w:rFonts w:hint="eastAsia" w:ascii="仿宋_GB2312" w:hAnsi="宋体" w:eastAsia="仿宋_GB2312"/>
                <w:b/>
                <w:bCs/>
                <w:color w:val="000000"/>
                <w:sz w:val="24"/>
              </w:rPr>
              <w:t>四、资信要求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★政策性资格要求</w:t>
            </w:r>
          </w:p>
        </w:tc>
        <w:tc>
          <w:tcPr>
            <w:tcW w:w="23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 xml:space="preserve">质量管理、企业信用要求（如有） </w:t>
            </w:r>
          </w:p>
        </w:tc>
        <w:tc>
          <w:tcPr>
            <w:tcW w:w="23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 xml:space="preserve">能力或业绩要求（如有） </w:t>
            </w:r>
          </w:p>
        </w:tc>
        <w:tc>
          <w:tcPr>
            <w:tcW w:w="23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left"/>
              <w:rPr>
                <w:rFonts w:hint="eastAsia" w:ascii="仿宋_GB2312" w:hAnsi="宋体" w:eastAsia="仿宋_GB2312"/>
                <w:color w:val="000000"/>
                <w:sz w:val="24"/>
              </w:rPr>
            </w:pPr>
            <w:r>
              <w:rPr>
                <w:rFonts w:hint="eastAsia" w:ascii="仿宋_GB2312" w:hAnsi="宋体" w:eastAsia="仿宋_GB2312"/>
                <w:b/>
                <w:bCs/>
                <w:color w:val="000000"/>
                <w:sz w:val="24"/>
              </w:rPr>
              <w:t>五、其他要求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无</w:t>
            </w:r>
          </w:p>
        </w:tc>
        <w:tc>
          <w:tcPr>
            <w:tcW w:w="23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_GB2312" w:hAnsi="宋体" w:eastAsia="仿宋_GB2312"/>
                <w:color w:val="000000"/>
                <w:sz w:val="24"/>
              </w:rPr>
            </w:pPr>
          </w:p>
        </w:tc>
      </w:tr>
    </w:tbl>
    <w:p>
      <w:pPr>
        <w:pStyle w:val="26"/>
        <w:spacing w:line="360" w:lineRule="exact"/>
        <w:ind w:firstLine="482" w:firstLineChars="200"/>
        <w:rPr>
          <w:rFonts w:ascii="Times New Roman" w:hAnsi="Times New Roman"/>
          <w:color w:val="000000" w:themeColor="text1"/>
          <w14:textFill>
            <w14:solidFill>
              <w14:schemeClr w14:val="tx1"/>
            </w14:solidFill>
          </w14:textFill>
        </w:rPr>
      </w:pPr>
      <w:bookmarkStart w:id="95" w:name="_Hlk93570789"/>
      <w:bookmarkStart w:id="96" w:name="_Hlk93570876"/>
      <w:r>
        <w:rPr>
          <w:rFonts w:hint="eastAsia" w:ascii="仿宋_GB2312" w:hAnsi="宋体" w:eastAsia="仿宋_GB2312"/>
          <w:b/>
          <w:bCs/>
          <w:color w:val="000000" w:themeColor="text1"/>
          <w:kern w:val="0"/>
          <w:sz w:val="24"/>
          <w14:textFill>
            <w14:solidFill>
              <w14:schemeClr w14:val="tx1"/>
            </w14:solidFill>
          </w14:textFill>
        </w:rPr>
        <w:t>注：1.</w:t>
      </w:r>
      <w:r>
        <w:rPr>
          <w:rFonts w:hint="eastAsia" w:ascii="仿宋_GB2312" w:eastAsia="仿宋_GB2312"/>
          <w:b/>
          <w:color w:val="000000" w:themeColor="text1"/>
          <w:sz w:val="24"/>
          <w14:textFill>
            <w14:solidFill>
              <w14:schemeClr w14:val="tx1"/>
            </w14:solidFill>
          </w14:textFill>
        </w:rPr>
        <w:t>此项材料必须</w:t>
      </w:r>
      <w:r>
        <w:rPr>
          <w:rFonts w:hint="eastAsia" w:ascii="仿宋_GB2312" w:hAnsi="宋体" w:eastAsia="仿宋_GB2312"/>
          <w:b/>
          <w:bCs/>
          <w:color w:val="000000" w:themeColor="text1"/>
          <w:sz w:val="24"/>
          <w14:textFill>
            <w14:solidFill>
              <w14:schemeClr w14:val="tx1"/>
            </w14:solidFill>
          </w14:textFill>
        </w:rPr>
        <w:t>以PDF格式上传。</w:t>
      </w:r>
    </w:p>
    <w:bookmarkEnd w:id="95"/>
    <w:p>
      <w:pPr>
        <w:ind w:firstLine="482" w:firstLineChars="200"/>
        <w:rPr>
          <w:rFonts w:ascii="仿宋_GB2312" w:eastAsia="仿宋_GB2312"/>
          <w:b/>
          <w:color w:val="000000" w:themeColor="text1"/>
          <w:sz w:val="24"/>
          <w14:textFill>
            <w14:solidFill>
              <w14:schemeClr w14:val="tx1"/>
            </w14:solidFill>
          </w14:textFill>
        </w:rPr>
      </w:pPr>
      <w:bookmarkStart w:id="97" w:name="_Hlk93570803"/>
      <w:r>
        <w:rPr>
          <w:rFonts w:hint="eastAsia" w:ascii="仿宋_GB2312" w:hAnsi="宋体" w:eastAsia="仿宋_GB2312"/>
          <w:b/>
          <w:bCs/>
          <w:color w:val="000000" w:themeColor="text1"/>
          <w:kern w:val="0"/>
          <w:sz w:val="24"/>
          <w14:textFill>
            <w14:solidFill>
              <w14:schemeClr w14:val="tx1"/>
            </w14:solidFill>
          </w14:textFill>
        </w:rPr>
        <w:t>2.</w:t>
      </w:r>
      <w:r>
        <w:rPr>
          <w:rFonts w:hint="eastAsia" w:ascii="仿宋_GB2312" w:eastAsia="仿宋_GB2312"/>
          <w:b/>
          <w:color w:val="000000" w:themeColor="text1"/>
          <w:sz w:val="24"/>
          <w14:textFill>
            <w14:solidFill>
              <w14:schemeClr w14:val="tx1"/>
            </w14:solidFill>
          </w14:textFill>
        </w:rPr>
        <w:t>应对照公开招标文件“第二章《采购需求》”中的商务、验收、资信、其他要求内容，逐条说明所提供服务已对公开招标文件的相应条款做出响应，并申明与相应条款的偏离说明。具体响应内容优于公开招标文件要求的请在“偏离说明”一栏填写“正偏离”，具体响应内容满足公开招标文件要求的填写“无偏离”，具体响应内容低于公开招标文件的填写“负偏离”；</w:t>
      </w:r>
    </w:p>
    <w:p>
      <w:pPr>
        <w:widowControl/>
        <w:spacing w:line="300" w:lineRule="exact"/>
        <w:ind w:firstLine="482" w:firstLineChars="200"/>
        <w:rPr>
          <w:rFonts w:ascii="仿宋_GB2312" w:eastAsia="仿宋_GB2312"/>
          <w:color w:val="000000" w:themeColor="text1"/>
          <w:sz w:val="24"/>
          <w14:textFill>
            <w14:solidFill>
              <w14:schemeClr w14:val="tx1"/>
            </w14:solidFill>
          </w14:textFill>
        </w:rPr>
      </w:pPr>
      <w:r>
        <w:rPr>
          <w:rFonts w:hint="eastAsia" w:ascii="仿宋_GB2312" w:hAnsi="宋体" w:eastAsia="仿宋_GB2312"/>
          <w:b/>
          <w:bCs/>
          <w:color w:val="000000" w:themeColor="text1"/>
          <w:kern w:val="0"/>
          <w:sz w:val="24"/>
          <w14:textFill>
            <w14:solidFill>
              <w14:schemeClr w14:val="tx1"/>
            </w14:solidFill>
          </w14:textFill>
        </w:rPr>
        <w:t>3.投标人就标记“★”符号的实质性响应内容发生负偏离一项以上的，视为投标无效。</w:t>
      </w:r>
      <w:r>
        <w:rPr>
          <w:rFonts w:hint="eastAsia" w:ascii="仿宋_GB2312" w:eastAsia="仿宋_GB2312"/>
          <w:color w:val="000000" w:themeColor="text1"/>
          <w:sz w:val="24"/>
          <w14:textFill>
            <w14:solidFill>
              <w14:schemeClr w14:val="tx1"/>
            </w14:solidFill>
          </w14:textFill>
        </w:rPr>
        <w:t xml:space="preserve">  </w:t>
      </w:r>
      <w:bookmarkEnd w:id="97"/>
      <w:r>
        <w:rPr>
          <w:rFonts w:hint="eastAsia" w:ascii="仿宋_GB2312" w:eastAsia="仿宋_GB2312"/>
          <w:color w:val="000000" w:themeColor="text1"/>
          <w:sz w:val="24"/>
          <w14:textFill>
            <w14:solidFill>
              <w14:schemeClr w14:val="tx1"/>
            </w14:solidFill>
          </w14:textFill>
        </w:rPr>
        <w:t xml:space="preserve">              </w:t>
      </w:r>
    </w:p>
    <w:p>
      <w:pPr>
        <w:spacing w:line="300" w:lineRule="exact"/>
        <w:ind w:left="2880" w:hanging="2880" w:hangingChars="1200"/>
        <w:rPr>
          <w:rFonts w:ascii="仿宋_GB2312" w:eastAsia="仿宋_GB2312"/>
          <w:color w:val="000000" w:themeColor="text1"/>
          <w:sz w:val="24"/>
          <w14:textFill>
            <w14:solidFill>
              <w14:schemeClr w14:val="tx1"/>
            </w14:solidFill>
          </w14:textFill>
        </w:rPr>
      </w:pPr>
      <w:r>
        <w:rPr>
          <w:rFonts w:ascii="仿宋_GB2312" w:eastAsia="仿宋_GB2312"/>
          <w:color w:val="000000" w:themeColor="text1"/>
          <w:sz w:val="24"/>
          <w14:textFill>
            <w14:solidFill>
              <w14:schemeClr w14:val="tx1"/>
            </w14:solidFill>
          </w14:textFill>
        </w:rPr>
        <w:br w:type="textWrapping"/>
      </w:r>
      <w:r>
        <w:rPr>
          <w:rFonts w:hint="eastAsia" w:ascii="仿宋_GB2312" w:eastAsia="仿宋_GB2312"/>
          <w:color w:val="000000" w:themeColor="text1"/>
          <w:sz w:val="24"/>
          <w14:textFill>
            <w14:solidFill>
              <w14:schemeClr w14:val="tx1"/>
            </w14:solidFill>
          </w14:textFill>
        </w:rPr>
        <w:t>法定代表人或委托代理人</w:t>
      </w:r>
      <w:r>
        <w:rPr>
          <w:rFonts w:hint="eastAsia" w:ascii="仿宋_GB2312" w:eastAsia="仿宋_GB2312"/>
          <w:b/>
          <w:bCs/>
          <w:color w:val="000000" w:themeColor="text1"/>
          <w:sz w:val="24"/>
          <w14:textFill>
            <w14:solidFill>
              <w14:schemeClr w14:val="tx1"/>
            </w14:solidFill>
          </w14:textFill>
        </w:rPr>
        <w:t>（签字）：</w:t>
      </w:r>
      <w:r>
        <w:rPr>
          <w:rFonts w:hint="eastAsia" w:ascii="仿宋_GB2312" w:eastAsia="仿宋_GB2312"/>
          <w:color w:val="000000" w:themeColor="text1"/>
          <w:sz w:val="24"/>
          <w:u w:val="single"/>
          <w14:textFill>
            <w14:solidFill>
              <w14:schemeClr w14:val="tx1"/>
            </w14:solidFill>
          </w14:textFill>
        </w:rPr>
        <w:t xml:space="preserve">                     </w:t>
      </w:r>
      <w:r>
        <w:rPr>
          <w:rFonts w:hint="eastAsia" w:ascii="仿宋_GB2312" w:eastAsia="仿宋_GB2312"/>
          <w:color w:val="000000" w:themeColor="text1"/>
          <w:sz w:val="24"/>
          <w14:textFill>
            <w14:solidFill>
              <w14:schemeClr w14:val="tx1"/>
            </w14:solidFill>
          </w14:textFill>
        </w:rPr>
        <w:t xml:space="preserve">                        </w:t>
      </w:r>
    </w:p>
    <w:p>
      <w:pPr>
        <w:wordWrap w:val="0"/>
        <w:snapToGrid w:val="0"/>
        <w:spacing w:before="120" w:beforeLines="50" w:line="300" w:lineRule="exact"/>
        <w:jc w:val="right"/>
        <w:rPr>
          <w:rFonts w:ascii="仿宋_GB2312" w:eastAsia="仿宋_GB2312"/>
        </w:rPr>
        <w:sectPr>
          <w:pgSz w:w="11906" w:h="16838"/>
          <w:pgMar w:top="1440" w:right="1440" w:bottom="1440" w:left="1440" w:header="851" w:footer="992" w:gutter="0"/>
          <w:cols w:space="720" w:num="1"/>
          <w:docGrid w:linePitch="312" w:charSpace="0"/>
        </w:sectPr>
      </w:pPr>
      <w:r>
        <w:rPr>
          <w:rFonts w:hint="eastAsia" w:ascii="仿宋_GB2312" w:eastAsia="仿宋_GB2312"/>
          <w:color w:val="000000" w:themeColor="text1"/>
          <w:sz w:val="24"/>
          <w14:textFill>
            <w14:solidFill>
              <w14:schemeClr w14:val="tx1"/>
            </w14:solidFill>
          </w14:textFill>
        </w:rPr>
        <w:t xml:space="preserve"> 投标人</w:t>
      </w:r>
      <w:r>
        <w:rPr>
          <w:rFonts w:hint="eastAsia" w:ascii="仿宋_GB2312" w:eastAsia="仿宋_GB2312"/>
          <w:b/>
          <w:bCs/>
          <w:color w:val="000000" w:themeColor="text1"/>
          <w:sz w:val="24"/>
          <w14:textFill>
            <w14:solidFill>
              <w14:schemeClr w14:val="tx1"/>
            </w14:solidFill>
          </w14:textFill>
        </w:rPr>
        <w:t>（CA电子签章）</w:t>
      </w:r>
      <w:r>
        <w:rPr>
          <w:rFonts w:hint="eastAsia" w:ascii="仿宋_GB2312" w:eastAsia="仿宋_GB2312"/>
          <w:color w:val="000000" w:themeColor="text1"/>
          <w:sz w:val="24"/>
          <w14:textFill>
            <w14:solidFill>
              <w14:schemeClr w14:val="tx1"/>
            </w14:solidFill>
          </w14:textFill>
        </w:rPr>
        <w:t>：</w:t>
      </w:r>
      <w:r>
        <w:rPr>
          <w:rFonts w:hint="eastAsia" w:ascii="仿宋_GB2312" w:eastAsia="仿宋_GB2312"/>
          <w:color w:val="000000" w:themeColor="text1"/>
          <w:sz w:val="24"/>
          <w:u w:val="single"/>
          <w14:textFill>
            <w14:solidFill>
              <w14:schemeClr w14:val="tx1"/>
            </w14:solidFill>
          </w14:textFill>
        </w:rPr>
        <w:t xml:space="preserve">                    </w:t>
      </w:r>
      <w:bookmarkEnd w:id="96"/>
    </w:p>
    <w:p>
      <w:pPr>
        <w:pStyle w:val="418"/>
        <w:rPr>
          <w:rFonts w:ascii="仿宋_GB2312" w:eastAsia="仿宋_GB2312"/>
          <w:b/>
          <w:bCs/>
          <w:color w:val="000000"/>
        </w:rPr>
      </w:pPr>
      <w:r>
        <w:rPr>
          <w:rFonts w:hint="eastAsia" w:ascii="仿宋_GB2312" w:eastAsia="仿宋_GB2312"/>
          <w:b/>
          <w:bCs/>
          <w:color w:val="000000"/>
        </w:rPr>
        <w:t>（4）拟投入服务团队承诺函格式（必须提供）：</w:t>
      </w:r>
    </w:p>
    <w:p>
      <w:pPr>
        <w:pStyle w:val="418"/>
        <w:spacing w:line="405" w:lineRule="atLeast"/>
        <w:rPr>
          <w:rFonts w:hint="eastAsia" w:ascii="仿宋_GB2312" w:eastAsia="仿宋_GB2312"/>
          <w:color w:val="000000"/>
        </w:rPr>
      </w:pPr>
      <w:r>
        <w:rPr>
          <w:rFonts w:hint="eastAsia" w:ascii="仿宋_GB2312" w:eastAsia="仿宋_GB2312"/>
          <w:color w:val="000000"/>
        </w:rPr>
        <w:t> </w:t>
      </w:r>
    </w:p>
    <w:p>
      <w:pPr>
        <w:pStyle w:val="418"/>
        <w:jc w:val="center"/>
        <w:rPr>
          <w:rFonts w:hint="eastAsia" w:ascii="仿宋_GB2312" w:eastAsia="仿宋_GB2312"/>
          <w:color w:val="000000"/>
        </w:rPr>
      </w:pPr>
      <w:r>
        <w:rPr>
          <w:rFonts w:hint="eastAsia" w:ascii="仿宋_GB2312" w:eastAsia="仿宋_GB2312"/>
          <w:b/>
          <w:bCs/>
          <w:color w:val="000000"/>
          <w:sz w:val="33"/>
          <w:szCs w:val="33"/>
        </w:rPr>
        <w:t>拟投入服务团队承诺函</w:t>
      </w:r>
    </w:p>
    <w:p>
      <w:pPr>
        <w:pStyle w:val="418"/>
        <w:spacing w:line="405" w:lineRule="atLeast"/>
        <w:rPr>
          <w:rFonts w:hint="eastAsia" w:ascii="仿宋_GB2312" w:eastAsia="仿宋_GB2312"/>
          <w:color w:val="000000"/>
        </w:rPr>
      </w:pPr>
      <w:r>
        <w:rPr>
          <w:rFonts w:hint="eastAsia" w:ascii="仿宋_GB2312" w:eastAsia="仿宋_GB2312"/>
          <w:color w:val="000000"/>
        </w:rPr>
        <w:t> </w:t>
      </w:r>
    </w:p>
    <w:p>
      <w:pPr>
        <w:pStyle w:val="418"/>
        <w:spacing w:line="405" w:lineRule="atLeast"/>
        <w:rPr>
          <w:rFonts w:hint="eastAsia" w:ascii="仿宋_GB2312" w:eastAsia="仿宋_GB2312"/>
          <w:color w:val="000000"/>
        </w:rPr>
      </w:pPr>
      <w:r>
        <w:rPr>
          <w:rFonts w:hint="eastAsia" w:ascii="仿宋_GB2312" w:eastAsia="仿宋_GB2312"/>
          <w:sz w:val="24"/>
          <w:highlight w:val="none"/>
          <w:u w:val="single"/>
        </w:rPr>
        <w:t>柳州城市职业学院</w:t>
      </w:r>
      <w:r>
        <w:rPr>
          <w:rFonts w:hint="eastAsia" w:ascii="仿宋_GB2312" w:eastAsia="仿宋_GB2312"/>
          <w:color w:val="000000"/>
          <w:u w:val="single"/>
        </w:rPr>
        <w:t>、柳州市政府集中采购中心：</w:t>
      </w:r>
    </w:p>
    <w:p>
      <w:pPr>
        <w:pStyle w:val="418"/>
        <w:spacing w:line="405" w:lineRule="atLeast"/>
        <w:rPr>
          <w:rFonts w:hint="eastAsia" w:ascii="仿宋_GB2312" w:eastAsia="仿宋_GB2312"/>
          <w:color w:val="000000"/>
        </w:rPr>
      </w:pPr>
      <w:r>
        <w:rPr>
          <w:rFonts w:hint="eastAsia" w:ascii="仿宋_GB2312" w:eastAsia="仿宋_GB2312"/>
          <w:color w:val="000000"/>
        </w:rPr>
        <w:t>  我公司在</w:t>
      </w:r>
      <w:r>
        <w:rPr>
          <w:rFonts w:hint="eastAsia" w:ascii="仿宋_GB2312" w:eastAsia="仿宋_GB2312"/>
          <w:color w:val="000000"/>
          <w:u w:val="single"/>
        </w:rPr>
        <w:t>               </w:t>
      </w:r>
      <w:r>
        <w:rPr>
          <w:rFonts w:hint="eastAsia" w:ascii="仿宋_GB2312" w:eastAsia="仿宋_GB2312"/>
          <w:color w:val="000000"/>
        </w:rPr>
        <w:t>项目（项目编号：</w:t>
      </w:r>
      <w:r>
        <w:rPr>
          <w:rFonts w:hint="eastAsia" w:ascii="仿宋_GB2312" w:eastAsia="仿宋_GB2312"/>
          <w:color w:val="000000"/>
          <w:u w:val="single"/>
        </w:rPr>
        <w:t>                </w:t>
      </w:r>
      <w:r>
        <w:rPr>
          <w:rFonts w:hint="eastAsia" w:ascii="仿宋_GB2312" w:eastAsia="仿宋_GB2312"/>
          <w:color w:val="000000"/>
        </w:rPr>
        <w:t>）</w:t>
      </w:r>
    </w:p>
    <w:p>
      <w:pPr>
        <w:pStyle w:val="418"/>
        <w:spacing w:line="405" w:lineRule="atLeast"/>
        <w:rPr>
          <w:rFonts w:hint="eastAsia" w:ascii="仿宋_GB2312" w:eastAsia="仿宋_GB2312"/>
          <w:color w:val="000000"/>
        </w:rPr>
      </w:pPr>
      <w:r>
        <w:rPr>
          <w:rFonts w:hint="eastAsia" w:ascii="仿宋_GB2312" w:eastAsia="仿宋_GB2312"/>
          <w:color w:val="000000"/>
        </w:rPr>
        <w:t>公开招标采购活动中若中标，保证服务团队人员按照投标文件中承诺的标准配备。后期履约严格按照投标文件中自行编写的措施及方案执行，如未遵守，</w:t>
      </w:r>
      <w:r>
        <w:rPr>
          <w:rFonts w:hint="eastAsia" w:ascii="仿宋_GB2312" w:eastAsia="仿宋_GB2312"/>
          <w:color w:val="auto"/>
          <w:highlight w:val="none"/>
        </w:rPr>
        <w:t>将按照合同</w:t>
      </w:r>
      <w:r>
        <w:rPr>
          <w:rFonts w:hint="eastAsia" w:ascii="仿宋_GB2312" w:eastAsia="仿宋_GB2312"/>
          <w:color w:val="auto"/>
          <w:highlight w:val="none"/>
          <w:lang w:val="en-US" w:eastAsia="zh-CN"/>
        </w:rPr>
        <w:t>约定</w:t>
      </w:r>
      <w:r>
        <w:rPr>
          <w:rFonts w:hint="eastAsia" w:ascii="仿宋_GB2312" w:eastAsia="仿宋_GB2312"/>
          <w:color w:val="auto"/>
          <w:highlight w:val="none"/>
        </w:rPr>
        <w:t>承担违约责任。</w:t>
      </w:r>
    </w:p>
    <w:p>
      <w:pPr>
        <w:pStyle w:val="418"/>
        <w:spacing w:line="405" w:lineRule="atLeast"/>
        <w:rPr>
          <w:rFonts w:hint="eastAsia" w:ascii="仿宋_GB2312" w:eastAsia="仿宋_GB2312"/>
          <w:color w:val="000000"/>
        </w:rPr>
      </w:pPr>
      <w:r>
        <w:rPr>
          <w:rFonts w:hint="eastAsia" w:ascii="仿宋_GB2312" w:eastAsia="仿宋_GB2312"/>
          <w:color w:val="000000"/>
        </w:rPr>
        <w:t> </w:t>
      </w:r>
    </w:p>
    <w:p>
      <w:pPr>
        <w:pStyle w:val="418"/>
        <w:spacing w:line="405" w:lineRule="atLeast"/>
        <w:rPr>
          <w:rFonts w:hint="eastAsia" w:ascii="仿宋_GB2312" w:eastAsia="仿宋_GB2312"/>
          <w:color w:val="000000"/>
        </w:rPr>
      </w:pPr>
      <w:r>
        <w:rPr>
          <w:rFonts w:hint="eastAsia" w:ascii="仿宋_GB2312" w:eastAsia="仿宋_GB2312"/>
          <w:color w:val="000000"/>
        </w:rPr>
        <w:t>     特此承诺！</w:t>
      </w:r>
    </w:p>
    <w:p>
      <w:pPr>
        <w:pStyle w:val="418"/>
        <w:spacing w:line="405" w:lineRule="atLeast"/>
        <w:rPr>
          <w:rFonts w:hint="eastAsia" w:ascii="仿宋_GB2312" w:eastAsia="仿宋_GB2312"/>
          <w:color w:val="000000"/>
        </w:rPr>
      </w:pPr>
      <w:r>
        <w:rPr>
          <w:rFonts w:hint="eastAsia" w:ascii="仿宋_GB2312" w:eastAsia="仿宋_GB2312"/>
          <w:color w:val="000000"/>
        </w:rPr>
        <w:t> </w:t>
      </w:r>
    </w:p>
    <w:p>
      <w:pPr>
        <w:pStyle w:val="418"/>
        <w:jc w:val="right"/>
        <w:rPr>
          <w:rFonts w:hint="eastAsia" w:ascii="仿宋_GB2312" w:eastAsia="仿宋_GB2312"/>
          <w:color w:val="000000"/>
        </w:rPr>
      </w:pPr>
      <w:r>
        <w:rPr>
          <w:rFonts w:hint="eastAsia" w:ascii="仿宋_GB2312" w:eastAsia="仿宋_GB2312"/>
          <w:color w:val="000000"/>
        </w:rPr>
        <w:t>                                 </w:t>
      </w:r>
    </w:p>
    <w:p>
      <w:pPr>
        <w:pStyle w:val="418"/>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pPr>
        <w:pStyle w:val="418"/>
        <w:jc w:val="right"/>
        <w:rPr>
          <w:rFonts w:hint="eastAsia" w:ascii="仿宋_GB2312" w:eastAsia="仿宋_GB2312"/>
          <w:color w:val="000000"/>
        </w:rPr>
      </w:pPr>
      <w:r>
        <w:rPr>
          <w:rFonts w:hint="eastAsia" w:ascii="仿宋_GB2312" w:eastAsia="仿宋_GB2312"/>
          <w:color w:val="000000"/>
        </w:rPr>
        <w:t>日期：   年 月 日</w:t>
      </w:r>
    </w:p>
    <w:p>
      <w:pPr>
        <w:pStyle w:val="418"/>
        <w:spacing w:line="405" w:lineRule="atLeast"/>
        <w:rPr>
          <w:rFonts w:hint="eastAsia" w:ascii="仿宋_GB2312" w:eastAsia="仿宋_GB2312"/>
          <w:color w:val="000000"/>
        </w:rPr>
      </w:pPr>
      <w:r>
        <w:rPr>
          <w:rFonts w:hint="eastAsia" w:ascii="仿宋_GB2312" w:eastAsia="仿宋_GB2312"/>
          <w:b/>
          <w:bCs/>
          <w:color w:val="000000"/>
        </w:rPr>
        <w:t>注：此项材料必须以PDF格式上传。</w:t>
      </w:r>
    </w:p>
    <w:p>
      <w:pPr>
        <w:pStyle w:val="418"/>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（5）</w:t>
      </w:r>
      <w:r>
        <w:rPr>
          <w:rFonts w:hint="eastAsia" w:ascii="仿宋_GB2312" w:eastAsia="仿宋_GB2312"/>
          <w:b/>
          <w:bCs/>
          <w:color w:val="000000"/>
          <w:lang w:eastAsia="zh-CN"/>
        </w:rPr>
        <w:t>人员配置分方案</w:t>
      </w:r>
      <w:r>
        <w:rPr>
          <w:rFonts w:hint="eastAsia" w:ascii="仿宋_GB2312" w:eastAsia="仿宋_GB2312"/>
          <w:b/>
          <w:bCs/>
          <w:color w:val="000000"/>
        </w:rPr>
        <w:t>格式（如有）：</w:t>
      </w:r>
    </w:p>
    <w:p>
      <w:pPr>
        <w:pStyle w:val="418"/>
        <w:jc w:val="center"/>
        <w:rPr>
          <w:rFonts w:hint="eastAsia" w:ascii="仿宋_GB2312" w:eastAsia="仿宋_GB2312"/>
          <w:color w:val="000000"/>
          <w:lang w:eastAsia="zh-CN"/>
        </w:rPr>
      </w:pPr>
      <w:r>
        <w:rPr>
          <w:rFonts w:hint="eastAsia" w:ascii="仿宋_GB2312" w:eastAsia="仿宋_GB2312"/>
          <w:b/>
          <w:bCs/>
          <w:color w:val="000000"/>
          <w:sz w:val="33"/>
          <w:szCs w:val="33"/>
          <w:lang w:eastAsia="zh-CN"/>
        </w:rPr>
        <w:t>人员配置分方案</w:t>
      </w:r>
    </w:p>
    <w:p>
      <w:pPr>
        <w:pStyle w:val="418"/>
        <w:spacing w:line="405" w:lineRule="atLeast"/>
        <w:ind w:firstLine="722"/>
        <w:rPr>
          <w:rFonts w:hint="eastAsia" w:ascii="仿宋_GB2312" w:eastAsia="仿宋_GB2312"/>
          <w:b/>
          <w:bCs/>
          <w:color w:val="000000"/>
        </w:rPr>
      </w:pPr>
      <w:r>
        <w:rPr>
          <w:rFonts w:hint="eastAsia" w:ascii="仿宋_GB2312" w:eastAsia="仿宋_GB2312"/>
          <w:b/>
          <w:bCs/>
          <w:color w:val="auto"/>
          <w:highlight w:val="none"/>
        </w:rPr>
        <w:t>注：投标人在制作此份《人员配置</w:t>
      </w:r>
      <w:r>
        <w:rPr>
          <w:rFonts w:hint="eastAsia" w:ascii="仿宋_GB2312" w:eastAsia="仿宋_GB2312"/>
          <w:b/>
          <w:bCs/>
          <w:color w:val="auto"/>
          <w:highlight w:val="none"/>
          <w:lang w:val="en-US" w:eastAsia="zh-CN"/>
        </w:rPr>
        <w:t>分</w:t>
      </w:r>
      <w:r>
        <w:rPr>
          <w:rFonts w:hint="eastAsia" w:ascii="仿宋_GB2312" w:eastAsia="仿宋_GB2312"/>
          <w:b/>
          <w:bCs/>
          <w:color w:val="auto"/>
          <w:highlight w:val="none"/>
        </w:rPr>
        <w:t>方案》时，只需要根据第四章评标方法及评标标准中“人员配置方案”所对应的人员素质评分内容，结合自身投标情况编写。</w:t>
      </w:r>
      <w:r>
        <w:rPr>
          <w:rFonts w:hint="eastAsia" w:ascii="仿宋_GB2312" w:eastAsia="仿宋_GB2312"/>
          <w:b/>
          <w:bCs/>
          <w:color w:val="000000"/>
        </w:rPr>
        <w:br w:type="textWrapping"/>
      </w:r>
      <w:r>
        <w:rPr>
          <w:rFonts w:hint="eastAsia" w:ascii="仿宋_GB2312" w:eastAsia="仿宋_GB2312"/>
          <w:b/>
          <w:bCs/>
          <w:color w:val="000000"/>
        </w:rPr>
        <w:t>   </w:t>
      </w:r>
    </w:p>
    <w:p>
      <w:pPr>
        <w:pStyle w:val="418"/>
        <w:spacing w:line="405" w:lineRule="atLeast"/>
        <w:ind w:firstLine="722"/>
        <w:rPr>
          <w:rFonts w:hint="eastAsia" w:ascii="仿宋_GB2312" w:eastAsia="仿宋_GB2312"/>
          <w:color w:val="000000"/>
        </w:rPr>
      </w:pPr>
      <w:r>
        <w:rPr>
          <w:rFonts w:hint="eastAsia" w:ascii="仿宋_GB2312" w:eastAsia="仿宋_GB2312"/>
          <w:b/>
          <w:bCs/>
          <w:color w:val="000000"/>
        </w:rPr>
        <w:t xml:space="preserve"> 第一条 项目经理简历表</w:t>
      </w:r>
      <w:r>
        <w:rPr>
          <w:rFonts w:hint="eastAsia" w:ascii="仿宋_GB2312" w:eastAsia="仿宋_GB2312"/>
          <w:b/>
          <w:bCs/>
          <w:color w:val="000000"/>
        </w:rPr>
        <w:br w:type="textWrapping"/>
      </w:r>
      <w:r>
        <w:rPr>
          <w:rFonts w:hint="eastAsia" w:ascii="仿宋_GB2312" w:eastAsia="仿宋_GB2312"/>
          <w:b/>
          <w:bCs/>
          <w:color w:val="000000"/>
        </w:rPr>
        <w:t xml:space="preserve">                       </w:t>
      </w:r>
      <w:r>
        <w:rPr>
          <w:rFonts w:hint="eastAsia" w:ascii="仿宋_GB2312" w:eastAsia="仿宋_GB2312"/>
          <w:b/>
          <w:bCs/>
          <w:color w:val="000000"/>
          <w:sz w:val="27"/>
          <w:szCs w:val="27"/>
        </w:rPr>
        <w:t>项目经理简历表</w:t>
      </w:r>
    </w:p>
    <w:tbl>
      <w:tblPr>
        <w:tblStyle w:val="48"/>
        <w:tblW w:w="5000" w:type="pct"/>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006"/>
        <w:gridCol w:w="2948"/>
        <w:gridCol w:w="1657"/>
        <w:gridCol w:w="3298"/>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7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jc w:val="center"/>
              <w:rPr>
                <w:rFonts w:hint="eastAsia" w:ascii="仿宋_GB2312" w:eastAsia="仿宋_GB2312"/>
                <w:color w:val="000000"/>
              </w:rPr>
            </w:pPr>
            <w:r>
              <w:rPr>
                <w:rFonts w:hint="eastAsia" w:ascii="仿宋_GB2312" w:eastAsia="仿宋_GB2312"/>
                <w:color w:val="000000"/>
              </w:rPr>
              <w:t>姓    名</w:t>
            </w:r>
          </w:p>
        </w:tc>
        <w:tc>
          <w:tcPr>
            <w:tcW w:w="253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jc w:val="center"/>
              <w:rPr>
                <w:rFonts w:hint="eastAsia" w:ascii="仿宋_GB2312" w:eastAsia="仿宋_GB2312"/>
                <w:color w:val="000000"/>
              </w:rPr>
            </w:pPr>
            <w:r>
              <w:rPr>
                <w:rFonts w:hint="eastAsia" w:ascii="仿宋_GB2312" w:eastAsia="仿宋_GB2312"/>
                <w:color w:val="000000"/>
              </w:rPr>
              <w:t> </w:t>
            </w:r>
          </w:p>
        </w:tc>
        <w:tc>
          <w:tcPr>
            <w:tcW w:w="14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jc w:val="center"/>
              <w:rPr>
                <w:rFonts w:hint="eastAsia" w:ascii="仿宋_GB2312" w:eastAsia="仿宋_GB2312"/>
                <w:color w:val="000000"/>
              </w:rPr>
            </w:pPr>
            <w:r>
              <w:rPr>
                <w:rFonts w:hint="eastAsia" w:ascii="仿宋_GB2312" w:eastAsia="仿宋_GB2312"/>
                <w:color w:val="000000"/>
              </w:rPr>
              <w:t>年   龄</w:t>
            </w:r>
          </w:p>
        </w:tc>
        <w:tc>
          <w:tcPr>
            <w:tcW w:w="283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jc w:val="center"/>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7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jc w:val="center"/>
              <w:rPr>
                <w:rFonts w:hint="eastAsia" w:ascii="仿宋_GB2312" w:eastAsia="仿宋_GB2312"/>
                <w:color w:val="000000"/>
              </w:rPr>
            </w:pPr>
            <w:r>
              <w:rPr>
                <w:rFonts w:hint="eastAsia" w:ascii="仿宋_GB2312" w:eastAsia="仿宋_GB2312"/>
                <w:color w:val="000000"/>
              </w:rPr>
              <w:t>性    别</w:t>
            </w:r>
          </w:p>
        </w:tc>
        <w:tc>
          <w:tcPr>
            <w:tcW w:w="253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jc w:val="center"/>
              <w:rPr>
                <w:rFonts w:hint="eastAsia" w:ascii="仿宋_GB2312" w:eastAsia="仿宋_GB2312"/>
                <w:color w:val="000000"/>
              </w:rPr>
            </w:pPr>
            <w:r>
              <w:rPr>
                <w:rFonts w:hint="eastAsia" w:ascii="仿宋_GB2312" w:eastAsia="仿宋_GB2312"/>
                <w:color w:val="000000"/>
              </w:rPr>
              <w:t> </w:t>
            </w:r>
          </w:p>
        </w:tc>
        <w:tc>
          <w:tcPr>
            <w:tcW w:w="14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jc w:val="center"/>
              <w:rPr>
                <w:rFonts w:hint="eastAsia" w:ascii="仿宋_GB2312" w:eastAsia="仿宋_GB2312"/>
                <w:color w:val="000000"/>
              </w:rPr>
            </w:pPr>
            <w:r>
              <w:rPr>
                <w:rFonts w:hint="eastAsia" w:ascii="仿宋_GB2312" w:eastAsia="仿宋_GB2312"/>
                <w:color w:val="000000"/>
              </w:rPr>
              <w:t>学   历</w:t>
            </w:r>
          </w:p>
        </w:tc>
        <w:tc>
          <w:tcPr>
            <w:tcW w:w="283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jc w:val="center"/>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7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jc w:val="center"/>
              <w:rPr>
                <w:rFonts w:hint="eastAsia" w:ascii="仿宋_GB2312" w:eastAsia="仿宋_GB2312"/>
                <w:color w:val="000000"/>
              </w:rPr>
            </w:pPr>
            <w:r>
              <w:rPr>
                <w:rFonts w:hint="eastAsia" w:ascii="仿宋_GB2312" w:eastAsia="仿宋_GB2312"/>
                <w:color w:val="000000"/>
              </w:rPr>
              <w:t>职    称</w:t>
            </w:r>
          </w:p>
        </w:tc>
        <w:tc>
          <w:tcPr>
            <w:tcW w:w="253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jc w:val="center"/>
              <w:rPr>
                <w:rFonts w:hint="eastAsia" w:ascii="仿宋_GB2312" w:eastAsia="仿宋_GB2312"/>
                <w:color w:val="000000"/>
              </w:rPr>
            </w:pPr>
            <w:r>
              <w:rPr>
                <w:rFonts w:hint="eastAsia" w:ascii="仿宋_GB2312" w:eastAsia="仿宋_GB2312"/>
                <w:color w:val="000000"/>
              </w:rPr>
              <w:t> </w:t>
            </w:r>
          </w:p>
        </w:tc>
        <w:tc>
          <w:tcPr>
            <w:tcW w:w="14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jc w:val="center"/>
              <w:rPr>
                <w:rFonts w:hint="eastAsia" w:ascii="仿宋_GB2312" w:eastAsia="仿宋_GB2312"/>
                <w:color w:val="000000"/>
              </w:rPr>
            </w:pPr>
            <w:r>
              <w:rPr>
                <w:rFonts w:hint="eastAsia" w:ascii="仿宋_GB2312" w:eastAsia="仿宋_GB2312"/>
                <w:color w:val="000000"/>
              </w:rPr>
              <w:t>毕业学校</w:t>
            </w:r>
          </w:p>
        </w:tc>
        <w:tc>
          <w:tcPr>
            <w:tcW w:w="283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jc w:val="center"/>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17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jc w:val="center"/>
              <w:rPr>
                <w:rFonts w:hint="eastAsia" w:ascii="仿宋_GB2312" w:eastAsia="仿宋_GB2312"/>
                <w:color w:val="000000"/>
              </w:rPr>
            </w:pPr>
            <w:r>
              <w:rPr>
                <w:rFonts w:hint="eastAsia" w:ascii="仿宋_GB2312" w:eastAsia="仿宋_GB2312"/>
                <w:color w:val="000000"/>
              </w:rPr>
              <w:t>执业资格</w:t>
            </w:r>
          </w:p>
        </w:tc>
        <w:tc>
          <w:tcPr>
            <w:tcW w:w="253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jc w:val="center"/>
              <w:rPr>
                <w:rFonts w:hint="eastAsia" w:ascii="仿宋_GB2312" w:eastAsia="仿宋_GB2312"/>
                <w:color w:val="000000"/>
              </w:rPr>
            </w:pPr>
            <w:r>
              <w:rPr>
                <w:rFonts w:hint="eastAsia" w:ascii="仿宋_GB2312" w:eastAsia="仿宋_GB2312"/>
                <w:color w:val="000000"/>
              </w:rPr>
              <w:t> </w:t>
            </w:r>
          </w:p>
        </w:tc>
        <w:tc>
          <w:tcPr>
            <w:tcW w:w="14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jc w:val="center"/>
              <w:rPr>
                <w:rFonts w:hint="eastAsia" w:ascii="仿宋_GB2312" w:eastAsia="仿宋_GB2312"/>
                <w:color w:val="000000"/>
              </w:rPr>
            </w:pPr>
            <w:r>
              <w:rPr>
                <w:rFonts w:hint="eastAsia" w:ascii="仿宋_GB2312" w:eastAsia="仿宋_GB2312"/>
                <w:color w:val="000000"/>
              </w:rPr>
              <w:t>毕业时间</w:t>
            </w:r>
          </w:p>
        </w:tc>
        <w:tc>
          <w:tcPr>
            <w:tcW w:w="283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spacing w:line="405" w:lineRule="atLeast"/>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015" w:hRule="atLeast"/>
          <w:jc w:val="center"/>
        </w:trPr>
        <w:tc>
          <w:tcPr>
            <w:tcW w:w="8520" w:type="dxa"/>
            <w:gridSpan w:val="4"/>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spacing w:line="405" w:lineRule="atLeast"/>
              <w:rPr>
                <w:rFonts w:hint="eastAsia" w:ascii="仿宋_GB2312" w:eastAsia="仿宋_GB2312"/>
                <w:color w:val="000000"/>
              </w:rPr>
            </w:pPr>
            <w:r>
              <w:rPr>
                <w:rFonts w:hint="eastAsia" w:ascii="仿宋_GB2312" w:eastAsia="仿宋_GB2312"/>
                <w:color w:val="000000"/>
              </w:rPr>
              <w:t>相关工作经验：</w:t>
            </w:r>
          </w:p>
        </w:tc>
      </w:tr>
    </w:tbl>
    <w:p>
      <w:pPr>
        <w:autoSpaceDN w:val="0"/>
        <w:spacing w:line="400" w:lineRule="exact"/>
        <w:ind w:firstLine="482" w:firstLineChars="200"/>
        <w:rPr>
          <w:rFonts w:ascii="仿宋_GB2312" w:hAnsi="宋体" w:eastAsia="仿宋_GB2312"/>
          <w:b/>
          <w:bCs/>
          <w:sz w:val="24"/>
          <w:highlight w:val="none"/>
        </w:rPr>
      </w:pPr>
      <w:r>
        <w:rPr>
          <w:rFonts w:hint="eastAsia" w:ascii="仿宋_GB2312" w:hAnsi="仿宋_GB2312" w:eastAsia="仿宋_GB2312" w:cs="仿宋_GB2312"/>
          <w:b/>
          <w:bCs/>
          <w:sz w:val="24"/>
          <w:highlight w:val="none"/>
        </w:rPr>
        <w:t>注：投标人提供</w:t>
      </w:r>
      <w:r>
        <w:rPr>
          <w:rFonts w:hint="eastAsia" w:ascii="仿宋_GB2312" w:hAnsi="宋体" w:eastAsia="仿宋_GB2312"/>
          <w:b/>
          <w:bCs/>
          <w:sz w:val="24"/>
          <w:highlight w:val="none"/>
        </w:rPr>
        <w:t>项目经理的</w:t>
      </w:r>
      <w:r>
        <w:rPr>
          <w:rFonts w:hint="eastAsia" w:ascii="仿宋_GB2312" w:hAnsi="仿宋_GB2312" w:eastAsia="仿宋_GB2312" w:cs="仿宋_GB2312"/>
          <w:b/>
          <w:bCs/>
          <w:sz w:val="24"/>
          <w:highlight w:val="none"/>
        </w:rPr>
        <w:t>聘用合同、协议等佐证材料</w:t>
      </w:r>
      <w:r>
        <w:rPr>
          <w:rFonts w:hint="eastAsia" w:ascii="仿宋_GB2312" w:hAnsi="宋体" w:eastAsia="仿宋_GB2312"/>
          <w:b/>
          <w:bCs/>
          <w:sz w:val="24"/>
          <w:highlight w:val="none"/>
        </w:rPr>
        <w:t>，并提供其</w:t>
      </w:r>
      <w:r>
        <w:rPr>
          <w:rFonts w:hint="eastAsia" w:ascii="仿宋_GB2312" w:hAnsi="仿宋_GB2312" w:eastAsia="仿宋_GB2312" w:cs="仿宋_GB2312"/>
          <w:b/>
          <w:bCs/>
          <w:sz w:val="24"/>
          <w:highlight w:val="none"/>
        </w:rPr>
        <w:t>相关学历、</w:t>
      </w:r>
      <w:r>
        <w:rPr>
          <w:rFonts w:hint="eastAsia" w:ascii="仿宋_GB2312" w:hAnsi="仿宋_GB2312" w:eastAsia="仿宋_GB2312" w:cs="仿宋_GB2312"/>
          <w:b/>
          <w:bCs/>
          <w:sz w:val="24"/>
          <w:highlight w:val="none"/>
          <w:lang w:val="en-US" w:eastAsia="zh-CN"/>
        </w:rPr>
        <w:t>工作经验</w:t>
      </w:r>
      <w:r>
        <w:rPr>
          <w:rFonts w:hint="eastAsia" w:ascii="仿宋_GB2312" w:hAnsi="仿宋_GB2312" w:eastAsia="仿宋_GB2312" w:cs="仿宋_GB2312"/>
          <w:b/>
          <w:bCs/>
          <w:sz w:val="24"/>
          <w:highlight w:val="none"/>
        </w:rPr>
        <w:t>证明材料（能够体现工作经验的合同或物业业主单位的证明）</w:t>
      </w:r>
      <w:r>
        <w:rPr>
          <w:rFonts w:hint="eastAsia" w:ascii="仿宋_GB2312" w:hAnsi="宋体" w:eastAsia="仿宋_GB2312"/>
          <w:b/>
          <w:bCs/>
          <w:sz w:val="24"/>
          <w:highlight w:val="none"/>
        </w:rPr>
        <w:t>（如有）；</w:t>
      </w:r>
    </w:p>
    <w:p>
      <w:pPr>
        <w:spacing w:before="0" w:beforeAutospacing="0" w:after="0" w:afterAutospacing="0"/>
        <w:rPr>
          <w:rFonts w:hint="eastAsia" w:ascii="仿宋_GB2312" w:eastAsia="仿宋_GB2312"/>
          <w:b/>
          <w:bCs/>
          <w:color w:val="000000"/>
        </w:rPr>
      </w:pPr>
      <w:r>
        <w:rPr>
          <w:rFonts w:hint="eastAsia" w:ascii="仿宋_GB2312" w:eastAsia="仿宋_GB2312"/>
          <w:b/>
          <w:bCs/>
          <w:color w:val="000000"/>
        </w:rPr>
        <w:t>                 </w:t>
      </w:r>
    </w:p>
    <w:p>
      <w:pPr>
        <w:spacing w:line="400" w:lineRule="exact"/>
        <w:rPr>
          <w:rFonts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第二条 其余服务人员素质结构表</w:t>
      </w:r>
    </w:p>
    <w:p>
      <w:pPr>
        <w:spacing w:line="400" w:lineRule="exact"/>
        <w:jc w:val="center"/>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其余服务人员素质结构表</w:t>
      </w:r>
    </w:p>
    <w:tbl>
      <w:tblPr>
        <w:tblStyle w:val="48"/>
        <w:tblW w:w="7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2859"/>
        <w:gridCol w:w="2235"/>
        <w:gridCol w:w="1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0" w:type="dxa"/>
            <w:gridSpan w:val="4"/>
            <w:vAlign w:val="center"/>
          </w:tcPr>
          <w:p>
            <w:pPr>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维修</w:t>
            </w:r>
            <w:r>
              <w:rPr>
                <w:rFonts w:hint="eastAsia" w:ascii="仿宋_GB2312" w:hAnsi="仿宋_GB2312" w:eastAsia="仿宋_GB2312" w:cs="仿宋_GB2312"/>
                <w:sz w:val="24"/>
                <w:highlight w:val="none"/>
                <w:lang w:eastAsia="zh-CN"/>
              </w:rPr>
              <w:t>维护人</w:t>
            </w:r>
            <w:r>
              <w:rPr>
                <w:rFonts w:hint="eastAsia" w:ascii="仿宋_GB2312" w:hAnsi="仿宋_GB2312" w:eastAsia="仿宋_GB2312" w:cs="仿宋_GB2312"/>
                <w:sz w:val="24"/>
                <w:highlight w:val="none"/>
              </w:rPr>
              <w:t>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Align w:val="center"/>
          </w:tcPr>
          <w:p>
            <w:pPr>
              <w:spacing w:line="40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2859" w:type="dxa"/>
            <w:vAlign w:val="center"/>
          </w:tcPr>
          <w:p>
            <w:pPr>
              <w:spacing w:line="40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lang w:val="en-US" w:eastAsia="zh-CN"/>
              </w:rPr>
              <w:t>持证情况</w:t>
            </w:r>
          </w:p>
        </w:tc>
        <w:tc>
          <w:tcPr>
            <w:tcW w:w="2235" w:type="dxa"/>
            <w:vAlign w:val="center"/>
          </w:tcPr>
          <w:p>
            <w:pPr>
              <w:spacing w:line="40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lang w:val="en-US" w:eastAsia="zh-CN"/>
              </w:rPr>
              <w:t>人数</w:t>
            </w:r>
          </w:p>
        </w:tc>
        <w:tc>
          <w:tcPr>
            <w:tcW w:w="1822" w:type="dxa"/>
            <w:vAlign w:val="center"/>
          </w:tcPr>
          <w:p>
            <w:pPr>
              <w:spacing w:line="400" w:lineRule="exact"/>
              <w:jc w:val="center"/>
              <w:rPr>
                <w:rFonts w:hint="eastAsia" w:ascii="仿宋_GB2312" w:hAnsi="仿宋_GB2312" w:eastAsia="仿宋_GB2312" w:cs="仿宋_GB2312"/>
                <w:sz w:val="24"/>
                <w:highlight w:val="none"/>
                <w:lang w:eastAsia="zh-CN"/>
              </w:rPr>
            </w:pPr>
            <w:r>
              <w:rPr>
                <w:rFonts w:hint="eastAsia" w:ascii="仿宋_GB2312" w:hAnsi="仿宋_GB2312" w:eastAsia="仿宋_GB2312" w:cs="仿宋_GB2312"/>
                <w:sz w:val="24"/>
                <w:highlight w:val="none"/>
                <w:lang w:eastAsia="zh-CN"/>
              </w:rPr>
              <w:t>工作经验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Align w:val="center"/>
          </w:tcPr>
          <w:p>
            <w:pPr>
              <w:spacing w:line="40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2859" w:type="dxa"/>
            <w:vAlign w:val="center"/>
          </w:tcPr>
          <w:p>
            <w:pPr>
              <w:spacing w:line="400" w:lineRule="exact"/>
              <w:jc w:val="center"/>
              <w:rPr>
                <w:rFonts w:ascii="仿宋_GB2312" w:hAnsi="仿宋_GB2312" w:eastAsia="仿宋_GB2312" w:cs="仿宋_GB2312"/>
                <w:sz w:val="24"/>
                <w:highlight w:val="none"/>
              </w:rPr>
            </w:pPr>
          </w:p>
        </w:tc>
        <w:tc>
          <w:tcPr>
            <w:tcW w:w="2235" w:type="dxa"/>
            <w:vAlign w:val="center"/>
          </w:tcPr>
          <w:p>
            <w:pPr>
              <w:spacing w:line="400" w:lineRule="exact"/>
              <w:jc w:val="center"/>
              <w:rPr>
                <w:rFonts w:ascii="仿宋_GB2312" w:hAnsi="仿宋_GB2312" w:eastAsia="仿宋_GB2312" w:cs="仿宋_GB2312"/>
                <w:sz w:val="24"/>
                <w:highlight w:val="none"/>
              </w:rPr>
            </w:pPr>
          </w:p>
        </w:tc>
        <w:tc>
          <w:tcPr>
            <w:tcW w:w="1822" w:type="dxa"/>
            <w:vAlign w:val="center"/>
          </w:tcPr>
          <w:p>
            <w:pPr>
              <w:spacing w:line="400" w:lineRule="exact"/>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Align w:val="center"/>
          </w:tcPr>
          <w:p>
            <w:pPr>
              <w:spacing w:line="400" w:lineRule="exact"/>
              <w:jc w:val="center"/>
              <w:rPr>
                <w:rFonts w:hint="eastAsia" w:ascii="仿宋_GB2312" w:hAnsi="仿宋_GB2312" w:eastAsia="仿宋_GB2312" w:cs="仿宋_GB2312"/>
                <w:sz w:val="24"/>
                <w:highlight w:val="none"/>
                <w:lang w:eastAsia="zh-CN"/>
              </w:rPr>
            </w:pPr>
            <w:r>
              <w:rPr>
                <w:rFonts w:hint="eastAsia" w:ascii="仿宋_GB2312" w:hAnsi="仿宋_GB2312" w:eastAsia="仿宋_GB2312" w:cs="仿宋_GB2312"/>
                <w:sz w:val="24"/>
                <w:highlight w:val="none"/>
                <w:lang w:val="en-US" w:eastAsia="zh-CN"/>
              </w:rPr>
              <w:t>2</w:t>
            </w:r>
          </w:p>
        </w:tc>
        <w:tc>
          <w:tcPr>
            <w:tcW w:w="2859" w:type="dxa"/>
            <w:vAlign w:val="center"/>
          </w:tcPr>
          <w:p>
            <w:pPr>
              <w:spacing w:line="400" w:lineRule="exact"/>
              <w:jc w:val="center"/>
              <w:rPr>
                <w:rFonts w:ascii="仿宋_GB2312" w:hAnsi="仿宋_GB2312" w:eastAsia="仿宋_GB2312" w:cs="仿宋_GB2312"/>
                <w:sz w:val="24"/>
                <w:highlight w:val="none"/>
              </w:rPr>
            </w:pPr>
          </w:p>
        </w:tc>
        <w:tc>
          <w:tcPr>
            <w:tcW w:w="2235" w:type="dxa"/>
            <w:vAlign w:val="center"/>
          </w:tcPr>
          <w:p>
            <w:pPr>
              <w:spacing w:line="400" w:lineRule="exact"/>
              <w:jc w:val="center"/>
              <w:rPr>
                <w:rFonts w:ascii="仿宋_GB2312" w:hAnsi="仿宋_GB2312" w:eastAsia="仿宋_GB2312" w:cs="仿宋_GB2312"/>
                <w:sz w:val="24"/>
                <w:highlight w:val="none"/>
              </w:rPr>
            </w:pPr>
          </w:p>
        </w:tc>
        <w:tc>
          <w:tcPr>
            <w:tcW w:w="1822" w:type="dxa"/>
            <w:vAlign w:val="center"/>
          </w:tcPr>
          <w:p>
            <w:pPr>
              <w:spacing w:line="400" w:lineRule="exact"/>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Align w:val="center"/>
          </w:tcPr>
          <w:p>
            <w:pPr>
              <w:spacing w:line="400" w:lineRule="exact"/>
              <w:jc w:val="center"/>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3</w:t>
            </w:r>
          </w:p>
        </w:tc>
        <w:tc>
          <w:tcPr>
            <w:tcW w:w="2859" w:type="dxa"/>
            <w:vAlign w:val="center"/>
          </w:tcPr>
          <w:p>
            <w:pPr>
              <w:spacing w:line="400" w:lineRule="exact"/>
              <w:jc w:val="center"/>
              <w:rPr>
                <w:rFonts w:ascii="仿宋_GB2312" w:hAnsi="仿宋_GB2312" w:eastAsia="仿宋_GB2312" w:cs="仿宋_GB2312"/>
                <w:sz w:val="24"/>
                <w:highlight w:val="none"/>
              </w:rPr>
            </w:pPr>
          </w:p>
        </w:tc>
        <w:tc>
          <w:tcPr>
            <w:tcW w:w="2235" w:type="dxa"/>
            <w:vAlign w:val="center"/>
          </w:tcPr>
          <w:p>
            <w:pPr>
              <w:spacing w:line="400" w:lineRule="exact"/>
              <w:jc w:val="center"/>
              <w:rPr>
                <w:rFonts w:ascii="仿宋_GB2312" w:hAnsi="仿宋_GB2312" w:eastAsia="仿宋_GB2312" w:cs="仿宋_GB2312"/>
                <w:sz w:val="24"/>
                <w:highlight w:val="none"/>
              </w:rPr>
            </w:pPr>
          </w:p>
        </w:tc>
        <w:tc>
          <w:tcPr>
            <w:tcW w:w="1822" w:type="dxa"/>
            <w:vAlign w:val="center"/>
          </w:tcPr>
          <w:p>
            <w:pPr>
              <w:spacing w:line="400" w:lineRule="exact"/>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Align w:val="center"/>
          </w:tcPr>
          <w:p>
            <w:pPr>
              <w:spacing w:line="400" w:lineRule="exact"/>
              <w:jc w:val="center"/>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4</w:t>
            </w:r>
          </w:p>
        </w:tc>
        <w:tc>
          <w:tcPr>
            <w:tcW w:w="2859" w:type="dxa"/>
            <w:vAlign w:val="center"/>
          </w:tcPr>
          <w:p>
            <w:pPr>
              <w:spacing w:line="400" w:lineRule="exact"/>
              <w:jc w:val="center"/>
              <w:rPr>
                <w:rFonts w:ascii="仿宋_GB2312" w:hAnsi="仿宋_GB2312" w:eastAsia="仿宋_GB2312" w:cs="仿宋_GB2312"/>
                <w:sz w:val="24"/>
                <w:highlight w:val="none"/>
              </w:rPr>
            </w:pPr>
          </w:p>
        </w:tc>
        <w:tc>
          <w:tcPr>
            <w:tcW w:w="2235" w:type="dxa"/>
            <w:vAlign w:val="center"/>
          </w:tcPr>
          <w:p>
            <w:pPr>
              <w:spacing w:line="400" w:lineRule="exact"/>
              <w:jc w:val="center"/>
              <w:rPr>
                <w:rFonts w:ascii="仿宋_GB2312" w:hAnsi="仿宋_GB2312" w:eastAsia="仿宋_GB2312" w:cs="仿宋_GB2312"/>
                <w:sz w:val="24"/>
                <w:highlight w:val="none"/>
              </w:rPr>
            </w:pPr>
          </w:p>
        </w:tc>
        <w:tc>
          <w:tcPr>
            <w:tcW w:w="1822" w:type="dxa"/>
            <w:vAlign w:val="center"/>
          </w:tcPr>
          <w:p>
            <w:pPr>
              <w:spacing w:line="400" w:lineRule="exact"/>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Align w:val="center"/>
          </w:tcPr>
          <w:p>
            <w:pPr>
              <w:spacing w:line="400" w:lineRule="exact"/>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c>
          <w:tcPr>
            <w:tcW w:w="2859" w:type="dxa"/>
            <w:vAlign w:val="center"/>
          </w:tcPr>
          <w:p>
            <w:pPr>
              <w:spacing w:line="400" w:lineRule="exact"/>
              <w:jc w:val="center"/>
              <w:rPr>
                <w:rFonts w:ascii="仿宋_GB2312" w:hAnsi="仿宋_GB2312" w:eastAsia="仿宋_GB2312" w:cs="仿宋_GB2312"/>
                <w:sz w:val="24"/>
                <w:highlight w:val="none"/>
              </w:rPr>
            </w:pPr>
          </w:p>
        </w:tc>
        <w:tc>
          <w:tcPr>
            <w:tcW w:w="2235" w:type="dxa"/>
            <w:vAlign w:val="center"/>
          </w:tcPr>
          <w:p>
            <w:pPr>
              <w:spacing w:line="400" w:lineRule="exact"/>
              <w:jc w:val="center"/>
              <w:rPr>
                <w:rFonts w:ascii="仿宋_GB2312" w:hAnsi="仿宋_GB2312" w:eastAsia="仿宋_GB2312" w:cs="仿宋_GB2312"/>
                <w:sz w:val="24"/>
                <w:highlight w:val="none"/>
              </w:rPr>
            </w:pPr>
          </w:p>
        </w:tc>
        <w:tc>
          <w:tcPr>
            <w:tcW w:w="1822" w:type="dxa"/>
            <w:vAlign w:val="center"/>
          </w:tcPr>
          <w:p>
            <w:pPr>
              <w:spacing w:line="400" w:lineRule="exact"/>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0" w:type="dxa"/>
            <w:gridSpan w:val="4"/>
            <w:vAlign w:val="center"/>
          </w:tcPr>
          <w:p>
            <w:pPr>
              <w:spacing w:line="400" w:lineRule="exact"/>
              <w:jc w:val="center"/>
              <w:rPr>
                <w:rFonts w:hint="eastAsia" w:ascii="仿宋_GB2312" w:hAnsi="仿宋_GB2312" w:eastAsia="仿宋_GB2312" w:cs="仿宋_GB2312"/>
                <w:sz w:val="24"/>
                <w:highlight w:val="none"/>
                <w:lang w:eastAsia="zh-CN"/>
              </w:rPr>
            </w:pPr>
            <w:r>
              <w:rPr>
                <w:rFonts w:hint="eastAsia" w:ascii="仿宋_GB2312" w:hAnsi="仿宋_GB2312" w:eastAsia="仿宋_GB2312" w:cs="仿宋_GB2312"/>
                <w:sz w:val="24"/>
                <w:highlight w:val="none"/>
                <w:lang w:eastAsia="zh-CN"/>
              </w:rPr>
              <w:t>绿化养护人员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Align w:val="center"/>
          </w:tcPr>
          <w:p>
            <w:pPr>
              <w:spacing w:line="40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2859" w:type="dxa"/>
            <w:vAlign w:val="center"/>
          </w:tcPr>
          <w:p>
            <w:pPr>
              <w:spacing w:line="400" w:lineRule="exact"/>
              <w:jc w:val="center"/>
              <w:rPr>
                <w:rFonts w:hint="eastAsia" w:ascii="仿宋_GB2312" w:hAnsi="仿宋_GB2312" w:eastAsia="仿宋_GB2312" w:cs="仿宋_GB2312"/>
                <w:sz w:val="24"/>
                <w:highlight w:val="none"/>
                <w:lang w:eastAsia="zh-CN"/>
              </w:rPr>
            </w:pPr>
            <w:r>
              <w:rPr>
                <w:rFonts w:hint="eastAsia" w:ascii="仿宋_GB2312" w:hAnsi="仿宋_GB2312" w:eastAsia="仿宋_GB2312" w:cs="仿宋_GB2312"/>
                <w:sz w:val="24"/>
                <w:highlight w:val="none"/>
                <w:lang w:eastAsia="zh-CN"/>
              </w:rPr>
              <w:t>工作经验</w:t>
            </w:r>
          </w:p>
        </w:tc>
        <w:tc>
          <w:tcPr>
            <w:tcW w:w="2235" w:type="dxa"/>
            <w:vAlign w:val="center"/>
          </w:tcPr>
          <w:p>
            <w:pPr>
              <w:spacing w:line="400" w:lineRule="exact"/>
              <w:jc w:val="center"/>
              <w:rPr>
                <w:rFonts w:hint="eastAsia" w:ascii="仿宋_GB2312" w:hAnsi="仿宋_GB2312" w:eastAsia="仿宋_GB2312" w:cs="仿宋_GB2312"/>
                <w:sz w:val="24"/>
                <w:highlight w:val="none"/>
                <w:lang w:eastAsia="zh-CN"/>
              </w:rPr>
            </w:pPr>
            <w:r>
              <w:rPr>
                <w:rFonts w:hint="eastAsia" w:ascii="仿宋_GB2312" w:hAnsi="仿宋_GB2312" w:eastAsia="仿宋_GB2312" w:cs="仿宋_GB2312"/>
                <w:sz w:val="24"/>
                <w:highlight w:val="none"/>
                <w:lang w:val="en-US" w:eastAsia="zh-CN"/>
              </w:rPr>
              <w:t>人数</w:t>
            </w:r>
          </w:p>
        </w:tc>
        <w:tc>
          <w:tcPr>
            <w:tcW w:w="1822" w:type="dxa"/>
            <w:vAlign w:val="center"/>
          </w:tcPr>
          <w:p>
            <w:pPr>
              <w:spacing w:line="400" w:lineRule="exact"/>
              <w:jc w:val="center"/>
              <w:rPr>
                <w:rFonts w:hint="eastAsia" w:ascii="仿宋_GB2312" w:hAnsi="仿宋_GB2312" w:eastAsia="仿宋_GB2312" w:cs="仿宋_GB2312"/>
                <w:sz w:val="24"/>
                <w:highlight w:val="none"/>
                <w:lang w:eastAsia="zh-CN"/>
              </w:rPr>
            </w:pPr>
            <w:r>
              <w:rPr>
                <w:rFonts w:hint="eastAsia" w:ascii="仿宋_GB2312" w:hAnsi="仿宋_GB2312" w:eastAsia="仿宋_GB2312" w:cs="仿宋_GB2312"/>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Align w:val="center"/>
          </w:tcPr>
          <w:p>
            <w:pPr>
              <w:spacing w:line="40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2859" w:type="dxa"/>
            <w:vAlign w:val="center"/>
          </w:tcPr>
          <w:p>
            <w:pPr>
              <w:spacing w:line="400" w:lineRule="exact"/>
              <w:jc w:val="center"/>
              <w:rPr>
                <w:rFonts w:ascii="仿宋_GB2312" w:hAnsi="仿宋_GB2312" w:eastAsia="仿宋_GB2312" w:cs="仿宋_GB2312"/>
                <w:sz w:val="24"/>
                <w:highlight w:val="none"/>
              </w:rPr>
            </w:pPr>
          </w:p>
        </w:tc>
        <w:tc>
          <w:tcPr>
            <w:tcW w:w="2235" w:type="dxa"/>
            <w:vAlign w:val="center"/>
          </w:tcPr>
          <w:p>
            <w:pPr>
              <w:spacing w:line="400" w:lineRule="exact"/>
              <w:jc w:val="center"/>
              <w:rPr>
                <w:rFonts w:ascii="仿宋_GB2312" w:hAnsi="仿宋_GB2312" w:eastAsia="仿宋_GB2312" w:cs="仿宋_GB2312"/>
                <w:sz w:val="24"/>
                <w:highlight w:val="none"/>
              </w:rPr>
            </w:pPr>
          </w:p>
        </w:tc>
        <w:tc>
          <w:tcPr>
            <w:tcW w:w="1822" w:type="dxa"/>
            <w:vAlign w:val="center"/>
          </w:tcPr>
          <w:p>
            <w:pPr>
              <w:spacing w:line="400" w:lineRule="exact"/>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Align w:val="center"/>
          </w:tcPr>
          <w:p>
            <w:pPr>
              <w:spacing w:line="40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2859" w:type="dxa"/>
            <w:vAlign w:val="center"/>
          </w:tcPr>
          <w:p>
            <w:pPr>
              <w:spacing w:line="400" w:lineRule="exact"/>
              <w:jc w:val="center"/>
              <w:rPr>
                <w:rFonts w:ascii="仿宋_GB2312" w:hAnsi="仿宋_GB2312" w:eastAsia="仿宋_GB2312" w:cs="仿宋_GB2312"/>
                <w:sz w:val="24"/>
                <w:highlight w:val="none"/>
              </w:rPr>
            </w:pPr>
          </w:p>
        </w:tc>
        <w:tc>
          <w:tcPr>
            <w:tcW w:w="2235" w:type="dxa"/>
            <w:vAlign w:val="center"/>
          </w:tcPr>
          <w:p>
            <w:pPr>
              <w:spacing w:line="400" w:lineRule="exact"/>
              <w:jc w:val="center"/>
              <w:rPr>
                <w:rFonts w:ascii="仿宋_GB2312" w:hAnsi="仿宋_GB2312" w:eastAsia="仿宋_GB2312" w:cs="仿宋_GB2312"/>
                <w:sz w:val="24"/>
                <w:highlight w:val="none"/>
              </w:rPr>
            </w:pPr>
          </w:p>
        </w:tc>
        <w:tc>
          <w:tcPr>
            <w:tcW w:w="1822" w:type="dxa"/>
            <w:vAlign w:val="center"/>
          </w:tcPr>
          <w:p>
            <w:pPr>
              <w:spacing w:line="400" w:lineRule="exact"/>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64" w:type="dxa"/>
            <w:vAlign w:val="center"/>
          </w:tcPr>
          <w:p>
            <w:pPr>
              <w:spacing w:line="40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c>
          <w:tcPr>
            <w:tcW w:w="2859" w:type="dxa"/>
            <w:vAlign w:val="center"/>
          </w:tcPr>
          <w:p>
            <w:pPr>
              <w:spacing w:line="400" w:lineRule="exact"/>
              <w:jc w:val="center"/>
              <w:rPr>
                <w:rFonts w:ascii="仿宋_GB2312" w:hAnsi="仿宋_GB2312" w:eastAsia="仿宋_GB2312" w:cs="仿宋_GB2312"/>
                <w:sz w:val="24"/>
                <w:highlight w:val="none"/>
              </w:rPr>
            </w:pPr>
          </w:p>
        </w:tc>
        <w:tc>
          <w:tcPr>
            <w:tcW w:w="2235" w:type="dxa"/>
            <w:vAlign w:val="center"/>
          </w:tcPr>
          <w:p>
            <w:pPr>
              <w:spacing w:line="400" w:lineRule="exact"/>
              <w:jc w:val="center"/>
              <w:rPr>
                <w:rFonts w:ascii="仿宋_GB2312" w:hAnsi="仿宋_GB2312" w:eastAsia="仿宋_GB2312" w:cs="仿宋_GB2312"/>
                <w:sz w:val="24"/>
                <w:highlight w:val="none"/>
              </w:rPr>
            </w:pPr>
          </w:p>
        </w:tc>
        <w:tc>
          <w:tcPr>
            <w:tcW w:w="1822" w:type="dxa"/>
            <w:vAlign w:val="center"/>
          </w:tcPr>
          <w:p>
            <w:pPr>
              <w:spacing w:line="400" w:lineRule="exact"/>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0" w:type="dxa"/>
            <w:gridSpan w:val="4"/>
            <w:vAlign w:val="center"/>
          </w:tcPr>
          <w:p>
            <w:pPr>
              <w:spacing w:line="400" w:lineRule="exact"/>
              <w:jc w:val="center"/>
              <w:rPr>
                <w:rFonts w:hint="eastAsia" w:ascii="仿宋_GB2312" w:hAnsi="仿宋_GB2312" w:eastAsia="仿宋_GB2312" w:cs="仿宋_GB2312"/>
                <w:sz w:val="24"/>
                <w:highlight w:val="none"/>
                <w:lang w:eastAsia="zh-CN"/>
              </w:rPr>
            </w:pPr>
            <w:r>
              <w:rPr>
                <w:rFonts w:hint="eastAsia" w:ascii="仿宋_GB2312" w:hAnsi="仿宋_GB2312" w:eastAsia="仿宋_GB2312" w:cs="仿宋_GB2312"/>
                <w:sz w:val="24"/>
                <w:highlight w:val="none"/>
                <w:lang w:eastAsia="zh-CN"/>
              </w:rPr>
              <w:t>保洁人员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Align w:val="center"/>
          </w:tcPr>
          <w:p>
            <w:pPr>
              <w:spacing w:line="40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2859" w:type="dxa"/>
            <w:vAlign w:val="center"/>
          </w:tcPr>
          <w:p>
            <w:pPr>
              <w:spacing w:line="400" w:lineRule="exact"/>
              <w:jc w:val="center"/>
              <w:rPr>
                <w:rFonts w:hint="eastAsia" w:ascii="仿宋_GB2312" w:hAnsi="仿宋_GB2312" w:eastAsia="仿宋_GB2312" w:cs="仿宋_GB2312"/>
                <w:sz w:val="24"/>
                <w:highlight w:val="none"/>
                <w:lang w:eastAsia="zh-CN"/>
              </w:rPr>
            </w:pPr>
            <w:r>
              <w:rPr>
                <w:rFonts w:hint="eastAsia" w:ascii="仿宋_GB2312" w:hAnsi="仿宋_GB2312" w:eastAsia="仿宋_GB2312" w:cs="仿宋_GB2312"/>
                <w:sz w:val="24"/>
                <w:highlight w:val="none"/>
                <w:lang w:eastAsia="zh-CN"/>
              </w:rPr>
              <w:t>工作经验</w:t>
            </w:r>
          </w:p>
        </w:tc>
        <w:tc>
          <w:tcPr>
            <w:tcW w:w="2235" w:type="dxa"/>
            <w:vAlign w:val="center"/>
          </w:tcPr>
          <w:p>
            <w:pPr>
              <w:spacing w:line="400" w:lineRule="exact"/>
              <w:jc w:val="center"/>
              <w:rPr>
                <w:rFonts w:hint="eastAsia" w:ascii="仿宋_GB2312" w:hAnsi="仿宋_GB2312" w:eastAsia="仿宋_GB2312" w:cs="仿宋_GB2312"/>
                <w:sz w:val="24"/>
                <w:highlight w:val="none"/>
                <w:lang w:eastAsia="zh-CN"/>
              </w:rPr>
            </w:pPr>
            <w:r>
              <w:rPr>
                <w:rFonts w:hint="eastAsia" w:ascii="仿宋_GB2312" w:hAnsi="仿宋_GB2312" w:eastAsia="仿宋_GB2312" w:cs="仿宋_GB2312"/>
                <w:sz w:val="24"/>
                <w:highlight w:val="none"/>
                <w:lang w:eastAsia="zh-CN"/>
              </w:rPr>
              <w:t>人数</w:t>
            </w:r>
          </w:p>
        </w:tc>
        <w:tc>
          <w:tcPr>
            <w:tcW w:w="1822" w:type="dxa"/>
            <w:vAlign w:val="center"/>
          </w:tcPr>
          <w:p>
            <w:pPr>
              <w:spacing w:line="400" w:lineRule="exact"/>
              <w:jc w:val="center"/>
              <w:rPr>
                <w:rFonts w:hint="eastAsia" w:ascii="仿宋_GB2312" w:hAnsi="仿宋_GB2312" w:eastAsia="仿宋_GB2312" w:cs="仿宋_GB2312"/>
                <w:sz w:val="24"/>
                <w:highlight w:val="none"/>
                <w:lang w:eastAsia="zh-CN"/>
              </w:rPr>
            </w:pPr>
            <w:r>
              <w:rPr>
                <w:rFonts w:hint="eastAsia" w:ascii="仿宋_GB2312" w:hAnsi="仿宋_GB2312" w:eastAsia="仿宋_GB2312" w:cs="仿宋_GB2312"/>
                <w:sz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Align w:val="center"/>
          </w:tcPr>
          <w:p>
            <w:pPr>
              <w:spacing w:line="40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2859" w:type="dxa"/>
            <w:vAlign w:val="center"/>
          </w:tcPr>
          <w:p>
            <w:pPr>
              <w:spacing w:line="400" w:lineRule="exact"/>
              <w:jc w:val="center"/>
              <w:rPr>
                <w:rFonts w:ascii="仿宋_GB2312" w:hAnsi="仿宋_GB2312" w:eastAsia="仿宋_GB2312" w:cs="仿宋_GB2312"/>
                <w:sz w:val="24"/>
                <w:highlight w:val="none"/>
              </w:rPr>
            </w:pPr>
          </w:p>
        </w:tc>
        <w:tc>
          <w:tcPr>
            <w:tcW w:w="2235" w:type="dxa"/>
            <w:vAlign w:val="center"/>
          </w:tcPr>
          <w:p>
            <w:pPr>
              <w:spacing w:line="400" w:lineRule="exact"/>
              <w:jc w:val="center"/>
              <w:rPr>
                <w:rFonts w:ascii="仿宋_GB2312" w:hAnsi="仿宋_GB2312" w:eastAsia="仿宋_GB2312" w:cs="仿宋_GB2312"/>
                <w:sz w:val="24"/>
                <w:highlight w:val="none"/>
              </w:rPr>
            </w:pPr>
          </w:p>
        </w:tc>
        <w:tc>
          <w:tcPr>
            <w:tcW w:w="1822" w:type="dxa"/>
            <w:vAlign w:val="center"/>
          </w:tcPr>
          <w:p>
            <w:pPr>
              <w:spacing w:line="400" w:lineRule="exact"/>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Align w:val="center"/>
          </w:tcPr>
          <w:p>
            <w:pPr>
              <w:spacing w:line="40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c>
          <w:tcPr>
            <w:tcW w:w="2859" w:type="dxa"/>
            <w:vAlign w:val="center"/>
          </w:tcPr>
          <w:p>
            <w:pPr>
              <w:spacing w:line="400" w:lineRule="exact"/>
              <w:jc w:val="center"/>
              <w:rPr>
                <w:rFonts w:ascii="仿宋_GB2312" w:hAnsi="仿宋_GB2312" w:eastAsia="仿宋_GB2312" w:cs="仿宋_GB2312"/>
                <w:sz w:val="24"/>
                <w:highlight w:val="none"/>
              </w:rPr>
            </w:pPr>
          </w:p>
        </w:tc>
        <w:tc>
          <w:tcPr>
            <w:tcW w:w="2235" w:type="dxa"/>
            <w:vAlign w:val="center"/>
          </w:tcPr>
          <w:p>
            <w:pPr>
              <w:spacing w:line="400" w:lineRule="exact"/>
              <w:jc w:val="center"/>
              <w:rPr>
                <w:rFonts w:ascii="仿宋_GB2312" w:hAnsi="仿宋_GB2312" w:eastAsia="仿宋_GB2312" w:cs="仿宋_GB2312"/>
                <w:sz w:val="24"/>
                <w:highlight w:val="none"/>
              </w:rPr>
            </w:pPr>
          </w:p>
        </w:tc>
        <w:tc>
          <w:tcPr>
            <w:tcW w:w="1822" w:type="dxa"/>
            <w:vAlign w:val="center"/>
          </w:tcPr>
          <w:p>
            <w:pPr>
              <w:spacing w:line="400" w:lineRule="exact"/>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0" w:type="dxa"/>
            <w:gridSpan w:val="4"/>
            <w:vAlign w:val="center"/>
          </w:tcPr>
          <w:p>
            <w:pPr>
              <w:spacing w:line="400" w:lineRule="exact"/>
              <w:jc w:val="center"/>
              <w:rPr>
                <w:rFonts w:hint="eastAsia" w:ascii="仿宋_GB2312" w:hAnsi="仿宋_GB2312" w:eastAsia="仿宋_GB2312" w:cs="仿宋_GB2312"/>
                <w:sz w:val="24"/>
                <w:highlight w:val="none"/>
                <w:lang w:eastAsia="zh-CN"/>
              </w:rPr>
            </w:pPr>
            <w:r>
              <w:rPr>
                <w:rFonts w:hint="eastAsia" w:ascii="仿宋_GB2312" w:hAnsi="仿宋_GB2312" w:eastAsia="仿宋_GB2312" w:cs="仿宋_GB2312"/>
                <w:sz w:val="24"/>
                <w:highlight w:val="none"/>
                <w:lang w:eastAsia="zh-CN"/>
              </w:rPr>
              <w:t>学生公寓管理员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Align w:val="center"/>
          </w:tcPr>
          <w:p>
            <w:pPr>
              <w:spacing w:line="400" w:lineRule="exact"/>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2859" w:type="dxa"/>
            <w:vAlign w:val="center"/>
          </w:tcPr>
          <w:p>
            <w:pPr>
              <w:spacing w:line="400" w:lineRule="exact"/>
              <w:jc w:val="center"/>
              <w:rPr>
                <w:rFonts w:hint="eastAsia" w:ascii="仿宋_GB2312" w:hAnsi="仿宋_GB2312" w:eastAsia="仿宋_GB2312" w:cs="仿宋_GB2312"/>
                <w:sz w:val="24"/>
                <w:highlight w:val="none"/>
                <w:lang w:eastAsia="zh-CN"/>
              </w:rPr>
            </w:pPr>
            <w:r>
              <w:rPr>
                <w:rFonts w:hint="eastAsia" w:ascii="仿宋_GB2312" w:hAnsi="仿宋_GB2312" w:eastAsia="仿宋_GB2312" w:cs="仿宋_GB2312"/>
                <w:sz w:val="24"/>
                <w:highlight w:val="none"/>
                <w:lang w:eastAsia="zh-CN"/>
              </w:rPr>
              <w:t>工作经验</w:t>
            </w:r>
          </w:p>
        </w:tc>
        <w:tc>
          <w:tcPr>
            <w:tcW w:w="2235" w:type="dxa"/>
            <w:vAlign w:val="center"/>
          </w:tcPr>
          <w:p>
            <w:pPr>
              <w:spacing w:line="400" w:lineRule="exact"/>
              <w:jc w:val="center"/>
              <w:rPr>
                <w:rFonts w:hint="eastAsia" w:ascii="仿宋_GB2312" w:hAnsi="仿宋_GB2312" w:eastAsia="仿宋_GB2312" w:cs="仿宋_GB2312"/>
                <w:sz w:val="24"/>
                <w:highlight w:val="none"/>
                <w:lang w:eastAsia="zh-CN"/>
              </w:rPr>
            </w:pPr>
            <w:r>
              <w:rPr>
                <w:rFonts w:hint="eastAsia" w:ascii="仿宋_GB2312" w:hAnsi="仿宋_GB2312" w:eastAsia="仿宋_GB2312" w:cs="仿宋_GB2312"/>
                <w:sz w:val="24"/>
                <w:highlight w:val="none"/>
                <w:lang w:eastAsia="zh-CN"/>
              </w:rPr>
              <w:t>人数</w:t>
            </w:r>
          </w:p>
        </w:tc>
        <w:tc>
          <w:tcPr>
            <w:tcW w:w="1822" w:type="dxa"/>
            <w:vAlign w:val="center"/>
          </w:tcPr>
          <w:p>
            <w:pPr>
              <w:spacing w:line="40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Align w:val="center"/>
          </w:tcPr>
          <w:p>
            <w:pPr>
              <w:spacing w:line="400" w:lineRule="exact"/>
              <w:jc w:val="center"/>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1</w:t>
            </w:r>
          </w:p>
        </w:tc>
        <w:tc>
          <w:tcPr>
            <w:tcW w:w="2859" w:type="dxa"/>
            <w:vAlign w:val="center"/>
          </w:tcPr>
          <w:p>
            <w:pPr>
              <w:spacing w:line="400" w:lineRule="exact"/>
              <w:jc w:val="center"/>
              <w:rPr>
                <w:rFonts w:ascii="仿宋_GB2312" w:hAnsi="仿宋_GB2312" w:eastAsia="仿宋_GB2312" w:cs="仿宋_GB2312"/>
                <w:sz w:val="24"/>
                <w:highlight w:val="none"/>
              </w:rPr>
            </w:pPr>
          </w:p>
        </w:tc>
        <w:tc>
          <w:tcPr>
            <w:tcW w:w="2235" w:type="dxa"/>
            <w:vAlign w:val="center"/>
          </w:tcPr>
          <w:p>
            <w:pPr>
              <w:spacing w:line="400" w:lineRule="exact"/>
              <w:jc w:val="center"/>
              <w:rPr>
                <w:rFonts w:ascii="仿宋_GB2312" w:hAnsi="仿宋_GB2312" w:eastAsia="仿宋_GB2312" w:cs="仿宋_GB2312"/>
                <w:sz w:val="24"/>
                <w:highlight w:val="none"/>
              </w:rPr>
            </w:pPr>
          </w:p>
        </w:tc>
        <w:tc>
          <w:tcPr>
            <w:tcW w:w="1822" w:type="dxa"/>
            <w:vAlign w:val="center"/>
          </w:tcPr>
          <w:p>
            <w:pPr>
              <w:spacing w:line="400" w:lineRule="exact"/>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0" w:type="dxa"/>
            <w:gridSpan w:val="4"/>
            <w:vAlign w:val="center"/>
          </w:tcPr>
          <w:p>
            <w:pPr>
              <w:spacing w:line="400" w:lineRule="exact"/>
              <w:jc w:val="center"/>
              <w:rPr>
                <w:rFonts w:hint="eastAsia" w:ascii="仿宋_GB2312" w:hAnsi="仿宋_GB2312" w:eastAsia="仿宋_GB2312" w:cs="仿宋_GB2312"/>
                <w:sz w:val="24"/>
                <w:highlight w:val="none"/>
                <w:lang w:eastAsia="zh-CN"/>
              </w:rPr>
            </w:pPr>
            <w:r>
              <w:rPr>
                <w:rFonts w:hint="eastAsia" w:ascii="仿宋_GB2312" w:hAnsi="仿宋_GB2312" w:eastAsia="仿宋_GB2312" w:cs="仿宋_GB2312"/>
                <w:sz w:val="24"/>
                <w:highlight w:val="none"/>
                <w:lang w:eastAsia="zh-CN"/>
              </w:rPr>
              <w:t>学员公寓管理员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Align w:val="center"/>
          </w:tcPr>
          <w:p>
            <w:pPr>
              <w:spacing w:line="400" w:lineRule="exact"/>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2859" w:type="dxa"/>
            <w:vAlign w:val="center"/>
          </w:tcPr>
          <w:p>
            <w:pPr>
              <w:spacing w:line="400" w:lineRule="exact"/>
              <w:jc w:val="center"/>
              <w:rPr>
                <w:rFonts w:hint="eastAsia" w:ascii="仿宋_GB2312" w:hAnsi="仿宋_GB2312" w:eastAsia="仿宋_GB2312" w:cs="仿宋_GB2312"/>
                <w:sz w:val="24"/>
                <w:highlight w:val="none"/>
                <w:lang w:eastAsia="zh-CN"/>
              </w:rPr>
            </w:pPr>
            <w:r>
              <w:rPr>
                <w:rFonts w:hint="eastAsia" w:ascii="仿宋_GB2312" w:hAnsi="仿宋_GB2312" w:eastAsia="仿宋_GB2312" w:cs="仿宋_GB2312"/>
                <w:sz w:val="24"/>
                <w:highlight w:val="none"/>
                <w:lang w:eastAsia="zh-CN"/>
              </w:rPr>
              <w:t>工作经验</w:t>
            </w:r>
          </w:p>
        </w:tc>
        <w:tc>
          <w:tcPr>
            <w:tcW w:w="2235" w:type="dxa"/>
            <w:vAlign w:val="center"/>
          </w:tcPr>
          <w:p>
            <w:pPr>
              <w:spacing w:line="400" w:lineRule="exact"/>
              <w:jc w:val="center"/>
              <w:rPr>
                <w:rFonts w:hint="eastAsia" w:ascii="仿宋_GB2312" w:hAnsi="仿宋_GB2312" w:eastAsia="仿宋_GB2312" w:cs="仿宋_GB2312"/>
                <w:sz w:val="24"/>
                <w:highlight w:val="none"/>
                <w:lang w:eastAsia="zh-CN"/>
              </w:rPr>
            </w:pPr>
            <w:r>
              <w:rPr>
                <w:rFonts w:hint="eastAsia" w:ascii="仿宋_GB2312" w:hAnsi="仿宋_GB2312" w:eastAsia="仿宋_GB2312" w:cs="仿宋_GB2312"/>
                <w:sz w:val="24"/>
                <w:highlight w:val="none"/>
                <w:lang w:eastAsia="zh-CN"/>
              </w:rPr>
              <w:t>人数</w:t>
            </w:r>
          </w:p>
        </w:tc>
        <w:tc>
          <w:tcPr>
            <w:tcW w:w="1822" w:type="dxa"/>
            <w:vAlign w:val="center"/>
          </w:tcPr>
          <w:p>
            <w:pPr>
              <w:spacing w:line="40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Align w:val="center"/>
          </w:tcPr>
          <w:p>
            <w:pPr>
              <w:spacing w:line="400" w:lineRule="exact"/>
              <w:jc w:val="center"/>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1</w:t>
            </w:r>
          </w:p>
        </w:tc>
        <w:tc>
          <w:tcPr>
            <w:tcW w:w="2859" w:type="dxa"/>
            <w:vAlign w:val="center"/>
          </w:tcPr>
          <w:p>
            <w:pPr>
              <w:spacing w:line="400" w:lineRule="exact"/>
              <w:jc w:val="center"/>
              <w:rPr>
                <w:rFonts w:hint="eastAsia" w:ascii="仿宋_GB2312" w:hAnsi="仿宋_GB2312" w:eastAsia="仿宋_GB2312" w:cs="仿宋_GB2312"/>
                <w:sz w:val="24"/>
                <w:highlight w:val="none"/>
              </w:rPr>
            </w:pPr>
          </w:p>
        </w:tc>
        <w:tc>
          <w:tcPr>
            <w:tcW w:w="2235" w:type="dxa"/>
            <w:vAlign w:val="center"/>
          </w:tcPr>
          <w:p>
            <w:pPr>
              <w:spacing w:line="400" w:lineRule="exact"/>
              <w:jc w:val="center"/>
              <w:rPr>
                <w:rFonts w:hint="eastAsia" w:ascii="仿宋_GB2312" w:hAnsi="仿宋_GB2312" w:eastAsia="仿宋_GB2312" w:cs="仿宋_GB2312"/>
                <w:sz w:val="24"/>
                <w:highlight w:val="none"/>
              </w:rPr>
            </w:pPr>
          </w:p>
        </w:tc>
        <w:tc>
          <w:tcPr>
            <w:tcW w:w="1822" w:type="dxa"/>
            <w:vAlign w:val="center"/>
          </w:tcPr>
          <w:p>
            <w:pPr>
              <w:spacing w:line="400" w:lineRule="exact"/>
              <w:jc w:val="center"/>
              <w:rPr>
                <w:rFonts w:ascii="仿宋_GB2312" w:hAnsi="仿宋_GB2312" w:eastAsia="仿宋_GB2312" w:cs="仿宋_GB2312"/>
                <w:sz w:val="24"/>
                <w:highlight w:val="none"/>
              </w:rPr>
            </w:pPr>
          </w:p>
        </w:tc>
      </w:tr>
    </w:tbl>
    <w:p>
      <w:pPr>
        <w:autoSpaceDN w:val="0"/>
        <w:spacing w:line="400" w:lineRule="exact"/>
        <w:ind w:firstLine="482" w:firstLineChars="200"/>
        <w:rPr>
          <w:rFonts w:ascii="仿宋_GB2312" w:hAnsi="仿宋_GB2312" w:eastAsia="仿宋_GB2312" w:cs="仿宋_GB2312"/>
          <w:b/>
          <w:bCs/>
          <w:sz w:val="24"/>
          <w:highlight w:val="none"/>
        </w:rPr>
      </w:pPr>
    </w:p>
    <w:p>
      <w:pPr>
        <w:spacing w:before="0" w:beforeAutospacing="0" w:after="0" w:afterAutospacing="0"/>
        <w:rPr>
          <w:rFonts w:hint="eastAsia" w:ascii="仿宋_GB2312" w:eastAsia="仿宋_GB2312"/>
          <w:color w:val="000000"/>
        </w:rPr>
      </w:pPr>
      <w:r>
        <w:rPr>
          <w:rFonts w:hint="eastAsia" w:ascii="仿宋_GB2312" w:eastAsia="仿宋_GB2312"/>
          <w:color w:val="000000"/>
        </w:rPr>
        <w:t> </w:t>
      </w:r>
    </w:p>
    <w:p>
      <w:pPr>
        <w:pStyle w:val="418"/>
        <w:spacing w:line="405" w:lineRule="atLeast"/>
        <w:rPr>
          <w:rFonts w:hint="eastAsia" w:ascii="仿宋_GB2312" w:eastAsia="仿宋_GB2312"/>
          <w:color w:val="000000"/>
        </w:rPr>
      </w:pPr>
      <w:r>
        <w:rPr>
          <w:rFonts w:hint="eastAsia" w:ascii="仿宋_GB2312" w:eastAsia="仿宋_GB2312"/>
          <w:color w:val="000000"/>
        </w:rPr>
        <w:t> </w:t>
      </w:r>
    </w:p>
    <w:p>
      <w:pPr>
        <w:pStyle w:val="418"/>
        <w:spacing w:line="405" w:lineRule="atLeast"/>
        <w:rPr>
          <w:rFonts w:hint="eastAsia" w:ascii="仿宋_GB2312" w:eastAsia="仿宋_GB2312"/>
          <w:color w:val="000000"/>
        </w:rPr>
      </w:pPr>
      <w:r>
        <w:rPr>
          <w:rFonts w:hint="eastAsia" w:ascii="仿宋_GB2312" w:eastAsia="仿宋_GB2312"/>
          <w:color w:val="000000"/>
        </w:rPr>
        <w:t> </w:t>
      </w:r>
    </w:p>
    <w:p>
      <w:pPr>
        <w:pStyle w:val="418"/>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 </w:t>
      </w:r>
      <w:r>
        <w:rPr>
          <w:rFonts w:hint="eastAsia" w:ascii="仿宋_GB2312" w:eastAsia="仿宋_GB2312"/>
          <w:color w:val="000000"/>
          <w:u w:val="single"/>
        </w:rPr>
        <w:t>         </w:t>
      </w:r>
    </w:p>
    <w:p>
      <w:pPr>
        <w:pStyle w:val="418"/>
        <w:jc w:val="right"/>
        <w:rPr>
          <w:rFonts w:hint="eastAsia" w:ascii="仿宋_GB2312" w:eastAsia="仿宋_GB2312"/>
          <w:color w:val="000000"/>
        </w:rPr>
      </w:pPr>
      <w:r>
        <w:rPr>
          <w:rFonts w:hint="eastAsia" w:ascii="仿宋_GB2312" w:eastAsia="仿宋_GB2312"/>
          <w:color w:val="000000"/>
        </w:rPr>
        <w:t>日期：    年  月  日</w:t>
      </w:r>
    </w:p>
    <w:p>
      <w:pPr>
        <w:pStyle w:val="418"/>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pPr>
        <w:pStyle w:val="418"/>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（6）针对本项目的理解分析和</w:t>
      </w:r>
      <w:r>
        <w:rPr>
          <w:rFonts w:hint="eastAsia" w:ascii="仿宋_GB2312" w:eastAsia="仿宋_GB2312"/>
          <w:b/>
          <w:bCs/>
          <w:color w:val="000000"/>
          <w:lang w:eastAsia="zh-CN"/>
        </w:rPr>
        <w:t>物业服务</w:t>
      </w:r>
      <w:r>
        <w:rPr>
          <w:rFonts w:hint="eastAsia" w:ascii="仿宋_GB2312" w:eastAsia="仿宋_GB2312"/>
          <w:b/>
          <w:bCs/>
          <w:color w:val="000000"/>
        </w:rPr>
        <w:t>方案格式（如有）:</w:t>
      </w:r>
    </w:p>
    <w:p>
      <w:pPr>
        <w:pStyle w:val="418"/>
        <w:jc w:val="center"/>
        <w:rPr>
          <w:rFonts w:hint="eastAsia" w:ascii="仿宋_GB2312" w:eastAsia="仿宋_GB2312"/>
          <w:color w:val="000000"/>
        </w:rPr>
      </w:pPr>
      <w:r>
        <w:rPr>
          <w:rFonts w:hint="eastAsia" w:ascii="仿宋_GB2312" w:eastAsia="仿宋_GB2312"/>
          <w:color w:val="000000"/>
        </w:rPr>
        <w:t> </w:t>
      </w:r>
    </w:p>
    <w:p>
      <w:pPr>
        <w:pStyle w:val="418"/>
        <w:jc w:val="center"/>
        <w:rPr>
          <w:rFonts w:hint="eastAsia" w:ascii="仿宋_GB2312" w:eastAsia="仿宋_GB2312"/>
          <w:color w:val="000000"/>
        </w:rPr>
      </w:pPr>
      <w:r>
        <w:rPr>
          <w:rFonts w:hint="eastAsia" w:ascii="仿宋_GB2312" w:eastAsia="仿宋_GB2312"/>
          <w:b/>
          <w:bCs/>
          <w:color w:val="000000"/>
          <w:sz w:val="33"/>
          <w:szCs w:val="33"/>
        </w:rPr>
        <w:t>针对本项目的理解分析和</w:t>
      </w:r>
      <w:r>
        <w:rPr>
          <w:rFonts w:hint="eastAsia" w:ascii="仿宋_GB2312" w:eastAsia="仿宋_GB2312"/>
          <w:b/>
          <w:bCs/>
          <w:color w:val="000000"/>
          <w:sz w:val="33"/>
          <w:szCs w:val="33"/>
          <w:lang w:eastAsia="zh-CN"/>
        </w:rPr>
        <w:t>物业服务</w:t>
      </w:r>
      <w:r>
        <w:rPr>
          <w:rFonts w:hint="eastAsia" w:ascii="仿宋_GB2312" w:eastAsia="仿宋_GB2312"/>
          <w:b/>
          <w:bCs/>
          <w:color w:val="000000"/>
          <w:sz w:val="33"/>
          <w:szCs w:val="33"/>
        </w:rPr>
        <w:t>方案</w:t>
      </w:r>
    </w:p>
    <w:p>
      <w:pPr>
        <w:pStyle w:val="418"/>
        <w:jc w:val="center"/>
        <w:rPr>
          <w:rFonts w:hint="eastAsia" w:ascii="仿宋_GB2312" w:eastAsia="仿宋_GB2312"/>
          <w:color w:val="000000"/>
        </w:rPr>
      </w:pPr>
      <w:r>
        <w:rPr>
          <w:rFonts w:hint="eastAsia" w:ascii="仿宋_GB2312" w:eastAsia="仿宋_GB2312"/>
          <w:color w:val="000000"/>
        </w:rPr>
        <w:t> </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仿宋_GB2312" w:hAnsi="宋体" w:eastAsia="仿宋_GB2312" w:cs="宋体"/>
          <w:b w:val="0"/>
          <w:bCs w:val="0"/>
          <w:color w:val="000000"/>
          <w:kern w:val="0"/>
          <w:sz w:val="24"/>
          <w:szCs w:val="24"/>
          <w:highlight w:val="none"/>
          <w:lang w:eastAsia="zh-CN"/>
        </w:rPr>
      </w:pPr>
      <w:r>
        <w:rPr>
          <w:rFonts w:hint="eastAsia" w:ascii="仿宋_GB2312" w:hAnsi="宋体" w:eastAsia="仿宋_GB2312" w:cs="宋体"/>
          <w:color w:val="000000"/>
          <w:kern w:val="0"/>
          <w:sz w:val="24"/>
        </w:rPr>
        <w:t>  由投标人按第二章《采购需求》要求，自行编写以下内容，</w:t>
      </w:r>
      <w:r>
        <w:rPr>
          <w:rFonts w:hint="eastAsia" w:ascii="仿宋_GB2312" w:hAnsi="宋体" w:eastAsia="仿宋_GB2312" w:cs="宋体"/>
          <w:b/>
          <w:bCs/>
          <w:color w:val="000000"/>
          <w:kern w:val="0"/>
          <w:sz w:val="24"/>
          <w:szCs w:val="24"/>
          <w:highlight w:val="none"/>
        </w:rPr>
        <w:t>该方案</w:t>
      </w:r>
      <w:r>
        <w:rPr>
          <w:rFonts w:hint="eastAsia" w:ascii="仿宋_GB2312" w:hAnsi="宋体" w:eastAsia="仿宋_GB2312" w:cs="宋体"/>
          <w:b/>
          <w:bCs/>
          <w:color w:val="000000"/>
          <w:kern w:val="0"/>
          <w:sz w:val="24"/>
          <w:szCs w:val="24"/>
          <w:highlight w:val="none"/>
          <w:lang w:eastAsia="zh-CN"/>
        </w:rPr>
        <w:t>内容</w:t>
      </w:r>
      <w:r>
        <w:rPr>
          <w:rFonts w:hint="eastAsia" w:ascii="仿宋_GB2312" w:hAnsi="宋体" w:eastAsia="仿宋_GB2312" w:cs="宋体"/>
          <w:b/>
          <w:bCs/>
          <w:color w:val="000000"/>
          <w:kern w:val="0"/>
          <w:sz w:val="24"/>
          <w:szCs w:val="24"/>
          <w:highlight w:val="none"/>
        </w:rPr>
        <w:t>包括</w:t>
      </w:r>
      <w:r>
        <w:rPr>
          <w:rFonts w:hint="eastAsia" w:ascii="仿宋_GB2312" w:hAnsi="宋体" w:eastAsia="仿宋_GB2312" w:cs="宋体"/>
          <w:b/>
          <w:bCs/>
          <w:color w:val="000000"/>
          <w:kern w:val="0"/>
          <w:sz w:val="24"/>
          <w:szCs w:val="24"/>
          <w:highlight w:val="none"/>
          <w:lang w:val="en-US" w:eastAsia="zh-CN"/>
        </w:rPr>
        <w:t>但不限于</w:t>
      </w:r>
      <w:r>
        <w:rPr>
          <w:rFonts w:hint="eastAsia" w:ascii="仿宋_GB2312" w:hAnsi="宋体" w:eastAsia="仿宋_GB2312" w:cs="宋体"/>
          <w:b/>
          <w:bCs/>
          <w:color w:val="000000"/>
          <w:kern w:val="0"/>
          <w:sz w:val="24"/>
          <w:szCs w:val="24"/>
          <w:highlight w:val="none"/>
          <w:lang w:eastAsia="zh-CN"/>
        </w:rPr>
        <w:t>：（</w:t>
      </w:r>
      <w:r>
        <w:rPr>
          <w:rFonts w:hint="eastAsia" w:ascii="仿宋_GB2312" w:hAnsi="宋体" w:eastAsia="仿宋_GB2312" w:cs="宋体"/>
          <w:b/>
          <w:bCs/>
          <w:color w:val="000000"/>
          <w:kern w:val="0"/>
          <w:sz w:val="24"/>
          <w:szCs w:val="24"/>
          <w:highlight w:val="none"/>
          <w:lang w:val="en-US" w:eastAsia="zh-CN"/>
        </w:rPr>
        <w:t>1）</w:t>
      </w:r>
      <w:r>
        <w:rPr>
          <w:rFonts w:hint="eastAsia" w:ascii="仿宋_GB2312" w:hAnsi="宋体" w:eastAsia="仿宋_GB2312" w:cs="宋体"/>
          <w:b/>
          <w:bCs/>
          <w:color w:val="000000"/>
          <w:kern w:val="0"/>
          <w:sz w:val="24"/>
          <w:highlight w:val="none"/>
        </w:rPr>
        <w:t>针对本项目服务内容进行理解分析</w:t>
      </w:r>
      <w:r>
        <w:rPr>
          <w:rFonts w:hint="eastAsia" w:ascii="仿宋_GB2312" w:hAnsi="宋体" w:eastAsia="仿宋_GB2312" w:cs="宋体"/>
          <w:b/>
          <w:bCs/>
          <w:color w:val="000000"/>
          <w:kern w:val="0"/>
          <w:sz w:val="24"/>
          <w:highlight w:val="none"/>
          <w:lang w:eastAsia="zh-CN"/>
        </w:rPr>
        <w:t>、</w:t>
      </w:r>
      <w:r>
        <w:rPr>
          <w:rFonts w:hint="eastAsia" w:ascii="仿宋_GB2312" w:hAnsi="宋体" w:eastAsia="仿宋_GB2312" w:cs="宋体"/>
          <w:b/>
          <w:bCs/>
          <w:color w:val="000000"/>
          <w:kern w:val="0"/>
          <w:sz w:val="24"/>
          <w:highlight w:val="none"/>
          <w:lang w:val="en-US" w:eastAsia="zh-CN"/>
        </w:rPr>
        <w:t>核心需求把握、场景特点分析、重难点问题识别，以及方案设计完整性、针对性、可操作性、科学性，覆盖校园服务全流程；（2）</w:t>
      </w:r>
      <w:r>
        <w:rPr>
          <w:rFonts w:hint="eastAsia" w:ascii="仿宋_GB2312" w:hAnsi="仿宋_GB2312" w:eastAsia="仿宋_GB2312" w:cs="仿宋_GB2312"/>
          <w:b/>
          <w:bCs/>
          <w:color w:val="auto"/>
          <w:sz w:val="24"/>
          <w:szCs w:val="24"/>
          <w:highlight w:val="none"/>
        </w:rPr>
        <w:t>保洁</w:t>
      </w:r>
      <w:r>
        <w:rPr>
          <w:rFonts w:hint="eastAsia" w:ascii="仿宋_GB2312" w:hAnsi="仿宋_GB2312" w:eastAsia="仿宋_GB2312" w:cs="仿宋_GB2312"/>
          <w:b/>
          <w:bCs/>
          <w:color w:val="auto"/>
          <w:sz w:val="24"/>
          <w:szCs w:val="24"/>
          <w:highlight w:val="none"/>
          <w:lang w:eastAsia="zh-CN"/>
        </w:rPr>
        <w:t>方案</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lang w:val="en-US" w:eastAsia="zh-CN"/>
        </w:rPr>
        <w:t>3</w:t>
      </w: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rPr>
        <w:t>设施设备维护</w:t>
      </w:r>
      <w:r>
        <w:rPr>
          <w:rFonts w:hint="eastAsia" w:ascii="仿宋_GB2312" w:hAnsi="仿宋_GB2312" w:eastAsia="仿宋_GB2312" w:cs="仿宋_GB2312"/>
          <w:b/>
          <w:bCs/>
          <w:color w:val="auto"/>
          <w:sz w:val="24"/>
          <w:szCs w:val="24"/>
          <w:highlight w:val="none"/>
          <w:lang w:eastAsia="zh-CN"/>
        </w:rPr>
        <w:t>方案；</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b/>
          <w:bCs/>
          <w:color w:val="auto"/>
          <w:sz w:val="24"/>
          <w:szCs w:val="24"/>
          <w:highlight w:val="none"/>
          <w:lang w:val="en-US" w:eastAsia="zh-CN"/>
        </w:rPr>
        <w:t>4</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b/>
          <w:bCs/>
          <w:color w:val="auto"/>
          <w:sz w:val="24"/>
          <w:szCs w:val="24"/>
          <w:highlight w:val="none"/>
          <w:lang w:val="en-US" w:eastAsia="zh-CN"/>
        </w:rPr>
        <w:t>公寓管理方案</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lang w:val="en-US" w:eastAsia="zh-CN"/>
        </w:rPr>
        <w:t>5</w:t>
      </w: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lang w:val="en-US" w:eastAsia="zh-CN"/>
        </w:rPr>
        <w:t>绿化服务方案；</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b/>
          <w:bCs/>
          <w:color w:val="auto"/>
          <w:sz w:val="24"/>
          <w:szCs w:val="24"/>
          <w:highlight w:val="none"/>
          <w:lang w:val="en-US" w:eastAsia="zh-CN"/>
        </w:rPr>
        <w:t>6</w:t>
      </w: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lang w:val="en-US" w:eastAsia="zh-CN"/>
        </w:rPr>
        <w:t>有害生物综合防治方案；（7）化粪池清掏管道疏通方案；（8）水质消毒及检测方案；</w:t>
      </w: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lang w:val="en-US" w:eastAsia="zh-CN"/>
        </w:rPr>
        <w:t>9</w:t>
      </w: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lang w:val="en-US" w:eastAsia="zh-CN"/>
        </w:rPr>
        <w:t>垃圾分类及清理方案</w:t>
      </w:r>
      <w:r>
        <w:rPr>
          <w:rFonts w:hint="eastAsia" w:ascii="仿宋_GB2312" w:hAnsi="仿宋_GB2312" w:eastAsia="仿宋_GB2312" w:cs="仿宋_GB2312"/>
          <w:b/>
          <w:bCs/>
          <w:sz w:val="24"/>
          <w:szCs w:val="24"/>
          <w:highlight w:val="none"/>
        </w:rPr>
        <w:t>。</w:t>
      </w:r>
      <w:r>
        <w:rPr>
          <w:rFonts w:hint="eastAsia" w:ascii="仿宋_GB2312" w:hAnsi="仿宋_GB2312" w:eastAsia="仿宋_GB2312" w:cs="仿宋_GB2312"/>
          <w:b/>
          <w:bCs/>
          <w:szCs w:val="24"/>
          <w:highlight w:val="none"/>
        </w:rPr>
        <w:t xml:space="preserve"> </w:t>
      </w:r>
    </w:p>
    <w:p>
      <w:pPr>
        <w:pStyle w:val="418"/>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pPr>
        <w:pStyle w:val="418"/>
        <w:spacing w:line="405" w:lineRule="atLeast"/>
        <w:rPr>
          <w:rFonts w:hint="eastAsia" w:ascii="仿宋_GB2312" w:eastAsia="仿宋_GB2312"/>
          <w:color w:val="000000"/>
        </w:rPr>
      </w:pPr>
      <w:r>
        <w:rPr>
          <w:rFonts w:hint="eastAsia" w:ascii="仿宋_GB2312" w:eastAsia="仿宋_GB2312"/>
          <w:color w:val="000000"/>
        </w:rPr>
        <w:t> </w:t>
      </w:r>
    </w:p>
    <w:p>
      <w:pPr>
        <w:pStyle w:val="418"/>
        <w:jc w:val="right"/>
        <w:rPr>
          <w:rFonts w:hint="eastAsia" w:ascii="仿宋_GB2312" w:eastAsia="仿宋_GB2312"/>
          <w:color w:val="000000"/>
        </w:rPr>
      </w:pPr>
      <w:r>
        <w:rPr>
          <w:rFonts w:hint="eastAsia" w:ascii="仿宋_GB2312" w:eastAsia="仿宋_GB2312"/>
          <w:color w:val="000000"/>
        </w:rPr>
        <w:t>                                 </w:t>
      </w:r>
    </w:p>
    <w:p>
      <w:pPr>
        <w:pStyle w:val="418"/>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pPr>
        <w:pStyle w:val="418"/>
        <w:jc w:val="right"/>
        <w:rPr>
          <w:rFonts w:hint="eastAsia" w:ascii="仿宋_GB2312" w:eastAsia="仿宋_GB2312"/>
          <w:color w:val="000000"/>
        </w:rPr>
      </w:pPr>
      <w:r>
        <w:rPr>
          <w:rFonts w:hint="eastAsia" w:ascii="仿宋_GB2312" w:eastAsia="仿宋_GB2312"/>
          <w:color w:val="000000"/>
        </w:rPr>
        <w:t>日期：   年 月 日</w:t>
      </w:r>
    </w:p>
    <w:p>
      <w:pPr>
        <w:pStyle w:val="418"/>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pPr>
        <w:pStyle w:val="418"/>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（7）针对本项目的管理模式和管理机制格式（如有）：</w:t>
      </w:r>
    </w:p>
    <w:p>
      <w:pPr>
        <w:pStyle w:val="418"/>
        <w:jc w:val="center"/>
        <w:rPr>
          <w:rFonts w:hint="eastAsia" w:ascii="仿宋_GB2312" w:eastAsia="仿宋_GB2312"/>
          <w:color w:val="000000"/>
        </w:rPr>
      </w:pPr>
      <w:r>
        <w:rPr>
          <w:rFonts w:hint="eastAsia" w:ascii="仿宋_GB2312" w:eastAsia="仿宋_GB2312"/>
          <w:color w:val="000000"/>
        </w:rPr>
        <w:t> </w:t>
      </w:r>
    </w:p>
    <w:p>
      <w:pPr>
        <w:pStyle w:val="418"/>
        <w:jc w:val="center"/>
        <w:rPr>
          <w:rFonts w:hint="eastAsia" w:ascii="仿宋_GB2312" w:eastAsia="仿宋_GB2312"/>
          <w:color w:val="000000"/>
        </w:rPr>
      </w:pPr>
      <w:r>
        <w:rPr>
          <w:rFonts w:hint="eastAsia" w:ascii="仿宋_GB2312" w:eastAsia="仿宋_GB2312"/>
          <w:b/>
          <w:bCs/>
          <w:color w:val="000000"/>
          <w:sz w:val="33"/>
          <w:szCs w:val="33"/>
        </w:rPr>
        <w:t>针对本项目的管理模式和管理机制</w:t>
      </w:r>
    </w:p>
    <w:p>
      <w:pPr>
        <w:pStyle w:val="418"/>
        <w:spacing w:line="405" w:lineRule="atLeast"/>
        <w:rPr>
          <w:rFonts w:hint="eastAsia" w:ascii="仿宋_GB2312" w:eastAsia="仿宋_GB2312"/>
          <w:color w:val="000000"/>
        </w:rPr>
      </w:pPr>
      <w:r>
        <w:rPr>
          <w:rFonts w:hint="eastAsia" w:ascii="仿宋_GB2312" w:eastAsia="仿宋_GB2312"/>
          <w:color w:val="000000"/>
        </w:rPr>
        <w:t xml:space="preserve">  </w:t>
      </w:r>
    </w:p>
    <w:p>
      <w:pPr>
        <w:pStyle w:val="418"/>
        <w:spacing w:line="405" w:lineRule="atLeast"/>
        <w:rPr>
          <w:rFonts w:hint="eastAsia" w:ascii="仿宋_GB2312" w:eastAsia="仿宋_GB2312"/>
          <w:color w:val="000000"/>
        </w:rPr>
      </w:pPr>
      <w:r>
        <w:rPr>
          <w:rFonts w:hint="eastAsia" w:ascii="仿宋_GB2312" w:eastAsia="仿宋_GB2312"/>
          <w:color w:val="000000"/>
        </w:rPr>
        <w:t>  由投标人按第二章《采购需求》要求，自行编写针对本项目提出针对本项目的管理模式和管理机制</w:t>
      </w:r>
      <w:r>
        <w:rPr>
          <w:rFonts w:hint="eastAsia" w:ascii="仿宋_GB2312" w:eastAsia="仿宋_GB2312"/>
          <w:color w:val="000000"/>
          <w:lang w:eastAsia="zh-CN"/>
        </w:rPr>
        <w:t>，</w:t>
      </w:r>
      <w:r>
        <w:rPr>
          <w:rFonts w:hint="eastAsia" w:ascii="仿宋_GB2312" w:eastAsia="仿宋_GB2312"/>
          <w:b/>
          <w:bCs/>
          <w:color w:val="000000"/>
        </w:rPr>
        <w:t>包括：（1）岗位责任制度；（2）服务沟通机制；（3）工作记录及档案管理（包括交接验收资料、巡视记录、档案管理、投诉与处理记录、其它管理与服务活动记录等）</w:t>
      </w:r>
      <w:r>
        <w:rPr>
          <w:rFonts w:hint="eastAsia" w:ascii="仿宋_GB2312" w:eastAsia="仿宋_GB2312"/>
          <w:color w:val="000000"/>
        </w:rPr>
        <w:t>。</w:t>
      </w:r>
    </w:p>
    <w:p>
      <w:pPr>
        <w:pStyle w:val="418"/>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pPr>
        <w:pStyle w:val="418"/>
        <w:spacing w:line="405" w:lineRule="atLeast"/>
        <w:rPr>
          <w:rFonts w:hint="eastAsia" w:ascii="仿宋_GB2312" w:eastAsia="仿宋_GB2312"/>
          <w:color w:val="000000"/>
        </w:rPr>
      </w:pPr>
      <w:r>
        <w:rPr>
          <w:rFonts w:hint="eastAsia" w:ascii="仿宋_GB2312" w:eastAsia="仿宋_GB2312"/>
          <w:color w:val="000000"/>
        </w:rPr>
        <w:t> </w:t>
      </w:r>
    </w:p>
    <w:p>
      <w:pPr>
        <w:pStyle w:val="418"/>
        <w:jc w:val="right"/>
        <w:rPr>
          <w:rFonts w:hint="eastAsia" w:ascii="仿宋_GB2312" w:eastAsia="仿宋_GB2312"/>
          <w:color w:val="000000"/>
        </w:rPr>
      </w:pPr>
      <w:r>
        <w:rPr>
          <w:rFonts w:hint="eastAsia" w:ascii="仿宋_GB2312" w:eastAsia="仿宋_GB2312"/>
          <w:color w:val="000000"/>
        </w:rPr>
        <w:t xml:space="preserve">                               </w:t>
      </w:r>
    </w:p>
    <w:p>
      <w:pPr>
        <w:pStyle w:val="418"/>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pPr>
        <w:pStyle w:val="418"/>
        <w:jc w:val="right"/>
        <w:rPr>
          <w:rFonts w:hint="eastAsia" w:ascii="仿宋_GB2312" w:eastAsia="仿宋_GB2312"/>
          <w:color w:val="000000"/>
        </w:rPr>
      </w:pPr>
      <w:r>
        <w:rPr>
          <w:rFonts w:hint="eastAsia" w:ascii="仿宋_GB2312" w:eastAsia="仿宋_GB2312"/>
          <w:color w:val="000000"/>
        </w:rPr>
        <w:t>日期：   年 月 日</w:t>
      </w:r>
    </w:p>
    <w:p>
      <w:pPr>
        <w:pStyle w:val="418"/>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pPr>
        <w:rPr>
          <w:rFonts w:hint="eastAsia" w:ascii="仿宋_GB2312" w:eastAsia="仿宋_GB2312"/>
          <w:color w:val="000000"/>
        </w:rPr>
      </w:pPr>
      <w:r>
        <w:rPr>
          <w:rFonts w:hint="eastAsia" w:ascii="仿宋_GB2312" w:eastAsia="仿宋_GB2312"/>
          <w:color w:val="000000"/>
        </w:rPr>
        <w:br w:type="page"/>
      </w:r>
    </w:p>
    <w:p>
      <w:pPr>
        <w:pStyle w:val="418"/>
        <w:rPr>
          <w:rFonts w:hint="eastAsia" w:ascii="仿宋_GB2312" w:eastAsia="仿宋_GB2312"/>
          <w:b/>
          <w:bCs/>
          <w:color w:val="000000"/>
        </w:rPr>
      </w:pPr>
      <w:r>
        <w:rPr>
          <w:rFonts w:hint="eastAsia" w:ascii="仿宋_GB2312" w:eastAsia="仿宋_GB2312"/>
          <w:b/>
          <w:bCs/>
          <w:color w:val="000000"/>
        </w:rPr>
        <w:t>（</w:t>
      </w:r>
      <w:r>
        <w:rPr>
          <w:rFonts w:hint="eastAsia" w:ascii="仿宋_GB2312" w:eastAsia="仿宋_GB2312"/>
          <w:b/>
          <w:bCs/>
          <w:color w:val="000000"/>
          <w:lang w:val="en-US" w:eastAsia="zh-CN"/>
        </w:rPr>
        <w:t>8</w:t>
      </w:r>
      <w:r>
        <w:rPr>
          <w:rFonts w:hint="eastAsia" w:ascii="仿宋_GB2312" w:eastAsia="仿宋_GB2312"/>
          <w:b/>
          <w:bCs/>
          <w:color w:val="000000"/>
        </w:rPr>
        <w:t>）应急预案和应急配合方案格式（如有）：</w:t>
      </w:r>
    </w:p>
    <w:p>
      <w:pPr>
        <w:pStyle w:val="418"/>
        <w:spacing w:line="405" w:lineRule="atLeast"/>
        <w:rPr>
          <w:rFonts w:hint="eastAsia" w:ascii="仿宋_GB2312" w:eastAsia="仿宋_GB2312"/>
          <w:color w:val="000000"/>
        </w:rPr>
      </w:pPr>
      <w:r>
        <w:rPr>
          <w:rFonts w:hint="eastAsia" w:ascii="仿宋_GB2312" w:eastAsia="仿宋_GB2312"/>
          <w:color w:val="000000"/>
        </w:rPr>
        <w:t> </w:t>
      </w:r>
    </w:p>
    <w:p>
      <w:pPr>
        <w:pStyle w:val="418"/>
        <w:jc w:val="center"/>
        <w:rPr>
          <w:rFonts w:hint="eastAsia" w:ascii="仿宋_GB2312" w:eastAsia="仿宋_GB2312"/>
          <w:color w:val="000000"/>
        </w:rPr>
      </w:pPr>
      <w:r>
        <w:rPr>
          <w:rFonts w:hint="eastAsia" w:ascii="仿宋_GB2312" w:eastAsia="仿宋_GB2312"/>
          <w:b/>
          <w:bCs/>
          <w:color w:val="000000"/>
          <w:sz w:val="33"/>
          <w:szCs w:val="33"/>
        </w:rPr>
        <w:t>应急预案和应急配合方案</w:t>
      </w:r>
    </w:p>
    <w:p>
      <w:pPr>
        <w:pStyle w:val="418"/>
        <w:spacing w:line="405" w:lineRule="atLeast"/>
        <w:rPr>
          <w:rFonts w:hint="eastAsia" w:ascii="仿宋_GB2312" w:eastAsia="仿宋_GB2312"/>
          <w:color w:val="000000"/>
        </w:rPr>
      </w:pPr>
      <w:r>
        <w:rPr>
          <w:rFonts w:hint="eastAsia" w:ascii="仿宋_GB2312" w:eastAsia="仿宋_GB2312"/>
          <w:color w:val="000000"/>
        </w:rPr>
        <w:t> </w:t>
      </w:r>
    </w:p>
    <w:p>
      <w:pPr>
        <w:pStyle w:val="418"/>
        <w:spacing w:line="405" w:lineRule="atLeast"/>
        <w:rPr>
          <w:rFonts w:hint="eastAsia" w:ascii="仿宋_GB2312" w:eastAsia="仿宋_GB2312"/>
          <w:color w:val="000000"/>
          <w:lang w:val="en-US" w:eastAsia="zh-CN"/>
        </w:rPr>
      </w:pPr>
      <w:r>
        <w:rPr>
          <w:rFonts w:hint="eastAsia" w:ascii="仿宋_GB2312" w:eastAsia="仿宋_GB2312"/>
          <w:color w:val="000000"/>
        </w:rPr>
        <w:t>  由投标人按第二章《采购需求》要求，自行编写针对本项目的各类应急预案和应急配合方案</w:t>
      </w:r>
      <w:r>
        <w:rPr>
          <w:rFonts w:hint="eastAsia" w:ascii="仿宋_GB2312" w:eastAsia="仿宋_GB2312"/>
          <w:color w:val="000000"/>
          <w:lang w:val="en-US" w:eastAsia="zh-CN"/>
        </w:rPr>
        <w:t>。</w:t>
      </w:r>
    </w:p>
    <w:p>
      <w:pPr>
        <w:pStyle w:val="418"/>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pPr>
        <w:pStyle w:val="418"/>
        <w:spacing w:line="405" w:lineRule="atLeast"/>
        <w:rPr>
          <w:rFonts w:hint="eastAsia" w:ascii="仿宋_GB2312" w:eastAsia="仿宋_GB2312"/>
          <w:color w:val="000000"/>
        </w:rPr>
      </w:pPr>
      <w:r>
        <w:rPr>
          <w:rFonts w:hint="eastAsia" w:ascii="仿宋_GB2312" w:eastAsia="仿宋_GB2312"/>
          <w:color w:val="000000"/>
        </w:rPr>
        <w:t> </w:t>
      </w:r>
    </w:p>
    <w:p>
      <w:pPr>
        <w:pStyle w:val="418"/>
        <w:spacing w:line="405" w:lineRule="atLeast"/>
        <w:rPr>
          <w:rFonts w:hint="eastAsia" w:ascii="仿宋_GB2312" w:eastAsia="仿宋_GB2312"/>
          <w:color w:val="000000"/>
        </w:rPr>
      </w:pPr>
      <w:r>
        <w:rPr>
          <w:rFonts w:hint="eastAsia" w:ascii="仿宋_GB2312" w:eastAsia="仿宋_GB2312"/>
          <w:color w:val="000000"/>
        </w:rPr>
        <w:t xml:space="preserve">                               </w:t>
      </w:r>
    </w:p>
    <w:p>
      <w:pPr>
        <w:pStyle w:val="418"/>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pPr>
        <w:pStyle w:val="418"/>
        <w:jc w:val="right"/>
        <w:rPr>
          <w:rFonts w:hint="eastAsia" w:ascii="仿宋_GB2312" w:eastAsia="仿宋_GB2312"/>
          <w:color w:val="000000"/>
        </w:rPr>
      </w:pPr>
      <w:r>
        <w:rPr>
          <w:rFonts w:hint="eastAsia" w:ascii="仿宋_GB2312" w:eastAsia="仿宋_GB2312"/>
          <w:color w:val="000000"/>
        </w:rPr>
        <w:t>日期：   年 月 日</w:t>
      </w:r>
    </w:p>
    <w:p>
      <w:pPr>
        <w:pStyle w:val="418"/>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pPr>
        <w:pStyle w:val="418"/>
        <w:spacing w:line="405" w:lineRule="atLeast"/>
        <w:rPr>
          <w:rFonts w:hint="eastAsia" w:ascii="仿宋_GB2312" w:eastAsia="仿宋_GB2312"/>
          <w:color w:val="000000"/>
        </w:rPr>
      </w:pPr>
      <w:r>
        <w:rPr>
          <w:rFonts w:hint="eastAsia" w:ascii="仿宋_GB2312" w:eastAsia="仿宋_GB2312"/>
          <w:color w:val="000000"/>
        </w:rPr>
        <w:t> </w:t>
      </w:r>
    </w:p>
    <w:p>
      <w:pPr>
        <w:pStyle w:val="418"/>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w:t>
      </w:r>
      <w:r>
        <w:rPr>
          <w:rFonts w:hint="eastAsia" w:ascii="仿宋_GB2312" w:eastAsia="仿宋_GB2312"/>
          <w:b/>
          <w:bCs/>
          <w:color w:val="000000"/>
          <w:lang w:val="en-US" w:eastAsia="zh-CN"/>
        </w:rPr>
        <w:t>9</w:t>
      </w:r>
      <w:r>
        <w:rPr>
          <w:rFonts w:hint="eastAsia" w:ascii="仿宋_GB2312" w:eastAsia="仿宋_GB2312"/>
          <w:b/>
          <w:bCs/>
          <w:color w:val="000000"/>
        </w:rPr>
        <w:t>）</w:t>
      </w:r>
      <w:r>
        <w:rPr>
          <w:rFonts w:hint="eastAsia" w:ascii="仿宋_GB2312" w:eastAsia="仿宋_GB2312"/>
          <w:b/>
          <w:bCs/>
          <w:color w:val="000000"/>
          <w:lang w:eastAsia="zh-CN"/>
        </w:rPr>
        <w:t>物资配备</w:t>
      </w:r>
      <w:r>
        <w:rPr>
          <w:rFonts w:hint="eastAsia" w:ascii="仿宋_GB2312" w:eastAsia="仿宋_GB2312"/>
          <w:b/>
          <w:bCs/>
          <w:color w:val="000000"/>
        </w:rPr>
        <w:t>方案格式（如有）：</w:t>
      </w:r>
    </w:p>
    <w:p>
      <w:pPr>
        <w:pStyle w:val="418"/>
        <w:spacing w:line="405" w:lineRule="atLeast"/>
        <w:rPr>
          <w:rFonts w:hint="eastAsia" w:ascii="仿宋_GB2312" w:eastAsia="仿宋_GB2312"/>
          <w:color w:val="000000"/>
        </w:rPr>
      </w:pPr>
      <w:r>
        <w:rPr>
          <w:rFonts w:hint="eastAsia" w:ascii="仿宋_GB2312" w:eastAsia="仿宋_GB2312"/>
          <w:color w:val="000000"/>
        </w:rPr>
        <w:t> </w:t>
      </w:r>
    </w:p>
    <w:p>
      <w:pPr>
        <w:pStyle w:val="418"/>
        <w:jc w:val="center"/>
        <w:rPr>
          <w:rFonts w:hint="eastAsia" w:ascii="仿宋_GB2312" w:eastAsia="仿宋_GB2312"/>
          <w:color w:val="000000"/>
        </w:rPr>
      </w:pPr>
      <w:r>
        <w:rPr>
          <w:rFonts w:hint="eastAsia" w:ascii="仿宋_GB2312" w:eastAsia="仿宋_GB2312"/>
          <w:b/>
          <w:bCs/>
          <w:color w:val="000000"/>
          <w:sz w:val="33"/>
          <w:szCs w:val="33"/>
          <w:lang w:eastAsia="zh-CN"/>
        </w:rPr>
        <w:t>物资配备</w:t>
      </w:r>
      <w:r>
        <w:rPr>
          <w:rFonts w:hint="eastAsia" w:ascii="仿宋_GB2312" w:eastAsia="仿宋_GB2312"/>
          <w:b/>
          <w:bCs/>
          <w:color w:val="000000"/>
          <w:sz w:val="33"/>
          <w:szCs w:val="33"/>
        </w:rPr>
        <w:t>方案</w:t>
      </w:r>
    </w:p>
    <w:p>
      <w:pPr>
        <w:pStyle w:val="418"/>
        <w:spacing w:line="405" w:lineRule="atLeast"/>
        <w:rPr>
          <w:rFonts w:hint="eastAsia" w:ascii="仿宋_GB2312" w:eastAsia="仿宋_GB2312"/>
          <w:color w:val="000000"/>
        </w:rPr>
      </w:pPr>
      <w:r>
        <w:rPr>
          <w:rFonts w:hint="eastAsia" w:ascii="仿宋_GB2312" w:eastAsia="仿宋_GB2312"/>
          <w:color w:val="000000"/>
        </w:rPr>
        <w:t> </w:t>
      </w:r>
    </w:p>
    <w:p>
      <w:pPr>
        <w:pStyle w:val="418"/>
        <w:spacing w:line="405" w:lineRule="atLeast"/>
        <w:rPr>
          <w:rFonts w:hint="eastAsia" w:ascii="仿宋_GB2312" w:eastAsia="仿宋_GB2312"/>
          <w:color w:val="000000"/>
          <w:lang w:val="en-US" w:eastAsia="zh-CN"/>
        </w:rPr>
      </w:pPr>
      <w:r>
        <w:rPr>
          <w:rFonts w:hint="eastAsia" w:ascii="仿宋_GB2312" w:eastAsia="仿宋_GB2312"/>
          <w:color w:val="000000"/>
        </w:rPr>
        <w:t>  由投标人按第二章《采购需求》要求，自行编写针对本项目的各类</w:t>
      </w:r>
      <w:r>
        <w:rPr>
          <w:rFonts w:hint="eastAsia" w:ascii="仿宋_GB2312" w:eastAsia="仿宋_GB2312"/>
          <w:color w:val="000000"/>
          <w:lang w:eastAsia="zh-CN"/>
        </w:rPr>
        <w:t>物资配备</w:t>
      </w:r>
      <w:r>
        <w:rPr>
          <w:rFonts w:hint="eastAsia" w:ascii="仿宋_GB2312" w:eastAsia="仿宋_GB2312"/>
          <w:color w:val="000000"/>
        </w:rPr>
        <w:t>方案</w:t>
      </w:r>
      <w:r>
        <w:rPr>
          <w:rFonts w:hint="eastAsia" w:ascii="仿宋_GB2312" w:eastAsia="仿宋_GB2312"/>
          <w:color w:val="000000"/>
          <w:lang w:val="en-US" w:eastAsia="zh-CN"/>
        </w:rPr>
        <w:t>。</w:t>
      </w:r>
    </w:p>
    <w:p>
      <w:pPr>
        <w:pStyle w:val="418"/>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pPr>
        <w:pStyle w:val="418"/>
        <w:spacing w:line="405" w:lineRule="atLeast"/>
        <w:rPr>
          <w:rFonts w:hint="eastAsia" w:ascii="仿宋_GB2312" w:eastAsia="仿宋_GB2312"/>
          <w:color w:val="000000"/>
        </w:rPr>
      </w:pPr>
      <w:r>
        <w:rPr>
          <w:rFonts w:hint="eastAsia" w:ascii="仿宋_GB2312" w:eastAsia="仿宋_GB2312"/>
          <w:color w:val="000000"/>
        </w:rPr>
        <w:t>                               </w:t>
      </w:r>
    </w:p>
    <w:p>
      <w:pPr>
        <w:pStyle w:val="418"/>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pPr>
        <w:pStyle w:val="418"/>
        <w:jc w:val="right"/>
        <w:rPr>
          <w:rFonts w:hint="eastAsia" w:ascii="仿宋_GB2312" w:eastAsia="仿宋_GB2312"/>
          <w:color w:val="000000"/>
        </w:rPr>
      </w:pPr>
      <w:r>
        <w:rPr>
          <w:rFonts w:hint="eastAsia" w:ascii="仿宋_GB2312" w:eastAsia="仿宋_GB2312"/>
          <w:color w:val="000000"/>
        </w:rPr>
        <w:t>日期：   年 月 日</w:t>
      </w:r>
    </w:p>
    <w:p>
      <w:pPr>
        <w:pStyle w:val="418"/>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pPr>
        <w:pStyle w:val="418"/>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w:t>
      </w:r>
      <w:r>
        <w:rPr>
          <w:rFonts w:hint="eastAsia" w:ascii="仿宋_GB2312" w:eastAsia="仿宋_GB2312"/>
          <w:b/>
          <w:bCs/>
          <w:color w:val="000000"/>
          <w:lang w:val="en-US" w:eastAsia="zh-CN"/>
        </w:rPr>
        <w:t>10</w:t>
      </w:r>
      <w:r>
        <w:rPr>
          <w:rFonts w:hint="eastAsia" w:ascii="仿宋_GB2312" w:eastAsia="仿宋_GB2312"/>
          <w:b/>
          <w:bCs/>
          <w:color w:val="000000"/>
        </w:rPr>
        <w:t>）投标人同类项目经验一览表格式（如有）：</w:t>
      </w:r>
    </w:p>
    <w:p>
      <w:pPr>
        <w:pStyle w:val="418"/>
        <w:jc w:val="center"/>
        <w:rPr>
          <w:rFonts w:hint="eastAsia" w:ascii="仿宋_GB2312" w:eastAsia="仿宋_GB2312"/>
          <w:color w:val="000000"/>
        </w:rPr>
      </w:pPr>
      <w:r>
        <w:rPr>
          <w:rFonts w:hint="eastAsia" w:ascii="仿宋_GB2312" w:eastAsia="仿宋_GB2312"/>
          <w:b/>
          <w:bCs/>
          <w:color w:val="000000"/>
          <w:sz w:val="33"/>
          <w:szCs w:val="33"/>
        </w:rPr>
        <w:t>投标人同类项目经验情况一览表</w:t>
      </w:r>
    </w:p>
    <w:p>
      <w:pPr>
        <w:pStyle w:val="418"/>
        <w:spacing w:line="405" w:lineRule="atLeast"/>
        <w:rPr>
          <w:rFonts w:hint="eastAsia" w:ascii="仿宋_GB2312" w:eastAsia="仿宋_GB2312"/>
          <w:color w:val="000000"/>
        </w:rPr>
      </w:pPr>
      <w:r>
        <w:rPr>
          <w:rFonts w:hint="eastAsia" w:ascii="仿宋_GB2312" w:eastAsia="仿宋_GB2312"/>
          <w:color w:val="000000"/>
        </w:rPr>
        <w:t>（投标人20</w:t>
      </w:r>
      <w:r>
        <w:rPr>
          <w:rFonts w:hint="eastAsia" w:ascii="仿宋_GB2312" w:eastAsia="仿宋_GB2312"/>
          <w:color w:val="000000"/>
          <w:lang w:val="en-US" w:eastAsia="zh-CN"/>
        </w:rPr>
        <w:t>23</w:t>
      </w:r>
      <w:r>
        <w:rPr>
          <w:rFonts w:hint="eastAsia" w:ascii="仿宋_GB2312" w:eastAsia="仿宋_GB2312"/>
          <w:color w:val="000000"/>
        </w:rPr>
        <w:t>年1月1日起至今承接的同类服务项目合同</w:t>
      </w:r>
      <w:r>
        <w:rPr>
          <w:rFonts w:hint="eastAsia" w:ascii="仿宋_GB2312" w:eastAsia="仿宋_GB2312"/>
          <w:color w:val="000000"/>
          <w:lang w:val="en-US" w:eastAsia="zh-CN"/>
        </w:rPr>
        <w:t>材料</w:t>
      </w:r>
      <w:r>
        <w:rPr>
          <w:rFonts w:hint="eastAsia" w:ascii="仿宋_GB2312" w:eastAsia="仿宋_GB2312"/>
          <w:color w:val="000000"/>
        </w:rPr>
        <w:t>附后并加盖投标人CA电子签章）</w:t>
      </w:r>
    </w:p>
    <w:tbl>
      <w:tblPr>
        <w:tblStyle w:val="48"/>
        <w:tblW w:w="5000" w:type="pct"/>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409"/>
        <w:gridCol w:w="2806"/>
        <w:gridCol w:w="1327"/>
        <w:gridCol w:w="1807"/>
        <w:gridCol w:w="156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15" w:hRule="atLeast"/>
          <w:jc w:val="center"/>
        </w:trPr>
        <w:tc>
          <w:tcPr>
            <w:tcW w:w="26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jc w:val="center"/>
              <w:rPr>
                <w:rFonts w:hint="eastAsia" w:ascii="仿宋_GB2312" w:eastAsia="仿宋_GB2312"/>
                <w:color w:val="000000"/>
              </w:rPr>
            </w:pPr>
            <w:r>
              <w:rPr>
                <w:rFonts w:hint="eastAsia" w:ascii="仿宋_GB2312" w:eastAsia="仿宋_GB2312"/>
                <w:color w:val="000000"/>
              </w:rPr>
              <w:t>业主单位名称</w:t>
            </w:r>
          </w:p>
        </w:tc>
        <w:tc>
          <w:tcPr>
            <w:tcW w:w="306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jc w:val="center"/>
              <w:rPr>
                <w:rFonts w:hint="eastAsia" w:ascii="仿宋_GB2312" w:eastAsia="仿宋_GB2312"/>
                <w:color w:val="000000"/>
              </w:rPr>
            </w:pPr>
            <w:r>
              <w:rPr>
                <w:rFonts w:hint="eastAsia" w:ascii="仿宋_GB2312" w:eastAsia="仿宋_GB2312"/>
                <w:color w:val="000000"/>
              </w:rPr>
              <w:t>服务项目名称</w:t>
            </w:r>
          </w:p>
        </w:tc>
        <w:tc>
          <w:tcPr>
            <w:tcW w:w="144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jc w:val="center"/>
              <w:rPr>
                <w:rFonts w:hint="eastAsia" w:ascii="仿宋_GB2312" w:eastAsia="仿宋_GB2312"/>
                <w:color w:val="000000"/>
              </w:rPr>
            </w:pPr>
            <w:r>
              <w:rPr>
                <w:rFonts w:hint="eastAsia" w:ascii="仿宋_GB2312" w:eastAsia="仿宋_GB2312"/>
                <w:color w:val="000000"/>
              </w:rPr>
              <w:t>服务起止时间</w:t>
            </w:r>
          </w:p>
        </w:tc>
        <w:tc>
          <w:tcPr>
            <w:tcW w:w="196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jc w:val="center"/>
              <w:rPr>
                <w:rFonts w:hint="eastAsia" w:ascii="仿宋_GB2312" w:eastAsia="仿宋_GB2312"/>
                <w:color w:val="000000"/>
              </w:rPr>
            </w:pPr>
            <w:r>
              <w:rPr>
                <w:rFonts w:hint="eastAsia" w:ascii="仿宋_GB2312" w:eastAsia="仿宋_GB2312"/>
                <w:color w:val="000000"/>
              </w:rPr>
              <w:t>合同金额</w:t>
            </w:r>
          </w:p>
          <w:p>
            <w:pPr>
              <w:pStyle w:val="418"/>
              <w:jc w:val="center"/>
              <w:rPr>
                <w:rFonts w:hint="eastAsia" w:ascii="仿宋_GB2312" w:eastAsia="仿宋_GB2312"/>
                <w:color w:val="000000"/>
              </w:rPr>
            </w:pPr>
            <w:r>
              <w:rPr>
                <w:rFonts w:hint="eastAsia" w:ascii="仿宋_GB2312" w:eastAsia="仿宋_GB2312"/>
                <w:color w:val="000000"/>
              </w:rPr>
              <w:t>（万元）</w:t>
            </w:r>
          </w:p>
        </w:tc>
        <w:tc>
          <w:tcPr>
            <w:tcW w:w="169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jc w:val="center"/>
              <w:rPr>
                <w:rFonts w:hint="eastAsia" w:ascii="仿宋_GB2312" w:eastAsia="仿宋_GB2312"/>
                <w:color w:val="000000"/>
              </w:rPr>
            </w:pPr>
            <w:r>
              <w:rPr>
                <w:rFonts w:hint="eastAsia" w:ascii="仿宋_GB2312" w:eastAsia="仿宋_GB2312"/>
                <w:color w:val="000000"/>
              </w:rPr>
              <w:t>合同附件页码</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65" w:hRule="atLeast"/>
          <w:jc w:val="center"/>
        </w:trPr>
        <w:tc>
          <w:tcPr>
            <w:tcW w:w="26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spacing w:line="405" w:lineRule="atLeast"/>
              <w:rPr>
                <w:rFonts w:hint="eastAsia" w:ascii="仿宋_GB2312" w:eastAsia="仿宋_GB2312"/>
                <w:color w:val="000000"/>
              </w:rPr>
            </w:pPr>
            <w:r>
              <w:rPr>
                <w:rFonts w:hint="eastAsia" w:ascii="仿宋_GB2312" w:eastAsia="仿宋_GB2312"/>
                <w:color w:val="000000"/>
              </w:rPr>
              <w:t> </w:t>
            </w:r>
          </w:p>
        </w:tc>
        <w:tc>
          <w:tcPr>
            <w:tcW w:w="306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spacing w:line="405" w:lineRule="atLeast"/>
              <w:rPr>
                <w:rFonts w:hint="eastAsia" w:ascii="仿宋_GB2312" w:eastAsia="仿宋_GB2312"/>
                <w:color w:val="000000"/>
              </w:rPr>
            </w:pPr>
            <w:r>
              <w:rPr>
                <w:rFonts w:hint="eastAsia" w:ascii="仿宋_GB2312" w:eastAsia="仿宋_GB2312"/>
                <w:color w:val="000000"/>
              </w:rPr>
              <w:t> </w:t>
            </w:r>
          </w:p>
        </w:tc>
        <w:tc>
          <w:tcPr>
            <w:tcW w:w="144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spacing w:line="405" w:lineRule="atLeast"/>
              <w:rPr>
                <w:rFonts w:hint="eastAsia" w:ascii="仿宋_GB2312" w:eastAsia="仿宋_GB2312"/>
                <w:color w:val="000000"/>
              </w:rPr>
            </w:pPr>
            <w:r>
              <w:rPr>
                <w:rFonts w:hint="eastAsia" w:ascii="仿宋_GB2312" w:eastAsia="仿宋_GB2312"/>
                <w:color w:val="000000"/>
              </w:rPr>
              <w:t> </w:t>
            </w:r>
          </w:p>
        </w:tc>
        <w:tc>
          <w:tcPr>
            <w:tcW w:w="196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spacing w:line="405" w:lineRule="atLeast"/>
              <w:rPr>
                <w:rFonts w:hint="eastAsia" w:ascii="仿宋_GB2312" w:eastAsia="仿宋_GB2312"/>
                <w:color w:val="000000"/>
              </w:rPr>
            </w:pPr>
            <w:r>
              <w:rPr>
                <w:rFonts w:hint="eastAsia" w:ascii="仿宋_GB2312" w:eastAsia="仿宋_GB2312"/>
                <w:color w:val="000000"/>
              </w:rPr>
              <w:t> </w:t>
            </w:r>
          </w:p>
        </w:tc>
        <w:tc>
          <w:tcPr>
            <w:tcW w:w="169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spacing w:line="405" w:lineRule="atLeast"/>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26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spacing w:line="405" w:lineRule="atLeast"/>
              <w:rPr>
                <w:rFonts w:hint="eastAsia" w:ascii="仿宋_GB2312" w:eastAsia="仿宋_GB2312"/>
                <w:color w:val="000000"/>
              </w:rPr>
            </w:pPr>
            <w:r>
              <w:rPr>
                <w:rFonts w:hint="eastAsia" w:ascii="仿宋_GB2312" w:eastAsia="仿宋_GB2312"/>
                <w:color w:val="000000"/>
              </w:rPr>
              <w:t> </w:t>
            </w:r>
          </w:p>
        </w:tc>
        <w:tc>
          <w:tcPr>
            <w:tcW w:w="306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spacing w:line="405" w:lineRule="atLeast"/>
              <w:rPr>
                <w:rFonts w:hint="eastAsia" w:ascii="仿宋_GB2312" w:eastAsia="仿宋_GB2312"/>
                <w:color w:val="000000"/>
              </w:rPr>
            </w:pPr>
            <w:r>
              <w:rPr>
                <w:rFonts w:hint="eastAsia" w:ascii="仿宋_GB2312" w:eastAsia="仿宋_GB2312"/>
                <w:color w:val="000000"/>
              </w:rPr>
              <w:t> </w:t>
            </w:r>
          </w:p>
        </w:tc>
        <w:tc>
          <w:tcPr>
            <w:tcW w:w="144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spacing w:line="405" w:lineRule="atLeast"/>
              <w:rPr>
                <w:rFonts w:hint="eastAsia" w:ascii="仿宋_GB2312" w:eastAsia="仿宋_GB2312"/>
                <w:color w:val="000000"/>
              </w:rPr>
            </w:pPr>
            <w:r>
              <w:rPr>
                <w:rFonts w:hint="eastAsia" w:ascii="仿宋_GB2312" w:eastAsia="仿宋_GB2312"/>
                <w:color w:val="000000"/>
              </w:rPr>
              <w:t> </w:t>
            </w:r>
          </w:p>
        </w:tc>
        <w:tc>
          <w:tcPr>
            <w:tcW w:w="196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spacing w:line="405" w:lineRule="atLeast"/>
              <w:rPr>
                <w:rFonts w:hint="eastAsia" w:ascii="仿宋_GB2312" w:eastAsia="仿宋_GB2312"/>
                <w:color w:val="000000"/>
              </w:rPr>
            </w:pPr>
            <w:r>
              <w:rPr>
                <w:rFonts w:hint="eastAsia" w:ascii="仿宋_GB2312" w:eastAsia="仿宋_GB2312"/>
                <w:color w:val="000000"/>
              </w:rPr>
              <w:t> </w:t>
            </w:r>
          </w:p>
        </w:tc>
        <w:tc>
          <w:tcPr>
            <w:tcW w:w="169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spacing w:line="405" w:lineRule="atLeast"/>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0" w:hRule="atLeast"/>
          <w:jc w:val="center"/>
        </w:trPr>
        <w:tc>
          <w:tcPr>
            <w:tcW w:w="26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spacing w:line="405" w:lineRule="atLeast"/>
              <w:rPr>
                <w:rFonts w:hint="eastAsia" w:ascii="仿宋_GB2312" w:eastAsia="仿宋_GB2312"/>
                <w:color w:val="000000"/>
              </w:rPr>
            </w:pPr>
            <w:r>
              <w:rPr>
                <w:rFonts w:hint="eastAsia" w:ascii="仿宋_GB2312" w:eastAsia="仿宋_GB2312"/>
                <w:color w:val="000000"/>
              </w:rPr>
              <w:t> </w:t>
            </w:r>
          </w:p>
        </w:tc>
        <w:tc>
          <w:tcPr>
            <w:tcW w:w="306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spacing w:line="405" w:lineRule="atLeast"/>
              <w:rPr>
                <w:rFonts w:hint="eastAsia" w:ascii="仿宋_GB2312" w:eastAsia="仿宋_GB2312"/>
                <w:color w:val="000000"/>
              </w:rPr>
            </w:pPr>
            <w:r>
              <w:rPr>
                <w:rFonts w:hint="eastAsia" w:ascii="仿宋_GB2312" w:eastAsia="仿宋_GB2312"/>
                <w:color w:val="000000"/>
              </w:rPr>
              <w:t> </w:t>
            </w:r>
          </w:p>
        </w:tc>
        <w:tc>
          <w:tcPr>
            <w:tcW w:w="144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spacing w:line="405" w:lineRule="atLeast"/>
              <w:rPr>
                <w:rFonts w:hint="eastAsia" w:ascii="仿宋_GB2312" w:eastAsia="仿宋_GB2312"/>
                <w:color w:val="000000"/>
              </w:rPr>
            </w:pPr>
            <w:r>
              <w:rPr>
                <w:rFonts w:hint="eastAsia" w:ascii="仿宋_GB2312" w:eastAsia="仿宋_GB2312"/>
                <w:color w:val="000000"/>
              </w:rPr>
              <w:t> </w:t>
            </w:r>
          </w:p>
        </w:tc>
        <w:tc>
          <w:tcPr>
            <w:tcW w:w="196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spacing w:line="405" w:lineRule="atLeast"/>
              <w:rPr>
                <w:rFonts w:hint="eastAsia" w:ascii="仿宋_GB2312" w:eastAsia="仿宋_GB2312"/>
                <w:color w:val="000000"/>
              </w:rPr>
            </w:pPr>
            <w:r>
              <w:rPr>
                <w:rFonts w:hint="eastAsia" w:ascii="仿宋_GB2312" w:eastAsia="仿宋_GB2312"/>
                <w:color w:val="000000"/>
              </w:rPr>
              <w:t> </w:t>
            </w:r>
          </w:p>
        </w:tc>
        <w:tc>
          <w:tcPr>
            <w:tcW w:w="169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spacing w:line="405" w:lineRule="atLeast"/>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25" w:hRule="atLeast"/>
          <w:jc w:val="center"/>
        </w:trPr>
        <w:tc>
          <w:tcPr>
            <w:tcW w:w="26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spacing w:line="405" w:lineRule="atLeast"/>
              <w:rPr>
                <w:rFonts w:hint="eastAsia" w:ascii="仿宋_GB2312" w:eastAsia="仿宋_GB2312"/>
                <w:color w:val="000000"/>
              </w:rPr>
            </w:pPr>
            <w:r>
              <w:rPr>
                <w:rFonts w:hint="eastAsia" w:ascii="仿宋_GB2312" w:eastAsia="仿宋_GB2312"/>
                <w:color w:val="000000"/>
              </w:rPr>
              <w:t> </w:t>
            </w:r>
          </w:p>
        </w:tc>
        <w:tc>
          <w:tcPr>
            <w:tcW w:w="306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spacing w:line="405" w:lineRule="atLeast"/>
              <w:rPr>
                <w:rFonts w:hint="eastAsia" w:ascii="仿宋_GB2312" w:eastAsia="仿宋_GB2312"/>
                <w:color w:val="000000"/>
              </w:rPr>
            </w:pPr>
            <w:r>
              <w:rPr>
                <w:rFonts w:hint="eastAsia" w:ascii="仿宋_GB2312" w:eastAsia="仿宋_GB2312"/>
                <w:color w:val="000000"/>
              </w:rPr>
              <w:t> </w:t>
            </w:r>
          </w:p>
        </w:tc>
        <w:tc>
          <w:tcPr>
            <w:tcW w:w="144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spacing w:line="405" w:lineRule="atLeast"/>
              <w:rPr>
                <w:rFonts w:hint="eastAsia" w:ascii="仿宋_GB2312" w:eastAsia="仿宋_GB2312"/>
                <w:color w:val="000000"/>
              </w:rPr>
            </w:pPr>
            <w:r>
              <w:rPr>
                <w:rFonts w:hint="eastAsia" w:ascii="仿宋_GB2312" w:eastAsia="仿宋_GB2312"/>
                <w:color w:val="000000"/>
              </w:rPr>
              <w:t> </w:t>
            </w:r>
          </w:p>
        </w:tc>
        <w:tc>
          <w:tcPr>
            <w:tcW w:w="196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spacing w:line="405" w:lineRule="atLeast"/>
              <w:rPr>
                <w:rFonts w:hint="eastAsia" w:ascii="仿宋_GB2312" w:eastAsia="仿宋_GB2312"/>
                <w:color w:val="000000"/>
              </w:rPr>
            </w:pPr>
            <w:r>
              <w:rPr>
                <w:rFonts w:hint="eastAsia" w:ascii="仿宋_GB2312" w:eastAsia="仿宋_GB2312"/>
                <w:color w:val="000000"/>
              </w:rPr>
              <w:t> </w:t>
            </w:r>
          </w:p>
        </w:tc>
        <w:tc>
          <w:tcPr>
            <w:tcW w:w="169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spacing w:line="405" w:lineRule="atLeast"/>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26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spacing w:line="405" w:lineRule="atLeast"/>
              <w:rPr>
                <w:rFonts w:hint="eastAsia" w:ascii="仿宋_GB2312" w:eastAsia="仿宋_GB2312"/>
                <w:color w:val="000000"/>
              </w:rPr>
            </w:pPr>
            <w:r>
              <w:rPr>
                <w:rFonts w:hint="eastAsia" w:ascii="仿宋_GB2312" w:eastAsia="仿宋_GB2312"/>
                <w:color w:val="000000"/>
              </w:rPr>
              <w:t> </w:t>
            </w:r>
          </w:p>
        </w:tc>
        <w:tc>
          <w:tcPr>
            <w:tcW w:w="306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spacing w:line="405" w:lineRule="atLeast"/>
              <w:rPr>
                <w:rFonts w:hint="eastAsia" w:ascii="仿宋_GB2312" w:eastAsia="仿宋_GB2312"/>
                <w:color w:val="000000"/>
              </w:rPr>
            </w:pPr>
            <w:r>
              <w:rPr>
                <w:rFonts w:hint="eastAsia" w:ascii="仿宋_GB2312" w:eastAsia="仿宋_GB2312"/>
                <w:color w:val="000000"/>
              </w:rPr>
              <w:t> </w:t>
            </w:r>
          </w:p>
        </w:tc>
        <w:tc>
          <w:tcPr>
            <w:tcW w:w="144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spacing w:line="405" w:lineRule="atLeast"/>
              <w:rPr>
                <w:rFonts w:hint="eastAsia" w:ascii="仿宋_GB2312" w:eastAsia="仿宋_GB2312"/>
                <w:color w:val="000000"/>
              </w:rPr>
            </w:pPr>
            <w:r>
              <w:rPr>
                <w:rFonts w:hint="eastAsia" w:ascii="仿宋_GB2312" w:eastAsia="仿宋_GB2312"/>
                <w:color w:val="000000"/>
              </w:rPr>
              <w:t> </w:t>
            </w:r>
          </w:p>
        </w:tc>
        <w:tc>
          <w:tcPr>
            <w:tcW w:w="196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spacing w:line="405" w:lineRule="atLeast"/>
              <w:rPr>
                <w:rFonts w:hint="eastAsia" w:ascii="仿宋_GB2312" w:eastAsia="仿宋_GB2312"/>
                <w:color w:val="000000"/>
              </w:rPr>
            </w:pPr>
            <w:r>
              <w:rPr>
                <w:rFonts w:hint="eastAsia" w:ascii="仿宋_GB2312" w:eastAsia="仿宋_GB2312"/>
                <w:color w:val="000000"/>
              </w:rPr>
              <w:t> </w:t>
            </w:r>
          </w:p>
        </w:tc>
        <w:tc>
          <w:tcPr>
            <w:tcW w:w="169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18"/>
              <w:spacing w:line="405" w:lineRule="atLeast"/>
              <w:rPr>
                <w:rFonts w:hint="eastAsia" w:ascii="仿宋_GB2312" w:eastAsia="仿宋_GB2312"/>
                <w:color w:val="000000"/>
              </w:rPr>
            </w:pPr>
            <w:r>
              <w:rPr>
                <w:rFonts w:hint="eastAsia" w:ascii="仿宋_GB2312" w:eastAsia="仿宋_GB2312"/>
                <w:color w:val="000000"/>
              </w:rPr>
              <w:t> </w:t>
            </w:r>
          </w:p>
        </w:tc>
      </w:tr>
    </w:tbl>
    <w:p>
      <w:pPr>
        <w:spacing w:before="0" w:beforeAutospacing="0" w:after="0" w:afterAutospacing="0"/>
        <w:rPr>
          <w:rFonts w:hint="eastAsia" w:ascii="仿宋_GB2312" w:eastAsia="仿宋_GB2312"/>
          <w:color w:val="000000"/>
        </w:rPr>
      </w:pPr>
      <w:r>
        <w:rPr>
          <w:rFonts w:hint="eastAsia" w:ascii="仿宋_GB2312" w:eastAsia="仿宋_GB2312"/>
          <w:color w:val="000000"/>
        </w:rPr>
        <w:t> </w:t>
      </w:r>
    </w:p>
    <w:p>
      <w:pPr>
        <w:pStyle w:val="418"/>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 </w:t>
      </w:r>
      <w:r>
        <w:rPr>
          <w:rFonts w:hint="eastAsia" w:ascii="仿宋_GB2312" w:eastAsia="仿宋_GB2312"/>
          <w:color w:val="000000"/>
          <w:u w:val="single"/>
        </w:rPr>
        <w:t>       </w:t>
      </w:r>
      <w:r>
        <w:rPr>
          <w:rFonts w:hint="eastAsia" w:ascii="仿宋_GB2312" w:eastAsia="仿宋_GB2312"/>
          <w:color w:val="000000"/>
        </w:rPr>
        <w:t> </w:t>
      </w:r>
    </w:p>
    <w:p>
      <w:pPr>
        <w:pStyle w:val="418"/>
        <w:jc w:val="right"/>
        <w:rPr>
          <w:rFonts w:hint="eastAsia" w:ascii="仿宋_GB2312" w:eastAsia="仿宋_GB2312"/>
          <w:color w:val="000000"/>
        </w:rPr>
      </w:pPr>
      <w:r>
        <w:rPr>
          <w:rFonts w:hint="eastAsia" w:ascii="仿宋_GB2312" w:eastAsia="仿宋_GB2312"/>
          <w:color w:val="000000"/>
        </w:rPr>
        <w:t>日期：   年  月  日</w:t>
      </w:r>
    </w:p>
    <w:p>
      <w:pPr>
        <w:pStyle w:val="418"/>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pPr>
        <w:rPr>
          <w:rFonts w:hint="eastAsia"/>
        </w:rPr>
      </w:pPr>
    </w:p>
    <w:p>
      <w:pPr>
        <w:snapToGrid w:val="0"/>
        <w:spacing w:before="50"/>
        <w:jc w:val="left"/>
        <w:rPr>
          <w:rFonts w:hint="eastAsia" w:eastAsia="仿宋_GB2312" w:asciiTheme="minorHAnsi" w:hAnsiTheme="minorHAnsi"/>
          <w:sz w:val="24"/>
          <w:lang w:val="en-GB"/>
        </w:rPr>
        <w:sectPr>
          <w:pgSz w:w="11906" w:h="16838"/>
          <w:pgMar w:top="1440" w:right="707" w:bottom="1440" w:left="1440" w:header="851" w:footer="992" w:gutter="0"/>
          <w:cols w:space="720" w:num="1"/>
          <w:docGrid w:linePitch="312" w:charSpace="0"/>
        </w:sectPr>
      </w:pPr>
    </w:p>
    <w:bookmarkEnd w:id="0"/>
    <w:p>
      <w:pPr>
        <w:pStyle w:val="438"/>
        <w:spacing w:before="0" w:beforeAutospacing="0" w:after="0" w:afterAutospacing="0" w:line="460" w:lineRule="atLeast"/>
        <w:rPr>
          <w:rFonts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11</w:t>
      </w:r>
      <w:r>
        <w:rPr>
          <w:rFonts w:hint="eastAsia" w:ascii="仿宋_GB2312" w:eastAsia="仿宋_GB2312"/>
          <w:color w:val="000000"/>
        </w:rPr>
        <w:t>）投标人具备有效的质量管理体系认证证书（如有）</w:t>
      </w:r>
    </w:p>
    <w:p>
      <w:pPr>
        <w:pStyle w:val="438"/>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12</w:t>
      </w:r>
      <w:r>
        <w:rPr>
          <w:rFonts w:hint="eastAsia" w:ascii="仿宋_GB2312" w:eastAsia="仿宋_GB2312"/>
          <w:color w:val="000000"/>
        </w:rPr>
        <w:t>）投标人具备有效的职业健康安全管理体系认证证书（如有）</w:t>
      </w:r>
    </w:p>
    <w:p>
      <w:pPr>
        <w:pStyle w:val="438"/>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13</w:t>
      </w:r>
      <w:r>
        <w:rPr>
          <w:rFonts w:hint="eastAsia" w:ascii="仿宋_GB2312" w:eastAsia="仿宋_GB2312"/>
          <w:color w:val="000000"/>
        </w:rPr>
        <w:t>）投标人具备有效的环境管理体系认证证书（如有）</w:t>
      </w:r>
    </w:p>
    <w:p>
      <w:pPr>
        <w:pStyle w:val="438"/>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14</w:t>
      </w:r>
      <w:r>
        <w:rPr>
          <w:rFonts w:hint="eastAsia" w:ascii="仿宋_GB2312" w:eastAsia="仿宋_GB2312"/>
          <w:color w:val="000000"/>
        </w:rPr>
        <w:t>）投标人对本项目的合理化建议和改进措施（如有，格式自拟）</w:t>
      </w:r>
    </w:p>
    <w:p>
      <w:pPr>
        <w:pStyle w:val="438"/>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15</w:t>
      </w:r>
      <w:r>
        <w:rPr>
          <w:rFonts w:hint="eastAsia" w:ascii="仿宋_GB2312" w:eastAsia="仿宋_GB2312"/>
          <w:color w:val="000000"/>
        </w:rPr>
        <w:t>）投标人认为必要提供的声明及文件资料（如有，格式自拟）</w:t>
      </w:r>
    </w:p>
    <w:p>
      <w:pPr>
        <w:snapToGrid w:val="0"/>
        <w:spacing w:before="120" w:beforeLines="50" w:after="50" w:line="400" w:lineRule="exact"/>
        <w:outlineLvl w:val="1"/>
        <w:rPr>
          <w:rFonts w:ascii="仿宋_GB2312" w:eastAsia="仿宋_GB2312"/>
          <w:b/>
          <w:bCs/>
          <w:color w:val="000000" w:themeColor="text1"/>
          <w:szCs w:val="21"/>
          <w14:textFill>
            <w14:solidFill>
              <w14:schemeClr w14:val="tx1"/>
            </w14:solidFill>
          </w14:textFill>
        </w:rPr>
      </w:pPr>
    </w:p>
    <w:p>
      <w:pPr>
        <w:snapToGrid w:val="0"/>
        <w:spacing w:before="120" w:beforeLines="50" w:after="50" w:line="400" w:lineRule="exact"/>
        <w:outlineLvl w:val="1"/>
        <w:rPr>
          <w:rFonts w:ascii="仿宋_GB2312" w:eastAsia="仿宋_GB2312"/>
          <w:b/>
          <w:bCs/>
          <w:color w:val="000000" w:themeColor="text1"/>
          <w:szCs w:val="21"/>
          <w14:textFill>
            <w14:solidFill>
              <w14:schemeClr w14:val="tx1"/>
            </w14:solidFill>
          </w14:textFill>
        </w:rPr>
      </w:pPr>
    </w:p>
    <w:p>
      <w:pPr>
        <w:ind w:firstLine="643" w:firstLineChars="200"/>
        <w:jc w:val="left"/>
        <w:rPr>
          <w:rFonts w:ascii="仿宋_GB2312" w:eastAsia="仿宋_GB2312"/>
          <w:b/>
          <w:bCs/>
          <w:sz w:val="32"/>
          <w:szCs w:val="32"/>
        </w:rPr>
      </w:pPr>
      <w:r>
        <w:rPr>
          <w:rFonts w:hint="eastAsia" w:ascii="仿宋_GB2312" w:eastAsia="仿宋_GB2312"/>
          <w:b/>
          <w:bCs/>
          <w:sz w:val="32"/>
          <w:szCs w:val="32"/>
        </w:rPr>
        <w:t>注：第（</w:t>
      </w:r>
      <w:r>
        <w:rPr>
          <w:rFonts w:ascii="仿宋_GB2312" w:eastAsia="仿宋_GB2312"/>
          <w:b/>
          <w:bCs/>
          <w:sz w:val="32"/>
          <w:szCs w:val="32"/>
        </w:rPr>
        <w:t>1</w:t>
      </w:r>
      <w:r>
        <w:rPr>
          <w:rFonts w:hint="eastAsia" w:ascii="仿宋_GB2312" w:eastAsia="仿宋_GB2312"/>
          <w:b/>
          <w:bCs/>
          <w:sz w:val="32"/>
          <w:szCs w:val="32"/>
          <w:lang w:val="en-US" w:eastAsia="zh-CN"/>
        </w:rPr>
        <w:t>1</w:t>
      </w:r>
      <w:r>
        <w:rPr>
          <w:rFonts w:hint="eastAsia" w:ascii="仿宋_GB2312" w:eastAsia="仿宋_GB2312"/>
          <w:b/>
          <w:bCs/>
          <w:sz w:val="32"/>
          <w:szCs w:val="32"/>
        </w:rPr>
        <w:t>）项至第（</w:t>
      </w:r>
      <w:r>
        <w:rPr>
          <w:rFonts w:ascii="仿宋_GB2312" w:eastAsia="仿宋_GB2312"/>
          <w:b/>
          <w:bCs/>
          <w:sz w:val="32"/>
          <w:szCs w:val="32"/>
        </w:rPr>
        <w:t>1</w:t>
      </w:r>
      <w:r>
        <w:rPr>
          <w:rFonts w:hint="eastAsia" w:ascii="仿宋_GB2312" w:eastAsia="仿宋_GB2312"/>
          <w:b/>
          <w:bCs/>
          <w:sz w:val="32"/>
          <w:szCs w:val="32"/>
          <w:lang w:val="en-US" w:eastAsia="zh-CN"/>
        </w:rPr>
        <w:t>5</w:t>
      </w:r>
      <w:r>
        <w:rPr>
          <w:rFonts w:hint="eastAsia" w:ascii="仿宋_GB2312" w:eastAsia="仿宋_GB2312"/>
          <w:b/>
          <w:bCs/>
          <w:sz w:val="32"/>
          <w:szCs w:val="32"/>
        </w:rPr>
        <w:t>）项</w:t>
      </w:r>
      <w:r>
        <w:rPr>
          <w:rFonts w:hint="eastAsia" w:ascii="仿宋_GB2312" w:hAnsi="宋体" w:eastAsia="仿宋_GB2312"/>
          <w:b/>
          <w:bCs/>
          <w:sz w:val="30"/>
          <w:szCs w:val="30"/>
        </w:rPr>
        <w:t>如有请以PDF格式提供，并加盖投标人CA电子签章</w:t>
      </w:r>
      <w:bookmarkEnd w:id="89"/>
      <w:r>
        <w:rPr>
          <w:rFonts w:hint="eastAsia" w:ascii="仿宋_GB2312" w:eastAsia="仿宋_GB2312"/>
          <w:b/>
          <w:bCs/>
          <w:sz w:val="32"/>
          <w:szCs w:val="32"/>
        </w:rPr>
        <w:t>。</w:t>
      </w:r>
    </w:p>
    <w:sectPr>
      <w:footerReference r:id="rId11" w:type="default"/>
      <w:pgSz w:w="11906" w:h="16838"/>
      <w:pgMar w:top="1440" w:right="1440" w:bottom="1440" w:left="144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 w:name="华文细黑">
    <w:altName w:val="微软雅黑"/>
    <w:panose1 w:val="02010600040101010101"/>
    <w:charset w:val="86"/>
    <w:family w:val="auto"/>
    <w:pitch w:val="default"/>
    <w:sig w:usb0="00000000" w:usb1="0000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方正大黑简体2.">
    <w:altName w:val="黑体"/>
    <w:panose1 w:val="00000000000000000000"/>
    <w:charset w:val="86"/>
    <w:family w:val="swiss"/>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等线">
    <w:altName w:val="微软雅黑"/>
    <w:panose1 w:val="02010600030101010101"/>
    <w:charset w:val="86"/>
    <w:family w:val="auto"/>
    <w:pitch w:val="default"/>
    <w:sig w:usb0="00000000" w:usb1="00000000" w:usb2="00000016" w:usb3="00000000" w:csb0="0004000F" w:csb1="00000000"/>
  </w:font>
  <w:font w:name="华文新魏">
    <w:altName w:val="宋体"/>
    <w:panose1 w:val="02010800040101010101"/>
    <w:charset w:val="86"/>
    <w:family w:val="auto"/>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Segoe UI">
    <w:panose1 w:val="020B0502040204020203"/>
    <w:charset w:val="00"/>
    <w:family w:val="auto"/>
    <w:pitch w:val="default"/>
    <w:sig w:usb0="E10022FF" w:usb1="C000E47F" w:usb2="00000029" w:usb3="00000000" w:csb0="200001DF" w:csb1="2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tabs>
        <w:tab w:val="left" w:pos="6787"/>
        <w:tab w:val="center" w:pos="6979"/>
      </w:tabs>
      <w:jc w:val="center"/>
    </w:pPr>
  </w:p>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6406300"/>
      <w:docPartObj>
        <w:docPartGallery w:val="autotext"/>
      </w:docPartObj>
    </w:sdtPr>
    <w:sdtContent>
      <w:p>
        <w:pPr>
          <w:pStyle w:val="31"/>
          <w:jc w:val="center"/>
        </w:pPr>
        <w:r>
          <w:fldChar w:fldCharType="begin"/>
        </w:r>
        <w:r>
          <w:instrText xml:space="preserve">PAGE   \* MERGEFORMAT</w:instrText>
        </w:r>
        <w:r>
          <w:fldChar w:fldCharType="separate"/>
        </w:r>
        <w:r>
          <w:rPr>
            <w:lang w:val="zh-CN"/>
          </w:rPr>
          <w:t>18</w:t>
        </w:r>
        <w:r>
          <w:fldChar w:fldCharType="end"/>
        </w:r>
      </w:p>
    </w:sdtContent>
  </w:sdt>
  <w:p>
    <w:pPr>
      <w:pStyle w:val="31"/>
      <w:tabs>
        <w:tab w:val="left" w:pos="6787"/>
        <w:tab w:val="center" w:pos="6979"/>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single" w:color="auto" w:sz="4" w:space="1"/>
      </w:pBdr>
      <w:ind w:firstLine="1988" w:firstLineChars="1100"/>
      <w:jc w:val="both"/>
    </w:pPr>
    <w:r>
      <w:rPr>
        <w:rFonts w:hint="eastAsia"/>
        <w:b/>
      </w:rPr>
      <w:t xml:space="preserve"> </w:t>
    </w:r>
    <w:r>
      <w:rPr>
        <w:b/>
      </w:rPr>
      <w:t xml:space="preserve"> </w:t>
    </w:r>
    <w:r>
      <w:rPr>
        <w:rFonts w:hint="eastAsia"/>
        <w:b/>
      </w:rPr>
      <w:t xml:space="preserve">     柳州城市职业学院2026-2029年物业管理服务采购（LZZC2026-G3-990077-LZSZ）</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9F86D"/>
    <w:multiLevelType w:val="singleLevel"/>
    <w:tmpl w:val="82A9F86D"/>
    <w:lvl w:ilvl="0" w:tentative="0">
      <w:start w:val="1"/>
      <w:numFmt w:val="lowerLetter"/>
      <w:suff w:val="space"/>
      <w:lvlText w:val="%1."/>
      <w:lvlJc w:val="left"/>
    </w:lvl>
  </w:abstractNum>
  <w:abstractNum w:abstractNumId="1">
    <w:nsid w:val="B961AF39"/>
    <w:multiLevelType w:val="singleLevel"/>
    <w:tmpl w:val="B961AF39"/>
    <w:lvl w:ilvl="0" w:tentative="0">
      <w:start w:val="2"/>
      <w:numFmt w:val="decimal"/>
      <w:suff w:val="nothing"/>
      <w:lvlText w:val="（%1）"/>
      <w:lvlJc w:val="left"/>
    </w:lvl>
  </w:abstractNum>
  <w:abstractNum w:abstractNumId="2">
    <w:nsid w:val="08FD0A51"/>
    <w:multiLevelType w:val="multilevel"/>
    <w:tmpl w:val="08FD0A51"/>
    <w:lvl w:ilvl="0" w:tentative="0">
      <w:start w:val="1"/>
      <w:numFmt w:val="decimal"/>
      <w:suff w:val="nothing"/>
      <w:lvlText w:val="（%1）"/>
      <w:lvlJc w:val="left"/>
      <w:pPr>
        <w:ind w:left="0" w:firstLine="430"/>
      </w:pPr>
      <w:rPr>
        <w:rFonts w:hint="eastAsia"/>
      </w:rPr>
    </w:lvl>
    <w:lvl w:ilvl="1" w:tentative="0">
      <w:start w:val="1"/>
      <w:numFmt w:val="lowerLetter"/>
      <w:lvlText w:val="%2)"/>
      <w:lvlJc w:val="left"/>
      <w:pPr>
        <w:tabs>
          <w:tab w:val="left" w:pos="1470"/>
        </w:tabs>
        <w:ind w:left="1470" w:hanging="420"/>
      </w:pPr>
      <w:rPr>
        <w:rFonts w:hint="eastAsia"/>
      </w:rPr>
    </w:lvl>
    <w:lvl w:ilvl="2" w:tentative="0">
      <w:start w:val="1"/>
      <w:numFmt w:val="lowerRoman"/>
      <w:lvlText w:val="%3."/>
      <w:lvlJc w:val="right"/>
      <w:pPr>
        <w:tabs>
          <w:tab w:val="left" w:pos="1890"/>
        </w:tabs>
        <w:ind w:left="1890" w:hanging="420"/>
      </w:pPr>
      <w:rPr>
        <w:rFonts w:hint="eastAsia"/>
      </w:rPr>
    </w:lvl>
    <w:lvl w:ilvl="3" w:tentative="0">
      <w:start w:val="1"/>
      <w:numFmt w:val="decimal"/>
      <w:lvlText w:val="%4."/>
      <w:lvlJc w:val="left"/>
      <w:pPr>
        <w:tabs>
          <w:tab w:val="left" w:pos="2310"/>
        </w:tabs>
        <w:ind w:left="2310" w:hanging="420"/>
      </w:pPr>
      <w:rPr>
        <w:rFonts w:hint="eastAsia"/>
      </w:rPr>
    </w:lvl>
    <w:lvl w:ilvl="4" w:tentative="0">
      <w:start w:val="1"/>
      <w:numFmt w:val="lowerLetter"/>
      <w:lvlText w:val="%5)"/>
      <w:lvlJc w:val="left"/>
      <w:pPr>
        <w:tabs>
          <w:tab w:val="left" w:pos="2730"/>
        </w:tabs>
        <w:ind w:left="2730" w:hanging="420"/>
      </w:pPr>
      <w:rPr>
        <w:rFonts w:hint="eastAsia"/>
      </w:rPr>
    </w:lvl>
    <w:lvl w:ilvl="5" w:tentative="0">
      <w:start w:val="1"/>
      <w:numFmt w:val="lowerRoman"/>
      <w:lvlText w:val="%6."/>
      <w:lvlJc w:val="right"/>
      <w:pPr>
        <w:tabs>
          <w:tab w:val="left" w:pos="3150"/>
        </w:tabs>
        <w:ind w:left="3150" w:hanging="420"/>
      </w:pPr>
      <w:rPr>
        <w:rFonts w:hint="eastAsia"/>
      </w:rPr>
    </w:lvl>
    <w:lvl w:ilvl="6" w:tentative="0">
      <w:start w:val="1"/>
      <w:numFmt w:val="decimal"/>
      <w:lvlText w:val="%7."/>
      <w:lvlJc w:val="left"/>
      <w:pPr>
        <w:tabs>
          <w:tab w:val="left" w:pos="3570"/>
        </w:tabs>
        <w:ind w:left="3570" w:hanging="420"/>
      </w:pPr>
      <w:rPr>
        <w:rFonts w:hint="eastAsia"/>
      </w:rPr>
    </w:lvl>
    <w:lvl w:ilvl="7" w:tentative="0">
      <w:start w:val="1"/>
      <w:numFmt w:val="lowerLetter"/>
      <w:lvlText w:val="%8)"/>
      <w:lvlJc w:val="left"/>
      <w:pPr>
        <w:tabs>
          <w:tab w:val="left" w:pos="3990"/>
        </w:tabs>
        <w:ind w:left="3990" w:hanging="420"/>
      </w:pPr>
      <w:rPr>
        <w:rFonts w:hint="eastAsia"/>
      </w:rPr>
    </w:lvl>
    <w:lvl w:ilvl="8" w:tentative="0">
      <w:start w:val="1"/>
      <w:numFmt w:val="lowerRoman"/>
      <w:lvlText w:val="%9."/>
      <w:lvlJc w:val="right"/>
      <w:pPr>
        <w:tabs>
          <w:tab w:val="left" w:pos="4410"/>
        </w:tabs>
        <w:ind w:left="4410" w:hanging="420"/>
      </w:pPr>
      <w:rPr>
        <w:rFonts w:hint="eastAsia"/>
      </w:rPr>
    </w:lvl>
  </w:abstractNum>
  <w:abstractNum w:abstractNumId="3">
    <w:nsid w:val="09256FDA"/>
    <w:multiLevelType w:val="multilevel"/>
    <w:tmpl w:val="09256FDA"/>
    <w:lvl w:ilvl="0" w:tentative="0">
      <w:start w:val="1"/>
      <w:numFmt w:val="chineseCountingThousand"/>
      <w:pStyle w:val="107"/>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7"/>
      <w:lvlText w:val="%5)"/>
      <w:lvlJc w:val="left"/>
      <w:pPr>
        <w:ind w:left="2580" w:hanging="420"/>
      </w:pPr>
    </w:lvl>
    <w:lvl w:ilvl="5" w:tentative="0">
      <w:start w:val="1"/>
      <w:numFmt w:val="lowerRoman"/>
      <w:pStyle w:val="9"/>
      <w:lvlText w:val="%6."/>
      <w:lvlJc w:val="right"/>
      <w:pPr>
        <w:ind w:left="3000" w:hanging="420"/>
      </w:pPr>
    </w:lvl>
    <w:lvl w:ilvl="6" w:tentative="0">
      <w:start w:val="1"/>
      <w:numFmt w:val="decimal"/>
      <w:pStyle w:val="10"/>
      <w:lvlText w:val="%7."/>
      <w:lvlJc w:val="left"/>
      <w:pPr>
        <w:ind w:left="3420" w:hanging="420"/>
      </w:pPr>
    </w:lvl>
    <w:lvl w:ilvl="7" w:tentative="0">
      <w:start w:val="1"/>
      <w:numFmt w:val="lowerLetter"/>
      <w:pStyle w:val="11"/>
      <w:lvlText w:val="%8)"/>
      <w:lvlJc w:val="left"/>
      <w:pPr>
        <w:ind w:left="3840" w:hanging="420"/>
      </w:pPr>
    </w:lvl>
    <w:lvl w:ilvl="8" w:tentative="0">
      <w:start w:val="1"/>
      <w:numFmt w:val="lowerRoman"/>
      <w:pStyle w:val="12"/>
      <w:lvlText w:val="%9."/>
      <w:lvlJc w:val="right"/>
      <w:pPr>
        <w:ind w:left="4260" w:hanging="420"/>
      </w:pPr>
    </w:lvl>
  </w:abstractNum>
  <w:abstractNum w:abstractNumId="4">
    <w:nsid w:val="0F9E60A7"/>
    <w:multiLevelType w:val="multilevel"/>
    <w:tmpl w:val="0F9E60A7"/>
    <w:lvl w:ilvl="0" w:tentative="0">
      <w:start w:val="1"/>
      <w:numFmt w:val="japaneseCounting"/>
      <w:lvlText w:val="第%1条"/>
      <w:lvlJc w:val="left"/>
      <w:pPr>
        <w:ind w:left="1365" w:hanging="945"/>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5461D6C"/>
    <w:multiLevelType w:val="multilevel"/>
    <w:tmpl w:val="25461D6C"/>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4A4A46C9"/>
    <w:multiLevelType w:val="singleLevel"/>
    <w:tmpl w:val="4A4A46C9"/>
    <w:lvl w:ilvl="0" w:tentative="0">
      <w:start w:val="1"/>
      <w:numFmt w:val="decimal"/>
      <w:lvlText w:val="%1."/>
      <w:lvlJc w:val="left"/>
      <w:pPr>
        <w:tabs>
          <w:tab w:val="left" w:pos="312"/>
        </w:tabs>
      </w:pPr>
    </w:lvl>
  </w:abstractNum>
  <w:num w:numId="1">
    <w:abstractNumId w:val="3"/>
  </w:num>
  <w:num w:numId="2">
    <w:abstractNumId w:val="1"/>
  </w:num>
  <w:num w:numId="3">
    <w:abstractNumId w:val="6"/>
  </w:num>
  <w:num w:numId="4">
    <w:abstractNumId w:val="0"/>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98"/>
    <w:rsid w:val="00000235"/>
    <w:rsid w:val="00000BE6"/>
    <w:rsid w:val="00000EA6"/>
    <w:rsid w:val="00000F70"/>
    <w:rsid w:val="00001419"/>
    <w:rsid w:val="00001E3D"/>
    <w:rsid w:val="0000234F"/>
    <w:rsid w:val="000031DB"/>
    <w:rsid w:val="0000367B"/>
    <w:rsid w:val="000043C7"/>
    <w:rsid w:val="00004F6D"/>
    <w:rsid w:val="00006D60"/>
    <w:rsid w:val="00007042"/>
    <w:rsid w:val="000070F9"/>
    <w:rsid w:val="00007A45"/>
    <w:rsid w:val="00007B12"/>
    <w:rsid w:val="00007FF7"/>
    <w:rsid w:val="0001002C"/>
    <w:rsid w:val="00010AB6"/>
    <w:rsid w:val="00011112"/>
    <w:rsid w:val="000115B7"/>
    <w:rsid w:val="00011DB7"/>
    <w:rsid w:val="000120AA"/>
    <w:rsid w:val="000124DA"/>
    <w:rsid w:val="00012763"/>
    <w:rsid w:val="00014960"/>
    <w:rsid w:val="000157B1"/>
    <w:rsid w:val="00015FB9"/>
    <w:rsid w:val="00016048"/>
    <w:rsid w:val="00016E1D"/>
    <w:rsid w:val="00016E4A"/>
    <w:rsid w:val="00017814"/>
    <w:rsid w:val="00017B02"/>
    <w:rsid w:val="00017C23"/>
    <w:rsid w:val="000210A2"/>
    <w:rsid w:val="000219E7"/>
    <w:rsid w:val="00022A08"/>
    <w:rsid w:val="0002382C"/>
    <w:rsid w:val="000239AF"/>
    <w:rsid w:val="00023AD3"/>
    <w:rsid w:val="00024119"/>
    <w:rsid w:val="0002412E"/>
    <w:rsid w:val="0002485B"/>
    <w:rsid w:val="00024AEC"/>
    <w:rsid w:val="000252EF"/>
    <w:rsid w:val="0002533B"/>
    <w:rsid w:val="000257AA"/>
    <w:rsid w:val="00026874"/>
    <w:rsid w:val="000269D2"/>
    <w:rsid w:val="00026A4B"/>
    <w:rsid w:val="00026E44"/>
    <w:rsid w:val="0002705C"/>
    <w:rsid w:val="0002739D"/>
    <w:rsid w:val="000275A8"/>
    <w:rsid w:val="00030068"/>
    <w:rsid w:val="000303E1"/>
    <w:rsid w:val="00031417"/>
    <w:rsid w:val="000317C1"/>
    <w:rsid w:val="00031C8D"/>
    <w:rsid w:val="0003256E"/>
    <w:rsid w:val="00033587"/>
    <w:rsid w:val="00033A5E"/>
    <w:rsid w:val="00033B87"/>
    <w:rsid w:val="000345B3"/>
    <w:rsid w:val="0003560F"/>
    <w:rsid w:val="00035DE8"/>
    <w:rsid w:val="00036947"/>
    <w:rsid w:val="00036A92"/>
    <w:rsid w:val="00036DAE"/>
    <w:rsid w:val="00036F4B"/>
    <w:rsid w:val="000374B1"/>
    <w:rsid w:val="00037959"/>
    <w:rsid w:val="00040330"/>
    <w:rsid w:val="00041165"/>
    <w:rsid w:val="000413E7"/>
    <w:rsid w:val="0004189A"/>
    <w:rsid w:val="00041B52"/>
    <w:rsid w:val="000420F5"/>
    <w:rsid w:val="000424E0"/>
    <w:rsid w:val="00043441"/>
    <w:rsid w:val="00043DAB"/>
    <w:rsid w:val="000442D2"/>
    <w:rsid w:val="000448D9"/>
    <w:rsid w:val="00045374"/>
    <w:rsid w:val="00045718"/>
    <w:rsid w:val="00045B7B"/>
    <w:rsid w:val="00045D55"/>
    <w:rsid w:val="00045D9F"/>
    <w:rsid w:val="00045ED7"/>
    <w:rsid w:val="000466B9"/>
    <w:rsid w:val="00046CD4"/>
    <w:rsid w:val="00046F87"/>
    <w:rsid w:val="00047D7E"/>
    <w:rsid w:val="000514DD"/>
    <w:rsid w:val="00051A31"/>
    <w:rsid w:val="000525BC"/>
    <w:rsid w:val="0005300B"/>
    <w:rsid w:val="0005314B"/>
    <w:rsid w:val="000532B5"/>
    <w:rsid w:val="00053BE0"/>
    <w:rsid w:val="00053ECC"/>
    <w:rsid w:val="000542B6"/>
    <w:rsid w:val="00054E25"/>
    <w:rsid w:val="0005591B"/>
    <w:rsid w:val="00056A5C"/>
    <w:rsid w:val="00056AC9"/>
    <w:rsid w:val="00057806"/>
    <w:rsid w:val="00057D70"/>
    <w:rsid w:val="00057E18"/>
    <w:rsid w:val="00057E4E"/>
    <w:rsid w:val="000606E0"/>
    <w:rsid w:val="000614CE"/>
    <w:rsid w:val="00061AB0"/>
    <w:rsid w:val="00061CC0"/>
    <w:rsid w:val="00062121"/>
    <w:rsid w:val="000623FE"/>
    <w:rsid w:val="00062573"/>
    <w:rsid w:val="00062808"/>
    <w:rsid w:val="000630CD"/>
    <w:rsid w:val="00063149"/>
    <w:rsid w:val="00063816"/>
    <w:rsid w:val="0006471C"/>
    <w:rsid w:val="00066221"/>
    <w:rsid w:val="0006731E"/>
    <w:rsid w:val="00070B46"/>
    <w:rsid w:val="00071A83"/>
    <w:rsid w:val="00072BCC"/>
    <w:rsid w:val="00073315"/>
    <w:rsid w:val="000733DE"/>
    <w:rsid w:val="00074052"/>
    <w:rsid w:val="00074393"/>
    <w:rsid w:val="00075F03"/>
    <w:rsid w:val="0007640E"/>
    <w:rsid w:val="000805E3"/>
    <w:rsid w:val="00080A21"/>
    <w:rsid w:val="00080C67"/>
    <w:rsid w:val="00080EB2"/>
    <w:rsid w:val="00080F5E"/>
    <w:rsid w:val="00083B58"/>
    <w:rsid w:val="000847DA"/>
    <w:rsid w:val="0008491C"/>
    <w:rsid w:val="00084BE6"/>
    <w:rsid w:val="00084CBA"/>
    <w:rsid w:val="00085CB2"/>
    <w:rsid w:val="00086CCF"/>
    <w:rsid w:val="00087839"/>
    <w:rsid w:val="00090591"/>
    <w:rsid w:val="000915D8"/>
    <w:rsid w:val="0009163A"/>
    <w:rsid w:val="00091A5B"/>
    <w:rsid w:val="00092194"/>
    <w:rsid w:val="00093209"/>
    <w:rsid w:val="00093BF6"/>
    <w:rsid w:val="00093F42"/>
    <w:rsid w:val="00094599"/>
    <w:rsid w:val="000947E3"/>
    <w:rsid w:val="00095545"/>
    <w:rsid w:val="00095686"/>
    <w:rsid w:val="0009631E"/>
    <w:rsid w:val="00096585"/>
    <w:rsid w:val="0009699D"/>
    <w:rsid w:val="000969C2"/>
    <w:rsid w:val="00096E5F"/>
    <w:rsid w:val="00097575"/>
    <w:rsid w:val="00097FF1"/>
    <w:rsid w:val="000A0086"/>
    <w:rsid w:val="000A05BD"/>
    <w:rsid w:val="000A0C46"/>
    <w:rsid w:val="000A1982"/>
    <w:rsid w:val="000A2591"/>
    <w:rsid w:val="000A2813"/>
    <w:rsid w:val="000A2980"/>
    <w:rsid w:val="000A3B7B"/>
    <w:rsid w:val="000A3D56"/>
    <w:rsid w:val="000A4485"/>
    <w:rsid w:val="000A4CF3"/>
    <w:rsid w:val="000A4D42"/>
    <w:rsid w:val="000A5208"/>
    <w:rsid w:val="000A5BAA"/>
    <w:rsid w:val="000A5CA2"/>
    <w:rsid w:val="000A649C"/>
    <w:rsid w:val="000A65CD"/>
    <w:rsid w:val="000A71DC"/>
    <w:rsid w:val="000A74C1"/>
    <w:rsid w:val="000A757D"/>
    <w:rsid w:val="000A77C2"/>
    <w:rsid w:val="000B0168"/>
    <w:rsid w:val="000B0C44"/>
    <w:rsid w:val="000B1306"/>
    <w:rsid w:val="000B32EE"/>
    <w:rsid w:val="000B360E"/>
    <w:rsid w:val="000B3B37"/>
    <w:rsid w:val="000B3B9E"/>
    <w:rsid w:val="000B3C9E"/>
    <w:rsid w:val="000B3F01"/>
    <w:rsid w:val="000B4453"/>
    <w:rsid w:val="000B4A85"/>
    <w:rsid w:val="000B5598"/>
    <w:rsid w:val="000B5644"/>
    <w:rsid w:val="000B5B1A"/>
    <w:rsid w:val="000B5B38"/>
    <w:rsid w:val="000B5D37"/>
    <w:rsid w:val="000B6530"/>
    <w:rsid w:val="000B6BF8"/>
    <w:rsid w:val="000C0059"/>
    <w:rsid w:val="000C0454"/>
    <w:rsid w:val="000C09EA"/>
    <w:rsid w:val="000C1070"/>
    <w:rsid w:val="000C12B4"/>
    <w:rsid w:val="000C1CA4"/>
    <w:rsid w:val="000C2FE2"/>
    <w:rsid w:val="000C363F"/>
    <w:rsid w:val="000C53F9"/>
    <w:rsid w:val="000C5F9A"/>
    <w:rsid w:val="000C65E7"/>
    <w:rsid w:val="000C679A"/>
    <w:rsid w:val="000D0DBD"/>
    <w:rsid w:val="000D19B9"/>
    <w:rsid w:val="000D1B36"/>
    <w:rsid w:val="000D24E6"/>
    <w:rsid w:val="000D266C"/>
    <w:rsid w:val="000D27B9"/>
    <w:rsid w:val="000D2A7C"/>
    <w:rsid w:val="000D2ED8"/>
    <w:rsid w:val="000D4981"/>
    <w:rsid w:val="000D4D01"/>
    <w:rsid w:val="000D589B"/>
    <w:rsid w:val="000D5E63"/>
    <w:rsid w:val="000D6747"/>
    <w:rsid w:val="000D6DAD"/>
    <w:rsid w:val="000D75FD"/>
    <w:rsid w:val="000D78A2"/>
    <w:rsid w:val="000D78E1"/>
    <w:rsid w:val="000D7E20"/>
    <w:rsid w:val="000E0700"/>
    <w:rsid w:val="000E179D"/>
    <w:rsid w:val="000E2962"/>
    <w:rsid w:val="000E2C47"/>
    <w:rsid w:val="000E2DED"/>
    <w:rsid w:val="000E31BF"/>
    <w:rsid w:val="000E321F"/>
    <w:rsid w:val="000E37F4"/>
    <w:rsid w:val="000E383E"/>
    <w:rsid w:val="000E3948"/>
    <w:rsid w:val="000E41F0"/>
    <w:rsid w:val="000E4595"/>
    <w:rsid w:val="000E45B8"/>
    <w:rsid w:val="000E478A"/>
    <w:rsid w:val="000E4E7E"/>
    <w:rsid w:val="000E54B2"/>
    <w:rsid w:val="000E55C0"/>
    <w:rsid w:val="000E6995"/>
    <w:rsid w:val="000F0043"/>
    <w:rsid w:val="000F1028"/>
    <w:rsid w:val="000F32BC"/>
    <w:rsid w:val="000F397F"/>
    <w:rsid w:val="000F3B93"/>
    <w:rsid w:val="000F40BA"/>
    <w:rsid w:val="000F43EB"/>
    <w:rsid w:val="000F4885"/>
    <w:rsid w:val="000F53BD"/>
    <w:rsid w:val="000F5D4C"/>
    <w:rsid w:val="000F6A30"/>
    <w:rsid w:val="000F7931"/>
    <w:rsid w:val="000F7C55"/>
    <w:rsid w:val="00100233"/>
    <w:rsid w:val="00100C36"/>
    <w:rsid w:val="00101727"/>
    <w:rsid w:val="00101B32"/>
    <w:rsid w:val="0010269D"/>
    <w:rsid w:val="00102711"/>
    <w:rsid w:val="00102B16"/>
    <w:rsid w:val="00102B75"/>
    <w:rsid w:val="0010348F"/>
    <w:rsid w:val="001034A6"/>
    <w:rsid w:val="0010388D"/>
    <w:rsid w:val="00103D5A"/>
    <w:rsid w:val="00104C63"/>
    <w:rsid w:val="0010686F"/>
    <w:rsid w:val="0010717F"/>
    <w:rsid w:val="00107881"/>
    <w:rsid w:val="00107944"/>
    <w:rsid w:val="001106E1"/>
    <w:rsid w:val="0011175F"/>
    <w:rsid w:val="00111A85"/>
    <w:rsid w:val="0011312C"/>
    <w:rsid w:val="001139F7"/>
    <w:rsid w:val="00114253"/>
    <w:rsid w:val="00114844"/>
    <w:rsid w:val="00114E59"/>
    <w:rsid w:val="0011544C"/>
    <w:rsid w:val="00115C23"/>
    <w:rsid w:val="00115EA5"/>
    <w:rsid w:val="00116042"/>
    <w:rsid w:val="001161C6"/>
    <w:rsid w:val="00116772"/>
    <w:rsid w:val="00116AC0"/>
    <w:rsid w:val="00117558"/>
    <w:rsid w:val="0011780D"/>
    <w:rsid w:val="00117BB9"/>
    <w:rsid w:val="0012009A"/>
    <w:rsid w:val="001204FE"/>
    <w:rsid w:val="0012087C"/>
    <w:rsid w:val="00120B9F"/>
    <w:rsid w:val="00120E6A"/>
    <w:rsid w:val="0012216B"/>
    <w:rsid w:val="001223E2"/>
    <w:rsid w:val="0012259A"/>
    <w:rsid w:val="0012444B"/>
    <w:rsid w:val="00125976"/>
    <w:rsid w:val="00126A2C"/>
    <w:rsid w:val="00131D50"/>
    <w:rsid w:val="00131E0E"/>
    <w:rsid w:val="00132238"/>
    <w:rsid w:val="00132937"/>
    <w:rsid w:val="00133A8C"/>
    <w:rsid w:val="00133E96"/>
    <w:rsid w:val="00133F75"/>
    <w:rsid w:val="00134C03"/>
    <w:rsid w:val="001353A6"/>
    <w:rsid w:val="001361A9"/>
    <w:rsid w:val="00136235"/>
    <w:rsid w:val="00136A54"/>
    <w:rsid w:val="00136AE6"/>
    <w:rsid w:val="0014052A"/>
    <w:rsid w:val="00140691"/>
    <w:rsid w:val="00140BE5"/>
    <w:rsid w:val="0014127E"/>
    <w:rsid w:val="001421C2"/>
    <w:rsid w:val="001423AB"/>
    <w:rsid w:val="0014380F"/>
    <w:rsid w:val="00143C68"/>
    <w:rsid w:val="00143D98"/>
    <w:rsid w:val="00143E53"/>
    <w:rsid w:val="00145440"/>
    <w:rsid w:val="00145754"/>
    <w:rsid w:val="00145F94"/>
    <w:rsid w:val="00145FFF"/>
    <w:rsid w:val="0014656A"/>
    <w:rsid w:val="00146586"/>
    <w:rsid w:val="00147305"/>
    <w:rsid w:val="00147975"/>
    <w:rsid w:val="0015026F"/>
    <w:rsid w:val="00150892"/>
    <w:rsid w:val="0015124C"/>
    <w:rsid w:val="00151300"/>
    <w:rsid w:val="00151D0E"/>
    <w:rsid w:val="00152305"/>
    <w:rsid w:val="001525EC"/>
    <w:rsid w:val="001531A9"/>
    <w:rsid w:val="00153202"/>
    <w:rsid w:val="00153516"/>
    <w:rsid w:val="00153C46"/>
    <w:rsid w:val="001543A4"/>
    <w:rsid w:val="00155647"/>
    <w:rsid w:val="00155704"/>
    <w:rsid w:val="00155CB2"/>
    <w:rsid w:val="001568F0"/>
    <w:rsid w:val="00156C77"/>
    <w:rsid w:val="00157122"/>
    <w:rsid w:val="001571BF"/>
    <w:rsid w:val="001572C3"/>
    <w:rsid w:val="00157C3C"/>
    <w:rsid w:val="00160102"/>
    <w:rsid w:val="001601B3"/>
    <w:rsid w:val="00160649"/>
    <w:rsid w:val="0016070E"/>
    <w:rsid w:val="0016124F"/>
    <w:rsid w:val="00161436"/>
    <w:rsid w:val="001617A1"/>
    <w:rsid w:val="00161BB0"/>
    <w:rsid w:val="0016213C"/>
    <w:rsid w:val="00162310"/>
    <w:rsid w:val="001633E2"/>
    <w:rsid w:val="001642FC"/>
    <w:rsid w:val="00164ACB"/>
    <w:rsid w:val="00164B24"/>
    <w:rsid w:val="00164B39"/>
    <w:rsid w:val="00164C55"/>
    <w:rsid w:val="00164D37"/>
    <w:rsid w:val="00164F73"/>
    <w:rsid w:val="00165209"/>
    <w:rsid w:val="00165437"/>
    <w:rsid w:val="00165A0E"/>
    <w:rsid w:val="0016645A"/>
    <w:rsid w:val="00167185"/>
    <w:rsid w:val="00167E04"/>
    <w:rsid w:val="00167EB1"/>
    <w:rsid w:val="0017048B"/>
    <w:rsid w:val="00170FE6"/>
    <w:rsid w:val="001716C5"/>
    <w:rsid w:val="0017196C"/>
    <w:rsid w:val="00171C8D"/>
    <w:rsid w:val="00171F94"/>
    <w:rsid w:val="001720B1"/>
    <w:rsid w:val="00172A27"/>
    <w:rsid w:val="00173927"/>
    <w:rsid w:val="00173BC2"/>
    <w:rsid w:val="00174215"/>
    <w:rsid w:val="00174827"/>
    <w:rsid w:val="0017492B"/>
    <w:rsid w:val="00175156"/>
    <w:rsid w:val="00175800"/>
    <w:rsid w:val="001762C2"/>
    <w:rsid w:val="0017656B"/>
    <w:rsid w:val="00176F1C"/>
    <w:rsid w:val="0017768B"/>
    <w:rsid w:val="00180483"/>
    <w:rsid w:val="00180DC0"/>
    <w:rsid w:val="001816F7"/>
    <w:rsid w:val="00181C17"/>
    <w:rsid w:val="00182090"/>
    <w:rsid w:val="00182986"/>
    <w:rsid w:val="00182C2B"/>
    <w:rsid w:val="001834E5"/>
    <w:rsid w:val="00183B9A"/>
    <w:rsid w:val="00183E42"/>
    <w:rsid w:val="00183EFC"/>
    <w:rsid w:val="00184962"/>
    <w:rsid w:val="00186E9E"/>
    <w:rsid w:val="00187998"/>
    <w:rsid w:val="00187C13"/>
    <w:rsid w:val="00187D3D"/>
    <w:rsid w:val="00191153"/>
    <w:rsid w:val="00191B8A"/>
    <w:rsid w:val="00192F2B"/>
    <w:rsid w:val="0019303A"/>
    <w:rsid w:val="00193238"/>
    <w:rsid w:val="0019436B"/>
    <w:rsid w:val="001946B0"/>
    <w:rsid w:val="00194D99"/>
    <w:rsid w:val="00195327"/>
    <w:rsid w:val="00195BB9"/>
    <w:rsid w:val="00195F1C"/>
    <w:rsid w:val="00196050"/>
    <w:rsid w:val="00196479"/>
    <w:rsid w:val="00196F4A"/>
    <w:rsid w:val="001975C8"/>
    <w:rsid w:val="001978B8"/>
    <w:rsid w:val="001A00C0"/>
    <w:rsid w:val="001A0933"/>
    <w:rsid w:val="001A16D8"/>
    <w:rsid w:val="001A1907"/>
    <w:rsid w:val="001A1A8D"/>
    <w:rsid w:val="001A2AC9"/>
    <w:rsid w:val="001A3177"/>
    <w:rsid w:val="001A385A"/>
    <w:rsid w:val="001A3F47"/>
    <w:rsid w:val="001A4709"/>
    <w:rsid w:val="001A5246"/>
    <w:rsid w:val="001A54C0"/>
    <w:rsid w:val="001A55F5"/>
    <w:rsid w:val="001A565F"/>
    <w:rsid w:val="001A5EA4"/>
    <w:rsid w:val="001A6204"/>
    <w:rsid w:val="001A67DD"/>
    <w:rsid w:val="001A6E38"/>
    <w:rsid w:val="001A721C"/>
    <w:rsid w:val="001A73A5"/>
    <w:rsid w:val="001B0078"/>
    <w:rsid w:val="001B08C2"/>
    <w:rsid w:val="001B0A0D"/>
    <w:rsid w:val="001B135E"/>
    <w:rsid w:val="001B1E8E"/>
    <w:rsid w:val="001B2988"/>
    <w:rsid w:val="001B2B8F"/>
    <w:rsid w:val="001B5498"/>
    <w:rsid w:val="001B73EF"/>
    <w:rsid w:val="001B7435"/>
    <w:rsid w:val="001B754B"/>
    <w:rsid w:val="001B7A9A"/>
    <w:rsid w:val="001C126D"/>
    <w:rsid w:val="001C20C2"/>
    <w:rsid w:val="001C2180"/>
    <w:rsid w:val="001C28DD"/>
    <w:rsid w:val="001C2D8A"/>
    <w:rsid w:val="001C30A8"/>
    <w:rsid w:val="001C3889"/>
    <w:rsid w:val="001C39E2"/>
    <w:rsid w:val="001C45A6"/>
    <w:rsid w:val="001C4A21"/>
    <w:rsid w:val="001C4FCF"/>
    <w:rsid w:val="001C5B7F"/>
    <w:rsid w:val="001C5E29"/>
    <w:rsid w:val="001C66F0"/>
    <w:rsid w:val="001D00FF"/>
    <w:rsid w:val="001D07EE"/>
    <w:rsid w:val="001D1126"/>
    <w:rsid w:val="001D1635"/>
    <w:rsid w:val="001D1B5F"/>
    <w:rsid w:val="001D257B"/>
    <w:rsid w:val="001D280A"/>
    <w:rsid w:val="001D2EA7"/>
    <w:rsid w:val="001D33CB"/>
    <w:rsid w:val="001D3E7E"/>
    <w:rsid w:val="001D4ED3"/>
    <w:rsid w:val="001D6104"/>
    <w:rsid w:val="001D7F37"/>
    <w:rsid w:val="001E0888"/>
    <w:rsid w:val="001E08AC"/>
    <w:rsid w:val="001E2E15"/>
    <w:rsid w:val="001E3547"/>
    <w:rsid w:val="001E4177"/>
    <w:rsid w:val="001E41D3"/>
    <w:rsid w:val="001E424E"/>
    <w:rsid w:val="001E4491"/>
    <w:rsid w:val="001E46AC"/>
    <w:rsid w:val="001E59AD"/>
    <w:rsid w:val="001E70E4"/>
    <w:rsid w:val="001E764E"/>
    <w:rsid w:val="001F0973"/>
    <w:rsid w:val="001F18BC"/>
    <w:rsid w:val="001F2518"/>
    <w:rsid w:val="001F25C4"/>
    <w:rsid w:val="001F2B35"/>
    <w:rsid w:val="001F3AC3"/>
    <w:rsid w:val="001F3F32"/>
    <w:rsid w:val="001F4C8B"/>
    <w:rsid w:val="001F502E"/>
    <w:rsid w:val="001F5596"/>
    <w:rsid w:val="001F56B5"/>
    <w:rsid w:val="001F5AA5"/>
    <w:rsid w:val="001F5D09"/>
    <w:rsid w:val="001F611B"/>
    <w:rsid w:val="001F6DD6"/>
    <w:rsid w:val="001F777F"/>
    <w:rsid w:val="0020068B"/>
    <w:rsid w:val="00201E57"/>
    <w:rsid w:val="00203125"/>
    <w:rsid w:val="002034CD"/>
    <w:rsid w:val="0020361C"/>
    <w:rsid w:val="00203B3F"/>
    <w:rsid w:val="00204053"/>
    <w:rsid w:val="0020446D"/>
    <w:rsid w:val="002050AB"/>
    <w:rsid w:val="0020543A"/>
    <w:rsid w:val="002056BA"/>
    <w:rsid w:val="00206512"/>
    <w:rsid w:val="002072CF"/>
    <w:rsid w:val="002075C3"/>
    <w:rsid w:val="00207A15"/>
    <w:rsid w:val="00210778"/>
    <w:rsid w:val="002111E3"/>
    <w:rsid w:val="002113D1"/>
    <w:rsid w:val="002123FA"/>
    <w:rsid w:val="00212C1C"/>
    <w:rsid w:val="00213F98"/>
    <w:rsid w:val="002140BD"/>
    <w:rsid w:val="00214416"/>
    <w:rsid w:val="0021554B"/>
    <w:rsid w:val="00215FF9"/>
    <w:rsid w:val="002161A1"/>
    <w:rsid w:val="00216F6F"/>
    <w:rsid w:val="00217658"/>
    <w:rsid w:val="0022104E"/>
    <w:rsid w:val="00221498"/>
    <w:rsid w:val="00221529"/>
    <w:rsid w:val="00221D6D"/>
    <w:rsid w:val="00222671"/>
    <w:rsid w:val="00223947"/>
    <w:rsid w:val="00223CC6"/>
    <w:rsid w:val="00223DF4"/>
    <w:rsid w:val="002246F4"/>
    <w:rsid w:val="0022555F"/>
    <w:rsid w:val="002255EB"/>
    <w:rsid w:val="00225E4E"/>
    <w:rsid w:val="0022650F"/>
    <w:rsid w:val="00226800"/>
    <w:rsid w:val="0023284D"/>
    <w:rsid w:val="00232D72"/>
    <w:rsid w:val="0023383D"/>
    <w:rsid w:val="00233DB3"/>
    <w:rsid w:val="00233F41"/>
    <w:rsid w:val="00233F99"/>
    <w:rsid w:val="002341AB"/>
    <w:rsid w:val="00234F6F"/>
    <w:rsid w:val="00236BE8"/>
    <w:rsid w:val="00236E28"/>
    <w:rsid w:val="00237627"/>
    <w:rsid w:val="0023779B"/>
    <w:rsid w:val="00240A82"/>
    <w:rsid w:val="00240AFA"/>
    <w:rsid w:val="00240E70"/>
    <w:rsid w:val="0024301B"/>
    <w:rsid w:val="002436C0"/>
    <w:rsid w:val="00244697"/>
    <w:rsid w:val="00244A63"/>
    <w:rsid w:val="0024527E"/>
    <w:rsid w:val="0024550D"/>
    <w:rsid w:val="00245AFC"/>
    <w:rsid w:val="00245E5C"/>
    <w:rsid w:val="00245FB5"/>
    <w:rsid w:val="00246548"/>
    <w:rsid w:val="00246D33"/>
    <w:rsid w:val="00247100"/>
    <w:rsid w:val="00247A2E"/>
    <w:rsid w:val="00247C61"/>
    <w:rsid w:val="00247DF3"/>
    <w:rsid w:val="0025069C"/>
    <w:rsid w:val="00250889"/>
    <w:rsid w:val="00251BD0"/>
    <w:rsid w:val="00252C91"/>
    <w:rsid w:val="00252F53"/>
    <w:rsid w:val="00253110"/>
    <w:rsid w:val="00254E9E"/>
    <w:rsid w:val="0025622D"/>
    <w:rsid w:val="002575BB"/>
    <w:rsid w:val="00257967"/>
    <w:rsid w:val="00257FB5"/>
    <w:rsid w:val="00260A57"/>
    <w:rsid w:val="002611C7"/>
    <w:rsid w:val="00261536"/>
    <w:rsid w:val="002621B7"/>
    <w:rsid w:val="00262474"/>
    <w:rsid w:val="0026287B"/>
    <w:rsid w:val="00262FAF"/>
    <w:rsid w:val="002638A0"/>
    <w:rsid w:val="0026494F"/>
    <w:rsid w:val="0026552A"/>
    <w:rsid w:val="00265F0B"/>
    <w:rsid w:val="002702BB"/>
    <w:rsid w:val="00270A0D"/>
    <w:rsid w:val="00270B92"/>
    <w:rsid w:val="00271866"/>
    <w:rsid w:val="002730C4"/>
    <w:rsid w:val="00273525"/>
    <w:rsid w:val="002743CA"/>
    <w:rsid w:val="0027468C"/>
    <w:rsid w:val="002746F5"/>
    <w:rsid w:val="00274BB8"/>
    <w:rsid w:val="002752FA"/>
    <w:rsid w:val="002758C9"/>
    <w:rsid w:val="002759E7"/>
    <w:rsid w:val="002763BA"/>
    <w:rsid w:val="002765AC"/>
    <w:rsid w:val="0027678C"/>
    <w:rsid w:val="002767FA"/>
    <w:rsid w:val="00276BFB"/>
    <w:rsid w:val="002771A4"/>
    <w:rsid w:val="002774C6"/>
    <w:rsid w:val="00277D29"/>
    <w:rsid w:val="00281682"/>
    <w:rsid w:val="00281FD2"/>
    <w:rsid w:val="002825D0"/>
    <w:rsid w:val="00282812"/>
    <w:rsid w:val="00282913"/>
    <w:rsid w:val="00283D06"/>
    <w:rsid w:val="00284152"/>
    <w:rsid w:val="002855CF"/>
    <w:rsid w:val="00285661"/>
    <w:rsid w:val="00285AA7"/>
    <w:rsid w:val="00286A92"/>
    <w:rsid w:val="002877F4"/>
    <w:rsid w:val="00287C65"/>
    <w:rsid w:val="002918DC"/>
    <w:rsid w:val="00291996"/>
    <w:rsid w:val="00291D56"/>
    <w:rsid w:val="00291D83"/>
    <w:rsid w:val="00292030"/>
    <w:rsid w:val="002921DD"/>
    <w:rsid w:val="00292512"/>
    <w:rsid w:val="002928A1"/>
    <w:rsid w:val="0029297B"/>
    <w:rsid w:val="00292A18"/>
    <w:rsid w:val="00292DBA"/>
    <w:rsid w:val="0029364C"/>
    <w:rsid w:val="00293655"/>
    <w:rsid w:val="00293841"/>
    <w:rsid w:val="002943B6"/>
    <w:rsid w:val="002956ED"/>
    <w:rsid w:val="00295D3C"/>
    <w:rsid w:val="00295E73"/>
    <w:rsid w:val="0029600D"/>
    <w:rsid w:val="002962B2"/>
    <w:rsid w:val="00297224"/>
    <w:rsid w:val="002976D1"/>
    <w:rsid w:val="00297F5F"/>
    <w:rsid w:val="002A0AF6"/>
    <w:rsid w:val="002A15B5"/>
    <w:rsid w:val="002A1C3D"/>
    <w:rsid w:val="002A3246"/>
    <w:rsid w:val="002A37F6"/>
    <w:rsid w:val="002A3B3F"/>
    <w:rsid w:val="002A3DEA"/>
    <w:rsid w:val="002A45BD"/>
    <w:rsid w:val="002A4F1D"/>
    <w:rsid w:val="002A5A5E"/>
    <w:rsid w:val="002A5CB2"/>
    <w:rsid w:val="002A6021"/>
    <w:rsid w:val="002A6BAC"/>
    <w:rsid w:val="002A7E3E"/>
    <w:rsid w:val="002B1420"/>
    <w:rsid w:val="002B171E"/>
    <w:rsid w:val="002B2986"/>
    <w:rsid w:val="002B2C59"/>
    <w:rsid w:val="002B2F84"/>
    <w:rsid w:val="002B4296"/>
    <w:rsid w:val="002B4306"/>
    <w:rsid w:val="002B463E"/>
    <w:rsid w:val="002B464A"/>
    <w:rsid w:val="002B4721"/>
    <w:rsid w:val="002B4DDD"/>
    <w:rsid w:val="002B50A0"/>
    <w:rsid w:val="002B5C96"/>
    <w:rsid w:val="002B5E09"/>
    <w:rsid w:val="002B6A63"/>
    <w:rsid w:val="002B786D"/>
    <w:rsid w:val="002B7CFF"/>
    <w:rsid w:val="002C0572"/>
    <w:rsid w:val="002C1485"/>
    <w:rsid w:val="002C1AFF"/>
    <w:rsid w:val="002C269C"/>
    <w:rsid w:val="002C28DE"/>
    <w:rsid w:val="002C34AA"/>
    <w:rsid w:val="002C3562"/>
    <w:rsid w:val="002C4488"/>
    <w:rsid w:val="002C493F"/>
    <w:rsid w:val="002C51D1"/>
    <w:rsid w:val="002C5495"/>
    <w:rsid w:val="002C6097"/>
    <w:rsid w:val="002C6158"/>
    <w:rsid w:val="002C6BA9"/>
    <w:rsid w:val="002C7665"/>
    <w:rsid w:val="002C7F86"/>
    <w:rsid w:val="002D06C7"/>
    <w:rsid w:val="002D0B49"/>
    <w:rsid w:val="002D0FDA"/>
    <w:rsid w:val="002D1825"/>
    <w:rsid w:val="002D1C41"/>
    <w:rsid w:val="002D1F2F"/>
    <w:rsid w:val="002D32FB"/>
    <w:rsid w:val="002D3368"/>
    <w:rsid w:val="002D3671"/>
    <w:rsid w:val="002D3EB1"/>
    <w:rsid w:val="002D407F"/>
    <w:rsid w:val="002D494D"/>
    <w:rsid w:val="002D654B"/>
    <w:rsid w:val="002D670D"/>
    <w:rsid w:val="002E010F"/>
    <w:rsid w:val="002E03B2"/>
    <w:rsid w:val="002E051E"/>
    <w:rsid w:val="002E11E5"/>
    <w:rsid w:val="002E156A"/>
    <w:rsid w:val="002E158C"/>
    <w:rsid w:val="002E18A0"/>
    <w:rsid w:val="002E1B50"/>
    <w:rsid w:val="002E2C23"/>
    <w:rsid w:val="002E3044"/>
    <w:rsid w:val="002E352C"/>
    <w:rsid w:val="002E3FCE"/>
    <w:rsid w:val="002E5478"/>
    <w:rsid w:val="002E5DB2"/>
    <w:rsid w:val="002E6620"/>
    <w:rsid w:val="002E69C7"/>
    <w:rsid w:val="002E6AA9"/>
    <w:rsid w:val="002E6AF0"/>
    <w:rsid w:val="002E7110"/>
    <w:rsid w:val="002E73C7"/>
    <w:rsid w:val="002E74DC"/>
    <w:rsid w:val="002E7A79"/>
    <w:rsid w:val="002E7F24"/>
    <w:rsid w:val="002F0193"/>
    <w:rsid w:val="002F0A2F"/>
    <w:rsid w:val="002F0EBA"/>
    <w:rsid w:val="002F1045"/>
    <w:rsid w:val="002F123E"/>
    <w:rsid w:val="002F15FC"/>
    <w:rsid w:val="002F1B94"/>
    <w:rsid w:val="002F2A27"/>
    <w:rsid w:val="002F2C1A"/>
    <w:rsid w:val="002F3454"/>
    <w:rsid w:val="002F446C"/>
    <w:rsid w:val="002F48F1"/>
    <w:rsid w:val="002F525A"/>
    <w:rsid w:val="002F63F7"/>
    <w:rsid w:val="002F673E"/>
    <w:rsid w:val="002F6A83"/>
    <w:rsid w:val="002F6C21"/>
    <w:rsid w:val="002F77CC"/>
    <w:rsid w:val="002F784D"/>
    <w:rsid w:val="002F79BD"/>
    <w:rsid w:val="002F7AE1"/>
    <w:rsid w:val="00300AFD"/>
    <w:rsid w:val="00300DB7"/>
    <w:rsid w:val="0030136E"/>
    <w:rsid w:val="00301CB4"/>
    <w:rsid w:val="00302DFC"/>
    <w:rsid w:val="00303698"/>
    <w:rsid w:val="00303ADC"/>
    <w:rsid w:val="00304059"/>
    <w:rsid w:val="00304365"/>
    <w:rsid w:val="003057E9"/>
    <w:rsid w:val="003060EE"/>
    <w:rsid w:val="00306620"/>
    <w:rsid w:val="0030793E"/>
    <w:rsid w:val="00307A8B"/>
    <w:rsid w:val="00307EA1"/>
    <w:rsid w:val="003117F4"/>
    <w:rsid w:val="00312163"/>
    <w:rsid w:val="003139BB"/>
    <w:rsid w:val="00313E9A"/>
    <w:rsid w:val="0031504C"/>
    <w:rsid w:val="00315844"/>
    <w:rsid w:val="00315F6E"/>
    <w:rsid w:val="00316239"/>
    <w:rsid w:val="00316254"/>
    <w:rsid w:val="00316417"/>
    <w:rsid w:val="00316447"/>
    <w:rsid w:val="00317CAD"/>
    <w:rsid w:val="00320CF1"/>
    <w:rsid w:val="00320F73"/>
    <w:rsid w:val="00321191"/>
    <w:rsid w:val="00321801"/>
    <w:rsid w:val="003218C7"/>
    <w:rsid w:val="00321998"/>
    <w:rsid w:val="00321DED"/>
    <w:rsid w:val="003223D7"/>
    <w:rsid w:val="00323321"/>
    <w:rsid w:val="00323A38"/>
    <w:rsid w:val="003247E0"/>
    <w:rsid w:val="0032632F"/>
    <w:rsid w:val="0032639C"/>
    <w:rsid w:val="00326773"/>
    <w:rsid w:val="00326B01"/>
    <w:rsid w:val="00326F15"/>
    <w:rsid w:val="0032712C"/>
    <w:rsid w:val="003279A9"/>
    <w:rsid w:val="003302F6"/>
    <w:rsid w:val="003304BD"/>
    <w:rsid w:val="0033150C"/>
    <w:rsid w:val="00332572"/>
    <w:rsid w:val="0033258E"/>
    <w:rsid w:val="003333BA"/>
    <w:rsid w:val="0033380F"/>
    <w:rsid w:val="00333D73"/>
    <w:rsid w:val="00333E84"/>
    <w:rsid w:val="00333EE8"/>
    <w:rsid w:val="003341F3"/>
    <w:rsid w:val="00334986"/>
    <w:rsid w:val="003358B1"/>
    <w:rsid w:val="00335ECB"/>
    <w:rsid w:val="00336829"/>
    <w:rsid w:val="00336F8D"/>
    <w:rsid w:val="003371DE"/>
    <w:rsid w:val="00337571"/>
    <w:rsid w:val="003407A5"/>
    <w:rsid w:val="00340972"/>
    <w:rsid w:val="003409E6"/>
    <w:rsid w:val="003417A7"/>
    <w:rsid w:val="00342562"/>
    <w:rsid w:val="003426EC"/>
    <w:rsid w:val="00342EDC"/>
    <w:rsid w:val="0034355C"/>
    <w:rsid w:val="00343B56"/>
    <w:rsid w:val="00344356"/>
    <w:rsid w:val="00344E1D"/>
    <w:rsid w:val="00345FA2"/>
    <w:rsid w:val="003463BF"/>
    <w:rsid w:val="00346517"/>
    <w:rsid w:val="00346F75"/>
    <w:rsid w:val="00347049"/>
    <w:rsid w:val="0035036B"/>
    <w:rsid w:val="003509DD"/>
    <w:rsid w:val="00350E65"/>
    <w:rsid w:val="00350FE4"/>
    <w:rsid w:val="003510D1"/>
    <w:rsid w:val="00351CD1"/>
    <w:rsid w:val="003521C6"/>
    <w:rsid w:val="00352531"/>
    <w:rsid w:val="00352883"/>
    <w:rsid w:val="003529B9"/>
    <w:rsid w:val="00352A74"/>
    <w:rsid w:val="003530DD"/>
    <w:rsid w:val="0035340B"/>
    <w:rsid w:val="00353A39"/>
    <w:rsid w:val="00353C2C"/>
    <w:rsid w:val="00354F72"/>
    <w:rsid w:val="00355668"/>
    <w:rsid w:val="003559F7"/>
    <w:rsid w:val="00355B0A"/>
    <w:rsid w:val="00356D6E"/>
    <w:rsid w:val="0035760F"/>
    <w:rsid w:val="003578FC"/>
    <w:rsid w:val="00357A5C"/>
    <w:rsid w:val="00360F24"/>
    <w:rsid w:val="00362003"/>
    <w:rsid w:val="00362619"/>
    <w:rsid w:val="003629EA"/>
    <w:rsid w:val="00362A11"/>
    <w:rsid w:val="00363365"/>
    <w:rsid w:val="00364DB5"/>
    <w:rsid w:val="003654D9"/>
    <w:rsid w:val="00366044"/>
    <w:rsid w:val="00366B82"/>
    <w:rsid w:val="003707BD"/>
    <w:rsid w:val="0037262E"/>
    <w:rsid w:val="00372C39"/>
    <w:rsid w:val="00373D22"/>
    <w:rsid w:val="00374B60"/>
    <w:rsid w:val="00380066"/>
    <w:rsid w:val="00380744"/>
    <w:rsid w:val="00380E79"/>
    <w:rsid w:val="003810C1"/>
    <w:rsid w:val="00382074"/>
    <w:rsid w:val="0038216B"/>
    <w:rsid w:val="00382B18"/>
    <w:rsid w:val="003834EA"/>
    <w:rsid w:val="00383C28"/>
    <w:rsid w:val="00384D20"/>
    <w:rsid w:val="00384DD1"/>
    <w:rsid w:val="003879C8"/>
    <w:rsid w:val="003902CF"/>
    <w:rsid w:val="00390B43"/>
    <w:rsid w:val="00390C7B"/>
    <w:rsid w:val="003930BA"/>
    <w:rsid w:val="003937F5"/>
    <w:rsid w:val="0039419A"/>
    <w:rsid w:val="00394206"/>
    <w:rsid w:val="003942B5"/>
    <w:rsid w:val="00394975"/>
    <w:rsid w:val="0039737E"/>
    <w:rsid w:val="003A0373"/>
    <w:rsid w:val="003A21B5"/>
    <w:rsid w:val="003A225A"/>
    <w:rsid w:val="003A2C1E"/>
    <w:rsid w:val="003A34E1"/>
    <w:rsid w:val="003A3B0B"/>
    <w:rsid w:val="003A3B16"/>
    <w:rsid w:val="003A3B82"/>
    <w:rsid w:val="003A5007"/>
    <w:rsid w:val="003A50C9"/>
    <w:rsid w:val="003A52A2"/>
    <w:rsid w:val="003A564B"/>
    <w:rsid w:val="003A5D47"/>
    <w:rsid w:val="003A6B21"/>
    <w:rsid w:val="003A6FBC"/>
    <w:rsid w:val="003A7116"/>
    <w:rsid w:val="003B02C4"/>
    <w:rsid w:val="003B0497"/>
    <w:rsid w:val="003B0BD3"/>
    <w:rsid w:val="003B1B30"/>
    <w:rsid w:val="003B1CE5"/>
    <w:rsid w:val="003B25B3"/>
    <w:rsid w:val="003B304E"/>
    <w:rsid w:val="003B309A"/>
    <w:rsid w:val="003B3FDC"/>
    <w:rsid w:val="003B4132"/>
    <w:rsid w:val="003B459C"/>
    <w:rsid w:val="003B476F"/>
    <w:rsid w:val="003B4CEC"/>
    <w:rsid w:val="003B4E14"/>
    <w:rsid w:val="003B53FF"/>
    <w:rsid w:val="003B5631"/>
    <w:rsid w:val="003B5990"/>
    <w:rsid w:val="003B6EC7"/>
    <w:rsid w:val="003C02BF"/>
    <w:rsid w:val="003C0EDC"/>
    <w:rsid w:val="003C0F2F"/>
    <w:rsid w:val="003C175C"/>
    <w:rsid w:val="003C2105"/>
    <w:rsid w:val="003C2149"/>
    <w:rsid w:val="003C225E"/>
    <w:rsid w:val="003C2C23"/>
    <w:rsid w:val="003C3065"/>
    <w:rsid w:val="003C337C"/>
    <w:rsid w:val="003C37FB"/>
    <w:rsid w:val="003C4227"/>
    <w:rsid w:val="003C447F"/>
    <w:rsid w:val="003C5DFF"/>
    <w:rsid w:val="003C7001"/>
    <w:rsid w:val="003C7D07"/>
    <w:rsid w:val="003C7D98"/>
    <w:rsid w:val="003C7EA7"/>
    <w:rsid w:val="003D0C20"/>
    <w:rsid w:val="003D0D9B"/>
    <w:rsid w:val="003D179A"/>
    <w:rsid w:val="003D1935"/>
    <w:rsid w:val="003D3566"/>
    <w:rsid w:val="003D3B13"/>
    <w:rsid w:val="003D3D79"/>
    <w:rsid w:val="003D4381"/>
    <w:rsid w:val="003D4423"/>
    <w:rsid w:val="003D4A54"/>
    <w:rsid w:val="003D4ADC"/>
    <w:rsid w:val="003D4D59"/>
    <w:rsid w:val="003D4E77"/>
    <w:rsid w:val="003D4FDC"/>
    <w:rsid w:val="003E00AD"/>
    <w:rsid w:val="003E107B"/>
    <w:rsid w:val="003E10AB"/>
    <w:rsid w:val="003E248D"/>
    <w:rsid w:val="003E24F5"/>
    <w:rsid w:val="003E3EA4"/>
    <w:rsid w:val="003E4B1F"/>
    <w:rsid w:val="003E4E9A"/>
    <w:rsid w:val="003E4FB4"/>
    <w:rsid w:val="003E5FB0"/>
    <w:rsid w:val="003E7092"/>
    <w:rsid w:val="003E7A0A"/>
    <w:rsid w:val="003E7C9F"/>
    <w:rsid w:val="003F2075"/>
    <w:rsid w:val="003F253D"/>
    <w:rsid w:val="003F290B"/>
    <w:rsid w:val="003F2F8C"/>
    <w:rsid w:val="003F47D6"/>
    <w:rsid w:val="003F4C1A"/>
    <w:rsid w:val="003F5CCB"/>
    <w:rsid w:val="003F7E2A"/>
    <w:rsid w:val="00400211"/>
    <w:rsid w:val="00400F46"/>
    <w:rsid w:val="00402154"/>
    <w:rsid w:val="00403825"/>
    <w:rsid w:val="0040439F"/>
    <w:rsid w:val="004055CC"/>
    <w:rsid w:val="00405CEC"/>
    <w:rsid w:val="0040682B"/>
    <w:rsid w:val="00406958"/>
    <w:rsid w:val="00406FD0"/>
    <w:rsid w:val="004100E0"/>
    <w:rsid w:val="00410627"/>
    <w:rsid w:val="0041072A"/>
    <w:rsid w:val="00410A55"/>
    <w:rsid w:val="0041116D"/>
    <w:rsid w:val="004112D2"/>
    <w:rsid w:val="004112E7"/>
    <w:rsid w:val="00411430"/>
    <w:rsid w:val="00412073"/>
    <w:rsid w:val="00413275"/>
    <w:rsid w:val="00413F82"/>
    <w:rsid w:val="00414275"/>
    <w:rsid w:val="004142F0"/>
    <w:rsid w:val="0041431F"/>
    <w:rsid w:val="004143D9"/>
    <w:rsid w:val="004144DB"/>
    <w:rsid w:val="004145E7"/>
    <w:rsid w:val="00415091"/>
    <w:rsid w:val="00416173"/>
    <w:rsid w:val="00416259"/>
    <w:rsid w:val="00416531"/>
    <w:rsid w:val="00417FE6"/>
    <w:rsid w:val="0042086E"/>
    <w:rsid w:val="00420890"/>
    <w:rsid w:val="00420A26"/>
    <w:rsid w:val="004217B4"/>
    <w:rsid w:val="00421A9E"/>
    <w:rsid w:val="004225E5"/>
    <w:rsid w:val="00422864"/>
    <w:rsid w:val="00422B70"/>
    <w:rsid w:val="004235F0"/>
    <w:rsid w:val="00423E53"/>
    <w:rsid w:val="0042484B"/>
    <w:rsid w:val="00424B34"/>
    <w:rsid w:val="004252D9"/>
    <w:rsid w:val="00425B9E"/>
    <w:rsid w:val="00426015"/>
    <w:rsid w:val="004263B4"/>
    <w:rsid w:val="004265A9"/>
    <w:rsid w:val="00427520"/>
    <w:rsid w:val="004276EF"/>
    <w:rsid w:val="0043053B"/>
    <w:rsid w:val="00430B7B"/>
    <w:rsid w:val="00430D11"/>
    <w:rsid w:val="00432B0A"/>
    <w:rsid w:val="00432D53"/>
    <w:rsid w:val="00433631"/>
    <w:rsid w:val="00433633"/>
    <w:rsid w:val="00434340"/>
    <w:rsid w:val="0043449E"/>
    <w:rsid w:val="00434DA0"/>
    <w:rsid w:val="00435E5E"/>
    <w:rsid w:val="0043619E"/>
    <w:rsid w:val="004361E1"/>
    <w:rsid w:val="00436911"/>
    <w:rsid w:val="00436C86"/>
    <w:rsid w:val="00436E5D"/>
    <w:rsid w:val="00436E85"/>
    <w:rsid w:val="0043701D"/>
    <w:rsid w:val="004404D3"/>
    <w:rsid w:val="00440A9E"/>
    <w:rsid w:val="00440ADC"/>
    <w:rsid w:val="004417FD"/>
    <w:rsid w:val="004419FF"/>
    <w:rsid w:val="00442FD1"/>
    <w:rsid w:val="00443126"/>
    <w:rsid w:val="00443969"/>
    <w:rsid w:val="0044398C"/>
    <w:rsid w:val="00444EA9"/>
    <w:rsid w:val="00444EF7"/>
    <w:rsid w:val="00445712"/>
    <w:rsid w:val="00445946"/>
    <w:rsid w:val="00445EB6"/>
    <w:rsid w:val="00446193"/>
    <w:rsid w:val="00446D6F"/>
    <w:rsid w:val="00447543"/>
    <w:rsid w:val="004506F7"/>
    <w:rsid w:val="00450FFC"/>
    <w:rsid w:val="004514BA"/>
    <w:rsid w:val="00451C71"/>
    <w:rsid w:val="00451D18"/>
    <w:rsid w:val="004529AC"/>
    <w:rsid w:val="00452C7A"/>
    <w:rsid w:val="004541BE"/>
    <w:rsid w:val="00454438"/>
    <w:rsid w:val="00455FB8"/>
    <w:rsid w:val="004561B5"/>
    <w:rsid w:val="004566E8"/>
    <w:rsid w:val="00456DD4"/>
    <w:rsid w:val="004570C1"/>
    <w:rsid w:val="00457495"/>
    <w:rsid w:val="004574D2"/>
    <w:rsid w:val="00457893"/>
    <w:rsid w:val="00457B3C"/>
    <w:rsid w:val="00462797"/>
    <w:rsid w:val="00462BC4"/>
    <w:rsid w:val="00462CA7"/>
    <w:rsid w:val="004638AE"/>
    <w:rsid w:val="00463A20"/>
    <w:rsid w:val="004641B4"/>
    <w:rsid w:val="004643CB"/>
    <w:rsid w:val="00465A68"/>
    <w:rsid w:val="0046614A"/>
    <w:rsid w:val="00467A61"/>
    <w:rsid w:val="00467A86"/>
    <w:rsid w:val="00467D33"/>
    <w:rsid w:val="00471176"/>
    <w:rsid w:val="004711FA"/>
    <w:rsid w:val="00471355"/>
    <w:rsid w:val="0047149E"/>
    <w:rsid w:val="0047173E"/>
    <w:rsid w:val="00471DE3"/>
    <w:rsid w:val="00471F6E"/>
    <w:rsid w:val="004728E1"/>
    <w:rsid w:val="004736EF"/>
    <w:rsid w:val="00473DCB"/>
    <w:rsid w:val="0047496D"/>
    <w:rsid w:val="0047599C"/>
    <w:rsid w:val="0047652D"/>
    <w:rsid w:val="00476741"/>
    <w:rsid w:val="00476991"/>
    <w:rsid w:val="00476EAE"/>
    <w:rsid w:val="00476FFE"/>
    <w:rsid w:val="00477947"/>
    <w:rsid w:val="00477A17"/>
    <w:rsid w:val="00477B82"/>
    <w:rsid w:val="004800F9"/>
    <w:rsid w:val="0048013E"/>
    <w:rsid w:val="004805D5"/>
    <w:rsid w:val="00481259"/>
    <w:rsid w:val="00481386"/>
    <w:rsid w:val="00481E82"/>
    <w:rsid w:val="00482241"/>
    <w:rsid w:val="00482FE1"/>
    <w:rsid w:val="0048303A"/>
    <w:rsid w:val="00483C2C"/>
    <w:rsid w:val="0048445D"/>
    <w:rsid w:val="00484A78"/>
    <w:rsid w:val="004852EA"/>
    <w:rsid w:val="00485381"/>
    <w:rsid w:val="00485ED2"/>
    <w:rsid w:val="00486140"/>
    <w:rsid w:val="004866BC"/>
    <w:rsid w:val="00486B36"/>
    <w:rsid w:val="00486D60"/>
    <w:rsid w:val="00486F9A"/>
    <w:rsid w:val="00490420"/>
    <w:rsid w:val="00491180"/>
    <w:rsid w:val="00491295"/>
    <w:rsid w:val="004912A6"/>
    <w:rsid w:val="00491881"/>
    <w:rsid w:val="0049224A"/>
    <w:rsid w:val="0049261A"/>
    <w:rsid w:val="00492823"/>
    <w:rsid w:val="00492E57"/>
    <w:rsid w:val="0049376C"/>
    <w:rsid w:val="00494EEA"/>
    <w:rsid w:val="00494F25"/>
    <w:rsid w:val="0049535A"/>
    <w:rsid w:val="00496A5E"/>
    <w:rsid w:val="004975F9"/>
    <w:rsid w:val="004A27CB"/>
    <w:rsid w:val="004A2EF2"/>
    <w:rsid w:val="004A30CB"/>
    <w:rsid w:val="004A31F2"/>
    <w:rsid w:val="004A423A"/>
    <w:rsid w:val="004A4539"/>
    <w:rsid w:val="004A46C3"/>
    <w:rsid w:val="004A501E"/>
    <w:rsid w:val="004A5D26"/>
    <w:rsid w:val="004A6B76"/>
    <w:rsid w:val="004A70D0"/>
    <w:rsid w:val="004A72A3"/>
    <w:rsid w:val="004B14D7"/>
    <w:rsid w:val="004B2137"/>
    <w:rsid w:val="004B2C6C"/>
    <w:rsid w:val="004B4637"/>
    <w:rsid w:val="004B46FE"/>
    <w:rsid w:val="004B4AED"/>
    <w:rsid w:val="004B4F11"/>
    <w:rsid w:val="004B5A05"/>
    <w:rsid w:val="004B6157"/>
    <w:rsid w:val="004B61E8"/>
    <w:rsid w:val="004B6488"/>
    <w:rsid w:val="004B6E5C"/>
    <w:rsid w:val="004B708A"/>
    <w:rsid w:val="004B7659"/>
    <w:rsid w:val="004B7907"/>
    <w:rsid w:val="004B7D52"/>
    <w:rsid w:val="004B7EB0"/>
    <w:rsid w:val="004C0518"/>
    <w:rsid w:val="004C0F0C"/>
    <w:rsid w:val="004C1AD3"/>
    <w:rsid w:val="004C1C8D"/>
    <w:rsid w:val="004C2E6F"/>
    <w:rsid w:val="004C33FD"/>
    <w:rsid w:val="004C3697"/>
    <w:rsid w:val="004C3976"/>
    <w:rsid w:val="004C3AA3"/>
    <w:rsid w:val="004C4065"/>
    <w:rsid w:val="004C51F6"/>
    <w:rsid w:val="004C624C"/>
    <w:rsid w:val="004C7803"/>
    <w:rsid w:val="004C785E"/>
    <w:rsid w:val="004C797F"/>
    <w:rsid w:val="004D0CF4"/>
    <w:rsid w:val="004D166C"/>
    <w:rsid w:val="004D1843"/>
    <w:rsid w:val="004D1D65"/>
    <w:rsid w:val="004D1F00"/>
    <w:rsid w:val="004D1F1A"/>
    <w:rsid w:val="004D2864"/>
    <w:rsid w:val="004D2A94"/>
    <w:rsid w:val="004D33C3"/>
    <w:rsid w:val="004D3A5F"/>
    <w:rsid w:val="004D489D"/>
    <w:rsid w:val="004D4938"/>
    <w:rsid w:val="004D547B"/>
    <w:rsid w:val="004E003E"/>
    <w:rsid w:val="004E067F"/>
    <w:rsid w:val="004E1098"/>
    <w:rsid w:val="004E10FF"/>
    <w:rsid w:val="004E16BF"/>
    <w:rsid w:val="004E1BA7"/>
    <w:rsid w:val="004E1F19"/>
    <w:rsid w:val="004E2131"/>
    <w:rsid w:val="004E2187"/>
    <w:rsid w:val="004E28FD"/>
    <w:rsid w:val="004E2EF9"/>
    <w:rsid w:val="004E30F8"/>
    <w:rsid w:val="004E30FB"/>
    <w:rsid w:val="004E3139"/>
    <w:rsid w:val="004E3FDB"/>
    <w:rsid w:val="004E4016"/>
    <w:rsid w:val="004E4A11"/>
    <w:rsid w:val="004E5073"/>
    <w:rsid w:val="004E514C"/>
    <w:rsid w:val="004E5363"/>
    <w:rsid w:val="004E5568"/>
    <w:rsid w:val="004E5997"/>
    <w:rsid w:val="004E5D2B"/>
    <w:rsid w:val="004E5D9F"/>
    <w:rsid w:val="004E5EEC"/>
    <w:rsid w:val="004E6645"/>
    <w:rsid w:val="004E7195"/>
    <w:rsid w:val="004E753C"/>
    <w:rsid w:val="004F0624"/>
    <w:rsid w:val="004F0786"/>
    <w:rsid w:val="004F134E"/>
    <w:rsid w:val="004F2376"/>
    <w:rsid w:val="004F322F"/>
    <w:rsid w:val="004F3418"/>
    <w:rsid w:val="004F37AE"/>
    <w:rsid w:val="004F3839"/>
    <w:rsid w:val="004F4108"/>
    <w:rsid w:val="004F4414"/>
    <w:rsid w:val="004F4840"/>
    <w:rsid w:val="004F5161"/>
    <w:rsid w:val="004F518B"/>
    <w:rsid w:val="004F5251"/>
    <w:rsid w:val="004F592C"/>
    <w:rsid w:val="004F5E28"/>
    <w:rsid w:val="004F5FD9"/>
    <w:rsid w:val="004F612D"/>
    <w:rsid w:val="004F6C1D"/>
    <w:rsid w:val="004F6D33"/>
    <w:rsid w:val="004F6E42"/>
    <w:rsid w:val="004F7447"/>
    <w:rsid w:val="004F76F6"/>
    <w:rsid w:val="004F79D7"/>
    <w:rsid w:val="00500475"/>
    <w:rsid w:val="005004A5"/>
    <w:rsid w:val="005010F5"/>
    <w:rsid w:val="00501AC6"/>
    <w:rsid w:val="00501D18"/>
    <w:rsid w:val="00501DEC"/>
    <w:rsid w:val="00501E56"/>
    <w:rsid w:val="00501EA7"/>
    <w:rsid w:val="00502832"/>
    <w:rsid w:val="00502B36"/>
    <w:rsid w:val="00502FE7"/>
    <w:rsid w:val="00503752"/>
    <w:rsid w:val="00504BC4"/>
    <w:rsid w:val="0050529C"/>
    <w:rsid w:val="005054C4"/>
    <w:rsid w:val="00505E36"/>
    <w:rsid w:val="005066BE"/>
    <w:rsid w:val="00506A57"/>
    <w:rsid w:val="00507404"/>
    <w:rsid w:val="00512490"/>
    <w:rsid w:val="005124B7"/>
    <w:rsid w:val="00512B49"/>
    <w:rsid w:val="00513355"/>
    <w:rsid w:val="00513BDB"/>
    <w:rsid w:val="0051528D"/>
    <w:rsid w:val="005156A6"/>
    <w:rsid w:val="005159C3"/>
    <w:rsid w:val="00515E33"/>
    <w:rsid w:val="00516224"/>
    <w:rsid w:val="00516282"/>
    <w:rsid w:val="00516E83"/>
    <w:rsid w:val="0051727A"/>
    <w:rsid w:val="00517D0E"/>
    <w:rsid w:val="00520A6F"/>
    <w:rsid w:val="00521416"/>
    <w:rsid w:val="005234A3"/>
    <w:rsid w:val="005237B9"/>
    <w:rsid w:val="00524684"/>
    <w:rsid w:val="00524C7B"/>
    <w:rsid w:val="005269CC"/>
    <w:rsid w:val="00527FBE"/>
    <w:rsid w:val="00530BE0"/>
    <w:rsid w:val="0053132E"/>
    <w:rsid w:val="00531F15"/>
    <w:rsid w:val="0053289B"/>
    <w:rsid w:val="00532FB3"/>
    <w:rsid w:val="005336C2"/>
    <w:rsid w:val="00533922"/>
    <w:rsid w:val="00533B2C"/>
    <w:rsid w:val="00533B37"/>
    <w:rsid w:val="0053425C"/>
    <w:rsid w:val="00534B93"/>
    <w:rsid w:val="005354AF"/>
    <w:rsid w:val="0053590F"/>
    <w:rsid w:val="005368B4"/>
    <w:rsid w:val="00536D93"/>
    <w:rsid w:val="00537721"/>
    <w:rsid w:val="00540AC4"/>
    <w:rsid w:val="00541613"/>
    <w:rsid w:val="0054231D"/>
    <w:rsid w:val="0054235F"/>
    <w:rsid w:val="00543C4A"/>
    <w:rsid w:val="005453C4"/>
    <w:rsid w:val="0054587E"/>
    <w:rsid w:val="00545B71"/>
    <w:rsid w:val="00546081"/>
    <w:rsid w:val="0054668E"/>
    <w:rsid w:val="00547B3A"/>
    <w:rsid w:val="00547EB1"/>
    <w:rsid w:val="005506BF"/>
    <w:rsid w:val="00550BBE"/>
    <w:rsid w:val="0055135B"/>
    <w:rsid w:val="00551C60"/>
    <w:rsid w:val="00552338"/>
    <w:rsid w:val="00552AFF"/>
    <w:rsid w:val="00553711"/>
    <w:rsid w:val="00553A8F"/>
    <w:rsid w:val="00553AD3"/>
    <w:rsid w:val="00553C94"/>
    <w:rsid w:val="00553E70"/>
    <w:rsid w:val="00554B5A"/>
    <w:rsid w:val="00554E06"/>
    <w:rsid w:val="00555747"/>
    <w:rsid w:val="0055593A"/>
    <w:rsid w:val="005559AA"/>
    <w:rsid w:val="00555F47"/>
    <w:rsid w:val="005561B1"/>
    <w:rsid w:val="005567B6"/>
    <w:rsid w:val="00556AE0"/>
    <w:rsid w:val="00556FB7"/>
    <w:rsid w:val="005573DA"/>
    <w:rsid w:val="00557A93"/>
    <w:rsid w:val="00560067"/>
    <w:rsid w:val="00560593"/>
    <w:rsid w:val="00560F1A"/>
    <w:rsid w:val="00564EA5"/>
    <w:rsid w:val="0056589C"/>
    <w:rsid w:val="005669BD"/>
    <w:rsid w:val="005675CA"/>
    <w:rsid w:val="00567886"/>
    <w:rsid w:val="00567B95"/>
    <w:rsid w:val="00567EAB"/>
    <w:rsid w:val="00567F11"/>
    <w:rsid w:val="005702D2"/>
    <w:rsid w:val="00570581"/>
    <w:rsid w:val="0057071B"/>
    <w:rsid w:val="005709DA"/>
    <w:rsid w:val="0057134B"/>
    <w:rsid w:val="00571CD3"/>
    <w:rsid w:val="005730BB"/>
    <w:rsid w:val="0057322F"/>
    <w:rsid w:val="005748E8"/>
    <w:rsid w:val="00574D0D"/>
    <w:rsid w:val="00575D51"/>
    <w:rsid w:val="00576223"/>
    <w:rsid w:val="005769FC"/>
    <w:rsid w:val="00576B69"/>
    <w:rsid w:val="00576DC7"/>
    <w:rsid w:val="0057713D"/>
    <w:rsid w:val="00577436"/>
    <w:rsid w:val="00577538"/>
    <w:rsid w:val="00580B68"/>
    <w:rsid w:val="005811D8"/>
    <w:rsid w:val="0058133E"/>
    <w:rsid w:val="00581528"/>
    <w:rsid w:val="005818F7"/>
    <w:rsid w:val="00581972"/>
    <w:rsid w:val="0058198F"/>
    <w:rsid w:val="00581CE7"/>
    <w:rsid w:val="00581F67"/>
    <w:rsid w:val="00582F3D"/>
    <w:rsid w:val="00583E3F"/>
    <w:rsid w:val="00584E0C"/>
    <w:rsid w:val="0058522C"/>
    <w:rsid w:val="0058577A"/>
    <w:rsid w:val="005865B5"/>
    <w:rsid w:val="00586818"/>
    <w:rsid w:val="00586C82"/>
    <w:rsid w:val="00586CF4"/>
    <w:rsid w:val="0058758B"/>
    <w:rsid w:val="00587D39"/>
    <w:rsid w:val="00590078"/>
    <w:rsid w:val="00590595"/>
    <w:rsid w:val="00590766"/>
    <w:rsid w:val="00590F89"/>
    <w:rsid w:val="0059220D"/>
    <w:rsid w:val="005922A2"/>
    <w:rsid w:val="005938B3"/>
    <w:rsid w:val="00593A4B"/>
    <w:rsid w:val="00593D7E"/>
    <w:rsid w:val="0059430A"/>
    <w:rsid w:val="00594503"/>
    <w:rsid w:val="005945C4"/>
    <w:rsid w:val="00594680"/>
    <w:rsid w:val="00595102"/>
    <w:rsid w:val="005952B2"/>
    <w:rsid w:val="00595FEB"/>
    <w:rsid w:val="005960ED"/>
    <w:rsid w:val="00596857"/>
    <w:rsid w:val="00596BEA"/>
    <w:rsid w:val="00596C5A"/>
    <w:rsid w:val="005A066E"/>
    <w:rsid w:val="005A0726"/>
    <w:rsid w:val="005A1CD3"/>
    <w:rsid w:val="005A2123"/>
    <w:rsid w:val="005A2A9F"/>
    <w:rsid w:val="005A42A9"/>
    <w:rsid w:val="005A46A4"/>
    <w:rsid w:val="005A499F"/>
    <w:rsid w:val="005A58C2"/>
    <w:rsid w:val="005A58E7"/>
    <w:rsid w:val="005A6146"/>
    <w:rsid w:val="005A6499"/>
    <w:rsid w:val="005A7297"/>
    <w:rsid w:val="005B042B"/>
    <w:rsid w:val="005B0959"/>
    <w:rsid w:val="005B0A6B"/>
    <w:rsid w:val="005B0D86"/>
    <w:rsid w:val="005B13A4"/>
    <w:rsid w:val="005B1492"/>
    <w:rsid w:val="005B1C3D"/>
    <w:rsid w:val="005B29B2"/>
    <w:rsid w:val="005B34A2"/>
    <w:rsid w:val="005B35CC"/>
    <w:rsid w:val="005B36AA"/>
    <w:rsid w:val="005B4019"/>
    <w:rsid w:val="005B634D"/>
    <w:rsid w:val="005B6A02"/>
    <w:rsid w:val="005B6A11"/>
    <w:rsid w:val="005B6F02"/>
    <w:rsid w:val="005B7651"/>
    <w:rsid w:val="005B7703"/>
    <w:rsid w:val="005B78E3"/>
    <w:rsid w:val="005B7B70"/>
    <w:rsid w:val="005B7F08"/>
    <w:rsid w:val="005B7F4B"/>
    <w:rsid w:val="005C0B74"/>
    <w:rsid w:val="005C122B"/>
    <w:rsid w:val="005C2B3A"/>
    <w:rsid w:val="005C2BFA"/>
    <w:rsid w:val="005C55A9"/>
    <w:rsid w:val="005C5D14"/>
    <w:rsid w:val="005C6587"/>
    <w:rsid w:val="005C7C43"/>
    <w:rsid w:val="005D04AA"/>
    <w:rsid w:val="005D0ADC"/>
    <w:rsid w:val="005D0C07"/>
    <w:rsid w:val="005D11DB"/>
    <w:rsid w:val="005D156E"/>
    <w:rsid w:val="005D1E89"/>
    <w:rsid w:val="005D2586"/>
    <w:rsid w:val="005D2A08"/>
    <w:rsid w:val="005D3826"/>
    <w:rsid w:val="005D3B26"/>
    <w:rsid w:val="005D3B3A"/>
    <w:rsid w:val="005D488A"/>
    <w:rsid w:val="005D5566"/>
    <w:rsid w:val="005D670B"/>
    <w:rsid w:val="005D6884"/>
    <w:rsid w:val="005D7B57"/>
    <w:rsid w:val="005D7E7F"/>
    <w:rsid w:val="005E1E32"/>
    <w:rsid w:val="005E2090"/>
    <w:rsid w:val="005E2679"/>
    <w:rsid w:val="005E2D86"/>
    <w:rsid w:val="005E4429"/>
    <w:rsid w:val="005E4AA7"/>
    <w:rsid w:val="005E5292"/>
    <w:rsid w:val="005E6232"/>
    <w:rsid w:val="005E6624"/>
    <w:rsid w:val="005E69CF"/>
    <w:rsid w:val="005E7163"/>
    <w:rsid w:val="005E7598"/>
    <w:rsid w:val="005E7C1B"/>
    <w:rsid w:val="005F20DE"/>
    <w:rsid w:val="005F2B6C"/>
    <w:rsid w:val="005F382E"/>
    <w:rsid w:val="005F4115"/>
    <w:rsid w:val="005F46AA"/>
    <w:rsid w:val="005F4A00"/>
    <w:rsid w:val="005F507B"/>
    <w:rsid w:val="005F55D4"/>
    <w:rsid w:val="005F5618"/>
    <w:rsid w:val="005F5B5E"/>
    <w:rsid w:val="005F73F6"/>
    <w:rsid w:val="0060033B"/>
    <w:rsid w:val="00600485"/>
    <w:rsid w:val="006016F3"/>
    <w:rsid w:val="006018A7"/>
    <w:rsid w:val="00602042"/>
    <w:rsid w:val="00602050"/>
    <w:rsid w:val="0060225F"/>
    <w:rsid w:val="00602580"/>
    <w:rsid w:val="006028F8"/>
    <w:rsid w:val="00602A24"/>
    <w:rsid w:val="0060347B"/>
    <w:rsid w:val="0060385D"/>
    <w:rsid w:val="00603C56"/>
    <w:rsid w:val="00603F32"/>
    <w:rsid w:val="0060411C"/>
    <w:rsid w:val="006042EF"/>
    <w:rsid w:val="006044A1"/>
    <w:rsid w:val="00605885"/>
    <w:rsid w:val="00606682"/>
    <w:rsid w:val="00610400"/>
    <w:rsid w:val="00610EC4"/>
    <w:rsid w:val="00611216"/>
    <w:rsid w:val="00611235"/>
    <w:rsid w:val="006116A9"/>
    <w:rsid w:val="00611ABD"/>
    <w:rsid w:val="00611BAC"/>
    <w:rsid w:val="00611BBE"/>
    <w:rsid w:val="0061241B"/>
    <w:rsid w:val="00613075"/>
    <w:rsid w:val="00613B41"/>
    <w:rsid w:val="00613E9A"/>
    <w:rsid w:val="00613F7B"/>
    <w:rsid w:val="00614651"/>
    <w:rsid w:val="00615474"/>
    <w:rsid w:val="006155A1"/>
    <w:rsid w:val="00615C71"/>
    <w:rsid w:val="00615F24"/>
    <w:rsid w:val="006160FB"/>
    <w:rsid w:val="0061622D"/>
    <w:rsid w:val="00616C0C"/>
    <w:rsid w:val="00616C0F"/>
    <w:rsid w:val="00616F7E"/>
    <w:rsid w:val="00617FDE"/>
    <w:rsid w:val="0062005F"/>
    <w:rsid w:val="00620AD8"/>
    <w:rsid w:val="00620C8F"/>
    <w:rsid w:val="00620E48"/>
    <w:rsid w:val="00621282"/>
    <w:rsid w:val="00621822"/>
    <w:rsid w:val="00622341"/>
    <w:rsid w:val="00622E44"/>
    <w:rsid w:val="00623728"/>
    <w:rsid w:val="00623896"/>
    <w:rsid w:val="006242AD"/>
    <w:rsid w:val="006246D3"/>
    <w:rsid w:val="00624AA0"/>
    <w:rsid w:val="0062654E"/>
    <w:rsid w:val="00626F4B"/>
    <w:rsid w:val="00627632"/>
    <w:rsid w:val="0063014C"/>
    <w:rsid w:val="00631AB3"/>
    <w:rsid w:val="00631F47"/>
    <w:rsid w:val="006337D8"/>
    <w:rsid w:val="006351E1"/>
    <w:rsid w:val="0063642A"/>
    <w:rsid w:val="00636E98"/>
    <w:rsid w:val="00636F88"/>
    <w:rsid w:val="006371AF"/>
    <w:rsid w:val="006378D8"/>
    <w:rsid w:val="00637FAD"/>
    <w:rsid w:val="00640C0C"/>
    <w:rsid w:val="006428A6"/>
    <w:rsid w:val="0064310B"/>
    <w:rsid w:val="00643F9C"/>
    <w:rsid w:val="006442A2"/>
    <w:rsid w:val="00644B8C"/>
    <w:rsid w:val="0064611C"/>
    <w:rsid w:val="00646459"/>
    <w:rsid w:val="00646CC8"/>
    <w:rsid w:val="00646D32"/>
    <w:rsid w:val="00647AAF"/>
    <w:rsid w:val="00647BAE"/>
    <w:rsid w:val="00647D60"/>
    <w:rsid w:val="006500D3"/>
    <w:rsid w:val="006515AD"/>
    <w:rsid w:val="00652715"/>
    <w:rsid w:val="006528A8"/>
    <w:rsid w:val="0065292D"/>
    <w:rsid w:val="00654583"/>
    <w:rsid w:val="00654A3B"/>
    <w:rsid w:val="00655053"/>
    <w:rsid w:val="006550DB"/>
    <w:rsid w:val="00655EE2"/>
    <w:rsid w:val="00656319"/>
    <w:rsid w:val="006563EF"/>
    <w:rsid w:val="006565E1"/>
    <w:rsid w:val="00656E6F"/>
    <w:rsid w:val="00657364"/>
    <w:rsid w:val="00657D37"/>
    <w:rsid w:val="006605BD"/>
    <w:rsid w:val="00661C30"/>
    <w:rsid w:val="00661E30"/>
    <w:rsid w:val="00661F03"/>
    <w:rsid w:val="006625D6"/>
    <w:rsid w:val="00662B6C"/>
    <w:rsid w:val="00662C71"/>
    <w:rsid w:val="006637F7"/>
    <w:rsid w:val="00663A61"/>
    <w:rsid w:val="00663D31"/>
    <w:rsid w:val="0066443D"/>
    <w:rsid w:val="006650F6"/>
    <w:rsid w:val="0066536D"/>
    <w:rsid w:val="00665B35"/>
    <w:rsid w:val="00666F2A"/>
    <w:rsid w:val="0066754C"/>
    <w:rsid w:val="00667614"/>
    <w:rsid w:val="006707C7"/>
    <w:rsid w:val="00670CE1"/>
    <w:rsid w:val="00670F03"/>
    <w:rsid w:val="0067172D"/>
    <w:rsid w:val="0067177D"/>
    <w:rsid w:val="00671DD0"/>
    <w:rsid w:val="00672937"/>
    <w:rsid w:val="00673C5E"/>
    <w:rsid w:val="00674107"/>
    <w:rsid w:val="006747D9"/>
    <w:rsid w:val="00674C1F"/>
    <w:rsid w:val="00675C18"/>
    <w:rsid w:val="006765C0"/>
    <w:rsid w:val="006769DF"/>
    <w:rsid w:val="006777EE"/>
    <w:rsid w:val="0068034D"/>
    <w:rsid w:val="00680782"/>
    <w:rsid w:val="00680AEA"/>
    <w:rsid w:val="006820D0"/>
    <w:rsid w:val="006828C5"/>
    <w:rsid w:val="0068330D"/>
    <w:rsid w:val="006847A2"/>
    <w:rsid w:val="00684B17"/>
    <w:rsid w:val="00684C14"/>
    <w:rsid w:val="00684D1E"/>
    <w:rsid w:val="0068566E"/>
    <w:rsid w:val="00685753"/>
    <w:rsid w:val="00685852"/>
    <w:rsid w:val="006858BF"/>
    <w:rsid w:val="00685E71"/>
    <w:rsid w:val="0069118D"/>
    <w:rsid w:val="006915F6"/>
    <w:rsid w:val="006915FA"/>
    <w:rsid w:val="00691BFC"/>
    <w:rsid w:val="00691C3F"/>
    <w:rsid w:val="00691DEE"/>
    <w:rsid w:val="00691DF9"/>
    <w:rsid w:val="00692C84"/>
    <w:rsid w:val="006932A2"/>
    <w:rsid w:val="00693DCD"/>
    <w:rsid w:val="00694276"/>
    <w:rsid w:val="00694BD1"/>
    <w:rsid w:val="006954F9"/>
    <w:rsid w:val="00695960"/>
    <w:rsid w:val="00695BC7"/>
    <w:rsid w:val="00695C8F"/>
    <w:rsid w:val="00696ED1"/>
    <w:rsid w:val="00697327"/>
    <w:rsid w:val="006977A2"/>
    <w:rsid w:val="006A0446"/>
    <w:rsid w:val="006A0520"/>
    <w:rsid w:val="006A0AC2"/>
    <w:rsid w:val="006A181E"/>
    <w:rsid w:val="006A1F4E"/>
    <w:rsid w:val="006A22A4"/>
    <w:rsid w:val="006A2C98"/>
    <w:rsid w:val="006A2F1D"/>
    <w:rsid w:val="006A37C9"/>
    <w:rsid w:val="006A4065"/>
    <w:rsid w:val="006A4237"/>
    <w:rsid w:val="006A6263"/>
    <w:rsid w:val="006A6F19"/>
    <w:rsid w:val="006A715A"/>
    <w:rsid w:val="006A76C9"/>
    <w:rsid w:val="006B018F"/>
    <w:rsid w:val="006B1151"/>
    <w:rsid w:val="006B19D5"/>
    <w:rsid w:val="006B2145"/>
    <w:rsid w:val="006B23E2"/>
    <w:rsid w:val="006B2921"/>
    <w:rsid w:val="006B29C9"/>
    <w:rsid w:val="006B3BE9"/>
    <w:rsid w:val="006B3E92"/>
    <w:rsid w:val="006B47BD"/>
    <w:rsid w:val="006B4C22"/>
    <w:rsid w:val="006B547C"/>
    <w:rsid w:val="006B5C01"/>
    <w:rsid w:val="006B64ED"/>
    <w:rsid w:val="006B6CAB"/>
    <w:rsid w:val="006B6E84"/>
    <w:rsid w:val="006B7023"/>
    <w:rsid w:val="006B751C"/>
    <w:rsid w:val="006B77C2"/>
    <w:rsid w:val="006C01A7"/>
    <w:rsid w:val="006C0276"/>
    <w:rsid w:val="006C043B"/>
    <w:rsid w:val="006C0CB1"/>
    <w:rsid w:val="006C0E0A"/>
    <w:rsid w:val="006C12E8"/>
    <w:rsid w:val="006C167D"/>
    <w:rsid w:val="006C1E7D"/>
    <w:rsid w:val="006C20B0"/>
    <w:rsid w:val="006C2712"/>
    <w:rsid w:val="006C29E8"/>
    <w:rsid w:val="006C2A91"/>
    <w:rsid w:val="006C2E65"/>
    <w:rsid w:val="006C31A7"/>
    <w:rsid w:val="006C4063"/>
    <w:rsid w:val="006C42C6"/>
    <w:rsid w:val="006C483A"/>
    <w:rsid w:val="006C504A"/>
    <w:rsid w:val="006C54A6"/>
    <w:rsid w:val="006C550F"/>
    <w:rsid w:val="006C6191"/>
    <w:rsid w:val="006C6C91"/>
    <w:rsid w:val="006C71AF"/>
    <w:rsid w:val="006C7C19"/>
    <w:rsid w:val="006D003F"/>
    <w:rsid w:val="006D07DD"/>
    <w:rsid w:val="006D0970"/>
    <w:rsid w:val="006D13B7"/>
    <w:rsid w:val="006D15E4"/>
    <w:rsid w:val="006D16E9"/>
    <w:rsid w:val="006D1E6E"/>
    <w:rsid w:val="006D24AC"/>
    <w:rsid w:val="006D3E35"/>
    <w:rsid w:val="006D47C4"/>
    <w:rsid w:val="006D5B34"/>
    <w:rsid w:val="006D5E0A"/>
    <w:rsid w:val="006D6530"/>
    <w:rsid w:val="006D6FB3"/>
    <w:rsid w:val="006D7CEB"/>
    <w:rsid w:val="006D7D96"/>
    <w:rsid w:val="006D7EC8"/>
    <w:rsid w:val="006E0669"/>
    <w:rsid w:val="006E0E16"/>
    <w:rsid w:val="006E1C39"/>
    <w:rsid w:val="006E1CF0"/>
    <w:rsid w:val="006E1CF7"/>
    <w:rsid w:val="006E2464"/>
    <w:rsid w:val="006E3798"/>
    <w:rsid w:val="006E47BE"/>
    <w:rsid w:val="006E55F4"/>
    <w:rsid w:val="006E5DE7"/>
    <w:rsid w:val="006E718B"/>
    <w:rsid w:val="006E7441"/>
    <w:rsid w:val="006E7672"/>
    <w:rsid w:val="006E7E95"/>
    <w:rsid w:val="006F073B"/>
    <w:rsid w:val="006F083D"/>
    <w:rsid w:val="006F0E50"/>
    <w:rsid w:val="006F1502"/>
    <w:rsid w:val="006F19E4"/>
    <w:rsid w:val="006F24C6"/>
    <w:rsid w:val="006F2B76"/>
    <w:rsid w:val="006F2F24"/>
    <w:rsid w:val="006F3CD5"/>
    <w:rsid w:val="006F48C8"/>
    <w:rsid w:val="006F5904"/>
    <w:rsid w:val="006F6851"/>
    <w:rsid w:val="006F6E71"/>
    <w:rsid w:val="006F798A"/>
    <w:rsid w:val="006F7F62"/>
    <w:rsid w:val="006F7FF7"/>
    <w:rsid w:val="007025B7"/>
    <w:rsid w:val="00702D1B"/>
    <w:rsid w:val="0070331E"/>
    <w:rsid w:val="00704D61"/>
    <w:rsid w:val="00704F3A"/>
    <w:rsid w:val="00705ED7"/>
    <w:rsid w:val="00706013"/>
    <w:rsid w:val="007069D2"/>
    <w:rsid w:val="00706BEB"/>
    <w:rsid w:val="00710CA3"/>
    <w:rsid w:val="007111F3"/>
    <w:rsid w:val="00711D64"/>
    <w:rsid w:val="00711F51"/>
    <w:rsid w:val="007126F4"/>
    <w:rsid w:val="00712B1A"/>
    <w:rsid w:val="00712C91"/>
    <w:rsid w:val="00712ECE"/>
    <w:rsid w:val="007133FC"/>
    <w:rsid w:val="00714D44"/>
    <w:rsid w:val="00714DAA"/>
    <w:rsid w:val="00714E5E"/>
    <w:rsid w:val="00715268"/>
    <w:rsid w:val="00715302"/>
    <w:rsid w:val="00715C29"/>
    <w:rsid w:val="0071641B"/>
    <w:rsid w:val="007168E0"/>
    <w:rsid w:val="00716B6D"/>
    <w:rsid w:val="00716F01"/>
    <w:rsid w:val="0071732C"/>
    <w:rsid w:val="00717A0D"/>
    <w:rsid w:val="0072059A"/>
    <w:rsid w:val="0072083A"/>
    <w:rsid w:val="00721039"/>
    <w:rsid w:val="00721519"/>
    <w:rsid w:val="00721FF3"/>
    <w:rsid w:val="00722336"/>
    <w:rsid w:val="00722798"/>
    <w:rsid w:val="00722C6D"/>
    <w:rsid w:val="00723898"/>
    <w:rsid w:val="00723E32"/>
    <w:rsid w:val="00723F5D"/>
    <w:rsid w:val="0072427D"/>
    <w:rsid w:val="0072534A"/>
    <w:rsid w:val="00725353"/>
    <w:rsid w:val="00725802"/>
    <w:rsid w:val="00725AD7"/>
    <w:rsid w:val="00726337"/>
    <w:rsid w:val="007264D6"/>
    <w:rsid w:val="0072699D"/>
    <w:rsid w:val="00726CEB"/>
    <w:rsid w:val="00727D40"/>
    <w:rsid w:val="007302A9"/>
    <w:rsid w:val="007302F1"/>
    <w:rsid w:val="00730C28"/>
    <w:rsid w:val="0073151F"/>
    <w:rsid w:val="00731886"/>
    <w:rsid w:val="00731B42"/>
    <w:rsid w:val="00731DF1"/>
    <w:rsid w:val="007329F5"/>
    <w:rsid w:val="0073372C"/>
    <w:rsid w:val="00733CE9"/>
    <w:rsid w:val="00733EF9"/>
    <w:rsid w:val="007346CB"/>
    <w:rsid w:val="007362E9"/>
    <w:rsid w:val="00737277"/>
    <w:rsid w:val="007377D1"/>
    <w:rsid w:val="00740246"/>
    <w:rsid w:val="00740528"/>
    <w:rsid w:val="0074098B"/>
    <w:rsid w:val="00741EC5"/>
    <w:rsid w:val="00743178"/>
    <w:rsid w:val="00743837"/>
    <w:rsid w:val="007439E9"/>
    <w:rsid w:val="00744508"/>
    <w:rsid w:val="0074556C"/>
    <w:rsid w:val="007456C7"/>
    <w:rsid w:val="00745A71"/>
    <w:rsid w:val="007460B4"/>
    <w:rsid w:val="00746A4A"/>
    <w:rsid w:val="00746E25"/>
    <w:rsid w:val="00747227"/>
    <w:rsid w:val="0074746C"/>
    <w:rsid w:val="00750098"/>
    <w:rsid w:val="00750D28"/>
    <w:rsid w:val="007510DC"/>
    <w:rsid w:val="007518D2"/>
    <w:rsid w:val="00751FA4"/>
    <w:rsid w:val="0075255B"/>
    <w:rsid w:val="007533C6"/>
    <w:rsid w:val="00753E5F"/>
    <w:rsid w:val="00753FEC"/>
    <w:rsid w:val="007569F2"/>
    <w:rsid w:val="007570EC"/>
    <w:rsid w:val="007573DF"/>
    <w:rsid w:val="00760696"/>
    <w:rsid w:val="0076103F"/>
    <w:rsid w:val="0076110F"/>
    <w:rsid w:val="00761693"/>
    <w:rsid w:val="00762312"/>
    <w:rsid w:val="007627DE"/>
    <w:rsid w:val="007629F5"/>
    <w:rsid w:val="00762AF8"/>
    <w:rsid w:val="00762D79"/>
    <w:rsid w:val="00762EE5"/>
    <w:rsid w:val="00762F97"/>
    <w:rsid w:val="00763148"/>
    <w:rsid w:val="0076397D"/>
    <w:rsid w:val="00763ABA"/>
    <w:rsid w:val="00763C07"/>
    <w:rsid w:val="00766040"/>
    <w:rsid w:val="007664B3"/>
    <w:rsid w:val="00766792"/>
    <w:rsid w:val="00766F9A"/>
    <w:rsid w:val="00767759"/>
    <w:rsid w:val="00767DEB"/>
    <w:rsid w:val="00770151"/>
    <w:rsid w:val="00770159"/>
    <w:rsid w:val="007703D4"/>
    <w:rsid w:val="00770C0C"/>
    <w:rsid w:val="00770CD5"/>
    <w:rsid w:val="00771397"/>
    <w:rsid w:val="00771DEA"/>
    <w:rsid w:val="00771E21"/>
    <w:rsid w:val="00772036"/>
    <w:rsid w:val="00772B59"/>
    <w:rsid w:val="00772BD4"/>
    <w:rsid w:val="00772C3B"/>
    <w:rsid w:val="00772C47"/>
    <w:rsid w:val="00772F90"/>
    <w:rsid w:val="00773A6C"/>
    <w:rsid w:val="00773BC8"/>
    <w:rsid w:val="00774AB6"/>
    <w:rsid w:val="007754AF"/>
    <w:rsid w:val="00775586"/>
    <w:rsid w:val="0077576F"/>
    <w:rsid w:val="00775D9B"/>
    <w:rsid w:val="00777BEF"/>
    <w:rsid w:val="0078133E"/>
    <w:rsid w:val="00781D8E"/>
    <w:rsid w:val="00782494"/>
    <w:rsid w:val="007825D7"/>
    <w:rsid w:val="00782F16"/>
    <w:rsid w:val="007830C8"/>
    <w:rsid w:val="00784836"/>
    <w:rsid w:val="00784DC0"/>
    <w:rsid w:val="00785292"/>
    <w:rsid w:val="0078584E"/>
    <w:rsid w:val="007866D6"/>
    <w:rsid w:val="00786ACA"/>
    <w:rsid w:val="007870CC"/>
    <w:rsid w:val="007901A8"/>
    <w:rsid w:val="00790428"/>
    <w:rsid w:val="00791752"/>
    <w:rsid w:val="00791BC1"/>
    <w:rsid w:val="00791C9A"/>
    <w:rsid w:val="0079250A"/>
    <w:rsid w:val="007928DB"/>
    <w:rsid w:val="007937AF"/>
    <w:rsid w:val="00794FAB"/>
    <w:rsid w:val="00795080"/>
    <w:rsid w:val="007955F0"/>
    <w:rsid w:val="00796BB9"/>
    <w:rsid w:val="00796D9C"/>
    <w:rsid w:val="00797782"/>
    <w:rsid w:val="00797A43"/>
    <w:rsid w:val="00797B61"/>
    <w:rsid w:val="00797BC5"/>
    <w:rsid w:val="007A040D"/>
    <w:rsid w:val="007A0A0D"/>
    <w:rsid w:val="007A0E18"/>
    <w:rsid w:val="007A0E77"/>
    <w:rsid w:val="007A247F"/>
    <w:rsid w:val="007A4264"/>
    <w:rsid w:val="007A49D0"/>
    <w:rsid w:val="007A4D12"/>
    <w:rsid w:val="007A5D06"/>
    <w:rsid w:val="007A6304"/>
    <w:rsid w:val="007A68A8"/>
    <w:rsid w:val="007B0041"/>
    <w:rsid w:val="007B073F"/>
    <w:rsid w:val="007B0D9B"/>
    <w:rsid w:val="007B1C22"/>
    <w:rsid w:val="007B2593"/>
    <w:rsid w:val="007B397E"/>
    <w:rsid w:val="007B4B93"/>
    <w:rsid w:val="007B60E5"/>
    <w:rsid w:val="007B6410"/>
    <w:rsid w:val="007B6553"/>
    <w:rsid w:val="007B7285"/>
    <w:rsid w:val="007B7DE5"/>
    <w:rsid w:val="007B7ECD"/>
    <w:rsid w:val="007C0953"/>
    <w:rsid w:val="007C0BE7"/>
    <w:rsid w:val="007C0EA6"/>
    <w:rsid w:val="007C1077"/>
    <w:rsid w:val="007C1A0C"/>
    <w:rsid w:val="007C1BBF"/>
    <w:rsid w:val="007C28E3"/>
    <w:rsid w:val="007C294D"/>
    <w:rsid w:val="007C2B1A"/>
    <w:rsid w:val="007C37D4"/>
    <w:rsid w:val="007C401C"/>
    <w:rsid w:val="007C43A0"/>
    <w:rsid w:val="007C5A84"/>
    <w:rsid w:val="007C62E5"/>
    <w:rsid w:val="007C6402"/>
    <w:rsid w:val="007C64E5"/>
    <w:rsid w:val="007C6C62"/>
    <w:rsid w:val="007C7147"/>
    <w:rsid w:val="007C7222"/>
    <w:rsid w:val="007C74EB"/>
    <w:rsid w:val="007C7766"/>
    <w:rsid w:val="007C7F65"/>
    <w:rsid w:val="007D00B3"/>
    <w:rsid w:val="007D0FBC"/>
    <w:rsid w:val="007D2808"/>
    <w:rsid w:val="007D49B9"/>
    <w:rsid w:val="007D4C48"/>
    <w:rsid w:val="007D515D"/>
    <w:rsid w:val="007D61DD"/>
    <w:rsid w:val="007D7219"/>
    <w:rsid w:val="007D77F4"/>
    <w:rsid w:val="007D7896"/>
    <w:rsid w:val="007D7B02"/>
    <w:rsid w:val="007D7F04"/>
    <w:rsid w:val="007E017B"/>
    <w:rsid w:val="007E0649"/>
    <w:rsid w:val="007E079B"/>
    <w:rsid w:val="007E09D8"/>
    <w:rsid w:val="007E1880"/>
    <w:rsid w:val="007E2142"/>
    <w:rsid w:val="007E2223"/>
    <w:rsid w:val="007E358B"/>
    <w:rsid w:val="007E37E6"/>
    <w:rsid w:val="007E4556"/>
    <w:rsid w:val="007E45D4"/>
    <w:rsid w:val="007E4AE5"/>
    <w:rsid w:val="007E5011"/>
    <w:rsid w:val="007E53FE"/>
    <w:rsid w:val="007E5716"/>
    <w:rsid w:val="007E7BA7"/>
    <w:rsid w:val="007F0450"/>
    <w:rsid w:val="007F0534"/>
    <w:rsid w:val="007F1771"/>
    <w:rsid w:val="007F24DB"/>
    <w:rsid w:val="007F353E"/>
    <w:rsid w:val="007F48F2"/>
    <w:rsid w:val="007F5AE9"/>
    <w:rsid w:val="007F606C"/>
    <w:rsid w:val="007F61B5"/>
    <w:rsid w:val="007F7D06"/>
    <w:rsid w:val="008006FF"/>
    <w:rsid w:val="0080111D"/>
    <w:rsid w:val="0080137B"/>
    <w:rsid w:val="0080198A"/>
    <w:rsid w:val="00802118"/>
    <w:rsid w:val="0080231F"/>
    <w:rsid w:val="00802A17"/>
    <w:rsid w:val="00802A26"/>
    <w:rsid w:val="00802BCB"/>
    <w:rsid w:val="00802F77"/>
    <w:rsid w:val="00802F93"/>
    <w:rsid w:val="008039A3"/>
    <w:rsid w:val="00803F57"/>
    <w:rsid w:val="008046AA"/>
    <w:rsid w:val="00804897"/>
    <w:rsid w:val="00804C50"/>
    <w:rsid w:val="00805D39"/>
    <w:rsid w:val="00805D4A"/>
    <w:rsid w:val="00805E79"/>
    <w:rsid w:val="00806216"/>
    <w:rsid w:val="0080628C"/>
    <w:rsid w:val="008077B7"/>
    <w:rsid w:val="008077CA"/>
    <w:rsid w:val="00810669"/>
    <w:rsid w:val="008107AF"/>
    <w:rsid w:val="00811CA6"/>
    <w:rsid w:val="008128F9"/>
    <w:rsid w:val="00812DEF"/>
    <w:rsid w:val="00813478"/>
    <w:rsid w:val="008141C1"/>
    <w:rsid w:val="00815472"/>
    <w:rsid w:val="008156BB"/>
    <w:rsid w:val="00815EC1"/>
    <w:rsid w:val="0081663E"/>
    <w:rsid w:val="008170ED"/>
    <w:rsid w:val="0081774A"/>
    <w:rsid w:val="00817AC1"/>
    <w:rsid w:val="00820319"/>
    <w:rsid w:val="00821095"/>
    <w:rsid w:val="00821846"/>
    <w:rsid w:val="00821F92"/>
    <w:rsid w:val="0082447E"/>
    <w:rsid w:val="008244BF"/>
    <w:rsid w:val="00824F4C"/>
    <w:rsid w:val="00824FA1"/>
    <w:rsid w:val="00825A07"/>
    <w:rsid w:val="0083091D"/>
    <w:rsid w:val="00830A92"/>
    <w:rsid w:val="00832440"/>
    <w:rsid w:val="00832637"/>
    <w:rsid w:val="00832C2E"/>
    <w:rsid w:val="00832C70"/>
    <w:rsid w:val="00832CD9"/>
    <w:rsid w:val="00833291"/>
    <w:rsid w:val="008339FE"/>
    <w:rsid w:val="00833B7D"/>
    <w:rsid w:val="00833FA0"/>
    <w:rsid w:val="0083472A"/>
    <w:rsid w:val="00835509"/>
    <w:rsid w:val="008364D7"/>
    <w:rsid w:val="00836AD1"/>
    <w:rsid w:val="00837307"/>
    <w:rsid w:val="00840502"/>
    <w:rsid w:val="008409A3"/>
    <w:rsid w:val="00841EB7"/>
    <w:rsid w:val="00842C26"/>
    <w:rsid w:val="0084328E"/>
    <w:rsid w:val="00843F68"/>
    <w:rsid w:val="008450A4"/>
    <w:rsid w:val="00845230"/>
    <w:rsid w:val="00845748"/>
    <w:rsid w:val="00845CB0"/>
    <w:rsid w:val="008468DA"/>
    <w:rsid w:val="00847000"/>
    <w:rsid w:val="008470CB"/>
    <w:rsid w:val="008477D7"/>
    <w:rsid w:val="008503A8"/>
    <w:rsid w:val="0085134D"/>
    <w:rsid w:val="00851D36"/>
    <w:rsid w:val="00851D66"/>
    <w:rsid w:val="008524A5"/>
    <w:rsid w:val="008529D8"/>
    <w:rsid w:val="00853B17"/>
    <w:rsid w:val="00854341"/>
    <w:rsid w:val="0085434D"/>
    <w:rsid w:val="00855AC4"/>
    <w:rsid w:val="00856EED"/>
    <w:rsid w:val="00857E72"/>
    <w:rsid w:val="00860451"/>
    <w:rsid w:val="008605DA"/>
    <w:rsid w:val="008606B2"/>
    <w:rsid w:val="00861190"/>
    <w:rsid w:val="00861504"/>
    <w:rsid w:val="00861680"/>
    <w:rsid w:val="00861A20"/>
    <w:rsid w:val="00861C74"/>
    <w:rsid w:val="00861CF3"/>
    <w:rsid w:val="0086231F"/>
    <w:rsid w:val="008624B8"/>
    <w:rsid w:val="00862572"/>
    <w:rsid w:val="00862BF4"/>
    <w:rsid w:val="00863340"/>
    <w:rsid w:val="008633CD"/>
    <w:rsid w:val="008650A9"/>
    <w:rsid w:val="0086524B"/>
    <w:rsid w:val="008655A3"/>
    <w:rsid w:val="00865B4A"/>
    <w:rsid w:val="00865C08"/>
    <w:rsid w:val="00865F9F"/>
    <w:rsid w:val="00866CF3"/>
    <w:rsid w:val="00866CF6"/>
    <w:rsid w:val="00867146"/>
    <w:rsid w:val="00867257"/>
    <w:rsid w:val="00867BBA"/>
    <w:rsid w:val="0087040B"/>
    <w:rsid w:val="00870B95"/>
    <w:rsid w:val="00870E0F"/>
    <w:rsid w:val="0087141D"/>
    <w:rsid w:val="00871A89"/>
    <w:rsid w:val="00871C3D"/>
    <w:rsid w:val="00872E6C"/>
    <w:rsid w:val="00873523"/>
    <w:rsid w:val="00874145"/>
    <w:rsid w:val="00874155"/>
    <w:rsid w:val="008749C1"/>
    <w:rsid w:val="00874AD6"/>
    <w:rsid w:val="00874C38"/>
    <w:rsid w:val="00875206"/>
    <w:rsid w:val="008766A6"/>
    <w:rsid w:val="00876ED6"/>
    <w:rsid w:val="00877048"/>
    <w:rsid w:val="008775C4"/>
    <w:rsid w:val="00877814"/>
    <w:rsid w:val="008779AD"/>
    <w:rsid w:val="0088020C"/>
    <w:rsid w:val="00880D17"/>
    <w:rsid w:val="0088123D"/>
    <w:rsid w:val="0088212B"/>
    <w:rsid w:val="008822BA"/>
    <w:rsid w:val="00882B3E"/>
    <w:rsid w:val="0088349E"/>
    <w:rsid w:val="0088495B"/>
    <w:rsid w:val="00884AFF"/>
    <w:rsid w:val="00885719"/>
    <w:rsid w:val="008862AB"/>
    <w:rsid w:val="00886C02"/>
    <w:rsid w:val="00886FDE"/>
    <w:rsid w:val="008877E3"/>
    <w:rsid w:val="00887EE5"/>
    <w:rsid w:val="008904CC"/>
    <w:rsid w:val="00891656"/>
    <w:rsid w:val="00891D6A"/>
    <w:rsid w:val="00892E96"/>
    <w:rsid w:val="0089334C"/>
    <w:rsid w:val="00893A90"/>
    <w:rsid w:val="00894448"/>
    <w:rsid w:val="00895325"/>
    <w:rsid w:val="00895880"/>
    <w:rsid w:val="00896850"/>
    <w:rsid w:val="00897696"/>
    <w:rsid w:val="00897F3C"/>
    <w:rsid w:val="008A01AC"/>
    <w:rsid w:val="008A032B"/>
    <w:rsid w:val="008A0588"/>
    <w:rsid w:val="008A0675"/>
    <w:rsid w:val="008A1BD5"/>
    <w:rsid w:val="008A1C13"/>
    <w:rsid w:val="008A1C6B"/>
    <w:rsid w:val="008A2FEE"/>
    <w:rsid w:val="008A3860"/>
    <w:rsid w:val="008A4550"/>
    <w:rsid w:val="008A4A15"/>
    <w:rsid w:val="008A544C"/>
    <w:rsid w:val="008A582D"/>
    <w:rsid w:val="008A5A3E"/>
    <w:rsid w:val="008A6D98"/>
    <w:rsid w:val="008A6EC9"/>
    <w:rsid w:val="008A7351"/>
    <w:rsid w:val="008A7A56"/>
    <w:rsid w:val="008A7B69"/>
    <w:rsid w:val="008B01D4"/>
    <w:rsid w:val="008B029C"/>
    <w:rsid w:val="008B0336"/>
    <w:rsid w:val="008B0D36"/>
    <w:rsid w:val="008B1BA6"/>
    <w:rsid w:val="008B27BC"/>
    <w:rsid w:val="008B29A8"/>
    <w:rsid w:val="008B36EF"/>
    <w:rsid w:val="008B3FAB"/>
    <w:rsid w:val="008B5A61"/>
    <w:rsid w:val="008B6812"/>
    <w:rsid w:val="008B7C63"/>
    <w:rsid w:val="008B7CB8"/>
    <w:rsid w:val="008C012B"/>
    <w:rsid w:val="008C021B"/>
    <w:rsid w:val="008C02E9"/>
    <w:rsid w:val="008C067D"/>
    <w:rsid w:val="008C143F"/>
    <w:rsid w:val="008C2670"/>
    <w:rsid w:val="008C2F78"/>
    <w:rsid w:val="008C3933"/>
    <w:rsid w:val="008C3D2F"/>
    <w:rsid w:val="008C3D41"/>
    <w:rsid w:val="008C3E0C"/>
    <w:rsid w:val="008C414B"/>
    <w:rsid w:val="008C429C"/>
    <w:rsid w:val="008C4503"/>
    <w:rsid w:val="008C6827"/>
    <w:rsid w:val="008C7F51"/>
    <w:rsid w:val="008D00B8"/>
    <w:rsid w:val="008D0B93"/>
    <w:rsid w:val="008D1BB8"/>
    <w:rsid w:val="008D2442"/>
    <w:rsid w:val="008D26C6"/>
    <w:rsid w:val="008D2D5F"/>
    <w:rsid w:val="008D39F7"/>
    <w:rsid w:val="008D4780"/>
    <w:rsid w:val="008D5114"/>
    <w:rsid w:val="008D513A"/>
    <w:rsid w:val="008D543E"/>
    <w:rsid w:val="008D6332"/>
    <w:rsid w:val="008D73CB"/>
    <w:rsid w:val="008D7504"/>
    <w:rsid w:val="008D771C"/>
    <w:rsid w:val="008D78D7"/>
    <w:rsid w:val="008D7B3B"/>
    <w:rsid w:val="008D7F12"/>
    <w:rsid w:val="008E03CC"/>
    <w:rsid w:val="008E06E0"/>
    <w:rsid w:val="008E06E7"/>
    <w:rsid w:val="008E136C"/>
    <w:rsid w:val="008E1C4A"/>
    <w:rsid w:val="008E2186"/>
    <w:rsid w:val="008E3798"/>
    <w:rsid w:val="008E4E0A"/>
    <w:rsid w:val="008E5D83"/>
    <w:rsid w:val="008E6924"/>
    <w:rsid w:val="008E6D32"/>
    <w:rsid w:val="008E7005"/>
    <w:rsid w:val="008F043D"/>
    <w:rsid w:val="008F05FE"/>
    <w:rsid w:val="008F0F24"/>
    <w:rsid w:val="008F112D"/>
    <w:rsid w:val="008F1F55"/>
    <w:rsid w:val="008F21E9"/>
    <w:rsid w:val="008F273B"/>
    <w:rsid w:val="008F4046"/>
    <w:rsid w:val="008F4A7D"/>
    <w:rsid w:val="008F4DB1"/>
    <w:rsid w:val="008F506E"/>
    <w:rsid w:val="008F5361"/>
    <w:rsid w:val="008F549E"/>
    <w:rsid w:val="008F6CB4"/>
    <w:rsid w:val="009007F6"/>
    <w:rsid w:val="00901816"/>
    <w:rsid w:val="009021A6"/>
    <w:rsid w:val="00902F17"/>
    <w:rsid w:val="009032BB"/>
    <w:rsid w:val="00903757"/>
    <w:rsid w:val="009037DE"/>
    <w:rsid w:val="00903C91"/>
    <w:rsid w:val="0090405D"/>
    <w:rsid w:val="00904228"/>
    <w:rsid w:val="00904A88"/>
    <w:rsid w:val="00904D5E"/>
    <w:rsid w:val="0090522E"/>
    <w:rsid w:val="00905735"/>
    <w:rsid w:val="00906091"/>
    <w:rsid w:val="009070C5"/>
    <w:rsid w:val="0090726F"/>
    <w:rsid w:val="009113DC"/>
    <w:rsid w:val="0091236E"/>
    <w:rsid w:val="00912376"/>
    <w:rsid w:val="009125EC"/>
    <w:rsid w:val="00913029"/>
    <w:rsid w:val="009137C2"/>
    <w:rsid w:val="00913DF7"/>
    <w:rsid w:val="009140DC"/>
    <w:rsid w:val="0091442E"/>
    <w:rsid w:val="00914819"/>
    <w:rsid w:val="00914B4A"/>
    <w:rsid w:val="00914B80"/>
    <w:rsid w:val="00914C27"/>
    <w:rsid w:val="009150E1"/>
    <w:rsid w:val="00915A34"/>
    <w:rsid w:val="00917CA7"/>
    <w:rsid w:val="00920E6D"/>
    <w:rsid w:val="009216A2"/>
    <w:rsid w:val="00925BC4"/>
    <w:rsid w:val="00927DA2"/>
    <w:rsid w:val="0093027C"/>
    <w:rsid w:val="00930312"/>
    <w:rsid w:val="00930E00"/>
    <w:rsid w:val="0093186F"/>
    <w:rsid w:val="0093187D"/>
    <w:rsid w:val="00931E46"/>
    <w:rsid w:val="00932276"/>
    <w:rsid w:val="0093244B"/>
    <w:rsid w:val="00932479"/>
    <w:rsid w:val="00932B5D"/>
    <w:rsid w:val="00932D82"/>
    <w:rsid w:val="009343AE"/>
    <w:rsid w:val="00934886"/>
    <w:rsid w:val="009349FA"/>
    <w:rsid w:val="00934A14"/>
    <w:rsid w:val="00935470"/>
    <w:rsid w:val="0093547C"/>
    <w:rsid w:val="009354BD"/>
    <w:rsid w:val="00937117"/>
    <w:rsid w:val="00937732"/>
    <w:rsid w:val="009400CF"/>
    <w:rsid w:val="00940617"/>
    <w:rsid w:val="009411B2"/>
    <w:rsid w:val="0094380D"/>
    <w:rsid w:val="009442FA"/>
    <w:rsid w:val="0094439C"/>
    <w:rsid w:val="00944492"/>
    <w:rsid w:val="00945259"/>
    <w:rsid w:val="00945B83"/>
    <w:rsid w:val="009466AC"/>
    <w:rsid w:val="0094758E"/>
    <w:rsid w:val="0095016A"/>
    <w:rsid w:val="009501C4"/>
    <w:rsid w:val="00950657"/>
    <w:rsid w:val="00951399"/>
    <w:rsid w:val="009513EE"/>
    <w:rsid w:val="0095146E"/>
    <w:rsid w:val="0095162A"/>
    <w:rsid w:val="00951F21"/>
    <w:rsid w:val="0095211A"/>
    <w:rsid w:val="0095433D"/>
    <w:rsid w:val="00954499"/>
    <w:rsid w:val="00954609"/>
    <w:rsid w:val="009549CA"/>
    <w:rsid w:val="009549F9"/>
    <w:rsid w:val="00954B49"/>
    <w:rsid w:val="0095511A"/>
    <w:rsid w:val="009560C4"/>
    <w:rsid w:val="00956E69"/>
    <w:rsid w:val="00956F31"/>
    <w:rsid w:val="0095797F"/>
    <w:rsid w:val="009607A2"/>
    <w:rsid w:val="0096083F"/>
    <w:rsid w:val="00961D17"/>
    <w:rsid w:val="00962503"/>
    <w:rsid w:val="00962C4F"/>
    <w:rsid w:val="00963E6D"/>
    <w:rsid w:val="0096404F"/>
    <w:rsid w:val="009646B1"/>
    <w:rsid w:val="0096496F"/>
    <w:rsid w:val="0096549F"/>
    <w:rsid w:val="00966466"/>
    <w:rsid w:val="00966A20"/>
    <w:rsid w:val="00967E8B"/>
    <w:rsid w:val="00970AC9"/>
    <w:rsid w:val="00970AD7"/>
    <w:rsid w:val="00970E94"/>
    <w:rsid w:val="00970FC6"/>
    <w:rsid w:val="00971068"/>
    <w:rsid w:val="009712E9"/>
    <w:rsid w:val="00971377"/>
    <w:rsid w:val="00972DEC"/>
    <w:rsid w:val="0097388C"/>
    <w:rsid w:val="00973FF6"/>
    <w:rsid w:val="009749D9"/>
    <w:rsid w:val="00974E45"/>
    <w:rsid w:val="0097548C"/>
    <w:rsid w:val="009765B2"/>
    <w:rsid w:val="009770F4"/>
    <w:rsid w:val="00977E14"/>
    <w:rsid w:val="009803F5"/>
    <w:rsid w:val="00980BF9"/>
    <w:rsid w:val="0098119D"/>
    <w:rsid w:val="0098294C"/>
    <w:rsid w:val="009829B4"/>
    <w:rsid w:val="00982A60"/>
    <w:rsid w:val="00982F8D"/>
    <w:rsid w:val="0098326F"/>
    <w:rsid w:val="0098341E"/>
    <w:rsid w:val="00983910"/>
    <w:rsid w:val="00984168"/>
    <w:rsid w:val="00984255"/>
    <w:rsid w:val="00984DDC"/>
    <w:rsid w:val="00984EBF"/>
    <w:rsid w:val="009858A4"/>
    <w:rsid w:val="00985921"/>
    <w:rsid w:val="009859AA"/>
    <w:rsid w:val="00985F8B"/>
    <w:rsid w:val="0098624B"/>
    <w:rsid w:val="0098636F"/>
    <w:rsid w:val="00986B97"/>
    <w:rsid w:val="009879C4"/>
    <w:rsid w:val="009901B2"/>
    <w:rsid w:val="0099131C"/>
    <w:rsid w:val="009913ED"/>
    <w:rsid w:val="00992016"/>
    <w:rsid w:val="0099255D"/>
    <w:rsid w:val="0099256B"/>
    <w:rsid w:val="009931F7"/>
    <w:rsid w:val="0099378B"/>
    <w:rsid w:val="0099495B"/>
    <w:rsid w:val="0099588D"/>
    <w:rsid w:val="00996EEB"/>
    <w:rsid w:val="0099735D"/>
    <w:rsid w:val="00997547"/>
    <w:rsid w:val="00997703"/>
    <w:rsid w:val="00997C5E"/>
    <w:rsid w:val="009A0A8D"/>
    <w:rsid w:val="009A0FED"/>
    <w:rsid w:val="009A331B"/>
    <w:rsid w:val="009A33C9"/>
    <w:rsid w:val="009A3B85"/>
    <w:rsid w:val="009A4F28"/>
    <w:rsid w:val="009A7DF2"/>
    <w:rsid w:val="009B0106"/>
    <w:rsid w:val="009B089F"/>
    <w:rsid w:val="009B08D0"/>
    <w:rsid w:val="009B0A68"/>
    <w:rsid w:val="009B0F39"/>
    <w:rsid w:val="009B1E68"/>
    <w:rsid w:val="009B2B5E"/>
    <w:rsid w:val="009B3D41"/>
    <w:rsid w:val="009B3DB1"/>
    <w:rsid w:val="009B3E00"/>
    <w:rsid w:val="009B3EE6"/>
    <w:rsid w:val="009B457E"/>
    <w:rsid w:val="009B6C3A"/>
    <w:rsid w:val="009B7370"/>
    <w:rsid w:val="009B749E"/>
    <w:rsid w:val="009C0541"/>
    <w:rsid w:val="009C06CC"/>
    <w:rsid w:val="009C078A"/>
    <w:rsid w:val="009C0B36"/>
    <w:rsid w:val="009C1B66"/>
    <w:rsid w:val="009C2B7C"/>
    <w:rsid w:val="009C373F"/>
    <w:rsid w:val="009C40C4"/>
    <w:rsid w:val="009C422B"/>
    <w:rsid w:val="009C4A52"/>
    <w:rsid w:val="009C4C79"/>
    <w:rsid w:val="009C5CBC"/>
    <w:rsid w:val="009C7148"/>
    <w:rsid w:val="009C7307"/>
    <w:rsid w:val="009C74A9"/>
    <w:rsid w:val="009D06CD"/>
    <w:rsid w:val="009D155F"/>
    <w:rsid w:val="009D25AB"/>
    <w:rsid w:val="009D2852"/>
    <w:rsid w:val="009D301A"/>
    <w:rsid w:val="009D337A"/>
    <w:rsid w:val="009D3596"/>
    <w:rsid w:val="009D3828"/>
    <w:rsid w:val="009D4800"/>
    <w:rsid w:val="009D497D"/>
    <w:rsid w:val="009D526B"/>
    <w:rsid w:val="009D52D1"/>
    <w:rsid w:val="009D56C6"/>
    <w:rsid w:val="009D62A2"/>
    <w:rsid w:val="009D65B3"/>
    <w:rsid w:val="009D7096"/>
    <w:rsid w:val="009D7AC8"/>
    <w:rsid w:val="009E143B"/>
    <w:rsid w:val="009E198A"/>
    <w:rsid w:val="009E19DD"/>
    <w:rsid w:val="009E328E"/>
    <w:rsid w:val="009E3B83"/>
    <w:rsid w:val="009E4CEE"/>
    <w:rsid w:val="009E5417"/>
    <w:rsid w:val="009E54BF"/>
    <w:rsid w:val="009E5664"/>
    <w:rsid w:val="009E59B9"/>
    <w:rsid w:val="009E5A3D"/>
    <w:rsid w:val="009E6081"/>
    <w:rsid w:val="009E6170"/>
    <w:rsid w:val="009E6854"/>
    <w:rsid w:val="009E7001"/>
    <w:rsid w:val="009E7544"/>
    <w:rsid w:val="009E7EB3"/>
    <w:rsid w:val="009F05C3"/>
    <w:rsid w:val="009F1C93"/>
    <w:rsid w:val="009F2873"/>
    <w:rsid w:val="009F36AA"/>
    <w:rsid w:val="009F4451"/>
    <w:rsid w:val="009F4ADD"/>
    <w:rsid w:val="009F6779"/>
    <w:rsid w:val="009F6F12"/>
    <w:rsid w:val="009F73D5"/>
    <w:rsid w:val="009F7D0C"/>
    <w:rsid w:val="00A00048"/>
    <w:rsid w:val="00A008D5"/>
    <w:rsid w:val="00A00D53"/>
    <w:rsid w:val="00A0268E"/>
    <w:rsid w:val="00A05231"/>
    <w:rsid w:val="00A05824"/>
    <w:rsid w:val="00A06E54"/>
    <w:rsid w:val="00A07D41"/>
    <w:rsid w:val="00A07DCD"/>
    <w:rsid w:val="00A07E93"/>
    <w:rsid w:val="00A1008D"/>
    <w:rsid w:val="00A10245"/>
    <w:rsid w:val="00A10AF8"/>
    <w:rsid w:val="00A1120C"/>
    <w:rsid w:val="00A114CE"/>
    <w:rsid w:val="00A11F2D"/>
    <w:rsid w:val="00A122F2"/>
    <w:rsid w:val="00A12C3C"/>
    <w:rsid w:val="00A13410"/>
    <w:rsid w:val="00A14212"/>
    <w:rsid w:val="00A144EA"/>
    <w:rsid w:val="00A14B1A"/>
    <w:rsid w:val="00A15636"/>
    <w:rsid w:val="00A156B4"/>
    <w:rsid w:val="00A1644F"/>
    <w:rsid w:val="00A16ECE"/>
    <w:rsid w:val="00A17B0B"/>
    <w:rsid w:val="00A17F28"/>
    <w:rsid w:val="00A205B4"/>
    <w:rsid w:val="00A20C2D"/>
    <w:rsid w:val="00A23332"/>
    <w:rsid w:val="00A24042"/>
    <w:rsid w:val="00A2642A"/>
    <w:rsid w:val="00A27897"/>
    <w:rsid w:val="00A278BB"/>
    <w:rsid w:val="00A30D7A"/>
    <w:rsid w:val="00A30DC3"/>
    <w:rsid w:val="00A31204"/>
    <w:rsid w:val="00A31FA7"/>
    <w:rsid w:val="00A327D6"/>
    <w:rsid w:val="00A332EA"/>
    <w:rsid w:val="00A33E0A"/>
    <w:rsid w:val="00A34403"/>
    <w:rsid w:val="00A34581"/>
    <w:rsid w:val="00A34883"/>
    <w:rsid w:val="00A35421"/>
    <w:rsid w:val="00A36AC0"/>
    <w:rsid w:val="00A3736C"/>
    <w:rsid w:val="00A37A85"/>
    <w:rsid w:val="00A37C9F"/>
    <w:rsid w:val="00A406DF"/>
    <w:rsid w:val="00A410E8"/>
    <w:rsid w:val="00A41300"/>
    <w:rsid w:val="00A41D74"/>
    <w:rsid w:val="00A41E15"/>
    <w:rsid w:val="00A45132"/>
    <w:rsid w:val="00A452E5"/>
    <w:rsid w:val="00A453D1"/>
    <w:rsid w:val="00A45589"/>
    <w:rsid w:val="00A46016"/>
    <w:rsid w:val="00A4666A"/>
    <w:rsid w:val="00A46C09"/>
    <w:rsid w:val="00A46DDE"/>
    <w:rsid w:val="00A47BE2"/>
    <w:rsid w:val="00A47C00"/>
    <w:rsid w:val="00A5064A"/>
    <w:rsid w:val="00A5286C"/>
    <w:rsid w:val="00A528BE"/>
    <w:rsid w:val="00A528CD"/>
    <w:rsid w:val="00A530B5"/>
    <w:rsid w:val="00A5336A"/>
    <w:rsid w:val="00A5380C"/>
    <w:rsid w:val="00A539D5"/>
    <w:rsid w:val="00A53B20"/>
    <w:rsid w:val="00A54B23"/>
    <w:rsid w:val="00A553F5"/>
    <w:rsid w:val="00A5574B"/>
    <w:rsid w:val="00A558A3"/>
    <w:rsid w:val="00A5649F"/>
    <w:rsid w:val="00A564A1"/>
    <w:rsid w:val="00A57B74"/>
    <w:rsid w:val="00A60840"/>
    <w:rsid w:val="00A61353"/>
    <w:rsid w:val="00A613CB"/>
    <w:rsid w:val="00A61658"/>
    <w:rsid w:val="00A620BE"/>
    <w:rsid w:val="00A6223C"/>
    <w:rsid w:val="00A62C9A"/>
    <w:rsid w:val="00A63994"/>
    <w:rsid w:val="00A6416B"/>
    <w:rsid w:val="00A64209"/>
    <w:rsid w:val="00A65023"/>
    <w:rsid w:val="00A65EBC"/>
    <w:rsid w:val="00A66872"/>
    <w:rsid w:val="00A67543"/>
    <w:rsid w:val="00A67DA8"/>
    <w:rsid w:val="00A70BC9"/>
    <w:rsid w:val="00A7122E"/>
    <w:rsid w:val="00A7215B"/>
    <w:rsid w:val="00A729A2"/>
    <w:rsid w:val="00A729E9"/>
    <w:rsid w:val="00A72A66"/>
    <w:rsid w:val="00A72EAD"/>
    <w:rsid w:val="00A72ECC"/>
    <w:rsid w:val="00A72FED"/>
    <w:rsid w:val="00A73C67"/>
    <w:rsid w:val="00A74225"/>
    <w:rsid w:val="00A74710"/>
    <w:rsid w:val="00A74E8C"/>
    <w:rsid w:val="00A74E90"/>
    <w:rsid w:val="00A74FD7"/>
    <w:rsid w:val="00A75510"/>
    <w:rsid w:val="00A7593B"/>
    <w:rsid w:val="00A760E7"/>
    <w:rsid w:val="00A76103"/>
    <w:rsid w:val="00A766F4"/>
    <w:rsid w:val="00A77162"/>
    <w:rsid w:val="00A776F6"/>
    <w:rsid w:val="00A77A5A"/>
    <w:rsid w:val="00A808F0"/>
    <w:rsid w:val="00A8103F"/>
    <w:rsid w:val="00A81166"/>
    <w:rsid w:val="00A82B66"/>
    <w:rsid w:val="00A83A17"/>
    <w:rsid w:val="00A83EBA"/>
    <w:rsid w:val="00A842B4"/>
    <w:rsid w:val="00A843BD"/>
    <w:rsid w:val="00A84FF7"/>
    <w:rsid w:val="00A85064"/>
    <w:rsid w:val="00A85364"/>
    <w:rsid w:val="00A8541D"/>
    <w:rsid w:val="00A85781"/>
    <w:rsid w:val="00A85B0A"/>
    <w:rsid w:val="00A86BDB"/>
    <w:rsid w:val="00A86CE1"/>
    <w:rsid w:val="00A87468"/>
    <w:rsid w:val="00A87BE1"/>
    <w:rsid w:val="00A9082C"/>
    <w:rsid w:val="00A90838"/>
    <w:rsid w:val="00A90D68"/>
    <w:rsid w:val="00A911A4"/>
    <w:rsid w:val="00A9222E"/>
    <w:rsid w:val="00A9282E"/>
    <w:rsid w:val="00A939DC"/>
    <w:rsid w:val="00A93A4B"/>
    <w:rsid w:val="00A93D67"/>
    <w:rsid w:val="00A95567"/>
    <w:rsid w:val="00A95F43"/>
    <w:rsid w:val="00A9684A"/>
    <w:rsid w:val="00A96F7E"/>
    <w:rsid w:val="00A9731D"/>
    <w:rsid w:val="00A97C23"/>
    <w:rsid w:val="00A97FD2"/>
    <w:rsid w:val="00AA0097"/>
    <w:rsid w:val="00AA090D"/>
    <w:rsid w:val="00AA173A"/>
    <w:rsid w:val="00AA1937"/>
    <w:rsid w:val="00AA1A4F"/>
    <w:rsid w:val="00AA1C22"/>
    <w:rsid w:val="00AA1F67"/>
    <w:rsid w:val="00AA267F"/>
    <w:rsid w:val="00AA2C7E"/>
    <w:rsid w:val="00AA3353"/>
    <w:rsid w:val="00AA36F5"/>
    <w:rsid w:val="00AA3845"/>
    <w:rsid w:val="00AA4919"/>
    <w:rsid w:val="00AA5366"/>
    <w:rsid w:val="00AA541F"/>
    <w:rsid w:val="00AA59B0"/>
    <w:rsid w:val="00AA60DD"/>
    <w:rsid w:val="00AB037B"/>
    <w:rsid w:val="00AB05C2"/>
    <w:rsid w:val="00AB0EB2"/>
    <w:rsid w:val="00AB0F3A"/>
    <w:rsid w:val="00AB0F47"/>
    <w:rsid w:val="00AB0F9B"/>
    <w:rsid w:val="00AB10A2"/>
    <w:rsid w:val="00AB18A3"/>
    <w:rsid w:val="00AB2A5E"/>
    <w:rsid w:val="00AB2B6D"/>
    <w:rsid w:val="00AB3807"/>
    <w:rsid w:val="00AB3C2D"/>
    <w:rsid w:val="00AB3F1B"/>
    <w:rsid w:val="00AB4542"/>
    <w:rsid w:val="00AB4984"/>
    <w:rsid w:val="00AB4C03"/>
    <w:rsid w:val="00AB5125"/>
    <w:rsid w:val="00AB5525"/>
    <w:rsid w:val="00AB60BB"/>
    <w:rsid w:val="00AB638F"/>
    <w:rsid w:val="00AB64E3"/>
    <w:rsid w:val="00AB6657"/>
    <w:rsid w:val="00AB6A83"/>
    <w:rsid w:val="00AB6C28"/>
    <w:rsid w:val="00AB6FFE"/>
    <w:rsid w:val="00AC00A0"/>
    <w:rsid w:val="00AC153D"/>
    <w:rsid w:val="00AC1815"/>
    <w:rsid w:val="00AC1850"/>
    <w:rsid w:val="00AC1A29"/>
    <w:rsid w:val="00AC2365"/>
    <w:rsid w:val="00AC3B33"/>
    <w:rsid w:val="00AC3C32"/>
    <w:rsid w:val="00AC482D"/>
    <w:rsid w:val="00AC4B06"/>
    <w:rsid w:val="00AC4F6F"/>
    <w:rsid w:val="00AC50D3"/>
    <w:rsid w:val="00AC56C9"/>
    <w:rsid w:val="00AC5999"/>
    <w:rsid w:val="00AC5E72"/>
    <w:rsid w:val="00AC64FF"/>
    <w:rsid w:val="00AC7278"/>
    <w:rsid w:val="00AC7673"/>
    <w:rsid w:val="00AC7DF3"/>
    <w:rsid w:val="00AD09DA"/>
    <w:rsid w:val="00AD0C48"/>
    <w:rsid w:val="00AD0E4F"/>
    <w:rsid w:val="00AD1CB3"/>
    <w:rsid w:val="00AD2074"/>
    <w:rsid w:val="00AD21D3"/>
    <w:rsid w:val="00AD2983"/>
    <w:rsid w:val="00AD2CD1"/>
    <w:rsid w:val="00AD325C"/>
    <w:rsid w:val="00AD34B2"/>
    <w:rsid w:val="00AD4CEB"/>
    <w:rsid w:val="00AD50BE"/>
    <w:rsid w:val="00AD59D4"/>
    <w:rsid w:val="00AD62D1"/>
    <w:rsid w:val="00AD63BB"/>
    <w:rsid w:val="00AD73D4"/>
    <w:rsid w:val="00AE0981"/>
    <w:rsid w:val="00AE0F22"/>
    <w:rsid w:val="00AE120A"/>
    <w:rsid w:val="00AE14FB"/>
    <w:rsid w:val="00AE1A8A"/>
    <w:rsid w:val="00AE2497"/>
    <w:rsid w:val="00AE252F"/>
    <w:rsid w:val="00AE2B3D"/>
    <w:rsid w:val="00AE3593"/>
    <w:rsid w:val="00AE4105"/>
    <w:rsid w:val="00AE45B9"/>
    <w:rsid w:val="00AE51C7"/>
    <w:rsid w:val="00AE5470"/>
    <w:rsid w:val="00AE5475"/>
    <w:rsid w:val="00AE56EE"/>
    <w:rsid w:val="00AE5A63"/>
    <w:rsid w:val="00AE5D6F"/>
    <w:rsid w:val="00AE6D71"/>
    <w:rsid w:val="00AE7512"/>
    <w:rsid w:val="00AE7929"/>
    <w:rsid w:val="00AF0B43"/>
    <w:rsid w:val="00AF144C"/>
    <w:rsid w:val="00AF2B7F"/>
    <w:rsid w:val="00AF2BDF"/>
    <w:rsid w:val="00AF3736"/>
    <w:rsid w:val="00AF393B"/>
    <w:rsid w:val="00AF4504"/>
    <w:rsid w:val="00AF4674"/>
    <w:rsid w:val="00AF4914"/>
    <w:rsid w:val="00AF5B6B"/>
    <w:rsid w:val="00AF5B76"/>
    <w:rsid w:val="00AF724D"/>
    <w:rsid w:val="00AF72AA"/>
    <w:rsid w:val="00AF73EF"/>
    <w:rsid w:val="00AF775E"/>
    <w:rsid w:val="00AF7B67"/>
    <w:rsid w:val="00B00635"/>
    <w:rsid w:val="00B027C6"/>
    <w:rsid w:val="00B03802"/>
    <w:rsid w:val="00B04C47"/>
    <w:rsid w:val="00B050CB"/>
    <w:rsid w:val="00B065A4"/>
    <w:rsid w:val="00B06A3E"/>
    <w:rsid w:val="00B06E05"/>
    <w:rsid w:val="00B07131"/>
    <w:rsid w:val="00B076A2"/>
    <w:rsid w:val="00B10140"/>
    <w:rsid w:val="00B10756"/>
    <w:rsid w:val="00B11B31"/>
    <w:rsid w:val="00B12180"/>
    <w:rsid w:val="00B1234C"/>
    <w:rsid w:val="00B132BD"/>
    <w:rsid w:val="00B154DC"/>
    <w:rsid w:val="00B16DEA"/>
    <w:rsid w:val="00B16EB4"/>
    <w:rsid w:val="00B17C24"/>
    <w:rsid w:val="00B202AF"/>
    <w:rsid w:val="00B203E1"/>
    <w:rsid w:val="00B205F0"/>
    <w:rsid w:val="00B21B65"/>
    <w:rsid w:val="00B22363"/>
    <w:rsid w:val="00B22C42"/>
    <w:rsid w:val="00B2329E"/>
    <w:rsid w:val="00B23600"/>
    <w:rsid w:val="00B23A23"/>
    <w:rsid w:val="00B23B60"/>
    <w:rsid w:val="00B23E3A"/>
    <w:rsid w:val="00B24948"/>
    <w:rsid w:val="00B2498B"/>
    <w:rsid w:val="00B24DDB"/>
    <w:rsid w:val="00B25287"/>
    <w:rsid w:val="00B25E81"/>
    <w:rsid w:val="00B26649"/>
    <w:rsid w:val="00B26925"/>
    <w:rsid w:val="00B26B7F"/>
    <w:rsid w:val="00B26C46"/>
    <w:rsid w:val="00B27A1C"/>
    <w:rsid w:val="00B304E2"/>
    <w:rsid w:val="00B309B4"/>
    <w:rsid w:val="00B31AA8"/>
    <w:rsid w:val="00B31CAA"/>
    <w:rsid w:val="00B3267F"/>
    <w:rsid w:val="00B32924"/>
    <w:rsid w:val="00B337B2"/>
    <w:rsid w:val="00B33DA1"/>
    <w:rsid w:val="00B34260"/>
    <w:rsid w:val="00B3459F"/>
    <w:rsid w:val="00B35C7F"/>
    <w:rsid w:val="00B35EFE"/>
    <w:rsid w:val="00B36227"/>
    <w:rsid w:val="00B3696E"/>
    <w:rsid w:val="00B40A37"/>
    <w:rsid w:val="00B4153F"/>
    <w:rsid w:val="00B419ED"/>
    <w:rsid w:val="00B42113"/>
    <w:rsid w:val="00B42131"/>
    <w:rsid w:val="00B429C0"/>
    <w:rsid w:val="00B42BB8"/>
    <w:rsid w:val="00B43244"/>
    <w:rsid w:val="00B438DB"/>
    <w:rsid w:val="00B4446E"/>
    <w:rsid w:val="00B444EF"/>
    <w:rsid w:val="00B446E8"/>
    <w:rsid w:val="00B44C23"/>
    <w:rsid w:val="00B44D72"/>
    <w:rsid w:val="00B44EC8"/>
    <w:rsid w:val="00B45500"/>
    <w:rsid w:val="00B45C9D"/>
    <w:rsid w:val="00B4669A"/>
    <w:rsid w:val="00B46C0B"/>
    <w:rsid w:val="00B47267"/>
    <w:rsid w:val="00B50BA7"/>
    <w:rsid w:val="00B50CEE"/>
    <w:rsid w:val="00B515CA"/>
    <w:rsid w:val="00B515F1"/>
    <w:rsid w:val="00B518DF"/>
    <w:rsid w:val="00B51B35"/>
    <w:rsid w:val="00B5226E"/>
    <w:rsid w:val="00B525ED"/>
    <w:rsid w:val="00B53B3A"/>
    <w:rsid w:val="00B53E20"/>
    <w:rsid w:val="00B54214"/>
    <w:rsid w:val="00B55076"/>
    <w:rsid w:val="00B551F1"/>
    <w:rsid w:val="00B55276"/>
    <w:rsid w:val="00B578E7"/>
    <w:rsid w:val="00B60087"/>
    <w:rsid w:val="00B60A98"/>
    <w:rsid w:val="00B60CE9"/>
    <w:rsid w:val="00B60EAA"/>
    <w:rsid w:val="00B60FB9"/>
    <w:rsid w:val="00B61874"/>
    <w:rsid w:val="00B63743"/>
    <w:rsid w:val="00B63B26"/>
    <w:rsid w:val="00B64AA3"/>
    <w:rsid w:val="00B64BE5"/>
    <w:rsid w:val="00B64D94"/>
    <w:rsid w:val="00B65B2A"/>
    <w:rsid w:val="00B66D19"/>
    <w:rsid w:val="00B6706B"/>
    <w:rsid w:val="00B67A3D"/>
    <w:rsid w:val="00B67D03"/>
    <w:rsid w:val="00B70138"/>
    <w:rsid w:val="00B709DD"/>
    <w:rsid w:val="00B715A5"/>
    <w:rsid w:val="00B7239B"/>
    <w:rsid w:val="00B72FDB"/>
    <w:rsid w:val="00B76754"/>
    <w:rsid w:val="00B776B2"/>
    <w:rsid w:val="00B77E2B"/>
    <w:rsid w:val="00B803E2"/>
    <w:rsid w:val="00B81314"/>
    <w:rsid w:val="00B8153D"/>
    <w:rsid w:val="00B81BE4"/>
    <w:rsid w:val="00B81D2E"/>
    <w:rsid w:val="00B82CED"/>
    <w:rsid w:val="00B82EA6"/>
    <w:rsid w:val="00B8319D"/>
    <w:rsid w:val="00B83356"/>
    <w:rsid w:val="00B8339C"/>
    <w:rsid w:val="00B838B8"/>
    <w:rsid w:val="00B839B8"/>
    <w:rsid w:val="00B83ABA"/>
    <w:rsid w:val="00B83B34"/>
    <w:rsid w:val="00B83B7E"/>
    <w:rsid w:val="00B83E26"/>
    <w:rsid w:val="00B8412A"/>
    <w:rsid w:val="00B85388"/>
    <w:rsid w:val="00B85F90"/>
    <w:rsid w:val="00B86322"/>
    <w:rsid w:val="00B8760D"/>
    <w:rsid w:val="00B87AD9"/>
    <w:rsid w:val="00B91880"/>
    <w:rsid w:val="00B918B2"/>
    <w:rsid w:val="00B91FCE"/>
    <w:rsid w:val="00B9214C"/>
    <w:rsid w:val="00B9274B"/>
    <w:rsid w:val="00B929A3"/>
    <w:rsid w:val="00B93560"/>
    <w:rsid w:val="00B938AF"/>
    <w:rsid w:val="00B940CB"/>
    <w:rsid w:val="00B9453B"/>
    <w:rsid w:val="00B9544C"/>
    <w:rsid w:val="00B95F19"/>
    <w:rsid w:val="00B96F2A"/>
    <w:rsid w:val="00B975A7"/>
    <w:rsid w:val="00B97FE1"/>
    <w:rsid w:val="00BA02A3"/>
    <w:rsid w:val="00BA0F23"/>
    <w:rsid w:val="00BA0FC9"/>
    <w:rsid w:val="00BA163C"/>
    <w:rsid w:val="00BA2133"/>
    <w:rsid w:val="00BA22A2"/>
    <w:rsid w:val="00BA22CE"/>
    <w:rsid w:val="00BA45F5"/>
    <w:rsid w:val="00BA4BE9"/>
    <w:rsid w:val="00BA5373"/>
    <w:rsid w:val="00BA55E6"/>
    <w:rsid w:val="00BA560A"/>
    <w:rsid w:val="00BA626F"/>
    <w:rsid w:val="00BA6E15"/>
    <w:rsid w:val="00BA6E9D"/>
    <w:rsid w:val="00BA6F7A"/>
    <w:rsid w:val="00BA703C"/>
    <w:rsid w:val="00BA77A6"/>
    <w:rsid w:val="00BA78E3"/>
    <w:rsid w:val="00BA796F"/>
    <w:rsid w:val="00BA7F09"/>
    <w:rsid w:val="00BB0036"/>
    <w:rsid w:val="00BB064D"/>
    <w:rsid w:val="00BB0B29"/>
    <w:rsid w:val="00BB18CE"/>
    <w:rsid w:val="00BB1D66"/>
    <w:rsid w:val="00BB254F"/>
    <w:rsid w:val="00BB2A88"/>
    <w:rsid w:val="00BB4ADE"/>
    <w:rsid w:val="00BB5271"/>
    <w:rsid w:val="00BB52C1"/>
    <w:rsid w:val="00BB52F9"/>
    <w:rsid w:val="00BB5EC7"/>
    <w:rsid w:val="00BB67BA"/>
    <w:rsid w:val="00BB7523"/>
    <w:rsid w:val="00BC1D6D"/>
    <w:rsid w:val="00BC2650"/>
    <w:rsid w:val="00BC274B"/>
    <w:rsid w:val="00BC4076"/>
    <w:rsid w:val="00BC4853"/>
    <w:rsid w:val="00BC4857"/>
    <w:rsid w:val="00BC4984"/>
    <w:rsid w:val="00BC612D"/>
    <w:rsid w:val="00BC62A4"/>
    <w:rsid w:val="00BC69AD"/>
    <w:rsid w:val="00BC69C2"/>
    <w:rsid w:val="00BC6BEE"/>
    <w:rsid w:val="00BC6E90"/>
    <w:rsid w:val="00BC70CF"/>
    <w:rsid w:val="00BC7100"/>
    <w:rsid w:val="00BC7419"/>
    <w:rsid w:val="00BD0683"/>
    <w:rsid w:val="00BD0BBB"/>
    <w:rsid w:val="00BD0F2E"/>
    <w:rsid w:val="00BD12B5"/>
    <w:rsid w:val="00BD2B81"/>
    <w:rsid w:val="00BD36C4"/>
    <w:rsid w:val="00BD414F"/>
    <w:rsid w:val="00BD4363"/>
    <w:rsid w:val="00BD54AA"/>
    <w:rsid w:val="00BD5B1D"/>
    <w:rsid w:val="00BD5D12"/>
    <w:rsid w:val="00BD607B"/>
    <w:rsid w:val="00BD61A1"/>
    <w:rsid w:val="00BD67D2"/>
    <w:rsid w:val="00BD7C96"/>
    <w:rsid w:val="00BE00CA"/>
    <w:rsid w:val="00BE04F8"/>
    <w:rsid w:val="00BE065A"/>
    <w:rsid w:val="00BE082C"/>
    <w:rsid w:val="00BE0FBD"/>
    <w:rsid w:val="00BE271F"/>
    <w:rsid w:val="00BE2B71"/>
    <w:rsid w:val="00BE3145"/>
    <w:rsid w:val="00BE3EBE"/>
    <w:rsid w:val="00BE410C"/>
    <w:rsid w:val="00BE49CC"/>
    <w:rsid w:val="00BE4AB9"/>
    <w:rsid w:val="00BE4DDB"/>
    <w:rsid w:val="00BE5797"/>
    <w:rsid w:val="00BE59C0"/>
    <w:rsid w:val="00BE59E1"/>
    <w:rsid w:val="00BE5A59"/>
    <w:rsid w:val="00BE5AD5"/>
    <w:rsid w:val="00BE5EA6"/>
    <w:rsid w:val="00BE6BA2"/>
    <w:rsid w:val="00BE6FCE"/>
    <w:rsid w:val="00BE7828"/>
    <w:rsid w:val="00BF02E5"/>
    <w:rsid w:val="00BF038E"/>
    <w:rsid w:val="00BF08AE"/>
    <w:rsid w:val="00BF0950"/>
    <w:rsid w:val="00BF0A76"/>
    <w:rsid w:val="00BF13BD"/>
    <w:rsid w:val="00BF1E79"/>
    <w:rsid w:val="00BF1ED6"/>
    <w:rsid w:val="00BF2ED3"/>
    <w:rsid w:val="00BF3626"/>
    <w:rsid w:val="00BF3679"/>
    <w:rsid w:val="00BF377D"/>
    <w:rsid w:val="00BF3CE1"/>
    <w:rsid w:val="00BF4236"/>
    <w:rsid w:val="00BF4372"/>
    <w:rsid w:val="00BF480D"/>
    <w:rsid w:val="00BF4D04"/>
    <w:rsid w:val="00BF4F44"/>
    <w:rsid w:val="00BF54FE"/>
    <w:rsid w:val="00BF581A"/>
    <w:rsid w:val="00BF698B"/>
    <w:rsid w:val="00BF6C54"/>
    <w:rsid w:val="00BF75E7"/>
    <w:rsid w:val="00BF7833"/>
    <w:rsid w:val="00BF789E"/>
    <w:rsid w:val="00BF7BC4"/>
    <w:rsid w:val="00C00ACD"/>
    <w:rsid w:val="00C00B52"/>
    <w:rsid w:val="00C00B96"/>
    <w:rsid w:val="00C00E7F"/>
    <w:rsid w:val="00C02570"/>
    <w:rsid w:val="00C02AED"/>
    <w:rsid w:val="00C0391D"/>
    <w:rsid w:val="00C03BA3"/>
    <w:rsid w:val="00C03C81"/>
    <w:rsid w:val="00C043F8"/>
    <w:rsid w:val="00C045B5"/>
    <w:rsid w:val="00C04DBA"/>
    <w:rsid w:val="00C05F5D"/>
    <w:rsid w:val="00C06232"/>
    <w:rsid w:val="00C0627F"/>
    <w:rsid w:val="00C063E0"/>
    <w:rsid w:val="00C063EF"/>
    <w:rsid w:val="00C071C5"/>
    <w:rsid w:val="00C075D0"/>
    <w:rsid w:val="00C10AA9"/>
    <w:rsid w:val="00C1301C"/>
    <w:rsid w:val="00C13623"/>
    <w:rsid w:val="00C13C9C"/>
    <w:rsid w:val="00C147C5"/>
    <w:rsid w:val="00C15032"/>
    <w:rsid w:val="00C15337"/>
    <w:rsid w:val="00C16189"/>
    <w:rsid w:val="00C16C09"/>
    <w:rsid w:val="00C171D6"/>
    <w:rsid w:val="00C17941"/>
    <w:rsid w:val="00C17F48"/>
    <w:rsid w:val="00C17F55"/>
    <w:rsid w:val="00C201D0"/>
    <w:rsid w:val="00C209BC"/>
    <w:rsid w:val="00C20F52"/>
    <w:rsid w:val="00C2196F"/>
    <w:rsid w:val="00C21F0C"/>
    <w:rsid w:val="00C2200D"/>
    <w:rsid w:val="00C23DD4"/>
    <w:rsid w:val="00C24103"/>
    <w:rsid w:val="00C24AE7"/>
    <w:rsid w:val="00C24F15"/>
    <w:rsid w:val="00C2644B"/>
    <w:rsid w:val="00C264BE"/>
    <w:rsid w:val="00C26C0F"/>
    <w:rsid w:val="00C273D9"/>
    <w:rsid w:val="00C3043A"/>
    <w:rsid w:val="00C30D2C"/>
    <w:rsid w:val="00C313C0"/>
    <w:rsid w:val="00C32B2E"/>
    <w:rsid w:val="00C33050"/>
    <w:rsid w:val="00C33F68"/>
    <w:rsid w:val="00C3455F"/>
    <w:rsid w:val="00C34F15"/>
    <w:rsid w:val="00C3530F"/>
    <w:rsid w:val="00C35B56"/>
    <w:rsid w:val="00C36081"/>
    <w:rsid w:val="00C3618F"/>
    <w:rsid w:val="00C36354"/>
    <w:rsid w:val="00C369AC"/>
    <w:rsid w:val="00C40751"/>
    <w:rsid w:val="00C40ACA"/>
    <w:rsid w:val="00C40CF6"/>
    <w:rsid w:val="00C4136A"/>
    <w:rsid w:val="00C41E83"/>
    <w:rsid w:val="00C42595"/>
    <w:rsid w:val="00C42914"/>
    <w:rsid w:val="00C42BEA"/>
    <w:rsid w:val="00C43008"/>
    <w:rsid w:val="00C43674"/>
    <w:rsid w:val="00C44ECF"/>
    <w:rsid w:val="00C451B8"/>
    <w:rsid w:val="00C459C1"/>
    <w:rsid w:val="00C4798E"/>
    <w:rsid w:val="00C47A11"/>
    <w:rsid w:val="00C47B60"/>
    <w:rsid w:val="00C47FEA"/>
    <w:rsid w:val="00C50575"/>
    <w:rsid w:val="00C51149"/>
    <w:rsid w:val="00C513B1"/>
    <w:rsid w:val="00C517E6"/>
    <w:rsid w:val="00C51B43"/>
    <w:rsid w:val="00C51CB1"/>
    <w:rsid w:val="00C52162"/>
    <w:rsid w:val="00C53068"/>
    <w:rsid w:val="00C5313B"/>
    <w:rsid w:val="00C53A23"/>
    <w:rsid w:val="00C53B79"/>
    <w:rsid w:val="00C53E15"/>
    <w:rsid w:val="00C547B2"/>
    <w:rsid w:val="00C54A30"/>
    <w:rsid w:val="00C55606"/>
    <w:rsid w:val="00C55F1A"/>
    <w:rsid w:val="00C562E8"/>
    <w:rsid w:val="00C5665C"/>
    <w:rsid w:val="00C56ACF"/>
    <w:rsid w:val="00C56DD8"/>
    <w:rsid w:val="00C570A6"/>
    <w:rsid w:val="00C6059E"/>
    <w:rsid w:val="00C6073D"/>
    <w:rsid w:val="00C6077E"/>
    <w:rsid w:val="00C60C3B"/>
    <w:rsid w:val="00C60EA1"/>
    <w:rsid w:val="00C61758"/>
    <w:rsid w:val="00C61960"/>
    <w:rsid w:val="00C622D8"/>
    <w:rsid w:val="00C6288A"/>
    <w:rsid w:val="00C62926"/>
    <w:rsid w:val="00C62E1C"/>
    <w:rsid w:val="00C62FFA"/>
    <w:rsid w:val="00C63972"/>
    <w:rsid w:val="00C64BFE"/>
    <w:rsid w:val="00C65D07"/>
    <w:rsid w:val="00C65FDC"/>
    <w:rsid w:val="00C67EB4"/>
    <w:rsid w:val="00C7019F"/>
    <w:rsid w:val="00C704D4"/>
    <w:rsid w:val="00C70FC4"/>
    <w:rsid w:val="00C72DC8"/>
    <w:rsid w:val="00C742A6"/>
    <w:rsid w:val="00C75683"/>
    <w:rsid w:val="00C75805"/>
    <w:rsid w:val="00C75F22"/>
    <w:rsid w:val="00C765D7"/>
    <w:rsid w:val="00C76886"/>
    <w:rsid w:val="00C774C0"/>
    <w:rsid w:val="00C775E3"/>
    <w:rsid w:val="00C80C0A"/>
    <w:rsid w:val="00C816BD"/>
    <w:rsid w:val="00C819CD"/>
    <w:rsid w:val="00C81AFE"/>
    <w:rsid w:val="00C81C9C"/>
    <w:rsid w:val="00C8235E"/>
    <w:rsid w:val="00C823F0"/>
    <w:rsid w:val="00C8272D"/>
    <w:rsid w:val="00C82DA1"/>
    <w:rsid w:val="00C8309E"/>
    <w:rsid w:val="00C8348D"/>
    <w:rsid w:val="00C83BC0"/>
    <w:rsid w:val="00C83C9F"/>
    <w:rsid w:val="00C83F0C"/>
    <w:rsid w:val="00C84F2F"/>
    <w:rsid w:val="00C86095"/>
    <w:rsid w:val="00C86470"/>
    <w:rsid w:val="00C86CEF"/>
    <w:rsid w:val="00C86D8B"/>
    <w:rsid w:val="00C90058"/>
    <w:rsid w:val="00C905C2"/>
    <w:rsid w:val="00C90C1A"/>
    <w:rsid w:val="00C90F00"/>
    <w:rsid w:val="00C91374"/>
    <w:rsid w:val="00C9164F"/>
    <w:rsid w:val="00C91D10"/>
    <w:rsid w:val="00C91F7C"/>
    <w:rsid w:val="00C92D85"/>
    <w:rsid w:val="00C930A4"/>
    <w:rsid w:val="00C93134"/>
    <w:rsid w:val="00C937E3"/>
    <w:rsid w:val="00C93B86"/>
    <w:rsid w:val="00C94C3C"/>
    <w:rsid w:val="00C955A4"/>
    <w:rsid w:val="00C95647"/>
    <w:rsid w:val="00C966FA"/>
    <w:rsid w:val="00C97226"/>
    <w:rsid w:val="00C97C02"/>
    <w:rsid w:val="00C97C7E"/>
    <w:rsid w:val="00C97C8A"/>
    <w:rsid w:val="00C97E4B"/>
    <w:rsid w:val="00CA0986"/>
    <w:rsid w:val="00CA0CEA"/>
    <w:rsid w:val="00CA1D70"/>
    <w:rsid w:val="00CA2880"/>
    <w:rsid w:val="00CA336A"/>
    <w:rsid w:val="00CA3599"/>
    <w:rsid w:val="00CA362B"/>
    <w:rsid w:val="00CA365C"/>
    <w:rsid w:val="00CA3A91"/>
    <w:rsid w:val="00CA4329"/>
    <w:rsid w:val="00CA5123"/>
    <w:rsid w:val="00CA560E"/>
    <w:rsid w:val="00CA60D7"/>
    <w:rsid w:val="00CA6384"/>
    <w:rsid w:val="00CA74FD"/>
    <w:rsid w:val="00CA7A3F"/>
    <w:rsid w:val="00CB034B"/>
    <w:rsid w:val="00CB0535"/>
    <w:rsid w:val="00CB09E4"/>
    <w:rsid w:val="00CB0D13"/>
    <w:rsid w:val="00CB1ED3"/>
    <w:rsid w:val="00CB2861"/>
    <w:rsid w:val="00CB4D7B"/>
    <w:rsid w:val="00CB50AE"/>
    <w:rsid w:val="00CB63FC"/>
    <w:rsid w:val="00CB746E"/>
    <w:rsid w:val="00CB76AF"/>
    <w:rsid w:val="00CB7E88"/>
    <w:rsid w:val="00CB7F94"/>
    <w:rsid w:val="00CC028D"/>
    <w:rsid w:val="00CC1957"/>
    <w:rsid w:val="00CC2759"/>
    <w:rsid w:val="00CC29A5"/>
    <w:rsid w:val="00CC2E22"/>
    <w:rsid w:val="00CC3300"/>
    <w:rsid w:val="00CC41D2"/>
    <w:rsid w:val="00CC4F74"/>
    <w:rsid w:val="00CC50A0"/>
    <w:rsid w:val="00CC576D"/>
    <w:rsid w:val="00CC67E7"/>
    <w:rsid w:val="00CC68A3"/>
    <w:rsid w:val="00CD01BD"/>
    <w:rsid w:val="00CD08CB"/>
    <w:rsid w:val="00CD160D"/>
    <w:rsid w:val="00CD18A3"/>
    <w:rsid w:val="00CD240F"/>
    <w:rsid w:val="00CD27F5"/>
    <w:rsid w:val="00CD3056"/>
    <w:rsid w:val="00CD3706"/>
    <w:rsid w:val="00CD3952"/>
    <w:rsid w:val="00CD395C"/>
    <w:rsid w:val="00CD5306"/>
    <w:rsid w:val="00CD5875"/>
    <w:rsid w:val="00CD6E6B"/>
    <w:rsid w:val="00CE05E7"/>
    <w:rsid w:val="00CE09B9"/>
    <w:rsid w:val="00CE0CF3"/>
    <w:rsid w:val="00CE1391"/>
    <w:rsid w:val="00CE16CB"/>
    <w:rsid w:val="00CE1F2E"/>
    <w:rsid w:val="00CE2CFA"/>
    <w:rsid w:val="00CE3816"/>
    <w:rsid w:val="00CE3B8C"/>
    <w:rsid w:val="00CE4CC1"/>
    <w:rsid w:val="00CE545C"/>
    <w:rsid w:val="00CE5A77"/>
    <w:rsid w:val="00CE622E"/>
    <w:rsid w:val="00CE62AD"/>
    <w:rsid w:val="00CE636F"/>
    <w:rsid w:val="00CE63F9"/>
    <w:rsid w:val="00CE6994"/>
    <w:rsid w:val="00CE6A97"/>
    <w:rsid w:val="00CE7955"/>
    <w:rsid w:val="00CF007B"/>
    <w:rsid w:val="00CF01D8"/>
    <w:rsid w:val="00CF01EB"/>
    <w:rsid w:val="00CF0528"/>
    <w:rsid w:val="00CF0E8C"/>
    <w:rsid w:val="00CF0EEF"/>
    <w:rsid w:val="00CF107F"/>
    <w:rsid w:val="00CF111F"/>
    <w:rsid w:val="00CF16B1"/>
    <w:rsid w:val="00CF17F4"/>
    <w:rsid w:val="00CF2122"/>
    <w:rsid w:val="00CF226F"/>
    <w:rsid w:val="00CF251D"/>
    <w:rsid w:val="00CF253D"/>
    <w:rsid w:val="00CF255A"/>
    <w:rsid w:val="00CF3758"/>
    <w:rsid w:val="00CF3780"/>
    <w:rsid w:val="00CF3E55"/>
    <w:rsid w:val="00CF40E2"/>
    <w:rsid w:val="00CF50DF"/>
    <w:rsid w:val="00CF5424"/>
    <w:rsid w:val="00CF57A0"/>
    <w:rsid w:val="00CF607A"/>
    <w:rsid w:val="00CF70C1"/>
    <w:rsid w:val="00CF7EE1"/>
    <w:rsid w:val="00D000F5"/>
    <w:rsid w:val="00D012B0"/>
    <w:rsid w:val="00D01A18"/>
    <w:rsid w:val="00D02299"/>
    <w:rsid w:val="00D029C9"/>
    <w:rsid w:val="00D02A7B"/>
    <w:rsid w:val="00D0324E"/>
    <w:rsid w:val="00D03ACA"/>
    <w:rsid w:val="00D03D44"/>
    <w:rsid w:val="00D04FFD"/>
    <w:rsid w:val="00D052BB"/>
    <w:rsid w:val="00D054BE"/>
    <w:rsid w:val="00D05525"/>
    <w:rsid w:val="00D0583D"/>
    <w:rsid w:val="00D05BBF"/>
    <w:rsid w:val="00D06DAB"/>
    <w:rsid w:val="00D0729B"/>
    <w:rsid w:val="00D10D0B"/>
    <w:rsid w:val="00D113F5"/>
    <w:rsid w:val="00D12F2F"/>
    <w:rsid w:val="00D13322"/>
    <w:rsid w:val="00D13337"/>
    <w:rsid w:val="00D134F2"/>
    <w:rsid w:val="00D1383D"/>
    <w:rsid w:val="00D1429B"/>
    <w:rsid w:val="00D158FB"/>
    <w:rsid w:val="00D15A4B"/>
    <w:rsid w:val="00D15C8C"/>
    <w:rsid w:val="00D16C92"/>
    <w:rsid w:val="00D16DCF"/>
    <w:rsid w:val="00D172B0"/>
    <w:rsid w:val="00D20200"/>
    <w:rsid w:val="00D20D4B"/>
    <w:rsid w:val="00D2195E"/>
    <w:rsid w:val="00D22133"/>
    <w:rsid w:val="00D2276D"/>
    <w:rsid w:val="00D2294D"/>
    <w:rsid w:val="00D2307B"/>
    <w:rsid w:val="00D23943"/>
    <w:rsid w:val="00D23DF3"/>
    <w:rsid w:val="00D24075"/>
    <w:rsid w:val="00D243AC"/>
    <w:rsid w:val="00D24C30"/>
    <w:rsid w:val="00D25E73"/>
    <w:rsid w:val="00D25F88"/>
    <w:rsid w:val="00D26474"/>
    <w:rsid w:val="00D26E92"/>
    <w:rsid w:val="00D27963"/>
    <w:rsid w:val="00D312B0"/>
    <w:rsid w:val="00D31775"/>
    <w:rsid w:val="00D3280E"/>
    <w:rsid w:val="00D32CEB"/>
    <w:rsid w:val="00D337D5"/>
    <w:rsid w:val="00D33CB3"/>
    <w:rsid w:val="00D33D6F"/>
    <w:rsid w:val="00D3501D"/>
    <w:rsid w:val="00D35FB5"/>
    <w:rsid w:val="00D367D0"/>
    <w:rsid w:val="00D369F9"/>
    <w:rsid w:val="00D3739B"/>
    <w:rsid w:val="00D37B0B"/>
    <w:rsid w:val="00D4029B"/>
    <w:rsid w:val="00D40A40"/>
    <w:rsid w:val="00D40DAE"/>
    <w:rsid w:val="00D413E1"/>
    <w:rsid w:val="00D4184A"/>
    <w:rsid w:val="00D41C51"/>
    <w:rsid w:val="00D41E7E"/>
    <w:rsid w:val="00D41FE7"/>
    <w:rsid w:val="00D426DF"/>
    <w:rsid w:val="00D445CE"/>
    <w:rsid w:val="00D44BF7"/>
    <w:rsid w:val="00D452EB"/>
    <w:rsid w:val="00D457E9"/>
    <w:rsid w:val="00D45BF3"/>
    <w:rsid w:val="00D46A3A"/>
    <w:rsid w:val="00D46E07"/>
    <w:rsid w:val="00D47DCF"/>
    <w:rsid w:val="00D47EE6"/>
    <w:rsid w:val="00D508A4"/>
    <w:rsid w:val="00D514B2"/>
    <w:rsid w:val="00D51695"/>
    <w:rsid w:val="00D52E17"/>
    <w:rsid w:val="00D53D94"/>
    <w:rsid w:val="00D54207"/>
    <w:rsid w:val="00D54EB1"/>
    <w:rsid w:val="00D54EF2"/>
    <w:rsid w:val="00D55082"/>
    <w:rsid w:val="00D555D3"/>
    <w:rsid w:val="00D56B6F"/>
    <w:rsid w:val="00D57A95"/>
    <w:rsid w:val="00D61C5F"/>
    <w:rsid w:val="00D630DA"/>
    <w:rsid w:val="00D63FA4"/>
    <w:rsid w:val="00D64C83"/>
    <w:rsid w:val="00D64D35"/>
    <w:rsid w:val="00D65BEA"/>
    <w:rsid w:val="00D65C09"/>
    <w:rsid w:val="00D66AD7"/>
    <w:rsid w:val="00D66C60"/>
    <w:rsid w:val="00D67228"/>
    <w:rsid w:val="00D678DA"/>
    <w:rsid w:val="00D70196"/>
    <w:rsid w:val="00D72B50"/>
    <w:rsid w:val="00D732B1"/>
    <w:rsid w:val="00D73649"/>
    <w:rsid w:val="00D736F6"/>
    <w:rsid w:val="00D736F7"/>
    <w:rsid w:val="00D747CE"/>
    <w:rsid w:val="00D756F8"/>
    <w:rsid w:val="00D7642D"/>
    <w:rsid w:val="00D76605"/>
    <w:rsid w:val="00D80732"/>
    <w:rsid w:val="00D80843"/>
    <w:rsid w:val="00D80958"/>
    <w:rsid w:val="00D80D17"/>
    <w:rsid w:val="00D815D8"/>
    <w:rsid w:val="00D81844"/>
    <w:rsid w:val="00D82B70"/>
    <w:rsid w:val="00D83059"/>
    <w:rsid w:val="00D83DA4"/>
    <w:rsid w:val="00D83E5E"/>
    <w:rsid w:val="00D843C1"/>
    <w:rsid w:val="00D84477"/>
    <w:rsid w:val="00D85518"/>
    <w:rsid w:val="00D861F3"/>
    <w:rsid w:val="00D8636B"/>
    <w:rsid w:val="00D868D7"/>
    <w:rsid w:val="00D87628"/>
    <w:rsid w:val="00D87D41"/>
    <w:rsid w:val="00D87F56"/>
    <w:rsid w:val="00D87F8C"/>
    <w:rsid w:val="00D9078B"/>
    <w:rsid w:val="00D915F9"/>
    <w:rsid w:val="00D91FD2"/>
    <w:rsid w:val="00D9232D"/>
    <w:rsid w:val="00D923C5"/>
    <w:rsid w:val="00D92746"/>
    <w:rsid w:val="00D92930"/>
    <w:rsid w:val="00D92B52"/>
    <w:rsid w:val="00D933A0"/>
    <w:rsid w:val="00D93D9F"/>
    <w:rsid w:val="00D9417B"/>
    <w:rsid w:val="00D9514A"/>
    <w:rsid w:val="00D95475"/>
    <w:rsid w:val="00D95E98"/>
    <w:rsid w:val="00D97A88"/>
    <w:rsid w:val="00D97D4C"/>
    <w:rsid w:val="00D97E4B"/>
    <w:rsid w:val="00DA1C21"/>
    <w:rsid w:val="00DA3990"/>
    <w:rsid w:val="00DA3EB3"/>
    <w:rsid w:val="00DA401E"/>
    <w:rsid w:val="00DA4173"/>
    <w:rsid w:val="00DA471E"/>
    <w:rsid w:val="00DA5B7A"/>
    <w:rsid w:val="00DA6CC1"/>
    <w:rsid w:val="00DA6F8A"/>
    <w:rsid w:val="00DA743C"/>
    <w:rsid w:val="00DA7D52"/>
    <w:rsid w:val="00DB118D"/>
    <w:rsid w:val="00DB2C2F"/>
    <w:rsid w:val="00DB2E1F"/>
    <w:rsid w:val="00DB39E7"/>
    <w:rsid w:val="00DB3C8B"/>
    <w:rsid w:val="00DB3DED"/>
    <w:rsid w:val="00DB4339"/>
    <w:rsid w:val="00DB4403"/>
    <w:rsid w:val="00DB46F3"/>
    <w:rsid w:val="00DB4771"/>
    <w:rsid w:val="00DB5454"/>
    <w:rsid w:val="00DB5720"/>
    <w:rsid w:val="00DB6F0A"/>
    <w:rsid w:val="00DB71C8"/>
    <w:rsid w:val="00DB7BAA"/>
    <w:rsid w:val="00DB7E25"/>
    <w:rsid w:val="00DC1006"/>
    <w:rsid w:val="00DC21D5"/>
    <w:rsid w:val="00DC2537"/>
    <w:rsid w:val="00DC272A"/>
    <w:rsid w:val="00DC2E03"/>
    <w:rsid w:val="00DC2EFE"/>
    <w:rsid w:val="00DC3382"/>
    <w:rsid w:val="00DC3B55"/>
    <w:rsid w:val="00DC3EC4"/>
    <w:rsid w:val="00DC4DBA"/>
    <w:rsid w:val="00DC5010"/>
    <w:rsid w:val="00DC6B0C"/>
    <w:rsid w:val="00DC7432"/>
    <w:rsid w:val="00DC746B"/>
    <w:rsid w:val="00DD0AB1"/>
    <w:rsid w:val="00DD0AEC"/>
    <w:rsid w:val="00DD15C8"/>
    <w:rsid w:val="00DD4515"/>
    <w:rsid w:val="00DD567C"/>
    <w:rsid w:val="00DD579D"/>
    <w:rsid w:val="00DD5A18"/>
    <w:rsid w:val="00DD7AA5"/>
    <w:rsid w:val="00DE0067"/>
    <w:rsid w:val="00DE05FF"/>
    <w:rsid w:val="00DE063A"/>
    <w:rsid w:val="00DE06FF"/>
    <w:rsid w:val="00DE14FC"/>
    <w:rsid w:val="00DE15CE"/>
    <w:rsid w:val="00DE1C3D"/>
    <w:rsid w:val="00DE3C07"/>
    <w:rsid w:val="00DE4CC8"/>
    <w:rsid w:val="00DE659B"/>
    <w:rsid w:val="00DE7F35"/>
    <w:rsid w:val="00DF0B7A"/>
    <w:rsid w:val="00DF0E8E"/>
    <w:rsid w:val="00DF1434"/>
    <w:rsid w:val="00DF14CD"/>
    <w:rsid w:val="00DF2104"/>
    <w:rsid w:val="00DF26AE"/>
    <w:rsid w:val="00DF2DEB"/>
    <w:rsid w:val="00DF311F"/>
    <w:rsid w:val="00DF3466"/>
    <w:rsid w:val="00DF367C"/>
    <w:rsid w:val="00DF5766"/>
    <w:rsid w:val="00DF5D6B"/>
    <w:rsid w:val="00DF6228"/>
    <w:rsid w:val="00E00083"/>
    <w:rsid w:val="00E0131C"/>
    <w:rsid w:val="00E013FC"/>
    <w:rsid w:val="00E014F3"/>
    <w:rsid w:val="00E01C6E"/>
    <w:rsid w:val="00E0241A"/>
    <w:rsid w:val="00E0298E"/>
    <w:rsid w:val="00E03400"/>
    <w:rsid w:val="00E036A2"/>
    <w:rsid w:val="00E0385A"/>
    <w:rsid w:val="00E038AA"/>
    <w:rsid w:val="00E03F58"/>
    <w:rsid w:val="00E042DE"/>
    <w:rsid w:val="00E043FA"/>
    <w:rsid w:val="00E0473D"/>
    <w:rsid w:val="00E047C0"/>
    <w:rsid w:val="00E047D5"/>
    <w:rsid w:val="00E052F5"/>
    <w:rsid w:val="00E063B1"/>
    <w:rsid w:val="00E06516"/>
    <w:rsid w:val="00E067CE"/>
    <w:rsid w:val="00E06AAB"/>
    <w:rsid w:val="00E07706"/>
    <w:rsid w:val="00E07BC6"/>
    <w:rsid w:val="00E07E2D"/>
    <w:rsid w:val="00E10372"/>
    <w:rsid w:val="00E11F5D"/>
    <w:rsid w:val="00E1238A"/>
    <w:rsid w:val="00E12DBB"/>
    <w:rsid w:val="00E13A16"/>
    <w:rsid w:val="00E15826"/>
    <w:rsid w:val="00E15B8F"/>
    <w:rsid w:val="00E165D6"/>
    <w:rsid w:val="00E16B76"/>
    <w:rsid w:val="00E170EA"/>
    <w:rsid w:val="00E171AC"/>
    <w:rsid w:val="00E17662"/>
    <w:rsid w:val="00E1783A"/>
    <w:rsid w:val="00E2066A"/>
    <w:rsid w:val="00E20C40"/>
    <w:rsid w:val="00E20FCA"/>
    <w:rsid w:val="00E210BF"/>
    <w:rsid w:val="00E212A6"/>
    <w:rsid w:val="00E212B3"/>
    <w:rsid w:val="00E225EB"/>
    <w:rsid w:val="00E22C07"/>
    <w:rsid w:val="00E23580"/>
    <w:rsid w:val="00E23C7B"/>
    <w:rsid w:val="00E242FE"/>
    <w:rsid w:val="00E24522"/>
    <w:rsid w:val="00E24B68"/>
    <w:rsid w:val="00E24E2A"/>
    <w:rsid w:val="00E2562C"/>
    <w:rsid w:val="00E257FB"/>
    <w:rsid w:val="00E2628D"/>
    <w:rsid w:val="00E2731D"/>
    <w:rsid w:val="00E27791"/>
    <w:rsid w:val="00E300CF"/>
    <w:rsid w:val="00E30AB5"/>
    <w:rsid w:val="00E30E36"/>
    <w:rsid w:val="00E31250"/>
    <w:rsid w:val="00E312AB"/>
    <w:rsid w:val="00E31F36"/>
    <w:rsid w:val="00E325AD"/>
    <w:rsid w:val="00E32849"/>
    <w:rsid w:val="00E33BC7"/>
    <w:rsid w:val="00E33BFF"/>
    <w:rsid w:val="00E35025"/>
    <w:rsid w:val="00E35454"/>
    <w:rsid w:val="00E35725"/>
    <w:rsid w:val="00E35C19"/>
    <w:rsid w:val="00E35C61"/>
    <w:rsid w:val="00E378EB"/>
    <w:rsid w:val="00E37F99"/>
    <w:rsid w:val="00E401F6"/>
    <w:rsid w:val="00E40445"/>
    <w:rsid w:val="00E410E7"/>
    <w:rsid w:val="00E41133"/>
    <w:rsid w:val="00E412F1"/>
    <w:rsid w:val="00E42005"/>
    <w:rsid w:val="00E426FB"/>
    <w:rsid w:val="00E42D53"/>
    <w:rsid w:val="00E432FD"/>
    <w:rsid w:val="00E43CDE"/>
    <w:rsid w:val="00E43D4F"/>
    <w:rsid w:val="00E44C0A"/>
    <w:rsid w:val="00E45267"/>
    <w:rsid w:val="00E45497"/>
    <w:rsid w:val="00E459E5"/>
    <w:rsid w:val="00E46544"/>
    <w:rsid w:val="00E473C9"/>
    <w:rsid w:val="00E47A49"/>
    <w:rsid w:val="00E52342"/>
    <w:rsid w:val="00E52BF1"/>
    <w:rsid w:val="00E54011"/>
    <w:rsid w:val="00E5480D"/>
    <w:rsid w:val="00E54DA3"/>
    <w:rsid w:val="00E54F99"/>
    <w:rsid w:val="00E54FB8"/>
    <w:rsid w:val="00E561BB"/>
    <w:rsid w:val="00E576D5"/>
    <w:rsid w:val="00E578AD"/>
    <w:rsid w:val="00E60A23"/>
    <w:rsid w:val="00E60E7B"/>
    <w:rsid w:val="00E6198F"/>
    <w:rsid w:val="00E62375"/>
    <w:rsid w:val="00E62639"/>
    <w:rsid w:val="00E62BDD"/>
    <w:rsid w:val="00E63133"/>
    <w:rsid w:val="00E63A9B"/>
    <w:rsid w:val="00E645B5"/>
    <w:rsid w:val="00E64B5A"/>
    <w:rsid w:val="00E64BDC"/>
    <w:rsid w:val="00E65D30"/>
    <w:rsid w:val="00E6650C"/>
    <w:rsid w:val="00E66844"/>
    <w:rsid w:val="00E66B28"/>
    <w:rsid w:val="00E66EE9"/>
    <w:rsid w:val="00E67946"/>
    <w:rsid w:val="00E67C58"/>
    <w:rsid w:val="00E67E67"/>
    <w:rsid w:val="00E67F6E"/>
    <w:rsid w:val="00E67F8D"/>
    <w:rsid w:val="00E705BC"/>
    <w:rsid w:val="00E70B65"/>
    <w:rsid w:val="00E716F4"/>
    <w:rsid w:val="00E71A1F"/>
    <w:rsid w:val="00E71D82"/>
    <w:rsid w:val="00E72886"/>
    <w:rsid w:val="00E729C6"/>
    <w:rsid w:val="00E73F00"/>
    <w:rsid w:val="00E7459D"/>
    <w:rsid w:val="00E748DC"/>
    <w:rsid w:val="00E753DF"/>
    <w:rsid w:val="00E763E8"/>
    <w:rsid w:val="00E768E7"/>
    <w:rsid w:val="00E76DC6"/>
    <w:rsid w:val="00E77353"/>
    <w:rsid w:val="00E776A0"/>
    <w:rsid w:val="00E801A0"/>
    <w:rsid w:val="00E8052F"/>
    <w:rsid w:val="00E8120E"/>
    <w:rsid w:val="00E81324"/>
    <w:rsid w:val="00E8135A"/>
    <w:rsid w:val="00E81929"/>
    <w:rsid w:val="00E819A6"/>
    <w:rsid w:val="00E82980"/>
    <w:rsid w:val="00E82D8D"/>
    <w:rsid w:val="00E82ED4"/>
    <w:rsid w:val="00E83506"/>
    <w:rsid w:val="00E83808"/>
    <w:rsid w:val="00E8399A"/>
    <w:rsid w:val="00E84EF6"/>
    <w:rsid w:val="00E86766"/>
    <w:rsid w:val="00E86AB6"/>
    <w:rsid w:val="00E86C55"/>
    <w:rsid w:val="00E90AFB"/>
    <w:rsid w:val="00E91349"/>
    <w:rsid w:val="00E914B5"/>
    <w:rsid w:val="00E9301F"/>
    <w:rsid w:val="00E932D0"/>
    <w:rsid w:val="00E9371E"/>
    <w:rsid w:val="00E939E3"/>
    <w:rsid w:val="00E93B15"/>
    <w:rsid w:val="00E95C66"/>
    <w:rsid w:val="00E95E1F"/>
    <w:rsid w:val="00E9608B"/>
    <w:rsid w:val="00E96B92"/>
    <w:rsid w:val="00E96C39"/>
    <w:rsid w:val="00E97133"/>
    <w:rsid w:val="00E97A08"/>
    <w:rsid w:val="00E97B24"/>
    <w:rsid w:val="00E97B55"/>
    <w:rsid w:val="00E97C73"/>
    <w:rsid w:val="00EA19F2"/>
    <w:rsid w:val="00EA2633"/>
    <w:rsid w:val="00EA2D49"/>
    <w:rsid w:val="00EA5933"/>
    <w:rsid w:val="00EA5E12"/>
    <w:rsid w:val="00EA5F6D"/>
    <w:rsid w:val="00EA6096"/>
    <w:rsid w:val="00EA6B36"/>
    <w:rsid w:val="00EA7941"/>
    <w:rsid w:val="00EB0048"/>
    <w:rsid w:val="00EB0179"/>
    <w:rsid w:val="00EB01CC"/>
    <w:rsid w:val="00EB0C88"/>
    <w:rsid w:val="00EB0F7E"/>
    <w:rsid w:val="00EB1233"/>
    <w:rsid w:val="00EB1725"/>
    <w:rsid w:val="00EB18D4"/>
    <w:rsid w:val="00EB1A28"/>
    <w:rsid w:val="00EB1CBF"/>
    <w:rsid w:val="00EB1F6A"/>
    <w:rsid w:val="00EB2FB2"/>
    <w:rsid w:val="00EB3642"/>
    <w:rsid w:val="00EB3BE4"/>
    <w:rsid w:val="00EB3CD9"/>
    <w:rsid w:val="00EB4A41"/>
    <w:rsid w:val="00EB5F8A"/>
    <w:rsid w:val="00EB64F8"/>
    <w:rsid w:val="00EB6606"/>
    <w:rsid w:val="00EB77CC"/>
    <w:rsid w:val="00EB7E18"/>
    <w:rsid w:val="00EB7EF4"/>
    <w:rsid w:val="00EC035C"/>
    <w:rsid w:val="00EC19E3"/>
    <w:rsid w:val="00EC20D2"/>
    <w:rsid w:val="00EC26F2"/>
    <w:rsid w:val="00EC288B"/>
    <w:rsid w:val="00EC2B4A"/>
    <w:rsid w:val="00EC30C8"/>
    <w:rsid w:val="00EC3751"/>
    <w:rsid w:val="00EC4173"/>
    <w:rsid w:val="00EC4A74"/>
    <w:rsid w:val="00EC5003"/>
    <w:rsid w:val="00EC5078"/>
    <w:rsid w:val="00EC50AE"/>
    <w:rsid w:val="00EC5198"/>
    <w:rsid w:val="00EC6695"/>
    <w:rsid w:val="00EC758B"/>
    <w:rsid w:val="00EC784C"/>
    <w:rsid w:val="00ED007A"/>
    <w:rsid w:val="00ED037E"/>
    <w:rsid w:val="00ED09F8"/>
    <w:rsid w:val="00ED0A75"/>
    <w:rsid w:val="00ED101D"/>
    <w:rsid w:val="00ED114C"/>
    <w:rsid w:val="00ED2901"/>
    <w:rsid w:val="00ED2B6F"/>
    <w:rsid w:val="00ED30D8"/>
    <w:rsid w:val="00ED43EB"/>
    <w:rsid w:val="00ED52B1"/>
    <w:rsid w:val="00ED63C8"/>
    <w:rsid w:val="00ED6ED7"/>
    <w:rsid w:val="00ED7562"/>
    <w:rsid w:val="00ED76D2"/>
    <w:rsid w:val="00EE02CD"/>
    <w:rsid w:val="00EE04FC"/>
    <w:rsid w:val="00EE16F1"/>
    <w:rsid w:val="00EE1C96"/>
    <w:rsid w:val="00EE1D08"/>
    <w:rsid w:val="00EE2C75"/>
    <w:rsid w:val="00EE3327"/>
    <w:rsid w:val="00EE3F4F"/>
    <w:rsid w:val="00EE5C25"/>
    <w:rsid w:val="00EE75F6"/>
    <w:rsid w:val="00EE78C2"/>
    <w:rsid w:val="00EE79CE"/>
    <w:rsid w:val="00EE7B72"/>
    <w:rsid w:val="00EE7C2C"/>
    <w:rsid w:val="00EE7D36"/>
    <w:rsid w:val="00EF0438"/>
    <w:rsid w:val="00EF07F5"/>
    <w:rsid w:val="00EF0D5E"/>
    <w:rsid w:val="00EF1399"/>
    <w:rsid w:val="00EF1961"/>
    <w:rsid w:val="00EF3D5A"/>
    <w:rsid w:val="00EF46CC"/>
    <w:rsid w:val="00EF4955"/>
    <w:rsid w:val="00EF667D"/>
    <w:rsid w:val="00EF69E9"/>
    <w:rsid w:val="00EF7CC3"/>
    <w:rsid w:val="00F005C7"/>
    <w:rsid w:val="00F010BE"/>
    <w:rsid w:val="00F01153"/>
    <w:rsid w:val="00F01782"/>
    <w:rsid w:val="00F02377"/>
    <w:rsid w:val="00F031D7"/>
    <w:rsid w:val="00F034BE"/>
    <w:rsid w:val="00F049EE"/>
    <w:rsid w:val="00F05115"/>
    <w:rsid w:val="00F0622C"/>
    <w:rsid w:val="00F06A93"/>
    <w:rsid w:val="00F06BF0"/>
    <w:rsid w:val="00F07765"/>
    <w:rsid w:val="00F10067"/>
    <w:rsid w:val="00F101F4"/>
    <w:rsid w:val="00F10643"/>
    <w:rsid w:val="00F10914"/>
    <w:rsid w:val="00F1159D"/>
    <w:rsid w:val="00F11680"/>
    <w:rsid w:val="00F11CFC"/>
    <w:rsid w:val="00F12DB6"/>
    <w:rsid w:val="00F12EFE"/>
    <w:rsid w:val="00F130B1"/>
    <w:rsid w:val="00F147E1"/>
    <w:rsid w:val="00F153B4"/>
    <w:rsid w:val="00F1583D"/>
    <w:rsid w:val="00F166A2"/>
    <w:rsid w:val="00F169A2"/>
    <w:rsid w:val="00F1760E"/>
    <w:rsid w:val="00F212DE"/>
    <w:rsid w:val="00F21E4A"/>
    <w:rsid w:val="00F2232E"/>
    <w:rsid w:val="00F2285B"/>
    <w:rsid w:val="00F2315D"/>
    <w:rsid w:val="00F2356C"/>
    <w:rsid w:val="00F23BBF"/>
    <w:rsid w:val="00F2415B"/>
    <w:rsid w:val="00F250F1"/>
    <w:rsid w:val="00F254E7"/>
    <w:rsid w:val="00F25FD1"/>
    <w:rsid w:val="00F2619F"/>
    <w:rsid w:val="00F261DB"/>
    <w:rsid w:val="00F2693C"/>
    <w:rsid w:val="00F272E8"/>
    <w:rsid w:val="00F30546"/>
    <w:rsid w:val="00F31AA7"/>
    <w:rsid w:val="00F323BA"/>
    <w:rsid w:val="00F32A9F"/>
    <w:rsid w:val="00F32E91"/>
    <w:rsid w:val="00F32F8E"/>
    <w:rsid w:val="00F334B3"/>
    <w:rsid w:val="00F3396F"/>
    <w:rsid w:val="00F34180"/>
    <w:rsid w:val="00F3485A"/>
    <w:rsid w:val="00F35CFA"/>
    <w:rsid w:val="00F35DDE"/>
    <w:rsid w:val="00F37225"/>
    <w:rsid w:val="00F37507"/>
    <w:rsid w:val="00F375C1"/>
    <w:rsid w:val="00F377D2"/>
    <w:rsid w:val="00F40579"/>
    <w:rsid w:val="00F40D35"/>
    <w:rsid w:val="00F40DF0"/>
    <w:rsid w:val="00F416DB"/>
    <w:rsid w:val="00F4294B"/>
    <w:rsid w:val="00F42AC7"/>
    <w:rsid w:val="00F439F9"/>
    <w:rsid w:val="00F43A1D"/>
    <w:rsid w:val="00F43FDE"/>
    <w:rsid w:val="00F44464"/>
    <w:rsid w:val="00F44D7F"/>
    <w:rsid w:val="00F45366"/>
    <w:rsid w:val="00F45957"/>
    <w:rsid w:val="00F46254"/>
    <w:rsid w:val="00F463F2"/>
    <w:rsid w:val="00F46FE8"/>
    <w:rsid w:val="00F472AD"/>
    <w:rsid w:val="00F50CB8"/>
    <w:rsid w:val="00F51438"/>
    <w:rsid w:val="00F520F2"/>
    <w:rsid w:val="00F529AC"/>
    <w:rsid w:val="00F52E24"/>
    <w:rsid w:val="00F5349F"/>
    <w:rsid w:val="00F5491A"/>
    <w:rsid w:val="00F54E80"/>
    <w:rsid w:val="00F54FE5"/>
    <w:rsid w:val="00F55192"/>
    <w:rsid w:val="00F5548D"/>
    <w:rsid w:val="00F55B92"/>
    <w:rsid w:val="00F55F2B"/>
    <w:rsid w:val="00F5602F"/>
    <w:rsid w:val="00F5618F"/>
    <w:rsid w:val="00F56467"/>
    <w:rsid w:val="00F56617"/>
    <w:rsid w:val="00F567E9"/>
    <w:rsid w:val="00F56D52"/>
    <w:rsid w:val="00F573CE"/>
    <w:rsid w:val="00F5795C"/>
    <w:rsid w:val="00F57DD5"/>
    <w:rsid w:val="00F600A7"/>
    <w:rsid w:val="00F60102"/>
    <w:rsid w:val="00F61663"/>
    <w:rsid w:val="00F617CE"/>
    <w:rsid w:val="00F62482"/>
    <w:rsid w:val="00F62D9E"/>
    <w:rsid w:val="00F6324B"/>
    <w:rsid w:val="00F63CA9"/>
    <w:rsid w:val="00F65044"/>
    <w:rsid w:val="00F6537E"/>
    <w:rsid w:val="00F67028"/>
    <w:rsid w:val="00F670A3"/>
    <w:rsid w:val="00F719A6"/>
    <w:rsid w:val="00F724CB"/>
    <w:rsid w:val="00F74B38"/>
    <w:rsid w:val="00F75DD7"/>
    <w:rsid w:val="00F765B0"/>
    <w:rsid w:val="00F768AF"/>
    <w:rsid w:val="00F76B8D"/>
    <w:rsid w:val="00F76F9D"/>
    <w:rsid w:val="00F7716B"/>
    <w:rsid w:val="00F774D0"/>
    <w:rsid w:val="00F803A1"/>
    <w:rsid w:val="00F8059D"/>
    <w:rsid w:val="00F805D8"/>
    <w:rsid w:val="00F80EF0"/>
    <w:rsid w:val="00F81C9C"/>
    <w:rsid w:val="00F820B5"/>
    <w:rsid w:val="00F8306F"/>
    <w:rsid w:val="00F83D28"/>
    <w:rsid w:val="00F84312"/>
    <w:rsid w:val="00F849E9"/>
    <w:rsid w:val="00F85236"/>
    <w:rsid w:val="00F86D2C"/>
    <w:rsid w:val="00F87804"/>
    <w:rsid w:val="00F87B87"/>
    <w:rsid w:val="00F9134C"/>
    <w:rsid w:val="00F91BBD"/>
    <w:rsid w:val="00F91EC5"/>
    <w:rsid w:val="00F9238D"/>
    <w:rsid w:val="00F92F6D"/>
    <w:rsid w:val="00F93243"/>
    <w:rsid w:val="00F93822"/>
    <w:rsid w:val="00F93A0D"/>
    <w:rsid w:val="00F947D5"/>
    <w:rsid w:val="00F94A49"/>
    <w:rsid w:val="00F95275"/>
    <w:rsid w:val="00F9670A"/>
    <w:rsid w:val="00F96D24"/>
    <w:rsid w:val="00F96D8C"/>
    <w:rsid w:val="00F96F7F"/>
    <w:rsid w:val="00F9780A"/>
    <w:rsid w:val="00F97B01"/>
    <w:rsid w:val="00F97F77"/>
    <w:rsid w:val="00FA0669"/>
    <w:rsid w:val="00FA0DA4"/>
    <w:rsid w:val="00FA0FC8"/>
    <w:rsid w:val="00FA1D2B"/>
    <w:rsid w:val="00FA1FBB"/>
    <w:rsid w:val="00FA2A35"/>
    <w:rsid w:val="00FA2BA7"/>
    <w:rsid w:val="00FA355E"/>
    <w:rsid w:val="00FA467C"/>
    <w:rsid w:val="00FA5436"/>
    <w:rsid w:val="00FA54AB"/>
    <w:rsid w:val="00FA583E"/>
    <w:rsid w:val="00FA6818"/>
    <w:rsid w:val="00FA77B6"/>
    <w:rsid w:val="00FB03C5"/>
    <w:rsid w:val="00FB06E5"/>
    <w:rsid w:val="00FB0BA3"/>
    <w:rsid w:val="00FB12E4"/>
    <w:rsid w:val="00FB26BE"/>
    <w:rsid w:val="00FB2FEF"/>
    <w:rsid w:val="00FB3088"/>
    <w:rsid w:val="00FB3F6E"/>
    <w:rsid w:val="00FB4447"/>
    <w:rsid w:val="00FB5493"/>
    <w:rsid w:val="00FB5DE9"/>
    <w:rsid w:val="00FB6133"/>
    <w:rsid w:val="00FB63A1"/>
    <w:rsid w:val="00FB68BA"/>
    <w:rsid w:val="00FB6F22"/>
    <w:rsid w:val="00FB78FB"/>
    <w:rsid w:val="00FB7B84"/>
    <w:rsid w:val="00FB7D8E"/>
    <w:rsid w:val="00FC04B5"/>
    <w:rsid w:val="00FC05B9"/>
    <w:rsid w:val="00FC08B8"/>
    <w:rsid w:val="00FC0F00"/>
    <w:rsid w:val="00FC0F41"/>
    <w:rsid w:val="00FC106D"/>
    <w:rsid w:val="00FC125A"/>
    <w:rsid w:val="00FC1CB0"/>
    <w:rsid w:val="00FC2138"/>
    <w:rsid w:val="00FC23D2"/>
    <w:rsid w:val="00FC2F5B"/>
    <w:rsid w:val="00FC3B4A"/>
    <w:rsid w:val="00FC4273"/>
    <w:rsid w:val="00FC4889"/>
    <w:rsid w:val="00FC4F48"/>
    <w:rsid w:val="00FC5B5B"/>
    <w:rsid w:val="00FC66B5"/>
    <w:rsid w:val="00FC6842"/>
    <w:rsid w:val="00FC73B8"/>
    <w:rsid w:val="00FC7575"/>
    <w:rsid w:val="00FC7F1E"/>
    <w:rsid w:val="00FD0CE5"/>
    <w:rsid w:val="00FD0DEF"/>
    <w:rsid w:val="00FD0EC5"/>
    <w:rsid w:val="00FD270A"/>
    <w:rsid w:val="00FD37C1"/>
    <w:rsid w:val="00FD472E"/>
    <w:rsid w:val="00FD4CE1"/>
    <w:rsid w:val="00FD5D35"/>
    <w:rsid w:val="00FD6183"/>
    <w:rsid w:val="00FE19EC"/>
    <w:rsid w:val="00FE1C43"/>
    <w:rsid w:val="00FE26F3"/>
    <w:rsid w:val="00FE2A42"/>
    <w:rsid w:val="00FE3D8C"/>
    <w:rsid w:val="00FE430E"/>
    <w:rsid w:val="00FE4642"/>
    <w:rsid w:val="00FE65BC"/>
    <w:rsid w:val="00FE6FDE"/>
    <w:rsid w:val="00FE7DC9"/>
    <w:rsid w:val="00FF0198"/>
    <w:rsid w:val="00FF0C52"/>
    <w:rsid w:val="00FF0DED"/>
    <w:rsid w:val="00FF1926"/>
    <w:rsid w:val="00FF2915"/>
    <w:rsid w:val="00FF330C"/>
    <w:rsid w:val="00FF5DBA"/>
    <w:rsid w:val="00FF6696"/>
    <w:rsid w:val="00FF7ADC"/>
    <w:rsid w:val="00FF7B2C"/>
    <w:rsid w:val="01230692"/>
    <w:rsid w:val="01287101"/>
    <w:rsid w:val="016247FA"/>
    <w:rsid w:val="01745EE6"/>
    <w:rsid w:val="01791910"/>
    <w:rsid w:val="018326A3"/>
    <w:rsid w:val="01A06A8F"/>
    <w:rsid w:val="01C6622B"/>
    <w:rsid w:val="01CA6B04"/>
    <w:rsid w:val="01CF7782"/>
    <w:rsid w:val="01E07CD8"/>
    <w:rsid w:val="01EA671C"/>
    <w:rsid w:val="021673DB"/>
    <w:rsid w:val="02206526"/>
    <w:rsid w:val="022353B4"/>
    <w:rsid w:val="022A3557"/>
    <w:rsid w:val="024A56F5"/>
    <w:rsid w:val="02566477"/>
    <w:rsid w:val="026E0F2B"/>
    <w:rsid w:val="026F5A32"/>
    <w:rsid w:val="027A2F04"/>
    <w:rsid w:val="02845B9C"/>
    <w:rsid w:val="02B1196D"/>
    <w:rsid w:val="02C848FD"/>
    <w:rsid w:val="02CB5F91"/>
    <w:rsid w:val="02DD55DA"/>
    <w:rsid w:val="032A676A"/>
    <w:rsid w:val="032D7D27"/>
    <w:rsid w:val="033B5897"/>
    <w:rsid w:val="03415224"/>
    <w:rsid w:val="03E32C2B"/>
    <w:rsid w:val="03E45FEA"/>
    <w:rsid w:val="03F375BC"/>
    <w:rsid w:val="041F679F"/>
    <w:rsid w:val="044C3505"/>
    <w:rsid w:val="04551879"/>
    <w:rsid w:val="04704D33"/>
    <w:rsid w:val="047713FB"/>
    <w:rsid w:val="04BF04FC"/>
    <w:rsid w:val="04C65B16"/>
    <w:rsid w:val="04E1549F"/>
    <w:rsid w:val="04E40AEA"/>
    <w:rsid w:val="05123C0E"/>
    <w:rsid w:val="05184748"/>
    <w:rsid w:val="053A77BB"/>
    <w:rsid w:val="05485881"/>
    <w:rsid w:val="055B55D2"/>
    <w:rsid w:val="05720B50"/>
    <w:rsid w:val="057B5A23"/>
    <w:rsid w:val="0599432F"/>
    <w:rsid w:val="05DD7507"/>
    <w:rsid w:val="05FE680E"/>
    <w:rsid w:val="06035C4C"/>
    <w:rsid w:val="060824FF"/>
    <w:rsid w:val="0618714D"/>
    <w:rsid w:val="063F11B9"/>
    <w:rsid w:val="064A73D7"/>
    <w:rsid w:val="06A116ED"/>
    <w:rsid w:val="06B12657"/>
    <w:rsid w:val="06DD0CD0"/>
    <w:rsid w:val="070C0CAE"/>
    <w:rsid w:val="072C420B"/>
    <w:rsid w:val="07725961"/>
    <w:rsid w:val="078C305E"/>
    <w:rsid w:val="07AA2A7A"/>
    <w:rsid w:val="07CD3845"/>
    <w:rsid w:val="07E04069"/>
    <w:rsid w:val="07E6312F"/>
    <w:rsid w:val="08101121"/>
    <w:rsid w:val="081C4390"/>
    <w:rsid w:val="083945D9"/>
    <w:rsid w:val="08441AAE"/>
    <w:rsid w:val="08874912"/>
    <w:rsid w:val="08A14F57"/>
    <w:rsid w:val="08DD2784"/>
    <w:rsid w:val="08EE742E"/>
    <w:rsid w:val="09074303"/>
    <w:rsid w:val="09275B42"/>
    <w:rsid w:val="09547520"/>
    <w:rsid w:val="0969226A"/>
    <w:rsid w:val="09697C1D"/>
    <w:rsid w:val="098470A4"/>
    <w:rsid w:val="09CA6EA6"/>
    <w:rsid w:val="0A1421D6"/>
    <w:rsid w:val="0A2B7D2A"/>
    <w:rsid w:val="0A544CC8"/>
    <w:rsid w:val="0A57260B"/>
    <w:rsid w:val="0A6E2E87"/>
    <w:rsid w:val="0AA03A6A"/>
    <w:rsid w:val="0ACC1410"/>
    <w:rsid w:val="0B083D6B"/>
    <w:rsid w:val="0B141F1A"/>
    <w:rsid w:val="0B172BDC"/>
    <w:rsid w:val="0B381EF4"/>
    <w:rsid w:val="0B465654"/>
    <w:rsid w:val="0B6573F2"/>
    <w:rsid w:val="0BB958B8"/>
    <w:rsid w:val="0BBD15A9"/>
    <w:rsid w:val="0BC01A38"/>
    <w:rsid w:val="0BC663BC"/>
    <w:rsid w:val="0BD537C3"/>
    <w:rsid w:val="0BD92474"/>
    <w:rsid w:val="0C600AAB"/>
    <w:rsid w:val="0C61609F"/>
    <w:rsid w:val="0C650670"/>
    <w:rsid w:val="0C74531E"/>
    <w:rsid w:val="0C7C10A9"/>
    <w:rsid w:val="0C807CE3"/>
    <w:rsid w:val="0C917B0E"/>
    <w:rsid w:val="0C933F8D"/>
    <w:rsid w:val="0CAD06C0"/>
    <w:rsid w:val="0CCC323C"/>
    <w:rsid w:val="0CCC4FEA"/>
    <w:rsid w:val="0D1A5D55"/>
    <w:rsid w:val="0D5A60C0"/>
    <w:rsid w:val="0D7E42F1"/>
    <w:rsid w:val="0DCA115E"/>
    <w:rsid w:val="0E115C8A"/>
    <w:rsid w:val="0E5C7DF2"/>
    <w:rsid w:val="0E875ABB"/>
    <w:rsid w:val="0E8D6581"/>
    <w:rsid w:val="0EA30700"/>
    <w:rsid w:val="0EB31142"/>
    <w:rsid w:val="0EB72645"/>
    <w:rsid w:val="0EDF1DB3"/>
    <w:rsid w:val="0F095504"/>
    <w:rsid w:val="0F3B2473"/>
    <w:rsid w:val="0F5F5CA1"/>
    <w:rsid w:val="0F76748F"/>
    <w:rsid w:val="0F805160"/>
    <w:rsid w:val="0F985657"/>
    <w:rsid w:val="0F9D2C6D"/>
    <w:rsid w:val="0FBA74F6"/>
    <w:rsid w:val="0FC3085C"/>
    <w:rsid w:val="0FE20946"/>
    <w:rsid w:val="10111F7C"/>
    <w:rsid w:val="1023263D"/>
    <w:rsid w:val="104355C3"/>
    <w:rsid w:val="104F1744"/>
    <w:rsid w:val="106016F3"/>
    <w:rsid w:val="106C18B9"/>
    <w:rsid w:val="10861BA8"/>
    <w:rsid w:val="1094132B"/>
    <w:rsid w:val="10A52D12"/>
    <w:rsid w:val="10A56E7C"/>
    <w:rsid w:val="11203590"/>
    <w:rsid w:val="11402F73"/>
    <w:rsid w:val="11454713"/>
    <w:rsid w:val="114F5A4E"/>
    <w:rsid w:val="11612A9E"/>
    <w:rsid w:val="11691059"/>
    <w:rsid w:val="119A3B84"/>
    <w:rsid w:val="11EE77B0"/>
    <w:rsid w:val="120452EA"/>
    <w:rsid w:val="12331667"/>
    <w:rsid w:val="126020B2"/>
    <w:rsid w:val="12671F77"/>
    <w:rsid w:val="12744159"/>
    <w:rsid w:val="127A0FCA"/>
    <w:rsid w:val="127E4ECB"/>
    <w:rsid w:val="12BD152A"/>
    <w:rsid w:val="12C217E4"/>
    <w:rsid w:val="12EF1953"/>
    <w:rsid w:val="12F67447"/>
    <w:rsid w:val="12FD2328"/>
    <w:rsid w:val="13177D05"/>
    <w:rsid w:val="131A0221"/>
    <w:rsid w:val="1335429C"/>
    <w:rsid w:val="13540009"/>
    <w:rsid w:val="141D2C0B"/>
    <w:rsid w:val="14246F26"/>
    <w:rsid w:val="144B7BDF"/>
    <w:rsid w:val="14957781"/>
    <w:rsid w:val="149634DA"/>
    <w:rsid w:val="149D4B1F"/>
    <w:rsid w:val="15080B89"/>
    <w:rsid w:val="1509573F"/>
    <w:rsid w:val="1593631A"/>
    <w:rsid w:val="15E2587E"/>
    <w:rsid w:val="16103820"/>
    <w:rsid w:val="161B6B1A"/>
    <w:rsid w:val="16263110"/>
    <w:rsid w:val="164E4CC1"/>
    <w:rsid w:val="165D02FA"/>
    <w:rsid w:val="16B761A1"/>
    <w:rsid w:val="1711684A"/>
    <w:rsid w:val="1726179A"/>
    <w:rsid w:val="172D48D7"/>
    <w:rsid w:val="173516EA"/>
    <w:rsid w:val="173D7D0F"/>
    <w:rsid w:val="1765467D"/>
    <w:rsid w:val="17965F21"/>
    <w:rsid w:val="179B7A92"/>
    <w:rsid w:val="17A76FCB"/>
    <w:rsid w:val="17D404BB"/>
    <w:rsid w:val="17EC4251"/>
    <w:rsid w:val="17F13463"/>
    <w:rsid w:val="18023FB5"/>
    <w:rsid w:val="181D2D08"/>
    <w:rsid w:val="182C2DE0"/>
    <w:rsid w:val="18512847"/>
    <w:rsid w:val="187E553C"/>
    <w:rsid w:val="18A46E1B"/>
    <w:rsid w:val="18AD3F21"/>
    <w:rsid w:val="18E427C8"/>
    <w:rsid w:val="18E52B69"/>
    <w:rsid w:val="19181366"/>
    <w:rsid w:val="192223EF"/>
    <w:rsid w:val="19287A4C"/>
    <w:rsid w:val="19523A78"/>
    <w:rsid w:val="195A5E2A"/>
    <w:rsid w:val="196F2052"/>
    <w:rsid w:val="197449B0"/>
    <w:rsid w:val="199926F8"/>
    <w:rsid w:val="19AE7F28"/>
    <w:rsid w:val="19B6113F"/>
    <w:rsid w:val="19CA0989"/>
    <w:rsid w:val="19D93FA2"/>
    <w:rsid w:val="19E80F89"/>
    <w:rsid w:val="19F40797"/>
    <w:rsid w:val="1A213ABD"/>
    <w:rsid w:val="1A3422EC"/>
    <w:rsid w:val="1A617FFD"/>
    <w:rsid w:val="1AF71523"/>
    <w:rsid w:val="1B1A4A1C"/>
    <w:rsid w:val="1B38030C"/>
    <w:rsid w:val="1B3C1C8E"/>
    <w:rsid w:val="1B3F2B28"/>
    <w:rsid w:val="1B543229"/>
    <w:rsid w:val="1B674AC7"/>
    <w:rsid w:val="1B695F6C"/>
    <w:rsid w:val="1B6F54BE"/>
    <w:rsid w:val="1B746B39"/>
    <w:rsid w:val="1B80541E"/>
    <w:rsid w:val="1BC50187"/>
    <w:rsid w:val="1BCA7842"/>
    <w:rsid w:val="1BF105C9"/>
    <w:rsid w:val="1C171A7A"/>
    <w:rsid w:val="1C42696B"/>
    <w:rsid w:val="1C427144"/>
    <w:rsid w:val="1C4409AC"/>
    <w:rsid w:val="1C5135FC"/>
    <w:rsid w:val="1C530BD0"/>
    <w:rsid w:val="1C8F133C"/>
    <w:rsid w:val="1CC90CBC"/>
    <w:rsid w:val="1D04432C"/>
    <w:rsid w:val="1D094F9C"/>
    <w:rsid w:val="1D0E23E7"/>
    <w:rsid w:val="1D491EF1"/>
    <w:rsid w:val="1D4F2670"/>
    <w:rsid w:val="1D541707"/>
    <w:rsid w:val="1D644DCB"/>
    <w:rsid w:val="1D8C2345"/>
    <w:rsid w:val="1D8D2573"/>
    <w:rsid w:val="1D8D7A52"/>
    <w:rsid w:val="1DAE65F0"/>
    <w:rsid w:val="1DC1221D"/>
    <w:rsid w:val="1DEF5D9F"/>
    <w:rsid w:val="1DFB572F"/>
    <w:rsid w:val="1E111767"/>
    <w:rsid w:val="1E117A37"/>
    <w:rsid w:val="1E164317"/>
    <w:rsid w:val="1E720322"/>
    <w:rsid w:val="1E761259"/>
    <w:rsid w:val="1E85796C"/>
    <w:rsid w:val="1E8B4AEE"/>
    <w:rsid w:val="1EB142DF"/>
    <w:rsid w:val="1F035E51"/>
    <w:rsid w:val="1F1758B0"/>
    <w:rsid w:val="1F3A4035"/>
    <w:rsid w:val="1F656BFD"/>
    <w:rsid w:val="1F6D7F66"/>
    <w:rsid w:val="1F9E565E"/>
    <w:rsid w:val="1FA2333B"/>
    <w:rsid w:val="1FD82CCD"/>
    <w:rsid w:val="1FF266BE"/>
    <w:rsid w:val="2023550C"/>
    <w:rsid w:val="203B4DB3"/>
    <w:rsid w:val="208E77B9"/>
    <w:rsid w:val="20A07958"/>
    <w:rsid w:val="20BE0B17"/>
    <w:rsid w:val="20F64BEA"/>
    <w:rsid w:val="20F75FD5"/>
    <w:rsid w:val="20FB6AEC"/>
    <w:rsid w:val="2105481C"/>
    <w:rsid w:val="210E4642"/>
    <w:rsid w:val="21113D4B"/>
    <w:rsid w:val="213011D5"/>
    <w:rsid w:val="21537630"/>
    <w:rsid w:val="21857EB2"/>
    <w:rsid w:val="21B45DF5"/>
    <w:rsid w:val="21BE3A00"/>
    <w:rsid w:val="21C32007"/>
    <w:rsid w:val="21E15853"/>
    <w:rsid w:val="22211C9D"/>
    <w:rsid w:val="22300566"/>
    <w:rsid w:val="223E777F"/>
    <w:rsid w:val="224332AE"/>
    <w:rsid w:val="22556DE2"/>
    <w:rsid w:val="22581B32"/>
    <w:rsid w:val="22605689"/>
    <w:rsid w:val="228377FC"/>
    <w:rsid w:val="22AD589A"/>
    <w:rsid w:val="22DE7E28"/>
    <w:rsid w:val="22F66958"/>
    <w:rsid w:val="22FB72D8"/>
    <w:rsid w:val="230A2E42"/>
    <w:rsid w:val="230E236D"/>
    <w:rsid w:val="231F36C8"/>
    <w:rsid w:val="23245B22"/>
    <w:rsid w:val="23314333"/>
    <w:rsid w:val="23360FD0"/>
    <w:rsid w:val="23A3664D"/>
    <w:rsid w:val="23C2673F"/>
    <w:rsid w:val="23CC6C6C"/>
    <w:rsid w:val="23E04335"/>
    <w:rsid w:val="23FF75FB"/>
    <w:rsid w:val="24105B34"/>
    <w:rsid w:val="241330BC"/>
    <w:rsid w:val="24762B12"/>
    <w:rsid w:val="24777F0B"/>
    <w:rsid w:val="24975E97"/>
    <w:rsid w:val="24C148B0"/>
    <w:rsid w:val="24D17B32"/>
    <w:rsid w:val="24FD13D3"/>
    <w:rsid w:val="250851BD"/>
    <w:rsid w:val="253C2765"/>
    <w:rsid w:val="254C6870"/>
    <w:rsid w:val="256652B4"/>
    <w:rsid w:val="256D377B"/>
    <w:rsid w:val="256F5ACC"/>
    <w:rsid w:val="2581184D"/>
    <w:rsid w:val="25965F7C"/>
    <w:rsid w:val="25A517EF"/>
    <w:rsid w:val="25A641D2"/>
    <w:rsid w:val="25AE084C"/>
    <w:rsid w:val="25C74096"/>
    <w:rsid w:val="25E10A83"/>
    <w:rsid w:val="260F621B"/>
    <w:rsid w:val="263F0183"/>
    <w:rsid w:val="266A16A4"/>
    <w:rsid w:val="26713644"/>
    <w:rsid w:val="2674362D"/>
    <w:rsid w:val="26834513"/>
    <w:rsid w:val="268A7650"/>
    <w:rsid w:val="268F20C6"/>
    <w:rsid w:val="26B51F17"/>
    <w:rsid w:val="26C72B6F"/>
    <w:rsid w:val="26DA605D"/>
    <w:rsid w:val="26EC6985"/>
    <w:rsid w:val="26EE1FC0"/>
    <w:rsid w:val="27090EBD"/>
    <w:rsid w:val="27165388"/>
    <w:rsid w:val="271901ED"/>
    <w:rsid w:val="273A63A3"/>
    <w:rsid w:val="2749444C"/>
    <w:rsid w:val="274F2647"/>
    <w:rsid w:val="27B34B75"/>
    <w:rsid w:val="27C336D3"/>
    <w:rsid w:val="27FD7693"/>
    <w:rsid w:val="28197154"/>
    <w:rsid w:val="289357A5"/>
    <w:rsid w:val="28AF7842"/>
    <w:rsid w:val="28B65382"/>
    <w:rsid w:val="28DE02D2"/>
    <w:rsid w:val="28F84B93"/>
    <w:rsid w:val="29077D29"/>
    <w:rsid w:val="2918419C"/>
    <w:rsid w:val="2939535D"/>
    <w:rsid w:val="29410CAA"/>
    <w:rsid w:val="294616FD"/>
    <w:rsid w:val="29763EBB"/>
    <w:rsid w:val="29AB330F"/>
    <w:rsid w:val="29AC5FBF"/>
    <w:rsid w:val="29B665AC"/>
    <w:rsid w:val="29C015DB"/>
    <w:rsid w:val="29F8157A"/>
    <w:rsid w:val="2A1E335D"/>
    <w:rsid w:val="2A2279C8"/>
    <w:rsid w:val="2A363936"/>
    <w:rsid w:val="2A524FDF"/>
    <w:rsid w:val="2A753158"/>
    <w:rsid w:val="2A965B0A"/>
    <w:rsid w:val="2AAC37FB"/>
    <w:rsid w:val="2AC5334C"/>
    <w:rsid w:val="2ADB2BD5"/>
    <w:rsid w:val="2AE8528D"/>
    <w:rsid w:val="2B073EF2"/>
    <w:rsid w:val="2B2F4C6A"/>
    <w:rsid w:val="2B536BAA"/>
    <w:rsid w:val="2B6D5961"/>
    <w:rsid w:val="2B786611"/>
    <w:rsid w:val="2BA32818"/>
    <w:rsid w:val="2BA519D8"/>
    <w:rsid w:val="2BAF2AB8"/>
    <w:rsid w:val="2C0C5C0F"/>
    <w:rsid w:val="2C250B14"/>
    <w:rsid w:val="2C275941"/>
    <w:rsid w:val="2C3B5405"/>
    <w:rsid w:val="2C4B2FA5"/>
    <w:rsid w:val="2C59031C"/>
    <w:rsid w:val="2C5907E9"/>
    <w:rsid w:val="2C650E64"/>
    <w:rsid w:val="2C6579B8"/>
    <w:rsid w:val="2C970D19"/>
    <w:rsid w:val="2C9C632F"/>
    <w:rsid w:val="2CB2345D"/>
    <w:rsid w:val="2CCE2164"/>
    <w:rsid w:val="2CD07481"/>
    <w:rsid w:val="2CD56F5D"/>
    <w:rsid w:val="2CE07261"/>
    <w:rsid w:val="2CF00EAC"/>
    <w:rsid w:val="2D326F23"/>
    <w:rsid w:val="2D6D1A79"/>
    <w:rsid w:val="2D9708A4"/>
    <w:rsid w:val="2DAC19F5"/>
    <w:rsid w:val="2DDA23E8"/>
    <w:rsid w:val="2DE03CE6"/>
    <w:rsid w:val="2E0470F3"/>
    <w:rsid w:val="2E0D253C"/>
    <w:rsid w:val="2E43289A"/>
    <w:rsid w:val="2E486DD2"/>
    <w:rsid w:val="2E57306B"/>
    <w:rsid w:val="2E750BE6"/>
    <w:rsid w:val="2E755089"/>
    <w:rsid w:val="2E782379"/>
    <w:rsid w:val="2EAB70FD"/>
    <w:rsid w:val="2ECD6C74"/>
    <w:rsid w:val="2EDD006F"/>
    <w:rsid w:val="2EFF2BA5"/>
    <w:rsid w:val="2F1B7500"/>
    <w:rsid w:val="2F2A7AB6"/>
    <w:rsid w:val="2F46489B"/>
    <w:rsid w:val="2F4C544D"/>
    <w:rsid w:val="2F4D56BE"/>
    <w:rsid w:val="2F520BB5"/>
    <w:rsid w:val="2F7067E6"/>
    <w:rsid w:val="2F740E9D"/>
    <w:rsid w:val="2F757199"/>
    <w:rsid w:val="2F885A73"/>
    <w:rsid w:val="2F8922A1"/>
    <w:rsid w:val="2FA8323D"/>
    <w:rsid w:val="2FCF07C9"/>
    <w:rsid w:val="2FDF791C"/>
    <w:rsid w:val="2FE14059"/>
    <w:rsid w:val="2FE34720"/>
    <w:rsid w:val="2FE9521D"/>
    <w:rsid w:val="2FEA60CD"/>
    <w:rsid w:val="30341FA2"/>
    <w:rsid w:val="303E25B2"/>
    <w:rsid w:val="306D731C"/>
    <w:rsid w:val="30746014"/>
    <w:rsid w:val="307E7C38"/>
    <w:rsid w:val="30E353BF"/>
    <w:rsid w:val="3106378E"/>
    <w:rsid w:val="31080B83"/>
    <w:rsid w:val="3129184F"/>
    <w:rsid w:val="312E2219"/>
    <w:rsid w:val="316E7B6E"/>
    <w:rsid w:val="31EF1640"/>
    <w:rsid w:val="321C5403"/>
    <w:rsid w:val="321F5EE6"/>
    <w:rsid w:val="32526135"/>
    <w:rsid w:val="325F67EC"/>
    <w:rsid w:val="32E22E40"/>
    <w:rsid w:val="330D0E98"/>
    <w:rsid w:val="331D5253"/>
    <w:rsid w:val="33280090"/>
    <w:rsid w:val="334249CD"/>
    <w:rsid w:val="3346043A"/>
    <w:rsid w:val="338C3D33"/>
    <w:rsid w:val="33982369"/>
    <w:rsid w:val="33A201DA"/>
    <w:rsid w:val="33A32A64"/>
    <w:rsid w:val="33D1015A"/>
    <w:rsid w:val="33D25DFC"/>
    <w:rsid w:val="33E2516E"/>
    <w:rsid w:val="342B3CB6"/>
    <w:rsid w:val="34313801"/>
    <w:rsid w:val="34394463"/>
    <w:rsid w:val="346B5F4A"/>
    <w:rsid w:val="346D28AC"/>
    <w:rsid w:val="34986757"/>
    <w:rsid w:val="34C834CB"/>
    <w:rsid w:val="34CB25AA"/>
    <w:rsid w:val="34DF211F"/>
    <w:rsid w:val="34FA1E45"/>
    <w:rsid w:val="350B22A4"/>
    <w:rsid w:val="35154E98"/>
    <w:rsid w:val="35186016"/>
    <w:rsid w:val="35245E9E"/>
    <w:rsid w:val="3538296D"/>
    <w:rsid w:val="35803742"/>
    <w:rsid w:val="35B01E4A"/>
    <w:rsid w:val="35B46497"/>
    <w:rsid w:val="35BB3C99"/>
    <w:rsid w:val="35FE3BB6"/>
    <w:rsid w:val="36107446"/>
    <w:rsid w:val="361E2AC3"/>
    <w:rsid w:val="36496066"/>
    <w:rsid w:val="365657A0"/>
    <w:rsid w:val="367479D5"/>
    <w:rsid w:val="369B1405"/>
    <w:rsid w:val="36B74B2C"/>
    <w:rsid w:val="36C2714B"/>
    <w:rsid w:val="36EA2872"/>
    <w:rsid w:val="37021DBA"/>
    <w:rsid w:val="37051811"/>
    <w:rsid w:val="3727713D"/>
    <w:rsid w:val="37905BEB"/>
    <w:rsid w:val="37B55A13"/>
    <w:rsid w:val="37D44F73"/>
    <w:rsid w:val="38305B3C"/>
    <w:rsid w:val="384358B1"/>
    <w:rsid w:val="38436C9B"/>
    <w:rsid w:val="38556DEE"/>
    <w:rsid w:val="388E70B3"/>
    <w:rsid w:val="389076FA"/>
    <w:rsid w:val="38997BC6"/>
    <w:rsid w:val="38CF612C"/>
    <w:rsid w:val="38E5008F"/>
    <w:rsid w:val="393E317A"/>
    <w:rsid w:val="395A0729"/>
    <w:rsid w:val="39E305FC"/>
    <w:rsid w:val="39FA5767"/>
    <w:rsid w:val="3A2D21AE"/>
    <w:rsid w:val="3A41153E"/>
    <w:rsid w:val="3A476958"/>
    <w:rsid w:val="3A5E004A"/>
    <w:rsid w:val="3A6409FF"/>
    <w:rsid w:val="3A9D283C"/>
    <w:rsid w:val="3AA24F6A"/>
    <w:rsid w:val="3AED0349"/>
    <w:rsid w:val="3B027B15"/>
    <w:rsid w:val="3B146EA0"/>
    <w:rsid w:val="3B1C7208"/>
    <w:rsid w:val="3B26064F"/>
    <w:rsid w:val="3B6C15C2"/>
    <w:rsid w:val="3BB47D76"/>
    <w:rsid w:val="3BC211E2"/>
    <w:rsid w:val="3BCA3D2B"/>
    <w:rsid w:val="3BDD3D31"/>
    <w:rsid w:val="3C081557"/>
    <w:rsid w:val="3C0C24D0"/>
    <w:rsid w:val="3C0C3B45"/>
    <w:rsid w:val="3C2329DE"/>
    <w:rsid w:val="3C387C13"/>
    <w:rsid w:val="3C3C148C"/>
    <w:rsid w:val="3C460065"/>
    <w:rsid w:val="3C566D4D"/>
    <w:rsid w:val="3C6B187A"/>
    <w:rsid w:val="3C9A1923"/>
    <w:rsid w:val="3CE23E6B"/>
    <w:rsid w:val="3CF51FB8"/>
    <w:rsid w:val="3D1F45F0"/>
    <w:rsid w:val="3D344362"/>
    <w:rsid w:val="3D676C4F"/>
    <w:rsid w:val="3D6D42D8"/>
    <w:rsid w:val="3D82706F"/>
    <w:rsid w:val="3D8F3346"/>
    <w:rsid w:val="3D9764AF"/>
    <w:rsid w:val="3DB9487B"/>
    <w:rsid w:val="3DCD5673"/>
    <w:rsid w:val="3DDC6D05"/>
    <w:rsid w:val="3DEB3817"/>
    <w:rsid w:val="3E01510C"/>
    <w:rsid w:val="3E403816"/>
    <w:rsid w:val="3E486665"/>
    <w:rsid w:val="3E636CAD"/>
    <w:rsid w:val="3E6E6B8D"/>
    <w:rsid w:val="3E726EF0"/>
    <w:rsid w:val="3ECD1262"/>
    <w:rsid w:val="3F216D3E"/>
    <w:rsid w:val="3F5C7C20"/>
    <w:rsid w:val="3F69603F"/>
    <w:rsid w:val="3F83115D"/>
    <w:rsid w:val="3F9D4F63"/>
    <w:rsid w:val="3FA77F3D"/>
    <w:rsid w:val="3FD95300"/>
    <w:rsid w:val="3FE536F1"/>
    <w:rsid w:val="3FE756BB"/>
    <w:rsid w:val="3FE8458F"/>
    <w:rsid w:val="3FE93DFA"/>
    <w:rsid w:val="3FE94F8F"/>
    <w:rsid w:val="4000052B"/>
    <w:rsid w:val="406A7E41"/>
    <w:rsid w:val="407767B1"/>
    <w:rsid w:val="40D11C2F"/>
    <w:rsid w:val="40DC1DD0"/>
    <w:rsid w:val="40EB305C"/>
    <w:rsid w:val="40FA2DBD"/>
    <w:rsid w:val="41322966"/>
    <w:rsid w:val="413761CE"/>
    <w:rsid w:val="4137798B"/>
    <w:rsid w:val="413C07FF"/>
    <w:rsid w:val="413C1125"/>
    <w:rsid w:val="41406E31"/>
    <w:rsid w:val="414423C4"/>
    <w:rsid w:val="41755597"/>
    <w:rsid w:val="418361D6"/>
    <w:rsid w:val="418878EA"/>
    <w:rsid w:val="41A30C6B"/>
    <w:rsid w:val="41A76EB0"/>
    <w:rsid w:val="41BF5814"/>
    <w:rsid w:val="41D1217F"/>
    <w:rsid w:val="41DD0B24"/>
    <w:rsid w:val="42075459"/>
    <w:rsid w:val="42247208"/>
    <w:rsid w:val="425A03C6"/>
    <w:rsid w:val="425B616B"/>
    <w:rsid w:val="42815EC9"/>
    <w:rsid w:val="42A81A5D"/>
    <w:rsid w:val="42B34FB0"/>
    <w:rsid w:val="42D207CD"/>
    <w:rsid w:val="42E1070A"/>
    <w:rsid w:val="42F47F65"/>
    <w:rsid w:val="430610C5"/>
    <w:rsid w:val="43217136"/>
    <w:rsid w:val="43256988"/>
    <w:rsid w:val="433444B4"/>
    <w:rsid w:val="433E181F"/>
    <w:rsid w:val="434F194C"/>
    <w:rsid w:val="437D5F38"/>
    <w:rsid w:val="43803E5D"/>
    <w:rsid w:val="43821076"/>
    <w:rsid w:val="43F63A9A"/>
    <w:rsid w:val="440178DB"/>
    <w:rsid w:val="440C4C39"/>
    <w:rsid w:val="440D168C"/>
    <w:rsid w:val="441A5719"/>
    <w:rsid w:val="4440539A"/>
    <w:rsid w:val="44454911"/>
    <w:rsid w:val="444570D7"/>
    <w:rsid w:val="44562BD7"/>
    <w:rsid w:val="44687A88"/>
    <w:rsid w:val="44693328"/>
    <w:rsid w:val="44867251"/>
    <w:rsid w:val="44B741BA"/>
    <w:rsid w:val="44B813D4"/>
    <w:rsid w:val="451106FD"/>
    <w:rsid w:val="454B049A"/>
    <w:rsid w:val="454F554E"/>
    <w:rsid w:val="45657B33"/>
    <w:rsid w:val="45905EAD"/>
    <w:rsid w:val="45966907"/>
    <w:rsid w:val="459906E4"/>
    <w:rsid w:val="45A76D4B"/>
    <w:rsid w:val="45BA501A"/>
    <w:rsid w:val="45D77616"/>
    <w:rsid w:val="45F22775"/>
    <w:rsid w:val="46001285"/>
    <w:rsid w:val="46004DE1"/>
    <w:rsid w:val="46024FFD"/>
    <w:rsid w:val="46162856"/>
    <w:rsid w:val="46250CEB"/>
    <w:rsid w:val="46252A99"/>
    <w:rsid w:val="462D281F"/>
    <w:rsid w:val="46386346"/>
    <w:rsid w:val="46857774"/>
    <w:rsid w:val="46B03082"/>
    <w:rsid w:val="46BF4C9C"/>
    <w:rsid w:val="46C45A77"/>
    <w:rsid w:val="46E20A9A"/>
    <w:rsid w:val="4715432F"/>
    <w:rsid w:val="473258A5"/>
    <w:rsid w:val="477517FF"/>
    <w:rsid w:val="47993A99"/>
    <w:rsid w:val="47A0155D"/>
    <w:rsid w:val="47A130F5"/>
    <w:rsid w:val="47A42777"/>
    <w:rsid w:val="47AA6410"/>
    <w:rsid w:val="47E8192D"/>
    <w:rsid w:val="47F05DD2"/>
    <w:rsid w:val="47F44E19"/>
    <w:rsid w:val="47FA1031"/>
    <w:rsid w:val="481E0C0D"/>
    <w:rsid w:val="48403B96"/>
    <w:rsid w:val="485754EA"/>
    <w:rsid w:val="485C24C4"/>
    <w:rsid w:val="487C3FC9"/>
    <w:rsid w:val="487F367A"/>
    <w:rsid w:val="48A24875"/>
    <w:rsid w:val="48BB4C17"/>
    <w:rsid w:val="48D97C39"/>
    <w:rsid w:val="48DD7E3B"/>
    <w:rsid w:val="48DF5182"/>
    <w:rsid w:val="4904108C"/>
    <w:rsid w:val="492139EC"/>
    <w:rsid w:val="492C319F"/>
    <w:rsid w:val="496C5792"/>
    <w:rsid w:val="496F4763"/>
    <w:rsid w:val="4972249A"/>
    <w:rsid w:val="49963007"/>
    <w:rsid w:val="49AB59AC"/>
    <w:rsid w:val="49B10DCB"/>
    <w:rsid w:val="49F112D9"/>
    <w:rsid w:val="49F939DF"/>
    <w:rsid w:val="4A23728B"/>
    <w:rsid w:val="4A8D175A"/>
    <w:rsid w:val="4AE43E3C"/>
    <w:rsid w:val="4B2D7D1E"/>
    <w:rsid w:val="4B323E0F"/>
    <w:rsid w:val="4B64236F"/>
    <w:rsid w:val="4B977869"/>
    <w:rsid w:val="4B9D30D2"/>
    <w:rsid w:val="4BA86EA2"/>
    <w:rsid w:val="4BB369F5"/>
    <w:rsid w:val="4BC87E09"/>
    <w:rsid w:val="4BD44F51"/>
    <w:rsid w:val="4BED7415"/>
    <w:rsid w:val="4BF70A34"/>
    <w:rsid w:val="4C28492A"/>
    <w:rsid w:val="4C56200A"/>
    <w:rsid w:val="4C8D360A"/>
    <w:rsid w:val="4C9B52D9"/>
    <w:rsid w:val="4CA14229"/>
    <w:rsid w:val="4CC35913"/>
    <w:rsid w:val="4CD16286"/>
    <w:rsid w:val="4CDE39A2"/>
    <w:rsid w:val="4CEA78A8"/>
    <w:rsid w:val="4D0C3224"/>
    <w:rsid w:val="4D221CD7"/>
    <w:rsid w:val="4D475FED"/>
    <w:rsid w:val="4D5D0943"/>
    <w:rsid w:val="4D6C41D0"/>
    <w:rsid w:val="4D6F32C7"/>
    <w:rsid w:val="4D8656DA"/>
    <w:rsid w:val="4DA40E96"/>
    <w:rsid w:val="4DA92202"/>
    <w:rsid w:val="4DAF0F0C"/>
    <w:rsid w:val="4DCD5EF0"/>
    <w:rsid w:val="4DDC7AE7"/>
    <w:rsid w:val="4DED05FC"/>
    <w:rsid w:val="4DF36CCF"/>
    <w:rsid w:val="4E061402"/>
    <w:rsid w:val="4E1A38B1"/>
    <w:rsid w:val="4E3852C6"/>
    <w:rsid w:val="4E62389B"/>
    <w:rsid w:val="4E9407BC"/>
    <w:rsid w:val="4EB64BD7"/>
    <w:rsid w:val="4EBC7A0C"/>
    <w:rsid w:val="4ECC43FA"/>
    <w:rsid w:val="4ECD1F20"/>
    <w:rsid w:val="4EE11D78"/>
    <w:rsid w:val="4F236AC7"/>
    <w:rsid w:val="4F2D6FE8"/>
    <w:rsid w:val="4F4E0A0D"/>
    <w:rsid w:val="4F5370C0"/>
    <w:rsid w:val="4F5438DD"/>
    <w:rsid w:val="4F581010"/>
    <w:rsid w:val="4F5B3392"/>
    <w:rsid w:val="4F6C34E7"/>
    <w:rsid w:val="4F726AC9"/>
    <w:rsid w:val="4F9D5D96"/>
    <w:rsid w:val="4FA77DB8"/>
    <w:rsid w:val="50045AC3"/>
    <w:rsid w:val="50084820"/>
    <w:rsid w:val="50093D5E"/>
    <w:rsid w:val="50244C57"/>
    <w:rsid w:val="50616DC4"/>
    <w:rsid w:val="50AB3096"/>
    <w:rsid w:val="50AD2C9D"/>
    <w:rsid w:val="50DD469C"/>
    <w:rsid w:val="50F02B8B"/>
    <w:rsid w:val="50F80162"/>
    <w:rsid w:val="51035899"/>
    <w:rsid w:val="51475FBA"/>
    <w:rsid w:val="517717CD"/>
    <w:rsid w:val="51B362CF"/>
    <w:rsid w:val="52030F03"/>
    <w:rsid w:val="5208536C"/>
    <w:rsid w:val="52091678"/>
    <w:rsid w:val="5212572E"/>
    <w:rsid w:val="521469DC"/>
    <w:rsid w:val="522C74B0"/>
    <w:rsid w:val="52374280"/>
    <w:rsid w:val="52614AA1"/>
    <w:rsid w:val="527B7A70"/>
    <w:rsid w:val="5281374D"/>
    <w:rsid w:val="528662F8"/>
    <w:rsid w:val="52A56BA5"/>
    <w:rsid w:val="52A720B3"/>
    <w:rsid w:val="52AD62F0"/>
    <w:rsid w:val="52DC6BD6"/>
    <w:rsid w:val="52F12681"/>
    <w:rsid w:val="52FA6F7C"/>
    <w:rsid w:val="52FC5CD6"/>
    <w:rsid w:val="53130BF7"/>
    <w:rsid w:val="531B1423"/>
    <w:rsid w:val="5322600D"/>
    <w:rsid w:val="532962F7"/>
    <w:rsid w:val="532C70EE"/>
    <w:rsid w:val="533E1D0F"/>
    <w:rsid w:val="534479FE"/>
    <w:rsid w:val="53620E89"/>
    <w:rsid w:val="5363180D"/>
    <w:rsid w:val="536669A3"/>
    <w:rsid w:val="53B35F17"/>
    <w:rsid w:val="53BD2563"/>
    <w:rsid w:val="540D783D"/>
    <w:rsid w:val="541B65F4"/>
    <w:rsid w:val="543468BC"/>
    <w:rsid w:val="549D73AB"/>
    <w:rsid w:val="54A02E19"/>
    <w:rsid w:val="54A414C7"/>
    <w:rsid w:val="54A746AA"/>
    <w:rsid w:val="54D0545F"/>
    <w:rsid w:val="554B7A82"/>
    <w:rsid w:val="5552691D"/>
    <w:rsid w:val="55566A4B"/>
    <w:rsid w:val="55692447"/>
    <w:rsid w:val="556F3D31"/>
    <w:rsid w:val="55A44BCF"/>
    <w:rsid w:val="55A60A43"/>
    <w:rsid w:val="55A7171D"/>
    <w:rsid w:val="55D63DB0"/>
    <w:rsid w:val="55E23B6E"/>
    <w:rsid w:val="55E8379E"/>
    <w:rsid w:val="55FC278C"/>
    <w:rsid w:val="55FD7BA1"/>
    <w:rsid w:val="56011DF0"/>
    <w:rsid w:val="560426CB"/>
    <w:rsid w:val="56180A5E"/>
    <w:rsid w:val="562B5EAA"/>
    <w:rsid w:val="563D5BDD"/>
    <w:rsid w:val="56C540E1"/>
    <w:rsid w:val="56E6151A"/>
    <w:rsid w:val="573F149D"/>
    <w:rsid w:val="575F25C1"/>
    <w:rsid w:val="5770727E"/>
    <w:rsid w:val="57A03881"/>
    <w:rsid w:val="57AB5265"/>
    <w:rsid w:val="57B66DF8"/>
    <w:rsid w:val="57B93DA8"/>
    <w:rsid w:val="57E2605D"/>
    <w:rsid w:val="57F4051E"/>
    <w:rsid w:val="57FD1792"/>
    <w:rsid w:val="58092AEE"/>
    <w:rsid w:val="58144523"/>
    <w:rsid w:val="583B339B"/>
    <w:rsid w:val="58415193"/>
    <w:rsid w:val="58481CE4"/>
    <w:rsid w:val="5898636D"/>
    <w:rsid w:val="589870FB"/>
    <w:rsid w:val="58B73B3C"/>
    <w:rsid w:val="58BA34DE"/>
    <w:rsid w:val="58BC5859"/>
    <w:rsid w:val="58C953BB"/>
    <w:rsid w:val="5926651D"/>
    <w:rsid w:val="593D497F"/>
    <w:rsid w:val="5943175D"/>
    <w:rsid w:val="5947100F"/>
    <w:rsid w:val="59830BF8"/>
    <w:rsid w:val="59D5057A"/>
    <w:rsid w:val="5A024091"/>
    <w:rsid w:val="5A4A1C9F"/>
    <w:rsid w:val="5A8A6DE2"/>
    <w:rsid w:val="5AFC5479"/>
    <w:rsid w:val="5B085B56"/>
    <w:rsid w:val="5B21454D"/>
    <w:rsid w:val="5B323837"/>
    <w:rsid w:val="5B3A4EE7"/>
    <w:rsid w:val="5B40336D"/>
    <w:rsid w:val="5B4E4486"/>
    <w:rsid w:val="5B8C5D73"/>
    <w:rsid w:val="5B9F1E05"/>
    <w:rsid w:val="5BEE65FC"/>
    <w:rsid w:val="5BF335FC"/>
    <w:rsid w:val="5BFA36D3"/>
    <w:rsid w:val="5BFD58A1"/>
    <w:rsid w:val="5C0230C4"/>
    <w:rsid w:val="5C084732"/>
    <w:rsid w:val="5C125816"/>
    <w:rsid w:val="5C13465C"/>
    <w:rsid w:val="5C2115FE"/>
    <w:rsid w:val="5C250B55"/>
    <w:rsid w:val="5C566B5C"/>
    <w:rsid w:val="5C8400C2"/>
    <w:rsid w:val="5C936557"/>
    <w:rsid w:val="5C954DC6"/>
    <w:rsid w:val="5CBB785C"/>
    <w:rsid w:val="5CBE13D3"/>
    <w:rsid w:val="5CC236C1"/>
    <w:rsid w:val="5CE16196"/>
    <w:rsid w:val="5D720F98"/>
    <w:rsid w:val="5DAC2B79"/>
    <w:rsid w:val="5DB665B5"/>
    <w:rsid w:val="5DCE0AA9"/>
    <w:rsid w:val="5DD07523"/>
    <w:rsid w:val="5DDA0FE2"/>
    <w:rsid w:val="5DE00119"/>
    <w:rsid w:val="5DE73D28"/>
    <w:rsid w:val="5E391380"/>
    <w:rsid w:val="5E4E6BDA"/>
    <w:rsid w:val="5E527C50"/>
    <w:rsid w:val="5E6C52B2"/>
    <w:rsid w:val="5E8814EA"/>
    <w:rsid w:val="5EB629D1"/>
    <w:rsid w:val="5EC703E6"/>
    <w:rsid w:val="5ECB0068"/>
    <w:rsid w:val="5EDB4F20"/>
    <w:rsid w:val="5F2000DD"/>
    <w:rsid w:val="5F284E40"/>
    <w:rsid w:val="5F5641FA"/>
    <w:rsid w:val="5F754BEE"/>
    <w:rsid w:val="5F86523F"/>
    <w:rsid w:val="5F89287F"/>
    <w:rsid w:val="5FA665A1"/>
    <w:rsid w:val="5FD21144"/>
    <w:rsid w:val="602148BA"/>
    <w:rsid w:val="60285208"/>
    <w:rsid w:val="602C2F4B"/>
    <w:rsid w:val="60403C0A"/>
    <w:rsid w:val="606317CC"/>
    <w:rsid w:val="607625F6"/>
    <w:rsid w:val="60A832D2"/>
    <w:rsid w:val="60EA14E8"/>
    <w:rsid w:val="610D0E27"/>
    <w:rsid w:val="61145E0F"/>
    <w:rsid w:val="611A0FF5"/>
    <w:rsid w:val="615E2F40"/>
    <w:rsid w:val="61624FEF"/>
    <w:rsid w:val="61834DEC"/>
    <w:rsid w:val="61997B21"/>
    <w:rsid w:val="61B7227D"/>
    <w:rsid w:val="61BB2F63"/>
    <w:rsid w:val="61C22258"/>
    <w:rsid w:val="61D2000C"/>
    <w:rsid w:val="61E25761"/>
    <w:rsid w:val="62030D09"/>
    <w:rsid w:val="622D4EEC"/>
    <w:rsid w:val="62344338"/>
    <w:rsid w:val="623D546B"/>
    <w:rsid w:val="626271F8"/>
    <w:rsid w:val="62746729"/>
    <w:rsid w:val="629275AC"/>
    <w:rsid w:val="62B46A9A"/>
    <w:rsid w:val="62B603BE"/>
    <w:rsid w:val="62B836E7"/>
    <w:rsid w:val="62C0791B"/>
    <w:rsid w:val="62CD3163"/>
    <w:rsid w:val="62D358FF"/>
    <w:rsid w:val="62F55F13"/>
    <w:rsid w:val="631C7786"/>
    <w:rsid w:val="6353259C"/>
    <w:rsid w:val="636E3A96"/>
    <w:rsid w:val="637A1F7C"/>
    <w:rsid w:val="637F41D4"/>
    <w:rsid w:val="63951267"/>
    <w:rsid w:val="63BE1A11"/>
    <w:rsid w:val="6401649C"/>
    <w:rsid w:val="64115241"/>
    <w:rsid w:val="64224B50"/>
    <w:rsid w:val="642D7407"/>
    <w:rsid w:val="642E62DB"/>
    <w:rsid w:val="64550596"/>
    <w:rsid w:val="646F4906"/>
    <w:rsid w:val="6477100B"/>
    <w:rsid w:val="649B069F"/>
    <w:rsid w:val="64EF1EE4"/>
    <w:rsid w:val="650C50F9"/>
    <w:rsid w:val="654A3F98"/>
    <w:rsid w:val="655167DB"/>
    <w:rsid w:val="65611DD3"/>
    <w:rsid w:val="658F1C8B"/>
    <w:rsid w:val="659A53D5"/>
    <w:rsid w:val="659D21F5"/>
    <w:rsid w:val="65A90C9B"/>
    <w:rsid w:val="65DC0F6F"/>
    <w:rsid w:val="65F52031"/>
    <w:rsid w:val="6609788A"/>
    <w:rsid w:val="661C031E"/>
    <w:rsid w:val="662816B5"/>
    <w:rsid w:val="66546D57"/>
    <w:rsid w:val="665D1497"/>
    <w:rsid w:val="66920570"/>
    <w:rsid w:val="66A36A22"/>
    <w:rsid w:val="66B055EC"/>
    <w:rsid w:val="66CD6B09"/>
    <w:rsid w:val="66E95CF8"/>
    <w:rsid w:val="66EC609B"/>
    <w:rsid w:val="67054BC5"/>
    <w:rsid w:val="67072FFE"/>
    <w:rsid w:val="671477D7"/>
    <w:rsid w:val="67281F92"/>
    <w:rsid w:val="672958C3"/>
    <w:rsid w:val="674928AC"/>
    <w:rsid w:val="67613B55"/>
    <w:rsid w:val="67760F4F"/>
    <w:rsid w:val="67816B8F"/>
    <w:rsid w:val="67DF2416"/>
    <w:rsid w:val="67F61CED"/>
    <w:rsid w:val="67F95E2A"/>
    <w:rsid w:val="67FD18B3"/>
    <w:rsid w:val="683449CB"/>
    <w:rsid w:val="687F5BE1"/>
    <w:rsid w:val="6887014C"/>
    <w:rsid w:val="688A62C1"/>
    <w:rsid w:val="68A7765D"/>
    <w:rsid w:val="68B61ACB"/>
    <w:rsid w:val="68C161FA"/>
    <w:rsid w:val="68D61FD5"/>
    <w:rsid w:val="68F378C5"/>
    <w:rsid w:val="690F3D82"/>
    <w:rsid w:val="694834FE"/>
    <w:rsid w:val="695745BC"/>
    <w:rsid w:val="696A4D66"/>
    <w:rsid w:val="69AB4CF2"/>
    <w:rsid w:val="69C94CCC"/>
    <w:rsid w:val="69D96939"/>
    <w:rsid w:val="69DA3A17"/>
    <w:rsid w:val="69EE4DBD"/>
    <w:rsid w:val="69F53BBD"/>
    <w:rsid w:val="69F86402"/>
    <w:rsid w:val="6A476AE4"/>
    <w:rsid w:val="6A517BC2"/>
    <w:rsid w:val="6A65224D"/>
    <w:rsid w:val="6AD03CA4"/>
    <w:rsid w:val="6B015F03"/>
    <w:rsid w:val="6B491269"/>
    <w:rsid w:val="6B5D5951"/>
    <w:rsid w:val="6B730D8D"/>
    <w:rsid w:val="6B7A5E67"/>
    <w:rsid w:val="6B922AD5"/>
    <w:rsid w:val="6BA3608B"/>
    <w:rsid w:val="6BAD1792"/>
    <w:rsid w:val="6BC45011"/>
    <w:rsid w:val="6BE0108D"/>
    <w:rsid w:val="6BEE5558"/>
    <w:rsid w:val="6C474A80"/>
    <w:rsid w:val="6C4F0A89"/>
    <w:rsid w:val="6C9735EF"/>
    <w:rsid w:val="6C9B33DD"/>
    <w:rsid w:val="6CC1445E"/>
    <w:rsid w:val="6CDA788A"/>
    <w:rsid w:val="6CF574AD"/>
    <w:rsid w:val="6CFB6AE7"/>
    <w:rsid w:val="6D073456"/>
    <w:rsid w:val="6D096F9F"/>
    <w:rsid w:val="6D1E00BF"/>
    <w:rsid w:val="6D3C62EF"/>
    <w:rsid w:val="6D3E020C"/>
    <w:rsid w:val="6D5B7C22"/>
    <w:rsid w:val="6D6D47E3"/>
    <w:rsid w:val="6D7F34AE"/>
    <w:rsid w:val="6D96073B"/>
    <w:rsid w:val="6D9D4C38"/>
    <w:rsid w:val="6D9F6F97"/>
    <w:rsid w:val="6DD803C3"/>
    <w:rsid w:val="6DEC19D1"/>
    <w:rsid w:val="6DFE57FA"/>
    <w:rsid w:val="6E1663CE"/>
    <w:rsid w:val="6E2A03E1"/>
    <w:rsid w:val="6E3217E2"/>
    <w:rsid w:val="6E46523A"/>
    <w:rsid w:val="6E4A0A40"/>
    <w:rsid w:val="6E4E02CB"/>
    <w:rsid w:val="6E4E22DE"/>
    <w:rsid w:val="6EE01B59"/>
    <w:rsid w:val="6F082DD5"/>
    <w:rsid w:val="6F0F37DA"/>
    <w:rsid w:val="6F2179F2"/>
    <w:rsid w:val="6F345DED"/>
    <w:rsid w:val="6F415A91"/>
    <w:rsid w:val="6F4A4CF9"/>
    <w:rsid w:val="6F4E6D96"/>
    <w:rsid w:val="6F525DFE"/>
    <w:rsid w:val="6F647671"/>
    <w:rsid w:val="6F713328"/>
    <w:rsid w:val="6F72024E"/>
    <w:rsid w:val="6FD553A6"/>
    <w:rsid w:val="6FF9F077"/>
    <w:rsid w:val="6FFC5ECE"/>
    <w:rsid w:val="6FFC74A9"/>
    <w:rsid w:val="70027824"/>
    <w:rsid w:val="700468D2"/>
    <w:rsid w:val="702173D8"/>
    <w:rsid w:val="703C5CAA"/>
    <w:rsid w:val="70567B70"/>
    <w:rsid w:val="705F6AE0"/>
    <w:rsid w:val="70C31947"/>
    <w:rsid w:val="70D34D1C"/>
    <w:rsid w:val="70DA5CBA"/>
    <w:rsid w:val="70DD3DED"/>
    <w:rsid w:val="71B04CB7"/>
    <w:rsid w:val="71B8501F"/>
    <w:rsid w:val="71E6401D"/>
    <w:rsid w:val="71EC6C57"/>
    <w:rsid w:val="720A1AEC"/>
    <w:rsid w:val="72377A68"/>
    <w:rsid w:val="724F6160"/>
    <w:rsid w:val="72AA2522"/>
    <w:rsid w:val="72C23555"/>
    <w:rsid w:val="72D0311E"/>
    <w:rsid w:val="72E15C27"/>
    <w:rsid w:val="72FD5819"/>
    <w:rsid w:val="733A1083"/>
    <w:rsid w:val="733D3771"/>
    <w:rsid w:val="73470CFE"/>
    <w:rsid w:val="73627745"/>
    <w:rsid w:val="73D3670A"/>
    <w:rsid w:val="73EC4408"/>
    <w:rsid w:val="74006B47"/>
    <w:rsid w:val="741E7F6E"/>
    <w:rsid w:val="743E7870"/>
    <w:rsid w:val="744C66E2"/>
    <w:rsid w:val="7452064E"/>
    <w:rsid w:val="74613231"/>
    <w:rsid w:val="74685661"/>
    <w:rsid w:val="74830CC4"/>
    <w:rsid w:val="74C81B3F"/>
    <w:rsid w:val="74E27C24"/>
    <w:rsid w:val="74EC3944"/>
    <w:rsid w:val="75076AED"/>
    <w:rsid w:val="751C35F6"/>
    <w:rsid w:val="752D39CB"/>
    <w:rsid w:val="75363ACC"/>
    <w:rsid w:val="756920F3"/>
    <w:rsid w:val="759B20C5"/>
    <w:rsid w:val="75C62F7B"/>
    <w:rsid w:val="75DA6B4D"/>
    <w:rsid w:val="76565CF8"/>
    <w:rsid w:val="765B7C8E"/>
    <w:rsid w:val="765D6AD9"/>
    <w:rsid w:val="768C18A5"/>
    <w:rsid w:val="76FD1F28"/>
    <w:rsid w:val="770976EA"/>
    <w:rsid w:val="771C2B72"/>
    <w:rsid w:val="773D399C"/>
    <w:rsid w:val="77664768"/>
    <w:rsid w:val="776E2CBE"/>
    <w:rsid w:val="778B4C48"/>
    <w:rsid w:val="77932EEF"/>
    <w:rsid w:val="77AE64E8"/>
    <w:rsid w:val="77B072BC"/>
    <w:rsid w:val="77F80F61"/>
    <w:rsid w:val="78031D58"/>
    <w:rsid w:val="78202F3D"/>
    <w:rsid w:val="78207259"/>
    <w:rsid w:val="7832110C"/>
    <w:rsid w:val="783B448C"/>
    <w:rsid w:val="78546EFA"/>
    <w:rsid w:val="785D6C46"/>
    <w:rsid w:val="78627FD0"/>
    <w:rsid w:val="7886567B"/>
    <w:rsid w:val="78902F65"/>
    <w:rsid w:val="78DD5978"/>
    <w:rsid w:val="78E32DDE"/>
    <w:rsid w:val="78EF05F9"/>
    <w:rsid w:val="79025ED2"/>
    <w:rsid w:val="792A77D2"/>
    <w:rsid w:val="793F27C8"/>
    <w:rsid w:val="79579D65"/>
    <w:rsid w:val="79645141"/>
    <w:rsid w:val="79661EFB"/>
    <w:rsid w:val="796A7017"/>
    <w:rsid w:val="796C2017"/>
    <w:rsid w:val="797125E2"/>
    <w:rsid w:val="799D2830"/>
    <w:rsid w:val="79A37060"/>
    <w:rsid w:val="79B25E17"/>
    <w:rsid w:val="79DF25E2"/>
    <w:rsid w:val="7A591AD6"/>
    <w:rsid w:val="7A5E1396"/>
    <w:rsid w:val="7A665F33"/>
    <w:rsid w:val="7AE87CBB"/>
    <w:rsid w:val="7AEB20F3"/>
    <w:rsid w:val="7AF02724"/>
    <w:rsid w:val="7AF52855"/>
    <w:rsid w:val="7B097CF6"/>
    <w:rsid w:val="7B0F7299"/>
    <w:rsid w:val="7B1D7B50"/>
    <w:rsid w:val="7B2A639A"/>
    <w:rsid w:val="7B362A78"/>
    <w:rsid w:val="7B5B68D6"/>
    <w:rsid w:val="7B827A6B"/>
    <w:rsid w:val="7B8D25BC"/>
    <w:rsid w:val="7B9D6653"/>
    <w:rsid w:val="7BBF0C53"/>
    <w:rsid w:val="7C0A1A59"/>
    <w:rsid w:val="7C344213"/>
    <w:rsid w:val="7C373C68"/>
    <w:rsid w:val="7C6712B6"/>
    <w:rsid w:val="7C754C18"/>
    <w:rsid w:val="7CC806D1"/>
    <w:rsid w:val="7CF150FF"/>
    <w:rsid w:val="7CFA0158"/>
    <w:rsid w:val="7CFF1633"/>
    <w:rsid w:val="7D100764"/>
    <w:rsid w:val="7D1F2AE3"/>
    <w:rsid w:val="7D2E4F75"/>
    <w:rsid w:val="7D322D1E"/>
    <w:rsid w:val="7D362C5F"/>
    <w:rsid w:val="7D407BDD"/>
    <w:rsid w:val="7D451493"/>
    <w:rsid w:val="7D4C467F"/>
    <w:rsid w:val="7D8201F6"/>
    <w:rsid w:val="7DAA4898"/>
    <w:rsid w:val="7DE63809"/>
    <w:rsid w:val="7E260B81"/>
    <w:rsid w:val="7E6D055E"/>
    <w:rsid w:val="7E723B52"/>
    <w:rsid w:val="7E7713DD"/>
    <w:rsid w:val="7E782E0A"/>
    <w:rsid w:val="7EBB7B93"/>
    <w:rsid w:val="7EDE4C6E"/>
    <w:rsid w:val="7EE80CA9"/>
    <w:rsid w:val="7F2657B0"/>
    <w:rsid w:val="7F3B0A52"/>
    <w:rsid w:val="7FDC0FCF"/>
    <w:rsid w:val="7FE16BC2"/>
    <w:rsid w:val="7FE51643"/>
    <w:rsid w:val="7FFF13B5"/>
    <w:rsid w:val="B73F3BF8"/>
    <w:rsid w:val="DEFF7902"/>
    <w:rsid w:val="EDDFAD7B"/>
    <w:rsid w:val="FF44DB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qFormat="1" w:unhideWhenUsed="0" w:uiPriority="99" w:semiHidden="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qFormat="1"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776"/>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777"/>
    <w:qFormat/>
    <w:uiPriority w:val="0"/>
    <w:pPr>
      <w:keepNext/>
      <w:adjustRightInd w:val="0"/>
      <w:spacing w:before="120" w:line="360" w:lineRule="auto"/>
      <w:jc w:val="center"/>
      <w:outlineLvl w:val="1"/>
    </w:pPr>
    <w:rPr>
      <w:rFonts w:eastAsia="隶书"/>
      <w:b/>
      <w:kern w:val="0"/>
      <w:sz w:val="44"/>
      <w:szCs w:val="20"/>
    </w:rPr>
  </w:style>
  <w:style w:type="paragraph" w:styleId="5">
    <w:name w:val="heading 3"/>
    <w:basedOn w:val="1"/>
    <w:next w:val="1"/>
    <w:link w:val="778"/>
    <w:qFormat/>
    <w:uiPriority w:val="0"/>
    <w:pPr>
      <w:keepNext/>
      <w:keepLines/>
      <w:spacing w:before="260" w:after="260" w:line="416" w:lineRule="auto"/>
      <w:outlineLvl w:val="2"/>
    </w:pPr>
    <w:rPr>
      <w:b/>
      <w:bCs/>
      <w:sz w:val="32"/>
      <w:szCs w:val="32"/>
    </w:rPr>
  </w:style>
  <w:style w:type="paragraph" w:styleId="6">
    <w:name w:val="heading 4"/>
    <w:basedOn w:val="1"/>
    <w:next w:val="1"/>
    <w:link w:val="779"/>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8"/>
    <w:link w:val="780"/>
    <w:qFormat/>
    <w:uiPriority w:val="0"/>
    <w:pPr>
      <w:keepNext/>
      <w:keepLines/>
      <w:numPr>
        <w:ilvl w:val="4"/>
        <w:numId w:val="1"/>
      </w:numPr>
      <w:spacing w:before="280" w:after="290" w:line="376" w:lineRule="auto"/>
      <w:outlineLvl w:val="4"/>
    </w:pPr>
    <w:rPr>
      <w:b/>
      <w:sz w:val="28"/>
    </w:rPr>
  </w:style>
  <w:style w:type="paragraph" w:styleId="9">
    <w:name w:val="heading 6"/>
    <w:basedOn w:val="1"/>
    <w:next w:val="8"/>
    <w:link w:val="781"/>
    <w:qFormat/>
    <w:uiPriority w:val="0"/>
    <w:pPr>
      <w:keepNext/>
      <w:keepLines/>
      <w:numPr>
        <w:ilvl w:val="5"/>
        <w:numId w:val="1"/>
      </w:numPr>
      <w:spacing w:before="240" w:after="64" w:line="320" w:lineRule="auto"/>
      <w:outlineLvl w:val="5"/>
    </w:pPr>
    <w:rPr>
      <w:rFonts w:ascii="Arial" w:hAnsi="Arial" w:eastAsia="黑体"/>
      <w:b/>
      <w:sz w:val="24"/>
    </w:rPr>
  </w:style>
  <w:style w:type="paragraph" w:styleId="10">
    <w:name w:val="heading 7"/>
    <w:basedOn w:val="1"/>
    <w:next w:val="8"/>
    <w:link w:val="256"/>
    <w:qFormat/>
    <w:uiPriority w:val="0"/>
    <w:pPr>
      <w:keepNext/>
      <w:keepLines/>
      <w:numPr>
        <w:ilvl w:val="6"/>
        <w:numId w:val="1"/>
      </w:numPr>
      <w:spacing w:before="240" w:after="64" w:line="320" w:lineRule="auto"/>
      <w:outlineLvl w:val="6"/>
    </w:pPr>
    <w:rPr>
      <w:b/>
      <w:sz w:val="24"/>
    </w:rPr>
  </w:style>
  <w:style w:type="paragraph" w:styleId="11">
    <w:name w:val="heading 8"/>
    <w:basedOn w:val="1"/>
    <w:next w:val="8"/>
    <w:link w:val="254"/>
    <w:qFormat/>
    <w:uiPriority w:val="0"/>
    <w:pPr>
      <w:keepNext/>
      <w:keepLines/>
      <w:numPr>
        <w:ilvl w:val="7"/>
        <w:numId w:val="1"/>
      </w:numPr>
      <w:spacing w:before="240" w:after="64" w:line="320" w:lineRule="auto"/>
      <w:outlineLvl w:val="7"/>
    </w:pPr>
    <w:rPr>
      <w:rFonts w:ascii="Arial" w:hAnsi="Arial" w:eastAsia="黑体"/>
      <w:sz w:val="24"/>
    </w:rPr>
  </w:style>
  <w:style w:type="paragraph" w:styleId="12">
    <w:name w:val="heading 9"/>
    <w:basedOn w:val="1"/>
    <w:next w:val="8"/>
    <w:link w:val="253"/>
    <w:qFormat/>
    <w:uiPriority w:val="0"/>
    <w:pPr>
      <w:keepNext/>
      <w:keepLines/>
      <w:numPr>
        <w:ilvl w:val="8"/>
        <w:numId w:val="1"/>
      </w:numPr>
      <w:spacing w:before="240" w:after="64" w:line="320" w:lineRule="auto"/>
      <w:outlineLvl w:val="8"/>
    </w:pPr>
    <w:rPr>
      <w:rFonts w:ascii="Arial" w:hAnsi="Arial" w:eastAsia="黑体"/>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macro"/>
    <w:link w:val="99"/>
    <w:qFormat/>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8">
    <w:name w:val="Normal Indent"/>
    <w:basedOn w:val="1"/>
    <w:link w:val="93"/>
    <w:qFormat/>
    <w:uiPriority w:val="0"/>
    <w:pPr>
      <w:spacing w:line="240" w:lineRule="atLeast"/>
      <w:ind w:left="900" w:hanging="900"/>
      <w:jc w:val="left"/>
    </w:pPr>
    <w:rPr>
      <w:rFonts w:ascii="宋体"/>
      <w:snapToGrid w:val="0"/>
      <w:kern w:val="0"/>
      <w:sz w:val="20"/>
      <w:szCs w:val="20"/>
    </w:rPr>
  </w:style>
  <w:style w:type="paragraph" w:styleId="13">
    <w:name w:val="toc 7"/>
    <w:basedOn w:val="1"/>
    <w:next w:val="1"/>
    <w:qFormat/>
    <w:uiPriority w:val="39"/>
    <w:pPr>
      <w:ind w:left="1260"/>
      <w:jc w:val="left"/>
    </w:pPr>
    <w:rPr>
      <w:rFonts w:ascii="Calibri" w:hAnsi="Calibri"/>
      <w:sz w:val="18"/>
      <w:szCs w:val="18"/>
    </w:rPr>
  </w:style>
  <w:style w:type="paragraph" w:styleId="14">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5">
    <w:name w:val="caption"/>
    <w:basedOn w:val="1"/>
    <w:next w:val="1"/>
    <w:link w:val="70"/>
    <w:qFormat/>
    <w:uiPriority w:val="0"/>
    <w:pPr>
      <w:spacing w:before="152" w:after="160"/>
    </w:pPr>
    <w:rPr>
      <w:rFonts w:ascii="Arial" w:hAnsi="Arial" w:eastAsia="黑体"/>
      <w:sz w:val="20"/>
      <w:szCs w:val="20"/>
    </w:rPr>
  </w:style>
  <w:style w:type="paragraph" w:styleId="16">
    <w:name w:val="Document Map"/>
    <w:basedOn w:val="1"/>
    <w:link w:val="137"/>
    <w:qFormat/>
    <w:uiPriority w:val="0"/>
    <w:pPr>
      <w:shd w:val="clear" w:color="auto" w:fill="000080"/>
    </w:pPr>
  </w:style>
  <w:style w:type="paragraph" w:styleId="17">
    <w:name w:val="annotation text"/>
    <w:basedOn w:val="1"/>
    <w:link w:val="110"/>
    <w:unhideWhenUsed/>
    <w:qFormat/>
    <w:uiPriority w:val="99"/>
    <w:pPr>
      <w:jc w:val="left"/>
    </w:pPr>
  </w:style>
  <w:style w:type="paragraph" w:styleId="18">
    <w:name w:val="Body Text 3"/>
    <w:basedOn w:val="1"/>
    <w:link w:val="91"/>
    <w:qFormat/>
    <w:uiPriority w:val="0"/>
    <w:pPr>
      <w:spacing w:line="500" w:lineRule="exact"/>
    </w:pPr>
    <w:rPr>
      <w:b/>
      <w:bCs/>
      <w:kern w:val="0"/>
      <w:sz w:val="24"/>
    </w:rPr>
  </w:style>
  <w:style w:type="paragraph" w:styleId="19">
    <w:name w:val="Body Text"/>
    <w:basedOn w:val="1"/>
    <w:link w:val="127"/>
    <w:qFormat/>
    <w:uiPriority w:val="0"/>
    <w:pPr>
      <w:spacing w:line="420" w:lineRule="exact"/>
    </w:pPr>
    <w:rPr>
      <w:sz w:val="24"/>
    </w:rPr>
  </w:style>
  <w:style w:type="paragraph" w:styleId="20">
    <w:name w:val="Body Text Indent"/>
    <w:basedOn w:val="1"/>
    <w:link w:val="77"/>
    <w:qFormat/>
    <w:uiPriority w:val="0"/>
    <w:pPr>
      <w:spacing w:after="120"/>
      <w:ind w:left="420" w:leftChars="200"/>
    </w:pPr>
  </w:style>
  <w:style w:type="paragraph" w:styleId="21">
    <w:name w:val="List Number 3"/>
    <w:basedOn w:val="1"/>
    <w:qFormat/>
    <w:uiPriority w:val="0"/>
    <w:pPr>
      <w:tabs>
        <w:tab w:val="left" w:pos="1200"/>
      </w:tabs>
      <w:ind w:left="900" w:hanging="420"/>
    </w:pPr>
  </w:style>
  <w:style w:type="paragraph" w:styleId="22">
    <w:name w:val="List 2"/>
    <w:basedOn w:val="1"/>
    <w:qFormat/>
    <w:uiPriority w:val="0"/>
    <w:pPr>
      <w:ind w:left="100" w:leftChars="200" w:hanging="200" w:hangingChars="200"/>
    </w:pPr>
    <w:rPr>
      <w:sz w:val="28"/>
    </w:rPr>
  </w:style>
  <w:style w:type="paragraph" w:styleId="23">
    <w:name w:val="Block Text"/>
    <w:basedOn w:val="1"/>
    <w:qFormat/>
    <w:uiPriority w:val="0"/>
    <w:pPr>
      <w:adjustRightInd w:val="0"/>
      <w:ind w:left="420" w:right="33"/>
      <w:jc w:val="left"/>
      <w:textAlignment w:val="baseline"/>
    </w:pPr>
    <w:rPr>
      <w:kern w:val="0"/>
      <w:sz w:val="24"/>
      <w:szCs w:val="20"/>
    </w:rPr>
  </w:style>
  <w:style w:type="paragraph" w:styleId="24">
    <w:name w:val="toc 5"/>
    <w:basedOn w:val="1"/>
    <w:next w:val="1"/>
    <w:qFormat/>
    <w:uiPriority w:val="39"/>
    <w:pPr>
      <w:ind w:left="840"/>
      <w:jc w:val="left"/>
    </w:pPr>
    <w:rPr>
      <w:rFonts w:ascii="Calibri" w:hAnsi="Calibri"/>
      <w:sz w:val="18"/>
      <w:szCs w:val="18"/>
    </w:rPr>
  </w:style>
  <w:style w:type="paragraph" w:styleId="25">
    <w:name w:val="toc 3"/>
    <w:basedOn w:val="1"/>
    <w:next w:val="1"/>
    <w:qFormat/>
    <w:uiPriority w:val="39"/>
    <w:pPr>
      <w:ind w:left="420"/>
      <w:jc w:val="left"/>
    </w:pPr>
    <w:rPr>
      <w:rFonts w:ascii="Calibri" w:hAnsi="Calibri"/>
      <w:i/>
      <w:iCs/>
      <w:sz w:val="20"/>
      <w:szCs w:val="20"/>
    </w:rPr>
  </w:style>
  <w:style w:type="paragraph" w:styleId="26">
    <w:name w:val="Plain Text"/>
    <w:basedOn w:val="1"/>
    <w:link w:val="138"/>
    <w:qFormat/>
    <w:uiPriority w:val="0"/>
    <w:rPr>
      <w:rFonts w:ascii="宋体" w:hAnsi="Courier New" w:cs="Courier New"/>
      <w:szCs w:val="21"/>
    </w:rPr>
  </w:style>
  <w:style w:type="paragraph" w:styleId="27">
    <w:name w:val="toc 8"/>
    <w:basedOn w:val="1"/>
    <w:next w:val="1"/>
    <w:qFormat/>
    <w:uiPriority w:val="39"/>
    <w:pPr>
      <w:ind w:left="1470"/>
      <w:jc w:val="left"/>
    </w:pPr>
    <w:rPr>
      <w:rFonts w:ascii="Calibri" w:hAnsi="Calibri"/>
      <w:sz w:val="18"/>
      <w:szCs w:val="18"/>
    </w:rPr>
  </w:style>
  <w:style w:type="paragraph" w:styleId="28">
    <w:name w:val="Date"/>
    <w:basedOn w:val="1"/>
    <w:next w:val="1"/>
    <w:link w:val="101"/>
    <w:qFormat/>
    <w:uiPriority w:val="0"/>
    <w:pPr>
      <w:ind w:left="100" w:leftChars="2500"/>
    </w:pPr>
    <w:rPr>
      <w:sz w:val="24"/>
    </w:rPr>
  </w:style>
  <w:style w:type="paragraph" w:styleId="29">
    <w:name w:val="Body Text Indent 2"/>
    <w:basedOn w:val="1"/>
    <w:link w:val="147"/>
    <w:qFormat/>
    <w:uiPriority w:val="0"/>
    <w:pPr>
      <w:spacing w:after="120" w:line="480" w:lineRule="auto"/>
      <w:ind w:left="420" w:leftChars="200"/>
    </w:pPr>
  </w:style>
  <w:style w:type="paragraph" w:styleId="30">
    <w:name w:val="Balloon Text"/>
    <w:basedOn w:val="1"/>
    <w:link w:val="148"/>
    <w:qFormat/>
    <w:uiPriority w:val="0"/>
    <w:rPr>
      <w:sz w:val="18"/>
      <w:szCs w:val="18"/>
    </w:rPr>
  </w:style>
  <w:style w:type="paragraph" w:styleId="31">
    <w:name w:val="footer"/>
    <w:basedOn w:val="1"/>
    <w:link w:val="140"/>
    <w:qFormat/>
    <w:uiPriority w:val="99"/>
    <w:pPr>
      <w:tabs>
        <w:tab w:val="center" w:pos="4153"/>
        <w:tab w:val="right" w:pos="8306"/>
      </w:tabs>
      <w:snapToGrid w:val="0"/>
      <w:jc w:val="left"/>
    </w:pPr>
    <w:rPr>
      <w:sz w:val="18"/>
      <w:szCs w:val="18"/>
    </w:rPr>
  </w:style>
  <w:style w:type="paragraph" w:styleId="32">
    <w:name w:val="header"/>
    <w:basedOn w:val="1"/>
    <w:link w:val="134"/>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spacing w:before="120" w:after="120"/>
      <w:jc w:val="left"/>
    </w:pPr>
    <w:rPr>
      <w:rFonts w:ascii="Calibri" w:hAnsi="Calibri"/>
      <w:b/>
      <w:bCs/>
      <w:caps/>
      <w:sz w:val="20"/>
      <w:szCs w:val="20"/>
    </w:rPr>
  </w:style>
  <w:style w:type="paragraph" w:styleId="34">
    <w:name w:val="toc 4"/>
    <w:basedOn w:val="1"/>
    <w:next w:val="1"/>
    <w:qFormat/>
    <w:uiPriority w:val="39"/>
    <w:pPr>
      <w:ind w:left="630"/>
      <w:jc w:val="left"/>
    </w:pPr>
    <w:rPr>
      <w:rFonts w:ascii="Calibri" w:hAnsi="Calibri"/>
      <w:sz w:val="18"/>
      <w:szCs w:val="18"/>
    </w:rPr>
  </w:style>
  <w:style w:type="paragraph" w:styleId="35">
    <w:name w:val="List"/>
    <w:basedOn w:val="1"/>
    <w:qFormat/>
    <w:uiPriority w:val="0"/>
    <w:pPr>
      <w:ind w:left="200" w:hanging="200" w:hangingChars="200"/>
    </w:pPr>
    <w:rPr>
      <w:sz w:val="28"/>
    </w:rPr>
  </w:style>
  <w:style w:type="paragraph" w:styleId="36">
    <w:name w:val="toc 6"/>
    <w:basedOn w:val="1"/>
    <w:next w:val="1"/>
    <w:qFormat/>
    <w:uiPriority w:val="39"/>
    <w:pPr>
      <w:ind w:left="1050"/>
      <w:jc w:val="left"/>
    </w:pPr>
    <w:rPr>
      <w:rFonts w:ascii="Calibri" w:hAnsi="Calibri"/>
      <w:sz w:val="18"/>
      <w:szCs w:val="18"/>
    </w:rPr>
  </w:style>
  <w:style w:type="paragraph" w:styleId="37">
    <w:name w:val="List 5"/>
    <w:basedOn w:val="1"/>
    <w:qFormat/>
    <w:uiPriority w:val="0"/>
    <w:pPr>
      <w:ind w:left="2100" w:hanging="420"/>
    </w:pPr>
    <w:rPr>
      <w:szCs w:val="20"/>
    </w:rPr>
  </w:style>
  <w:style w:type="paragraph" w:styleId="38">
    <w:name w:val="Body Text Indent 3"/>
    <w:basedOn w:val="1"/>
    <w:link w:val="108"/>
    <w:qFormat/>
    <w:uiPriority w:val="0"/>
    <w:pPr>
      <w:spacing w:after="120"/>
      <w:ind w:left="420" w:leftChars="200"/>
    </w:pPr>
    <w:rPr>
      <w:sz w:val="16"/>
      <w:szCs w:val="16"/>
    </w:rPr>
  </w:style>
  <w:style w:type="paragraph" w:styleId="39">
    <w:name w:val="toc 2"/>
    <w:basedOn w:val="1"/>
    <w:next w:val="1"/>
    <w:qFormat/>
    <w:uiPriority w:val="39"/>
    <w:pPr>
      <w:ind w:left="210"/>
      <w:jc w:val="left"/>
    </w:pPr>
    <w:rPr>
      <w:rFonts w:ascii="Calibri" w:hAnsi="Calibri"/>
      <w:smallCaps/>
      <w:sz w:val="20"/>
      <w:szCs w:val="20"/>
    </w:rPr>
  </w:style>
  <w:style w:type="paragraph" w:styleId="40">
    <w:name w:val="toc 9"/>
    <w:basedOn w:val="1"/>
    <w:next w:val="1"/>
    <w:qFormat/>
    <w:uiPriority w:val="0"/>
    <w:pPr>
      <w:ind w:left="1680"/>
      <w:jc w:val="left"/>
    </w:pPr>
    <w:rPr>
      <w:rFonts w:ascii="Calibri" w:hAnsi="Calibri"/>
      <w:sz w:val="18"/>
      <w:szCs w:val="18"/>
    </w:rPr>
  </w:style>
  <w:style w:type="paragraph" w:styleId="41">
    <w:name w:val="Body Text 2"/>
    <w:basedOn w:val="1"/>
    <w:qFormat/>
    <w:uiPriority w:val="0"/>
    <w:pPr>
      <w:spacing w:after="120" w:line="480" w:lineRule="auto"/>
    </w:pPr>
    <w:rPr>
      <w:kern w:val="0"/>
      <w:sz w:val="20"/>
    </w:rPr>
  </w:style>
  <w:style w:type="paragraph" w:styleId="42">
    <w:name w:val="HTML Preformatted"/>
    <w:basedOn w:val="1"/>
    <w:link w:val="119"/>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3">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44">
    <w:name w:val="index 1"/>
    <w:basedOn w:val="1"/>
    <w:next w:val="1"/>
    <w:qFormat/>
    <w:uiPriority w:val="0"/>
    <w:pPr>
      <w:spacing w:line="360" w:lineRule="auto"/>
    </w:pPr>
    <w:rPr>
      <w:rFonts w:ascii="宋体" w:hAnsi="宋体"/>
      <w:bCs/>
      <w:szCs w:val="21"/>
    </w:rPr>
  </w:style>
  <w:style w:type="paragraph" w:styleId="45">
    <w:name w:val="Title"/>
    <w:basedOn w:val="1"/>
    <w:next w:val="1"/>
    <w:qFormat/>
    <w:uiPriority w:val="0"/>
    <w:pPr>
      <w:jc w:val="center"/>
    </w:pPr>
    <w:rPr>
      <w:rFonts w:ascii="宋体"/>
      <w:b/>
      <w:snapToGrid w:val="0"/>
      <w:kern w:val="0"/>
      <w:sz w:val="36"/>
      <w:szCs w:val="20"/>
    </w:rPr>
  </w:style>
  <w:style w:type="paragraph" w:styleId="46">
    <w:name w:val="annotation subject"/>
    <w:basedOn w:val="17"/>
    <w:next w:val="17"/>
    <w:link w:val="129"/>
    <w:unhideWhenUsed/>
    <w:qFormat/>
    <w:uiPriority w:val="0"/>
    <w:rPr>
      <w:b/>
      <w:bCs/>
    </w:rPr>
  </w:style>
  <w:style w:type="paragraph" w:styleId="47">
    <w:name w:val="Body Text First Indent 2"/>
    <w:basedOn w:val="20"/>
    <w:link w:val="241"/>
    <w:semiHidden/>
    <w:unhideWhenUsed/>
    <w:qFormat/>
    <w:uiPriority w:val="0"/>
    <w:pPr>
      <w:ind w:firstLine="420" w:firstLineChars="200"/>
    </w:pPr>
  </w:style>
  <w:style w:type="table" w:styleId="49">
    <w:name w:val="Table Grid"/>
    <w:basedOn w:val="4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1">
    <w:name w:val="Strong"/>
    <w:basedOn w:val="50"/>
    <w:link w:val="52"/>
    <w:qFormat/>
    <w:uiPriority w:val="0"/>
    <w:rPr>
      <w:b/>
      <w:bCs/>
    </w:rPr>
  </w:style>
  <w:style w:type="paragraph" w:customStyle="1" w:styleId="52">
    <w:name w:val="Balloon Text_file_1735"/>
    <w:basedOn w:val="53"/>
    <w:link w:val="51"/>
    <w:semiHidden/>
    <w:unhideWhenUsed/>
    <w:qFormat/>
    <w:uiPriority w:val="99"/>
    <w:rPr>
      <w:sz w:val="18"/>
      <w:szCs w:val="18"/>
    </w:rPr>
  </w:style>
  <w:style w:type="paragraph" w:customStyle="1" w:styleId="53">
    <w:name w:val="Normal_file_1735"/>
    <w:qFormat/>
    <w:uiPriority w:val="0"/>
    <w:pPr>
      <w:widowControl w:val="0"/>
      <w:jc w:val="both"/>
    </w:pPr>
    <w:rPr>
      <w:rFonts w:ascii="Times New Roman" w:hAnsi="Times New Roman" w:eastAsia="宋体" w:cs="Times New Roman"/>
      <w:lang w:val="en-US" w:eastAsia="zh-CN" w:bidi="ar-SA"/>
    </w:rPr>
  </w:style>
  <w:style w:type="character" w:styleId="54">
    <w:name w:val="page number"/>
    <w:basedOn w:val="50"/>
    <w:qFormat/>
    <w:uiPriority w:val="0"/>
  </w:style>
  <w:style w:type="character" w:styleId="55">
    <w:name w:val="FollowedHyperlink"/>
    <w:link w:val="56"/>
    <w:qFormat/>
    <w:uiPriority w:val="99"/>
    <w:rPr>
      <w:color w:val="800080"/>
      <w:u w:val="single"/>
    </w:rPr>
  </w:style>
  <w:style w:type="paragraph" w:customStyle="1" w:styleId="56">
    <w:name w:val="header_file_1735"/>
    <w:basedOn w:val="53"/>
    <w:link w:val="55"/>
    <w:unhideWhenUsed/>
    <w:qFormat/>
    <w:uiPriority w:val="99"/>
    <w:pPr>
      <w:pBdr>
        <w:bottom w:val="single" w:color="auto" w:sz="6" w:space="1"/>
      </w:pBdr>
      <w:tabs>
        <w:tab w:val="center" w:pos="4153"/>
        <w:tab w:val="right" w:pos="8306"/>
      </w:tabs>
      <w:snapToGrid w:val="0"/>
      <w:jc w:val="center"/>
    </w:pPr>
    <w:rPr>
      <w:sz w:val="18"/>
      <w:szCs w:val="18"/>
    </w:rPr>
  </w:style>
  <w:style w:type="character" w:styleId="57">
    <w:name w:val="Emphasis"/>
    <w:basedOn w:val="50"/>
    <w:qFormat/>
    <w:uiPriority w:val="0"/>
    <w:rPr>
      <w:color w:val="CC0000"/>
    </w:rPr>
  </w:style>
  <w:style w:type="character" w:styleId="58">
    <w:name w:val="Hyperlink"/>
    <w:link w:val="59"/>
    <w:qFormat/>
    <w:uiPriority w:val="99"/>
    <w:rPr>
      <w:color w:val="0000FF"/>
      <w:u w:val="single"/>
    </w:rPr>
  </w:style>
  <w:style w:type="paragraph" w:customStyle="1" w:styleId="59">
    <w:name w:val="Plain Text_file_1735"/>
    <w:basedOn w:val="53"/>
    <w:link w:val="58"/>
    <w:qFormat/>
    <w:uiPriority w:val="0"/>
    <w:rPr>
      <w:rFonts w:ascii="宋体" w:hAnsi="Courier New" w:eastAsia="宋体" w:cs="Courier New"/>
      <w:szCs w:val="21"/>
    </w:rPr>
  </w:style>
  <w:style w:type="character" w:styleId="60">
    <w:name w:val="annotation reference"/>
    <w:unhideWhenUsed/>
    <w:qFormat/>
    <w:uiPriority w:val="99"/>
    <w:rPr>
      <w:sz w:val="21"/>
      <w:szCs w:val="21"/>
    </w:rPr>
  </w:style>
  <w:style w:type="character" w:customStyle="1" w:styleId="61">
    <w:name w:val="font51"/>
    <w:qFormat/>
    <w:uiPriority w:val="0"/>
    <w:rPr>
      <w:rFonts w:hint="eastAsia" w:ascii="宋体" w:hAnsi="宋体" w:eastAsia="宋体" w:cs="宋体"/>
      <w:color w:val="000000"/>
      <w:sz w:val="20"/>
      <w:szCs w:val="20"/>
      <w:u w:val="none"/>
    </w:rPr>
  </w:style>
  <w:style w:type="character" w:customStyle="1" w:styleId="62">
    <w:name w:val="正文文本缩进 2 Char2"/>
    <w:semiHidden/>
    <w:qFormat/>
    <w:uiPriority w:val="99"/>
    <w:rPr>
      <w:kern w:val="2"/>
      <w:sz w:val="21"/>
      <w:szCs w:val="24"/>
    </w:rPr>
  </w:style>
  <w:style w:type="character" w:customStyle="1" w:styleId="63">
    <w:name w:val="宏文本 Char1"/>
    <w:qFormat/>
    <w:uiPriority w:val="99"/>
    <w:rPr>
      <w:rFonts w:ascii="Courier New" w:hAnsi="Courier New" w:cs="Courier New"/>
      <w:kern w:val="2"/>
      <w:sz w:val="24"/>
      <w:szCs w:val="24"/>
    </w:rPr>
  </w:style>
  <w:style w:type="character" w:customStyle="1" w:styleId="64">
    <w:name w:val="正文文本缩进 2 Char1"/>
    <w:semiHidden/>
    <w:qFormat/>
    <w:uiPriority w:val="99"/>
    <w:rPr>
      <w:rFonts w:ascii="Times New Roman" w:hAnsi="Times New Roman" w:eastAsia="宋体" w:cs="Times New Roman"/>
      <w:szCs w:val="24"/>
    </w:rPr>
  </w:style>
  <w:style w:type="character" w:customStyle="1" w:styleId="65">
    <w:name w:val="样式2"/>
    <w:link w:val="66"/>
    <w:qFormat/>
    <w:uiPriority w:val="0"/>
    <w:rPr>
      <w:rFonts w:ascii="宋体" w:hAnsi="宋体"/>
      <w:b/>
      <w:szCs w:val="21"/>
    </w:rPr>
  </w:style>
  <w:style w:type="paragraph" w:customStyle="1" w:styleId="66">
    <w:name w:val="Plain Text_file_1729"/>
    <w:basedOn w:val="67"/>
    <w:link w:val="65"/>
    <w:qFormat/>
    <w:uiPriority w:val="0"/>
    <w:rPr>
      <w:rFonts w:ascii="宋体" w:hAnsi="Courier New" w:cs="Courier New"/>
      <w:szCs w:val="21"/>
    </w:rPr>
  </w:style>
  <w:style w:type="paragraph" w:customStyle="1" w:styleId="67">
    <w:name w:val="Normal_file_1729"/>
    <w:qFormat/>
    <w:uiPriority w:val="0"/>
    <w:pPr>
      <w:widowControl w:val="0"/>
      <w:jc w:val="both"/>
    </w:pPr>
    <w:rPr>
      <w:rFonts w:ascii="Calibri" w:hAnsi="Calibri" w:eastAsia="宋体" w:cs="Times New Roman"/>
      <w:kern w:val="2"/>
      <w:sz w:val="21"/>
      <w:szCs w:val="18"/>
      <w:lang w:val="en-US" w:eastAsia="zh-CN" w:bidi="ar-SA"/>
    </w:rPr>
  </w:style>
  <w:style w:type="character" w:customStyle="1" w:styleId="68">
    <w:name w:val="apple-converted-space"/>
    <w:basedOn w:val="50"/>
    <w:qFormat/>
    <w:uiPriority w:val="0"/>
  </w:style>
  <w:style w:type="character" w:customStyle="1" w:styleId="69">
    <w:name w:val="标题 9 字符"/>
    <w:link w:val="12"/>
    <w:qFormat/>
    <w:uiPriority w:val="0"/>
    <w:rPr>
      <w:rFonts w:ascii="Arial" w:hAnsi="Arial" w:eastAsia="黑体"/>
      <w:kern w:val="2"/>
      <w:sz w:val="21"/>
      <w:szCs w:val="24"/>
    </w:rPr>
  </w:style>
  <w:style w:type="character" w:customStyle="1" w:styleId="70">
    <w:name w:val="题注 字符"/>
    <w:link w:val="15"/>
    <w:qFormat/>
    <w:uiPriority w:val="0"/>
    <w:rPr>
      <w:rFonts w:ascii="Arial" w:hAnsi="Arial" w:eastAsia="黑体" w:cs="Arial"/>
      <w:kern w:val="2"/>
    </w:rPr>
  </w:style>
  <w:style w:type="character" w:customStyle="1" w:styleId="71">
    <w:name w:val="标题 5 字符"/>
    <w:link w:val="7"/>
    <w:qFormat/>
    <w:uiPriority w:val="0"/>
    <w:rPr>
      <w:b/>
      <w:kern w:val="2"/>
      <w:sz w:val="28"/>
      <w:szCs w:val="24"/>
    </w:rPr>
  </w:style>
  <w:style w:type="character" w:customStyle="1" w:styleId="72">
    <w:name w:val="正文文本 3 Char1"/>
    <w:qFormat/>
    <w:uiPriority w:val="99"/>
    <w:rPr>
      <w:kern w:val="2"/>
      <w:sz w:val="16"/>
      <w:szCs w:val="16"/>
    </w:rPr>
  </w:style>
  <w:style w:type="character" w:customStyle="1" w:styleId="73">
    <w:name w:val="标题 3 字符"/>
    <w:link w:val="5"/>
    <w:qFormat/>
    <w:uiPriority w:val="0"/>
    <w:rPr>
      <w:b/>
      <w:bCs/>
      <w:kern w:val="2"/>
      <w:sz w:val="32"/>
      <w:szCs w:val="32"/>
    </w:rPr>
  </w:style>
  <w:style w:type="character" w:customStyle="1" w:styleId="74">
    <w:name w:val="样式1"/>
    <w:qFormat/>
    <w:uiPriority w:val="0"/>
    <w:rPr>
      <w:rFonts w:ascii="宋体" w:hAnsi="宋体"/>
      <w:szCs w:val="21"/>
    </w:rPr>
  </w:style>
  <w:style w:type="character" w:customStyle="1" w:styleId="75">
    <w:name w:val="标题 2 字符"/>
    <w:link w:val="76"/>
    <w:qFormat/>
    <w:uiPriority w:val="0"/>
    <w:rPr>
      <w:rFonts w:eastAsia="隶书"/>
      <w:b/>
      <w:sz w:val="44"/>
    </w:rPr>
  </w:style>
  <w:style w:type="paragraph" w:customStyle="1" w:styleId="76">
    <w:name w:val="heading 1_file_1729"/>
    <w:basedOn w:val="67"/>
    <w:next w:val="3"/>
    <w:link w:val="75"/>
    <w:qFormat/>
    <w:uiPriority w:val="0"/>
    <w:pPr>
      <w:keepNext/>
      <w:keepLines/>
      <w:spacing w:before="340" w:after="330" w:line="578" w:lineRule="auto"/>
      <w:outlineLvl w:val="0"/>
    </w:pPr>
    <w:rPr>
      <w:rFonts w:ascii="Times New Roman" w:hAnsi="Times New Roman"/>
      <w:b/>
      <w:bCs/>
      <w:kern w:val="44"/>
      <w:sz w:val="44"/>
      <w:szCs w:val="44"/>
    </w:rPr>
  </w:style>
  <w:style w:type="character" w:customStyle="1" w:styleId="77">
    <w:name w:val="正文文本缩进 字符"/>
    <w:link w:val="20"/>
    <w:qFormat/>
    <w:uiPriority w:val="0"/>
    <w:rPr>
      <w:kern w:val="2"/>
      <w:sz w:val="21"/>
      <w:szCs w:val="24"/>
    </w:rPr>
  </w:style>
  <w:style w:type="character" w:customStyle="1" w:styleId="78">
    <w:name w:val="页脚 Char2"/>
    <w:semiHidden/>
    <w:qFormat/>
    <w:uiPriority w:val="99"/>
    <w:rPr>
      <w:kern w:val="2"/>
      <w:sz w:val="18"/>
      <w:szCs w:val="18"/>
    </w:rPr>
  </w:style>
  <w:style w:type="character" w:customStyle="1" w:styleId="79">
    <w:name w:val="列表段落 字符"/>
    <w:link w:val="80"/>
    <w:qFormat/>
    <w:locked/>
    <w:uiPriority w:val="34"/>
    <w:rPr>
      <w:rFonts w:ascii="Calibri" w:hAnsi="Calibri"/>
      <w:kern w:val="2"/>
      <w:sz w:val="21"/>
      <w:szCs w:val="22"/>
    </w:rPr>
  </w:style>
  <w:style w:type="paragraph" w:styleId="80">
    <w:name w:val="List Paragraph"/>
    <w:basedOn w:val="1"/>
    <w:link w:val="79"/>
    <w:qFormat/>
    <w:uiPriority w:val="34"/>
    <w:pPr>
      <w:ind w:firstLine="420" w:firstLineChars="200"/>
    </w:pPr>
    <w:rPr>
      <w:rFonts w:ascii="Calibri" w:hAnsi="Calibri"/>
      <w:szCs w:val="22"/>
    </w:rPr>
  </w:style>
  <w:style w:type="character" w:customStyle="1" w:styleId="81">
    <w:name w:val="gray"/>
    <w:qFormat/>
    <w:uiPriority w:val="0"/>
    <w:rPr>
      <w:rFonts w:ascii="Tahoma" w:hAnsi="Tahoma" w:eastAsia="宋体"/>
      <w:kern w:val="2"/>
      <w:sz w:val="24"/>
      <w:szCs w:val="24"/>
      <w:lang w:val="en-US" w:eastAsia="zh-CN" w:bidi="ar-SA"/>
    </w:rPr>
  </w:style>
  <w:style w:type="character" w:customStyle="1" w:styleId="82">
    <w:name w:val="HTML 预设格式 Char1"/>
    <w:qFormat/>
    <w:uiPriority w:val="99"/>
    <w:rPr>
      <w:rFonts w:ascii="Courier New" w:hAnsi="Courier New" w:cs="Courier New"/>
      <w:kern w:val="2"/>
    </w:rPr>
  </w:style>
  <w:style w:type="character" w:customStyle="1" w:styleId="83">
    <w:name w:val="mark"/>
    <w:basedOn w:val="50"/>
    <w:qFormat/>
    <w:uiPriority w:val="0"/>
  </w:style>
  <w:style w:type="character" w:customStyle="1" w:styleId="84">
    <w:name w:val="A15"/>
    <w:qFormat/>
    <w:uiPriority w:val="0"/>
    <w:rPr>
      <w:rFonts w:ascii="Times New Roman" w:hAnsi="Times New Roman"/>
      <w:color w:val="000000"/>
      <w:sz w:val="14"/>
      <w:szCs w:val="14"/>
    </w:rPr>
  </w:style>
  <w:style w:type="character" w:customStyle="1" w:styleId="85">
    <w:name w:val="日期 Char1"/>
    <w:semiHidden/>
    <w:qFormat/>
    <w:uiPriority w:val="99"/>
    <w:rPr>
      <w:rFonts w:ascii="Times New Roman" w:hAnsi="Times New Roman" w:eastAsia="宋体" w:cs="Times New Roman"/>
      <w:szCs w:val="24"/>
    </w:rPr>
  </w:style>
  <w:style w:type="character" w:customStyle="1" w:styleId="86">
    <w:name w:val="引用 字符"/>
    <w:link w:val="87"/>
    <w:qFormat/>
    <w:uiPriority w:val="29"/>
    <w:rPr>
      <w:i/>
      <w:iCs/>
      <w:color w:val="404040"/>
      <w:kern w:val="2"/>
      <w:sz w:val="21"/>
      <w:szCs w:val="24"/>
    </w:rPr>
  </w:style>
  <w:style w:type="paragraph" w:styleId="87">
    <w:name w:val="Quote"/>
    <w:basedOn w:val="1"/>
    <w:next w:val="1"/>
    <w:link w:val="86"/>
    <w:qFormat/>
    <w:uiPriority w:val="29"/>
    <w:pPr>
      <w:spacing w:before="200" w:after="160"/>
      <w:ind w:left="864" w:right="864"/>
      <w:jc w:val="center"/>
    </w:pPr>
    <w:rPr>
      <w:i/>
      <w:iCs/>
      <w:color w:val="404040"/>
    </w:rPr>
  </w:style>
  <w:style w:type="character" w:customStyle="1" w:styleId="88">
    <w:name w:val="超链接2"/>
    <w:qFormat/>
    <w:uiPriority w:val="0"/>
    <w:rPr>
      <w:rFonts w:hint="eastAsia" w:ascii="宋体" w:hAnsi="宋体" w:eastAsia="宋体"/>
      <w:color w:val="FFFFFF"/>
      <w:sz w:val="18"/>
      <w:szCs w:val="18"/>
      <w:u w:val="none"/>
    </w:rPr>
  </w:style>
  <w:style w:type="character" w:customStyle="1" w:styleId="89">
    <w:name w:val="ca-2"/>
    <w:basedOn w:val="50"/>
    <w:qFormat/>
    <w:uiPriority w:val="0"/>
  </w:style>
  <w:style w:type="character" w:customStyle="1" w:styleId="90">
    <w:name w:val="页脚 Char1"/>
    <w:semiHidden/>
    <w:qFormat/>
    <w:uiPriority w:val="99"/>
    <w:rPr>
      <w:rFonts w:ascii="Times New Roman" w:hAnsi="Times New Roman" w:eastAsia="宋体" w:cs="Times New Roman"/>
      <w:sz w:val="18"/>
      <w:szCs w:val="18"/>
    </w:rPr>
  </w:style>
  <w:style w:type="character" w:customStyle="1" w:styleId="91">
    <w:name w:val="正文文本 3 字符"/>
    <w:link w:val="18"/>
    <w:qFormat/>
    <w:uiPriority w:val="0"/>
    <w:rPr>
      <w:b/>
      <w:bCs/>
      <w:sz w:val="24"/>
      <w:szCs w:val="24"/>
    </w:rPr>
  </w:style>
  <w:style w:type="character" w:customStyle="1" w:styleId="92">
    <w:name w:val="引用 Char1"/>
    <w:qFormat/>
    <w:uiPriority w:val="99"/>
    <w:rPr>
      <w:rFonts w:ascii="Times New Roman" w:hAnsi="Times New Roman"/>
      <w:i/>
      <w:iCs/>
      <w:color w:val="000000"/>
      <w:kern w:val="2"/>
      <w:sz w:val="21"/>
      <w:szCs w:val="24"/>
    </w:rPr>
  </w:style>
  <w:style w:type="character" w:customStyle="1" w:styleId="93">
    <w:name w:val="正文缩进 字符"/>
    <w:link w:val="8"/>
    <w:qFormat/>
    <w:uiPriority w:val="0"/>
    <w:rPr>
      <w:rFonts w:ascii="宋体"/>
      <w:snapToGrid w:val="0"/>
    </w:rPr>
  </w:style>
  <w:style w:type="character" w:customStyle="1" w:styleId="94">
    <w:name w:val="标题 7 字符"/>
    <w:link w:val="10"/>
    <w:qFormat/>
    <w:uiPriority w:val="0"/>
    <w:rPr>
      <w:b/>
      <w:kern w:val="2"/>
      <w:sz w:val="24"/>
      <w:szCs w:val="24"/>
    </w:rPr>
  </w:style>
  <w:style w:type="character" w:customStyle="1" w:styleId="95">
    <w:name w:val="style21"/>
    <w:qFormat/>
    <w:uiPriority w:val="0"/>
    <w:rPr>
      <w:sz w:val="22"/>
      <w:szCs w:val="22"/>
    </w:rPr>
  </w:style>
  <w:style w:type="character" w:customStyle="1" w:styleId="96">
    <w:name w:val="A4"/>
    <w:qFormat/>
    <w:uiPriority w:val="0"/>
    <w:rPr>
      <w:rFonts w:ascii="新宋体" w:eastAsia="新宋体" w:cs="新宋体"/>
      <w:color w:val="000000"/>
      <w:lang w:bidi="ar-SA"/>
    </w:rPr>
  </w:style>
  <w:style w:type="character" w:customStyle="1" w:styleId="97">
    <w:name w:val="纯文本 字符1"/>
    <w:qFormat/>
    <w:uiPriority w:val="0"/>
    <w:rPr>
      <w:rFonts w:ascii="宋体" w:hAnsi="Courier New" w:eastAsia="宋体" w:cs="Courier New"/>
      <w:szCs w:val="21"/>
    </w:rPr>
  </w:style>
  <w:style w:type="character" w:customStyle="1" w:styleId="98">
    <w:name w:val="Subtle Emphasis"/>
    <w:qFormat/>
    <w:uiPriority w:val="19"/>
    <w:rPr>
      <w:i/>
      <w:iCs/>
      <w:color w:val="808080"/>
    </w:rPr>
  </w:style>
  <w:style w:type="character" w:customStyle="1" w:styleId="99">
    <w:name w:val="宏文本 字符"/>
    <w:link w:val="2"/>
    <w:qFormat/>
    <w:uiPriority w:val="99"/>
    <w:rPr>
      <w:rFonts w:ascii="Courier New" w:hAnsi="Courier New"/>
      <w:kern w:val="2"/>
      <w:sz w:val="24"/>
      <w:szCs w:val="24"/>
      <w:lang w:val="en-US" w:eastAsia="zh-CN" w:bidi="ar-SA"/>
    </w:rPr>
  </w:style>
  <w:style w:type="character" w:customStyle="1" w:styleId="100">
    <w:name w:val="正文文本缩进 3 Char2"/>
    <w:semiHidden/>
    <w:qFormat/>
    <w:uiPriority w:val="99"/>
    <w:rPr>
      <w:kern w:val="2"/>
      <w:sz w:val="16"/>
      <w:szCs w:val="16"/>
    </w:rPr>
  </w:style>
  <w:style w:type="character" w:customStyle="1" w:styleId="101">
    <w:name w:val="日期 字符"/>
    <w:link w:val="28"/>
    <w:qFormat/>
    <w:uiPriority w:val="0"/>
    <w:rPr>
      <w:kern w:val="2"/>
      <w:sz w:val="24"/>
      <w:szCs w:val="24"/>
    </w:rPr>
  </w:style>
  <w:style w:type="character" w:customStyle="1" w:styleId="102">
    <w:name w:val="正文文本缩进 3 Char1"/>
    <w:semiHidden/>
    <w:qFormat/>
    <w:uiPriority w:val="99"/>
    <w:rPr>
      <w:rFonts w:ascii="Times New Roman" w:hAnsi="Times New Roman" w:eastAsia="宋体" w:cs="Times New Roman"/>
      <w:sz w:val="16"/>
      <w:szCs w:val="16"/>
    </w:rPr>
  </w:style>
  <w:style w:type="character" w:customStyle="1" w:styleId="103">
    <w:name w:val="普通文字 Char Char4"/>
    <w:qFormat/>
    <w:uiPriority w:val="0"/>
    <w:rPr>
      <w:rFonts w:ascii="宋体" w:hAnsi="Courier New" w:eastAsia="宋体" w:cs="Courier New"/>
      <w:szCs w:val="21"/>
    </w:rPr>
  </w:style>
  <w:style w:type="character" w:customStyle="1" w:styleId="104">
    <w:name w:val="text1"/>
    <w:basedOn w:val="50"/>
    <w:qFormat/>
    <w:uiPriority w:val="0"/>
  </w:style>
  <w:style w:type="character" w:customStyle="1" w:styleId="105">
    <w:name w:val="表正文 Char2"/>
    <w:qFormat/>
    <w:uiPriority w:val="0"/>
    <w:rPr>
      <w:rFonts w:ascii="Times New Roman" w:hAnsi="Times New Roman"/>
      <w:kern w:val="2"/>
      <w:sz w:val="21"/>
    </w:rPr>
  </w:style>
  <w:style w:type="character" w:customStyle="1" w:styleId="106">
    <w:name w:val="项目排列 Char Char"/>
    <w:link w:val="107"/>
    <w:qFormat/>
    <w:uiPriority w:val="0"/>
    <w:rPr>
      <w:kern w:val="2"/>
      <w:sz w:val="24"/>
      <w:szCs w:val="24"/>
    </w:rPr>
  </w:style>
  <w:style w:type="paragraph" w:customStyle="1" w:styleId="107">
    <w:name w:val="项目排列"/>
    <w:basedOn w:val="1"/>
    <w:link w:val="106"/>
    <w:qFormat/>
    <w:uiPriority w:val="0"/>
    <w:pPr>
      <w:numPr>
        <w:ilvl w:val="0"/>
        <w:numId w:val="1"/>
      </w:numPr>
      <w:tabs>
        <w:tab w:val="left" w:pos="1200"/>
      </w:tabs>
      <w:spacing w:before="156" w:beforeLines="50" w:after="156" w:afterLines="50" w:line="300" w:lineRule="auto"/>
    </w:pPr>
    <w:rPr>
      <w:sz w:val="24"/>
    </w:rPr>
  </w:style>
  <w:style w:type="character" w:customStyle="1" w:styleId="108">
    <w:name w:val="正文文本缩进 3 字符"/>
    <w:link w:val="38"/>
    <w:qFormat/>
    <w:uiPriority w:val="0"/>
    <w:rPr>
      <w:kern w:val="2"/>
      <w:sz w:val="16"/>
      <w:szCs w:val="16"/>
    </w:rPr>
  </w:style>
  <w:style w:type="character" w:customStyle="1" w:styleId="109">
    <w:name w:val="text11"/>
    <w:qFormat/>
    <w:uiPriority w:val="0"/>
    <w:rPr>
      <w:rFonts w:hint="default" w:ascii="Verdana" w:hAnsi="Verdana"/>
      <w:color w:val="4E4E4E"/>
      <w:sz w:val="18"/>
      <w:szCs w:val="18"/>
    </w:rPr>
  </w:style>
  <w:style w:type="character" w:customStyle="1" w:styleId="110">
    <w:name w:val="批注文字 字符"/>
    <w:link w:val="17"/>
    <w:qFormat/>
    <w:uiPriority w:val="99"/>
    <w:rPr>
      <w:kern w:val="2"/>
      <w:sz w:val="21"/>
      <w:szCs w:val="24"/>
    </w:rPr>
  </w:style>
  <w:style w:type="character" w:customStyle="1" w:styleId="111">
    <w:name w:val="lmain1"/>
    <w:qFormat/>
    <w:uiPriority w:val="0"/>
    <w:rPr>
      <w:color w:val="407AAB"/>
      <w:sz w:val="30"/>
      <w:szCs w:val="30"/>
    </w:rPr>
  </w:style>
  <w:style w:type="character" w:customStyle="1" w:styleId="112">
    <w:name w:val="case31"/>
    <w:qFormat/>
    <w:uiPriority w:val="0"/>
    <w:rPr>
      <w:rFonts w:hint="default"/>
      <w:sz w:val="21"/>
      <w:szCs w:val="21"/>
    </w:rPr>
  </w:style>
  <w:style w:type="character" w:customStyle="1" w:styleId="113">
    <w:name w:val="ca-11"/>
    <w:qFormat/>
    <w:uiPriority w:val="0"/>
    <w:rPr>
      <w:rFonts w:hint="eastAsia" w:ascii="宋体" w:hAnsi="宋体" w:eastAsia="宋体"/>
      <w:b/>
      <w:bCs/>
      <w:spacing w:val="-20"/>
      <w:sz w:val="21"/>
      <w:szCs w:val="21"/>
    </w:rPr>
  </w:style>
  <w:style w:type="character" w:customStyle="1" w:styleId="114">
    <w:name w:val="f161"/>
    <w:qFormat/>
    <w:uiPriority w:val="0"/>
    <w:rPr>
      <w:b/>
      <w:bCs/>
      <w:sz w:val="24"/>
      <w:szCs w:val="24"/>
    </w:rPr>
  </w:style>
  <w:style w:type="character" w:customStyle="1" w:styleId="115">
    <w:name w:val="标题 4 字符"/>
    <w:link w:val="6"/>
    <w:qFormat/>
    <w:uiPriority w:val="0"/>
    <w:rPr>
      <w:rFonts w:ascii="Arial" w:hAnsi="Arial" w:eastAsia="黑体"/>
      <w:b/>
      <w:bCs/>
      <w:kern w:val="2"/>
      <w:sz w:val="28"/>
      <w:szCs w:val="28"/>
    </w:rPr>
  </w:style>
  <w:style w:type="character" w:customStyle="1" w:styleId="116">
    <w:name w:val="正文文本 2 Char2"/>
    <w:qFormat/>
    <w:uiPriority w:val="99"/>
    <w:rPr>
      <w:kern w:val="2"/>
      <w:sz w:val="21"/>
      <w:szCs w:val="24"/>
    </w:rPr>
  </w:style>
  <w:style w:type="character" w:customStyle="1" w:styleId="117">
    <w:name w:val="style1"/>
    <w:basedOn w:val="50"/>
    <w:qFormat/>
    <w:uiPriority w:val="0"/>
  </w:style>
  <w:style w:type="character" w:customStyle="1" w:styleId="118">
    <w:name w:val="ca-21"/>
    <w:basedOn w:val="50"/>
    <w:qFormat/>
    <w:uiPriority w:val="0"/>
    <w:rPr>
      <w:rFonts w:hint="eastAsia" w:ascii="宋体" w:hAnsi="宋体" w:eastAsia="宋体"/>
      <w:sz w:val="21"/>
      <w:szCs w:val="21"/>
    </w:rPr>
  </w:style>
  <w:style w:type="character" w:customStyle="1" w:styleId="119">
    <w:name w:val="HTML 预设格式 字符"/>
    <w:link w:val="42"/>
    <w:qFormat/>
    <w:uiPriority w:val="99"/>
    <w:rPr>
      <w:rFonts w:ascii="宋体" w:hAnsi="宋体" w:cs="宋体"/>
      <w:sz w:val="24"/>
      <w:szCs w:val="24"/>
    </w:rPr>
  </w:style>
  <w:style w:type="character" w:customStyle="1" w:styleId="120">
    <w:name w:val="Char Char11"/>
    <w:qFormat/>
    <w:uiPriority w:val="0"/>
    <w:rPr>
      <w:rFonts w:ascii="宋体" w:hAnsi="Courier New" w:eastAsia="宋体" w:cs="Courier New"/>
      <w:szCs w:val="21"/>
    </w:rPr>
  </w:style>
  <w:style w:type="character" w:customStyle="1" w:styleId="121">
    <w:name w:val="日期 Char2"/>
    <w:semiHidden/>
    <w:qFormat/>
    <w:uiPriority w:val="99"/>
    <w:rPr>
      <w:kern w:val="2"/>
      <w:sz w:val="21"/>
      <w:szCs w:val="24"/>
    </w:rPr>
  </w:style>
  <w:style w:type="character" w:customStyle="1" w:styleId="122">
    <w:name w:val="hei16b"/>
    <w:basedOn w:val="50"/>
    <w:qFormat/>
    <w:uiPriority w:val="0"/>
  </w:style>
  <w:style w:type="character" w:customStyle="1" w:styleId="123">
    <w:name w:val="标题 1 字符"/>
    <w:link w:val="3"/>
    <w:qFormat/>
    <w:uiPriority w:val="0"/>
    <w:rPr>
      <w:b/>
      <w:bCs/>
      <w:kern w:val="44"/>
      <w:sz w:val="44"/>
      <w:szCs w:val="44"/>
    </w:rPr>
  </w:style>
  <w:style w:type="character" w:customStyle="1" w:styleId="124">
    <w:name w:val="页眉 Char1"/>
    <w:semiHidden/>
    <w:qFormat/>
    <w:uiPriority w:val="99"/>
    <w:rPr>
      <w:kern w:val="2"/>
      <w:sz w:val="18"/>
      <w:szCs w:val="18"/>
    </w:rPr>
  </w:style>
  <w:style w:type="character" w:customStyle="1" w:styleId="125">
    <w:name w:val="正文缩进 Char1"/>
    <w:qFormat/>
    <w:uiPriority w:val="0"/>
    <w:rPr>
      <w:rFonts w:ascii="Times New Roman" w:hAnsi="Times New Roman"/>
      <w:kern w:val="2"/>
      <w:sz w:val="21"/>
    </w:rPr>
  </w:style>
  <w:style w:type="character" w:customStyle="1" w:styleId="126">
    <w:name w:val="font12-blue-bold1"/>
    <w:qFormat/>
    <w:uiPriority w:val="0"/>
    <w:rPr>
      <w:b/>
      <w:bCs/>
      <w:color w:val="0249A5"/>
      <w:sz w:val="14"/>
      <w:szCs w:val="14"/>
      <w:u w:val="none"/>
    </w:rPr>
  </w:style>
  <w:style w:type="character" w:customStyle="1" w:styleId="127">
    <w:name w:val="正文文本 字符"/>
    <w:link w:val="19"/>
    <w:qFormat/>
    <w:uiPriority w:val="0"/>
    <w:rPr>
      <w:kern w:val="2"/>
      <w:sz w:val="24"/>
      <w:szCs w:val="24"/>
    </w:rPr>
  </w:style>
  <w:style w:type="character" w:customStyle="1" w:styleId="128">
    <w:name w:val="Body Text Indent 3 Char"/>
    <w:qFormat/>
    <w:locked/>
    <w:uiPriority w:val="99"/>
    <w:rPr>
      <w:rFonts w:eastAsia="宋体"/>
      <w:sz w:val="16"/>
    </w:rPr>
  </w:style>
  <w:style w:type="character" w:customStyle="1" w:styleId="129">
    <w:name w:val="批注主题 字符"/>
    <w:link w:val="46"/>
    <w:qFormat/>
    <w:uiPriority w:val="0"/>
    <w:rPr>
      <w:b/>
      <w:bCs/>
      <w:kern w:val="2"/>
      <w:sz w:val="21"/>
      <w:szCs w:val="24"/>
    </w:rPr>
  </w:style>
  <w:style w:type="character" w:customStyle="1" w:styleId="130">
    <w:name w:val="bold1"/>
    <w:qFormat/>
    <w:uiPriority w:val="0"/>
    <w:rPr>
      <w:rFonts w:hint="default"/>
      <w:b/>
      <w:bCs/>
      <w:color w:val="000000"/>
      <w:sz w:val="18"/>
      <w:szCs w:val="18"/>
    </w:rPr>
  </w:style>
  <w:style w:type="character" w:customStyle="1" w:styleId="131">
    <w:name w:val="标题 6 字符"/>
    <w:link w:val="9"/>
    <w:qFormat/>
    <w:uiPriority w:val="0"/>
    <w:rPr>
      <w:rFonts w:ascii="Arial" w:hAnsi="Arial" w:eastAsia="黑体"/>
      <w:b/>
      <w:kern w:val="2"/>
      <w:sz w:val="24"/>
      <w:szCs w:val="24"/>
    </w:rPr>
  </w:style>
  <w:style w:type="character" w:customStyle="1" w:styleId="132">
    <w:name w:val="文档结构图 Char1"/>
    <w:qFormat/>
    <w:uiPriority w:val="99"/>
    <w:rPr>
      <w:rFonts w:ascii="宋体"/>
      <w:kern w:val="2"/>
      <w:sz w:val="18"/>
      <w:szCs w:val="18"/>
    </w:rPr>
  </w:style>
  <w:style w:type="character" w:customStyle="1" w:styleId="133">
    <w:name w:val="正文文本 Char1"/>
    <w:semiHidden/>
    <w:qFormat/>
    <w:uiPriority w:val="99"/>
    <w:rPr>
      <w:rFonts w:ascii="Times New Roman" w:hAnsi="Times New Roman" w:eastAsia="宋体" w:cs="Times New Roman"/>
      <w:szCs w:val="24"/>
    </w:rPr>
  </w:style>
  <w:style w:type="character" w:customStyle="1" w:styleId="134">
    <w:name w:val="页眉 字符"/>
    <w:link w:val="32"/>
    <w:qFormat/>
    <w:uiPriority w:val="0"/>
    <w:rPr>
      <w:kern w:val="2"/>
      <w:sz w:val="18"/>
      <w:szCs w:val="18"/>
    </w:rPr>
  </w:style>
  <w:style w:type="character" w:customStyle="1" w:styleId="135">
    <w:name w:val="正文文本缩进 Char1"/>
    <w:semiHidden/>
    <w:qFormat/>
    <w:uiPriority w:val="99"/>
    <w:rPr>
      <w:kern w:val="2"/>
      <w:sz w:val="21"/>
      <w:szCs w:val="24"/>
    </w:rPr>
  </w:style>
  <w:style w:type="character" w:customStyle="1" w:styleId="136">
    <w:name w:val="正文文本 2 Char1"/>
    <w:semiHidden/>
    <w:qFormat/>
    <w:uiPriority w:val="99"/>
    <w:rPr>
      <w:rFonts w:ascii="Times New Roman" w:hAnsi="Times New Roman" w:eastAsia="宋体" w:cs="Times New Roman"/>
      <w:szCs w:val="24"/>
    </w:rPr>
  </w:style>
  <w:style w:type="character" w:customStyle="1" w:styleId="137">
    <w:name w:val="文档结构图 字符"/>
    <w:link w:val="16"/>
    <w:qFormat/>
    <w:uiPriority w:val="0"/>
    <w:rPr>
      <w:kern w:val="2"/>
      <w:sz w:val="21"/>
      <w:szCs w:val="24"/>
      <w:shd w:val="clear" w:color="auto" w:fill="000080"/>
    </w:rPr>
  </w:style>
  <w:style w:type="character" w:customStyle="1" w:styleId="138">
    <w:name w:val="纯文本 字符"/>
    <w:link w:val="26"/>
    <w:qFormat/>
    <w:uiPriority w:val="0"/>
    <w:rPr>
      <w:rFonts w:ascii="宋体" w:hAnsi="Courier New" w:eastAsia="宋体" w:cs="Courier New"/>
      <w:kern w:val="2"/>
      <w:sz w:val="21"/>
      <w:szCs w:val="21"/>
      <w:lang w:val="en-US" w:eastAsia="zh-CN" w:bidi="ar-SA"/>
    </w:rPr>
  </w:style>
  <w:style w:type="character" w:customStyle="1" w:styleId="139">
    <w:name w:val="apple-style-span"/>
    <w:qFormat/>
    <w:uiPriority w:val="0"/>
  </w:style>
  <w:style w:type="character" w:customStyle="1" w:styleId="140">
    <w:name w:val="页脚 字符"/>
    <w:link w:val="31"/>
    <w:qFormat/>
    <w:uiPriority w:val="99"/>
    <w:rPr>
      <w:kern w:val="2"/>
      <w:sz w:val="18"/>
      <w:szCs w:val="18"/>
    </w:rPr>
  </w:style>
  <w:style w:type="character" w:customStyle="1" w:styleId="141">
    <w:name w:val="标题 8 字符"/>
    <w:link w:val="11"/>
    <w:qFormat/>
    <w:uiPriority w:val="0"/>
    <w:rPr>
      <w:rFonts w:ascii="Arial" w:hAnsi="Arial" w:eastAsia="黑体"/>
      <w:kern w:val="2"/>
      <w:sz w:val="24"/>
      <w:szCs w:val="24"/>
    </w:rPr>
  </w:style>
  <w:style w:type="character" w:customStyle="1" w:styleId="142">
    <w:name w:val="Char Char4"/>
    <w:semiHidden/>
    <w:qFormat/>
    <w:uiPriority w:val="0"/>
    <w:rPr>
      <w:rFonts w:ascii="Times New Roman" w:hAnsi="Times New Roman" w:eastAsia="宋体" w:cs="Times New Roman"/>
      <w:sz w:val="16"/>
      <w:szCs w:val="16"/>
    </w:rPr>
  </w:style>
  <w:style w:type="character" w:customStyle="1" w:styleId="143">
    <w:name w:val="Plain Text Char"/>
    <w:qFormat/>
    <w:locked/>
    <w:uiPriority w:val="0"/>
    <w:rPr>
      <w:rFonts w:ascii="宋体" w:hAnsi="Courier New" w:eastAsia="宋体"/>
    </w:rPr>
  </w:style>
  <w:style w:type="character" w:customStyle="1" w:styleId="144">
    <w:name w:val="ca-41"/>
    <w:qFormat/>
    <w:uiPriority w:val="0"/>
    <w:rPr>
      <w:rFonts w:hint="eastAsia" w:ascii="宋体" w:hAnsi="宋体" w:eastAsia="宋体"/>
      <w:color w:val="FF0000"/>
      <w:sz w:val="21"/>
      <w:szCs w:val="21"/>
    </w:rPr>
  </w:style>
  <w:style w:type="character" w:customStyle="1" w:styleId="145">
    <w:name w:val="无间隔 字符"/>
    <w:link w:val="146"/>
    <w:qFormat/>
    <w:uiPriority w:val="1"/>
    <w:rPr>
      <w:rFonts w:hAnsi="Courier New"/>
      <w:kern w:val="2"/>
      <w:sz w:val="21"/>
      <w:lang w:val="en-US" w:eastAsia="zh-CN" w:bidi="ar-SA"/>
    </w:rPr>
  </w:style>
  <w:style w:type="paragraph" w:styleId="146">
    <w:name w:val="No Spacing"/>
    <w:link w:val="145"/>
    <w:qFormat/>
    <w:uiPriority w:val="1"/>
    <w:pPr>
      <w:widowControl w:val="0"/>
      <w:jc w:val="both"/>
    </w:pPr>
    <w:rPr>
      <w:rFonts w:ascii="Times New Roman" w:hAnsi="Courier New" w:eastAsia="宋体" w:cs="Times New Roman"/>
      <w:kern w:val="2"/>
      <w:sz w:val="21"/>
      <w:lang w:val="en-US" w:eastAsia="zh-CN" w:bidi="ar-SA"/>
    </w:rPr>
  </w:style>
  <w:style w:type="character" w:customStyle="1" w:styleId="147">
    <w:name w:val="正文文本缩进 2 字符"/>
    <w:link w:val="29"/>
    <w:qFormat/>
    <w:uiPriority w:val="0"/>
    <w:rPr>
      <w:kern w:val="2"/>
      <w:sz w:val="21"/>
      <w:szCs w:val="24"/>
    </w:rPr>
  </w:style>
  <w:style w:type="character" w:customStyle="1" w:styleId="148">
    <w:name w:val="批注框文本 字符"/>
    <w:link w:val="30"/>
    <w:qFormat/>
    <w:uiPriority w:val="0"/>
    <w:rPr>
      <w:kern w:val="2"/>
      <w:sz w:val="18"/>
      <w:szCs w:val="18"/>
    </w:rPr>
  </w:style>
  <w:style w:type="character" w:customStyle="1" w:styleId="149">
    <w:name w:val="文档正文 Char Char"/>
    <w:link w:val="150"/>
    <w:qFormat/>
    <w:locked/>
    <w:uiPriority w:val="0"/>
    <w:rPr>
      <w:rFonts w:ascii="华文细黑" w:hAnsi="华文细黑" w:eastAsia="华文细黑"/>
      <w:color w:val="000000"/>
      <w:sz w:val="24"/>
    </w:rPr>
  </w:style>
  <w:style w:type="paragraph" w:customStyle="1" w:styleId="150">
    <w:name w:val="文档正文"/>
    <w:basedOn w:val="1"/>
    <w:link w:val="149"/>
    <w:qFormat/>
    <w:uiPriority w:val="0"/>
    <w:pPr>
      <w:adjustRightInd w:val="0"/>
      <w:spacing w:after="120" w:line="360" w:lineRule="auto"/>
      <w:ind w:firstLine="480" w:firstLineChars="200"/>
    </w:pPr>
    <w:rPr>
      <w:rFonts w:ascii="华文细黑" w:hAnsi="华文细黑" w:eastAsia="华文细黑"/>
      <w:color w:val="000000"/>
      <w:kern w:val="0"/>
      <w:sz w:val="24"/>
      <w:szCs w:val="20"/>
    </w:rPr>
  </w:style>
  <w:style w:type="character" w:customStyle="1" w:styleId="151">
    <w:name w:val="纯文本 Char2"/>
    <w:qFormat/>
    <w:uiPriority w:val="0"/>
    <w:rPr>
      <w:rFonts w:ascii="宋体" w:hAnsi="Courier New" w:eastAsia="宋体" w:cs="Courier New"/>
      <w:kern w:val="2"/>
      <w:sz w:val="21"/>
      <w:szCs w:val="21"/>
      <w:lang w:val="en-US" w:eastAsia="zh-CN" w:bidi="ar-SA"/>
    </w:rPr>
  </w:style>
  <w:style w:type="character" w:customStyle="1" w:styleId="152">
    <w:name w:val="font91"/>
    <w:qFormat/>
    <w:uiPriority w:val="0"/>
    <w:rPr>
      <w:rFonts w:hint="default" w:ascii="Times New Roman" w:hAnsi="Times New Roman" w:cs="Times New Roman"/>
      <w:color w:val="000000"/>
      <w:sz w:val="20"/>
      <w:szCs w:val="20"/>
      <w:u w:val="none"/>
    </w:rPr>
  </w:style>
  <w:style w:type="character" w:customStyle="1" w:styleId="153">
    <w:name w:val="062"/>
    <w:qFormat/>
    <w:uiPriority w:val="0"/>
    <w:rPr>
      <w:rFonts w:ascii="宋体" w:hAnsi="宋体"/>
      <w:b/>
      <w:bCs/>
      <w:sz w:val="32"/>
    </w:rPr>
  </w:style>
  <w:style w:type="character" w:customStyle="1" w:styleId="154">
    <w:name w:val="纯文本 Char3"/>
    <w:qFormat/>
    <w:uiPriority w:val="0"/>
    <w:rPr>
      <w:rFonts w:ascii="宋体" w:hAnsi="Courier New" w:eastAsia="宋体" w:cs="Courier New"/>
      <w:szCs w:val="21"/>
    </w:rPr>
  </w:style>
  <w:style w:type="character" w:customStyle="1" w:styleId="155">
    <w:name w:val="正文文本 Char2"/>
    <w:semiHidden/>
    <w:qFormat/>
    <w:uiPriority w:val="99"/>
    <w:rPr>
      <w:kern w:val="2"/>
      <w:sz w:val="21"/>
      <w:szCs w:val="24"/>
    </w:rPr>
  </w:style>
  <w:style w:type="character" w:customStyle="1" w:styleId="156">
    <w:name w:val="纯文本 Char1"/>
    <w:qFormat/>
    <w:uiPriority w:val="0"/>
    <w:rPr>
      <w:rFonts w:ascii="宋体" w:hAnsi="Courier New" w:eastAsia="宋体" w:cs="Courier New"/>
      <w:szCs w:val="21"/>
    </w:rPr>
  </w:style>
  <w:style w:type="character" w:customStyle="1" w:styleId="157">
    <w:name w:val="Char Char1"/>
    <w:qFormat/>
    <w:uiPriority w:val="0"/>
    <w:rPr>
      <w:rFonts w:eastAsia="宋体"/>
      <w:kern w:val="2"/>
      <w:sz w:val="21"/>
      <w:szCs w:val="24"/>
      <w:lang w:bidi="ar-SA"/>
    </w:rPr>
  </w:style>
  <w:style w:type="character" w:customStyle="1" w:styleId="158">
    <w:name w:val="1ji Char"/>
    <w:link w:val="159"/>
    <w:qFormat/>
    <w:uiPriority w:val="0"/>
    <w:rPr>
      <w:rFonts w:ascii="宋体" w:hAnsi="宋体"/>
      <w:b/>
      <w:bCs/>
      <w:kern w:val="44"/>
      <w:sz w:val="36"/>
      <w:szCs w:val="44"/>
    </w:rPr>
  </w:style>
  <w:style w:type="paragraph" w:customStyle="1" w:styleId="159">
    <w:name w:val="1ji"/>
    <w:basedOn w:val="3"/>
    <w:link w:val="158"/>
    <w:qFormat/>
    <w:uiPriority w:val="0"/>
    <w:pPr>
      <w:keepLines w:val="0"/>
      <w:widowControl/>
      <w:spacing w:before="0" w:after="0" w:line="240" w:lineRule="auto"/>
      <w:jc w:val="center"/>
    </w:pPr>
    <w:rPr>
      <w:rFonts w:ascii="宋体" w:hAnsi="宋体"/>
      <w:sz w:val="36"/>
    </w:rPr>
  </w:style>
  <w:style w:type="character" w:customStyle="1" w:styleId="160">
    <w:name w:val="批注主题 Char1"/>
    <w:qFormat/>
    <w:uiPriority w:val="99"/>
    <w:rPr>
      <w:b/>
      <w:bCs/>
      <w:kern w:val="2"/>
      <w:sz w:val="21"/>
      <w:szCs w:val="24"/>
    </w:rPr>
  </w:style>
  <w:style w:type="character" w:customStyle="1" w:styleId="161">
    <w:name w:val="标题3 Char Char"/>
    <w:link w:val="162"/>
    <w:qFormat/>
    <w:uiPriority w:val="0"/>
    <w:rPr>
      <w:rFonts w:eastAsia="仿宋_GB2312"/>
      <w:bCs/>
      <w:kern w:val="2"/>
      <w:sz w:val="30"/>
      <w:szCs w:val="32"/>
    </w:rPr>
  </w:style>
  <w:style w:type="paragraph" w:customStyle="1" w:styleId="162">
    <w:name w:val="标题3"/>
    <w:basedOn w:val="5"/>
    <w:link w:val="161"/>
    <w:qFormat/>
    <w:uiPriority w:val="0"/>
    <w:pPr>
      <w:keepNext w:val="0"/>
      <w:keepLines w:val="0"/>
      <w:spacing w:before="0" w:after="0" w:line="360" w:lineRule="auto"/>
    </w:pPr>
    <w:rPr>
      <w:rFonts w:eastAsia="仿宋_GB2312"/>
      <w:b w:val="0"/>
      <w:sz w:val="30"/>
    </w:rPr>
  </w:style>
  <w:style w:type="character" w:customStyle="1" w:styleId="163">
    <w:name w:val="批注框文本 Char1"/>
    <w:semiHidden/>
    <w:qFormat/>
    <w:uiPriority w:val="99"/>
    <w:rPr>
      <w:kern w:val="2"/>
      <w:sz w:val="18"/>
      <w:szCs w:val="18"/>
    </w:rPr>
  </w:style>
  <w:style w:type="character" w:customStyle="1" w:styleId="164">
    <w:name w:val="正文文本 2 字符"/>
    <w:link w:val="165"/>
    <w:qFormat/>
    <w:uiPriority w:val="0"/>
    <w:rPr>
      <w:szCs w:val="24"/>
    </w:rPr>
  </w:style>
  <w:style w:type="paragraph" w:customStyle="1" w:styleId="165">
    <w:name w:val="Normal Indent_file_1729"/>
    <w:basedOn w:val="67"/>
    <w:link w:val="164"/>
    <w:qFormat/>
    <w:uiPriority w:val="0"/>
    <w:pPr>
      <w:spacing w:line="240" w:lineRule="atLeast"/>
      <w:ind w:left="900" w:hanging="900"/>
      <w:jc w:val="left"/>
    </w:pPr>
    <w:rPr>
      <w:rFonts w:ascii="宋体" w:hAnsi="Times New Roman"/>
      <w:snapToGrid w:val="0"/>
      <w:kern w:val="0"/>
      <w:sz w:val="20"/>
      <w:szCs w:val="20"/>
    </w:rPr>
  </w:style>
  <w:style w:type="character" w:customStyle="1" w:styleId="166">
    <w:name w:val="引用 Char2"/>
    <w:qFormat/>
    <w:uiPriority w:val="29"/>
    <w:rPr>
      <w:i/>
      <w:iCs/>
      <w:color w:val="000000"/>
      <w:kern w:val="2"/>
      <w:sz w:val="21"/>
      <w:szCs w:val="24"/>
    </w:rPr>
  </w:style>
  <w:style w:type="paragraph" w:customStyle="1" w:styleId="167">
    <w:name w:val="Char Char Char"/>
    <w:basedOn w:val="1"/>
    <w:qFormat/>
    <w:uiPriority w:val="0"/>
    <w:rPr>
      <w:rFonts w:ascii="Tahoma" w:hAnsi="Tahoma"/>
      <w:sz w:val="24"/>
      <w:szCs w:val="20"/>
    </w:rPr>
  </w:style>
  <w:style w:type="paragraph" w:customStyle="1" w:styleId="168">
    <w:name w:val="Char11"/>
    <w:basedOn w:val="1"/>
    <w:qFormat/>
    <w:uiPriority w:val="0"/>
    <w:rPr>
      <w:szCs w:val="21"/>
    </w:rPr>
  </w:style>
  <w:style w:type="paragraph" w:customStyle="1" w:styleId="169">
    <w:name w:val="样式"/>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170">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171">
    <w:name w:val="HTML Top of Form"/>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172">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173">
    <w:name w:val="2ji"/>
    <w:basedOn w:val="4"/>
    <w:qFormat/>
    <w:uiPriority w:val="0"/>
    <w:pPr>
      <w:keepLines/>
      <w:spacing w:before="0"/>
      <w:jc w:val="both"/>
      <w:textAlignment w:val="baseline"/>
    </w:pPr>
    <w:rPr>
      <w:rFonts w:ascii="宋体" w:hAnsi="宋体" w:eastAsia="宋体"/>
      <w:bCs/>
      <w:sz w:val="21"/>
      <w:szCs w:val="21"/>
    </w:rPr>
  </w:style>
  <w:style w:type="paragraph" w:customStyle="1" w:styleId="174">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175">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176">
    <w:name w:val="正文段"/>
    <w:basedOn w:val="1"/>
    <w:qFormat/>
    <w:uiPriority w:val="0"/>
    <w:pPr>
      <w:widowControl/>
      <w:snapToGrid w:val="0"/>
      <w:spacing w:after="156" w:afterLines="50"/>
      <w:ind w:firstLine="200" w:firstLineChars="200"/>
    </w:pPr>
    <w:rPr>
      <w:kern w:val="0"/>
      <w:sz w:val="24"/>
      <w:szCs w:val="20"/>
    </w:rPr>
  </w:style>
  <w:style w:type="paragraph" w:customStyle="1" w:styleId="177">
    <w:name w:val="五级条标题"/>
    <w:basedOn w:val="178"/>
    <w:next w:val="181"/>
    <w:qFormat/>
    <w:uiPriority w:val="0"/>
    <w:pPr>
      <w:outlineLvl w:val="6"/>
    </w:pPr>
  </w:style>
  <w:style w:type="paragraph" w:customStyle="1" w:styleId="178">
    <w:name w:val="四级条标题"/>
    <w:basedOn w:val="179"/>
    <w:next w:val="181"/>
    <w:qFormat/>
    <w:uiPriority w:val="0"/>
    <w:pPr>
      <w:outlineLvl w:val="5"/>
    </w:pPr>
  </w:style>
  <w:style w:type="paragraph" w:customStyle="1" w:styleId="179">
    <w:name w:val="三级条标题"/>
    <w:basedOn w:val="180"/>
    <w:next w:val="181"/>
    <w:qFormat/>
    <w:uiPriority w:val="0"/>
    <w:pPr>
      <w:outlineLvl w:val="4"/>
    </w:pPr>
  </w:style>
  <w:style w:type="paragraph" w:customStyle="1" w:styleId="180">
    <w:name w:val="二级条标题"/>
    <w:basedOn w:val="1"/>
    <w:next w:val="1"/>
    <w:qFormat/>
    <w:uiPriority w:val="0"/>
    <w:pPr>
      <w:widowControl/>
      <w:jc w:val="left"/>
      <w:outlineLvl w:val="3"/>
    </w:pPr>
    <w:rPr>
      <w:rFonts w:ascii="宋体" w:hAnsi="宋体"/>
      <w:color w:val="000000"/>
      <w:kern w:val="0"/>
      <w:szCs w:val="20"/>
    </w:rPr>
  </w:style>
  <w:style w:type="paragraph" w:customStyle="1" w:styleId="181">
    <w:name w:val="段"/>
    <w:qFormat/>
    <w:uiPriority w:val="0"/>
    <w:pPr>
      <w:autoSpaceDE w:val="0"/>
      <w:autoSpaceDN w:val="0"/>
      <w:ind w:firstLine="200" w:firstLineChars="200"/>
      <w:jc w:val="both"/>
    </w:pPr>
    <w:rPr>
      <w:rFonts w:ascii="Times New Roman" w:hAnsi="Times New Roman" w:eastAsia="宋体" w:cs="Times New Roman"/>
      <w:sz w:val="21"/>
      <w:lang w:val="en-US" w:eastAsia="zh-CN" w:bidi="ar-SA"/>
    </w:rPr>
  </w:style>
  <w:style w:type="paragraph" w:customStyle="1" w:styleId="182">
    <w:name w:val="表格"/>
    <w:basedOn w:val="1"/>
    <w:qFormat/>
    <w:uiPriority w:val="0"/>
    <w:pPr>
      <w:spacing w:line="400" w:lineRule="exact"/>
    </w:pPr>
    <w:rPr>
      <w:sz w:val="24"/>
    </w:rPr>
  </w:style>
  <w:style w:type="paragraph" w:customStyle="1" w:styleId="183">
    <w:name w:val="列表段落1"/>
    <w:basedOn w:val="1"/>
    <w:qFormat/>
    <w:uiPriority w:val="0"/>
    <w:pPr>
      <w:ind w:firstLine="420" w:firstLineChars="200"/>
    </w:pPr>
    <w:rPr>
      <w:rFonts w:ascii="Calibri" w:hAnsi="Calibri"/>
      <w:szCs w:val="22"/>
    </w:rPr>
  </w:style>
  <w:style w:type="paragraph" w:customStyle="1" w:styleId="184">
    <w:name w:val="Char1 Char Char Char Char Char Char Char Char Char Char Char Char"/>
    <w:basedOn w:val="1"/>
    <w:qFormat/>
    <w:uiPriority w:val="0"/>
    <w:rPr>
      <w:rFonts w:ascii="Tahoma" w:hAnsi="Tahoma"/>
      <w:sz w:val="24"/>
      <w:szCs w:val="20"/>
    </w:rPr>
  </w:style>
  <w:style w:type="paragraph" w:customStyle="1" w:styleId="185">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6">
    <w:name w:val="p0"/>
    <w:basedOn w:val="1"/>
    <w:qFormat/>
    <w:uiPriority w:val="0"/>
    <w:pPr>
      <w:widowControl/>
    </w:pPr>
    <w:rPr>
      <w:kern w:val="0"/>
      <w:szCs w:val="21"/>
    </w:rPr>
  </w:style>
  <w:style w:type="paragraph" w:customStyle="1" w:styleId="187">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188">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189">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0">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191">
    <w:name w:val="pa-5"/>
    <w:basedOn w:val="1"/>
    <w:qFormat/>
    <w:uiPriority w:val="0"/>
    <w:pPr>
      <w:widowControl/>
      <w:spacing w:line="240" w:lineRule="atLeast"/>
      <w:ind w:firstLine="420"/>
    </w:pPr>
    <w:rPr>
      <w:rFonts w:ascii="宋体" w:hAnsi="宋体" w:cs="宋体"/>
      <w:kern w:val="0"/>
      <w:sz w:val="24"/>
    </w:rPr>
  </w:style>
  <w:style w:type="paragraph" w:customStyle="1" w:styleId="192">
    <w:name w:val="默认段落字体 Para Char Char Char1 Char"/>
    <w:basedOn w:val="1"/>
    <w:qFormat/>
    <w:uiPriority w:val="0"/>
    <w:rPr>
      <w:rFonts w:ascii="Tahoma" w:hAnsi="Tahoma"/>
      <w:sz w:val="24"/>
      <w:szCs w:val="20"/>
    </w:rPr>
  </w:style>
  <w:style w:type="paragraph" w:customStyle="1" w:styleId="193">
    <w:name w:val="列项——"/>
    <w:qFormat/>
    <w:uiPriority w:val="0"/>
    <w:pPr>
      <w:widowControl w:val="0"/>
      <w:tabs>
        <w:tab w:val="left" w:pos="854"/>
      </w:tabs>
      <w:ind w:left="840" w:leftChars="200" w:hanging="420" w:hangingChars="200"/>
      <w:jc w:val="both"/>
    </w:pPr>
    <w:rPr>
      <w:rFonts w:ascii="Times New Roman" w:hAnsi="Times New Roman" w:eastAsia="宋体" w:cs="Times New Roman"/>
      <w:sz w:val="21"/>
      <w:lang w:val="en-US" w:eastAsia="zh-CN" w:bidi="ar-SA"/>
    </w:rPr>
  </w:style>
  <w:style w:type="paragraph" w:customStyle="1" w:styleId="194">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5">
    <w:name w:val="444"/>
    <w:basedOn w:val="1"/>
    <w:qFormat/>
    <w:uiPriority w:val="0"/>
    <w:pPr>
      <w:adjustRightInd w:val="0"/>
      <w:spacing w:line="312" w:lineRule="atLeast"/>
      <w:jc w:val="center"/>
      <w:textAlignment w:val="baseline"/>
    </w:pPr>
    <w:rPr>
      <w:b/>
      <w:kern w:val="0"/>
      <w:sz w:val="36"/>
      <w:szCs w:val="36"/>
    </w:rPr>
  </w:style>
  <w:style w:type="paragraph" w:customStyle="1" w:styleId="196">
    <w:name w:val="列表1"/>
    <w:basedOn w:val="197"/>
    <w:qFormat/>
    <w:uiPriority w:val="0"/>
    <w:pPr>
      <w:tabs>
        <w:tab w:val="left" w:pos="900"/>
      </w:tabs>
      <w:ind w:left="900" w:hanging="420"/>
    </w:pPr>
    <w:rPr>
      <w:rFonts w:ascii="Times New Roman" w:hAnsi="Times New Roman"/>
      <w:szCs w:val="20"/>
    </w:rPr>
  </w:style>
  <w:style w:type="paragraph" w:customStyle="1" w:styleId="197">
    <w:name w:val="标准正文"/>
    <w:basedOn w:val="20"/>
    <w:qFormat/>
    <w:uiPriority w:val="0"/>
    <w:pPr>
      <w:spacing w:before="60" w:after="60" w:line="360" w:lineRule="auto"/>
      <w:ind w:left="0" w:leftChars="0" w:firstLine="482"/>
    </w:pPr>
    <w:rPr>
      <w:rFonts w:ascii="宋体" w:hAnsi="宋体"/>
      <w:kern w:val="0"/>
      <w:sz w:val="24"/>
      <w:szCs w:val="28"/>
    </w:rPr>
  </w:style>
  <w:style w:type="paragraph" w:customStyle="1" w:styleId="198">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99">
    <w:name w:val="样式 标题 2 + Times New Roman 四号 非加粗 段前: 5 磅 段后: 0 磅 行距: 固定值 20..."/>
    <w:basedOn w:val="4"/>
    <w:qFormat/>
    <w:uiPriority w:val="0"/>
    <w:pPr>
      <w:keepLines/>
      <w:adjustRightInd/>
      <w:spacing w:before="100" w:line="400" w:lineRule="exact"/>
      <w:jc w:val="both"/>
    </w:pPr>
    <w:rPr>
      <w:rFonts w:eastAsia="黑体" w:cs="宋体"/>
      <w:b w:val="0"/>
      <w:sz w:val="28"/>
    </w:rPr>
  </w:style>
  <w:style w:type="paragraph" w:customStyle="1" w:styleId="200">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201">
    <w:name w:val="样式 Verdana 首行缩进:  0.74 厘米"/>
    <w:basedOn w:val="1"/>
    <w:qFormat/>
    <w:uiPriority w:val="0"/>
    <w:pPr>
      <w:spacing w:line="360" w:lineRule="auto"/>
      <w:ind w:firstLine="420"/>
    </w:pPr>
    <w:rPr>
      <w:rFonts w:ascii="Verdana" w:hAnsi="Verdana"/>
      <w:sz w:val="24"/>
      <w:szCs w:val="20"/>
    </w:rPr>
  </w:style>
  <w:style w:type="paragraph" w:customStyle="1" w:styleId="202">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203">
    <w:name w:val="1 Char"/>
    <w:basedOn w:val="8"/>
    <w:qFormat/>
    <w:uiPriority w:val="0"/>
    <w:pPr>
      <w:spacing w:line="360" w:lineRule="auto"/>
      <w:ind w:left="0" w:firstLine="200" w:firstLineChars="200"/>
      <w:jc w:val="both"/>
    </w:pPr>
    <w:rPr>
      <w:rFonts w:ascii="Times New Roman"/>
      <w:snapToGrid/>
      <w:kern w:val="2"/>
      <w:sz w:val="21"/>
    </w:rPr>
  </w:style>
  <w:style w:type="paragraph" w:customStyle="1" w:styleId="204">
    <w:name w:val="列出段落1"/>
    <w:basedOn w:val="1"/>
    <w:qFormat/>
    <w:uiPriority w:val="0"/>
    <w:pPr>
      <w:ind w:firstLine="420" w:firstLineChars="200"/>
    </w:pPr>
    <w:rPr>
      <w:rFonts w:ascii="Calibri" w:hAnsi="Calibri"/>
      <w:szCs w:val="22"/>
    </w:rPr>
  </w:style>
  <w:style w:type="paragraph" w:customStyle="1" w:styleId="205">
    <w:name w:val="_Style 2"/>
    <w:basedOn w:val="1"/>
    <w:qFormat/>
    <w:uiPriority w:val="0"/>
    <w:pPr>
      <w:ind w:firstLine="420" w:firstLineChars="200"/>
    </w:pPr>
  </w:style>
  <w:style w:type="paragraph" w:customStyle="1" w:styleId="206">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07">
    <w:name w:val="Char"/>
    <w:basedOn w:val="1"/>
    <w:qFormat/>
    <w:uiPriority w:val="0"/>
  </w:style>
  <w:style w:type="paragraph" w:customStyle="1" w:styleId="208">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209">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0">
    <w:name w:val="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211">
    <w:name w:val="Char Char Char Char"/>
    <w:basedOn w:val="1"/>
    <w:qFormat/>
    <w:uiPriority w:val="0"/>
  </w:style>
  <w:style w:type="paragraph" w:customStyle="1" w:styleId="212">
    <w:name w:val="1"/>
    <w:basedOn w:val="1"/>
    <w:next w:val="26"/>
    <w:qFormat/>
    <w:uiPriority w:val="0"/>
    <w:rPr>
      <w:rFonts w:ascii="宋体" w:hAnsi="Courier New"/>
      <w:szCs w:val="20"/>
    </w:rPr>
  </w:style>
  <w:style w:type="paragraph" w:customStyle="1" w:styleId="213">
    <w:name w:val="Char Char Char Char1"/>
    <w:basedOn w:val="1"/>
    <w:qFormat/>
    <w:uiPriority w:val="0"/>
  </w:style>
  <w:style w:type="paragraph" w:customStyle="1" w:styleId="214">
    <w:name w:val="HTML Bottom of Form"/>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215">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16">
    <w:name w:val="pa-3"/>
    <w:basedOn w:val="1"/>
    <w:qFormat/>
    <w:uiPriority w:val="0"/>
    <w:pPr>
      <w:widowControl/>
      <w:spacing w:line="240" w:lineRule="atLeast"/>
    </w:pPr>
    <w:rPr>
      <w:rFonts w:ascii="宋体" w:hAnsi="宋体" w:cs="宋体"/>
      <w:kern w:val="0"/>
      <w:sz w:val="24"/>
    </w:rPr>
  </w:style>
  <w:style w:type="paragraph" w:customStyle="1" w:styleId="217">
    <w:name w:val="规范正文"/>
    <w:basedOn w:val="1"/>
    <w:qFormat/>
    <w:uiPriority w:val="0"/>
    <w:pPr>
      <w:adjustRightInd w:val="0"/>
      <w:spacing w:line="360" w:lineRule="auto"/>
      <w:ind w:left="480"/>
      <w:textAlignment w:val="baseline"/>
    </w:pPr>
    <w:rPr>
      <w:kern w:val="0"/>
      <w:sz w:val="24"/>
      <w:szCs w:val="20"/>
    </w:rPr>
  </w:style>
  <w:style w:type="paragraph" w:customStyle="1" w:styleId="218">
    <w:name w:val="about_main1"/>
    <w:basedOn w:val="1"/>
    <w:qFormat/>
    <w:uiPriority w:val="0"/>
    <w:pPr>
      <w:widowControl/>
      <w:spacing w:before="30" w:after="100" w:afterAutospacing="1"/>
      <w:jc w:val="left"/>
    </w:pPr>
    <w:rPr>
      <w:rFonts w:ascii="宋体" w:hAnsi="宋体" w:cs="宋体"/>
      <w:kern w:val="0"/>
      <w:sz w:val="24"/>
    </w:rPr>
  </w:style>
  <w:style w:type="paragraph" w:customStyle="1" w:styleId="219">
    <w:name w:val="pa-2"/>
    <w:basedOn w:val="1"/>
    <w:qFormat/>
    <w:uiPriority w:val="0"/>
    <w:pPr>
      <w:widowControl/>
      <w:spacing w:line="280" w:lineRule="atLeast"/>
      <w:ind w:firstLine="420"/>
    </w:pPr>
    <w:rPr>
      <w:rFonts w:ascii="宋体" w:hAnsi="宋体" w:cs="宋体"/>
      <w:kern w:val="0"/>
      <w:sz w:val="24"/>
    </w:rPr>
  </w:style>
  <w:style w:type="paragraph" w:customStyle="1" w:styleId="220">
    <w:name w:val="Char1"/>
    <w:basedOn w:val="16"/>
    <w:qFormat/>
    <w:uiPriority w:val="0"/>
    <w:pPr>
      <w:widowControl/>
      <w:ind w:firstLine="454"/>
      <w:jc w:val="left"/>
    </w:pPr>
    <w:rPr>
      <w:rFonts w:ascii="Tahoma" w:hAnsi="Tahoma" w:cs="宋体"/>
      <w:kern w:val="0"/>
      <w:sz w:val="24"/>
      <w:szCs w:val="20"/>
    </w:rPr>
  </w:style>
  <w:style w:type="paragraph" w:customStyle="1" w:styleId="221">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222">
    <w:name w:val="正文1"/>
    <w:basedOn w:val="1"/>
    <w:qFormat/>
    <w:uiPriority w:val="0"/>
    <w:pPr>
      <w:widowControl/>
      <w:overflowPunct w:val="0"/>
      <w:autoSpaceDE w:val="0"/>
      <w:autoSpaceDN w:val="0"/>
      <w:adjustRightInd w:val="0"/>
    </w:pPr>
    <w:rPr>
      <w:rFonts w:ascii="宋体"/>
      <w:kern w:val="0"/>
      <w:szCs w:val="20"/>
    </w:rPr>
  </w:style>
  <w:style w:type="paragraph" w:customStyle="1" w:styleId="223">
    <w:name w:val="样式 标题 3 + (中文) 黑体 小四 非加粗 段前: 7.8 磅 段后: 0 磅 行距: 固定值 20 磅"/>
    <w:basedOn w:val="5"/>
    <w:qFormat/>
    <w:uiPriority w:val="0"/>
    <w:pPr>
      <w:spacing w:before="0" w:after="0" w:line="400" w:lineRule="exact"/>
    </w:pPr>
    <w:rPr>
      <w:rFonts w:eastAsia="黑体" w:cs="宋体"/>
      <w:b w:val="0"/>
      <w:bCs w:val="0"/>
      <w:kern w:val="0"/>
      <w:sz w:val="24"/>
      <w:szCs w:val="20"/>
    </w:rPr>
  </w:style>
  <w:style w:type="paragraph" w:customStyle="1" w:styleId="224">
    <w:name w:val="正文首行缩进两字符"/>
    <w:basedOn w:val="1"/>
    <w:qFormat/>
    <w:uiPriority w:val="0"/>
    <w:pPr>
      <w:spacing w:line="360" w:lineRule="auto"/>
      <w:ind w:firstLine="200" w:firstLineChars="200"/>
    </w:pPr>
  </w:style>
  <w:style w:type="paragraph" w:customStyle="1" w:styleId="225">
    <w:name w:val="一级条标题"/>
    <w:next w:val="181"/>
    <w:qFormat/>
    <w:uiPriority w:val="0"/>
    <w:pPr>
      <w:ind w:left="284"/>
      <w:outlineLvl w:val="2"/>
    </w:pPr>
    <w:rPr>
      <w:rFonts w:ascii="Times New Roman" w:hAnsi="Times New Roman" w:eastAsia="黑体" w:cs="Times New Roman"/>
      <w:sz w:val="21"/>
      <w:lang w:val="en-US" w:eastAsia="zh-CN" w:bidi="ar-SA"/>
    </w:rPr>
  </w:style>
  <w:style w:type="paragraph" w:customStyle="1" w:styleId="226">
    <w:name w:val="1."/>
    <w:basedOn w:val="1"/>
    <w:qFormat/>
    <w:uiPriority w:val="0"/>
    <w:pPr>
      <w:spacing w:line="360" w:lineRule="auto"/>
      <w:ind w:firstLine="480" w:firstLineChars="200"/>
    </w:pPr>
    <w:rPr>
      <w:rFonts w:ascii="宋体" w:hAnsi="宋体"/>
      <w:sz w:val="24"/>
    </w:rPr>
  </w:style>
  <w:style w:type="paragraph" w:customStyle="1" w:styleId="227">
    <w:name w:val="样式 首行缩进:  2 字符"/>
    <w:basedOn w:val="1"/>
    <w:qFormat/>
    <w:uiPriority w:val="0"/>
    <w:pPr>
      <w:spacing w:line="400" w:lineRule="exact"/>
      <w:ind w:firstLine="200" w:firstLineChars="200"/>
    </w:pPr>
    <w:rPr>
      <w:rFonts w:cs="宋体"/>
      <w:sz w:val="24"/>
    </w:rPr>
  </w:style>
  <w:style w:type="paragraph" w:customStyle="1" w:styleId="228">
    <w:name w:val="Char Char3 Char Char"/>
    <w:basedOn w:val="1"/>
    <w:qFormat/>
    <w:uiPriority w:val="0"/>
  </w:style>
  <w:style w:type="paragraph" w:customStyle="1" w:styleId="229">
    <w:name w:val="Char12"/>
    <w:basedOn w:val="1"/>
    <w:qFormat/>
    <w:uiPriority w:val="0"/>
    <w:rPr>
      <w:szCs w:val="21"/>
    </w:rPr>
  </w:style>
  <w:style w:type="paragraph" w:customStyle="1" w:styleId="230">
    <w:name w:val="F2"/>
    <w:basedOn w:val="1"/>
    <w:qFormat/>
    <w:uiPriority w:val="0"/>
    <w:pPr>
      <w:autoSpaceDE w:val="0"/>
      <w:autoSpaceDN w:val="0"/>
      <w:adjustRightInd w:val="0"/>
      <w:ind w:firstLine="601"/>
      <w:textAlignment w:val="baseline"/>
    </w:pPr>
    <w:rPr>
      <w:kern w:val="0"/>
      <w:sz w:val="24"/>
      <w:szCs w:val="20"/>
    </w:rPr>
  </w:style>
  <w:style w:type="paragraph" w:customStyle="1" w:styleId="231">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232">
    <w:name w:val="样式6"/>
    <w:basedOn w:val="7"/>
    <w:qFormat/>
    <w:uiPriority w:val="0"/>
    <w:pPr>
      <w:numPr>
        <w:numId w:val="0"/>
      </w:numPr>
      <w:spacing w:line="360" w:lineRule="auto"/>
      <w:ind w:left="210" w:leftChars="100"/>
    </w:pPr>
    <w:rPr>
      <w:rFonts w:ascii="宋体" w:hAnsi="宋体" w:cs="Arial"/>
      <w:bCs/>
      <w:sz w:val="24"/>
    </w:rPr>
  </w:style>
  <w:style w:type="paragraph" w:customStyle="1" w:styleId="233">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234">
    <w:name w:val="Tabletext"/>
    <w:basedOn w:val="1"/>
    <w:qFormat/>
    <w:uiPriority w:val="0"/>
    <w:pPr>
      <w:keepLines/>
      <w:spacing w:after="120" w:line="240" w:lineRule="atLeast"/>
      <w:jc w:val="left"/>
    </w:pPr>
    <w:rPr>
      <w:rFonts w:ascii="宋体"/>
      <w:snapToGrid w:val="0"/>
      <w:kern w:val="0"/>
      <w:sz w:val="20"/>
      <w:szCs w:val="20"/>
    </w:rPr>
  </w:style>
  <w:style w:type="paragraph" w:customStyle="1" w:styleId="235">
    <w:name w:val="Revision"/>
    <w:unhideWhenUsed/>
    <w:qFormat/>
    <w:uiPriority w:val="99"/>
    <w:rPr>
      <w:rFonts w:ascii="Times New Roman" w:hAnsi="Times New Roman" w:eastAsia="宋体" w:cs="Times New Roman"/>
      <w:kern w:val="2"/>
      <w:sz w:val="21"/>
      <w:szCs w:val="24"/>
      <w:lang w:val="en-US" w:eastAsia="zh-CN" w:bidi="ar-SA"/>
    </w:rPr>
  </w:style>
  <w:style w:type="paragraph" w:customStyle="1" w:styleId="236">
    <w:name w:val="样式5"/>
    <w:basedOn w:val="4"/>
    <w:qFormat/>
    <w:uiPriority w:val="0"/>
    <w:pPr>
      <w:keepLines/>
      <w:adjustRightInd/>
      <w:spacing w:before="260" w:after="260"/>
      <w:ind w:left="420" w:leftChars="200"/>
      <w:jc w:val="both"/>
    </w:pPr>
    <w:rPr>
      <w:rFonts w:ascii="宋体" w:hAnsi="宋体" w:eastAsia="宋体"/>
      <w:bCs/>
      <w:sz w:val="24"/>
      <w:szCs w:val="24"/>
    </w:rPr>
  </w:style>
  <w:style w:type="paragraph" w:customStyle="1" w:styleId="237">
    <w:name w:val="默认段落字体 Para Char Char Char Char Char Char Char Char Char1 Char Char Char Char"/>
    <w:basedOn w:val="1"/>
    <w:qFormat/>
    <w:uiPriority w:val="0"/>
    <w:rPr>
      <w:rFonts w:ascii="Tahoma" w:hAnsi="Tahoma"/>
      <w:sz w:val="24"/>
      <w:szCs w:val="20"/>
    </w:rPr>
  </w:style>
  <w:style w:type="paragraph" w:customStyle="1" w:styleId="238">
    <w:name w:val="2-2ji"/>
    <w:basedOn w:val="4"/>
    <w:qFormat/>
    <w:uiPriority w:val="0"/>
    <w:pPr>
      <w:keepLines/>
      <w:spacing w:before="0"/>
      <w:textAlignment w:val="baseline"/>
    </w:pPr>
    <w:rPr>
      <w:rFonts w:ascii="宋体" w:hAnsi="宋体" w:eastAsia="宋体"/>
      <w:sz w:val="36"/>
      <w:szCs w:val="32"/>
    </w:rPr>
  </w:style>
  <w:style w:type="paragraph" w:customStyle="1" w:styleId="239">
    <w:name w:val="表格文字"/>
    <w:basedOn w:val="1"/>
    <w:qFormat/>
    <w:uiPriority w:val="99"/>
    <w:pPr>
      <w:spacing w:before="25" w:after="25"/>
      <w:jc w:val="left"/>
    </w:pPr>
    <w:rPr>
      <w:bCs/>
      <w:spacing w:val="10"/>
      <w:kern w:val="0"/>
      <w:sz w:val="24"/>
    </w:rPr>
  </w:style>
  <w:style w:type="paragraph" w:customStyle="1" w:styleId="240">
    <w:name w:val="Normal (Web)_file_872_file_882"/>
    <w:basedOn w:val="1"/>
    <w:semiHidden/>
    <w:unhideWhenUsed/>
    <w:qFormat/>
    <w:uiPriority w:val="99"/>
    <w:pPr>
      <w:widowControl/>
      <w:spacing w:before="100" w:beforeAutospacing="1" w:after="100" w:afterAutospacing="1"/>
      <w:jc w:val="left"/>
    </w:pPr>
    <w:rPr>
      <w:rFonts w:ascii="宋体" w:hAnsi="宋体" w:cs="宋体"/>
      <w:kern w:val="0"/>
      <w:sz w:val="24"/>
    </w:rPr>
  </w:style>
  <w:style w:type="character" w:customStyle="1" w:styleId="241">
    <w:name w:val="正文文本首行缩进 2 字符"/>
    <w:basedOn w:val="77"/>
    <w:link w:val="47"/>
    <w:semiHidden/>
    <w:qFormat/>
    <w:uiPriority w:val="0"/>
    <w:rPr>
      <w:kern w:val="2"/>
      <w:sz w:val="21"/>
      <w:szCs w:val="24"/>
    </w:rPr>
  </w:style>
  <w:style w:type="character" w:customStyle="1" w:styleId="242">
    <w:name w:val="Default Paragraph Font_file_1729"/>
    <w:semiHidden/>
    <w:unhideWhenUsed/>
    <w:qFormat/>
    <w:uiPriority w:val="1"/>
  </w:style>
  <w:style w:type="table" w:customStyle="1" w:styleId="243">
    <w:name w:val="Normal Table_file_1729"/>
    <w:semiHidden/>
    <w:unhideWhenUsed/>
    <w:qFormat/>
    <w:uiPriority w:val="99"/>
    <w:tblPr>
      <w:tblCellMar>
        <w:top w:w="0" w:type="dxa"/>
        <w:left w:w="108" w:type="dxa"/>
        <w:bottom w:w="0" w:type="dxa"/>
        <w:right w:w="108" w:type="dxa"/>
      </w:tblCellMar>
    </w:tblPr>
  </w:style>
  <w:style w:type="paragraph" w:customStyle="1" w:styleId="244">
    <w:name w:val="toc 7_file_1729"/>
    <w:basedOn w:val="67"/>
    <w:next w:val="3"/>
    <w:qFormat/>
    <w:uiPriority w:val="39"/>
    <w:pPr>
      <w:ind w:left="1260"/>
      <w:jc w:val="left"/>
    </w:pPr>
    <w:rPr>
      <w:sz w:val="18"/>
    </w:rPr>
  </w:style>
  <w:style w:type="paragraph" w:customStyle="1" w:styleId="245">
    <w:name w:val="annotation text_file_1729"/>
    <w:basedOn w:val="67"/>
    <w:semiHidden/>
    <w:unhideWhenUsed/>
    <w:qFormat/>
    <w:uiPriority w:val="99"/>
    <w:pPr>
      <w:jc w:val="left"/>
    </w:pPr>
  </w:style>
  <w:style w:type="paragraph" w:customStyle="1" w:styleId="246">
    <w:name w:val="Balloon Text_file_1729"/>
    <w:basedOn w:val="67"/>
    <w:semiHidden/>
    <w:unhideWhenUsed/>
    <w:qFormat/>
    <w:uiPriority w:val="99"/>
    <w:rPr>
      <w:sz w:val="18"/>
    </w:rPr>
  </w:style>
  <w:style w:type="paragraph" w:customStyle="1" w:styleId="247">
    <w:name w:val="footer_file_1729"/>
    <w:basedOn w:val="67"/>
    <w:unhideWhenUsed/>
    <w:qFormat/>
    <w:uiPriority w:val="99"/>
    <w:pPr>
      <w:tabs>
        <w:tab w:val="center" w:pos="4153"/>
        <w:tab w:val="right" w:pos="8306"/>
      </w:tabs>
      <w:snapToGrid w:val="0"/>
      <w:jc w:val="left"/>
    </w:pPr>
    <w:rPr>
      <w:sz w:val="18"/>
    </w:rPr>
  </w:style>
  <w:style w:type="paragraph" w:customStyle="1" w:styleId="248">
    <w:name w:val="header_file_1729"/>
    <w:basedOn w:val="67"/>
    <w:unhideWhenUsed/>
    <w:qFormat/>
    <w:uiPriority w:val="99"/>
    <w:pPr>
      <w:pBdr>
        <w:bottom w:val="single" w:color="auto" w:sz="6" w:space="1"/>
      </w:pBdr>
      <w:tabs>
        <w:tab w:val="center" w:pos="4153"/>
        <w:tab w:val="right" w:pos="8306"/>
      </w:tabs>
      <w:snapToGrid w:val="0"/>
      <w:jc w:val="center"/>
    </w:pPr>
    <w:rPr>
      <w:sz w:val="18"/>
    </w:rPr>
  </w:style>
  <w:style w:type="paragraph" w:customStyle="1" w:styleId="249">
    <w:name w:val="Normal (Web)_file_1729"/>
    <w:basedOn w:val="67"/>
    <w:unhideWhenUsed/>
    <w:qFormat/>
    <w:uiPriority w:val="99"/>
    <w:pPr>
      <w:widowControl/>
      <w:jc w:val="left"/>
    </w:pPr>
    <w:rPr>
      <w:rFonts w:ascii="宋体" w:hAnsi="宋体" w:cs="宋体"/>
      <w:kern w:val="0"/>
      <w:sz w:val="24"/>
      <w:szCs w:val="24"/>
    </w:rPr>
  </w:style>
  <w:style w:type="table" w:customStyle="1" w:styleId="250">
    <w:name w:val="Table Grid_file_1729"/>
    <w:basedOn w:val="24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51">
    <w:name w:val="Strong_file_1729"/>
    <w:basedOn w:val="242"/>
    <w:qFormat/>
    <w:uiPriority w:val="22"/>
    <w:rPr>
      <w:b/>
      <w:bCs/>
    </w:rPr>
  </w:style>
  <w:style w:type="character" w:customStyle="1" w:styleId="252">
    <w:name w:val="Hyperlink_file_1729"/>
    <w:basedOn w:val="242"/>
    <w:unhideWhenUsed/>
    <w:qFormat/>
    <w:uiPriority w:val="99"/>
    <w:rPr>
      <w:color w:val="0563C1" w:themeColor="hyperlink"/>
      <w:u w:val="single"/>
      <w14:textFill>
        <w14:solidFill>
          <w14:schemeClr w14:val="hlink"/>
        </w14:solidFill>
      </w14:textFill>
    </w:rPr>
  </w:style>
  <w:style w:type="character" w:customStyle="1" w:styleId="253">
    <w:name w:val="页眉 字符_file_1729"/>
    <w:basedOn w:val="242"/>
    <w:link w:val="12"/>
    <w:qFormat/>
    <w:uiPriority w:val="99"/>
    <w:rPr>
      <w:rFonts w:ascii="Calibri" w:hAnsi="Calibri" w:cs="Times New Roman"/>
      <w:sz w:val="18"/>
      <w:szCs w:val="18"/>
    </w:rPr>
  </w:style>
  <w:style w:type="character" w:customStyle="1" w:styleId="254">
    <w:name w:val="页脚 字符_file_1729"/>
    <w:basedOn w:val="242"/>
    <w:link w:val="11"/>
    <w:qFormat/>
    <w:uiPriority w:val="99"/>
    <w:rPr>
      <w:rFonts w:ascii="Calibri" w:hAnsi="Calibri" w:cs="Times New Roman"/>
      <w:sz w:val="18"/>
      <w:szCs w:val="18"/>
    </w:rPr>
  </w:style>
  <w:style w:type="paragraph" w:customStyle="1" w:styleId="255">
    <w:name w:val="List Paragraph_file_1729"/>
    <w:basedOn w:val="67"/>
    <w:qFormat/>
    <w:uiPriority w:val="34"/>
    <w:pPr>
      <w:ind w:firstLine="420" w:firstLineChars="200"/>
    </w:pPr>
  </w:style>
  <w:style w:type="character" w:customStyle="1" w:styleId="256">
    <w:name w:val="批注框文本 字符_file_1729"/>
    <w:basedOn w:val="242"/>
    <w:link w:val="10"/>
    <w:semiHidden/>
    <w:qFormat/>
    <w:uiPriority w:val="99"/>
    <w:rPr>
      <w:rFonts w:ascii="Calibri" w:hAnsi="Calibri" w:cs="Times New Roman"/>
      <w:sz w:val="18"/>
      <w:szCs w:val="18"/>
    </w:rPr>
  </w:style>
  <w:style w:type="character" w:customStyle="1" w:styleId="257">
    <w:name w:val="标题 1 字符_file_1729"/>
    <w:basedOn w:val="242"/>
    <w:link w:val="4"/>
    <w:qFormat/>
    <w:uiPriority w:val="0"/>
    <w:rPr>
      <w:rFonts w:ascii="Times New Roman" w:hAnsi="Times New Roman" w:cs="Times New Roman"/>
      <w:b/>
      <w:bCs/>
      <w:kern w:val="44"/>
      <w:sz w:val="44"/>
      <w:szCs w:val="44"/>
    </w:rPr>
  </w:style>
  <w:style w:type="character" w:customStyle="1" w:styleId="258">
    <w:name w:val="纯文本 字符_file_1729"/>
    <w:basedOn w:val="242"/>
    <w:link w:val="9"/>
    <w:qFormat/>
    <w:uiPriority w:val="0"/>
    <w:rPr>
      <w:rFonts w:ascii="宋体" w:hAnsi="Courier New" w:cs="Courier New"/>
      <w:szCs w:val="21"/>
    </w:rPr>
  </w:style>
  <w:style w:type="character" w:customStyle="1" w:styleId="259">
    <w:name w:val="ca-21_file_1729"/>
    <w:basedOn w:val="242"/>
    <w:qFormat/>
    <w:uiPriority w:val="0"/>
    <w:rPr>
      <w:rFonts w:hint="eastAsia" w:ascii="宋体" w:hAnsi="宋体" w:eastAsia="宋体"/>
      <w:sz w:val="21"/>
      <w:szCs w:val="21"/>
    </w:rPr>
  </w:style>
  <w:style w:type="paragraph" w:customStyle="1" w:styleId="260">
    <w:name w:val="pa-3_file_1729"/>
    <w:basedOn w:val="67"/>
    <w:qFormat/>
    <w:uiPriority w:val="0"/>
    <w:pPr>
      <w:widowControl/>
      <w:spacing w:line="240" w:lineRule="atLeast"/>
    </w:pPr>
    <w:rPr>
      <w:rFonts w:ascii="宋体" w:hAnsi="宋体" w:cs="宋体"/>
      <w:kern w:val="0"/>
      <w:sz w:val="24"/>
      <w:szCs w:val="24"/>
    </w:rPr>
  </w:style>
  <w:style w:type="character" w:customStyle="1" w:styleId="261">
    <w:name w:val="ca-21_file_498_file_1729"/>
    <w:basedOn w:val="242"/>
    <w:qFormat/>
    <w:uiPriority w:val="0"/>
    <w:rPr>
      <w:rFonts w:ascii="宋体" w:hAnsi="宋体" w:eastAsia="宋体"/>
      <w:w w:val="100"/>
      <w:sz w:val="21"/>
      <w:szCs w:val="21"/>
      <w:shd w:val="clear" w:color="auto" w:fill="auto"/>
    </w:rPr>
  </w:style>
  <w:style w:type="character" w:customStyle="1" w:styleId="262">
    <w:name w:val="正文缩进 字符_file_1729"/>
    <w:link w:val="6"/>
    <w:qFormat/>
    <w:uiPriority w:val="0"/>
    <w:rPr>
      <w:rFonts w:ascii="宋体" w:hAnsi="Times New Roman" w:cs="Times New Roman"/>
      <w:snapToGrid w:val="0"/>
      <w:kern w:val="0"/>
      <w:sz w:val="20"/>
      <w:szCs w:val="20"/>
    </w:rPr>
  </w:style>
  <w:style w:type="character" w:customStyle="1" w:styleId="263">
    <w:name w:val="text_dxurc_file_1729"/>
    <w:basedOn w:val="242"/>
    <w:qFormat/>
    <w:uiPriority w:val="0"/>
  </w:style>
  <w:style w:type="paragraph" w:customStyle="1" w:styleId="264">
    <w:name w:val="Normal_file_173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65">
    <w:name w:val="heading 1_file_1730"/>
    <w:basedOn w:val="264"/>
    <w:qFormat/>
    <w:uiPriority w:val="9"/>
    <w:pPr>
      <w:outlineLvl w:val="0"/>
    </w:pPr>
    <w:rPr>
      <w:kern w:val="36"/>
      <w:sz w:val="48"/>
      <w:szCs w:val="48"/>
    </w:rPr>
  </w:style>
  <w:style w:type="paragraph" w:customStyle="1" w:styleId="266">
    <w:name w:val="heading 2_file_1730"/>
    <w:basedOn w:val="264"/>
    <w:qFormat/>
    <w:uiPriority w:val="9"/>
    <w:pPr>
      <w:outlineLvl w:val="1"/>
    </w:pPr>
    <w:rPr>
      <w:sz w:val="36"/>
      <w:szCs w:val="36"/>
    </w:rPr>
  </w:style>
  <w:style w:type="paragraph" w:customStyle="1" w:styleId="267">
    <w:name w:val="heading 3_file_1730"/>
    <w:basedOn w:val="264"/>
    <w:qFormat/>
    <w:uiPriority w:val="9"/>
    <w:pPr>
      <w:outlineLvl w:val="2"/>
    </w:pPr>
    <w:rPr>
      <w:sz w:val="27"/>
      <w:szCs w:val="27"/>
    </w:rPr>
  </w:style>
  <w:style w:type="paragraph" w:customStyle="1" w:styleId="268">
    <w:name w:val="heading 4_file_1730"/>
    <w:basedOn w:val="264"/>
    <w:qFormat/>
    <w:uiPriority w:val="9"/>
    <w:pPr>
      <w:outlineLvl w:val="3"/>
    </w:pPr>
  </w:style>
  <w:style w:type="paragraph" w:customStyle="1" w:styleId="269">
    <w:name w:val="heading 5_file_1730"/>
    <w:basedOn w:val="264"/>
    <w:qFormat/>
    <w:uiPriority w:val="9"/>
    <w:pPr>
      <w:outlineLvl w:val="4"/>
    </w:pPr>
    <w:rPr>
      <w:sz w:val="20"/>
      <w:szCs w:val="20"/>
    </w:rPr>
  </w:style>
  <w:style w:type="paragraph" w:customStyle="1" w:styleId="270">
    <w:name w:val="heading 6_file_1730"/>
    <w:basedOn w:val="264"/>
    <w:qFormat/>
    <w:uiPriority w:val="9"/>
    <w:pPr>
      <w:outlineLvl w:val="5"/>
    </w:pPr>
    <w:rPr>
      <w:sz w:val="15"/>
      <w:szCs w:val="15"/>
    </w:rPr>
  </w:style>
  <w:style w:type="character" w:customStyle="1" w:styleId="271">
    <w:name w:val="Default Paragraph Font_file_1730"/>
    <w:semiHidden/>
    <w:unhideWhenUsed/>
    <w:qFormat/>
    <w:uiPriority w:val="1"/>
  </w:style>
  <w:style w:type="table" w:customStyle="1" w:styleId="272">
    <w:name w:val="Normal Table_file_1730"/>
    <w:semiHidden/>
    <w:unhideWhenUsed/>
    <w:qFormat/>
    <w:uiPriority w:val="99"/>
    <w:tblPr>
      <w:tblCellMar>
        <w:top w:w="0" w:type="dxa"/>
        <w:left w:w="108" w:type="dxa"/>
        <w:bottom w:w="0" w:type="dxa"/>
        <w:right w:w="108" w:type="dxa"/>
      </w:tblCellMar>
    </w:tblPr>
  </w:style>
  <w:style w:type="character" w:customStyle="1" w:styleId="273">
    <w:name w:val="Hyperlink_file_1730"/>
    <w:basedOn w:val="271"/>
    <w:semiHidden/>
    <w:unhideWhenUsed/>
    <w:qFormat/>
    <w:uiPriority w:val="99"/>
    <w:rPr>
      <w:color w:val="0782C1"/>
      <w:u w:val="single"/>
    </w:rPr>
  </w:style>
  <w:style w:type="character" w:customStyle="1" w:styleId="274">
    <w:name w:val="FollowedHyperlink_file_1730"/>
    <w:basedOn w:val="271"/>
    <w:semiHidden/>
    <w:unhideWhenUsed/>
    <w:qFormat/>
    <w:uiPriority w:val="99"/>
    <w:rPr>
      <w:color w:val="0782C1"/>
      <w:u w:val="single"/>
    </w:rPr>
  </w:style>
  <w:style w:type="character" w:customStyle="1" w:styleId="275">
    <w:name w:val="标题 1 Char_file_1730"/>
    <w:basedOn w:val="271"/>
    <w:link w:val="3"/>
    <w:qFormat/>
    <w:uiPriority w:val="9"/>
    <w:rPr>
      <w:rFonts w:ascii="宋体" w:hAnsi="宋体" w:eastAsia="宋体" w:cs="宋体"/>
      <w:b/>
      <w:bCs/>
      <w:kern w:val="44"/>
      <w:sz w:val="44"/>
      <w:szCs w:val="44"/>
    </w:rPr>
  </w:style>
  <w:style w:type="character" w:customStyle="1" w:styleId="276">
    <w:name w:val="标题 2 Char_file_1730"/>
    <w:basedOn w:val="271"/>
    <w:link w:val="4"/>
    <w:semiHidden/>
    <w:qFormat/>
    <w:uiPriority w:val="9"/>
    <w:rPr>
      <w:rFonts w:asciiTheme="majorHAnsi" w:hAnsiTheme="majorHAnsi" w:eastAsiaTheme="majorEastAsia" w:cstheme="majorBidi"/>
      <w:b/>
      <w:bCs/>
      <w:sz w:val="32"/>
      <w:szCs w:val="32"/>
    </w:rPr>
  </w:style>
  <w:style w:type="character" w:customStyle="1" w:styleId="277">
    <w:name w:val="标题 3 Char_file_1730"/>
    <w:basedOn w:val="271"/>
    <w:link w:val="5"/>
    <w:semiHidden/>
    <w:qFormat/>
    <w:uiPriority w:val="9"/>
    <w:rPr>
      <w:rFonts w:ascii="宋体" w:hAnsi="宋体" w:eastAsia="宋体" w:cs="宋体"/>
      <w:b/>
      <w:bCs/>
      <w:sz w:val="32"/>
      <w:szCs w:val="32"/>
    </w:rPr>
  </w:style>
  <w:style w:type="character" w:customStyle="1" w:styleId="278">
    <w:name w:val="标题 4 Char_file_1730"/>
    <w:basedOn w:val="271"/>
    <w:link w:val="6"/>
    <w:semiHidden/>
    <w:qFormat/>
    <w:uiPriority w:val="9"/>
    <w:rPr>
      <w:rFonts w:asciiTheme="majorHAnsi" w:hAnsiTheme="majorHAnsi" w:eastAsiaTheme="majorEastAsia" w:cstheme="majorBidi"/>
      <w:b/>
      <w:bCs/>
      <w:sz w:val="28"/>
      <w:szCs w:val="28"/>
    </w:rPr>
  </w:style>
  <w:style w:type="character" w:customStyle="1" w:styleId="279">
    <w:name w:val="标题 5 Char_file_1730"/>
    <w:basedOn w:val="271"/>
    <w:link w:val="7"/>
    <w:semiHidden/>
    <w:qFormat/>
    <w:uiPriority w:val="9"/>
    <w:rPr>
      <w:rFonts w:ascii="宋体" w:hAnsi="宋体" w:eastAsia="宋体" w:cs="宋体"/>
      <w:b/>
      <w:bCs/>
      <w:sz w:val="28"/>
      <w:szCs w:val="28"/>
    </w:rPr>
  </w:style>
  <w:style w:type="character" w:customStyle="1" w:styleId="280">
    <w:name w:val="标题 6 Char_file_1730"/>
    <w:basedOn w:val="271"/>
    <w:link w:val="9"/>
    <w:semiHidden/>
    <w:qFormat/>
    <w:uiPriority w:val="9"/>
    <w:rPr>
      <w:rFonts w:asciiTheme="majorHAnsi" w:hAnsiTheme="majorHAnsi" w:eastAsiaTheme="majorEastAsia" w:cstheme="majorBidi"/>
      <w:b/>
      <w:bCs/>
      <w:sz w:val="24"/>
      <w:szCs w:val="24"/>
    </w:rPr>
  </w:style>
  <w:style w:type="paragraph" w:customStyle="1" w:styleId="281">
    <w:name w:val="cke_editable_file_1730"/>
    <w:basedOn w:val="264"/>
    <w:qFormat/>
    <w:uiPriority w:val="0"/>
    <w:rPr>
      <w:rFonts w:ascii="仿宋_GB2312" w:eastAsia="仿宋_GB2312"/>
    </w:rPr>
  </w:style>
  <w:style w:type="paragraph" w:customStyle="1" w:styleId="282">
    <w:name w:val="marker_file_1730"/>
    <w:basedOn w:val="264"/>
    <w:qFormat/>
    <w:uiPriority w:val="0"/>
    <w:pPr>
      <w:shd w:val="clear" w:color="auto" w:fill="FFFF00"/>
    </w:pPr>
  </w:style>
  <w:style w:type="paragraph" w:customStyle="1" w:styleId="283">
    <w:name w:val="Normal (Web)_file_1730"/>
    <w:basedOn w:val="264"/>
    <w:semiHidden/>
    <w:unhideWhenUsed/>
    <w:qFormat/>
    <w:uiPriority w:val="99"/>
  </w:style>
  <w:style w:type="paragraph" w:customStyle="1" w:styleId="284">
    <w:name w:val="Normal_file_173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85">
    <w:name w:val="heading 1_file_1731"/>
    <w:basedOn w:val="284"/>
    <w:qFormat/>
    <w:uiPriority w:val="9"/>
    <w:pPr>
      <w:outlineLvl w:val="0"/>
    </w:pPr>
    <w:rPr>
      <w:kern w:val="36"/>
      <w:sz w:val="48"/>
      <w:szCs w:val="48"/>
    </w:rPr>
  </w:style>
  <w:style w:type="paragraph" w:customStyle="1" w:styleId="286">
    <w:name w:val="heading 2_file_1731"/>
    <w:basedOn w:val="284"/>
    <w:qFormat/>
    <w:uiPriority w:val="9"/>
    <w:pPr>
      <w:outlineLvl w:val="1"/>
    </w:pPr>
    <w:rPr>
      <w:sz w:val="36"/>
      <w:szCs w:val="36"/>
    </w:rPr>
  </w:style>
  <w:style w:type="paragraph" w:customStyle="1" w:styleId="287">
    <w:name w:val="heading 3_file_1731"/>
    <w:basedOn w:val="284"/>
    <w:qFormat/>
    <w:uiPriority w:val="9"/>
    <w:pPr>
      <w:outlineLvl w:val="2"/>
    </w:pPr>
    <w:rPr>
      <w:sz w:val="27"/>
      <w:szCs w:val="27"/>
    </w:rPr>
  </w:style>
  <w:style w:type="paragraph" w:customStyle="1" w:styleId="288">
    <w:name w:val="heading 4_file_1731"/>
    <w:basedOn w:val="284"/>
    <w:qFormat/>
    <w:uiPriority w:val="9"/>
    <w:pPr>
      <w:outlineLvl w:val="3"/>
    </w:pPr>
  </w:style>
  <w:style w:type="paragraph" w:customStyle="1" w:styleId="289">
    <w:name w:val="heading 5_file_1731"/>
    <w:basedOn w:val="284"/>
    <w:qFormat/>
    <w:uiPriority w:val="9"/>
    <w:pPr>
      <w:outlineLvl w:val="4"/>
    </w:pPr>
    <w:rPr>
      <w:sz w:val="20"/>
      <w:szCs w:val="20"/>
    </w:rPr>
  </w:style>
  <w:style w:type="paragraph" w:customStyle="1" w:styleId="290">
    <w:name w:val="heading 6_file_1731"/>
    <w:basedOn w:val="284"/>
    <w:qFormat/>
    <w:uiPriority w:val="9"/>
    <w:pPr>
      <w:outlineLvl w:val="5"/>
    </w:pPr>
    <w:rPr>
      <w:sz w:val="15"/>
      <w:szCs w:val="15"/>
    </w:rPr>
  </w:style>
  <w:style w:type="character" w:customStyle="1" w:styleId="291">
    <w:name w:val="Default Paragraph Font_file_1731"/>
    <w:semiHidden/>
    <w:unhideWhenUsed/>
    <w:qFormat/>
    <w:uiPriority w:val="1"/>
  </w:style>
  <w:style w:type="table" w:customStyle="1" w:styleId="292">
    <w:name w:val="Normal Table_file_1731"/>
    <w:semiHidden/>
    <w:unhideWhenUsed/>
    <w:qFormat/>
    <w:uiPriority w:val="99"/>
    <w:tblPr>
      <w:tblCellMar>
        <w:top w:w="0" w:type="dxa"/>
        <w:left w:w="108" w:type="dxa"/>
        <w:bottom w:w="0" w:type="dxa"/>
        <w:right w:w="108" w:type="dxa"/>
      </w:tblCellMar>
    </w:tblPr>
  </w:style>
  <w:style w:type="character" w:customStyle="1" w:styleId="293">
    <w:name w:val="Hyperlink_file_1731"/>
    <w:basedOn w:val="291"/>
    <w:semiHidden/>
    <w:unhideWhenUsed/>
    <w:qFormat/>
    <w:uiPriority w:val="99"/>
    <w:rPr>
      <w:color w:val="0782C1"/>
      <w:u w:val="single"/>
    </w:rPr>
  </w:style>
  <w:style w:type="character" w:customStyle="1" w:styleId="294">
    <w:name w:val="FollowedHyperlink_file_1731"/>
    <w:basedOn w:val="291"/>
    <w:semiHidden/>
    <w:unhideWhenUsed/>
    <w:qFormat/>
    <w:uiPriority w:val="99"/>
    <w:rPr>
      <w:color w:val="0782C1"/>
      <w:u w:val="single"/>
    </w:rPr>
  </w:style>
  <w:style w:type="character" w:customStyle="1" w:styleId="295">
    <w:name w:val="标题 1 Char_file_1731"/>
    <w:basedOn w:val="291"/>
    <w:link w:val="3"/>
    <w:qFormat/>
    <w:uiPriority w:val="9"/>
    <w:rPr>
      <w:rFonts w:ascii="宋体" w:hAnsi="宋体" w:eastAsia="宋体" w:cs="宋体"/>
      <w:b/>
      <w:bCs/>
      <w:kern w:val="44"/>
      <w:sz w:val="44"/>
      <w:szCs w:val="44"/>
    </w:rPr>
  </w:style>
  <w:style w:type="character" w:customStyle="1" w:styleId="296">
    <w:name w:val="标题 2 Char_file_1731"/>
    <w:basedOn w:val="291"/>
    <w:link w:val="4"/>
    <w:semiHidden/>
    <w:qFormat/>
    <w:uiPriority w:val="9"/>
    <w:rPr>
      <w:rFonts w:asciiTheme="majorHAnsi" w:hAnsiTheme="majorHAnsi" w:eastAsiaTheme="majorEastAsia" w:cstheme="majorBidi"/>
      <w:b/>
      <w:bCs/>
      <w:sz w:val="32"/>
      <w:szCs w:val="32"/>
    </w:rPr>
  </w:style>
  <w:style w:type="character" w:customStyle="1" w:styleId="297">
    <w:name w:val="标题 3 Char_file_1731"/>
    <w:basedOn w:val="291"/>
    <w:link w:val="5"/>
    <w:semiHidden/>
    <w:qFormat/>
    <w:uiPriority w:val="9"/>
    <w:rPr>
      <w:rFonts w:ascii="宋体" w:hAnsi="宋体" w:eastAsia="宋体" w:cs="宋体"/>
      <w:b/>
      <w:bCs/>
      <w:sz w:val="32"/>
      <w:szCs w:val="32"/>
    </w:rPr>
  </w:style>
  <w:style w:type="character" w:customStyle="1" w:styleId="298">
    <w:name w:val="标题 4 Char_file_1731"/>
    <w:basedOn w:val="291"/>
    <w:link w:val="6"/>
    <w:semiHidden/>
    <w:qFormat/>
    <w:uiPriority w:val="9"/>
    <w:rPr>
      <w:rFonts w:asciiTheme="majorHAnsi" w:hAnsiTheme="majorHAnsi" w:eastAsiaTheme="majorEastAsia" w:cstheme="majorBidi"/>
      <w:b/>
      <w:bCs/>
      <w:sz w:val="28"/>
      <w:szCs w:val="28"/>
    </w:rPr>
  </w:style>
  <w:style w:type="character" w:customStyle="1" w:styleId="299">
    <w:name w:val="标题 5 Char_file_1731"/>
    <w:basedOn w:val="291"/>
    <w:link w:val="7"/>
    <w:semiHidden/>
    <w:qFormat/>
    <w:uiPriority w:val="9"/>
    <w:rPr>
      <w:rFonts w:ascii="宋体" w:hAnsi="宋体" w:eastAsia="宋体" w:cs="宋体"/>
      <w:b/>
      <w:bCs/>
      <w:sz w:val="28"/>
      <w:szCs w:val="28"/>
    </w:rPr>
  </w:style>
  <w:style w:type="character" w:customStyle="1" w:styleId="300">
    <w:name w:val="标题 6 Char_file_1731"/>
    <w:basedOn w:val="291"/>
    <w:link w:val="9"/>
    <w:semiHidden/>
    <w:qFormat/>
    <w:uiPriority w:val="9"/>
    <w:rPr>
      <w:rFonts w:asciiTheme="majorHAnsi" w:hAnsiTheme="majorHAnsi" w:eastAsiaTheme="majorEastAsia" w:cstheme="majorBidi"/>
      <w:b/>
      <w:bCs/>
      <w:sz w:val="24"/>
      <w:szCs w:val="24"/>
    </w:rPr>
  </w:style>
  <w:style w:type="paragraph" w:customStyle="1" w:styleId="301">
    <w:name w:val="cke_editable_file_1731"/>
    <w:basedOn w:val="284"/>
    <w:qFormat/>
    <w:uiPriority w:val="0"/>
    <w:rPr>
      <w:rFonts w:ascii="仿宋_GB2312" w:eastAsia="仿宋_GB2312"/>
    </w:rPr>
  </w:style>
  <w:style w:type="paragraph" w:customStyle="1" w:styleId="302">
    <w:name w:val="marker_file_1731"/>
    <w:basedOn w:val="284"/>
    <w:qFormat/>
    <w:uiPriority w:val="0"/>
    <w:pPr>
      <w:shd w:val="clear" w:color="auto" w:fill="FFFF00"/>
    </w:pPr>
  </w:style>
  <w:style w:type="paragraph" w:customStyle="1" w:styleId="303">
    <w:name w:val="Normal (Web)_file_1731"/>
    <w:basedOn w:val="284"/>
    <w:semiHidden/>
    <w:unhideWhenUsed/>
    <w:qFormat/>
    <w:uiPriority w:val="99"/>
  </w:style>
  <w:style w:type="paragraph" w:customStyle="1" w:styleId="304">
    <w:name w:val="Normal_file_173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05">
    <w:name w:val="heading 1_file_1732"/>
    <w:basedOn w:val="304"/>
    <w:qFormat/>
    <w:uiPriority w:val="9"/>
    <w:pPr>
      <w:outlineLvl w:val="0"/>
    </w:pPr>
    <w:rPr>
      <w:kern w:val="36"/>
      <w:sz w:val="48"/>
      <w:szCs w:val="48"/>
    </w:rPr>
  </w:style>
  <w:style w:type="paragraph" w:customStyle="1" w:styleId="306">
    <w:name w:val="heading 2_file_1732"/>
    <w:basedOn w:val="304"/>
    <w:qFormat/>
    <w:uiPriority w:val="9"/>
    <w:pPr>
      <w:outlineLvl w:val="1"/>
    </w:pPr>
    <w:rPr>
      <w:sz w:val="36"/>
      <w:szCs w:val="36"/>
    </w:rPr>
  </w:style>
  <w:style w:type="paragraph" w:customStyle="1" w:styleId="307">
    <w:name w:val="heading 3_file_1732"/>
    <w:basedOn w:val="304"/>
    <w:qFormat/>
    <w:uiPriority w:val="9"/>
    <w:pPr>
      <w:outlineLvl w:val="2"/>
    </w:pPr>
    <w:rPr>
      <w:sz w:val="27"/>
      <w:szCs w:val="27"/>
    </w:rPr>
  </w:style>
  <w:style w:type="paragraph" w:customStyle="1" w:styleId="308">
    <w:name w:val="heading 4_file_1732"/>
    <w:basedOn w:val="304"/>
    <w:qFormat/>
    <w:uiPriority w:val="9"/>
    <w:pPr>
      <w:outlineLvl w:val="3"/>
    </w:pPr>
  </w:style>
  <w:style w:type="paragraph" w:customStyle="1" w:styleId="309">
    <w:name w:val="heading 5_file_1732"/>
    <w:basedOn w:val="304"/>
    <w:qFormat/>
    <w:uiPriority w:val="9"/>
    <w:pPr>
      <w:outlineLvl w:val="4"/>
    </w:pPr>
    <w:rPr>
      <w:sz w:val="20"/>
      <w:szCs w:val="20"/>
    </w:rPr>
  </w:style>
  <w:style w:type="paragraph" w:customStyle="1" w:styleId="310">
    <w:name w:val="heading 6_file_1732"/>
    <w:basedOn w:val="304"/>
    <w:qFormat/>
    <w:uiPriority w:val="9"/>
    <w:pPr>
      <w:outlineLvl w:val="5"/>
    </w:pPr>
    <w:rPr>
      <w:sz w:val="15"/>
      <w:szCs w:val="15"/>
    </w:rPr>
  </w:style>
  <w:style w:type="character" w:customStyle="1" w:styleId="311">
    <w:name w:val="Default Paragraph Font_file_1732"/>
    <w:semiHidden/>
    <w:unhideWhenUsed/>
    <w:qFormat/>
    <w:uiPriority w:val="1"/>
  </w:style>
  <w:style w:type="table" w:customStyle="1" w:styleId="312">
    <w:name w:val="Normal Table_file_1732"/>
    <w:semiHidden/>
    <w:unhideWhenUsed/>
    <w:qFormat/>
    <w:uiPriority w:val="99"/>
    <w:tblPr>
      <w:tblCellMar>
        <w:top w:w="0" w:type="dxa"/>
        <w:left w:w="108" w:type="dxa"/>
        <w:bottom w:w="0" w:type="dxa"/>
        <w:right w:w="108" w:type="dxa"/>
      </w:tblCellMar>
    </w:tblPr>
  </w:style>
  <w:style w:type="character" w:customStyle="1" w:styleId="313">
    <w:name w:val="Hyperlink_file_1732"/>
    <w:basedOn w:val="311"/>
    <w:semiHidden/>
    <w:unhideWhenUsed/>
    <w:qFormat/>
    <w:uiPriority w:val="99"/>
    <w:rPr>
      <w:color w:val="0782C1"/>
      <w:u w:val="single"/>
    </w:rPr>
  </w:style>
  <w:style w:type="character" w:customStyle="1" w:styleId="314">
    <w:name w:val="FollowedHyperlink_file_1732"/>
    <w:basedOn w:val="311"/>
    <w:semiHidden/>
    <w:unhideWhenUsed/>
    <w:qFormat/>
    <w:uiPriority w:val="99"/>
    <w:rPr>
      <w:color w:val="0782C1"/>
      <w:u w:val="single"/>
    </w:rPr>
  </w:style>
  <w:style w:type="character" w:customStyle="1" w:styleId="315">
    <w:name w:val="标题 1 Char_file_1732"/>
    <w:basedOn w:val="311"/>
    <w:link w:val="3"/>
    <w:qFormat/>
    <w:uiPriority w:val="9"/>
    <w:rPr>
      <w:rFonts w:ascii="宋体" w:hAnsi="宋体" w:eastAsia="宋体" w:cs="宋体"/>
      <w:b/>
      <w:bCs/>
      <w:kern w:val="44"/>
      <w:sz w:val="44"/>
      <w:szCs w:val="44"/>
    </w:rPr>
  </w:style>
  <w:style w:type="character" w:customStyle="1" w:styleId="316">
    <w:name w:val="标题 2 Char_file_1732"/>
    <w:basedOn w:val="311"/>
    <w:link w:val="4"/>
    <w:semiHidden/>
    <w:qFormat/>
    <w:uiPriority w:val="9"/>
    <w:rPr>
      <w:rFonts w:asciiTheme="majorHAnsi" w:hAnsiTheme="majorHAnsi" w:eastAsiaTheme="majorEastAsia" w:cstheme="majorBidi"/>
      <w:b/>
      <w:bCs/>
      <w:sz w:val="32"/>
      <w:szCs w:val="32"/>
    </w:rPr>
  </w:style>
  <w:style w:type="character" w:customStyle="1" w:styleId="317">
    <w:name w:val="标题 3 Char_file_1732"/>
    <w:basedOn w:val="311"/>
    <w:link w:val="5"/>
    <w:semiHidden/>
    <w:qFormat/>
    <w:uiPriority w:val="9"/>
    <w:rPr>
      <w:rFonts w:ascii="宋体" w:hAnsi="宋体" w:eastAsia="宋体" w:cs="宋体"/>
      <w:b/>
      <w:bCs/>
      <w:sz w:val="32"/>
      <w:szCs w:val="32"/>
    </w:rPr>
  </w:style>
  <w:style w:type="character" w:customStyle="1" w:styleId="318">
    <w:name w:val="标题 4 Char_file_1732"/>
    <w:basedOn w:val="311"/>
    <w:link w:val="6"/>
    <w:semiHidden/>
    <w:qFormat/>
    <w:uiPriority w:val="9"/>
    <w:rPr>
      <w:rFonts w:asciiTheme="majorHAnsi" w:hAnsiTheme="majorHAnsi" w:eastAsiaTheme="majorEastAsia" w:cstheme="majorBidi"/>
      <w:b/>
      <w:bCs/>
      <w:sz w:val="28"/>
      <w:szCs w:val="28"/>
    </w:rPr>
  </w:style>
  <w:style w:type="character" w:customStyle="1" w:styleId="319">
    <w:name w:val="标题 5 Char_file_1732"/>
    <w:basedOn w:val="311"/>
    <w:link w:val="7"/>
    <w:semiHidden/>
    <w:qFormat/>
    <w:uiPriority w:val="9"/>
    <w:rPr>
      <w:rFonts w:ascii="宋体" w:hAnsi="宋体" w:eastAsia="宋体" w:cs="宋体"/>
      <w:b/>
      <w:bCs/>
      <w:sz w:val="28"/>
      <w:szCs w:val="28"/>
    </w:rPr>
  </w:style>
  <w:style w:type="character" w:customStyle="1" w:styleId="320">
    <w:name w:val="标题 6 Char_file_1732"/>
    <w:basedOn w:val="311"/>
    <w:link w:val="9"/>
    <w:semiHidden/>
    <w:qFormat/>
    <w:uiPriority w:val="9"/>
    <w:rPr>
      <w:rFonts w:asciiTheme="majorHAnsi" w:hAnsiTheme="majorHAnsi" w:eastAsiaTheme="majorEastAsia" w:cstheme="majorBidi"/>
      <w:b/>
      <w:bCs/>
      <w:sz w:val="24"/>
      <w:szCs w:val="24"/>
    </w:rPr>
  </w:style>
  <w:style w:type="paragraph" w:customStyle="1" w:styleId="321">
    <w:name w:val="cke_editable_file_1732"/>
    <w:basedOn w:val="304"/>
    <w:qFormat/>
    <w:uiPriority w:val="0"/>
    <w:rPr>
      <w:rFonts w:ascii="仿宋_GB2312" w:eastAsia="仿宋_GB2312"/>
    </w:rPr>
  </w:style>
  <w:style w:type="paragraph" w:customStyle="1" w:styleId="322">
    <w:name w:val="marker_file_1732"/>
    <w:basedOn w:val="304"/>
    <w:qFormat/>
    <w:uiPriority w:val="0"/>
    <w:pPr>
      <w:shd w:val="clear" w:color="auto" w:fill="FFFF00"/>
    </w:pPr>
  </w:style>
  <w:style w:type="paragraph" w:customStyle="1" w:styleId="323">
    <w:name w:val="Normal (Web)_file_1732"/>
    <w:basedOn w:val="304"/>
    <w:semiHidden/>
    <w:unhideWhenUsed/>
    <w:qFormat/>
    <w:uiPriority w:val="99"/>
  </w:style>
  <w:style w:type="paragraph" w:customStyle="1" w:styleId="324">
    <w:name w:val="Normal_file_173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25">
    <w:name w:val="heading 1_file_1733"/>
    <w:basedOn w:val="324"/>
    <w:qFormat/>
    <w:uiPriority w:val="9"/>
    <w:pPr>
      <w:outlineLvl w:val="0"/>
    </w:pPr>
    <w:rPr>
      <w:kern w:val="36"/>
      <w:sz w:val="48"/>
      <w:szCs w:val="48"/>
    </w:rPr>
  </w:style>
  <w:style w:type="paragraph" w:customStyle="1" w:styleId="326">
    <w:name w:val="heading 2_file_1733"/>
    <w:basedOn w:val="324"/>
    <w:qFormat/>
    <w:uiPriority w:val="9"/>
    <w:pPr>
      <w:outlineLvl w:val="1"/>
    </w:pPr>
    <w:rPr>
      <w:sz w:val="36"/>
      <w:szCs w:val="36"/>
    </w:rPr>
  </w:style>
  <w:style w:type="paragraph" w:customStyle="1" w:styleId="327">
    <w:name w:val="heading 3_file_1733"/>
    <w:basedOn w:val="324"/>
    <w:qFormat/>
    <w:uiPriority w:val="9"/>
    <w:pPr>
      <w:outlineLvl w:val="2"/>
    </w:pPr>
    <w:rPr>
      <w:sz w:val="27"/>
      <w:szCs w:val="27"/>
    </w:rPr>
  </w:style>
  <w:style w:type="paragraph" w:customStyle="1" w:styleId="328">
    <w:name w:val="heading 4_file_1733"/>
    <w:basedOn w:val="324"/>
    <w:qFormat/>
    <w:uiPriority w:val="9"/>
    <w:pPr>
      <w:outlineLvl w:val="3"/>
    </w:pPr>
  </w:style>
  <w:style w:type="paragraph" w:customStyle="1" w:styleId="329">
    <w:name w:val="heading 5_file_1733"/>
    <w:basedOn w:val="324"/>
    <w:qFormat/>
    <w:uiPriority w:val="9"/>
    <w:pPr>
      <w:outlineLvl w:val="4"/>
    </w:pPr>
    <w:rPr>
      <w:sz w:val="20"/>
      <w:szCs w:val="20"/>
    </w:rPr>
  </w:style>
  <w:style w:type="paragraph" w:customStyle="1" w:styleId="330">
    <w:name w:val="heading 6_file_1733"/>
    <w:basedOn w:val="324"/>
    <w:qFormat/>
    <w:uiPriority w:val="9"/>
    <w:pPr>
      <w:outlineLvl w:val="5"/>
    </w:pPr>
    <w:rPr>
      <w:sz w:val="15"/>
      <w:szCs w:val="15"/>
    </w:rPr>
  </w:style>
  <w:style w:type="character" w:customStyle="1" w:styleId="331">
    <w:name w:val="Default Paragraph Font_file_1733"/>
    <w:semiHidden/>
    <w:unhideWhenUsed/>
    <w:qFormat/>
    <w:uiPriority w:val="1"/>
  </w:style>
  <w:style w:type="table" w:customStyle="1" w:styleId="332">
    <w:name w:val="Normal Table_file_1733"/>
    <w:semiHidden/>
    <w:unhideWhenUsed/>
    <w:qFormat/>
    <w:uiPriority w:val="99"/>
    <w:tblPr>
      <w:tblCellMar>
        <w:top w:w="0" w:type="dxa"/>
        <w:left w:w="108" w:type="dxa"/>
        <w:bottom w:w="0" w:type="dxa"/>
        <w:right w:w="108" w:type="dxa"/>
      </w:tblCellMar>
    </w:tblPr>
  </w:style>
  <w:style w:type="character" w:customStyle="1" w:styleId="333">
    <w:name w:val="Hyperlink_file_1733"/>
    <w:basedOn w:val="331"/>
    <w:semiHidden/>
    <w:unhideWhenUsed/>
    <w:qFormat/>
    <w:uiPriority w:val="99"/>
    <w:rPr>
      <w:color w:val="0782C1"/>
      <w:u w:val="single"/>
    </w:rPr>
  </w:style>
  <w:style w:type="character" w:customStyle="1" w:styleId="334">
    <w:name w:val="FollowedHyperlink_file_1733"/>
    <w:basedOn w:val="331"/>
    <w:semiHidden/>
    <w:unhideWhenUsed/>
    <w:qFormat/>
    <w:uiPriority w:val="99"/>
    <w:rPr>
      <w:color w:val="0782C1"/>
      <w:u w:val="single"/>
    </w:rPr>
  </w:style>
  <w:style w:type="character" w:customStyle="1" w:styleId="335">
    <w:name w:val="标题 1 Char_file_1733"/>
    <w:basedOn w:val="331"/>
    <w:link w:val="3"/>
    <w:qFormat/>
    <w:uiPriority w:val="9"/>
    <w:rPr>
      <w:rFonts w:ascii="宋体" w:hAnsi="宋体" w:eastAsia="宋体" w:cs="宋体"/>
      <w:b/>
      <w:bCs/>
      <w:kern w:val="44"/>
      <w:sz w:val="44"/>
      <w:szCs w:val="44"/>
    </w:rPr>
  </w:style>
  <w:style w:type="character" w:customStyle="1" w:styleId="336">
    <w:name w:val="标题 2 Char_file_1733"/>
    <w:basedOn w:val="331"/>
    <w:link w:val="4"/>
    <w:semiHidden/>
    <w:qFormat/>
    <w:uiPriority w:val="9"/>
    <w:rPr>
      <w:rFonts w:asciiTheme="majorHAnsi" w:hAnsiTheme="majorHAnsi" w:eastAsiaTheme="majorEastAsia" w:cstheme="majorBidi"/>
      <w:b/>
      <w:bCs/>
      <w:sz w:val="32"/>
      <w:szCs w:val="32"/>
    </w:rPr>
  </w:style>
  <w:style w:type="character" w:customStyle="1" w:styleId="337">
    <w:name w:val="标题 3 Char_file_1733"/>
    <w:basedOn w:val="331"/>
    <w:link w:val="5"/>
    <w:semiHidden/>
    <w:qFormat/>
    <w:uiPriority w:val="9"/>
    <w:rPr>
      <w:rFonts w:ascii="宋体" w:hAnsi="宋体" w:eastAsia="宋体" w:cs="宋体"/>
      <w:b/>
      <w:bCs/>
      <w:sz w:val="32"/>
      <w:szCs w:val="32"/>
    </w:rPr>
  </w:style>
  <w:style w:type="character" w:customStyle="1" w:styleId="338">
    <w:name w:val="标题 4 Char_file_1733"/>
    <w:basedOn w:val="331"/>
    <w:link w:val="6"/>
    <w:semiHidden/>
    <w:qFormat/>
    <w:uiPriority w:val="9"/>
    <w:rPr>
      <w:rFonts w:asciiTheme="majorHAnsi" w:hAnsiTheme="majorHAnsi" w:eastAsiaTheme="majorEastAsia" w:cstheme="majorBidi"/>
      <w:b/>
      <w:bCs/>
      <w:sz w:val="28"/>
      <w:szCs w:val="28"/>
    </w:rPr>
  </w:style>
  <w:style w:type="character" w:customStyle="1" w:styleId="339">
    <w:name w:val="标题 5 Char_file_1733"/>
    <w:basedOn w:val="331"/>
    <w:link w:val="7"/>
    <w:semiHidden/>
    <w:qFormat/>
    <w:uiPriority w:val="9"/>
    <w:rPr>
      <w:rFonts w:ascii="宋体" w:hAnsi="宋体" w:eastAsia="宋体" w:cs="宋体"/>
      <w:b/>
      <w:bCs/>
      <w:sz w:val="28"/>
      <w:szCs w:val="28"/>
    </w:rPr>
  </w:style>
  <w:style w:type="character" w:customStyle="1" w:styleId="340">
    <w:name w:val="标题 6 Char_file_1733"/>
    <w:basedOn w:val="331"/>
    <w:link w:val="9"/>
    <w:semiHidden/>
    <w:qFormat/>
    <w:uiPriority w:val="9"/>
    <w:rPr>
      <w:rFonts w:asciiTheme="majorHAnsi" w:hAnsiTheme="majorHAnsi" w:eastAsiaTheme="majorEastAsia" w:cstheme="majorBidi"/>
      <w:b/>
      <w:bCs/>
      <w:sz w:val="24"/>
      <w:szCs w:val="24"/>
    </w:rPr>
  </w:style>
  <w:style w:type="paragraph" w:customStyle="1" w:styleId="341">
    <w:name w:val="cke_editable_file_1733"/>
    <w:basedOn w:val="324"/>
    <w:qFormat/>
    <w:uiPriority w:val="0"/>
    <w:rPr>
      <w:rFonts w:ascii="仿宋_GB2312" w:eastAsia="仿宋_GB2312"/>
    </w:rPr>
  </w:style>
  <w:style w:type="paragraph" w:customStyle="1" w:styleId="342">
    <w:name w:val="marker_file_1733"/>
    <w:basedOn w:val="324"/>
    <w:qFormat/>
    <w:uiPriority w:val="0"/>
    <w:pPr>
      <w:shd w:val="clear" w:color="auto" w:fill="FFFF00"/>
    </w:pPr>
  </w:style>
  <w:style w:type="paragraph" w:customStyle="1" w:styleId="343">
    <w:name w:val="Normal (Web)_file_1733"/>
    <w:basedOn w:val="324"/>
    <w:semiHidden/>
    <w:unhideWhenUsed/>
    <w:qFormat/>
    <w:uiPriority w:val="99"/>
  </w:style>
  <w:style w:type="paragraph" w:customStyle="1" w:styleId="344">
    <w:name w:val="Normal_file_173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45">
    <w:name w:val="heading 1_file_1734"/>
    <w:basedOn w:val="344"/>
    <w:qFormat/>
    <w:uiPriority w:val="9"/>
    <w:pPr>
      <w:outlineLvl w:val="0"/>
    </w:pPr>
    <w:rPr>
      <w:kern w:val="36"/>
      <w:sz w:val="48"/>
      <w:szCs w:val="48"/>
    </w:rPr>
  </w:style>
  <w:style w:type="paragraph" w:customStyle="1" w:styleId="346">
    <w:name w:val="heading 2_file_1734"/>
    <w:basedOn w:val="344"/>
    <w:qFormat/>
    <w:uiPriority w:val="9"/>
    <w:pPr>
      <w:outlineLvl w:val="1"/>
    </w:pPr>
    <w:rPr>
      <w:sz w:val="36"/>
      <w:szCs w:val="36"/>
    </w:rPr>
  </w:style>
  <w:style w:type="paragraph" w:customStyle="1" w:styleId="347">
    <w:name w:val="heading 3_file_1734"/>
    <w:basedOn w:val="344"/>
    <w:qFormat/>
    <w:uiPriority w:val="9"/>
    <w:pPr>
      <w:outlineLvl w:val="2"/>
    </w:pPr>
    <w:rPr>
      <w:sz w:val="27"/>
      <w:szCs w:val="27"/>
    </w:rPr>
  </w:style>
  <w:style w:type="paragraph" w:customStyle="1" w:styleId="348">
    <w:name w:val="heading 4_file_1734"/>
    <w:basedOn w:val="344"/>
    <w:qFormat/>
    <w:uiPriority w:val="9"/>
    <w:pPr>
      <w:outlineLvl w:val="3"/>
    </w:pPr>
  </w:style>
  <w:style w:type="paragraph" w:customStyle="1" w:styleId="349">
    <w:name w:val="heading 5_file_1734"/>
    <w:basedOn w:val="344"/>
    <w:qFormat/>
    <w:uiPriority w:val="9"/>
    <w:pPr>
      <w:outlineLvl w:val="4"/>
    </w:pPr>
    <w:rPr>
      <w:sz w:val="20"/>
      <w:szCs w:val="20"/>
    </w:rPr>
  </w:style>
  <w:style w:type="paragraph" w:customStyle="1" w:styleId="350">
    <w:name w:val="heading 6_file_1734"/>
    <w:basedOn w:val="344"/>
    <w:qFormat/>
    <w:uiPriority w:val="9"/>
    <w:pPr>
      <w:outlineLvl w:val="5"/>
    </w:pPr>
    <w:rPr>
      <w:sz w:val="15"/>
      <w:szCs w:val="15"/>
    </w:rPr>
  </w:style>
  <w:style w:type="character" w:customStyle="1" w:styleId="351">
    <w:name w:val="Default Paragraph Font_file_1734"/>
    <w:semiHidden/>
    <w:unhideWhenUsed/>
    <w:qFormat/>
    <w:uiPriority w:val="1"/>
  </w:style>
  <w:style w:type="table" w:customStyle="1" w:styleId="352">
    <w:name w:val="Normal Table_file_1734"/>
    <w:semiHidden/>
    <w:unhideWhenUsed/>
    <w:qFormat/>
    <w:uiPriority w:val="99"/>
    <w:tblPr>
      <w:tblCellMar>
        <w:top w:w="0" w:type="dxa"/>
        <w:left w:w="108" w:type="dxa"/>
        <w:bottom w:w="0" w:type="dxa"/>
        <w:right w:w="108" w:type="dxa"/>
      </w:tblCellMar>
    </w:tblPr>
  </w:style>
  <w:style w:type="character" w:customStyle="1" w:styleId="353">
    <w:name w:val="Hyperlink_file_1734"/>
    <w:basedOn w:val="351"/>
    <w:semiHidden/>
    <w:unhideWhenUsed/>
    <w:qFormat/>
    <w:uiPriority w:val="99"/>
    <w:rPr>
      <w:color w:val="0782C1"/>
      <w:u w:val="single"/>
    </w:rPr>
  </w:style>
  <w:style w:type="character" w:customStyle="1" w:styleId="354">
    <w:name w:val="FollowedHyperlink_file_1734"/>
    <w:basedOn w:val="351"/>
    <w:semiHidden/>
    <w:unhideWhenUsed/>
    <w:qFormat/>
    <w:uiPriority w:val="99"/>
    <w:rPr>
      <w:color w:val="0782C1"/>
      <w:u w:val="single"/>
    </w:rPr>
  </w:style>
  <w:style w:type="character" w:customStyle="1" w:styleId="355">
    <w:name w:val="标题 1 Char_file_1734"/>
    <w:basedOn w:val="351"/>
    <w:link w:val="3"/>
    <w:qFormat/>
    <w:uiPriority w:val="9"/>
    <w:rPr>
      <w:rFonts w:ascii="宋体" w:hAnsi="宋体" w:eastAsia="宋体" w:cs="宋体"/>
      <w:b/>
      <w:bCs/>
      <w:kern w:val="44"/>
      <w:sz w:val="44"/>
      <w:szCs w:val="44"/>
    </w:rPr>
  </w:style>
  <w:style w:type="character" w:customStyle="1" w:styleId="356">
    <w:name w:val="标题 2 Char_file_1734"/>
    <w:basedOn w:val="351"/>
    <w:link w:val="4"/>
    <w:semiHidden/>
    <w:qFormat/>
    <w:uiPriority w:val="9"/>
    <w:rPr>
      <w:rFonts w:asciiTheme="majorHAnsi" w:hAnsiTheme="majorHAnsi" w:eastAsiaTheme="majorEastAsia" w:cstheme="majorBidi"/>
      <w:b/>
      <w:bCs/>
      <w:sz w:val="32"/>
      <w:szCs w:val="32"/>
    </w:rPr>
  </w:style>
  <w:style w:type="character" w:customStyle="1" w:styleId="357">
    <w:name w:val="标题 3 Char_file_1734"/>
    <w:basedOn w:val="351"/>
    <w:link w:val="5"/>
    <w:semiHidden/>
    <w:qFormat/>
    <w:uiPriority w:val="9"/>
    <w:rPr>
      <w:rFonts w:ascii="宋体" w:hAnsi="宋体" w:eastAsia="宋体" w:cs="宋体"/>
      <w:b/>
      <w:bCs/>
      <w:sz w:val="32"/>
      <w:szCs w:val="32"/>
    </w:rPr>
  </w:style>
  <w:style w:type="character" w:customStyle="1" w:styleId="358">
    <w:name w:val="标题 4 Char_file_1734"/>
    <w:basedOn w:val="351"/>
    <w:link w:val="6"/>
    <w:semiHidden/>
    <w:qFormat/>
    <w:uiPriority w:val="9"/>
    <w:rPr>
      <w:rFonts w:asciiTheme="majorHAnsi" w:hAnsiTheme="majorHAnsi" w:eastAsiaTheme="majorEastAsia" w:cstheme="majorBidi"/>
      <w:b/>
      <w:bCs/>
      <w:sz w:val="28"/>
      <w:szCs w:val="28"/>
    </w:rPr>
  </w:style>
  <w:style w:type="character" w:customStyle="1" w:styleId="359">
    <w:name w:val="标题 5 Char_file_1734"/>
    <w:basedOn w:val="351"/>
    <w:link w:val="7"/>
    <w:semiHidden/>
    <w:qFormat/>
    <w:uiPriority w:val="9"/>
    <w:rPr>
      <w:rFonts w:ascii="宋体" w:hAnsi="宋体" w:eastAsia="宋体" w:cs="宋体"/>
      <w:b/>
      <w:bCs/>
      <w:sz w:val="28"/>
      <w:szCs w:val="28"/>
    </w:rPr>
  </w:style>
  <w:style w:type="character" w:customStyle="1" w:styleId="360">
    <w:name w:val="标题 6 Char_file_1734"/>
    <w:basedOn w:val="351"/>
    <w:link w:val="9"/>
    <w:semiHidden/>
    <w:qFormat/>
    <w:uiPriority w:val="9"/>
    <w:rPr>
      <w:rFonts w:asciiTheme="majorHAnsi" w:hAnsiTheme="majorHAnsi" w:eastAsiaTheme="majorEastAsia" w:cstheme="majorBidi"/>
      <w:b/>
      <w:bCs/>
      <w:sz w:val="24"/>
      <w:szCs w:val="24"/>
    </w:rPr>
  </w:style>
  <w:style w:type="paragraph" w:customStyle="1" w:styleId="361">
    <w:name w:val="cke_editable_file_1734"/>
    <w:basedOn w:val="344"/>
    <w:qFormat/>
    <w:uiPriority w:val="0"/>
    <w:rPr>
      <w:rFonts w:ascii="仿宋_GB2312" w:eastAsia="仿宋_GB2312"/>
    </w:rPr>
  </w:style>
  <w:style w:type="paragraph" w:customStyle="1" w:styleId="362">
    <w:name w:val="marker_file_1734"/>
    <w:basedOn w:val="344"/>
    <w:qFormat/>
    <w:uiPriority w:val="0"/>
    <w:pPr>
      <w:shd w:val="clear" w:color="auto" w:fill="FFFF00"/>
    </w:pPr>
  </w:style>
  <w:style w:type="paragraph" w:customStyle="1" w:styleId="363">
    <w:name w:val="Normal (Web)_file_1734"/>
    <w:basedOn w:val="344"/>
    <w:semiHidden/>
    <w:unhideWhenUsed/>
    <w:qFormat/>
    <w:uiPriority w:val="99"/>
  </w:style>
  <w:style w:type="character" w:customStyle="1" w:styleId="364">
    <w:name w:val="Emphasis_file_1734"/>
    <w:basedOn w:val="351"/>
    <w:qFormat/>
    <w:uiPriority w:val="20"/>
    <w:rPr>
      <w:i/>
      <w:iCs/>
    </w:rPr>
  </w:style>
  <w:style w:type="character" w:customStyle="1" w:styleId="365">
    <w:name w:val="Default Paragraph Font_file_1735"/>
    <w:semiHidden/>
    <w:unhideWhenUsed/>
    <w:qFormat/>
    <w:uiPriority w:val="1"/>
  </w:style>
  <w:style w:type="table" w:customStyle="1" w:styleId="366">
    <w:name w:val="Normal Table_file_1735"/>
    <w:semiHidden/>
    <w:unhideWhenUsed/>
    <w:qFormat/>
    <w:uiPriority w:val="99"/>
    <w:tblPr>
      <w:tblCellMar>
        <w:top w:w="0" w:type="dxa"/>
        <w:left w:w="108" w:type="dxa"/>
        <w:bottom w:w="0" w:type="dxa"/>
        <w:right w:w="108" w:type="dxa"/>
      </w:tblCellMar>
    </w:tblPr>
  </w:style>
  <w:style w:type="character" w:customStyle="1" w:styleId="367">
    <w:name w:val="批注文字 字符_file_1735"/>
    <w:qFormat/>
    <w:uiPriority w:val="99"/>
    <w:rPr>
      <w:szCs w:val="24"/>
    </w:rPr>
  </w:style>
  <w:style w:type="character" w:customStyle="1" w:styleId="368">
    <w:name w:val="纯文本 字符_file_1735"/>
    <w:qFormat/>
    <w:uiPriority w:val="0"/>
    <w:rPr>
      <w:rFonts w:ascii="宋体" w:hAnsi="Courier New" w:eastAsia="宋体" w:cs="Courier New"/>
      <w:szCs w:val="21"/>
    </w:rPr>
  </w:style>
  <w:style w:type="paragraph" w:customStyle="1" w:styleId="369">
    <w:name w:val="annotation text_file_1735"/>
    <w:basedOn w:val="53"/>
    <w:unhideWhenUsed/>
    <w:qFormat/>
    <w:uiPriority w:val="99"/>
    <w:pPr>
      <w:jc w:val="left"/>
    </w:pPr>
    <w:rPr>
      <w:szCs w:val="24"/>
    </w:rPr>
  </w:style>
  <w:style w:type="character" w:customStyle="1" w:styleId="370">
    <w:name w:val="批注文字 字符1_file_1735"/>
    <w:basedOn w:val="365"/>
    <w:semiHidden/>
    <w:qFormat/>
    <w:uiPriority w:val="99"/>
  </w:style>
  <w:style w:type="character" w:customStyle="1" w:styleId="371">
    <w:name w:val="纯文本 字符1_file_1735"/>
    <w:basedOn w:val="365"/>
    <w:semiHidden/>
    <w:qFormat/>
    <w:uiPriority w:val="99"/>
    <w:rPr>
      <w:rFonts w:hAnsi="Courier New" w:cs="Courier New" w:asciiTheme="minorEastAsia"/>
    </w:rPr>
  </w:style>
  <w:style w:type="character" w:customStyle="1" w:styleId="372">
    <w:name w:val="批注框文本 字符_file_1735"/>
    <w:basedOn w:val="365"/>
    <w:semiHidden/>
    <w:qFormat/>
    <w:uiPriority w:val="99"/>
    <w:rPr>
      <w:sz w:val="18"/>
      <w:szCs w:val="18"/>
    </w:rPr>
  </w:style>
  <w:style w:type="character" w:customStyle="1" w:styleId="373">
    <w:name w:val="页眉 字符_file_1735"/>
    <w:basedOn w:val="365"/>
    <w:qFormat/>
    <w:uiPriority w:val="99"/>
    <w:rPr>
      <w:sz w:val="18"/>
      <w:szCs w:val="18"/>
    </w:rPr>
  </w:style>
  <w:style w:type="paragraph" w:customStyle="1" w:styleId="374">
    <w:name w:val="footer_file_1735"/>
    <w:basedOn w:val="53"/>
    <w:unhideWhenUsed/>
    <w:qFormat/>
    <w:uiPriority w:val="99"/>
    <w:pPr>
      <w:tabs>
        <w:tab w:val="center" w:pos="4153"/>
        <w:tab w:val="right" w:pos="8306"/>
      </w:tabs>
      <w:snapToGrid w:val="0"/>
      <w:jc w:val="left"/>
    </w:pPr>
    <w:rPr>
      <w:sz w:val="18"/>
      <w:szCs w:val="18"/>
    </w:rPr>
  </w:style>
  <w:style w:type="character" w:customStyle="1" w:styleId="375">
    <w:name w:val="页脚 字符_file_1735"/>
    <w:basedOn w:val="365"/>
    <w:qFormat/>
    <w:uiPriority w:val="99"/>
    <w:rPr>
      <w:sz w:val="18"/>
      <w:szCs w:val="18"/>
    </w:rPr>
  </w:style>
  <w:style w:type="paragraph" w:customStyle="1" w:styleId="376">
    <w:name w:val="Normal_file_173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77">
    <w:name w:val="heading 1_file_1736"/>
    <w:basedOn w:val="376"/>
    <w:qFormat/>
    <w:uiPriority w:val="9"/>
    <w:pPr>
      <w:outlineLvl w:val="0"/>
    </w:pPr>
    <w:rPr>
      <w:kern w:val="36"/>
      <w:sz w:val="48"/>
      <w:szCs w:val="48"/>
    </w:rPr>
  </w:style>
  <w:style w:type="paragraph" w:customStyle="1" w:styleId="378">
    <w:name w:val="heading 2_file_1736"/>
    <w:basedOn w:val="376"/>
    <w:qFormat/>
    <w:uiPriority w:val="9"/>
    <w:pPr>
      <w:outlineLvl w:val="1"/>
    </w:pPr>
    <w:rPr>
      <w:sz w:val="36"/>
      <w:szCs w:val="36"/>
    </w:rPr>
  </w:style>
  <w:style w:type="paragraph" w:customStyle="1" w:styleId="379">
    <w:name w:val="heading 3_file_1736"/>
    <w:basedOn w:val="376"/>
    <w:qFormat/>
    <w:uiPriority w:val="9"/>
    <w:pPr>
      <w:outlineLvl w:val="2"/>
    </w:pPr>
    <w:rPr>
      <w:sz w:val="27"/>
      <w:szCs w:val="27"/>
    </w:rPr>
  </w:style>
  <w:style w:type="paragraph" w:customStyle="1" w:styleId="380">
    <w:name w:val="heading 4_file_1736"/>
    <w:basedOn w:val="376"/>
    <w:qFormat/>
    <w:uiPriority w:val="9"/>
    <w:pPr>
      <w:outlineLvl w:val="3"/>
    </w:pPr>
  </w:style>
  <w:style w:type="paragraph" w:customStyle="1" w:styleId="381">
    <w:name w:val="heading 5_file_1736"/>
    <w:basedOn w:val="376"/>
    <w:qFormat/>
    <w:uiPriority w:val="9"/>
    <w:pPr>
      <w:outlineLvl w:val="4"/>
    </w:pPr>
    <w:rPr>
      <w:sz w:val="20"/>
      <w:szCs w:val="20"/>
    </w:rPr>
  </w:style>
  <w:style w:type="paragraph" w:customStyle="1" w:styleId="382">
    <w:name w:val="heading 6_file_1736"/>
    <w:basedOn w:val="376"/>
    <w:qFormat/>
    <w:uiPriority w:val="9"/>
    <w:pPr>
      <w:outlineLvl w:val="5"/>
    </w:pPr>
    <w:rPr>
      <w:sz w:val="15"/>
      <w:szCs w:val="15"/>
    </w:rPr>
  </w:style>
  <w:style w:type="character" w:customStyle="1" w:styleId="383">
    <w:name w:val="Default Paragraph Font_file_1736"/>
    <w:semiHidden/>
    <w:unhideWhenUsed/>
    <w:qFormat/>
    <w:uiPriority w:val="1"/>
  </w:style>
  <w:style w:type="table" w:customStyle="1" w:styleId="384">
    <w:name w:val="Normal Table_file_1736"/>
    <w:semiHidden/>
    <w:unhideWhenUsed/>
    <w:qFormat/>
    <w:uiPriority w:val="99"/>
    <w:tblPr>
      <w:tblCellMar>
        <w:top w:w="0" w:type="dxa"/>
        <w:left w:w="108" w:type="dxa"/>
        <w:bottom w:w="0" w:type="dxa"/>
        <w:right w:w="108" w:type="dxa"/>
      </w:tblCellMar>
    </w:tblPr>
  </w:style>
  <w:style w:type="character" w:customStyle="1" w:styleId="385">
    <w:name w:val="Hyperlink_file_1736"/>
    <w:basedOn w:val="383"/>
    <w:semiHidden/>
    <w:unhideWhenUsed/>
    <w:qFormat/>
    <w:uiPriority w:val="99"/>
    <w:rPr>
      <w:color w:val="0782C1"/>
      <w:u w:val="single"/>
    </w:rPr>
  </w:style>
  <w:style w:type="character" w:customStyle="1" w:styleId="386">
    <w:name w:val="FollowedHyperlink_file_1736"/>
    <w:basedOn w:val="383"/>
    <w:semiHidden/>
    <w:unhideWhenUsed/>
    <w:qFormat/>
    <w:uiPriority w:val="99"/>
    <w:rPr>
      <w:color w:val="0782C1"/>
      <w:u w:val="single"/>
    </w:rPr>
  </w:style>
  <w:style w:type="character" w:customStyle="1" w:styleId="387">
    <w:name w:val="标题 1 Char_file_1736"/>
    <w:basedOn w:val="383"/>
    <w:link w:val="3"/>
    <w:qFormat/>
    <w:uiPriority w:val="9"/>
    <w:rPr>
      <w:rFonts w:ascii="宋体" w:hAnsi="宋体" w:eastAsia="宋体" w:cs="宋体"/>
      <w:b/>
      <w:bCs/>
      <w:kern w:val="44"/>
      <w:sz w:val="44"/>
      <w:szCs w:val="44"/>
    </w:rPr>
  </w:style>
  <w:style w:type="character" w:customStyle="1" w:styleId="388">
    <w:name w:val="标题 2 Char_file_1736"/>
    <w:basedOn w:val="383"/>
    <w:link w:val="4"/>
    <w:semiHidden/>
    <w:qFormat/>
    <w:uiPriority w:val="9"/>
    <w:rPr>
      <w:rFonts w:asciiTheme="majorHAnsi" w:hAnsiTheme="majorHAnsi" w:eastAsiaTheme="majorEastAsia" w:cstheme="majorBidi"/>
      <w:b/>
      <w:bCs/>
      <w:sz w:val="32"/>
      <w:szCs w:val="32"/>
    </w:rPr>
  </w:style>
  <w:style w:type="character" w:customStyle="1" w:styleId="389">
    <w:name w:val="标题 3 Char_file_1736"/>
    <w:basedOn w:val="383"/>
    <w:link w:val="5"/>
    <w:semiHidden/>
    <w:qFormat/>
    <w:uiPriority w:val="9"/>
    <w:rPr>
      <w:rFonts w:ascii="宋体" w:hAnsi="宋体" w:eastAsia="宋体" w:cs="宋体"/>
      <w:b/>
      <w:bCs/>
      <w:sz w:val="32"/>
      <w:szCs w:val="32"/>
    </w:rPr>
  </w:style>
  <w:style w:type="character" w:customStyle="1" w:styleId="390">
    <w:name w:val="标题 4 Char_file_1736"/>
    <w:basedOn w:val="383"/>
    <w:link w:val="6"/>
    <w:semiHidden/>
    <w:qFormat/>
    <w:uiPriority w:val="9"/>
    <w:rPr>
      <w:rFonts w:asciiTheme="majorHAnsi" w:hAnsiTheme="majorHAnsi" w:eastAsiaTheme="majorEastAsia" w:cstheme="majorBidi"/>
      <w:b/>
      <w:bCs/>
      <w:sz w:val="28"/>
      <w:szCs w:val="28"/>
    </w:rPr>
  </w:style>
  <w:style w:type="character" w:customStyle="1" w:styleId="391">
    <w:name w:val="标题 5 Char_file_1736"/>
    <w:basedOn w:val="383"/>
    <w:link w:val="7"/>
    <w:semiHidden/>
    <w:qFormat/>
    <w:uiPriority w:val="9"/>
    <w:rPr>
      <w:rFonts w:ascii="宋体" w:hAnsi="宋体" w:eastAsia="宋体" w:cs="宋体"/>
      <w:b/>
      <w:bCs/>
      <w:sz w:val="28"/>
      <w:szCs w:val="28"/>
    </w:rPr>
  </w:style>
  <w:style w:type="character" w:customStyle="1" w:styleId="392">
    <w:name w:val="标题 6 Char_file_1736"/>
    <w:basedOn w:val="383"/>
    <w:link w:val="9"/>
    <w:semiHidden/>
    <w:qFormat/>
    <w:uiPriority w:val="9"/>
    <w:rPr>
      <w:rFonts w:asciiTheme="majorHAnsi" w:hAnsiTheme="majorHAnsi" w:eastAsiaTheme="majorEastAsia" w:cstheme="majorBidi"/>
      <w:b/>
      <w:bCs/>
      <w:sz w:val="24"/>
      <w:szCs w:val="24"/>
    </w:rPr>
  </w:style>
  <w:style w:type="paragraph" w:customStyle="1" w:styleId="393">
    <w:name w:val="cke_editable_file_1736"/>
    <w:basedOn w:val="376"/>
    <w:qFormat/>
    <w:uiPriority w:val="0"/>
    <w:rPr>
      <w:rFonts w:ascii="仿宋_GB2312" w:eastAsia="仿宋_GB2312"/>
    </w:rPr>
  </w:style>
  <w:style w:type="paragraph" w:customStyle="1" w:styleId="394">
    <w:name w:val="marker_file_1736"/>
    <w:basedOn w:val="376"/>
    <w:qFormat/>
    <w:uiPriority w:val="0"/>
    <w:pPr>
      <w:shd w:val="clear" w:color="auto" w:fill="FFFF00"/>
    </w:pPr>
  </w:style>
  <w:style w:type="paragraph" w:customStyle="1" w:styleId="395">
    <w:name w:val="Normal (Web)_file_1736"/>
    <w:basedOn w:val="376"/>
    <w:semiHidden/>
    <w:unhideWhenUsed/>
    <w:qFormat/>
    <w:uiPriority w:val="99"/>
  </w:style>
  <w:style w:type="paragraph" w:customStyle="1" w:styleId="396">
    <w:name w:val="Normal_file_1737"/>
    <w:qFormat/>
    <w:uiPriority w:val="0"/>
    <w:pPr>
      <w:widowControl w:val="0"/>
      <w:jc w:val="both"/>
    </w:pPr>
    <w:rPr>
      <w:rFonts w:ascii="Times New Roman" w:hAnsi="Times New Roman" w:eastAsia="宋体" w:cs="Times New Roman"/>
      <w:szCs w:val="24"/>
      <w:lang w:val="en-US" w:eastAsia="zh-CN" w:bidi="ar-SA"/>
    </w:rPr>
  </w:style>
  <w:style w:type="character" w:customStyle="1" w:styleId="397">
    <w:name w:val="Default Paragraph Font_file_1737"/>
    <w:semiHidden/>
    <w:unhideWhenUsed/>
    <w:qFormat/>
    <w:uiPriority w:val="1"/>
  </w:style>
  <w:style w:type="table" w:customStyle="1" w:styleId="398">
    <w:name w:val="Normal Table_file_1737"/>
    <w:semiHidden/>
    <w:unhideWhenUsed/>
    <w:qFormat/>
    <w:uiPriority w:val="99"/>
    <w:tblPr>
      <w:tblCellMar>
        <w:top w:w="0" w:type="dxa"/>
        <w:left w:w="108" w:type="dxa"/>
        <w:bottom w:w="0" w:type="dxa"/>
        <w:right w:w="108" w:type="dxa"/>
      </w:tblCellMar>
    </w:tblPr>
  </w:style>
  <w:style w:type="paragraph" w:customStyle="1" w:styleId="399">
    <w:name w:val="Normal_file_1728_file_173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00">
    <w:name w:val="heading 1_file_1728_file_1737"/>
    <w:basedOn w:val="399"/>
    <w:qFormat/>
    <w:uiPriority w:val="9"/>
    <w:pPr>
      <w:outlineLvl w:val="0"/>
    </w:pPr>
    <w:rPr>
      <w:kern w:val="36"/>
      <w:sz w:val="48"/>
      <w:szCs w:val="48"/>
    </w:rPr>
  </w:style>
  <w:style w:type="paragraph" w:customStyle="1" w:styleId="401">
    <w:name w:val="heading 2_file_1728_file_1737"/>
    <w:basedOn w:val="399"/>
    <w:qFormat/>
    <w:uiPriority w:val="9"/>
    <w:pPr>
      <w:outlineLvl w:val="1"/>
    </w:pPr>
    <w:rPr>
      <w:sz w:val="36"/>
      <w:szCs w:val="36"/>
    </w:rPr>
  </w:style>
  <w:style w:type="paragraph" w:customStyle="1" w:styleId="402">
    <w:name w:val="heading 3_file_1728_file_1737"/>
    <w:basedOn w:val="399"/>
    <w:qFormat/>
    <w:uiPriority w:val="9"/>
    <w:pPr>
      <w:outlineLvl w:val="2"/>
    </w:pPr>
    <w:rPr>
      <w:sz w:val="27"/>
      <w:szCs w:val="27"/>
    </w:rPr>
  </w:style>
  <w:style w:type="paragraph" w:customStyle="1" w:styleId="403">
    <w:name w:val="heading 4_file_1728_file_1737"/>
    <w:basedOn w:val="399"/>
    <w:qFormat/>
    <w:uiPriority w:val="9"/>
    <w:pPr>
      <w:outlineLvl w:val="3"/>
    </w:pPr>
  </w:style>
  <w:style w:type="paragraph" w:customStyle="1" w:styleId="404">
    <w:name w:val="heading 5_file_1728_file_1737"/>
    <w:basedOn w:val="399"/>
    <w:qFormat/>
    <w:uiPriority w:val="9"/>
    <w:pPr>
      <w:outlineLvl w:val="4"/>
    </w:pPr>
    <w:rPr>
      <w:sz w:val="20"/>
      <w:szCs w:val="20"/>
    </w:rPr>
  </w:style>
  <w:style w:type="paragraph" w:customStyle="1" w:styleId="405">
    <w:name w:val="heading 6_file_1728_file_1737"/>
    <w:basedOn w:val="399"/>
    <w:qFormat/>
    <w:uiPriority w:val="9"/>
    <w:pPr>
      <w:outlineLvl w:val="5"/>
    </w:pPr>
    <w:rPr>
      <w:sz w:val="15"/>
      <w:szCs w:val="15"/>
    </w:rPr>
  </w:style>
  <w:style w:type="character" w:customStyle="1" w:styleId="406">
    <w:name w:val="Default Paragraph Font_file_1728_file_1737"/>
    <w:semiHidden/>
    <w:unhideWhenUsed/>
    <w:qFormat/>
    <w:uiPriority w:val="1"/>
  </w:style>
  <w:style w:type="table" w:customStyle="1" w:styleId="407">
    <w:name w:val="Normal Table_file_1728_file_1737"/>
    <w:semiHidden/>
    <w:unhideWhenUsed/>
    <w:qFormat/>
    <w:uiPriority w:val="99"/>
    <w:tblPr>
      <w:tblCellMar>
        <w:top w:w="0" w:type="dxa"/>
        <w:left w:w="108" w:type="dxa"/>
        <w:bottom w:w="0" w:type="dxa"/>
        <w:right w:w="108" w:type="dxa"/>
      </w:tblCellMar>
    </w:tblPr>
  </w:style>
  <w:style w:type="character" w:customStyle="1" w:styleId="408">
    <w:name w:val="Hyperlink_file_1728_file_1737"/>
    <w:basedOn w:val="406"/>
    <w:semiHidden/>
    <w:unhideWhenUsed/>
    <w:qFormat/>
    <w:uiPriority w:val="99"/>
    <w:rPr>
      <w:color w:val="0782C1"/>
      <w:u w:val="single"/>
    </w:rPr>
  </w:style>
  <w:style w:type="character" w:customStyle="1" w:styleId="409">
    <w:name w:val="FollowedHyperlink_file_1728_file_1737"/>
    <w:basedOn w:val="406"/>
    <w:semiHidden/>
    <w:unhideWhenUsed/>
    <w:qFormat/>
    <w:uiPriority w:val="99"/>
    <w:rPr>
      <w:color w:val="0782C1"/>
      <w:u w:val="single"/>
    </w:rPr>
  </w:style>
  <w:style w:type="character" w:customStyle="1" w:styleId="410">
    <w:name w:val="标题 1 Char_file_1728_file_1737"/>
    <w:basedOn w:val="406"/>
    <w:link w:val="3"/>
    <w:qFormat/>
    <w:uiPriority w:val="9"/>
    <w:rPr>
      <w:rFonts w:ascii="宋体" w:hAnsi="宋体" w:eastAsia="宋体" w:cs="宋体"/>
      <w:b/>
      <w:bCs/>
      <w:kern w:val="44"/>
      <w:sz w:val="44"/>
      <w:szCs w:val="44"/>
    </w:rPr>
  </w:style>
  <w:style w:type="character" w:customStyle="1" w:styleId="411">
    <w:name w:val="标题 2 Char_file_1728_file_1737"/>
    <w:basedOn w:val="406"/>
    <w:link w:val="4"/>
    <w:semiHidden/>
    <w:qFormat/>
    <w:uiPriority w:val="9"/>
    <w:rPr>
      <w:rFonts w:asciiTheme="majorHAnsi" w:hAnsiTheme="majorHAnsi" w:eastAsiaTheme="majorEastAsia" w:cstheme="majorBidi"/>
      <w:b/>
      <w:bCs/>
      <w:sz w:val="32"/>
      <w:szCs w:val="32"/>
    </w:rPr>
  </w:style>
  <w:style w:type="character" w:customStyle="1" w:styleId="412">
    <w:name w:val="标题 3 Char_file_1728_file_1737"/>
    <w:basedOn w:val="406"/>
    <w:link w:val="5"/>
    <w:semiHidden/>
    <w:qFormat/>
    <w:uiPriority w:val="9"/>
    <w:rPr>
      <w:rFonts w:ascii="宋体" w:hAnsi="宋体" w:eastAsia="宋体" w:cs="宋体"/>
      <w:b/>
      <w:bCs/>
      <w:sz w:val="32"/>
      <w:szCs w:val="32"/>
    </w:rPr>
  </w:style>
  <w:style w:type="character" w:customStyle="1" w:styleId="413">
    <w:name w:val="标题 4 Char_file_1728_file_1737"/>
    <w:basedOn w:val="406"/>
    <w:link w:val="6"/>
    <w:semiHidden/>
    <w:qFormat/>
    <w:uiPriority w:val="9"/>
    <w:rPr>
      <w:rFonts w:asciiTheme="majorHAnsi" w:hAnsiTheme="majorHAnsi" w:eastAsiaTheme="majorEastAsia" w:cstheme="majorBidi"/>
      <w:b/>
      <w:bCs/>
      <w:sz w:val="28"/>
      <w:szCs w:val="28"/>
    </w:rPr>
  </w:style>
  <w:style w:type="character" w:customStyle="1" w:styleId="414">
    <w:name w:val="标题 5 Char_file_1728_file_1737"/>
    <w:basedOn w:val="406"/>
    <w:link w:val="7"/>
    <w:semiHidden/>
    <w:qFormat/>
    <w:uiPriority w:val="9"/>
    <w:rPr>
      <w:rFonts w:ascii="宋体" w:hAnsi="宋体" w:eastAsia="宋体" w:cs="宋体"/>
      <w:b/>
      <w:bCs/>
      <w:sz w:val="28"/>
      <w:szCs w:val="28"/>
    </w:rPr>
  </w:style>
  <w:style w:type="character" w:customStyle="1" w:styleId="415">
    <w:name w:val="标题 6 Char_file_1728_file_1737"/>
    <w:basedOn w:val="406"/>
    <w:link w:val="9"/>
    <w:semiHidden/>
    <w:qFormat/>
    <w:uiPriority w:val="9"/>
    <w:rPr>
      <w:rFonts w:asciiTheme="majorHAnsi" w:hAnsiTheme="majorHAnsi" w:eastAsiaTheme="majorEastAsia" w:cstheme="majorBidi"/>
      <w:b/>
      <w:bCs/>
      <w:sz w:val="24"/>
      <w:szCs w:val="24"/>
    </w:rPr>
  </w:style>
  <w:style w:type="paragraph" w:customStyle="1" w:styleId="416">
    <w:name w:val="cke_editable_file_1728_file_1737"/>
    <w:basedOn w:val="399"/>
    <w:qFormat/>
    <w:uiPriority w:val="0"/>
    <w:rPr>
      <w:rFonts w:ascii="仿宋_GB2312" w:eastAsia="仿宋_GB2312"/>
    </w:rPr>
  </w:style>
  <w:style w:type="paragraph" w:customStyle="1" w:styleId="417">
    <w:name w:val="marker_file_1728_file_1737"/>
    <w:basedOn w:val="399"/>
    <w:qFormat/>
    <w:uiPriority w:val="0"/>
    <w:pPr>
      <w:shd w:val="clear" w:color="auto" w:fill="FFFF00"/>
    </w:pPr>
  </w:style>
  <w:style w:type="paragraph" w:customStyle="1" w:styleId="418">
    <w:name w:val="Normal (Web)_file_1728_file_1737"/>
    <w:basedOn w:val="399"/>
    <w:semiHidden/>
    <w:unhideWhenUsed/>
    <w:qFormat/>
    <w:uiPriority w:val="99"/>
  </w:style>
  <w:style w:type="paragraph" w:customStyle="1" w:styleId="419">
    <w:name w:val="Normal_file_173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20">
    <w:name w:val="heading 1_file_1738"/>
    <w:basedOn w:val="419"/>
    <w:qFormat/>
    <w:uiPriority w:val="9"/>
    <w:pPr>
      <w:outlineLvl w:val="0"/>
    </w:pPr>
    <w:rPr>
      <w:kern w:val="36"/>
      <w:sz w:val="48"/>
      <w:szCs w:val="48"/>
    </w:rPr>
  </w:style>
  <w:style w:type="paragraph" w:customStyle="1" w:styleId="421">
    <w:name w:val="heading 2_file_1738"/>
    <w:basedOn w:val="419"/>
    <w:qFormat/>
    <w:uiPriority w:val="9"/>
    <w:pPr>
      <w:outlineLvl w:val="1"/>
    </w:pPr>
    <w:rPr>
      <w:sz w:val="36"/>
      <w:szCs w:val="36"/>
    </w:rPr>
  </w:style>
  <w:style w:type="paragraph" w:customStyle="1" w:styleId="422">
    <w:name w:val="heading 3_file_1738"/>
    <w:basedOn w:val="419"/>
    <w:qFormat/>
    <w:uiPriority w:val="9"/>
    <w:pPr>
      <w:outlineLvl w:val="2"/>
    </w:pPr>
    <w:rPr>
      <w:sz w:val="27"/>
      <w:szCs w:val="27"/>
    </w:rPr>
  </w:style>
  <w:style w:type="paragraph" w:customStyle="1" w:styleId="423">
    <w:name w:val="heading 4_file_1738"/>
    <w:basedOn w:val="419"/>
    <w:qFormat/>
    <w:uiPriority w:val="9"/>
    <w:pPr>
      <w:outlineLvl w:val="3"/>
    </w:pPr>
  </w:style>
  <w:style w:type="paragraph" w:customStyle="1" w:styleId="424">
    <w:name w:val="heading 5_file_1738"/>
    <w:basedOn w:val="419"/>
    <w:qFormat/>
    <w:uiPriority w:val="9"/>
    <w:pPr>
      <w:outlineLvl w:val="4"/>
    </w:pPr>
    <w:rPr>
      <w:sz w:val="20"/>
      <w:szCs w:val="20"/>
    </w:rPr>
  </w:style>
  <w:style w:type="paragraph" w:customStyle="1" w:styleId="425">
    <w:name w:val="heading 6_file_1738"/>
    <w:basedOn w:val="419"/>
    <w:qFormat/>
    <w:uiPriority w:val="9"/>
    <w:pPr>
      <w:outlineLvl w:val="5"/>
    </w:pPr>
    <w:rPr>
      <w:sz w:val="15"/>
      <w:szCs w:val="15"/>
    </w:rPr>
  </w:style>
  <w:style w:type="character" w:customStyle="1" w:styleId="426">
    <w:name w:val="Default Paragraph Font_file_1738"/>
    <w:semiHidden/>
    <w:unhideWhenUsed/>
    <w:qFormat/>
    <w:uiPriority w:val="1"/>
  </w:style>
  <w:style w:type="table" w:customStyle="1" w:styleId="427">
    <w:name w:val="Normal Table_file_1738"/>
    <w:semiHidden/>
    <w:unhideWhenUsed/>
    <w:qFormat/>
    <w:uiPriority w:val="99"/>
    <w:tblPr>
      <w:tblCellMar>
        <w:top w:w="0" w:type="dxa"/>
        <w:left w:w="108" w:type="dxa"/>
        <w:bottom w:w="0" w:type="dxa"/>
        <w:right w:w="108" w:type="dxa"/>
      </w:tblCellMar>
    </w:tblPr>
  </w:style>
  <w:style w:type="character" w:customStyle="1" w:styleId="428">
    <w:name w:val="Hyperlink_file_1738"/>
    <w:basedOn w:val="426"/>
    <w:semiHidden/>
    <w:unhideWhenUsed/>
    <w:qFormat/>
    <w:uiPriority w:val="99"/>
    <w:rPr>
      <w:color w:val="0782C1"/>
      <w:u w:val="single"/>
    </w:rPr>
  </w:style>
  <w:style w:type="character" w:customStyle="1" w:styleId="429">
    <w:name w:val="FollowedHyperlink_file_1738"/>
    <w:basedOn w:val="426"/>
    <w:semiHidden/>
    <w:unhideWhenUsed/>
    <w:qFormat/>
    <w:uiPriority w:val="99"/>
    <w:rPr>
      <w:color w:val="0782C1"/>
      <w:u w:val="single"/>
    </w:rPr>
  </w:style>
  <w:style w:type="character" w:customStyle="1" w:styleId="430">
    <w:name w:val="标题 1 Char_file_1738"/>
    <w:basedOn w:val="426"/>
    <w:link w:val="3"/>
    <w:qFormat/>
    <w:uiPriority w:val="9"/>
    <w:rPr>
      <w:rFonts w:ascii="宋体" w:hAnsi="宋体" w:eastAsia="宋体" w:cs="宋体"/>
      <w:b/>
      <w:bCs/>
      <w:kern w:val="44"/>
      <w:sz w:val="44"/>
      <w:szCs w:val="44"/>
    </w:rPr>
  </w:style>
  <w:style w:type="character" w:customStyle="1" w:styleId="431">
    <w:name w:val="标题 2 Char_file_1738"/>
    <w:basedOn w:val="426"/>
    <w:link w:val="4"/>
    <w:semiHidden/>
    <w:qFormat/>
    <w:uiPriority w:val="9"/>
    <w:rPr>
      <w:rFonts w:asciiTheme="majorHAnsi" w:hAnsiTheme="majorHAnsi" w:eastAsiaTheme="majorEastAsia" w:cstheme="majorBidi"/>
      <w:b/>
      <w:bCs/>
      <w:sz w:val="32"/>
      <w:szCs w:val="32"/>
    </w:rPr>
  </w:style>
  <w:style w:type="character" w:customStyle="1" w:styleId="432">
    <w:name w:val="标题 3 Char_file_1738"/>
    <w:basedOn w:val="426"/>
    <w:link w:val="5"/>
    <w:semiHidden/>
    <w:qFormat/>
    <w:uiPriority w:val="9"/>
    <w:rPr>
      <w:rFonts w:ascii="宋体" w:hAnsi="宋体" w:eastAsia="宋体" w:cs="宋体"/>
      <w:b/>
      <w:bCs/>
      <w:sz w:val="32"/>
      <w:szCs w:val="32"/>
    </w:rPr>
  </w:style>
  <w:style w:type="character" w:customStyle="1" w:styleId="433">
    <w:name w:val="标题 4 Char_file_1738"/>
    <w:basedOn w:val="426"/>
    <w:link w:val="6"/>
    <w:semiHidden/>
    <w:qFormat/>
    <w:uiPriority w:val="9"/>
    <w:rPr>
      <w:rFonts w:asciiTheme="majorHAnsi" w:hAnsiTheme="majorHAnsi" w:eastAsiaTheme="majorEastAsia" w:cstheme="majorBidi"/>
      <w:b/>
      <w:bCs/>
      <w:sz w:val="28"/>
      <w:szCs w:val="28"/>
    </w:rPr>
  </w:style>
  <w:style w:type="character" w:customStyle="1" w:styleId="434">
    <w:name w:val="标题 5 Char_file_1738"/>
    <w:basedOn w:val="426"/>
    <w:link w:val="7"/>
    <w:semiHidden/>
    <w:qFormat/>
    <w:uiPriority w:val="9"/>
    <w:rPr>
      <w:rFonts w:ascii="宋体" w:hAnsi="宋体" w:eastAsia="宋体" w:cs="宋体"/>
      <w:b/>
      <w:bCs/>
      <w:sz w:val="28"/>
      <w:szCs w:val="28"/>
    </w:rPr>
  </w:style>
  <w:style w:type="character" w:customStyle="1" w:styleId="435">
    <w:name w:val="标题 6 Char_file_1738"/>
    <w:basedOn w:val="426"/>
    <w:link w:val="9"/>
    <w:semiHidden/>
    <w:qFormat/>
    <w:uiPriority w:val="9"/>
    <w:rPr>
      <w:rFonts w:asciiTheme="majorHAnsi" w:hAnsiTheme="majorHAnsi" w:eastAsiaTheme="majorEastAsia" w:cstheme="majorBidi"/>
      <w:b/>
      <w:bCs/>
      <w:sz w:val="24"/>
      <w:szCs w:val="24"/>
    </w:rPr>
  </w:style>
  <w:style w:type="paragraph" w:customStyle="1" w:styleId="436">
    <w:name w:val="cke_editable_file_1738"/>
    <w:basedOn w:val="419"/>
    <w:qFormat/>
    <w:uiPriority w:val="0"/>
    <w:rPr>
      <w:rFonts w:ascii="仿宋_GB2312" w:eastAsia="仿宋_GB2312"/>
    </w:rPr>
  </w:style>
  <w:style w:type="paragraph" w:customStyle="1" w:styleId="437">
    <w:name w:val="marker_file_1738"/>
    <w:basedOn w:val="419"/>
    <w:qFormat/>
    <w:uiPriority w:val="0"/>
    <w:pPr>
      <w:shd w:val="clear" w:color="auto" w:fill="FFFF00"/>
    </w:pPr>
  </w:style>
  <w:style w:type="paragraph" w:customStyle="1" w:styleId="438">
    <w:name w:val="Normal (Web)_file_1738"/>
    <w:basedOn w:val="419"/>
    <w:semiHidden/>
    <w:unhideWhenUsed/>
    <w:qFormat/>
    <w:uiPriority w:val="99"/>
  </w:style>
  <w:style w:type="paragraph" w:customStyle="1" w:styleId="439">
    <w:name w:val="Normal_file_173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40">
    <w:name w:val="heading 1_file_1739"/>
    <w:basedOn w:val="439"/>
    <w:qFormat/>
    <w:uiPriority w:val="9"/>
    <w:pPr>
      <w:outlineLvl w:val="0"/>
    </w:pPr>
    <w:rPr>
      <w:kern w:val="36"/>
      <w:sz w:val="48"/>
      <w:szCs w:val="48"/>
    </w:rPr>
  </w:style>
  <w:style w:type="paragraph" w:customStyle="1" w:styleId="441">
    <w:name w:val="heading 2_file_1739"/>
    <w:basedOn w:val="439"/>
    <w:qFormat/>
    <w:uiPriority w:val="9"/>
    <w:pPr>
      <w:outlineLvl w:val="1"/>
    </w:pPr>
    <w:rPr>
      <w:sz w:val="36"/>
      <w:szCs w:val="36"/>
    </w:rPr>
  </w:style>
  <w:style w:type="paragraph" w:customStyle="1" w:styleId="442">
    <w:name w:val="heading 3_file_1739"/>
    <w:basedOn w:val="439"/>
    <w:qFormat/>
    <w:uiPriority w:val="9"/>
    <w:pPr>
      <w:outlineLvl w:val="2"/>
    </w:pPr>
    <w:rPr>
      <w:sz w:val="27"/>
      <w:szCs w:val="27"/>
    </w:rPr>
  </w:style>
  <w:style w:type="paragraph" w:customStyle="1" w:styleId="443">
    <w:name w:val="heading 4_file_1739"/>
    <w:basedOn w:val="439"/>
    <w:qFormat/>
    <w:uiPriority w:val="9"/>
    <w:pPr>
      <w:outlineLvl w:val="3"/>
    </w:pPr>
  </w:style>
  <w:style w:type="paragraph" w:customStyle="1" w:styleId="444">
    <w:name w:val="heading 5_file_1739"/>
    <w:basedOn w:val="439"/>
    <w:qFormat/>
    <w:uiPriority w:val="9"/>
    <w:pPr>
      <w:outlineLvl w:val="4"/>
    </w:pPr>
    <w:rPr>
      <w:sz w:val="20"/>
      <w:szCs w:val="20"/>
    </w:rPr>
  </w:style>
  <w:style w:type="paragraph" w:customStyle="1" w:styleId="445">
    <w:name w:val="heading 6_file_1739"/>
    <w:basedOn w:val="439"/>
    <w:qFormat/>
    <w:uiPriority w:val="9"/>
    <w:pPr>
      <w:outlineLvl w:val="5"/>
    </w:pPr>
    <w:rPr>
      <w:sz w:val="15"/>
      <w:szCs w:val="15"/>
    </w:rPr>
  </w:style>
  <w:style w:type="character" w:customStyle="1" w:styleId="446">
    <w:name w:val="Default Paragraph Font_file_1739"/>
    <w:semiHidden/>
    <w:unhideWhenUsed/>
    <w:qFormat/>
    <w:uiPriority w:val="1"/>
  </w:style>
  <w:style w:type="table" w:customStyle="1" w:styleId="447">
    <w:name w:val="Normal Table_file_1739"/>
    <w:semiHidden/>
    <w:unhideWhenUsed/>
    <w:qFormat/>
    <w:uiPriority w:val="99"/>
    <w:tblPr>
      <w:tblCellMar>
        <w:top w:w="0" w:type="dxa"/>
        <w:left w:w="108" w:type="dxa"/>
        <w:bottom w:w="0" w:type="dxa"/>
        <w:right w:w="108" w:type="dxa"/>
      </w:tblCellMar>
    </w:tblPr>
  </w:style>
  <w:style w:type="character" w:customStyle="1" w:styleId="448">
    <w:name w:val="Hyperlink_file_1739"/>
    <w:basedOn w:val="446"/>
    <w:semiHidden/>
    <w:unhideWhenUsed/>
    <w:qFormat/>
    <w:uiPriority w:val="99"/>
    <w:rPr>
      <w:color w:val="0782C1"/>
      <w:u w:val="single"/>
    </w:rPr>
  </w:style>
  <w:style w:type="character" w:customStyle="1" w:styleId="449">
    <w:name w:val="FollowedHyperlink_file_1739"/>
    <w:basedOn w:val="446"/>
    <w:semiHidden/>
    <w:unhideWhenUsed/>
    <w:qFormat/>
    <w:uiPriority w:val="99"/>
    <w:rPr>
      <w:color w:val="0782C1"/>
      <w:u w:val="single"/>
    </w:rPr>
  </w:style>
  <w:style w:type="character" w:customStyle="1" w:styleId="450">
    <w:name w:val="标题 1 Char_file_1739"/>
    <w:basedOn w:val="446"/>
    <w:link w:val="3"/>
    <w:qFormat/>
    <w:uiPriority w:val="9"/>
    <w:rPr>
      <w:rFonts w:ascii="宋体" w:hAnsi="宋体" w:eastAsia="宋体" w:cs="宋体"/>
      <w:b/>
      <w:bCs/>
      <w:kern w:val="44"/>
      <w:sz w:val="44"/>
      <w:szCs w:val="44"/>
    </w:rPr>
  </w:style>
  <w:style w:type="character" w:customStyle="1" w:styleId="451">
    <w:name w:val="标题 2 Char_file_1739"/>
    <w:basedOn w:val="446"/>
    <w:link w:val="4"/>
    <w:semiHidden/>
    <w:qFormat/>
    <w:uiPriority w:val="9"/>
    <w:rPr>
      <w:rFonts w:asciiTheme="majorHAnsi" w:hAnsiTheme="majorHAnsi" w:eastAsiaTheme="majorEastAsia" w:cstheme="majorBidi"/>
      <w:b/>
      <w:bCs/>
      <w:sz w:val="32"/>
      <w:szCs w:val="32"/>
    </w:rPr>
  </w:style>
  <w:style w:type="character" w:customStyle="1" w:styleId="452">
    <w:name w:val="标题 3 Char_file_1739"/>
    <w:basedOn w:val="446"/>
    <w:link w:val="5"/>
    <w:semiHidden/>
    <w:qFormat/>
    <w:uiPriority w:val="9"/>
    <w:rPr>
      <w:rFonts w:ascii="宋体" w:hAnsi="宋体" w:eastAsia="宋体" w:cs="宋体"/>
      <w:b/>
      <w:bCs/>
      <w:sz w:val="32"/>
      <w:szCs w:val="32"/>
    </w:rPr>
  </w:style>
  <w:style w:type="character" w:customStyle="1" w:styleId="453">
    <w:name w:val="标题 4 Char_file_1739"/>
    <w:basedOn w:val="446"/>
    <w:link w:val="6"/>
    <w:semiHidden/>
    <w:qFormat/>
    <w:uiPriority w:val="9"/>
    <w:rPr>
      <w:rFonts w:asciiTheme="majorHAnsi" w:hAnsiTheme="majorHAnsi" w:eastAsiaTheme="majorEastAsia" w:cstheme="majorBidi"/>
      <w:b/>
      <w:bCs/>
      <w:sz w:val="28"/>
      <w:szCs w:val="28"/>
    </w:rPr>
  </w:style>
  <w:style w:type="character" w:customStyle="1" w:styleId="454">
    <w:name w:val="标题 5 Char_file_1739"/>
    <w:basedOn w:val="446"/>
    <w:link w:val="7"/>
    <w:semiHidden/>
    <w:qFormat/>
    <w:uiPriority w:val="9"/>
    <w:rPr>
      <w:rFonts w:ascii="宋体" w:hAnsi="宋体" w:eastAsia="宋体" w:cs="宋体"/>
      <w:b/>
      <w:bCs/>
      <w:sz w:val="28"/>
      <w:szCs w:val="28"/>
    </w:rPr>
  </w:style>
  <w:style w:type="character" w:customStyle="1" w:styleId="455">
    <w:name w:val="标题 6 Char_file_1739"/>
    <w:basedOn w:val="446"/>
    <w:link w:val="9"/>
    <w:semiHidden/>
    <w:qFormat/>
    <w:uiPriority w:val="9"/>
    <w:rPr>
      <w:rFonts w:asciiTheme="majorHAnsi" w:hAnsiTheme="majorHAnsi" w:eastAsiaTheme="majorEastAsia" w:cstheme="majorBidi"/>
      <w:b/>
      <w:bCs/>
      <w:sz w:val="24"/>
      <w:szCs w:val="24"/>
    </w:rPr>
  </w:style>
  <w:style w:type="paragraph" w:customStyle="1" w:styleId="456">
    <w:name w:val="cke_editable_file_1739"/>
    <w:basedOn w:val="439"/>
    <w:qFormat/>
    <w:uiPriority w:val="0"/>
    <w:rPr>
      <w:rFonts w:ascii="仿宋_GB2312" w:eastAsia="仿宋_GB2312"/>
    </w:rPr>
  </w:style>
  <w:style w:type="paragraph" w:customStyle="1" w:styleId="457">
    <w:name w:val="marker_file_1739"/>
    <w:basedOn w:val="439"/>
    <w:qFormat/>
    <w:uiPriority w:val="0"/>
    <w:pPr>
      <w:shd w:val="clear" w:color="auto" w:fill="FFFF00"/>
    </w:pPr>
  </w:style>
  <w:style w:type="paragraph" w:customStyle="1" w:styleId="458">
    <w:name w:val="Normal (Web)_file_1739"/>
    <w:basedOn w:val="439"/>
    <w:semiHidden/>
    <w:unhideWhenUsed/>
    <w:qFormat/>
    <w:uiPriority w:val="99"/>
  </w:style>
  <w:style w:type="character" w:customStyle="1" w:styleId="459">
    <w:name w:val="Strong_file_1739"/>
    <w:basedOn w:val="446"/>
    <w:qFormat/>
    <w:uiPriority w:val="22"/>
    <w:rPr>
      <w:b/>
      <w:bCs/>
    </w:rPr>
  </w:style>
  <w:style w:type="paragraph" w:customStyle="1" w:styleId="460">
    <w:name w:val="Normal_file_174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61">
    <w:name w:val="heading 1_file_1740"/>
    <w:basedOn w:val="460"/>
    <w:qFormat/>
    <w:uiPriority w:val="9"/>
    <w:pPr>
      <w:outlineLvl w:val="0"/>
    </w:pPr>
    <w:rPr>
      <w:kern w:val="36"/>
      <w:sz w:val="48"/>
      <w:szCs w:val="48"/>
    </w:rPr>
  </w:style>
  <w:style w:type="paragraph" w:customStyle="1" w:styleId="462">
    <w:name w:val="heading 2_file_1740"/>
    <w:basedOn w:val="460"/>
    <w:qFormat/>
    <w:uiPriority w:val="9"/>
    <w:pPr>
      <w:outlineLvl w:val="1"/>
    </w:pPr>
    <w:rPr>
      <w:sz w:val="36"/>
      <w:szCs w:val="36"/>
    </w:rPr>
  </w:style>
  <w:style w:type="paragraph" w:customStyle="1" w:styleId="463">
    <w:name w:val="heading 3_file_1740"/>
    <w:basedOn w:val="460"/>
    <w:qFormat/>
    <w:uiPriority w:val="9"/>
    <w:pPr>
      <w:outlineLvl w:val="2"/>
    </w:pPr>
    <w:rPr>
      <w:sz w:val="27"/>
      <w:szCs w:val="27"/>
    </w:rPr>
  </w:style>
  <w:style w:type="paragraph" w:customStyle="1" w:styleId="464">
    <w:name w:val="heading 4_file_1740"/>
    <w:basedOn w:val="460"/>
    <w:qFormat/>
    <w:uiPriority w:val="9"/>
    <w:pPr>
      <w:outlineLvl w:val="3"/>
    </w:pPr>
  </w:style>
  <w:style w:type="paragraph" w:customStyle="1" w:styleId="465">
    <w:name w:val="heading 5_file_1740"/>
    <w:basedOn w:val="460"/>
    <w:qFormat/>
    <w:uiPriority w:val="9"/>
    <w:pPr>
      <w:outlineLvl w:val="4"/>
    </w:pPr>
    <w:rPr>
      <w:sz w:val="20"/>
      <w:szCs w:val="20"/>
    </w:rPr>
  </w:style>
  <w:style w:type="paragraph" w:customStyle="1" w:styleId="466">
    <w:name w:val="heading 6_file_1740"/>
    <w:basedOn w:val="460"/>
    <w:qFormat/>
    <w:uiPriority w:val="9"/>
    <w:pPr>
      <w:outlineLvl w:val="5"/>
    </w:pPr>
    <w:rPr>
      <w:sz w:val="15"/>
      <w:szCs w:val="15"/>
    </w:rPr>
  </w:style>
  <w:style w:type="character" w:customStyle="1" w:styleId="467">
    <w:name w:val="Default Paragraph Font_file_1740"/>
    <w:semiHidden/>
    <w:unhideWhenUsed/>
    <w:qFormat/>
    <w:uiPriority w:val="1"/>
  </w:style>
  <w:style w:type="table" w:customStyle="1" w:styleId="468">
    <w:name w:val="Normal Table_file_1740"/>
    <w:semiHidden/>
    <w:unhideWhenUsed/>
    <w:qFormat/>
    <w:uiPriority w:val="99"/>
    <w:tblPr>
      <w:tblCellMar>
        <w:top w:w="0" w:type="dxa"/>
        <w:left w:w="108" w:type="dxa"/>
        <w:bottom w:w="0" w:type="dxa"/>
        <w:right w:w="108" w:type="dxa"/>
      </w:tblCellMar>
    </w:tblPr>
  </w:style>
  <w:style w:type="character" w:customStyle="1" w:styleId="469">
    <w:name w:val="Hyperlink_file_1740"/>
    <w:basedOn w:val="467"/>
    <w:semiHidden/>
    <w:unhideWhenUsed/>
    <w:qFormat/>
    <w:uiPriority w:val="99"/>
    <w:rPr>
      <w:color w:val="0782C1"/>
      <w:u w:val="single"/>
    </w:rPr>
  </w:style>
  <w:style w:type="character" w:customStyle="1" w:styleId="470">
    <w:name w:val="FollowedHyperlink_file_1740"/>
    <w:basedOn w:val="467"/>
    <w:semiHidden/>
    <w:unhideWhenUsed/>
    <w:qFormat/>
    <w:uiPriority w:val="99"/>
    <w:rPr>
      <w:color w:val="0782C1"/>
      <w:u w:val="single"/>
    </w:rPr>
  </w:style>
  <w:style w:type="character" w:customStyle="1" w:styleId="471">
    <w:name w:val="标题 1 Char_file_1740"/>
    <w:basedOn w:val="467"/>
    <w:link w:val="3"/>
    <w:qFormat/>
    <w:uiPriority w:val="9"/>
    <w:rPr>
      <w:rFonts w:ascii="宋体" w:hAnsi="宋体" w:eastAsia="宋体" w:cs="宋体"/>
      <w:b/>
      <w:bCs/>
      <w:kern w:val="44"/>
      <w:sz w:val="44"/>
      <w:szCs w:val="44"/>
    </w:rPr>
  </w:style>
  <w:style w:type="character" w:customStyle="1" w:styleId="472">
    <w:name w:val="标题 2 Char_file_1740"/>
    <w:basedOn w:val="467"/>
    <w:link w:val="4"/>
    <w:semiHidden/>
    <w:qFormat/>
    <w:uiPriority w:val="9"/>
    <w:rPr>
      <w:rFonts w:asciiTheme="majorHAnsi" w:hAnsiTheme="majorHAnsi" w:eastAsiaTheme="majorEastAsia" w:cstheme="majorBidi"/>
      <w:b/>
      <w:bCs/>
      <w:sz w:val="32"/>
      <w:szCs w:val="32"/>
    </w:rPr>
  </w:style>
  <w:style w:type="character" w:customStyle="1" w:styleId="473">
    <w:name w:val="标题 3 Char_file_1740"/>
    <w:basedOn w:val="467"/>
    <w:link w:val="5"/>
    <w:semiHidden/>
    <w:qFormat/>
    <w:uiPriority w:val="9"/>
    <w:rPr>
      <w:rFonts w:ascii="宋体" w:hAnsi="宋体" w:eastAsia="宋体" w:cs="宋体"/>
      <w:b/>
      <w:bCs/>
      <w:sz w:val="32"/>
      <w:szCs w:val="32"/>
    </w:rPr>
  </w:style>
  <w:style w:type="character" w:customStyle="1" w:styleId="474">
    <w:name w:val="标题 4 Char_file_1740"/>
    <w:basedOn w:val="467"/>
    <w:link w:val="6"/>
    <w:semiHidden/>
    <w:qFormat/>
    <w:uiPriority w:val="9"/>
    <w:rPr>
      <w:rFonts w:asciiTheme="majorHAnsi" w:hAnsiTheme="majorHAnsi" w:eastAsiaTheme="majorEastAsia" w:cstheme="majorBidi"/>
      <w:b/>
      <w:bCs/>
      <w:sz w:val="28"/>
      <w:szCs w:val="28"/>
    </w:rPr>
  </w:style>
  <w:style w:type="character" w:customStyle="1" w:styleId="475">
    <w:name w:val="标题 5 Char_file_1740"/>
    <w:basedOn w:val="467"/>
    <w:link w:val="7"/>
    <w:semiHidden/>
    <w:qFormat/>
    <w:uiPriority w:val="9"/>
    <w:rPr>
      <w:rFonts w:ascii="宋体" w:hAnsi="宋体" w:eastAsia="宋体" w:cs="宋体"/>
      <w:b/>
      <w:bCs/>
      <w:sz w:val="28"/>
      <w:szCs w:val="28"/>
    </w:rPr>
  </w:style>
  <w:style w:type="character" w:customStyle="1" w:styleId="476">
    <w:name w:val="标题 6 Char_file_1740"/>
    <w:basedOn w:val="467"/>
    <w:link w:val="9"/>
    <w:semiHidden/>
    <w:qFormat/>
    <w:uiPriority w:val="9"/>
    <w:rPr>
      <w:rFonts w:asciiTheme="majorHAnsi" w:hAnsiTheme="majorHAnsi" w:eastAsiaTheme="majorEastAsia" w:cstheme="majorBidi"/>
      <w:b/>
      <w:bCs/>
      <w:sz w:val="24"/>
      <w:szCs w:val="24"/>
    </w:rPr>
  </w:style>
  <w:style w:type="paragraph" w:customStyle="1" w:styleId="477">
    <w:name w:val="cke_editable_file_1740"/>
    <w:basedOn w:val="460"/>
    <w:qFormat/>
    <w:uiPriority w:val="0"/>
    <w:rPr>
      <w:rFonts w:ascii="仿宋_GB2312" w:eastAsia="仿宋_GB2312"/>
    </w:rPr>
  </w:style>
  <w:style w:type="paragraph" w:customStyle="1" w:styleId="478">
    <w:name w:val="marker_file_1740"/>
    <w:basedOn w:val="460"/>
    <w:qFormat/>
    <w:uiPriority w:val="0"/>
    <w:pPr>
      <w:shd w:val="clear" w:color="auto" w:fill="FFFF00"/>
    </w:pPr>
  </w:style>
  <w:style w:type="paragraph" w:customStyle="1" w:styleId="479">
    <w:name w:val="Normal (Web)_file_1740"/>
    <w:basedOn w:val="460"/>
    <w:semiHidden/>
    <w:unhideWhenUsed/>
    <w:qFormat/>
    <w:uiPriority w:val="99"/>
  </w:style>
  <w:style w:type="paragraph" w:customStyle="1" w:styleId="480">
    <w:name w:val="Normal_file_174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81">
    <w:name w:val="heading 1_file_1741"/>
    <w:basedOn w:val="480"/>
    <w:qFormat/>
    <w:uiPriority w:val="9"/>
    <w:pPr>
      <w:outlineLvl w:val="0"/>
    </w:pPr>
    <w:rPr>
      <w:kern w:val="36"/>
      <w:sz w:val="48"/>
      <w:szCs w:val="48"/>
    </w:rPr>
  </w:style>
  <w:style w:type="paragraph" w:customStyle="1" w:styleId="482">
    <w:name w:val="heading 2_file_1741"/>
    <w:basedOn w:val="480"/>
    <w:qFormat/>
    <w:uiPriority w:val="9"/>
    <w:pPr>
      <w:outlineLvl w:val="1"/>
    </w:pPr>
    <w:rPr>
      <w:sz w:val="36"/>
      <w:szCs w:val="36"/>
    </w:rPr>
  </w:style>
  <w:style w:type="paragraph" w:customStyle="1" w:styleId="483">
    <w:name w:val="heading 3_file_1741"/>
    <w:basedOn w:val="480"/>
    <w:qFormat/>
    <w:uiPriority w:val="9"/>
    <w:pPr>
      <w:outlineLvl w:val="2"/>
    </w:pPr>
    <w:rPr>
      <w:sz w:val="27"/>
      <w:szCs w:val="27"/>
    </w:rPr>
  </w:style>
  <w:style w:type="paragraph" w:customStyle="1" w:styleId="484">
    <w:name w:val="heading 4_file_1741"/>
    <w:basedOn w:val="480"/>
    <w:qFormat/>
    <w:uiPriority w:val="9"/>
    <w:pPr>
      <w:outlineLvl w:val="3"/>
    </w:pPr>
  </w:style>
  <w:style w:type="paragraph" w:customStyle="1" w:styleId="485">
    <w:name w:val="heading 5_file_1741"/>
    <w:basedOn w:val="480"/>
    <w:qFormat/>
    <w:uiPriority w:val="9"/>
    <w:pPr>
      <w:outlineLvl w:val="4"/>
    </w:pPr>
    <w:rPr>
      <w:sz w:val="20"/>
      <w:szCs w:val="20"/>
    </w:rPr>
  </w:style>
  <w:style w:type="paragraph" w:customStyle="1" w:styleId="486">
    <w:name w:val="heading 6_file_1741"/>
    <w:basedOn w:val="480"/>
    <w:qFormat/>
    <w:uiPriority w:val="9"/>
    <w:pPr>
      <w:outlineLvl w:val="5"/>
    </w:pPr>
    <w:rPr>
      <w:sz w:val="15"/>
      <w:szCs w:val="15"/>
    </w:rPr>
  </w:style>
  <w:style w:type="character" w:customStyle="1" w:styleId="487">
    <w:name w:val="Default Paragraph Font_file_1741"/>
    <w:semiHidden/>
    <w:unhideWhenUsed/>
    <w:qFormat/>
    <w:uiPriority w:val="1"/>
  </w:style>
  <w:style w:type="table" w:customStyle="1" w:styleId="488">
    <w:name w:val="Normal Table_file_1741"/>
    <w:semiHidden/>
    <w:unhideWhenUsed/>
    <w:qFormat/>
    <w:uiPriority w:val="99"/>
    <w:tblPr>
      <w:tblCellMar>
        <w:top w:w="0" w:type="dxa"/>
        <w:left w:w="108" w:type="dxa"/>
        <w:bottom w:w="0" w:type="dxa"/>
        <w:right w:w="108" w:type="dxa"/>
      </w:tblCellMar>
    </w:tblPr>
  </w:style>
  <w:style w:type="character" w:customStyle="1" w:styleId="489">
    <w:name w:val="Hyperlink_file_1741"/>
    <w:basedOn w:val="487"/>
    <w:semiHidden/>
    <w:unhideWhenUsed/>
    <w:qFormat/>
    <w:uiPriority w:val="99"/>
    <w:rPr>
      <w:color w:val="0782C1"/>
      <w:u w:val="single"/>
    </w:rPr>
  </w:style>
  <w:style w:type="character" w:customStyle="1" w:styleId="490">
    <w:name w:val="FollowedHyperlink_file_1741"/>
    <w:basedOn w:val="487"/>
    <w:semiHidden/>
    <w:unhideWhenUsed/>
    <w:qFormat/>
    <w:uiPriority w:val="99"/>
    <w:rPr>
      <w:color w:val="0782C1"/>
      <w:u w:val="single"/>
    </w:rPr>
  </w:style>
  <w:style w:type="character" w:customStyle="1" w:styleId="491">
    <w:name w:val="标题 1 Char_file_1741"/>
    <w:basedOn w:val="487"/>
    <w:link w:val="3"/>
    <w:qFormat/>
    <w:uiPriority w:val="9"/>
    <w:rPr>
      <w:rFonts w:ascii="宋体" w:hAnsi="宋体" w:eastAsia="宋体" w:cs="宋体"/>
      <w:b/>
      <w:bCs/>
      <w:kern w:val="44"/>
      <w:sz w:val="44"/>
      <w:szCs w:val="44"/>
    </w:rPr>
  </w:style>
  <w:style w:type="character" w:customStyle="1" w:styleId="492">
    <w:name w:val="标题 2 Char_file_1741"/>
    <w:basedOn w:val="487"/>
    <w:link w:val="4"/>
    <w:semiHidden/>
    <w:qFormat/>
    <w:uiPriority w:val="9"/>
    <w:rPr>
      <w:rFonts w:asciiTheme="majorHAnsi" w:hAnsiTheme="majorHAnsi" w:eastAsiaTheme="majorEastAsia" w:cstheme="majorBidi"/>
      <w:b/>
      <w:bCs/>
      <w:sz w:val="32"/>
      <w:szCs w:val="32"/>
    </w:rPr>
  </w:style>
  <w:style w:type="character" w:customStyle="1" w:styleId="493">
    <w:name w:val="标题 3 Char_file_1741"/>
    <w:basedOn w:val="487"/>
    <w:link w:val="5"/>
    <w:semiHidden/>
    <w:qFormat/>
    <w:uiPriority w:val="9"/>
    <w:rPr>
      <w:rFonts w:ascii="宋体" w:hAnsi="宋体" w:eastAsia="宋体" w:cs="宋体"/>
      <w:b/>
      <w:bCs/>
      <w:sz w:val="32"/>
      <w:szCs w:val="32"/>
    </w:rPr>
  </w:style>
  <w:style w:type="character" w:customStyle="1" w:styleId="494">
    <w:name w:val="标题 4 Char_file_1741"/>
    <w:basedOn w:val="487"/>
    <w:link w:val="6"/>
    <w:semiHidden/>
    <w:qFormat/>
    <w:uiPriority w:val="9"/>
    <w:rPr>
      <w:rFonts w:asciiTheme="majorHAnsi" w:hAnsiTheme="majorHAnsi" w:eastAsiaTheme="majorEastAsia" w:cstheme="majorBidi"/>
      <w:b/>
      <w:bCs/>
      <w:sz w:val="28"/>
      <w:szCs w:val="28"/>
    </w:rPr>
  </w:style>
  <w:style w:type="character" w:customStyle="1" w:styleId="495">
    <w:name w:val="标题 5 Char_file_1741"/>
    <w:basedOn w:val="487"/>
    <w:link w:val="7"/>
    <w:semiHidden/>
    <w:qFormat/>
    <w:uiPriority w:val="9"/>
    <w:rPr>
      <w:rFonts w:ascii="宋体" w:hAnsi="宋体" w:eastAsia="宋体" w:cs="宋体"/>
      <w:b/>
      <w:bCs/>
      <w:sz w:val="28"/>
      <w:szCs w:val="28"/>
    </w:rPr>
  </w:style>
  <w:style w:type="character" w:customStyle="1" w:styleId="496">
    <w:name w:val="标题 6 Char_file_1741"/>
    <w:basedOn w:val="487"/>
    <w:link w:val="9"/>
    <w:semiHidden/>
    <w:qFormat/>
    <w:uiPriority w:val="9"/>
    <w:rPr>
      <w:rFonts w:asciiTheme="majorHAnsi" w:hAnsiTheme="majorHAnsi" w:eastAsiaTheme="majorEastAsia" w:cstheme="majorBidi"/>
      <w:b/>
      <w:bCs/>
      <w:sz w:val="24"/>
      <w:szCs w:val="24"/>
    </w:rPr>
  </w:style>
  <w:style w:type="paragraph" w:customStyle="1" w:styleId="497">
    <w:name w:val="cke_editable_file_1741"/>
    <w:basedOn w:val="480"/>
    <w:qFormat/>
    <w:uiPriority w:val="0"/>
    <w:rPr>
      <w:rFonts w:ascii="仿宋_GB2312" w:eastAsia="仿宋_GB2312"/>
    </w:rPr>
  </w:style>
  <w:style w:type="paragraph" w:customStyle="1" w:styleId="498">
    <w:name w:val="marker_file_1741"/>
    <w:basedOn w:val="480"/>
    <w:qFormat/>
    <w:uiPriority w:val="0"/>
    <w:pPr>
      <w:shd w:val="clear" w:color="auto" w:fill="FFFF00"/>
    </w:pPr>
  </w:style>
  <w:style w:type="paragraph" w:customStyle="1" w:styleId="499">
    <w:name w:val="Normal (Web)_file_1741"/>
    <w:basedOn w:val="480"/>
    <w:semiHidden/>
    <w:unhideWhenUsed/>
    <w:qFormat/>
    <w:uiPriority w:val="99"/>
  </w:style>
  <w:style w:type="paragraph" w:customStyle="1" w:styleId="500">
    <w:name w:val="Normal_file_174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01">
    <w:name w:val="heading 1_file_1742"/>
    <w:basedOn w:val="500"/>
    <w:qFormat/>
    <w:uiPriority w:val="9"/>
    <w:pPr>
      <w:outlineLvl w:val="0"/>
    </w:pPr>
    <w:rPr>
      <w:kern w:val="36"/>
      <w:sz w:val="48"/>
      <w:szCs w:val="48"/>
    </w:rPr>
  </w:style>
  <w:style w:type="paragraph" w:customStyle="1" w:styleId="502">
    <w:name w:val="heading 2_file_1742"/>
    <w:basedOn w:val="500"/>
    <w:qFormat/>
    <w:uiPriority w:val="9"/>
    <w:pPr>
      <w:outlineLvl w:val="1"/>
    </w:pPr>
    <w:rPr>
      <w:sz w:val="36"/>
      <w:szCs w:val="36"/>
    </w:rPr>
  </w:style>
  <w:style w:type="paragraph" w:customStyle="1" w:styleId="503">
    <w:name w:val="heading 3_file_1742"/>
    <w:basedOn w:val="500"/>
    <w:qFormat/>
    <w:uiPriority w:val="9"/>
    <w:pPr>
      <w:outlineLvl w:val="2"/>
    </w:pPr>
    <w:rPr>
      <w:sz w:val="27"/>
      <w:szCs w:val="27"/>
    </w:rPr>
  </w:style>
  <w:style w:type="paragraph" w:customStyle="1" w:styleId="504">
    <w:name w:val="heading 4_file_1742"/>
    <w:basedOn w:val="500"/>
    <w:qFormat/>
    <w:uiPriority w:val="9"/>
    <w:pPr>
      <w:outlineLvl w:val="3"/>
    </w:pPr>
  </w:style>
  <w:style w:type="paragraph" w:customStyle="1" w:styleId="505">
    <w:name w:val="heading 5_file_1742"/>
    <w:basedOn w:val="500"/>
    <w:qFormat/>
    <w:uiPriority w:val="9"/>
    <w:pPr>
      <w:outlineLvl w:val="4"/>
    </w:pPr>
    <w:rPr>
      <w:sz w:val="20"/>
      <w:szCs w:val="20"/>
    </w:rPr>
  </w:style>
  <w:style w:type="paragraph" w:customStyle="1" w:styleId="506">
    <w:name w:val="heading 6_file_1742"/>
    <w:basedOn w:val="500"/>
    <w:qFormat/>
    <w:uiPriority w:val="9"/>
    <w:pPr>
      <w:outlineLvl w:val="5"/>
    </w:pPr>
    <w:rPr>
      <w:sz w:val="15"/>
      <w:szCs w:val="15"/>
    </w:rPr>
  </w:style>
  <w:style w:type="character" w:customStyle="1" w:styleId="507">
    <w:name w:val="Default Paragraph Font_file_1742"/>
    <w:semiHidden/>
    <w:unhideWhenUsed/>
    <w:qFormat/>
    <w:uiPriority w:val="1"/>
  </w:style>
  <w:style w:type="table" w:customStyle="1" w:styleId="508">
    <w:name w:val="Normal Table_file_1742"/>
    <w:semiHidden/>
    <w:unhideWhenUsed/>
    <w:qFormat/>
    <w:uiPriority w:val="99"/>
    <w:tblPr>
      <w:tblCellMar>
        <w:top w:w="0" w:type="dxa"/>
        <w:left w:w="108" w:type="dxa"/>
        <w:bottom w:w="0" w:type="dxa"/>
        <w:right w:w="108" w:type="dxa"/>
      </w:tblCellMar>
    </w:tblPr>
  </w:style>
  <w:style w:type="character" w:customStyle="1" w:styleId="509">
    <w:name w:val="Hyperlink_file_1742"/>
    <w:basedOn w:val="507"/>
    <w:semiHidden/>
    <w:unhideWhenUsed/>
    <w:qFormat/>
    <w:uiPriority w:val="99"/>
    <w:rPr>
      <w:color w:val="0782C1"/>
      <w:u w:val="single"/>
    </w:rPr>
  </w:style>
  <w:style w:type="character" w:customStyle="1" w:styleId="510">
    <w:name w:val="FollowedHyperlink_file_1742"/>
    <w:basedOn w:val="507"/>
    <w:semiHidden/>
    <w:unhideWhenUsed/>
    <w:qFormat/>
    <w:uiPriority w:val="99"/>
    <w:rPr>
      <w:color w:val="0782C1"/>
      <w:u w:val="single"/>
    </w:rPr>
  </w:style>
  <w:style w:type="character" w:customStyle="1" w:styleId="511">
    <w:name w:val="标题 1 Char_file_1742"/>
    <w:basedOn w:val="507"/>
    <w:link w:val="3"/>
    <w:qFormat/>
    <w:uiPriority w:val="9"/>
    <w:rPr>
      <w:rFonts w:ascii="宋体" w:hAnsi="宋体" w:eastAsia="宋体" w:cs="宋体"/>
      <w:b/>
      <w:bCs/>
      <w:kern w:val="44"/>
      <w:sz w:val="44"/>
      <w:szCs w:val="44"/>
    </w:rPr>
  </w:style>
  <w:style w:type="character" w:customStyle="1" w:styleId="512">
    <w:name w:val="标题 2 Char_file_1742"/>
    <w:basedOn w:val="507"/>
    <w:link w:val="4"/>
    <w:semiHidden/>
    <w:qFormat/>
    <w:uiPriority w:val="9"/>
    <w:rPr>
      <w:rFonts w:asciiTheme="majorHAnsi" w:hAnsiTheme="majorHAnsi" w:eastAsiaTheme="majorEastAsia" w:cstheme="majorBidi"/>
      <w:b/>
      <w:bCs/>
      <w:sz w:val="32"/>
      <w:szCs w:val="32"/>
    </w:rPr>
  </w:style>
  <w:style w:type="character" w:customStyle="1" w:styleId="513">
    <w:name w:val="标题 3 Char_file_1742"/>
    <w:basedOn w:val="507"/>
    <w:link w:val="5"/>
    <w:semiHidden/>
    <w:qFormat/>
    <w:uiPriority w:val="9"/>
    <w:rPr>
      <w:rFonts w:ascii="宋体" w:hAnsi="宋体" w:eastAsia="宋体" w:cs="宋体"/>
      <w:b/>
      <w:bCs/>
      <w:sz w:val="32"/>
      <w:szCs w:val="32"/>
    </w:rPr>
  </w:style>
  <w:style w:type="character" w:customStyle="1" w:styleId="514">
    <w:name w:val="标题 4 Char_file_1742"/>
    <w:basedOn w:val="507"/>
    <w:link w:val="6"/>
    <w:semiHidden/>
    <w:qFormat/>
    <w:uiPriority w:val="9"/>
    <w:rPr>
      <w:rFonts w:asciiTheme="majorHAnsi" w:hAnsiTheme="majorHAnsi" w:eastAsiaTheme="majorEastAsia" w:cstheme="majorBidi"/>
      <w:b/>
      <w:bCs/>
      <w:sz w:val="28"/>
      <w:szCs w:val="28"/>
    </w:rPr>
  </w:style>
  <w:style w:type="character" w:customStyle="1" w:styleId="515">
    <w:name w:val="标题 5 Char_file_1742"/>
    <w:basedOn w:val="507"/>
    <w:link w:val="7"/>
    <w:semiHidden/>
    <w:qFormat/>
    <w:uiPriority w:val="9"/>
    <w:rPr>
      <w:rFonts w:ascii="宋体" w:hAnsi="宋体" w:eastAsia="宋体" w:cs="宋体"/>
      <w:b/>
      <w:bCs/>
      <w:sz w:val="28"/>
      <w:szCs w:val="28"/>
    </w:rPr>
  </w:style>
  <w:style w:type="character" w:customStyle="1" w:styleId="516">
    <w:name w:val="标题 6 Char_file_1742"/>
    <w:basedOn w:val="507"/>
    <w:link w:val="9"/>
    <w:semiHidden/>
    <w:qFormat/>
    <w:uiPriority w:val="9"/>
    <w:rPr>
      <w:rFonts w:asciiTheme="majorHAnsi" w:hAnsiTheme="majorHAnsi" w:eastAsiaTheme="majorEastAsia" w:cstheme="majorBidi"/>
      <w:b/>
      <w:bCs/>
      <w:sz w:val="24"/>
      <w:szCs w:val="24"/>
    </w:rPr>
  </w:style>
  <w:style w:type="paragraph" w:customStyle="1" w:styleId="517">
    <w:name w:val="cke_editable_file_1742"/>
    <w:basedOn w:val="500"/>
    <w:qFormat/>
    <w:uiPriority w:val="0"/>
    <w:rPr>
      <w:rFonts w:ascii="仿宋_GB2312" w:eastAsia="仿宋_GB2312"/>
    </w:rPr>
  </w:style>
  <w:style w:type="paragraph" w:customStyle="1" w:styleId="518">
    <w:name w:val="marker_file_1742"/>
    <w:basedOn w:val="500"/>
    <w:qFormat/>
    <w:uiPriority w:val="0"/>
    <w:pPr>
      <w:shd w:val="clear" w:color="auto" w:fill="FFFF00"/>
    </w:pPr>
  </w:style>
  <w:style w:type="paragraph" w:customStyle="1" w:styleId="519">
    <w:name w:val="Normal (Web)_file_1742"/>
    <w:basedOn w:val="500"/>
    <w:semiHidden/>
    <w:unhideWhenUsed/>
    <w:qFormat/>
    <w:uiPriority w:val="99"/>
  </w:style>
  <w:style w:type="character" w:customStyle="1" w:styleId="520">
    <w:name w:val="Strong_file_1742"/>
    <w:basedOn w:val="507"/>
    <w:qFormat/>
    <w:uiPriority w:val="22"/>
    <w:rPr>
      <w:b/>
      <w:bCs/>
    </w:rPr>
  </w:style>
  <w:style w:type="paragraph" w:customStyle="1" w:styleId="521">
    <w:name w:val="Normal_file_174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22">
    <w:name w:val="heading 1_file_1743"/>
    <w:basedOn w:val="521"/>
    <w:qFormat/>
    <w:uiPriority w:val="9"/>
    <w:pPr>
      <w:outlineLvl w:val="0"/>
    </w:pPr>
    <w:rPr>
      <w:kern w:val="36"/>
      <w:sz w:val="48"/>
      <w:szCs w:val="48"/>
    </w:rPr>
  </w:style>
  <w:style w:type="paragraph" w:customStyle="1" w:styleId="523">
    <w:name w:val="heading 2_file_1743"/>
    <w:basedOn w:val="521"/>
    <w:qFormat/>
    <w:uiPriority w:val="9"/>
    <w:pPr>
      <w:outlineLvl w:val="1"/>
    </w:pPr>
    <w:rPr>
      <w:sz w:val="36"/>
      <w:szCs w:val="36"/>
    </w:rPr>
  </w:style>
  <w:style w:type="paragraph" w:customStyle="1" w:styleId="524">
    <w:name w:val="heading 3_file_1743"/>
    <w:basedOn w:val="521"/>
    <w:qFormat/>
    <w:uiPriority w:val="9"/>
    <w:pPr>
      <w:outlineLvl w:val="2"/>
    </w:pPr>
    <w:rPr>
      <w:sz w:val="27"/>
      <w:szCs w:val="27"/>
    </w:rPr>
  </w:style>
  <w:style w:type="paragraph" w:customStyle="1" w:styleId="525">
    <w:name w:val="heading 4_file_1743"/>
    <w:basedOn w:val="521"/>
    <w:qFormat/>
    <w:uiPriority w:val="9"/>
    <w:pPr>
      <w:outlineLvl w:val="3"/>
    </w:pPr>
  </w:style>
  <w:style w:type="paragraph" w:customStyle="1" w:styleId="526">
    <w:name w:val="heading 5_file_1743"/>
    <w:basedOn w:val="521"/>
    <w:qFormat/>
    <w:uiPriority w:val="9"/>
    <w:pPr>
      <w:outlineLvl w:val="4"/>
    </w:pPr>
    <w:rPr>
      <w:sz w:val="20"/>
      <w:szCs w:val="20"/>
    </w:rPr>
  </w:style>
  <w:style w:type="paragraph" w:customStyle="1" w:styleId="527">
    <w:name w:val="heading 6_file_1743"/>
    <w:basedOn w:val="521"/>
    <w:qFormat/>
    <w:uiPriority w:val="9"/>
    <w:pPr>
      <w:outlineLvl w:val="5"/>
    </w:pPr>
    <w:rPr>
      <w:sz w:val="15"/>
      <w:szCs w:val="15"/>
    </w:rPr>
  </w:style>
  <w:style w:type="character" w:customStyle="1" w:styleId="528">
    <w:name w:val="Default Paragraph Font_file_1743"/>
    <w:semiHidden/>
    <w:unhideWhenUsed/>
    <w:qFormat/>
    <w:uiPriority w:val="1"/>
  </w:style>
  <w:style w:type="table" w:customStyle="1" w:styleId="529">
    <w:name w:val="Normal Table_file_1743"/>
    <w:semiHidden/>
    <w:unhideWhenUsed/>
    <w:qFormat/>
    <w:uiPriority w:val="99"/>
    <w:tblPr>
      <w:tblCellMar>
        <w:top w:w="0" w:type="dxa"/>
        <w:left w:w="108" w:type="dxa"/>
        <w:bottom w:w="0" w:type="dxa"/>
        <w:right w:w="108" w:type="dxa"/>
      </w:tblCellMar>
    </w:tblPr>
  </w:style>
  <w:style w:type="character" w:customStyle="1" w:styleId="530">
    <w:name w:val="Hyperlink_file_1743"/>
    <w:basedOn w:val="528"/>
    <w:semiHidden/>
    <w:unhideWhenUsed/>
    <w:qFormat/>
    <w:uiPriority w:val="99"/>
    <w:rPr>
      <w:color w:val="0782C1"/>
      <w:u w:val="single"/>
    </w:rPr>
  </w:style>
  <w:style w:type="character" w:customStyle="1" w:styleId="531">
    <w:name w:val="FollowedHyperlink_file_1743"/>
    <w:basedOn w:val="528"/>
    <w:semiHidden/>
    <w:unhideWhenUsed/>
    <w:qFormat/>
    <w:uiPriority w:val="99"/>
    <w:rPr>
      <w:color w:val="0782C1"/>
      <w:u w:val="single"/>
    </w:rPr>
  </w:style>
  <w:style w:type="character" w:customStyle="1" w:styleId="532">
    <w:name w:val="标题 1 Char_file_1743"/>
    <w:basedOn w:val="528"/>
    <w:link w:val="3"/>
    <w:qFormat/>
    <w:uiPriority w:val="9"/>
    <w:rPr>
      <w:rFonts w:ascii="宋体" w:hAnsi="宋体" w:eastAsia="宋体" w:cs="宋体"/>
      <w:b/>
      <w:bCs/>
      <w:kern w:val="44"/>
      <w:sz w:val="44"/>
      <w:szCs w:val="44"/>
    </w:rPr>
  </w:style>
  <w:style w:type="character" w:customStyle="1" w:styleId="533">
    <w:name w:val="标题 2 Char_file_1743"/>
    <w:basedOn w:val="528"/>
    <w:link w:val="4"/>
    <w:semiHidden/>
    <w:qFormat/>
    <w:uiPriority w:val="9"/>
    <w:rPr>
      <w:rFonts w:asciiTheme="majorHAnsi" w:hAnsiTheme="majorHAnsi" w:eastAsiaTheme="majorEastAsia" w:cstheme="majorBidi"/>
      <w:b/>
      <w:bCs/>
      <w:sz w:val="32"/>
      <w:szCs w:val="32"/>
    </w:rPr>
  </w:style>
  <w:style w:type="character" w:customStyle="1" w:styleId="534">
    <w:name w:val="标题 3 Char_file_1743"/>
    <w:basedOn w:val="528"/>
    <w:link w:val="5"/>
    <w:semiHidden/>
    <w:qFormat/>
    <w:uiPriority w:val="9"/>
    <w:rPr>
      <w:rFonts w:ascii="宋体" w:hAnsi="宋体" w:eastAsia="宋体" w:cs="宋体"/>
      <w:b/>
      <w:bCs/>
      <w:sz w:val="32"/>
      <w:szCs w:val="32"/>
    </w:rPr>
  </w:style>
  <w:style w:type="character" w:customStyle="1" w:styleId="535">
    <w:name w:val="标题 4 Char_file_1743"/>
    <w:basedOn w:val="528"/>
    <w:link w:val="6"/>
    <w:semiHidden/>
    <w:qFormat/>
    <w:uiPriority w:val="9"/>
    <w:rPr>
      <w:rFonts w:asciiTheme="majorHAnsi" w:hAnsiTheme="majorHAnsi" w:eastAsiaTheme="majorEastAsia" w:cstheme="majorBidi"/>
      <w:b/>
      <w:bCs/>
      <w:sz w:val="28"/>
      <w:szCs w:val="28"/>
    </w:rPr>
  </w:style>
  <w:style w:type="character" w:customStyle="1" w:styleId="536">
    <w:name w:val="标题 5 Char_file_1743"/>
    <w:basedOn w:val="528"/>
    <w:link w:val="7"/>
    <w:semiHidden/>
    <w:qFormat/>
    <w:uiPriority w:val="9"/>
    <w:rPr>
      <w:rFonts w:ascii="宋体" w:hAnsi="宋体" w:eastAsia="宋体" w:cs="宋体"/>
      <w:b/>
      <w:bCs/>
      <w:sz w:val="28"/>
      <w:szCs w:val="28"/>
    </w:rPr>
  </w:style>
  <w:style w:type="character" w:customStyle="1" w:styleId="537">
    <w:name w:val="标题 6 Char_file_1743"/>
    <w:basedOn w:val="528"/>
    <w:link w:val="9"/>
    <w:semiHidden/>
    <w:qFormat/>
    <w:uiPriority w:val="9"/>
    <w:rPr>
      <w:rFonts w:asciiTheme="majorHAnsi" w:hAnsiTheme="majorHAnsi" w:eastAsiaTheme="majorEastAsia" w:cstheme="majorBidi"/>
      <w:b/>
      <w:bCs/>
      <w:sz w:val="24"/>
      <w:szCs w:val="24"/>
    </w:rPr>
  </w:style>
  <w:style w:type="paragraph" w:customStyle="1" w:styleId="538">
    <w:name w:val="cke_editable_file_1743"/>
    <w:basedOn w:val="521"/>
    <w:qFormat/>
    <w:uiPriority w:val="0"/>
    <w:rPr>
      <w:rFonts w:ascii="仿宋_GB2312" w:eastAsia="仿宋_GB2312"/>
    </w:rPr>
  </w:style>
  <w:style w:type="paragraph" w:customStyle="1" w:styleId="539">
    <w:name w:val="marker_file_1743"/>
    <w:basedOn w:val="521"/>
    <w:qFormat/>
    <w:uiPriority w:val="0"/>
    <w:pPr>
      <w:shd w:val="clear" w:color="auto" w:fill="FFFF00"/>
    </w:pPr>
  </w:style>
  <w:style w:type="paragraph" w:customStyle="1" w:styleId="540">
    <w:name w:val="Normal (Web)_file_1743"/>
    <w:basedOn w:val="521"/>
    <w:semiHidden/>
    <w:unhideWhenUsed/>
    <w:qFormat/>
    <w:uiPriority w:val="99"/>
  </w:style>
  <w:style w:type="character" w:customStyle="1" w:styleId="541">
    <w:name w:val="Strong_file_1743"/>
    <w:basedOn w:val="528"/>
    <w:qFormat/>
    <w:uiPriority w:val="22"/>
    <w:rPr>
      <w:b/>
      <w:bCs/>
    </w:rPr>
  </w:style>
  <w:style w:type="paragraph" w:customStyle="1" w:styleId="542">
    <w:name w:val="Normal_file_174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43">
    <w:name w:val="heading 1_file_1744"/>
    <w:basedOn w:val="542"/>
    <w:qFormat/>
    <w:uiPriority w:val="9"/>
    <w:pPr>
      <w:outlineLvl w:val="0"/>
    </w:pPr>
    <w:rPr>
      <w:kern w:val="36"/>
      <w:sz w:val="48"/>
      <w:szCs w:val="48"/>
    </w:rPr>
  </w:style>
  <w:style w:type="paragraph" w:customStyle="1" w:styleId="544">
    <w:name w:val="heading 2_file_1744"/>
    <w:basedOn w:val="542"/>
    <w:qFormat/>
    <w:uiPriority w:val="9"/>
    <w:pPr>
      <w:outlineLvl w:val="1"/>
    </w:pPr>
    <w:rPr>
      <w:sz w:val="36"/>
      <w:szCs w:val="36"/>
    </w:rPr>
  </w:style>
  <w:style w:type="paragraph" w:customStyle="1" w:styleId="545">
    <w:name w:val="heading 3_file_1744"/>
    <w:basedOn w:val="542"/>
    <w:qFormat/>
    <w:uiPriority w:val="9"/>
    <w:pPr>
      <w:outlineLvl w:val="2"/>
    </w:pPr>
    <w:rPr>
      <w:sz w:val="27"/>
      <w:szCs w:val="27"/>
    </w:rPr>
  </w:style>
  <w:style w:type="paragraph" w:customStyle="1" w:styleId="546">
    <w:name w:val="heading 4_file_1744"/>
    <w:basedOn w:val="542"/>
    <w:qFormat/>
    <w:uiPriority w:val="9"/>
    <w:pPr>
      <w:outlineLvl w:val="3"/>
    </w:pPr>
  </w:style>
  <w:style w:type="paragraph" w:customStyle="1" w:styleId="547">
    <w:name w:val="heading 5_file_1744"/>
    <w:basedOn w:val="542"/>
    <w:qFormat/>
    <w:uiPriority w:val="9"/>
    <w:pPr>
      <w:outlineLvl w:val="4"/>
    </w:pPr>
    <w:rPr>
      <w:sz w:val="20"/>
      <w:szCs w:val="20"/>
    </w:rPr>
  </w:style>
  <w:style w:type="paragraph" w:customStyle="1" w:styleId="548">
    <w:name w:val="heading 6_file_1744"/>
    <w:basedOn w:val="542"/>
    <w:qFormat/>
    <w:uiPriority w:val="9"/>
    <w:pPr>
      <w:outlineLvl w:val="5"/>
    </w:pPr>
    <w:rPr>
      <w:sz w:val="15"/>
      <w:szCs w:val="15"/>
    </w:rPr>
  </w:style>
  <w:style w:type="character" w:customStyle="1" w:styleId="549">
    <w:name w:val="Default Paragraph Font_file_1744"/>
    <w:semiHidden/>
    <w:unhideWhenUsed/>
    <w:qFormat/>
    <w:uiPriority w:val="1"/>
  </w:style>
  <w:style w:type="table" w:customStyle="1" w:styleId="550">
    <w:name w:val="Normal Table_file_1744"/>
    <w:semiHidden/>
    <w:unhideWhenUsed/>
    <w:qFormat/>
    <w:uiPriority w:val="99"/>
    <w:tblPr>
      <w:tblCellMar>
        <w:top w:w="0" w:type="dxa"/>
        <w:left w:w="108" w:type="dxa"/>
        <w:bottom w:w="0" w:type="dxa"/>
        <w:right w:w="108" w:type="dxa"/>
      </w:tblCellMar>
    </w:tblPr>
  </w:style>
  <w:style w:type="character" w:customStyle="1" w:styleId="551">
    <w:name w:val="Hyperlink_file_1744"/>
    <w:basedOn w:val="549"/>
    <w:semiHidden/>
    <w:unhideWhenUsed/>
    <w:qFormat/>
    <w:uiPriority w:val="99"/>
    <w:rPr>
      <w:color w:val="0782C1"/>
      <w:u w:val="single"/>
    </w:rPr>
  </w:style>
  <w:style w:type="character" w:customStyle="1" w:styleId="552">
    <w:name w:val="FollowedHyperlink_file_1744"/>
    <w:basedOn w:val="549"/>
    <w:semiHidden/>
    <w:unhideWhenUsed/>
    <w:qFormat/>
    <w:uiPriority w:val="99"/>
    <w:rPr>
      <w:color w:val="0782C1"/>
      <w:u w:val="single"/>
    </w:rPr>
  </w:style>
  <w:style w:type="character" w:customStyle="1" w:styleId="553">
    <w:name w:val="标题 1 Char_file_1744"/>
    <w:basedOn w:val="549"/>
    <w:link w:val="3"/>
    <w:qFormat/>
    <w:uiPriority w:val="9"/>
    <w:rPr>
      <w:rFonts w:ascii="宋体" w:hAnsi="宋体" w:eastAsia="宋体" w:cs="宋体"/>
      <w:b/>
      <w:bCs/>
      <w:kern w:val="44"/>
      <w:sz w:val="44"/>
      <w:szCs w:val="44"/>
    </w:rPr>
  </w:style>
  <w:style w:type="character" w:customStyle="1" w:styleId="554">
    <w:name w:val="标题 2 Char_file_1744"/>
    <w:basedOn w:val="549"/>
    <w:link w:val="4"/>
    <w:semiHidden/>
    <w:qFormat/>
    <w:uiPriority w:val="9"/>
    <w:rPr>
      <w:rFonts w:asciiTheme="majorHAnsi" w:hAnsiTheme="majorHAnsi" w:eastAsiaTheme="majorEastAsia" w:cstheme="majorBidi"/>
      <w:b/>
      <w:bCs/>
      <w:sz w:val="32"/>
      <w:szCs w:val="32"/>
    </w:rPr>
  </w:style>
  <w:style w:type="character" w:customStyle="1" w:styleId="555">
    <w:name w:val="标题 3 Char_file_1744"/>
    <w:basedOn w:val="549"/>
    <w:link w:val="5"/>
    <w:semiHidden/>
    <w:qFormat/>
    <w:uiPriority w:val="9"/>
    <w:rPr>
      <w:rFonts w:ascii="宋体" w:hAnsi="宋体" w:eastAsia="宋体" w:cs="宋体"/>
      <w:b/>
      <w:bCs/>
      <w:sz w:val="32"/>
      <w:szCs w:val="32"/>
    </w:rPr>
  </w:style>
  <w:style w:type="character" w:customStyle="1" w:styleId="556">
    <w:name w:val="标题 4 Char_file_1744"/>
    <w:basedOn w:val="549"/>
    <w:link w:val="6"/>
    <w:semiHidden/>
    <w:qFormat/>
    <w:uiPriority w:val="9"/>
    <w:rPr>
      <w:rFonts w:asciiTheme="majorHAnsi" w:hAnsiTheme="majorHAnsi" w:eastAsiaTheme="majorEastAsia" w:cstheme="majorBidi"/>
      <w:b/>
      <w:bCs/>
      <w:sz w:val="28"/>
      <w:szCs w:val="28"/>
    </w:rPr>
  </w:style>
  <w:style w:type="character" w:customStyle="1" w:styleId="557">
    <w:name w:val="标题 5 Char_file_1744"/>
    <w:basedOn w:val="549"/>
    <w:link w:val="7"/>
    <w:semiHidden/>
    <w:qFormat/>
    <w:uiPriority w:val="9"/>
    <w:rPr>
      <w:rFonts w:ascii="宋体" w:hAnsi="宋体" w:eastAsia="宋体" w:cs="宋体"/>
      <w:b/>
      <w:bCs/>
      <w:sz w:val="28"/>
      <w:szCs w:val="28"/>
    </w:rPr>
  </w:style>
  <w:style w:type="character" w:customStyle="1" w:styleId="558">
    <w:name w:val="标题 6 Char_file_1744"/>
    <w:basedOn w:val="549"/>
    <w:link w:val="9"/>
    <w:semiHidden/>
    <w:qFormat/>
    <w:uiPriority w:val="9"/>
    <w:rPr>
      <w:rFonts w:asciiTheme="majorHAnsi" w:hAnsiTheme="majorHAnsi" w:eastAsiaTheme="majorEastAsia" w:cstheme="majorBidi"/>
      <w:b/>
      <w:bCs/>
      <w:sz w:val="24"/>
      <w:szCs w:val="24"/>
    </w:rPr>
  </w:style>
  <w:style w:type="paragraph" w:customStyle="1" w:styleId="559">
    <w:name w:val="cke_editable_file_1744"/>
    <w:basedOn w:val="542"/>
    <w:qFormat/>
    <w:uiPriority w:val="0"/>
    <w:rPr>
      <w:rFonts w:ascii="仿宋_GB2312" w:eastAsia="仿宋_GB2312"/>
    </w:rPr>
  </w:style>
  <w:style w:type="paragraph" w:customStyle="1" w:styleId="560">
    <w:name w:val="marker_file_1744"/>
    <w:basedOn w:val="542"/>
    <w:qFormat/>
    <w:uiPriority w:val="0"/>
    <w:pPr>
      <w:shd w:val="clear" w:color="auto" w:fill="FFFF00"/>
    </w:pPr>
  </w:style>
  <w:style w:type="paragraph" w:customStyle="1" w:styleId="561">
    <w:name w:val="Normal (Web)_file_1744"/>
    <w:basedOn w:val="542"/>
    <w:semiHidden/>
    <w:unhideWhenUsed/>
    <w:qFormat/>
    <w:uiPriority w:val="99"/>
  </w:style>
  <w:style w:type="paragraph" w:customStyle="1" w:styleId="562">
    <w:name w:val="Normal_file_174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63">
    <w:name w:val="heading 1_file_1745"/>
    <w:basedOn w:val="562"/>
    <w:qFormat/>
    <w:uiPriority w:val="9"/>
    <w:pPr>
      <w:outlineLvl w:val="0"/>
    </w:pPr>
    <w:rPr>
      <w:kern w:val="36"/>
      <w:sz w:val="48"/>
      <w:szCs w:val="48"/>
    </w:rPr>
  </w:style>
  <w:style w:type="paragraph" w:customStyle="1" w:styleId="564">
    <w:name w:val="heading 2_file_1745"/>
    <w:basedOn w:val="562"/>
    <w:qFormat/>
    <w:uiPriority w:val="9"/>
    <w:pPr>
      <w:outlineLvl w:val="1"/>
    </w:pPr>
    <w:rPr>
      <w:sz w:val="36"/>
      <w:szCs w:val="36"/>
    </w:rPr>
  </w:style>
  <w:style w:type="paragraph" w:customStyle="1" w:styleId="565">
    <w:name w:val="heading 3_file_1745"/>
    <w:basedOn w:val="562"/>
    <w:qFormat/>
    <w:uiPriority w:val="9"/>
    <w:pPr>
      <w:outlineLvl w:val="2"/>
    </w:pPr>
    <w:rPr>
      <w:sz w:val="27"/>
      <w:szCs w:val="27"/>
    </w:rPr>
  </w:style>
  <w:style w:type="paragraph" w:customStyle="1" w:styleId="566">
    <w:name w:val="heading 4_file_1745"/>
    <w:basedOn w:val="562"/>
    <w:qFormat/>
    <w:uiPriority w:val="9"/>
    <w:pPr>
      <w:outlineLvl w:val="3"/>
    </w:pPr>
  </w:style>
  <w:style w:type="paragraph" w:customStyle="1" w:styleId="567">
    <w:name w:val="heading 5_file_1745"/>
    <w:basedOn w:val="562"/>
    <w:qFormat/>
    <w:uiPriority w:val="9"/>
    <w:pPr>
      <w:outlineLvl w:val="4"/>
    </w:pPr>
    <w:rPr>
      <w:sz w:val="20"/>
      <w:szCs w:val="20"/>
    </w:rPr>
  </w:style>
  <w:style w:type="paragraph" w:customStyle="1" w:styleId="568">
    <w:name w:val="heading 6_file_1745"/>
    <w:basedOn w:val="562"/>
    <w:qFormat/>
    <w:uiPriority w:val="9"/>
    <w:pPr>
      <w:outlineLvl w:val="5"/>
    </w:pPr>
    <w:rPr>
      <w:sz w:val="15"/>
      <w:szCs w:val="15"/>
    </w:rPr>
  </w:style>
  <w:style w:type="character" w:customStyle="1" w:styleId="569">
    <w:name w:val="Default Paragraph Font_file_1745"/>
    <w:semiHidden/>
    <w:unhideWhenUsed/>
    <w:qFormat/>
    <w:uiPriority w:val="1"/>
  </w:style>
  <w:style w:type="table" w:customStyle="1" w:styleId="570">
    <w:name w:val="Normal Table_file_1745"/>
    <w:semiHidden/>
    <w:unhideWhenUsed/>
    <w:qFormat/>
    <w:uiPriority w:val="99"/>
    <w:tblPr>
      <w:tblCellMar>
        <w:top w:w="0" w:type="dxa"/>
        <w:left w:w="108" w:type="dxa"/>
        <w:bottom w:w="0" w:type="dxa"/>
        <w:right w:w="108" w:type="dxa"/>
      </w:tblCellMar>
    </w:tblPr>
  </w:style>
  <w:style w:type="character" w:customStyle="1" w:styleId="571">
    <w:name w:val="Hyperlink_file_1745"/>
    <w:basedOn w:val="569"/>
    <w:semiHidden/>
    <w:unhideWhenUsed/>
    <w:qFormat/>
    <w:uiPriority w:val="99"/>
    <w:rPr>
      <w:color w:val="0782C1"/>
      <w:u w:val="single"/>
    </w:rPr>
  </w:style>
  <w:style w:type="character" w:customStyle="1" w:styleId="572">
    <w:name w:val="FollowedHyperlink_file_1745"/>
    <w:basedOn w:val="569"/>
    <w:semiHidden/>
    <w:unhideWhenUsed/>
    <w:qFormat/>
    <w:uiPriority w:val="99"/>
    <w:rPr>
      <w:color w:val="0782C1"/>
      <w:u w:val="single"/>
    </w:rPr>
  </w:style>
  <w:style w:type="character" w:customStyle="1" w:styleId="573">
    <w:name w:val="标题 1 Char_file_1745"/>
    <w:basedOn w:val="569"/>
    <w:link w:val="3"/>
    <w:qFormat/>
    <w:uiPriority w:val="9"/>
    <w:rPr>
      <w:rFonts w:ascii="宋体" w:hAnsi="宋体" w:eastAsia="宋体" w:cs="宋体"/>
      <w:b/>
      <w:bCs/>
      <w:kern w:val="44"/>
      <w:sz w:val="44"/>
      <w:szCs w:val="44"/>
    </w:rPr>
  </w:style>
  <w:style w:type="character" w:customStyle="1" w:styleId="574">
    <w:name w:val="标题 2 Char_file_1745"/>
    <w:basedOn w:val="569"/>
    <w:link w:val="4"/>
    <w:semiHidden/>
    <w:qFormat/>
    <w:uiPriority w:val="9"/>
    <w:rPr>
      <w:rFonts w:asciiTheme="majorHAnsi" w:hAnsiTheme="majorHAnsi" w:eastAsiaTheme="majorEastAsia" w:cstheme="majorBidi"/>
      <w:b/>
      <w:bCs/>
      <w:sz w:val="32"/>
      <w:szCs w:val="32"/>
    </w:rPr>
  </w:style>
  <w:style w:type="character" w:customStyle="1" w:styleId="575">
    <w:name w:val="标题 3 Char_file_1745"/>
    <w:basedOn w:val="569"/>
    <w:link w:val="5"/>
    <w:semiHidden/>
    <w:qFormat/>
    <w:uiPriority w:val="9"/>
    <w:rPr>
      <w:rFonts w:ascii="宋体" w:hAnsi="宋体" w:eastAsia="宋体" w:cs="宋体"/>
      <w:b/>
      <w:bCs/>
      <w:sz w:val="32"/>
      <w:szCs w:val="32"/>
    </w:rPr>
  </w:style>
  <w:style w:type="character" w:customStyle="1" w:styleId="576">
    <w:name w:val="标题 4 Char_file_1745"/>
    <w:basedOn w:val="569"/>
    <w:link w:val="6"/>
    <w:semiHidden/>
    <w:qFormat/>
    <w:uiPriority w:val="9"/>
    <w:rPr>
      <w:rFonts w:asciiTheme="majorHAnsi" w:hAnsiTheme="majorHAnsi" w:eastAsiaTheme="majorEastAsia" w:cstheme="majorBidi"/>
      <w:b/>
      <w:bCs/>
      <w:sz w:val="28"/>
      <w:szCs w:val="28"/>
    </w:rPr>
  </w:style>
  <w:style w:type="character" w:customStyle="1" w:styleId="577">
    <w:name w:val="标题 5 Char_file_1745"/>
    <w:basedOn w:val="569"/>
    <w:link w:val="7"/>
    <w:semiHidden/>
    <w:qFormat/>
    <w:uiPriority w:val="9"/>
    <w:rPr>
      <w:rFonts w:ascii="宋体" w:hAnsi="宋体" w:eastAsia="宋体" w:cs="宋体"/>
      <w:b/>
      <w:bCs/>
      <w:sz w:val="28"/>
      <w:szCs w:val="28"/>
    </w:rPr>
  </w:style>
  <w:style w:type="character" w:customStyle="1" w:styleId="578">
    <w:name w:val="标题 6 Char_file_1745"/>
    <w:basedOn w:val="569"/>
    <w:link w:val="9"/>
    <w:semiHidden/>
    <w:qFormat/>
    <w:uiPriority w:val="9"/>
    <w:rPr>
      <w:rFonts w:asciiTheme="majorHAnsi" w:hAnsiTheme="majorHAnsi" w:eastAsiaTheme="majorEastAsia" w:cstheme="majorBidi"/>
      <w:b/>
      <w:bCs/>
      <w:sz w:val="24"/>
      <w:szCs w:val="24"/>
    </w:rPr>
  </w:style>
  <w:style w:type="paragraph" w:customStyle="1" w:styleId="579">
    <w:name w:val="cke_editable_file_1745"/>
    <w:basedOn w:val="562"/>
    <w:qFormat/>
    <w:uiPriority w:val="0"/>
    <w:rPr>
      <w:rFonts w:ascii="仿宋_GB2312" w:eastAsia="仿宋_GB2312"/>
    </w:rPr>
  </w:style>
  <w:style w:type="paragraph" w:customStyle="1" w:styleId="580">
    <w:name w:val="marker_file_1745"/>
    <w:basedOn w:val="562"/>
    <w:qFormat/>
    <w:uiPriority w:val="0"/>
    <w:pPr>
      <w:shd w:val="clear" w:color="auto" w:fill="FFFF00"/>
    </w:pPr>
  </w:style>
  <w:style w:type="paragraph" w:customStyle="1" w:styleId="581">
    <w:name w:val="Normal (Web)_file_1745"/>
    <w:basedOn w:val="562"/>
    <w:semiHidden/>
    <w:unhideWhenUsed/>
    <w:qFormat/>
    <w:uiPriority w:val="99"/>
  </w:style>
  <w:style w:type="paragraph" w:customStyle="1" w:styleId="582">
    <w:name w:val="Normal_file_174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83">
    <w:name w:val="heading 1_file_1746"/>
    <w:basedOn w:val="582"/>
    <w:qFormat/>
    <w:uiPriority w:val="9"/>
    <w:pPr>
      <w:outlineLvl w:val="0"/>
    </w:pPr>
    <w:rPr>
      <w:kern w:val="36"/>
      <w:sz w:val="48"/>
      <w:szCs w:val="48"/>
    </w:rPr>
  </w:style>
  <w:style w:type="paragraph" w:customStyle="1" w:styleId="584">
    <w:name w:val="heading 2_file_1746"/>
    <w:basedOn w:val="582"/>
    <w:qFormat/>
    <w:uiPriority w:val="9"/>
    <w:pPr>
      <w:outlineLvl w:val="1"/>
    </w:pPr>
    <w:rPr>
      <w:sz w:val="36"/>
      <w:szCs w:val="36"/>
    </w:rPr>
  </w:style>
  <w:style w:type="paragraph" w:customStyle="1" w:styleId="585">
    <w:name w:val="heading 3_file_1746"/>
    <w:basedOn w:val="582"/>
    <w:qFormat/>
    <w:uiPriority w:val="9"/>
    <w:pPr>
      <w:outlineLvl w:val="2"/>
    </w:pPr>
    <w:rPr>
      <w:sz w:val="27"/>
      <w:szCs w:val="27"/>
    </w:rPr>
  </w:style>
  <w:style w:type="paragraph" w:customStyle="1" w:styleId="586">
    <w:name w:val="heading 4_file_1746"/>
    <w:basedOn w:val="582"/>
    <w:qFormat/>
    <w:uiPriority w:val="9"/>
    <w:pPr>
      <w:outlineLvl w:val="3"/>
    </w:pPr>
  </w:style>
  <w:style w:type="paragraph" w:customStyle="1" w:styleId="587">
    <w:name w:val="heading 5_file_1746"/>
    <w:basedOn w:val="582"/>
    <w:qFormat/>
    <w:uiPriority w:val="9"/>
    <w:pPr>
      <w:outlineLvl w:val="4"/>
    </w:pPr>
    <w:rPr>
      <w:sz w:val="20"/>
      <w:szCs w:val="20"/>
    </w:rPr>
  </w:style>
  <w:style w:type="paragraph" w:customStyle="1" w:styleId="588">
    <w:name w:val="heading 6_file_1746"/>
    <w:basedOn w:val="582"/>
    <w:qFormat/>
    <w:uiPriority w:val="9"/>
    <w:pPr>
      <w:outlineLvl w:val="5"/>
    </w:pPr>
    <w:rPr>
      <w:sz w:val="15"/>
      <w:szCs w:val="15"/>
    </w:rPr>
  </w:style>
  <w:style w:type="character" w:customStyle="1" w:styleId="589">
    <w:name w:val="Default Paragraph Font_file_1746"/>
    <w:semiHidden/>
    <w:unhideWhenUsed/>
    <w:qFormat/>
    <w:uiPriority w:val="1"/>
  </w:style>
  <w:style w:type="table" w:customStyle="1" w:styleId="590">
    <w:name w:val="Normal Table_file_1746"/>
    <w:semiHidden/>
    <w:unhideWhenUsed/>
    <w:qFormat/>
    <w:uiPriority w:val="99"/>
    <w:tblPr>
      <w:tblCellMar>
        <w:top w:w="0" w:type="dxa"/>
        <w:left w:w="108" w:type="dxa"/>
        <w:bottom w:w="0" w:type="dxa"/>
        <w:right w:w="108" w:type="dxa"/>
      </w:tblCellMar>
    </w:tblPr>
  </w:style>
  <w:style w:type="character" w:customStyle="1" w:styleId="591">
    <w:name w:val="Hyperlink_file_1746"/>
    <w:basedOn w:val="589"/>
    <w:semiHidden/>
    <w:unhideWhenUsed/>
    <w:qFormat/>
    <w:uiPriority w:val="99"/>
    <w:rPr>
      <w:color w:val="0782C1"/>
      <w:u w:val="single"/>
    </w:rPr>
  </w:style>
  <w:style w:type="character" w:customStyle="1" w:styleId="592">
    <w:name w:val="FollowedHyperlink_file_1746"/>
    <w:basedOn w:val="589"/>
    <w:semiHidden/>
    <w:unhideWhenUsed/>
    <w:qFormat/>
    <w:uiPriority w:val="99"/>
    <w:rPr>
      <w:color w:val="0782C1"/>
      <w:u w:val="single"/>
    </w:rPr>
  </w:style>
  <w:style w:type="character" w:customStyle="1" w:styleId="593">
    <w:name w:val="标题 1 Char_file_1746"/>
    <w:basedOn w:val="589"/>
    <w:link w:val="3"/>
    <w:qFormat/>
    <w:uiPriority w:val="9"/>
    <w:rPr>
      <w:rFonts w:ascii="宋体" w:hAnsi="宋体" w:eastAsia="宋体" w:cs="宋体"/>
      <w:b/>
      <w:bCs/>
      <w:kern w:val="44"/>
      <w:sz w:val="44"/>
      <w:szCs w:val="44"/>
    </w:rPr>
  </w:style>
  <w:style w:type="character" w:customStyle="1" w:styleId="594">
    <w:name w:val="标题 2 Char_file_1746"/>
    <w:basedOn w:val="589"/>
    <w:link w:val="4"/>
    <w:semiHidden/>
    <w:qFormat/>
    <w:uiPriority w:val="9"/>
    <w:rPr>
      <w:rFonts w:asciiTheme="majorHAnsi" w:hAnsiTheme="majorHAnsi" w:eastAsiaTheme="majorEastAsia" w:cstheme="majorBidi"/>
      <w:b/>
      <w:bCs/>
      <w:sz w:val="32"/>
      <w:szCs w:val="32"/>
    </w:rPr>
  </w:style>
  <w:style w:type="character" w:customStyle="1" w:styleId="595">
    <w:name w:val="标题 3 Char_file_1746"/>
    <w:basedOn w:val="589"/>
    <w:link w:val="5"/>
    <w:semiHidden/>
    <w:qFormat/>
    <w:uiPriority w:val="9"/>
    <w:rPr>
      <w:rFonts w:ascii="宋体" w:hAnsi="宋体" w:eastAsia="宋体" w:cs="宋体"/>
      <w:b/>
      <w:bCs/>
      <w:sz w:val="32"/>
      <w:szCs w:val="32"/>
    </w:rPr>
  </w:style>
  <w:style w:type="character" w:customStyle="1" w:styleId="596">
    <w:name w:val="标题 4 Char_file_1746"/>
    <w:basedOn w:val="589"/>
    <w:link w:val="6"/>
    <w:semiHidden/>
    <w:qFormat/>
    <w:uiPriority w:val="9"/>
    <w:rPr>
      <w:rFonts w:asciiTheme="majorHAnsi" w:hAnsiTheme="majorHAnsi" w:eastAsiaTheme="majorEastAsia" w:cstheme="majorBidi"/>
      <w:b/>
      <w:bCs/>
      <w:sz w:val="28"/>
      <w:szCs w:val="28"/>
    </w:rPr>
  </w:style>
  <w:style w:type="character" w:customStyle="1" w:styleId="597">
    <w:name w:val="标题 5 Char_file_1746"/>
    <w:basedOn w:val="589"/>
    <w:link w:val="7"/>
    <w:semiHidden/>
    <w:qFormat/>
    <w:uiPriority w:val="9"/>
    <w:rPr>
      <w:rFonts w:ascii="宋体" w:hAnsi="宋体" w:eastAsia="宋体" w:cs="宋体"/>
      <w:b/>
      <w:bCs/>
      <w:sz w:val="28"/>
      <w:szCs w:val="28"/>
    </w:rPr>
  </w:style>
  <w:style w:type="character" w:customStyle="1" w:styleId="598">
    <w:name w:val="标题 6 Char_file_1746"/>
    <w:basedOn w:val="589"/>
    <w:link w:val="9"/>
    <w:semiHidden/>
    <w:qFormat/>
    <w:uiPriority w:val="9"/>
    <w:rPr>
      <w:rFonts w:asciiTheme="majorHAnsi" w:hAnsiTheme="majorHAnsi" w:eastAsiaTheme="majorEastAsia" w:cstheme="majorBidi"/>
      <w:b/>
      <w:bCs/>
      <w:sz w:val="24"/>
      <w:szCs w:val="24"/>
    </w:rPr>
  </w:style>
  <w:style w:type="paragraph" w:customStyle="1" w:styleId="599">
    <w:name w:val="cke_editable_file_1746"/>
    <w:basedOn w:val="582"/>
    <w:qFormat/>
    <w:uiPriority w:val="0"/>
    <w:rPr>
      <w:rFonts w:ascii="仿宋_GB2312" w:eastAsia="仿宋_GB2312"/>
    </w:rPr>
  </w:style>
  <w:style w:type="paragraph" w:customStyle="1" w:styleId="600">
    <w:name w:val="marker_file_1746"/>
    <w:basedOn w:val="582"/>
    <w:qFormat/>
    <w:uiPriority w:val="0"/>
    <w:pPr>
      <w:shd w:val="clear" w:color="auto" w:fill="FFFF00"/>
    </w:pPr>
  </w:style>
  <w:style w:type="paragraph" w:customStyle="1" w:styleId="601">
    <w:name w:val="Normal (Web)_file_1746"/>
    <w:basedOn w:val="582"/>
    <w:semiHidden/>
    <w:unhideWhenUsed/>
    <w:qFormat/>
    <w:uiPriority w:val="99"/>
  </w:style>
  <w:style w:type="paragraph" w:customStyle="1" w:styleId="602">
    <w:name w:val="Normal_file_174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03">
    <w:name w:val="heading 1_file_1747"/>
    <w:basedOn w:val="602"/>
    <w:qFormat/>
    <w:uiPriority w:val="9"/>
    <w:pPr>
      <w:outlineLvl w:val="0"/>
    </w:pPr>
    <w:rPr>
      <w:kern w:val="36"/>
      <w:sz w:val="48"/>
      <w:szCs w:val="48"/>
    </w:rPr>
  </w:style>
  <w:style w:type="paragraph" w:customStyle="1" w:styleId="604">
    <w:name w:val="heading 2_file_1747"/>
    <w:basedOn w:val="602"/>
    <w:qFormat/>
    <w:uiPriority w:val="9"/>
    <w:pPr>
      <w:outlineLvl w:val="1"/>
    </w:pPr>
    <w:rPr>
      <w:sz w:val="36"/>
      <w:szCs w:val="36"/>
    </w:rPr>
  </w:style>
  <w:style w:type="paragraph" w:customStyle="1" w:styleId="605">
    <w:name w:val="heading 3_file_1747"/>
    <w:basedOn w:val="602"/>
    <w:qFormat/>
    <w:uiPriority w:val="9"/>
    <w:pPr>
      <w:outlineLvl w:val="2"/>
    </w:pPr>
    <w:rPr>
      <w:sz w:val="27"/>
      <w:szCs w:val="27"/>
    </w:rPr>
  </w:style>
  <w:style w:type="paragraph" w:customStyle="1" w:styleId="606">
    <w:name w:val="heading 4_file_1747"/>
    <w:basedOn w:val="602"/>
    <w:qFormat/>
    <w:uiPriority w:val="9"/>
    <w:pPr>
      <w:outlineLvl w:val="3"/>
    </w:pPr>
  </w:style>
  <w:style w:type="paragraph" w:customStyle="1" w:styleId="607">
    <w:name w:val="heading 5_file_1747"/>
    <w:basedOn w:val="602"/>
    <w:qFormat/>
    <w:uiPriority w:val="9"/>
    <w:pPr>
      <w:outlineLvl w:val="4"/>
    </w:pPr>
    <w:rPr>
      <w:sz w:val="20"/>
      <w:szCs w:val="20"/>
    </w:rPr>
  </w:style>
  <w:style w:type="paragraph" w:customStyle="1" w:styleId="608">
    <w:name w:val="heading 6_file_1747"/>
    <w:basedOn w:val="602"/>
    <w:qFormat/>
    <w:uiPriority w:val="9"/>
    <w:pPr>
      <w:outlineLvl w:val="5"/>
    </w:pPr>
    <w:rPr>
      <w:sz w:val="15"/>
      <w:szCs w:val="15"/>
    </w:rPr>
  </w:style>
  <w:style w:type="character" w:customStyle="1" w:styleId="609">
    <w:name w:val="Default Paragraph Font_file_1747"/>
    <w:semiHidden/>
    <w:unhideWhenUsed/>
    <w:qFormat/>
    <w:uiPriority w:val="1"/>
  </w:style>
  <w:style w:type="table" w:customStyle="1" w:styleId="610">
    <w:name w:val="Normal Table_file_1747"/>
    <w:semiHidden/>
    <w:unhideWhenUsed/>
    <w:qFormat/>
    <w:uiPriority w:val="99"/>
    <w:tblPr>
      <w:tblCellMar>
        <w:top w:w="0" w:type="dxa"/>
        <w:left w:w="108" w:type="dxa"/>
        <w:bottom w:w="0" w:type="dxa"/>
        <w:right w:w="108" w:type="dxa"/>
      </w:tblCellMar>
    </w:tblPr>
  </w:style>
  <w:style w:type="character" w:customStyle="1" w:styleId="611">
    <w:name w:val="Hyperlink_file_1747"/>
    <w:basedOn w:val="609"/>
    <w:semiHidden/>
    <w:unhideWhenUsed/>
    <w:qFormat/>
    <w:uiPriority w:val="99"/>
    <w:rPr>
      <w:color w:val="0782C1"/>
      <w:u w:val="single"/>
    </w:rPr>
  </w:style>
  <w:style w:type="character" w:customStyle="1" w:styleId="612">
    <w:name w:val="FollowedHyperlink_file_1747"/>
    <w:basedOn w:val="609"/>
    <w:semiHidden/>
    <w:unhideWhenUsed/>
    <w:qFormat/>
    <w:uiPriority w:val="99"/>
    <w:rPr>
      <w:color w:val="0782C1"/>
      <w:u w:val="single"/>
    </w:rPr>
  </w:style>
  <w:style w:type="character" w:customStyle="1" w:styleId="613">
    <w:name w:val="标题 1 Char_file_1747"/>
    <w:basedOn w:val="609"/>
    <w:link w:val="3"/>
    <w:qFormat/>
    <w:uiPriority w:val="9"/>
    <w:rPr>
      <w:rFonts w:ascii="宋体" w:hAnsi="宋体" w:eastAsia="宋体" w:cs="宋体"/>
      <w:b/>
      <w:bCs/>
      <w:kern w:val="44"/>
      <w:sz w:val="44"/>
      <w:szCs w:val="44"/>
    </w:rPr>
  </w:style>
  <w:style w:type="character" w:customStyle="1" w:styleId="614">
    <w:name w:val="标题 2 Char_file_1747"/>
    <w:basedOn w:val="609"/>
    <w:link w:val="4"/>
    <w:semiHidden/>
    <w:qFormat/>
    <w:uiPriority w:val="9"/>
    <w:rPr>
      <w:rFonts w:asciiTheme="majorHAnsi" w:hAnsiTheme="majorHAnsi" w:eastAsiaTheme="majorEastAsia" w:cstheme="majorBidi"/>
      <w:b/>
      <w:bCs/>
      <w:sz w:val="32"/>
      <w:szCs w:val="32"/>
    </w:rPr>
  </w:style>
  <w:style w:type="character" w:customStyle="1" w:styleId="615">
    <w:name w:val="标题 3 Char_file_1747"/>
    <w:basedOn w:val="609"/>
    <w:link w:val="5"/>
    <w:semiHidden/>
    <w:qFormat/>
    <w:uiPriority w:val="9"/>
    <w:rPr>
      <w:rFonts w:ascii="宋体" w:hAnsi="宋体" w:eastAsia="宋体" w:cs="宋体"/>
      <w:b/>
      <w:bCs/>
      <w:sz w:val="32"/>
      <w:szCs w:val="32"/>
    </w:rPr>
  </w:style>
  <w:style w:type="character" w:customStyle="1" w:styleId="616">
    <w:name w:val="标题 4 Char_file_1747"/>
    <w:basedOn w:val="609"/>
    <w:link w:val="6"/>
    <w:semiHidden/>
    <w:qFormat/>
    <w:uiPriority w:val="9"/>
    <w:rPr>
      <w:rFonts w:asciiTheme="majorHAnsi" w:hAnsiTheme="majorHAnsi" w:eastAsiaTheme="majorEastAsia" w:cstheme="majorBidi"/>
      <w:b/>
      <w:bCs/>
      <w:sz w:val="28"/>
      <w:szCs w:val="28"/>
    </w:rPr>
  </w:style>
  <w:style w:type="character" w:customStyle="1" w:styleId="617">
    <w:name w:val="标题 5 Char_file_1747"/>
    <w:basedOn w:val="609"/>
    <w:link w:val="7"/>
    <w:semiHidden/>
    <w:qFormat/>
    <w:uiPriority w:val="9"/>
    <w:rPr>
      <w:rFonts w:ascii="宋体" w:hAnsi="宋体" w:eastAsia="宋体" w:cs="宋体"/>
      <w:b/>
      <w:bCs/>
      <w:sz w:val="28"/>
      <w:szCs w:val="28"/>
    </w:rPr>
  </w:style>
  <w:style w:type="character" w:customStyle="1" w:styleId="618">
    <w:name w:val="标题 6 Char_file_1747"/>
    <w:basedOn w:val="609"/>
    <w:link w:val="9"/>
    <w:semiHidden/>
    <w:qFormat/>
    <w:uiPriority w:val="9"/>
    <w:rPr>
      <w:rFonts w:asciiTheme="majorHAnsi" w:hAnsiTheme="majorHAnsi" w:eastAsiaTheme="majorEastAsia" w:cstheme="majorBidi"/>
      <w:b/>
      <w:bCs/>
      <w:sz w:val="24"/>
      <w:szCs w:val="24"/>
    </w:rPr>
  </w:style>
  <w:style w:type="paragraph" w:customStyle="1" w:styleId="619">
    <w:name w:val="cke_editable_file_1747"/>
    <w:basedOn w:val="602"/>
    <w:qFormat/>
    <w:uiPriority w:val="0"/>
    <w:rPr>
      <w:rFonts w:ascii="仿宋_GB2312" w:eastAsia="仿宋_GB2312"/>
    </w:rPr>
  </w:style>
  <w:style w:type="paragraph" w:customStyle="1" w:styleId="620">
    <w:name w:val="marker_file_1747"/>
    <w:basedOn w:val="602"/>
    <w:qFormat/>
    <w:uiPriority w:val="0"/>
    <w:pPr>
      <w:shd w:val="clear" w:color="auto" w:fill="FFFF00"/>
    </w:pPr>
  </w:style>
  <w:style w:type="paragraph" w:customStyle="1" w:styleId="621">
    <w:name w:val="Normal (Web)_file_1747"/>
    <w:basedOn w:val="602"/>
    <w:semiHidden/>
    <w:unhideWhenUsed/>
    <w:qFormat/>
    <w:uiPriority w:val="99"/>
  </w:style>
  <w:style w:type="paragraph" w:customStyle="1" w:styleId="622">
    <w:name w:val="Normal_file_174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23">
    <w:name w:val="heading 1_file_1748"/>
    <w:basedOn w:val="622"/>
    <w:qFormat/>
    <w:uiPriority w:val="9"/>
    <w:pPr>
      <w:outlineLvl w:val="0"/>
    </w:pPr>
    <w:rPr>
      <w:kern w:val="36"/>
      <w:sz w:val="48"/>
      <w:szCs w:val="48"/>
    </w:rPr>
  </w:style>
  <w:style w:type="paragraph" w:customStyle="1" w:styleId="624">
    <w:name w:val="heading 2_file_1748"/>
    <w:basedOn w:val="622"/>
    <w:qFormat/>
    <w:uiPriority w:val="9"/>
    <w:pPr>
      <w:outlineLvl w:val="1"/>
    </w:pPr>
    <w:rPr>
      <w:sz w:val="36"/>
      <w:szCs w:val="36"/>
    </w:rPr>
  </w:style>
  <w:style w:type="paragraph" w:customStyle="1" w:styleId="625">
    <w:name w:val="heading 3_file_1748"/>
    <w:basedOn w:val="622"/>
    <w:qFormat/>
    <w:uiPriority w:val="9"/>
    <w:pPr>
      <w:outlineLvl w:val="2"/>
    </w:pPr>
    <w:rPr>
      <w:sz w:val="27"/>
      <w:szCs w:val="27"/>
    </w:rPr>
  </w:style>
  <w:style w:type="paragraph" w:customStyle="1" w:styleId="626">
    <w:name w:val="heading 4_file_1748"/>
    <w:basedOn w:val="622"/>
    <w:qFormat/>
    <w:uiPriority w:val="9"/>
    <w:pPr>
      <w:outlineLvl w:val="3"/>
    </w:pPr>
  </w:style>
  <w:style w:type="paragraph" w:customStyle="1" w:styleId="627">
    <w:name w:val="heading 5_file_1748"/>
    <w:basedOn w:val="622"/>
    <w:qFormat/>
    <w:uiPriority w:val="9"/>
    <w:pPr>
      <w:outlineLvl w:val="4"/>
    </w:pPr>
    <w:rPr>
      <w:sz w:val="20"/>
      <w:szCs w:val="20"/>
    </w:rPr>
  </w:style>
  <w:style w:type="paragraph" w:customStyle="1" w:styleId="628">
    <w:name w:val="heading 6_file_1748"/>
    <w:basedOn w:val="622"/>
    <w:qFormat/>
    <w:uiPriority w:val="9"/>
    <w:pPr>
      <w:outlineLvl w:val="5"/>
    </w:pPr>
    <w:rPr>
      <w:sz w:val="15"/>
      <w:szCs w:val="15"/>
    </w:rPr>
  </w:style>
  <w:style w:type="character" w:customStyle="1" w:styleId="629">
    <w:name w:val="Default Paragraph Font_file_1748"/>
    <w:semiHidden/>
    <w:unhideWhenUsed/>
    <w:qFormat/>
    <w:uiPriority w:val="1"/>
  </w:style>
  <w:style w:type="table" w:customStyle="1" w:styleId="630">
    <w:name w:val="Normal Table_file_1748"/>
    <w:semiHidden/>
    <w:unhideWhenUsed/>
    <w:qFormat/>
    <w:uiPriority w:val="99"/>
    <w:tblPr>
      <w:tblCellMar>
        <w:top w:w="0" w:type="dxa"/>
        <w:left w:w="108" w:type="dxa"/>
        <w:bottom w:w="0" w:type="dxa"/>
        <w:right w:w="108" w:type="dxa"/>
      </w:tblCellMar>
    </w:tblPr>
  </w:style>
  <w:style w:type="character" w:customStyle="1" w:styleId="631">
    <w:name w:val="Hyperlink_file_1748"/>
    <w:basedOn w:val="629"/>
    <w:semiHidden/>
    <w:unhideWhenUsed/>
    <w:qFormat/>
    <w:uiPriority w:val="99"/>
    <w:rPr>
      <w:color w:val="0782C1"/>
      <w:u w:val="single"/>
    </w:rPr>
  </w:style>
  <w:style w:type="character" w:customStyle="1" w:styleId="632">
    <w:name w:val="FollowedHyperlink_file_1748"/>
    <w:basedOn w:val="629"/>
    <w:semiHidden/>
    <w:unhideWhenUsed/>
    <w:qFormat/>
    <w:uiPriority w:val="99"/>
    <w:rPr>
      <w:color w:val="0782C1"/>
      <w:u w:val="single"/>
    </w:rPr>
  </w:style>
  <w:style w:type="character" w:customStyle="1" w:styleId="633">
    <w:name w:val="标题 1 Char_file_1748"/>
    <w:basedOn w:val="629"/>
    <w:link w:val="3"/>
    <w:qFormat/>
    <w:uiPriority w:val="9"/>
    <w:rPr>
      <w:rFonts w:ascii="宋体" w:hAnsi="宋体" w:eastAsia="宋体" w:cs="宋体"/>
      <w:b/>
      <w:bCs/>
      <w:kern w:val="44"/>
      <w:sz w:val="44"/>
      <w:szCs w:val="44"/>
    </w:rPr>
  </w:style>
  <w:style w:type="character" w:customStyle="1" w:styleId="634">
    <w:name w:val="标题 2 Char_file_1748"/>
    <w:basedOn w:val="629"/>
    <w:link w:val="4"/>
    <w:semiHidden/>
    <w:qFormat/>
    <w:uiPriority w:val="9"/>
    <w:rPr>
      <w:rFonts w:asciiTheme="majorHAnsi" w:hAnsiTheme="majorHAnsi" w:eastAsiaTheme="majorEastAsia" w:cstheme="majorBidi"/>
      <w:b/>
      <w:bCs/>
      <w:sz w:val="32"/>
      <w:szCs w:val="32"/>
    </w:rPr>
  </w:style>
  <w:style w:type="character" w:customStyle="1" w:styleId="635">
    <w:name w:val="标题 3 Char_file_1748"/>
    <w:basedOn w:val="629"/>
    <w:link w:val="5"/>
    <w:semiHidden/>
    <w:qFormat/>
    <w:uiPriority w:val="9"/>
    <w:rPr>
      <w:rFonts w:ascii="宋体" w:hAnsi="宋体" w:eastAsia="宋体" w:cs="宋体"/>
      <w:b/>
      <w:bCs/>
      <w:sz w:val="32"/>
      <w:szCs w:val="32"/>
    </w:rPr>
  </w:style>
  <w:style w:type="character" w:customStyle="1" w:styleId="636">
    <w:name w:val="标题 4 Char_file_1748"/>
    <w:basedOn w:val="629"/>
    <w:link w:val="6"/>
    <w:semiHidden/>
    <w:qFormat/>
    <w:uiPriority w:val="9"/>
    <w:rPr>
      <w:rFonts w:asciiTheme="majorHAnsi" w:hAnsiTheme="majorHAnsi" w:eastAsiaTheme="majorEastAsia" w:cstheme="majorBidi"/>
      <w:b/>
      <w:bCs/>
      <w:sz w:val="28"/>
      <w:szCs w:val="28"/>
    </w:rPr>
  </w:style>
  <w:style w:type="character" w:customStyle="1" w:styleId="637">
    <w:name w:val="标题 5 Char_file_1748"/>
    <w:basedOn w:val="629"/>
    <w:link w:val="7"/>
    <w:semiHidden/>
    <w:qFormat/>
    <w:uiPriority w:val="9"/>
    <w:rPr>
      <w:rFonts w:ascii="宋体" w:hAnsi="宋体" w:eastAsia="宋体" w:cs="宋体"/>
      <w:b/>
      <w:bCs/>
      <w:sz w:val="28"/>
      <w:szCs w:val="28"/>
    </w:rPr>
  </w:style>
  <w:style w:type="character" w:customStyle="1" w:styleId="638">
    <w:name w:val="标题 6 Char_file_1748"/>
    <w:basedOn w:val="629"/>
    <w:link w:val="9"/>
    <w:semiHidden/>
    <w:qFormat/>
    <w:uiPriority w:val="9"/>
    <w:rPr>
      <w:rFonts w:asciiTheme="majorHAnsi" w:hAnsiTheme="majorHAnsi" w:eastAsiaTheme="majorEastAsia" w:cstheme="majorBidi"/>
      <w:b/>
      <w:bCs/>
      <w:sz w:val="24"/>
      <w:szCs w:val="24"/>
    </w:rPr>
  </w:style>
  <w:style w:type="paragraph" w:customStyle="1" w:styleId="639">
    <w:name w:val="cke_editable_file_1748"/>
    <w:basedOn w:val="622"/>
    <w:qFormat/>
    <w:uiPriority w:val="0"/>
    <w:rPr>
      <w:rFonts w:ascii="仿宋_GB2312" w:eastAsia="仿宋_GB2312"/>
    </w:rPr>
  </w:style>
  <w:style w:type="paragraph" w:customStyle="1" w:styleId="640">
    <w:name w:val="marker_file_1748"/>
    <w:basedOn w:val="622"/>
    <w:qFormat/>
    <w:uiPriority w:val="0"/>
    <w:pPr>
      <w:shd w:val="clear" w:color="auto" w:fill="FFFF00"/>
    </w:pPr>
  </w:style>
  <w:style w:type="paragraph" w:customStyle="1" w:styleId="641">
    <w:name w:val="Normal (Web)_file_1748"/>
    <w:basedOn w:val="622"/>
    <w:semiHidden/>
    <w:unhideWhenUsed/>
    <w:qFormat/>
    <w:uiPriority w:val="99"/>
  </w:style>
  <w:style w:type="paragraph" w:customStyle="1" w:styleId="642">
    <w:name w:val="Normal_file_174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43">
    <w:name w:val="heading 1_file_1749"/>
    <w:basedOn w:val="642"/>
    <w:qFormat/>
    <w:uiPriority w:val="9"/>
    <w:pPr>
      <w:outlineLvl w:val="0"/>
    </w:pPr>
    <w:rPr>
      <w:kern w:val="36"/>
      <w:sz w:val="48"/>
      <w:szCs w:val="48"/>
    </w:rPr>
  </w:style>
  <w:style w:type="paragraph" w:customStyle="1" w:styleId="644">
    <w:name w:val="heading 2_file_1749"/>
    <w:basedOn w:val="642"/>
    <w:qFormat/>
    <w:uiPriority w:val="9"/>
    <w:pPr>
      <w:outlineLvl w:val="1"/>
    </w:pPr>
    <w:rPr>
      <w:sz w:val="36"/>
      <w:szCs w:val="36"/>
    </w:rPr>
  </w:style>
  <w:style w:type="paragraph" w:customStyle="1" w:styleId="645">
    <w:name w:val="heading 3_file_1749"/>
    <w:basedOn w:val="642"/>
    <w:qFormat/>
    <w:uiPriority w:val="9"/>
    <w:pPr>
      <w:outlineLvl w:val="2"/>
    </w:pPr>
    <w:rPr>
      <w:sz w:val="27"/>
      <w:szCs w:val="27"/>
    </w:rPr>
  </w:style>
  <w:style w:type="paragraph" w:customStyle="1" w:styleId="646">
    <w:name w:val="heading 4_file_1749"/>
    <w:basedOn w:val="642"/>
    <w:qFormat/>
    <w:uiPriority w:val="9"/>
    <w:pPr>
      <w:outlineLvl w:val="3"/>
    </w:pPr>
  </w:style>
  <w:style w:type="paragraph" w:customStyle="1" w:styleId="647">
    <w:name w:val="heading 5_file_1749"/>
    <w:basedOn w:val="642"/>
    <w:qFormat/>
    <w:uiPriority w:val="9"/>
    <w:pPr>
      <w:outlineLvl w:val="4"/>
    </w:pPr>
    <w:rPr>
      <w:sz w:val="20"/>
      <w:szCs w:val="20"/>
    </w:rPr>
  </w:style>
  <w:style w:type="paragraph" w:customStyle="1" w:styleId="648">
    <w:name w:val="heading 6_file_1749"/>
    <w:basedOn w:val="642"/>
    <w:qFormat/>
    <w:uiPriority w:val="9"/>
    <w:pPr>
      <w:outlineLvl w:val="5"/>
    </w:pPr>
    <w:rPr>
      <w:sz w:val="15"/>
      <w:szCs w:val="15"/>
    </w:rPr>
  </w:style>
  <w:style w:type="character" w:customStyle="1" w:styleId="649">
    <w:name w:val="Default Paragraph Font_file_1749"/>
    <w:semiHidden/>
    <w:unhideWhenUsed/>
    <w:qFormat/>
    <w:uiPriority w:val="1"/>
  </w:style>
  <w:style w:type="table" w:customStyle="1" w:styleId="650">
    <w:name w:val="Normal Table_file_1749"/>
    <w:semiHidden/>
    <w:unhideWhenUsed/>
    <w:qFormat/>
    <w:uiPriority w:val="99"/>
    <w:tblPr>
      <w:tblCellMar>
        <w:top w:w="0" w:type="dxa"/>
        <w:left w:w="108" w:type="dxa"/>
        <w:bottom w:w="0" w:type="dxa"/>
        <w:right w:w="108" w:type="dxa"/>
      </w:tblCellMar>
    </w:tblPr>
  </w:style>
  <w:style w:type="character" w:customStyle="1" w:styleId="651">
    <w:name w:val="Hyperlink_file_1749"/>
    <w:basedOn w:val="649"/>
    <w:semiHidden/>
    <w:unhideWhenUsed/>
    <w:qFormat/>
    <w:uiPriority w:val="99"/>
    <w:rPr>
      <w:color w:val="0782C1"/>
      <w:u w:val="single"/>
    </w:rPr>
  </w:style>
  <w:style w:type="character" w:customStyle="1" w:styleId="652">
    <w:name w:val="FollowedHyperlink_file_1749"/>
    <w:basedOn w:val="649"/>
    <w:semiHidden/>
    <w:unhideWhenUsed/>
    <w:qFormat/>
    <w:uiPriority w:val="99"/>
    <w:rPr>
      <w:color w:val="0782C1"/>
      <w:u w:val="single"/>
    </w:rPr>
  </w:style>
  <w:style w:type="character" w:customStyle="1" w:styleId="653">
    <w:name w:val="标题 1 Char_file_1749"/>
    <w:basedOn w:val="649"/>
    <w:link w:val="3"/>
    <w:qFormat/>
    <w:uiPriority w:val="9"/>
    <w:rPr>
      <w:rFonts w:ascii="宋体" w:hAnsi="宋体" w:eastAsia="宋体" w:cs="宋体"/>
      <w:b/>
      <w:bCs/>
      <w:kern w:val="44"/>
      <w:sz w:val="44"/>
      <w:szCs w:val="44"/>
    </w:rPr>
  </w:style>
  <w:style w:type="character" w:customStyle="1" w:styleId="654">
    <w:name w:val="标题 2 Char_file_1749"/>
    <w:basedOn w:val="649"/>
    <w:link w:val="4"/>
    <w:semiHidden/>
    <w:qFormat/>
    <w:uiPriority w:val="9"/>
    <w:rPr>
      <w:rFonts w:asciiTheme="majorHAnsi" w:hAnsiTheme="majorHAnsi" w:eastAsiaTheme="majorEastAsia" w:cstheme="majorBidi"/>
      <w:b/>
      <w:bCs/>
      <w:sz w:val="32"/>
      <w:szCs w:val="32"/>
    </w:rPr>
  </w:style>
  <w:style w:type="character" w:customStyle="1" w:styleId="655">
    <w:name w:val="标题 3 Char_file_1749"/>
    <w:basedOn w:val="649"/>
    <w:link w:val="5"/>
    <w:semiHidden/>
    <w:qFormat/>
    <w:uiPriority w:val="9"/>
    <w:rPr>
      <w:rFonts w:ascii="宋体" w:hAnsi="宋体" w:eastAsia="宋体" w:cs="宋体"/>
      <w:b/>
      <w:bCs/>
      <w:sz w:val="32"/>
      <w:szCs w:val="32"/>
    </w:rPr>
  </w:style>
  <w:style w:type="character" w:customStyle="1" w:styleId="656">
    <w:name w:val="标题 4 Char_file_1749"/>
    <w:basedOn w:val="649"/>
    <w:link w:val="6"/>
    <w:semiHidden/>
    <w:qFormat/>
    <w:uiPriority w:val="9"/>
    <w:rPr>
      <w:rFonts w:asciiTheme="majorHAnsi" w:hAnsiTheme="majorHAnsi" w:eastAsiaTheme="majorEastAsia" w:cstheme="majorBidi"/>
      <w:b/>
      <w:bCs/>
      <w:sz w:val="28"/>
      <w:szCs w:val="28"/>
    </w:rPr>
  </w:style>
  <w:style w:type="character" w:customStyle="1" w:styleId="657">
    <w:name w:val="标题 5 Char_file_1749"/>
    <w:basedOn w:val="649"/>
    <w:link w:val="7"/>
    <w:semiHidden/>
    <w:qFormat/>
    <w:uiPriority w:val="9"/>
    <w:rPr>
      <w:rFonts w:ascii="宋体" w:hAnsi="宋体" w:eastAsia="宋体" w:cs="宋体"/>
      <w:b/>
      <w:bCs/>
      <w:sz w:val="28"/>
      <w:szCs w:val="28"/>
    </w:rPr>
  </w:style>
  <w:style w:type="character" w:customStyle="1" w:styleId="658">
    <w:name w:val="标题 6 Char_file_1749"/>
    <w:basedOn w:val="649"/>
    <w:link w:val="9"/>
    <w:semiHidden/>
    <w:qFormat/>
    <w:uiPriority w:val="9"/>
    <w:rPr>
      <w:rFonts w:asciiTheme="majorHAnsi" w:hAnsiTheme="majorHAnsi" w:eastAsiaTheme="majorEastAsia" w:cstheme="majorBidi"/>
      <w:b/>
      <w:bCs/>
      <w:sz w:val="24"/>
      <w:szCs w:val="24"/>
    </w:rPr>
  </w:style>
  <w:style w:type="paragraph" w:customStyle="1" w:styleId="659">
    <w:name w:val="cke_editable_file_1749"/>
    <w:basedOn w:val="642"/>
    <w:qFormat/>
    <w:uiPriority w:val="0"/>
    <w:rPr>
      <w:rFonts w:ascii="仿宋_GB2312" w:eastAsia="仿宋_GB2312"/>
    </w:rPr>
  </w:style>
  <w:style w:type="paragraph" w:customStyle="1" w:styleId="660">
    <w:name w:val="marker_file_1749"/>
    <w:basedOn w:val="642"/>
    <w:qFormat/>
    <w:uiPriority w:val="0"/>
    <w:pPr>
      <w:shd w:val="clear" w:color="auto" w:fill="FFFF00"/>
    </w:pPr>
  </w:style>
  <w:style w:type="paragraph" w:customStyle="1" w:styleId="661">
    <w:name w:val="Normal (Web)_file_1749"/>
    <w:basedOn w:val="642"/>
    <w:semiHidden/>
    <w:unhideWhenUsed/>
    <w:qFormat/>
    <w:uiPriority w:val="99"/>
  </w:style>
  <w:style w:type="character" w:customStyle="1" w:styleId="662">
    <w:name w:val="Strong_file_1749"/>
    <w:basedOn w:val="649"/>
    <w:qFormat/>
    <w:uiPriority w:val="22"/>
    <w:rPr>
      <w:b/>
      <w:bCs/>
    </w:rPr>
  </w:style>
  <w:style w:type="paragraph" w:customStyle="1" w:styleId="663">
    <w:name w:val="Normal_file_175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64">
    <w:name w:val="heading 1_file_1750"/>
    <w:basedOn w:val="663"/>
    <w:qFormat/>
    <w:uiPriority w:val="9"/>
    <w:pPr>
      <w:outlineLvl w:val="0"/>
    </w:pPr>
    <w:rPr>
      <w:kern w:val="36"/>
      <w:sz w:val="48"/>
      <w:szCs w:val="48"/>
    </w:rPr>
  </w:style>
  <w:style w:type="paragraph" w:customStyle="1" w:styleId="665">
    <w:name w:val="heading 2_file_1750"/>
    <w:basedOn w:val="663"/>
    <w:qFormat/>
    <w:uiPriority w:val="9"/>
    <w:pPr>
      <w:outlineLvl w:val="1"/>
    </w:pPr>
    <w:rPr>
      <w:sz w:val="36"/>
      <w:szCs w:val="36"/>
    </w:rPr>
  </w:style>
  <w:style w:type="paragraph" w:customStyle="1" w:styleId="666">
    <w:name w:val="heading 3_file_1750"/>
    <w:basedOn w:val="663"/>
    <w:qFormat/>
    <w:uiPriority w:val="9"/>
    <w:pPr>
      <w:outlineLvl w:val="2"/>
    </w:pPr>
    <w:rPr>
      <w:sz w:val="27"/>
      <w:szCs w:val="27"/>
    </w:rPr>
  </w:style>
  <w:style w:type="paragraph" w:customStyle="1" w:styleId="667">
    <w:name w:val="heading 4_file_1750"/>
    <w:basedOn w:val="663"/>
    <w:qFormat/>
    <w:uiPriority w:val="9"/>
    <w:pPr>
      <w:outlineLvl w:val="3"/>
    </w:pPr>
  </w:style>
  <w:style w:type="paragraph" w:customStyle="1" w:styleId="668">
    <w:name w:val="heading 5_file_1750"/>
    <w:basedOn w:val="663"/>
    <w:qFormat/>
    <w:uiPriority w:val="9"/>
    <w:pPr>
      <w:outlineLvl w:val="4"/>
    </w:pPr>
    <w:rPr>
      <w:sz w:val="20"/>
      <w:szCs w:val="20"/>
    </w:rPr>
  </w:style>
  <w:style w:type="paragraph" w:customStyle="1" w:styleId="669">
    <w:name w:val="heading 6_file_1750"/>
    <w:basedOn w:val="663"/>
    <w:qFormat/>
    <w:uiPriority w:val="9"/>
    <w:pPr>
      <w:outlineLvl w:val="5"/>
    </w:pPr>
    <w:rPr>
      <w:sz w:val="15"/>
      <w:szCs w:val="15"/>
    </w:rPr>
  </w:style>
  <w:style w:type="character" w:customStyle="1" w:styleId="670">
    <w:name w:val="Default Paragraph Font_file_1750"/>
    <w:semiHidden/>
    <w:unhideWhenUsed/>
    <w:qFormat/>
    <w:uiPriority w:val="1"/>
  </w:style>
  <w:style w:type="table" w:customStyle="1" w:styleId="671">
    <w:name w:val="Normal Table_file_1750"/>
    <w:semiHidden/>
    <w:unhideWhenUsed/>
    <w:qFormat/>
    <w:uiPriority w:val="99"/>
    <w:tblPr>
      <w:tblCellMar>
        <w:top w:w="0" w:type="dxa"/>
        <w:left w:w="108" w:type="dxa"/>
        <w:bottom w:w="0" w:type="dxa"/>
        <w:right w:w="108" w:type="dxa"/>
      </w:tblCellMar>
    </w:tblPr>
  </w:style>
  <w:style w:type="character" w:customStyle="1" w:styleId="672">
    <w:name w:val="Hyperlink_file_1750"/>
    <w:basedOn w:val="670"/>
    <w:semiHidden/>
    <w:unhideWhenUsed/>
    <w:qFormat/>
    <w:uiPriority w:val="99"/>
    <w:rPr>
      <w:color w:val="0782C1"/>
      <w:u w:val="single"/>
    </w:rPr>
  </w:style>
  <w:style w:type="character" w:customStyle="1" w:styleId="673">
    <w:name w:val="FollowedHyperlink_file_1750"/>
    <w:basedOn w:val="670"/>
    <w:semiHidden/>
    <w:unhideWhenUsed/>
    <w:qFormat/>
    <w:uiPriority w:val="99"/>
    <w:rPr>
      <w:color w:val="0782C1"/>
      <w:u w:val="single"/>
    </w:rPr>
  </w:style>
  <w:style w:type="character" w:customStyle="1" w:styleId="674">
    <w:name w:val="标题 1 Char_file_1750"/>
    <w:basedOn w:val="670"/>
    <w:link w:val="3"/>
    <w:qFormat/>
    <w:uiPriority w:val="9"/>
    <w:rPr>
      <w:rFonts w:ascii="宋体" w:hAnsi="宋体" w:eastAsia="宋体" w:cs="宋体"/>
      <w:b/>
      <w:bCs/>
      <w:kern w:val="44"/>
      <w:sz w:val="44"/>
      <w:szCs w:val="44"/>
    </w:rPr>
  </w:style>
  <w:style w:type="character" w:customStyle="1" w:styleId="675">
    <w:name w:val="标题 2 Char_file_1750"/>
    <w:basedOn w:val="670"/>
    <w:link w:val="4"/>
    <w:semiHidden/>
    <w:qFormat/>
    <w:uiPriority w:val="9"/>
    <w:rPr>
      <w:rFonts w:asciiTheme="majorHAnsi" w:hAnsiTheme="majorHAnsi" w:eastAsiaTheme="majorEastAsia" w:cstheme="majorBidi"/>
      <w:b/>
      <w:bCs/>
      <w:sz w:val="32"/>
      <w:szCs w:val="32"/>
    </w:rPr>
  </w:style>
  <w:style w:type="character" w:customStyle="1" w:styleId="676">
    <w:name w:val="标题 3 Char_file_1750"/>
    <w:basedOn w:val="670"/>
    <w:link w:val="5"/>
    <w:semiHidden/>
    <w:qFormat/>
    <w:uiPriority w:val="9"/>
    <w:rPr>
      <w:rFonts w:ascii="宋体" w:hAnsi="宋体" w:eastAsia="宋体" w:cs="宋体"/>
      <w:b/>
      <w:bCs/>
      <w:sz w:val="32"/>
      <w:szCs w:val="32"/>
    </w:rPr>
  </w:style>
  <w:style w:type="character" w:customStyle="1" w:styleId="677">
    <w:name w:val="标题 4 Char_file_1750"/>
    <w:basedOn w:val="670"/>
    <w:link w:val="6"/>
    <w:semiHidden/>
    <w:qFormat/>
    <w:uiPriority w:val="9"/>
    <w:rPr>
      <w:rFonts w:asciiTheme="majorHAnsi" w:hAnsiTheme="majorHAnsi" w:eastAsiaTheme="majorEastAsia" w:cstheme="majorBidi"/>
      <w:b/>
      <w:bCs/>
      <w:sz w:val="28"/>
      <w:szCs w:val="28"/>
    </w:rPr>
  </w:style>
  <w:style w:type="character" w:customStyle="1" w:styleId="678">
    <w:name w:val="标题 5 Char_file_1750"/>
    <w:basedOn w:val="670"/>
    <w:link w:val="7"/>
    <w:semiHidden/>
    <w:qFormat/>
    <w:uiPriority w:val="9"/>
    <w:rPr>
      <w:rFonts w:ascii="宋体" w:hAnsi="宋体" w:eastAsia="宋体" w:cs="宋体"/>
      <w:b/>
      <w:bCs/>
      <w:sz w:val="28"/>
      <w:szCs w:val="28"/>
    </w:rPr>
  </w:style>
  <w:style w:type="character" w:customStyle="1" w:styleId="679">
    <w:name w:val="标题 6 Char_file_1750"/>
    <w:basedOn w:val="670"/>
    <w:link w:val="9"/>
    <w:semiHidden/>
    <w:qFormat/>
    <w:uiPriority w:val="9"/>
    <w:rPr>
      <w:rFonts w:asciiTheme="majorHAnsi" w:hAnsiTheme="majorHAnsi" w:eastAsiaTheme="majorEastAsia" w:cstheme="majorBidi"/>
      <w:b/>
      <w:bCs/>
      <w:sz w:val="24"/>
      <w:szCs w:val="24"/>
    </w:rPr>
  </w:style>
  <w:style w:type="paragraph" w:customStyle="1" w:styleId="680">
    <w:name w:val="cke_editable_file_1750"/>
    <w:basedOn w:val="663"/>
    <w:qFormat/>
    <w:uiPriority w:val="0"/>
    <w:rPr>
      <w:rFonts w:ascii="仿宋_GB2312" w:eastAsia="仿宋_GB2312"/>
    </w:rPr>
  </w:style>
  <w:style w:type="paragraph" w:customStyle="1" w:styleId="681">
    <w:name w:val="marker_file_1750"/>
    <w:basedOn w:val="663"/>
    <w:qFormat/>
    <w:uiPriority w:val="0"/>
    <w:pPr>
      <w:shd w:val="clear" w:color="auto" w:fill="FFFF00"/>
    </w:pPr>
  </w:style>
  <w:style w:type="paragraph" w:customStyle="1" w:styleId="682">
    <w:name w:val="Normal (Web)_file_1750"/>
    <w:basedOn w:val="663"/>
    <w:semiHidden/>
    <w:unhideWhenUsed/>
    <w:qFormat/>
    <w:uiPriority w:val="99"/>
  </w:style>
  <w:style w:type="character" w:customStyle="1" w:styleId="683">
    <w:name w:val="Strong_file_1750"/>
    <w:basedOn w:val="670"/>
    <w:qFormat/>
    <w:uiPriority w:val="22"/>
    <w:rPr>
      <w:b/>
      <w:bCs/>
    </w:rPr>
  </w:style>
  <w:style w:type="paragraph" w:customStyle="1" w:styleId="684">
    <w:name w:val="Normal_file_175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85">
    <w:name w:val="heading 1_file_1751"/>
    <w:basedOn w:val="684"/>
    <w:qFormat/>
    <w:uiPriority w:val="9"/>
    <w:pPr>
      <w:outlineLvl w:val="0"/>
    </w:pPr>
    <w:rPr>
      <w:kern w:val="36"/>
      <w:sz w:val="48"/>
      <w:szCs w:val="48"/>
    </w:rPr>
  </w:style>
  <w:style w:type="paragraph" w:customStyle="1" w:styleId="686">
    <w:name w:val="heading 2_file_1751"/>
    <w:basedOn w:val="684"/>
    <w:qFormat/>
    <w:uiPriority w:val="9"/>
    <w:pPr>
      <w:outlineLvl w:val="1"/>
    </w:pPr>
    <w:rPr>
      <w:sz w:val="36"/>
      <w:szCs w:val="36"/>
    </w:rPr>
  </w:style>
  <w:style w:type="paragraph" w:customStyle="1" w:styleId="687">
    <w:name w:val="heading 3_file_1751"/>
    <w:basedOn w:val="684"/>
    <w:qFormat/>
    <w:uiPriority w:val="9"/>
    <w:pPr>
      <w:outlineLvl w:val="2"/>
    </w:pPr>
    <w:rPr>
      <w:sz w:val="27"/>
      <w:szCs w:val="27"/>
    </w:rPr>
  </w:style>
  <w:style w:type="paragraph" w:customStyle="1" w:styleId="688">
    <w:name w:val="heading 4_file_1751"/>
    <w:basedOn w:val="684"/>
    <w:qFormat/>
    <w:uiPriority w:val="9"/>
    <w:pPr>
      <w:outlineLvl w:val="3"/>
    </w:pPr>
  </w:style>
  <w:style w:type="paragraph" w:customStyle="1" w:styleId="689">
    <w:name w:val="heading 5_file_1751"/>
    <w:basedOn w:val="684"/>
    <w:qFormat/>
    <w:uiPriority w:val="9"/>
    <w:pPr>
      <w:outlineLvl w:val="4"/>
    </w:pPr>
    <w:rPr>
      <w:sz w:val="20"/>
      <w:szCs w:val="20"/>
    </w:rPr>
  </w:style>
  <w:style w:type="paragraph" w:customStyle="1" w:styleId="690">
    <w:name w:val="heading 6_file_1751"/>
    <w:basedOn w:val="684"/>
    <w:qFormat/>
    <w:uiPriority w:val="9"/>
    <w:pPr>
      <w:outlineLvl w:val="5"/>
    </w:pPr>
    <w:rPr>
      <w:sz w:val="15"/>
      <w:szCs w:val="15"/>
    </w:rPr>
  </w:style>
  <w:style w:type="character" w:customStyle="1" w:styleId="691">
    <w:name w:val="Default Paragraph Font_file_1751"/>
    <w:semiHidden/>
    <w:unhideWhenUsed/>
    <w:qFormat/>
    <w:uiPriority w:val="1"/>
  </w:style>
  <w:style w:type="table" w:customStyle="1" w:styleId="692">
    <w:name w:val="Normal Table_file_1751"/>
    <w:semiHidden/>
    <w:unhideWhenUsed/>
    <w:qFormat/>
    <w:uiPriority w:val="99"/>
    <w:tblPr>
      <w:tblCellMar>
        <w:top w:w="0" w:type="dxa"/>
        <w:left w:w="108" w:type="dxa"/>
        <w:bottom w:w="0" w:type="dxa"/>
        <w:right w:w="108" w:type="dxa"/>
      </w:tblCellMar>
    </w:tblPr>
  </w:style>
  <w:style w:type="character" w:customStyle="1" w:styleId="693">
    <w:name w:val="Hyperlink_file_1751"/>
    <w:basedOn w:val="691"/>
    <w:semiHidden/>
    <w:unhideWhenUsed/>
    <w:qFormat/>
    <w:uiPriority w:val="99"/>
    <w:rPr>
      <w:color w:val="0782C1"/>
      <w:u w:val="single"/>
    </w:rPr>
  </w:style>
  <w:style w:type="character" w:customStyle="1" w:styleId="694">
    <w:name w:val="FollowedHyperlink_file_1751"/>
    <w:basedOn w:val="691"/>
    <w:semiHidden/>
    <w:unhideWhenUsed/>
    <w:qFormat/>
    <w:uiPriority w:val="99"/>
    <w:rPr>
      <w:color w:val="0782C1"/>
      <w:u w:val="single"/>
    </w:rPr>
  </w:style>
  <w:style w:type="character" w:customStyle="1" w:styleId="695">
    <w:name w:val="标题 1 Char_file_1751"/>
    <w:basedOn w:val="691"/>
    <w:link w:val="3"/>
    <w:qFormat/>
    <w:uiPriority w:val="9"/>
    <w:rPr>
      <w:rFonts w:ascii="宋体" w:hAnsi="宋体" w:eastAsia="宋体" w:cs="宋体"/>
      <w:b/>
      <w:bCs/>
      <w:kern w:val="44"/>
      <w:sz w:val="44"/>
      <w:szCs w:val="44"/>
    </w:rPr>
  </w:style>
  <w:style w:type="character" w:customStyle="1" w:styleId="696">
    <w:name w:val="标题 2 Char_file_1751"/>
    <w:basedOn w:val="691"/>
    <w:link w:val="4"/>
    <w:semiHidden/>
    <w:qFormat/>
    <w:uiPriority w:val="9"/>
    <w:rPr>
      <w:rFonts w:asciiTheme="majorHAnsi" w:hAnsiTheme="majorHAnsi" w:eastAsiaTheme="majorEastAsia" w:cstheme="majorBidi"/>
      <w:b/>
      <w:bCs/>
      <w:sz w:val="32"/>
      <w:szCs w:val="32"/>
    </w:rPr>
  </w:style>
  <w:style w:type="character" w:customStyle="1" w:styleId="697">
    <w:name w:val="标题 3 Char_file_1751"/>
    <w:basedOn w:val="691"/>
    <w:link w:val="5"/>
    <w:semiHidden/>
    <w:qFormat/>
    <w:uiPriority w:val="9"/>
    <w:rPr>
      <w:rFonts w:ascii="宋体" w:hAnsi="宋体" w:eastAsia="宋体" w:cs="宋体"/>
      <w:b/>
      <w:bCs/>
      <w:sz w:val="32"/>
      <w:szCs w:val="32"/>
    </w:rPr>
  </w:style>
  <w:style w:type="character" w:customStyle="1" w:styleId="698">
    <w:name w:val="标题 4 Char_file_1751"/>
    <w:basedOn w:val="691"/>
    <w:link w:val="6"/>
    <w:semiHidden/>
    <w:qFormat/>
    <w:uiPriority w:val="9"/>
    <w:rPr>
      <w:rFonts w:asciiTheme="majorHAnsi" w:hAnsiTheme="majorHAnsi" w:eastAsiaTheme="majorEastAsia" w:cstheme="majorBidi"/>
      <w:b/>
      <w:bCs/>
      <w:sz w:val="28"/>
      <w:szCs w:val="28"/>
    </w:rPr>
  </w:style>
  <w:style w:type="character" w:customStyle="1" w:styleId="699">
    <w:name w:val="标题 5 Char_file_1751"/>
    <w:basedOn w:val="691"/>
    <w:link w:val="7"/>
    <w:semiHidden/>
    <w:qFormat/>
    <w:uiPriority w:val="9"/>
    <w:rPr>
      <w:rFonts w:ascii="宋体" w:hAnsi="宋体" w:eastAsia="宋体" w:cs="宋体"/>
      <w:b/>
      <w:bCs/>
      <w:sz w:val="28"/>
      <w:szCs w:val="28"/>
    </w:rPr>
  </w:style>
  <w:style w:type="character" w:customStyle="1" w:styleId="700">
    <w:name w:val="标题 6 Char_file_1751"/>
    <w:basedOn w:val="691"/>
    <w:link w:val="9"/>
    <w:semiHidden/>
    <w:qFormat/>
    <w:uiPriority w:val="9"/>
    <w:rPr>
      <w:rFonts w:asciiTheme="majorHAnsi" w:hAnsiTheme="majorHAnsi" w:eastAsiaTheme="majorEastAsia" w:cstheme="majorBidi"/>
      <w:b/>
      <w:bCs/>
      <w:sz w:val="24"/>
      <w:szCs w:val="24"/>
    </w:rPr>
  </w:style>
  <w:style w:type="paragraph" w:customStyle="1" w:styleId="701">
    <w:name w:val="cke_editable_file_1751"/>
    <w:basedOn w:val="684"/>
    <w:qFormat/>
    <w:uiPriority w:val="0"/>
    <w:rPr>
      <w:rFonts w:ascii="仿宋_GB2312" w:eastAsia="仿宋_GB2312"/>
    </w:rPr>
  </w:style>
  <w:style w:type="paragraph" w:customStyle="1" w:styleId="702">
    <w:name w:val="marker_file_1751"/>
    <w:basedOn w:val="684"/>
    <w:qFormat/>
    <w:uiPriority w:val="0"/>
    <w:pPr>
      <w:shd w:val="clear" w:color="auto" w:fill="FFFF00"/>
    </w:pPr>
  </w:style>
  <w:style w:type="paragraph" w:customStyle="1" w:styleId="703">
    <w:name w:val="Normal (Web)_file_1751"/>
    <w:basedOn w:val="684"/>
    <w:semiHidden/>
    <w:unhideWhenUsed/>
    <w:qFormat/>
    <w:uiPriority w:val="99"/>
  </w:style>
  <w:style w:type="character" w:customStyle="1" w:styleId="704">
    <w:name w:val="Strong_file_1751"/>
    <w:basedOn w:val="691"/>
    <w:qFormat/>
    <w:uiPriority w:val="22"/>
    <w:rPr>
      <w:b/>
      <w:bCs/>
    </w:rPr>
  </w:style>
  <w:style w:type="paragraph" w:customStyle="1" w:styleId="705">
    <w:name w:val="Normal_file_175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06">
    <w:name w:val="heading 1_file_1752"/>
    <w:basedOn w:val="705"/>
    <w:qFormat/>
    <w:uiPriority w:val="9"/>
    <w:pPr>
      <w:outlineLvl w:val="0"/>
    </w:pPr>
    <w:rPr>
      <w:kern w:val="36"/>
      <w:sz w:val="48"/>
      <w:szCs w:val="48"/>
    </w:rPr>
  </w:style>
  <w:style w:type="paragraph" w:customStyle="1" w:styleId="707">
    <w:name w:val="heading 2_file_1752"/>
    <w:basedOn w:val="705"/>
    <w:qFormat/>
    <w:uiPriority w:val="9"/>
    <w:pPr>
      <w:outlineLvl w:val="1"/>
    </w:pPr>
    <w:rPr>
      <w:sz w:val="36"/>
      <w:szCs w:val="36"/>
    </w:rPr>
  </w:style>
  <w:style w:type="paragraph" w:customStyle="1" w:styleId="708">
    <w:name w:val="heading 3_file_1752"/>
    <w:basedOn w:val="705"/>
    <w:qFormat/>
    <w:uiPriority w:val="9"/>
    <w:pPr>
      <w:outlineLvl w:val="2"/>
    </w:pPr>
    <w:rPr>
      <w:sz w:val="27"/>
      <w:szCs w:val="27"/>
    </w:rPr>
  </w:style>
  <w:style w:type="paragraph" w:customStyle="1" w:styleId="709">
    <w:name w:val="heading 4_file_1752"/>
    <w:basedOn w:val="705"/>
    <w:qFormat/>
    <w:uiPriority w:val="9"/>
    <w:pPr>
      <w:outlineLvl w:val="3"/>
    </w:pPr>
  </w:style>
  <w:style w:type="paragraph" w:customStyle="1" w:styleId="710">
    <w:name w:val="heading 5_file_1752"/>
    <w:basedOn w:val="705"/>
    <w:qFormat/>
    <w:uiPriority w:val="9"/>
    <w:pPr>
      <w:outlineLvl w:val="4"/>
    </w:pPr>
    <w:rPr>
      <w:sz w:val="20"/>
      <w:szCs w:val="20"/>
    </w:rPr>
  </w:style>
  <w:style w:type="paragraph" w:customStyle="1" w:styleId="711">
    <w:name w:val="heading 6_file_1752"/>
    <w:basedOn w:val="705"/>
    <w:qFormat/>
    <w:uiPriority w:val="9"/>
    <w:pPr>
      <w:outlineLvl w:val="5"/>
    </w:pPr>
    <w:rPr>
      <w:sz w:val="15"/>
      <w:szCs w:val="15"/>
    </w:rPr>
  </w:style>
  <w:style w:type="character" w:customStyle="1" w:styleId="712">
    <w:name w:val="Default Paragraph Font_file_1752"/>
    <w:semiHidden/>
    <w:unhideWhenUsed/>
    <w:qFormat/>
    <w:uiPriority w:val="1"/>
  </w:style>
  <w:style w:type="table" w:customStyle="1" w:styleId="713">
    <w:name w:val="Normal Table_file_1752"/>
    <w:semiHidden/>
    <w:unhideWhenUsed/>
    <w:qFormat/>
    <w:uiPriority w:val="99"/>
    <w:tblPr>
      <w:tblCellMar>
        <w:top w:w="0" w:type="dxa"/>
        <w:left w:w="108" w:type="dxa"/>
        <w:bottom w:w="0" w:type="dxa"/>
        <w:right w:w="108" w:type="dxa"/>
      </w:tblCellMar>
    </w:tblPr>
  </w:style>
  <w:style w:type="character" w:customStyle="1" w:styleId="714">
    <w:name w:val="Hyperlink_file_1752"/>
    <w:basedOn w:val="712"/>
    <w:semiHidden/>
    <w:unhideWhenUsed/>
    <w:qFormat/>
    <w:uiPriority w:val="99"/>
    <w:rPr>
      <w:color w:val="0782C1"/>
      <w:u w:val="single"/>
    </w:rPr>
  </w:style>
  <w:style w:type="character" w:customStyle="1" w:styleId="715">
    <w:name w:val="FollowedHyperlink_file_1752"/>
    <w:basedOn w:val="712"/>
    <w:semiHidden/>
    <w:unhideWhenUsed/>
    <w:qFormat/>
    <w:uiPriority w:val="99"/>
    <w:rPr>
      <w:color w:val="0782C1"/>
      <w:u w:val="single"/>
    </w:rPr>
  </w:style>
  <w:style w:type="character" w:customStyle="1" w:styleId="716">
    <w:name w:val="标题 1 Char_file_1752"/>
    <w:basedOn w:val="712"/>
    <w:link w:val="3"/>
    <w:qFormat/>
    <w:uiPriority w:val="9"/>
    <w:rPr>
      <w:rFonts w:ascii="宋体" w:hAnsi="宋体" w:eastAsia="宋体" w:cs="宋体"/>
      <w:b/>
      <w:bCs/>
      <w:kern w:val="44"/>
      <w:sz w:val="44"/>
      <w:szCs w:val="44"/>
    </w:rPr>
  </w:style>
  <w:style w:type="character" w:customStyle="1" w:styleId="717">
    <w:name w:val="标题 2 Char_file_1752"/>
    <w:basedOn w:val="712"/>
    <w:link w:val="4"/>
    <w:semiHidden/>
    <w:qFormat/>
    <w:uiPriority w:val="9"/>
    <w:rPr>
      <w:rFonts w:asciiTheme="majorHAnsi" w:hAnsiTheme="majorHAnsi" w:eastAsiaTheme="majorEastAsia" w:cstheme="majorBidi"/>
      <w:b/>
      <w:bCs/>
      <w:sz w:val="32"/>
      <w:szCs w:val="32"/>
    </w:rPr>
  </w:style>
  <w:style w:type="character" w:customStyle="1" w:styleId="718">
    <w:name w:val="标题 3 Char_file_1752"/>
    <w:basedOn w:val="712"/>
    <w:link w:val="5"/>
    <w:semiHidden/>
    <w:qFormat/>
    <w:uiPriority w:val="9"/>
    <w:rPr>
      <w:rFonts w:ascii="宋体" w:hAnsi="宋体" w:eastAsia="宋体" w:cs="宋体"/>
      <w:b/>
      <w:bCs/>
      <w:sz w:val="32"/>
      <w:szCs w:val="32"/>
    </w:rPr>
  </w:style>
  <w:style w:type="character" w:customStyle="1" w:styleId="719">
    <w:name w:val="标题 4 Char_file_1752"/>
    <w:basedOn w:val="712"/>
    <w:link w:val="6"/>
    <w:semiHidden/>
    <w:qFormat/>
    <w:uiPriority w:val="9"/>
    <w:rPr>
      <w:rFonts w:asciiTheme="majorHAnsi" w:hAnsiTheme="majorHAnsi" w:eastAsiaTheme="majorEastAsia" w:cstheme="majorBidi"/>
      <w:b/>
      <w:bCs/>
      <w:sz w:val="28"/>
      <w:szCs w:val="28"/>
    </w:rPr>
  </w:style>
  <w:style w:type="character" w:customStyle="1" w:styleId="720">
    <w:name w:val="标题 5 Char_file_1752"/>
    <w:basedOn w:val="712"/>
    <w:link w:val="7"/>
    <w:semiHidden/>
    <w:qFormat/>
    <w:uiPriority w:val="9"/>
    <w:rPr>
      <w:rFonts w:ascii="宋体" w:hAnsi="宋体" w:eastAsia="宋体" w:cs="宋体"/>
      <w:b/>
      <w:bCs/>
      <w:sz w:val="28"/>
      <w:szCs w:val="28"/>
    </w:rPr>
  </w:style>
  <w:style w:type="character" w:customStyle="1" w:styleId="721">
    <w:name w:val="标题 6 Char_file_1752"/>
    <w:basedOn w:val="712"/>
    <w:link w:val="9"/>
    <w:semiHidden/>
    <w:qFormat/>
    <w:uiPriority w:val="9"/>
    <w:rPr>
      <w:rFonts w:asciiTheme="majorHAnsi" w:hAnsiTheme="majorHAnsi" w:eastAsiaTheme="majorEastAsia" w:cstheme="majorBidi"/>
      <w:b/>
      <w:bCs/>
      <w:sz w:val="24"/>
      <w:szCs w:val="24"/>
    </w:rPr>
  </w:style>
  <w:style w:type="paragraph" w:customStyle="1" w:styleId="722">
    <w:name w:val="cke_editable_file_1752"/>
    <w:basedOn w:val="705"/>
    <w:qFormat/>
    <w:uiPriority w:val="0"/>
    <w:rPr>
      <w:rFonts w:ascii="仿宋_GB2312" w:eastAsia="仿宋_GB2312"/>
    </w:rPr>
  </w:style>
  <w:style w:type="paragraph" w:customStyle="1" w:styleId="723">
    <w:name w:val="marker_file_1752"/>
    <w:basedOn w:val="705"/>
    <w:qFormat/>
    <w:uiPriority w:val="0"/>
    <w:pPr>
      <w:shd w:val="clear" w:color="auto" w:fill="FFFF00"/>
    </w:pPr>
  </w:style>
  <w:style w:type="paragraph" w:customStyle="1" w:styleId="724">
    <w:name w:val="Normal (Web)_file_1752"/>
    <w:basedOn w:val="705"/>
    <w:semiHidden/>
    <w:unhideWhenUsed/>
    <w:qFormat/>
    <w:uiPriority w:val="99"/>
  </w:style>
  <w:style w:type="paragraph" w:customStyle="1" w:styleId="725">
    <w:name w:val="Normal_file_175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26">
    <w:name w:val="heading 1_file_1753"/>
    <w:basedOn w:val="725"/>
    <w:qFormat/>
    <w:uiPriority w:val="9"/>
    <w:pPr>
      <w:outlineLvl w:val="0"/>
    </w:pPr>
    <w:rPr>
      <w:kern w:val="36"/>
      <w:sz w:val="48"/>
      <w:szCs w:val="48"/>
    </w:rPr>
  </w:style>
  <w:style w:type="paragraph" w:customStyle="1" w:styleId="727">
    <w:name w:val="heading 2_file_1753"/>
    <w:basedOn w:val="725"/>
    <w:qFormat/>
    <w:uiPriority w:val="9"/>
    <w:pPr>
      <w:outlineLvl w:val="1"/>
    </w:pPr>
    <w:rPr>
      <w:sz w:val="36"/>
      <w:szCs w:val="36"/>
    </w:rPr>
  </w:style>
  <w:style w:type="paragraph" w:customStyle="1" w:styleId="728">
    <w:name w:val="heading 3_file_1753"/>
    <w:basedOn w:val="725"/>
    <w:qFormat/>
    <w:uiPriority w:val="9"/>
    <w:pPr>
      <w:outlineLvl w:val="2"/>
    </w:pPr>
    <w:rPr>
      <w:sz w:val="27"/>
      <w:szCs w:val="27"/>
    </w:rPr>
  </w:style>
  <w:style w:type="paragraph" w:customStyle="1" w:styleId="729">
    <w:name w:val="heading 4_file_1753"/>
    <w:basedOn w:val="725"/>
    <w:qFormat/>
    <w:uiPriority w:val="9"/>
    <w:pPr>
      <w:outlineLvl w:val="3"/>
    </w:pPr>
  </w:style>
  <w:style w:type="paragraph" w:customStyle="1" w:styleId="730">
    <w:name w:val="heading 5_file_1753"/>
    <w:basedOn w:val="725"/>
    <w:qFormat/>
    <w:uiPriority w:val="9"/>
    <w:pPr>
      <w:outlineLvl w:val="4"/>
    </w:pPr>
    <w:rPr>
      <w:sz w:val="20"/>
      <w:szCs w:val="20"/>
    </w:rPr>
  </w:style>
  <w:style w:type="paragraph" w:customStyle="1" w:styleId="731">
    <w:name w:val="heading 6_file_1753"/>
    <w:basedOn w:val="725"/>
    <w:qFormat/>
    <w:uiPriority w:val="9"/>
    <w:pPr>
      <w:outlineLvl w:val="5"/>
    </w:pPr>
    <w:rPr>
      <w:sz w:val="15"/>
      <w:szCs w:val="15"/>
    </w:rPr>
  </w:style>
  <w:style w:type="character" w:customStyle="1" w:styleId="732">
    <w:name w:val="Default Paragraph Font_file_1753"/>
    <w:semiHidden/>
    <w:unhideWhenUsed/>
    <w:qFormat/>
    <w:uiPriority w:val="1"/>
  </w:style>
  <w:style w:type="table" w:customStyle="1" w:styleId="733">
    <w:name w:val="Normal Table_file_1753"/>
    <w:semiHidden/>
    <w:unhideWhenUsed/>
    <w:qFormat/>
    <w:uiPriority w:val="99"/>
    <w:tblPr>
      <w:tblCellMar>
        <w:top w:w="0" w:type="dxa"/>
        <w:left w:w="108" w:type="dxa"/>
        <w:bottom w:w="0" w:type="dxa"/>
        <w:right w:w="108" w:type="dxa"/>
      </w:tblCellMar>
    </w:tblPr>
  </w:style>
  <w:style w:type="character" w:customStyle="1" w:styleId="734">
    <w:name w:val="Hyperlink_file_1753"/>
    <w:basedOn w:val="732"/>
    <w:semiHidden/>
    <w:unhideWhenUsed/>
    <w:qFormat/>
    <w:uiPriority w:val="99"/>
    <w:rPr>
      <w:color w:val="0782C1"/>
      <w:u w:val="single"/>
    </w:rPr>
  </w:style>
  <w:style w:type="character" w:customStyle="1" w:styleId="735">
    <w:name w:val="FollowedHyperlink_file_1753"/>
    <w:basedOn w:val="732"/>
    <w:semiHidden/>
    <w:unhideWhenUsed/>
    <w:qFormat/>
    <w:uiPriority w:val="99"/>
    <w:rPr>
      <w:color w:val="0782C1"/>
      <w:u w:val="single"/>
    </w:rPr>
  </w:style>
  <w:style w:type="character" w:customStyle="1" w:styleId="736">
    <w:name w:val="标题 1 Char_file_1753"/>
    <w:basedOn w:val="732"/>
    <w:link w:val="3"/>
    <w:qFormat/>
    <w:uiPriority w:val="9"/>
    <w:rPr>
      <w:rFonts w:ascii="宋体" w:hAnsi="宋体" w:eastAsia="宋体" w:cs="宋体"/>
      <w:b/>
      <w:bCs/>
      <w:kern w:val="44"/>
      <w:sz w:val="44"/>
      <w:szCs w:val="44"/>
    </w:rPr>
  </w:style>
  <w:style w:type="character" w:customStyle="1" w:styleId="737">
    <w:name w:val="标题 2 Char_file_1753"/>
    <w:basedOn w:val="732"/>
    <w:link w:val="4"/>
    <w:semiHidden/>
    <w:qFormat/>
    <w:uiPriority w:val="9"/>
    <w:rPr>
      <w:rFonts w:asciiTheme="majorHAnsi" w:hAnsiTheme="majorHAnsi" w:eastAsiaTheme="majorEastAsia" w:cstheme="majorBidi"/>
      <w:b/>
      <w:bCs/>
      <w:sz w:val="32"/>
      <w:szCs w:val="32"/>
    </w:rPr>
  </w:style>
  <w:style w:type="character" w:customStyle="1" w:styleId="738">
    <w:name w:val="标题 3 Char_file_1753"/>
    <w:basedOn w:val="732"/>
    <w:link w:val="5"/>
    <w:semiHidden/>
    <w:qFormat/>
    <w:uiPriority w:val="9"/>
    <w:rPr>
      <w:rFonts w:ascii="宋体" w:hAnsi="宋体" w:eastAsia="宋体" w:cs="宋体"/>
      <w:b/>
      <w:bCs/>
      <w:sz w:val="32"/>
      <w:szCs w:val="32"/>
    </w:rPr>
  </w:style>
  <w:style w:type="character" w:customStyle="1" w:styleId="739">
    <w:name w:val="标题 4 Char_file_1753"/>
    <w:basedOn w:val="732"/>
    <w:link w:val="6"/>
    <w:semiHidden/>
    <w:qFormat/>
    <w:uiPriority w:val="9"/>
    <w:rPr>
      <w:rFonts w:asciiTheme="majorHAnsi" w:hAnsiTheme="majorHAnsi" w:eastAsiaTheme="majorEastAsia" w:cstheme="majorBidi"/>
      <w:b/>
      <w:bCs/>
      <w:sz w:val="28"/>
      <w:szCs w:val="28"/>
    </w:rPr>
  </w:style>
  <w:style w:type="character" w:customStyle="1" w:styleId="740">
    <w:name w:val="标题 5 Char_file_1753"/>
    <w:basedOn w:val="732"/>
    <w:link w:val="7"/>
    <w:semiHidden/>
    <w:qFormat/>
    <w:uiPriority w:val="9"/>
    <w:rPr>
      <w:rFonts w:ascii="宋体" w:hAnsi="宋体" w:eastAsia="宋体" w:cs="宋体"/>
      <w:b/>
      <w:bCs/>
      <w:sz w:val="28"/>
      <w:szCs w:val="28"/>
    </w:rPr>
  </w:style>
  <w:style w:type="character" w:customStyle="1" w:styleId="741">
    <w:name w:val="标题 6 Char_file_1753"/>
    <w:basedOn w:val="732"/>
    <w:link w:val="9"/>
    <w:semiHidden/>
    <w:qFormat/>
    <w:uiPriority w:val="9"/>
    <w:rPr>
      <w:rFonts w:asciiTheme="majorHAnsi" w:hAnsiTheme="majorHAnsi" w:eastAsiaTheme="majorEastAsia" w:cstheme="majorBidi"/>
      <w:b/>
      <w:bCs/>
      <w:sz w:val="24"/>
      <w:szCs w:val="24"/>
    </w:rPr>
  </w:style>
  <w:style w:type="paragraph" w:customStyle="1" w:styleId="742">
    <w:name w:val="cke_editable_file_1753"/>
    <w:basedOn w:val="725"/>
    <w:qFormat/>
    <w:uiPriority w:val="0"/>
    <w:rPr>
      <w:rFonts w:ascii="仿宋_GB2312" w:eastAsia="仿宋_GB2312"/>
    </w:rPr>
  </w:style>
  <w:style w:type="paragraph" w:customStyle="1" w:styleId="743">
    <w:name w:val="marker_file_1753"/>
    <w:basedOn w:val="725"/>
    <w:qFormat/>
    <w:uiPriority w:val="0"/>
    <w:pPr>
      <w:shd w:val="clear" w:color="auto" w:fill="FFFF00"/>
    </w:pPr>
  </w:style>
  <w:style w:type="paragraph" w:customStyle="1" w:styleId="744">
    <w:name w:val="Normal (Web)_file_1753"/>
    <w:basedOn w:val="725"/>
    <w:semiHidden/>
    <w:unhideWhenUsed/>
    <w:qFormat/>
    <w:uiPriority w:val="99"/>
  </w:style>
  <w:style w:type="paragraph" w:customStyle="1" w:styleId="745">
    <w:name w:val="Normal_file_175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46">
    <w:name w:val="heading 1_file_1754"/>
    <w:basedOn w:val="745"/>
    <w:qFormat/>
    <w:uiPriority w:val="9"/>
    <w:pPr>
      <w:outlineLvl w:val="0"/>
    </w:pPr>
    <w:rPr>
      <w:kern w:val="36"/>
      <w:sz w:val="48"/>
      <w:szCs w:val="48"/>
    </w:rPr>
  </w:style>
  <w:style w:type="paragraph" w:customStyle="1" w:styleId="747">
    <w:name w:val="heading 2_file_1754"/>
    <w:basedOn w:val="745"/>
    <w:qFormat/>
    <w:uiPriority w:val="9"/>
    <w:pPr>
      <w:outlineLvl w:val="1"/>
    </w:pPr>
    <w:rPr>
      <w:sz w:val="36"/>
      <w:szCs w:val="36"/>
    </w:rPr>
  </w:style>
  <w:style w:type="paragraph" w:customStyle="1" w:styleId="748">
    <w:name w:val="heading 3_file_1754"/>
    <w:basedOn w:val="745"/>
    <w:qFormat/>
    <w:uiPriority w:val="9"/>
    <w:pPr>
      <w:outlineLvl w:val="2"/>
    </w:pPr>
    <w:rPr>
      <w:sz w:val="27"/>
      <w:szCs w:val="27"/>
    </w:rPr>
  </w:style>
  <w:style w:type="paragraph" w:customStyle="1" w:styleId="749">
    <w:name w:val="heading 4_file_1754"/>
    <w:basedOn w:val="745"/>
    <w:qFormat/>
    <w:uiPriority w:val="9"/>
    <w:pPr>
      <w:outlineLvl w:val="3"/>
    </w:pPr>
  </w:style>
  <w:style w:type="paragraph" w:customStyle="1" w:styleId="750">
    <w:name w:val="heading 5_file_1754"/>
    <w:basedOn w:val="745"/>
    <w:qFormat/>
    <w:uiPriority w:val="9"/>
    <w:pPr>
      <w:outlineLvl w:val="4"/>
    </w:pPr>
    <w:rPr>
      <w:sz w:val="20"/>
      <w:szCs w:val="20"/>
    </w:rPr>
  </w:style>
  <w:style w:type="paragraph" w:customStyle="1" w:styleId="751">
    <w:name w:val="heading 6_file_1754"/>
    <w:basedOn w:val="745"/>
    <w:qFormat/>
    <w:uiPriority w:val="9"/>
    <w:pPr>
      <w:outlineLvl w:val="5"/>
    </w:pPr>
    <w:rPr>
      <w:sz w:val="15"/>
      <w:szCs w:val="15"/>
    </w:rPr>
  </w:style>
  <w:style w:type="character" w:customStyle="1" w:styleId="752">
    <w:name w:val="Default Paragraph Font_file_1754"/>
    <w:semiHidden/>
    <w:unhideWhenUsed/>
    <w:qFormat/>
    <w:uiPriority w:val="1"/>
  </w:style>
  <w:style w:type="table" w:customStyle="1" w:styleId="753">
    <w:name w:val="Normal Table_file_1754"/>
    <w:semiHidden/>
    <w:unhideWhenUsed/>
    <w:qFormat/>
    <w:uiPriority w:val="99"/>
    <w:tblPr>
      <w:tblCellMar>
        <w:top w:w="0" w:type="dxa"/>
        <w:left w:w="108" w:type="dxa"/>
        <w:bottom w:w="0" w:type="dxa"/>
        <w:right w:w="108" w:type="dxa"/>
      </w:tblCellMar>
    </w:tblPr>
  </w:style>
  <w:style w:type="character" w:customStyle="1" w:styleId="754">
    <w:name w:val="Hyperlink_file_1754"/>
    <w:basedOn w:val="752"/>
    <w:semiHidden/>
    <w:unhideWhenUsed/>
    <w:qFormat/>
    <w:uiPriority w:val="99"/>
    <w:rPr>
      <w:color w:val="0782C1"/>
      <w:u w:val="single"/>
    </w:rPr>
  </w:style>
  <w:style w:type="character" w:customStyle="1" w:styleId="755">
    <w:name w:val="FollowedHyperlink_file_1754"/>
    <w:basedOn w:val="752"/>
    <w:semiHidden/>
    <w:unhideWhenUsed/>
    <w:qFormat/>
    <w:uiPriority w:val="99"/>
    <w:rPr>
      <w:color w:val="0782C1"/>
      <w:u w:val="single"/>
    </w:rPr>
  </w:style>
  <w:style w:type="character" w:customStyle="1" w:styleId="756">
    <w:name w:val="标题 1 Char_file_1754"/>
    <w:basedOn w:val="752"/>
    <w:link w:val="3"/>
    <w:qFormat/>
    <w:uiPriority w:val="9"/>
    <w:rPr>
      <w:rFonts w:ascii="宋体" w:hAnsi="宋体" w:eastAsia="宋体" w:cs="宋体"/>
      <w:b/>
      <w:bCs/>
      <w:kern w:val="44"/>
      <w:sz w:val="44"/>
      <w:szCs w:val="44"/>
    </w:rPr>
  </w:style>
  <w:style w:type="character" w:customStyle="1" w:styleId="757">
    <w:name w:val="标题 2 Char_file_1754"/>
    <w:basedOn w:val="752"/>
    <w:link w:val="4"/>
    <w:semiHidden/>
    <w:qFormat/>
    <w:uiPriority w:val="9"/>
    <w:rPr>
      <w:rFonts w:asciiTheme="majorHAnsi" w:hAnsiTheme="majorHAnsi" w:eastAsiaTheme="majorEastAsia" w:cstheme="majorBidi"/>
      <w:b/>
      <w:bCs/>
      <w:sz w:val="32"/>
      <w:szCs w:val="32"/>
    </w:rPr>
  </w:style>
  <w:style w:type="character" w:customStyle="1" w:styleId="758">
    <w:name w:val="标题 3 Char_file_1754"/>
    <w:basedOn w:val="752"/>
    <w:link w:val="5"/>
    <w:semiHidden/>
    <w:qFormat/>
    <w:uiPriority w:val="9"/>
    <w:rPr>
      <w:rFonts w:ascii="宋体" w:hAnsi="宋体" w:eastAsia="宋体" w:cs="宋体"/>
      <w:b/>
      <w:bCs/>
      <w:sz w:val="32"/>
      <w:szCs w:val="32"/>
    </w:rPr>
  </w:style>
  <w:style w:type="character" w:customStyle="1" w:styleId="759">
    <w:name w:val="标题 4 Char_file_1754"/>
    <w:basedOn w:val="752"/>
    <w:link w:val="6"/>
    <w:semiHidden/>
    <w:qFormat/>
    <w:uiPriority w:val="9"/>
    <w:rPr>
      <w:rFonts w:asciiTheme="majorHAnsi" w:hAnsiTheme="majorHAnsi" w:eastAsiaTheme="majorEastAsia" w:cstheme="majorBidi"/>
      <w:b/>
      <w:bCs/>
      <w:sz w:val="28"/>
      <w:szCs w:val="28"/>
    </w:rPr>
  </w:style>
  <w:style w:type="character" w:customStyle="1" w:styleId="760">
    <w:name w:val="标题 5 Char_file_1754"/>
    <w:basedOn w:val="752"/>
    <w:link w:val="7"/>
    <w:semiHidden/>
    <w:qFormat/>
    <w:uiPriority w:val="9"/>
    <w:rPr>
      <w:rFonts w:ascii="宋体" w:hAnsi="宋体" w:eastAsia="宋体" w:cs="宋体"/>
      <w:b/>
      <w:bCs/>
      <w:sz w:val="28"/>
      <w:szCs w:val="28"/>
    </w:rPr>
  </w:style>
  <w:style w:type="character" w:customStyle="1" w:styleId="761">
    <w:name w:val="标题 6 Char_file_1754"/>
    <w:basedOn w:val="752"/>
    <w:link w:val="9"/>
    <w:semiHidden/>
    <w:qFormat/>
    <w:uiPriority w:val="9"/>
    <w:rPr>
      <w:rFonts w:asciiTheme="majorHAnsi" w:hAnsiTheme="majorHAnsi" w:eastAsiaTheme="majorEastAsia" w:cstheme="majorBidi"/>
      <w:b/>
      <w:bCs/>
      <w:sz w:val="24"/>
      <w:szCs w:val="24"/>
    </w:rPr>
  </w:style>
  <w:style w:type="paragraph" w:customStyle="1" w:styleId="762">
    <w:name w:val="cke_editable_file_1754"/>
    <w:basedOn w:val="745"/>
    <w:qFormat/>
    <w:uiPriority w:val="0"/>
    <w:rPr>
      <w:rFonts w:ascii="仿宋_GB2312" w:eastAsia="仿宋_GB2312"/>
    </w:rPr>
  </w:style>
  <w:style w:type="paragraph" w:customStyle="1" w:styleId="763">
    <w:name w:val="marker_file_1754"/>
    <w:basedOn w:val="745"/>
    <w:qFormat/>
    <w:uiPriority w:val="0"/>
    <w:pPr>
      <w:shd w:val="clear" w:color="auto" w:fill="FFFF00"/>
    </w:pPr>
  </w:style>
  <w:style w:type="paragraph" w:customStyle="1" w:styleId="764">
    <w:name w:val="Normal (Web)_file_1754"/>
    <w:basedOn w:val="745"/>
    <w:semiHidden/>
    <w:unhideWhenUsed/>
    <w:qFormat/>
    <w:uiPriority w:val="99"/>
  </w:style>
  <w:style w:type="paragraph" w:customStyle="1" w:styleId="765">
    <w:name w:val="Normal_file_175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66">
    <w:name w:val="heading 1_file_1755"/>
    <w:basedOn w:val="765"/>
    <w:qFormat/>
    <w:uiPriority w:val="9"/>
    <w:pPr>
      <w:outlineLvl w:val="0"/>
    </w:pPr>
    <w:rPr>
      <w:kern w:val="36"/>
      <w:sz w:val="48"/>
      <w:szCs w:val="48"/>
    </w:rPr>
  </w:style>
  <w:style w:type="paragraph" w:customStyle="1" w:styleId="767">
    <w:name w:val="heading 2_file_1755"/>
    <w:basedOn w:val="765"/>
    <w:qFormat/>
    <w:uiPriority w:val="9"/>
    <w:pPr>
      <w:outlineLvl w:val="1"/>
    </w:pPr>
    <w:rPr>
      <w:sz w:val="36"/>
      <w:szCs w:val="36"/>
    </w:rPr>
  </w:style>
  <w:style w:type="paragraph" w:customStyle="1" w:styleId="768">
    <w:name w:val="heading 3_file_1755"/>
    <w:basedOn w:val="765"/>
    <w:qFormat/>
    <w:uiPriority w:val="9"/>
    <w:pPr>
      <w:outlineLvl w:val="2"/>
    </w:pPr>
    <w:rPr>
      <w:sz w:val="27"/>
      <w:szCs w:val="27"/>
    </w:rPr>
  </w:style>
  <w:style w:type="paragraph" w:customStyle="1" w:styleId="769">
    <w:name w:val="heading 4_file_1755"/>
    <w:basedOn w:val="765"/>
    <w:qFormat/>
    <w:uiPriority w:val="9"/>
    <w:pPr>
      <w:outlineLvl w:val="3"/>
    </w:pPr>
  </w:style>
  <w:style w:type="paragraph" w:customStyle="1" w:styleId="770">
    <w:name w:val="heading 5_file_1755"/>
    <w:basedOn w:val="765"/>
    <w:qFormat/>
    <w:uiPriority w:val="9"/>
    <w:pPr>
      <w:outlineLvl w:val="4"/>
    </w:pPr>
    <w:rPr>
      <w:sz w:val="20"/>
      <w:szCs w:val="20"/>
    </w:rPr>
  </w:style>
  <w:style w:type="paragraph" w:customStyle="1" w:styleId="771">
    <w:name w:val="heading 6_file_1755"/>
    <w:basedOn w:val="765"/>
    <w:qFormat/>
    <w:uiPriority w:val="9"/>
    <w:pPr>
      <w:outlineLvl w:val="5"/>
    </w:pPr>
    <w:rPr>
      <w:sz w:val="15"/>
      <w:szCs w:val="15"/>
    </w:rPr>
  </w:style>
  <w:style w:type="character" w:customStyle="1" w:styleId="772">
    <w:name w:val="Default Paragraph Font_file_1755"/>
    <w:semiHidden/>
    <w:unhideWhenUsed/>
    <w:qFormat/>
    <w:uiPriority w:val="1"/>
  </w:style>
  <w:style w:type="table" w:customStyle="1" w:styleId="773">
    <w:name w:val="Normal Table_file_1755"/>
    <w:semiHidden/>
    <w:unhideWhenUsed/>
    <w:qFormat/>
    <w:uiPriority w:val="99"/>
    <w:tblPr>
      <w:tblCellMar>
        <w:top w:w="0" w:type="dxa"/>
        <w:left w:w="108" w:type="dxa"/>
        <w:bottom w:w="0" w:type="dxa"/>
        <w:right w:w="108" w:type="dxa"/>
      </w:tblCellMar>
    </w:tblPr>
  </w:style>
  <w:style w:type="character" w:customStyle="1" w:styleId="774">
    <w:name w:val="Hyperlink_file_1755"/>
    <w:basedOn w:val="772"/>
    <w:semiHidden/>
    <w:unhideWhenUsed/>
    <w:qFormat/>
    <w:uiPriority w:val="99"/>
    <w:rPr>
      <w:color w:val="0782C1"/>
      <w:u w:val="single"/>
    </w:rPr>
  </w:style>
  <w:style w:type="character" w:customStyle="1" w:styleId="775">
    <w:name w:val="FollowedHyperlink_file_1755"/>
    <w:basedOn w:val="772"/>
    <w:semiHidden/>
    <w:unhideWhenUsed/>
    <w:qFormat/>
    <w:uiPriority w:val="99"/>
    <w:rPr>
      <w:color w:val="0782C1"/>
      <w:u w:val="single"/>
    </w:rPr>
  </w:style>
  <w:style w:type="character" w:customStyle="1" w:styleId="776">
    <w:name w:val="标题 1 Char_file_1755"/>
    <w:basedOn w:val="772"/>
    <w:link w:val="3"/>
    <w:qFormat/>
    <w:uiPriority w:val="9"/>
    <w:rPr>
      <w:rFonts w:ascii="宋体" w:hAnsi="宋体" w:eastAsia="宋体" w:cs="宋体"/>
      <w:b/>
      <w:bCs/>
      <w:kern w:val="44"/>
      <w:sz w:val="44"/>
      <w:szCs w:val="44"/>
    </w:rPr>
  </w:style>
  <w:style w:type="character" w:customStyle="1" w:styleId="777">
    <w:name w:val="标题 2 Char_file_1755"/>
    <w:basedOn w:val="772"/>
    <w:link w:val="4"/>
    <w:semiHidden/>
    <w:qFormat/>
    <w:uiPriority w:val="9"/>
    <w:rPr>
      <w:rFonts w:asciiTheme="majorHAnsi" w:hAnsiTheme="majorHAnsi" w:eastAsiaTheme="majorEastAsia" w:cstheme="majorBidi"/>
      <w:b/>
      <w:bCs/>
      <w:sz w:val="32"/>
      <w:szCs w:val="32"/>
    </w:rPr>
  </w:style>
  <w:style w:type="character" w:customStyle="1" w:styleId="778">
    <w:name w:val="标题 3 Char_file_1755"/>
    <w:basedOn w:val="772"/>
    <w:link w:val="5"/>
    <w:semiHidden/>
    <w:qFormat/>
    <w:uiPriority w:val="9"/>
    <w:rPr>
      <w:rFonts w:ascii="宋体" w:hAnsi="宋体" w:eastAsia="宋体" w:cs="宋体"/>
      <w:b/>
      <w:bCs/>
      <w:sz w:val="32"/>
      <w:szCs w:val="32"/>
    </w:rPr>
  </w:style>
  <w:style w:type="character" w:customStyle="1" w:styleId="779">
    <w:name w:val="标题 4 Char_file_1755"/>
    <w:basedOn w:val="772"/>
    <w:link w:val="6"/>
    <w:semiHidden/>
    <w:qFormat/>
    <w:uiPriority w:val="9"/>
    <w:rPr>
      <w:rFonts w:asciiTheme="majorHAnsi" w:hAnsiTheme="majorHAnsi" w:eastAsiaTheme="majorEastAsia" w:cstheme="majorBidi"/>
      <w:b/>
      <w:bCs/>
      <w:sz w:val="28"/>
      <w:szCs w:val="28"/>
    </w:rPr>
  </w:style>
  <w:style w:type="character" w:customStyle="1" w:styleId="780">
    <w:name w:val="标题 5 Char_file_1755"/>
    <w:basedOn w:val="772"/>
    <w:link w:val="7"/>
    <w:semiHidden/>
    <w:qFormat/>
    <w:uiPriority w:val="9"/>
    <w:rPr>
      <w:rFonts w:ascii="宋体" w:hAnsi="宋体" w:eastAsia="宋体" w:cs="宋体"/>
      <w:b/>
      <w:bCs/>
      <w:sz w:val="28"/>
      <w:szCs w:val="28"/>
    </w:rPr>
  </w:style>
  <w:style w:type="character" w:customStyle="1" w:styleId="781">
    <w:name w:val="标题 6 Char_file_1755"/>
    <w:basedOn w:val="772"/>
    <w:link w:val="9"/>
    <w:semiHidden/>
    <w:qFormat/>
    <w:uiPriority w:val="9"/>
    <w:rPr>
      <w:rFonts w:asciiTheme="majorHAnsi" w:hAnsiTheme="majorHAnsi" w:eastAsiaTheme="majorEastAsia" w:cstheme="majorBidi"/>
      <w:b/>
      <w:bCs/>
      <w:sz w:val="24"/>
      <w:szCs w:val="24"/>
    </w:rPr>
  </w:style>
  <w:style w:type="paragraph" w:customStyle="1" w:styleId="782">
    <w:name w:val="cke_editable_file_1755"/>
    <w:basedOn w:val="765"/>
    <w:qFormat/>
    <w:uiPriority w:val="0"/>
    <w:rPr>
      <w:rFonts w:ascii="仿宋_GB2312" w:eastAsia="仿宋_GB2312"/>
    </w:rPr>
  </w:style>
  <w:style w:type="paragraph" w:customStyle="1" w:styleId="783">
    <w:name w:val="marker_file_1755"/>
    <w:basedOn w:val="765"/>
    <w:qFormat/>
    <w:uiPriority w:val="0"/>
    <w:pPr>
      <w:shd w:val="clear" w:color="auto" w:fill="FFFF00"/>
    </w:pPr>
  </w:style>
  <w:style w:type="paragraph" w:customStyle="1" w:styleId="784">
    <w:name w:val="Normal (Web)_file_1755"/>
    <w:basedOn w:val="765"/>
    <w:semiHidden/>
    <w:unhideWhenUsed/>
    <w:qFormat/>
    <w:uiPriority w:val="99"/>
  </w:style>
  <w:style w:type="paragraph" w:customStyle="1" w:styleId="785">
    <w:name w:val="Normal (Web)_file_733"/>
    <w:basedOn w:val="786"/>
    <w:semiHidden/>
    <w:unhideWhenUsed/>
    <w:qFormat/>
    <w:uiPriority w:val="99"/>
  </w:style>
  <w:style w:type="paragraph" w:customStyle="1" w:styleId="786">
    <w:name w:val="Normal_file_733"/>
    <w:qFormat/>
    <w:uiPriority w:val="0"/>
    <w:pPr>
      <w:spacing w:before="100" w:beforeAutospacing="1" w:after="100" w:afterAutospacing="1"/>
    </w:pPr>
    <w:rPr>
      <w:rFonts w:ascii="宋体" w:hAnsi="宋体" w:eastAsia="宋体" w:cs="宋体"/>
      <w:sz w:val="24"/>
      <w:szCs w:val="24"/>
      <w:lang w:val="en-US" w:eastAsia="zh-CN" w:bidi="ar-SA"/>
    </w:rPr>
  </w:style>
  <w:style w:type="character" w:customStyle="1" w:styleId="787">
    <w:name w:val="Strong_file_733"/>
    <w:basedOn w:val="788"/>
    <w:qFormat/>
    <w:uiPriority w:val="22"/>
    <w:rPr>
      <w:b/>
      <w:bCs/>
    </w:rPr>
  </w:style>
  <w:style w:type="character" w:customStyle="1" w:styleId="788">
    <w:name w:val="Default Paragraph Font_file_733"/>
    <w:semiHidden/>
    <w:unhideWhenUsed/>
    <w:qFormat/>
    <w:uiPriority w:val="1"/>
  </w:style>
  <w:style w:type="paragraph" w:customStyle="1" w:styleId="789">
    <w:name w:val="Normal (Web)_file_734"/>
    <w:basedOn w:val="790"/>
    <w:semiHidden/>
    <w:unhideWhenUsed/>
    <w:qFormat/>
    <w:uiPriority w:val="99"/>
  </w:style>
  <w:style w:type="paragraph" w:customStyle="1" w:styleId="790">
    <w:name w:val="Normal_file_73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91">
    <w:name w:val="Plain Text_file_506"/>
    <w:basedOn w:val="792"/>
    <w:qFormat/>
    <w:uiPriority w:val="0"/>
    <w:rPr>
      <w:rFonts w:ascii="宋体" w:hAnsi="Courier New" w:cs="Courier New"/>
      <w:szCs w:val="21"/>
    </w:rPr>
  </w:style>
  <w:style w:type="paragraph" w:customStyle="1" w:styleId="792">
    <w:name w:val="Normal_file_506"/>
    <w:next w:val="4"/>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793">
    <w:name w:val="Emphasis_file_728"/>
    <w:basedOn w:val="794"/>
    <w:qFormat/>
    <w:uiPriority w:val="20"/>
    <w:rPr>
      <w:i/>
      <w:iCs/>
    </w:rPr>
  </w:style>
  <w:style w:type="character" w:customStyle="1" w:styleId="794">
    <w:name w:val="Default Paragraph Font_file_728"/>
    <w:semiHidden/>
    <w:unhideWhenUsed/>
    <w:qFormat/>
    <w:uiPriority w:val="1"/>
  </w:style>
  <w:style w:type="character" w:customStyle="1" w:styleId="795">
    <w:name w:val="ca-21_file_498"/>
    <w:basedOn w:val="50"/>
    <w:qFormat/>
    <w:uiPriority w:val="0"/>
    <w:rPr>
      <w:rFonts w:ascii="宋体" w:hAnsi="宋体" w:eastAsia="宋体"/>
      <w:w w:val="100"/>
      <w:sz w:val="21"/>
      <w:szCs w:val="21"/>
      <w:shd w:val="clear" w:color="auto" w:fill="auto"/>
    </w:rPr>
  </w:style>
  <w:style w:type="table" w:customStyle="1" w:styleId="796">
    <w:name w:val="Normal Table_file_223_file_1836_file_228"/>
    <w:basedOn w:val="48"/>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797">
    <w:name w:val="List Paragraph_file_228"/>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2"/>
      <w:lang w:val="en-US" w:eastAsia="zh-CN" w:bidi="ar"/>
    </w:rPr>
  </w:style>
  <w:style w:type="paragraph" w:customStyle="1" w:styleId="798">
    <w:name w:val="List Paragraph_file_219_file_225"/>
    <w:basedOn w:val="799"/>
    <w:qFormat/>
    <w:uiPriority w:val="34"/>
    <w:pPr>
      <w:ind w:firstLine="420" w:firstLineChars="200"/>
    </w:pPr>
    <w:rPr>
      <w:rFonts w:ascii="Calibri" w:hAnsi="Calibri"/>
      <w:szCs w:val="22"/>
    </w:rPr>
  </w:style>
  <w:style w:type="paragraph" w:customStyle="1" w:styleId="799">
    <w:name w:val="Normal_file_219_file_225"/>
    <w:next w:val="4"/>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8.jpe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jpe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jpe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D70867-4B33-4F50-B3B2-4C9B875C0E32}">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128</Pages>
  <Words>17101</Words>
  <Characters>18081</Characters>
  <Lines>824</Lines>
  <Paragraphs>725</Paragraphs>
  <TotalTime>450</TotalTime>
  <ScaleCrop>false</ScaleCrop>
  <LinksUpToDate>false</LinksUpToDate>
  <CharactersWithSpaces>18149</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2024-06-12T01:03:00Z</dcterms:created>
  <dc:creator>柳州市政府集中采购中心</dc:creator>
  <cp:lastModifiedBy>小Fan</cp:lastModifiedBy>
  <cp:lastPrinted>2018-11-29T15:27:00Z</cp:lastPrinted>
  <dcterms:modified xsi:type="dcterms:W3CDTF">2026-03-24T01:55:05Z</dcterms:modified>
  <dc:title>询价通知书</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131E1A9E869C4C3E95E564CD7ABE56AC</vt:lpwstr>
  </property>
  <property fmtid="{D5CDD505-2E9C-101B-9397-08002B2CF9AE}" pid="4" name="KSOTemplateDocerSaveRecord">
    <vt:lpwstr>eyJoZGlkIjoiMWE4OGRhN2UyNjI4NDZhMWFiMjM2NzhiOGUxNjMyYWUiLCJ1c2VySWQiOiI2NjE1NzQ5NzYifQ==</vt:lpwstr>
  </property>
</Properties>
</file>