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6C1C5">
      <w:pPr>
        <w:jc w:val="center"/>
        <w:rPr>
          <w:rFonts w:hint="eastAsia"/>
          <w:b/>
          <w:bCs/>
          <w:sz w:val="52"/>
          <w:szCs w:val="52"/>
        </w:rPr>
      </w:pPr>
      <w:r>
        <w:rPr>
          <w:rFonts w:hint="eastAsia" w:ascii="楷体" w:eastAsia="楷体"/>
          <w:b/>
          <w:sz w:val="52"/>
        </w:rPr>
        <w:t>桂林市政府集中采购中心</w:t>
      </w:r>
    </w:p>
    <w:p w14:paraId="0AC11E75">
      <w:pPr>
        <w:pStyle w:val="16"/>
        <w:rPr>
          <w:b/>
          <w:bCs/>
          <w:sz w:val="52"/>
          <w:szCs w:val="52"/>
        </w:rPr>
      </w:pPr>
    </w:p>
    <w:p w14:paraId="4C660AFC">
      <w:pPr>
        <w:pStyle w:val="16"/>
        <w:rPr>
          <w:b/>
          <w:bCs/>
          <w:sz w:val="52"/>
          <w:szCs w:val="52"/>
        </w:rPr>
      </w:pPr>
    </w:p>
    <w:p w14:paraId="3D0F39CE">
      <w:pPr>
        <w:ind w:left="558" w:right="683"/>
        <w:jc w:val="center"/>
        <w:rPr>
          <w:rFonts w:ascii="楷体" w:eastAsia="楷体"/>
          <w:b/>
          <w:sz w:val="72"/>
          <w:szCs w:val="72"/>
        </w:rPr>
      </w:pPr>
      <w:r>
        <w:rPr>
          <w:rFonts w:hint="eastAsia" w:ascii="楷体" w:eastAsia="楷体"/>
          <w:b/>
          <w:spacing w:val="93"/>
          <w:sz w:val="72"/>
          <w:szCs w:val="72"/>
        </w:rPr>
        <w:t>竞争性谈判文件</w:t>
      </w:r>
    </w:p>
    <w:p w14:paraId="0CC5A42B">
      <w:pPr>
        <w:jc w:val="center"/>
        <w:rPr>
          <w:rFonts w:ascii="微软雅黑" w:hAnsi="微软雅黑" w:eastAsia="微软雅黑" w:cs="微软雅黑"/>
          <w:b/>
          <w:bCs/>
          <w:sz w:val="52"/>
          <w:szCs w:val="52"/>
        </w:rPr>
      </w:pPr>
    </w:p>
    <w:p w14:paraId="722EBB2F">
      <w:pPr>
        <w:jc w:val="center"/>
        <w:rPr>
          <w:rFonts w:ascii="微软雅黑" w:hAnsi="微软雅黑" w:eastAsia="微软雅黑" w:cs="微软雅黑"/>
          <w:b/>
          <w:bCs/>
          <w:sz w:val="52"/>
          <w:szCs w:val="52"/>
        </w:rPr>
      </w:pPr>
    </w:p>
    <w:p w14:paraId="74AC6716">
      <w:pPr>
        <w:jc w:val="center"/>
        <w:rPr>
          <w:rFonts w:ascii="微软雅黑" w:hAnsi="微软雅黑" w:eastAsia="微软雅黑" w:cs="微软雅黑"/>
          <w:b/>
          <w:bCs/>
          <w:sz w:val="52"/>
          <w:szCs w:val="52"/>
        </w:rPr>
      </w:pPr>
    </w:p>
    <w:p w14:paraId="16C403D6">
      <w:pPr>
        <w:jc w:val="center"/>
        <w:rPr>
          <w:rFonts w:hint="eastAsia" w:ascii="宋体" w:hAnsi="宋体" w:eastAsia="宋体" w:cs="宋体"/>
          <w:sz w:val="32"/>
          <w:szCs w:val="32"/>
          <w:highlight w:val="none"/>
          <w:u w:val="single"/>
          <w:lang w:eastAsia="zh-CN"/>
        </w:rPr>
      </w:pPr>
      <w:bookmarkStart w:id="1020" w:name="_GoBack"/>
      <w:bookmarkEnd w:id="1020"/>
      <w:r>
        <w:rPr>
          <w:rFonts w:hint="eastAsia" w:ascii="宋体" w:hAnsi="宋体" w:cs="宋体"/>
          <w:sz w:val="32"/>
          <w:szCs w:val="32"/>
          <w:highlight w:val="none"/>
        </w:rPr>
        <w:t>项 目 名 称：</w:t>
      </w:r>
      <w:r>
        <w:rPr>
          <w:rFonts w:hint="eastAsia" w:ascii="宋体" w:hAnsi="宋体" w:cs="宋体"/>
          <w:sz w:val="32"/>
          <w:szCs w:val="32"/>
          <w:highlight w:val="none"/>
          <w:u w:val="single"/>
          <w:lang w:eastAsia="zh-CN"/>
        </w:rPr>
        <w:t>资源县教育局教学设备采购</w:t>
      </w:r>
    </w:p>
    <w:p w14:paraId="4223FC23">
      <w:pPr>
        <w:jc w:val="center"/>
        <w:rPr>
          <w:rFonts w:hint="eastAsia" w:ascii="宋体" w:hAnsi="宋体" w:eastAsia="宋体" w:cs="宋体"/>
          <w:sz w:val="32"/>
          <w:szCs w:val="32"/>
          <w:highlight w:val="none"/>
          <w:lang w:eastAsia="zh-CN"/>
        </w:rPr>
      </w:pPr>
      <w:r>
        <w:rPr>
          <w:rFonts w:hint="eastAsia" w:ascii="宋体" w:hAnsi="宋体" w:cs="宋体"/>
          <w:sz w:val="32"/>
          <w:szCs w:val="32"/>
          <w:highlight w:val="none"/>
        </w:rPr>
        <w:t>项 目 编 号：</w:t>
      </w:r>
      <w:r>
        <w:rPr>
          <w:rFonts w:hint="eastAsia" w:ascii="宋体" w:hAnsi="宋体" w:cs="宋体"/>
          <w:sz w:val="32"/>
          <w:szCs w:val="32"/>
          <w:highlight w:val="none"/>
          <w:u w:val="single"/>
          <w:lang w:eastAsia="zh-CN"/>
        </w:rPr>
        <w:t>GLZC2026-J1-290019-GLSZ</w:t>
      </w:r>
    </w:p>
    <w:p w14:paraId="0AA1C702">
      <w:pPr>
        <w:ind w:firstLine="1600" w:firstLineChars="500"/>
        <w:rPr>
          <w:rFonts w:hint="eastAsia" w:ascii="宋体" w:hAnsi="宋体" w:cs="宋体"/>
          <w:sz w:val="32"/>
          <w:szCs w:val="32"/>
        </w:rPr>
      </w:pPr>
    </w:p>
    <w:p w14:paraId="2EB0926F">
      <w:pPr>
        <w:jc w:val="center"/>
        <w:rPr>
          <w:rFonts w:hint="eastAsia" w:ascii="宋体" w:hAnsi="宋体" w:cs="宋体"/>
          <w:sz w:val="32"/>
          <w:szCs w:val="32"/>
        </w:rPr>
      </w:pPr>
    </w:p>
    <w:p w14:paraId="7B116E8A">
      <w:pPr>
        <w:rPr>
          <w:rFonts w:hint="eastAsia" w:ascii="宋体" w:hAnsi="宋体" w:cs="宋体"/>
          <w:sz w:val="32"/>
          <w:szCs w:val="32"/>
        </w:rPr>
      </w:pPr>
    </w:p>
    <w:p w14:paraId="19588902">
      <w:pPr>
        <w:jc w:val="center"/>
        <w:rPr>
          <w:rFonts w:hint="eastAsia" w:ascii="宋体" w:hAnsi="宋体" w:cs="宋体"/>
          <w:sz w:val="32"/>
          <w:szCs w:val="32"/>
        </w:rPr>
      </w:pPr>
    </w:p>
    <w:p w14:paraId="08E923FF">
      <w:pPr>
        <w:jc w:val="center"/>
        <w:rPr>
          <w:rFonts w:hint="eastAsia" w:ascii="宋体" w:hAnsi="宋体" w:cs="宋体"/>
          <w:sz w:val="32"/>
          <w:szCs w:val="32"/>
        </w:rPr>
      </w:pPr>
      <w:r>
        <w:rPr>
          <w:rFonts w:hint="eastAsia" w:ascii="宋体" w:hAnsi="宋体" w:cs="宋体"/>
          <w:sz w:val="32"/>
          <w:szCs w:val="32"/>
        </w:rPr>
        <w:t>采购代理机构：桂林市政府集中采购中心</w:t>
      </w:r>
    </w:p>
    <w:p w14:paraId="1EADAAD4">
      <w:pPr>
        <w:pStyle w:val="2"/>
        <w:rPr>
          <w:rFonts w:hint="eastAsia"/>
        </w:rPr>
      </w:pPr>
    </w:p>
    <w:p w14:paraId="7EB5E812">
      <w:pPr>
        <w:jc w:val="center"/>
        <w:rPr>
          <w:rFonts w:hint="eastAsia" w:ascii="宋体" w:hAnsi="宋体" w:eastAsia="宋体" w:cs="宋体"/>
          <w:sz w:val="48"/>
          <w:szCs w:val="48"/>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440" w:right="935" w:bottom="1440" w:left="779" w:header="851" w:footer="992" w:gutter="0"/>
          <w:pgBorders>
            <w:top w:val="none" w:sz="0" w:space="0"/>
            <w:left w:val="none" w:sz="0" w:space="0"/>
            <w:bottom w:val="none" w:sz="0" w:space="0"/>
            <w:right w:val="none" w:sz="0" w:space="0"/>
          </w:pgBorders>
          <w:pgNumType w:start="1"/>
          <w:cols w:space="720" w:num="1"/>
          <w:docGrid w:type="linesAndChars" w:linePitch="312" w:charSpace="0"/>
        </w:sectPr>
      </w:pPr>
      <w:r>
        <w:rPr>
          <w:rFonts w:hint="eastAsia" w:ascii="宋体" w:hAnsi="宋体" w:cs="宋体"/>
          <w:sz w:val="32"/>
          <w:szCs w:val="32"/>
          <w:highlight w:val="none"/>
          <w:lang w:eastAsia="zh-CN"/>
        </w:rPr>
        <w:t>2026年</w:t>
      </w:r>
      <w:r>
        <w:rPr>
          <w:rFonts w:hint="eastAsia" w:ascii="宋体" w:hAnsi="宋体" w:cs="宋体"/>
          <w:sz w:val="32"/>
          <w:szCs w:val="32"/>
          <w:highlight w:val="none"/>
          <w:lang w:val="en-US" w:eastAsia="zh-CN"/>
        </w:rPr>
        <w:t>6</w:t>
      </w:r>
      <w:r>
        <w:rPr>
          <w:rFonts w:hint="eastAsia" w:ascii="宋体" w:hAnsi="宋体" w:cs="宋体"/>
          <w:sz w:val="32"/>
          <w:szCs w:val="32"/>
          <w:highlight w:val="none"/>
          <w:lang w:eastAsia="zh-CN"/>
        </w:rPr>
        <w:t>月</w:t>
      </w:r>
      <w:r>
        <w:rPr>
          <w:rFonts w:hint="eastAsia" w:ascii="宋体" w:hAnsi="宋体" w:cs="宋体"/>
          <w:sz w:val="32"/>
          <w:szCs w:val="32"/>
          <w:highlight w:val="none"/>
          <w:lang w:val="en-US" w:eastAsia="zh-CN"/>
        </w:rPr>
        <w:t>25</w:t>
      </w:r>
      <w:r>
        <w:rPr>
          <w:rFonts w:hint="eastAsia" w:ascii="宋体" w:hAnsi="宋体" w:cs="宋体"/>
          <w:sz w:val="32"/>
          <w:szCs w:val="32"/>
          <w:highlight w:val="none"/>
          <w:lang w:eastAsia="zh-CN"/>
        </w:rPr>
        <w:t>日</w:t>
      </w:r>
    </w:p>
    <w:p w14:paraId="776FCE5D">
      <w:pPr>
        <w:jc w:val="center"/>
        <w:rPr>
          <w:b/>
          <w:bCs/>
          <w:sz w:val="36"/>
          <w:szCs w:val="36"/>
        </w:rPr>
      </w:pPr>
      <w:r>
        <w:rPr>
          <w:rFonts w:hint="eastAsia"/>
          <w:b/>
          <w:bCs/>
          <w:sz w:val="36"/>
          <w:szCs w:val="36"/>
          <w:lang w:val="zh-CN"/>
        </w:rPr>
        <w:t>目</w:t>
      </w:r>
      <w:r>
        <w:rPr>
          <w:rFonts w:hint="eastAsia"/>
          <w:b/>
          <w:bCs/>
          <w:sz w:val="36"/>
          <w:szCs w:val="36"/>
        </w:rPr>
        <w:t xml:space="preserve">  </w:t>
      </w:r>
      <w:r>
        <w:rPr>
          <w:rFonts w:hint="eastAsia"/>
          <w:b/>
          <w:bCs/>
          <w:sz w:val="36"/>
          <w:szCs w:val="36"/>
          <w:lang w:val="zh-CN"/>
        </w:rPr>
        <w:t>录</w:t>
      </w:r>
    </w:p>
    <w:p w14:paraId="2B4BBB87">
      <w:pPr>
        <w:pStyle w:val="18"/>
        <w:tabs>
          <w:tab w:val="right" w:leader="dot" w:pos="10192"/>
        </w:tabs>
      </w:pPr>
      <w:r>
        <w:rPr>
          <w:rFonts w:hint="eastAsia" w:ascii="宋体" w:hAnsi="宋体" w:cs="宋体"/>
          <w:sz w:val="24"/>
        </w:rPr>
        <w:fldChar w:fldCharType="begin"/>
      </w:r>
      <w:r>
        <w:rPr>
          <w:rFonts w:hint="eastAsia" w:ascii="宋体" w:hAnsi="宋体" w:cs="宋体"/>
          <w:sz w:val="24"/>
        </w:rPr>
        <w:instrText xml:space="preserve"> TOC \o "1-3" \h \z \u </w:instrText>
      </w:r>
      <w:r>
        <w:rPr>
          <w:rFonts w:hint="eastAsia" w:ascii="宋体" w:hAnsi="宋体" w:cs="宋体"/>
          <w:sz w:val="24"/>
        </w:rPr>
        <w:fldChar w:fldCharType="separate"/>
      </w:r>
      <w:r>
        <w:rPr>
          <w:rFonts w:hint="eastAsia" w:ascii="宋体" w:hAnsi="宋体" w:cs="宋体"/>
          <w:bCs/>
          <w:lang w:val="zh-CN"/>
        </w:rPr>
        <w:fldChar w:fldCharType="begin"/>
      </w:r>
      <w:r>
        <w:rPr>
          <w:rFonts w:hint="eastAsia" w:ascii="宋体" w:hAnsi="宋体" w:cs="宋体"/>
          <w:bCs/>
          <w:lang w:val="zh-CN"/>
        </w:rPr>
        <w:instrText xml:space="preserve"> HYPERLINK \l _Toc19241 </w:instrText>
      </w:r>
      <w:r>
        <w:rPr>
          <w:rFonts w:hint="eastAsia" w:ascii="宋体" w:hAnsi="宋体" w:cs="宋体"/>
          <w:bCs/>
          <w:lang w:val="zh-CN"/>
        </w:rPr>
        <w:fldChar w:fldCharType="separate"/>
      </w:r>
      <w:r>
        <w:rPr>
          <w:rFonts w:hint="eastAsia"/>
          <w:szCs w:val="32"/>
        </w:rPr>
        <w:t>第一章 竞争性谈判公告</w:t>
      </w:r>
      <w:r>
        <w:tab/>
      </w:r>
      <w:r>
        <w:fldChar w:fldCharType="begin"/>
      </w:r>
      <w:r>
        <w:instrText xml:space="preserve"> PAGEREF _Toc19241 \h </w:instrText>
      </w:r>
      <w:r>
        <w:fldChar w:fldCharType="separate"/>
      </w:r>
      <w:r>
        <w:t>1</w:t>
      </w:r>
      <w:r>
        <w:fldChar w:fldCharType="end"/>
      </w:r>
      <w:r>
        <w:rPr>
          <w:rFonts w:hint="eastAsia" w:ascii="宋体" w:hAnsi="宋体" w:cs="宋体"/>
          <w:bCs/>
          <w:lang w:val="zh-CN"/>
        </w:rPr>
        <w:fldChar w:fldCharType="end"/>
      </w:r>
    </w:p>
    <w:p w14:paraId="288E2B21">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_Toc26689 </w:instrText>
      </w:r>
      <w:r>
        <w:rPr>
          <w:rFonts w:hint="eastAsia" w:ascii="宋体" w:hAnsi="宋体" w:cs="宋体"/>
          <w:bCs/>
          <w:lang w:val="zh-CN"/>
        </w:rPr>
        <w:fldChar w:fldCharType="separate"/>
      </w:r>
      <w:r>
        <w:rPr>
          <w:rFonts w:hint="eastAsia"/>
          <w:bCs/>
          <w:kern w:val="44"/>
          <w:szCs w:val="32"/>
        </w:rPr>
        <w:t>第二章　</w:t>
      </w:r>
      <w:r>
        <w:rPr>
          <w:rFonts w:hint="eastAsia"/>
          <w:szCs w:val="32"/>
        </w:rPr>
        <w:t>供应商须知</w:t>
      </w:r>
      <w:r>
        <w:tab/>
      </w:r>
      <w:r>
        <w:fldChar w:fldCharType="begin"/>
      </w:r>
      <w:r>
        <w:instrText xml:space="preserve"> PAGEREF _Toc26689 \h </w:instrText>
      </w:r>
      <w:r>
        <w:fldChar w:fldCharType="separate"/>
      </w:r>
      <w:r>
        <w:t>- 3 -</w:t>
      </w:r>
      <w:r>
        <w:fldChar w:fldCharType="end"/>
      </w:r>
      <w:r>
        <w:rPr>
          <w:rFonts w:hint="eastAsia" w:ascii="宋体" w:hAnsi="宋体" w:cs="宋体"/>
          <w:bCs/>
          <w:lang w:val="zh-CN"/>
        </w:rPr>
        <w:fldChar w:fldCharType="end"/>
      </w:r>
    </w:p>
    <w:p w14:paraId="77846983">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_Toc14834 </w:instrText>
      </w:r>
      <w:r>
        <w:rPr>
          <w:rFonts w:hint="eastAsia" w:ascii="宋体" w:hAnsi="宋体" w:cs="宋体"/>
          <w:bCs/>
          <w:lang w:val="zh-CN"/>
        </w:rPr>
        <w:fldChar w:fldCharType="separate"/>
      </w:r>
      <w:r>
        <w:rPr>
          <w:rFonts w:hint="eastAsia" w:ascii="宋体" w:hAnsi="宋体" w:cs="宋体"/>
        </w:rPr>
        <w:t>供 应 商 须 知 前 附 表</w:t>
      </w:r>
      <w:r>
        <w:tab/>
      </w:r>
      <w:r>
        <w:fldChar w:fldCharType="begin"/>
      </w:r>
      <w:r>
        <w:instrText xml:space="preserve"> PAGEREF _Toc14834 \h </w:instrText>
      </w:r>
      <w:r>
        <w:fldChar w:fldCharType="separate"/>
      </w:r>
      <w:r>
        <w:t>- 4 -</w:t>
      </w:r>
      <w:r>
        <w:fldChar w:fldCharType="end"/>
      </w:r>
      <w:r>
        <w:rPr>
          <w:rFonts w:hint="eastAsia" w:ascii="宋体" w:hAnsi="宋体" w:cs="宋体"/>
          <w:bCs/>
          <w:lang w:val="zh-CN"/>
        </w:rPr>
        <w:fldChar w:fldCharType="end"/>
      </w:r>
    </w:p>
    <w:p w14:paraId="16E39CE8">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_Toc28833 </w:instrText>
      </w:r>
      <w:r>
        <w:rPr>
          <w:rFonts w:hint="eastAsia" w:ascii="宋体" w:hAnsi="宋体" w:cs="宋体"/>
          <w:bCs/>
          <w:lang w:val="zh-CN"/>
        </w:rPr>
        <w:fldChar w:fldCharType="separate"/>
      </w:r>
      <w:r>
        <w:rPr>
          <w:rFonts w:hint="eastAsia"/>
          <w:szCs w:val="28"/>
        </w:rPr>
        <w:t>一、总则</w:t>
      </w:r>
      <w:r>
        <w:tab/>
      </w:r>
      <w:r>
        <w:fldChar w:fldCharType="begin"/>
      </w:r>
      <w:r>
        <w:instrText xml:space="preserve"> PAGEREF _Toc28833 \h </w:instrText>
      </w:r>
      <w:r>
        <w:fldChar w:fldCharType="separate"/>
      </w:r>
      <w:r>
        <w:t>- 8 -</w:t>
      </w:r>
      <w:r>
        <w:fldChar w:fldCharType="end"/>
      </w:r>
      <w:r>
        <w:rPr>
          <w:rFonts w:hint="eastAsia" w:ascii="宋体" w:hAnsi="宋体" w:cs="宋体"/>
          <w:bCs/>
          <w:lang w:val="zh-CN"/>
        </w:rPr>
        <w:fldChar w:fldCharType="end"/>
      </w:r>
    </w:p>
    <w:p w14:paraId="5DDF990E">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_Toc5438 </w:instrText>
      </w:r>
      <w:r>
        <w:rPr>
          <w:rFonts w:hint="eastAsia" w:ascii="宋体" w:hAnsi="宋体" w:cs="宋体"/>
          <w:bCs/>
          <w:lang w:val="zh-CN"/>
        </w:rPr>
        <w:fldChar w:fldCharType="separate"/>
      </w:r>
      <w:r>
        <w:rPr>
          <w:rFonts w:hint="eastAsia" w:ascii="宋体" w:hAnsi="宋体" w:cs="宋体"/>
          <w:szCs w:val="21"/>
        </w:rPr>
        <w:t>1. 适应范围</w:t>
      </w:r>
      <w:r>
        <w:tab/>
      </w:r>
      <w:r>
        <w:fldChar w:fldCharType="begin"/>
      </w:r>
      <w:r>
        <w:instrText xml:space="preserve"> PAGEREF _Toc5438 \h </w:instrText>
      </w:r>
      <w:r>
        <w:fldChar w:fldCharType="separate"/>
      </w:r>
      <w:r>
        <w:t>- 8 -</w:t>
      </w:r>
      <w:r>
        <w:fldChar w:fldCharType="end"/>
      </w:r>
      <w:r>
        <w:rPr>
          <w:rFonts w:hint="eastAsia" w:ascii="宋体" w:hAnsi="宋体" w:cs="宋体"/>
          <w:bCs/>
          <w:lang w:val="zh-CN"/>
        </w:rPr>
        <w:fldChar w:fldCharType="end"/>
      </w:r>
    </w:p>
    <w:p w14:paraId="6C3BE83F">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_Toc10650 </w:instrText>
      </w:r>
      <w:r>
        <w:rPr>
          <w:rFonts w:hint="eastAsia" w:ascii="宋体" w:hAnsi="宋体" w:cs="宋体"/>
          <w:bCs/>
          <w:lang w:val="zh-CN"/>
        </w:rPr>
        <w:fldChar w:fldCharType="separate"/>
      </w:r>
      <w:r>
        <w:rPr>
          <w:rFonts w:hint="eastAsia" w:ascii="宋体" w:hAnsi="宋体" w:cs="宋体"/>
          <w:szCs w:val="21"/>
        </w:rPr>
        <w:t>2. 定义</w:t>
      </w:r>
      <w:r>
        <w:tab/>
      </w:r>
      <w:r>
        <w:fldChar w:fldCharType="begin"/>
      </w:r>
      <w:r>
        <w:instrText xml:space="preserve"> PAGEREF _Toc10650 \h </w:instrText>
      </w:r>
      <w:r>
        <w:fldChar w:fldCharType="separate"/>
      </w:r>
      <w:r>
        <w:t>- 8 -</w:t>
      </w:r>
      <w:r>
        <w:fldChar w:fldCharType="end"/>
      </w:r>
      <w:r>
        <w:rPr>
          <w:rFonts w:hint="eastAsia" w:ascii="宋体" w:hAnsi="宋体" w:cs="宋体"/>
          <w:bCs/>
          <w:lang w:val="zh-CN"/>
        </w:rPr>
        <w:fldChar w:fldCharType="end"/>
      </w:r>
    </w:p>
    <w:p w14:paraId="4D78D07A">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_Toc4442 </w:instrText>
      </w:r>
      <w:r>
        <w:rPr>
          <w:rFonts w:hint="eastAsia" w:ascii="宋体" w:hAnsi="宋体" w:cs="宋体"/>
          <w:bCs/>
          <w:lang w:val="zh-CN"/>
        </w:rPr>
        <w:fldChar w:fldCharType="separate"/>
      </w:r>
      <w:r>
        <w:rPr>
          <w:rFonts w:hint="eastAsia" w:ascii="宋体" w:hAnsi="宋体" w:cs="宋体"/>
          <w:szCs w:val="21"/>
        </w:rPr>
        <w:t>3. 供应商资格</w:t>
      </w:r>
      <w:r>
        <w:tab/>
      </w:r>
      <w:r>
        <w:fldChar w:fldCharType="begin"/>
      </w:r>
      <w:r>
        <w:instrText xml:space="preserve"> PAGEREF _Toc4442 \h </w:instrText>
      </w:r>
      <w:r>
        <w:fldChar w:fldCharType="separate"/>
      </w:r>
      <w:r>
        <w:t>- 8 -</w:t>
      </w:r>
      <w:r>
        <w:fldChar w:fldCharType="end"/>
      </w:r>
      <w:r>
        <w:rPr>
          <w:rFonts w:hint="eastAsia" w:ascii="宋体" w:hAnsi="宋体" w:cs="宋体"/>
          <w:bCs/>
          <w:lang w:val="zh-CN"/>
        </w:rPr>
        <w:fldChar w:fldCharType="end"/>
      </w:r>
    </w:p>
    <w:p w14:paraId="5B26A8F2">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_Toc10575 </w:instrText>
      </w:r>
      <w:r>
        <w:rPr>
          <w:rFonts w:hint="eastAsia" w:ascii="宋体" w:hAnsi="宋体" w:cs="宋体"/>
          <w:bCs/>
          <w:lang w:val="zh-CN"/>
        </w:rPr>
        <w:fldChar w:fldCharType="separate"/>
      </w:r>
      <w:r>
        <w:rPr>
          <w:rFonts w:hint="eastAsia" w:ascii="宋体" w:hAnsi="宋体" w:cs="宋体"/>
          <w:szCs w:val="21"/>
        </w:rPr>
        <w:t>4. 谈判费用</w:t>
      </w:r>
      <w:r>
        <w:tab/>
      </w:r>
      <w:r>
        <w:fldChar w:fldCharType="begin"/>
      </w:r>
      <w:r>
        <w:instrText xml:space="preserve"> PAGEREF _Toc10575 \h </w:instrText>
      </w:r>
      <w:r>
        <w:fldChar w:fldCharType="separate"/>
      </w:r>
      <w:r>
        <w:t>- 8 -</w:t>
      </w:r>
      <w:r>
        <w:fldChar w:fldCharType="end"/>
      </w:r>
      <w:r>
        <w:rPr>
          <w:rFonts w:hint="eastAsia" w:ascii="宋体" w:hAnsi="宋体" w:cs="宋体"/>
          <w:bCs/>
          <w:lang w:val="zh-CN"/>
        </w:rPr>
        <w:fldChar w:fldCharType="end"/>
      </w:r>
    </w:p>
    <w:p w14:paraId="45AA0818">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_Toc31425 </w:instrText>
      </w:r>
      <w:r>
        <w:rPr>
          <w:rFonts w:hint="eastAsia" w:ascii="宋体" w:hAnsi="宋体" w:cs="宋体"/>
          <w:bCs/>
          <w:lang w:val="zh-CN"/>
        </w:rPr>
        <w:fldChar w:fldCharType="separate"/>
      </w:r>
      <w:r>
        <w:rPr>
          <w:rFonts w:hint="eastAsia" w:ascii="宋体" w:hAnsi="宋体" w:cs="宋体"/>
          <w:kern w:val="0"/>
          <w:szCs w:val="21"/>
        </w:rPr>
        <w:t>5.</w:t>
      </w:r>
      <w:r>
        <w:rPr>
          <w:rFonts w:hint="eastAsia" w:ascii="宋体" w:hAnsi="宋体" w:cs="宋体"/>
          <w:szCs w:val="21"/>
        </w:rPr>
        <w:t>联合体要求</w:t>
      </w:r>
      <w:r>
        <w:tab/>
      </w:r>
      <w:r>
        <w:fldChar w:fldCharType="begin"/>
      </w:r>
      <w:r>
        <w:instrText xml:space="preserve"> PAGEREF _Toc31425 \h </w:instrText>
      </w:r>
      <w:r>
        <w:fldChar w:fldCharType="separate"/>
      </w:r>
      <w:r>
        <w:t>- 8 -</w:t>
      </w:r>
      <w:r>
        <w:fldChar w:fldCharType="end"/>
      </w:r>
      <w:r>
        <w:rPr>
          <w:rFonts w:hint="eastAsia" w:ascii="宋体" w:hAnsi="宋体" w:cs="宋体"/>
          <w:bCs/>
          <w:lang w:val="zh-CN"/>
        </w:rPr>
        <w:fldChar w:fldCharType="end"/>
      </w:r>
    </w:p>
    <w:p w14:paraId="5FC6A73F">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_Toc26025 </w:instrText>
      </w:r>
      <w:r>
        <w:rPr>
          <w:rFonts w:hint="eastAsia" w:ascii="宋体" w:hAnsi="宋体" w:cs="宋体"/>
          <w:bCs/>
          <w:lang w:val="zh-CN"/>
        </w:rPr>
        <w:fldChar w:fldCharType="separate"/>
      </w:r>
      <w:r>
        <w:rPr>
          <w:rFonts w:hint="eastAsia" w:ascii="宋体" w:hAnsi="宋体" w:cs="宋体"/>
          <w:szCs w:val="21"/>
        </w:rPr>
        <w:t>6. 质疑和投诉</w:t>
      </w:r>
      <w:r>
        <w:tab/>
      </w:r>
      <w:r>
        <w:fldChar w:fldCharType="begin"/>
      </w:r>
      <w:r>
        <w:instrText xml:space="preserve"> PAGEREF _Toc26025 \h </w:instrText>
      </w:r>
      <w:r>
        <w:fldChar w:fldCharType="separate"/>
      </w:r>
      <w:r>
        <w:t>- 8 -</w:t>
      </w:r>
      <w:r>
        <w:fldChar w:fldCharType="end"/>
      </w:r>
      <w:r>
        <w:rPr>
          <w:rFonts w:hint="eastAsia" w:ascii="宋体" w:hAnsi="宋体" w:cs="宋体"/>
          <w:bCs/>
          <w:lang w:val="zh-CN"/>
        </w:rPr>
        <w:fldChar w:fldCharType="end"/>
      </w:r>
    </w:p>
    <w:p w14:paraId="55CFDDEE">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_Toc17834 </w:instrText>
      </w:r>
      <w:r>
        <w:rPr>
          <w:rFonts w:hint="eastAsia" w:ascii="宋体" w:hAnsi="宋体" w:cs="宋体"/>
          <w:bCs/>
          <w:lang w:val="zh-CN"/>
        </w:rPr>
        <w:fldChar w:fldCharType="separate"/>
      </w:r>
      <w:r>
        <w:rPr>
          <w:rFonts w:hint="eastAsia" w:ascii="宋体" w:hAnsi="宋体" w:cs="宋体"/>
          <w:szCs w:val="21"/>
        </w:rPr>
        <w:t>7. 转包与分包</w:t>
      </w:r>
      <w:r>
        <w:tab/>
      </w:r>
      <w:r>
        <w:fldChar w:fldCharType="begin"/>
      </w:r>
      <w:r>
        <w:instrText xml:space="preserve"> PAGEREF _Toc17834 \h </w:instrText>
      </w:r>
      <w:r>
        <w:fldChar w:fldCharType="separate"/>
      </w:r>
      <w:r>
        <w:t>- 9 -</w:t>
      </w:r>
      <w:r>
        <w:fldChar w:fldCharType="end"/>
      </w:r>
      <w:r>
        <w:rPr>
          <w:rFonts w:hint="eastAsia" w:ascii="宋体" w:hAnsi="宋体" w:cs="宋体"/>
          <w:bCs/>
          <w:lang w:val="zh-CN"/>
        </w:rPr>
        <w:fldChar w:fldCharType="end"/>
      </w:r>
    </w:p>
    <w:p w14:paraId="6E09E743">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_Toc18475 </w:instrText>
      </w:r>
      <w:r>
        <w:rPr>
          <w:rFonts w:hint="eastAsia" w:ascii="宋体" w:hAnsi="宋体" w:cs="宋体"/>
          <w:bCs/>
          <w:lang w:val="zh-CN"/>
        </w:rPr>
        <w:fldChar w:fldCharType="separate"/>
      </w:r>
      <w:r>
        <w:rPr>
          <w:rFonts w:hint="eastAsia" w:ascii="宋体" w:hAnsi="宋体" w:cs="宋体"/>
          <w:szCs w:val="21"/>
        </w:rPr>
        <w:t>8. 特别说明</w:t>
      </w:r>
      <w:r>
        <w:tab/>
      </w:r>
      <w:r>
        <w:fldChar w:fldCharType="begin"/>
      </w:r>
      <w:r>
        <w:instrText xml:space="preserve"> PAGEREF _Toc18475 \h </w:instrText>
      </w:r>
      <w:r>
        <w:fldChar w:fldCharType="separate"/>
      </w:r>
      <w:r>
        <w:t>- 9 -</w:t>
      </w:r>
      <w:r>
        <w:fldChar w:fldCharType="end"/>
      </w:r>
      <w:r>
        <w:rPr>
          <w:rFonts w:hint="eastAsia" w:ascii="宋体" w:hAnsi="宋体" w:cs="宋体"/>
          <w:bCs/>
          <w:lang w:val="zh-CN"/>
        </w:rPr>
        <w:fldChar w:fldCharType="end"/>
      </w:r>
    </w:p>
    <w:p w14:paraId="3704CB7C">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_Toc2829 </w:instrText>
      </w:r>
      <w:r>
        <w:rPr>
          <w:rFonts w:hint="eastAsia" w:ascii="宋体" w:hAnsi="宋体" w:cs="宋体"/>
          <w:bCs/>
          <w:lang w:val="zh-CN"/>
        </w:rPr>
        <w:fldChar w:fldCharType="separate"/>
      </w:r>
      <w:r>
        <w:rPr>
          <w:rFonts w:hint="eastAsia"/>
          <w:szCs w:val="28"/>
        </w:rPr>
        <w:t>二、谈判文件</w:t>
      </w:r>
      <w:r>
        <w:tab/>
      </w:r>
      <w:r>
        <w:fldChar w:fldCharType="begin"/>
      </w:r>
      <w:r>
        <w:instrText xml:space="preserve"> PAGEREF _Toc2829 \h </w:instrText>
      </w:r>
      <w:r>
        <w:fldChar w:fldCharType="separate"/>
      </w:r>
      <w:r>
        <w:t>- 9 -</w:t>
      </w:r>
      <w:r>
        <w:fldChar w:fldCharType="end"/>
      </w:r>
      <w:r>
        <w:rPr>
          <w:rFonts w:hint="eastAsia" w:ascii="宋体" w:hAnsi="宋体" w:cs="宋体"/>
          <w:bCs/>
          <w:lang w:val="zh-CN"/>
        </w:rPr>
        <w:fldChar w:fldCharType="end"/>
      </w:r>
    </w:p>
    <w:p w14:paraId="3A1F1419">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_Toc3432 </w:instrText>
      </w:r>
      <w:r>
        <w:rPr>
          <w:rFonts w:hint="eastAsia" w:ascii="宋体" w:hAnsi="宋体" w:cs="宋体"/>
          <w:bCs/>
          <w:lang w:val="zh-CN"/>
        </w:rPr>
        <w:fldChar w:fldCharType="separate"/>
      </w:r>
      <w:r>
        <w:rPr>
          <w:rFonts w:hint="eastAsia" w:ascii="宋体" w:hAnsi="宋体" w:cs="宋体"/>
          <w:szCs w:val="21"/>
        </w:rPr>
        <w:t>9. 谈判文件的构成</w:t>
      </w:r>
      <w:r>
        <w:tab/>
      </w:r>
      <w:r>
        <w:fldChar w:fldCharType="begin"/>
      </w:r>
      <w:r>
        <w:instrText xml:space="preserve"> PAGEREF _Toc3432 \h </w:instrText>
      </w:r>
      <w:r>
        <w:fldChar w:fldCharType="separate"/>
      </w:r>
      <w:r>
        <w:t>- 9 -</w:t>
      </w:r>
      <w:r>
        <w:fldChar w:fldCharType="end"/>
      </w:r>
      <w:r>
        <w:rPr>
          <w:rFonts w:hint="eastAsia" w:ascii="宋体" w:hAnsi="宋体" w:cs="宋体"/>
          <w:bCs/>
          <w:lang w:val="zh-CN"/>
        </w:rPr>
        <w:fldChar w:fldCharType="end"/>
      </w:r>
    </w:p>
    <w:p w14:paraId="3C506C31">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_Toc26306 </w:instrText>
      </w:r>
      <w:r>
        <w:rPr>
          <w:rFonts w:hint="eastAsia" w:ascii="宋体" w:hAnsi="宋体" w:cs="宋体"/>
          <w:bCs/>
          <w:lang w:val="zh-CN"/>
        </w:rPr>
        <w:fldChar w:fldCharType="separate"/>
      </w:r>
      <w:r>
        <w:rPr>
          <w:rFonts w:hint="eastAsia" w:ascii="宋体" w:hAnsi="宋体" w:cs="宋体"/>
          <w:szCs w:val="21"/>
        </w:rPr>
        <w:t>10. 谈判文件的澄清与修改</w:t>
      </w:r>
      <w:r>
        <w:tab/>
      </w:r>
      <w:r>
        <w:fldChar w:fldCharType="begin"/>
      </w:r>
      <w:r>
        <w:instrText xml:space="preserve"> PAGEREF _Toc26306 \h </w:instrText>
      </w:r>
      <w:r>
        <w:fldChar w:fldCharType="separate"/>
      </w:r>
      <w:r>
        <w:t>- 9 -</w:t>
      </w:r>
      <w:r>
        <w:fldChar w:fldCharType="end"/>
      </w:r>
      <w:r>
        <w:rPr>
          <w:rFonts w:hint="eastAsia" w:ascii="宋体" w:hAnsi="宋体" w:cs="宋体"/>
          <w:bCs/>
          <w:lang w:val="zh-CN"/>
        </w:rPr>
        <w:fldChar w:fldCharType="end"/>
      </w:r>
    </w:p>
    <w:p w14:paraId="05979F9B">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_Toc13602 </w:instrText>
      </w:r>
      <w:r>
        <w:rPr>
          <w:rFonts w:hint="eastAsia" w:ascii="宋体" w:hAnsi="宋体" w:cs="宋体"/>
          <w:bCs/>
          <w:lang w:val="zh-CN"/>
        </w:rPr>
        <w:fldChar w:fldCharType="separate"/>
      </w:r>
      <w:r>
        <w:rPr>
          <w:rFonts w:hint="eastAsia"/>
          <w:szCs w:val="28"/>
        </w:rPr>
        <w:t>三、竞争性谈判响应文件的编制</w:t>
      </w:r>
      <w:r>
        <w:tab/>
      </w:r>
      <w:r>
        <w:fldChar w:fldCharType="begin"/>
      </w:r>
      <w:r>
        <w:instrText xml:space="preserve"> PAGEREF _Toc13602 \h </w:instrText>
      </w:r>
      <w:r>
        <w:fldChar w:fldCharType="separate"/>
      </w:r>
      <w:r>
        <w:t>- 10 -</w:t>
      </w:r>
      <w:r>
        <w:fldChar w:fldCharType="end"/>
      </w:r>
      <w:r>
        <w:rPr>
          <w:rFonts w:hint="eastAsia" w:ascii="宋体" w:hAnsi="宋体" w:cs="宋体"/>
          <w:bCs/>
          <w:lang w:val="zh-CN"/>
        </w:rPr>
        <w:fldChar w:fldCharType="end"/>
      </w:r>
    </w:p>
    <w:p w14:paraId="1DF2247E">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_Toc1961 </w:instrText>
      </w:r>
      <w:r>
        <w:rPr>
          <w:rFonts w:hint="eastAsia" w:ascii="宋体" w:hAnsi="宋体" w:cs="宋体"/>
          <w:bCs/>
          <w:lang w:val="zh-CN"/>
        </w:rPr>
        <w:fldChar w:fldCharType="separate"/>
      </w:r>
      <w:r>
        <w:rPr>
          <w:rFonts w:hint="eastAsia" w:ascii="宋体" w:hAnsi="宋体" w:cs="宋体"/>
          <w:szCs w:val="21"/>
        </w:rPr>
        <w:t>11.竞争性谈判响应文件（以下简称响应文件）的组成及要求</w:t>
      </w:r>
      <w:r>
        <w:tab/>
      </w:r>
      <w:r>
        <w:fldChar w:fldCharType="begin"/>
      </w:r>
      <w:r>
        <w:instrText xml:space="preserve"> PAGEREF _Toc1961 \h </w:instrText>
      </w:r>
      <w:r>
        <w:fldChar w:fldCharType="separate"/>
      </w:r>
      <w:r>
        <w:t>- 10 -</w:t>
      </w:r>
      <w:r>
        <w:fldChar w:fldCharType="end"/>
      </w:r>
      <w:r>
        <w:rPr>
          <w:rFonts w:hint="eastAsia" w:ascii="宋体" w:hAnsi="宋体" w:cs="宋体"/>
          <w:bCs/>
          <w:lang w:val="zh-CN"/>
        </w:rPr>
        <w:fldChar w:fldCharType="end"/>
      </w:r>
    </w:p>
    <w:p w14:paraId="541AEE30">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_Toc12374 </w:instrText>
      </w:r>
      <w:r>
        <w:rPr>
          <w:rFonts w:hint="eastAsia" w:ascii="宋体" w:hAnsi="宋体" w:cs="宋体"/>
          <w:bCs/>
          <w:lang w:val="zh-CN"/>
        </w:rPr>
        <w:fldChar w:fldCharType="separate"/>
      </w:r>
      <w:r>
        <w:rPr>
          <w:rFonts w:hint="eastAsia" w:ascii="宋体" w:hAnsi="宋体" w:cs="宋体"/>
          <w:szCs w:val="21"/>
        </w:rPr>
        <w:t>12. 响应文件的语言及计量</w:t>
      </w:r>
      <w:r>
        <w:tab/>
      </w:r>
      <w:r>
        <w:fldChar w:fldCharType="begin"/>
      </w:r>
      <w:r>
        <w:instrText xml:space="preserve"> PAGEREF _Toc12374 \h </w:instrText>
      </w:r>
      <w:r>
        <w:fldChar w:fldCharType="separate"/>
      </w:r>
      <w:r>
        <w:t>- 12 -</w:t>
      </w:r>
      <w:r>
        <w:fldChar w:fldCharType="end"/>
      </w:r>
      <w:r>
        <w:rPr>
          <w:rFonts w:hint="eastAsia" w:ascii="宋体" w:hAnsi="宋体" w:cs="宋体"/>
          <w:bCs/>
          <w:lang w:val="zh-CN"/>
        </w:rPr>
        <w:fldChar w:fldCharType="end"/>
      </w:r>
    </w:p>
    <w:p w14:paraId="0E708D1B">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_Toc2551 </w:instrText>
      </w:r>
      <w:r>
        <w:rPr>
          <w:rFonts w:hint="eastAsia" w:ascii="宋体" w:hAnsi="宋体" w:cs="宋体"/>
          <w:bCs/>
          <w:lang w:val="zh-CN"/>
        </w:rPr>
        <w:fldChar w:fldCharType="separate"/>
      </w:r>
      <w:r>
        <w:rPr>
          <w:rFonts w:hint="eastAsia" w:ascii="宋体" w:hAnsi="宋体" w:cs="宋体"/>
          <w:szCs w:val="21"/>
        </w:rPr>
        <w:t>13. 谈判报价及采购预算金额</w:t>
      </w:r>
      <w:r>
        <w:tab/>
      </w:r>
      <w:r>
        <w:fldChar w:fldCharType="begin"/>
      </w:r>
      <w:r>
        <w:instrText xml:space="preserve"> PAGEREF _Toc2551 \h </w:instrText>
      </w:r>
      <w:r>
        <w:fldChar w:fldCharType="separate"/>
      </w:r>
      <w:r>
        <w:t>- 12 -</w:t>
      </w:r>
      <w:r>
        <w:fldChar w:fldCharType="end"/>
      </w:r>
      <w:r>
        <w:rPr>
          <w:rFonts w:hint="eastAsia" w:ascii="宋体" w:hAnsi="宋体" w:cs="宋体"/>
          <w:bCs/>
          <w:lang w:val="zh-CN"/>
        </w:rPr>
        <w:fldChar w:fldCharType="end"/>
      </w:r>
    </w:p>
    <w:p w14:paraId="753FE5F9">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_Toc9416 </w:instrText>
      </w:r>
      <w:r>
        <w:rPr>
          <w:rFonts w:hint="eastAsia" w:ascii="宋体" w:hAnsi="宋体" w:cs="宋体"/>
          <w:bCs/>
          <w:lang w:val="zh-CN"/>
        </w:rPr>
        <w:fldChar w:fldCharType="separate"/>
      </w:r>
      <w:r>
        <w:rPr>
          <w:rFonts w:hint="eastAsia" w:ascii="宋体" w:hAnsi="宋体" w:cs="宋体"/>
          <w:szCs w:val="21"/>
        </w:rPr>
        <w:t>14. 响应文件有效期</w:t>
      </w:r>
      <w:r>
        <w:tab/>
      </w:r>
      <w:r>
        <w:fldChar w:fldCharType="begin"/>
      </w:r>
      <w:r>
        <w:instrText xml:space="preserve"> PAGEREF _Toc9416 \h </w:instrText>
      </w:r>
      <w:r>
        <w:fldChar w:fldCharType="separate"/>
      </w:r>
      <w:r>
        <w:t>- 12 -</w:t>
      </w:r>
      <w:r>
        <w:fldChar w:fldCharType="end"/>
      </w:r>
      <w:r>
        <w:rPr>
          <w:rFonts w:hint="eastAsia" w:ascii="宋体" w:hAnsi="宋体" w:cs="宋体"/>
          <w:bCs/>
          <w:lang w:val="zh-CN"/>
        </w:rPr>
        <w:fldChar w:fldCharType="end"/>
      </w:r>
    </w:p>
    <w:p w14:paraId="1638CA49">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_Toc13607 </w:instrText>
      </w:r>
      <w:r>
        <w:rPr>
          <w:rFonts w:hint="eastAsia" w:ascii="宋体" w:hAnsi="宋体" w:cs="宋体"/>
          <w:bCs/>
          <w:lang w:val="zh-CN"/>
        </w:rPr>
        <w:fldChar w:fldCharType="separate"/>
      </w:r>
      <w:r>
        <w:rPr>
          <w:rFonts w:hint="eastAsia" w:ascii="宋体" w:hAnsi="宋体" w:cs="宋体"/>
          <w:szCs w:val="21"/>
        </w:rPr>
        <w:t>15. 保证金</w:t>
      </w:r>
      <w:r>
        <w:tab/>
      </w:r>
      <w:r>
        <w:fldChar w:fldCharType="begin"/>
      </w:r>
      <w:r>
        <w:instrText xml:space="preserve"> PAGEREF _Toc13607 \h </w:instrText>
      </w:r>
      <w:r>
        <w:fldChar w:fldCharType="separate"/>
      </w:r>
      <w:r>
        <w:t>- 13 -</w:t>
      </w:r>
      <w:r>
        <w:fldChar w:fldCharType="end"/>
      </w:r>
      <w:r>
        <w:rPr>
          <w:rFonts w:hint="eastAsia" w:ascii="宋体" w:hAnsi="宋体" w:cs="宋体"/>
          <w:bCs/>
          <w:lang w:val="zh-CN"/>
        </w:rPr>
        <w:fldChar w:fldCharType="end"/>
      </w:r>
    </w:p>
    <w:p w14:paraId="4F56ACFC">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_Toc6601 </w:instrText>
      </w:r>
      <w:r>
        <w:rPr>
          <w:rFonts w:hint="eastAsia" w:ascii="宋体" w:hAnsi="宋体" w:cs="宋体"/>
          <w:bCs/>
          <w:lang w:val="zh-CN"/>
        </w:rPr>
        <w:fldChar w:fldCharType="separate"/>
      </w:r>
      <w:r>
        <w:rPr>
          <w:rFonts w:hint="eastAsia" w:ascii="宋体" w:hAnsi="宋体" w:cs="宋体"/>
          <w:szCs w:val="21"/>
        </w:rPr>
        <w:t>16. 响应文件的制作</w:t>
      </w:r>
      <w:r>
        <w:tab/>
      </w:r>
      <w:r>
        <w:fldChar w:fldCharType="begin"/>
      </w:r>
      <w:r>
        <w:instrText xml:space="preserve"> PAGEREF _Toc6601 \h </w:instrText>
      </w:r>
      <w:r>
        <w:fldChar w:fldCharType="separate"/>
      </w:r>
      <w:r>
        <w:t>- 13 -</w:t>
      </w:r>
      <w:r>
        <w:fldChar w:fldCharType="end"/>
      </w:r>
      <w:r>
        <w:rPr>
          <w:rFonts w:hint="eastAsia" w:ascii="宋体" w:hAnsi="宋体" w:cs="宋体"/>
          <w:bCs/>
          <w:lang w:val="zh-CN"/>
        </w:rPr>
        <w:fldChar w:fldCharType="end"/>
      </w:r>
    </w:p>
    <w:p w14:paraId="7E3046C8">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_Toc16916 </w:instrText>
      </w:r>
      <w:r>
        <w:rPr>
          <w:rFonts w:hint="eastAsia" w:ascii="宋体" w:hAnsi="宋体" w:cs="宋体"/>
          <w:bCs/>
          <w:lang w:val="zh-CN"/>
        </w:rPr>
        <w:fldChar w:fldCharType="separate"/>
      </w:r>
      <w:r>
        <w:rPr>
          <w:rFonts w:hint="eastAsia" w:ascii="宋体" w:hAnsi="宋体" w:cs="宋体"/>
          <w:szCs w:val="21"/>
        </w:rPr>
        <w:t>17. 响应文件的补充、修改和撤回</w:t>
      </w:r>
      <w:r>
        <w:tab/>
      </w:r>
      <w:r>
        <w:fldChar w:fldCharType="begin"/>
      </w:r>
      <w:r>
        <w:instrText xml:space="preserve"> PAGEREF _Toc16916 \h </w:instrText>
      </w:r>
      <w:r>
        <w:fldChar w:fldCharType="separate"/>
      </w:r>
      <w:r>
        <w:t>- 13 -</w:t>
      </w:r>
      <w:r>
        <w:fldChar w:fldCharType="end"/>
      </w:r>
      <w:r>
        <w:rPr>
          <w:rFonts w:hint="eastAsia" w:ascii="宋体" w:hAnsi="宋体" w:cs="宋体"/>
          <w:bCs/>
          <w:lang w:val="zh-CN"/>
        </w:rPr>
        <w:fldChar w:fldCharType="end"/>
      </w:r>
    </w:p>
    <w:p w14:paraId="6C2C82D9">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_Toc16460 </w:instrText>
      </w:r>
      <w:r>
        <w:rPr>
          <w:rFonts w:hint="eastAsia" w:ascii="宋体" w:hAnsi="宋体" w:cs="宋体"/>
          <w:bCs/>
          <w:lang w:val="zh-CN"/>
        </w:rPr>
        <w:fldChar w:fldCharType="separate"/>
      </w:r>
      <w:r>
        <w:rPr>
          <w:rFonts w:hint="eastAsia" w:ascii="宋体" w:hAnsi="宋体" w:cs="宋体"/>
          <w:szCs w:val="21"/>
        </w:rPr>
        <w:t>18. 响应文件的递交和解密</w:t>
      </w:r>
      <w:r>
        <w:tab/>
      </w:r>
      <w:r>
        <w:fldChar w:fldCharType="begin"/>
      </w:r>
      <w:r>
        <w:instrText xml:space="preserve"> PAGEREF _Toc16460 \h </w:instrText>
      </w:r>
      <w:r>
        <w:fldChar w:fldCharType="separate"/>
      </w:r>
      <w:r>
        <w:t>- 13 -</w:t>
      </w:r>
      <w:r>
        <w:fldChar w:fldCharType="end"/>
      </w:r>
      <w:r>
        <w:rPr>
          <w:rFonts w:hint="eastAsia" w:ascii="宋体" w:hAnsi="宋体" w:cs="宋体"/>
          <w:bCs/>
          <w:lang w:val="zh-CN"/>
        </w:rPr>
        <w:fldChar w:fldCharType="end"/>
      </w:r>
    </w:p>
    <w:p w14:paraId="3802CF4F">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_Toc13131 </w:instrText>
      </w:r>
      <w:r>
        <w:rPr>
          <w:rFonts w:hint="eastAsia" w:ascii="宋体" w:hAnsi="宋体" w:cs="宋体"/>
          <w:bCs/>
          <w:lang w:val="zh-CN"/>
        </w:rPr>
        <w:fldChar w:fldCharType="separate"/>
      </w:r>
      <w:r>
        <w:rPr>
          <w:rFonts w:hint="eastAsia"/>
          <w:szCs w:val="28"/>
        </w:rPr>
        <w:t>四、竞争性谈判（简称谈判）与评审</w:t>
      </w:r>
      <w:r>
        <w:tab/>
      </w:r>
      <w:r>
        <w:fldChar w:fldCharType="begin"/>
      </w:r>
      <w:r>
        <w:instrText xml:space="preserve"> PAGEREF _Toc13131 \h </w:instrText>
      </w:r>
      <w:r>
        <w:fldChar w:fldCharType="separate"/>
      </w:r>
      <w:r>
        <w:t>- 14 -</w:t>
      </w:r>
      <w:r>
        <w:fldChar w:fldCharType="end"/>
      </w:r>
      <w:r>
        <w:rPr>
          <w:rFonts w:hint="eastAsia" w:ascii="宋体" w:hAnsi="宋体" w:cs="宋体"/>
          <w:bCs/>
          <w:lang w:val="zh-CN"/>
        </w:rPr>
        <w:fldChar w:fldCharType="end"/>
      </w:r>
    </w:p>
    <w:p w14:paraId="1FEE129B">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_Toc22662 </w:instrText>
      </w:r>
      <w:r>
        <w:rPr>
          <w:rFonts w:hint="eastAsia" w:ascii="宋体" w:hAnsi="宋体" w:cs="宋体"/>
          <w:bCs/>
          <w:lang w:val="zh-CN"/>
        </w:rPr>
        <w:fldChar w:fldCharType="separate"/>
      </w:r>
      <w:r>
        <w:rPr>
          <w:rFonts w:hint="eastAsia" w:ascii="宋体" w:hAnsi="宋体" w:cs="宋体"/>
          <w:szCs w:val="21"/>
        </w:rPr>
        <w:t>19. 谈判小组组成及谈判时间、地点、人员</w:t>
      </w:r>
      <w:r>
        <w:tab/>
      </w:r>
      <w:r>
        <w:fldChar w:fldCharType="begin"/>
      </w:r>
      <w:r>
        <w:instrText xml:space="preserve"> PAGEREF _Toc22662 \h </w:instrText>
      </w:r>
      <w:r>
        <w:fldChar w:fldCharType="separate"/>
      </w:r>
      <w:r>
        <w:t>- 14 -</w:t>
      </w:r>
      <w:r>
        <w:fldChar w:fldCharType="end"/>
      </w:r>
      <w:r>
        <w:rPr>
          <w:rFonts w:hint="eastAsia" w:ascii="宋体" w:hAnsi="宋体" w:cs="宋体"/>
          <w:bCs/>
          <w:lang w:val="zh-CN"/>
        </w:rPr>
        <w:fldChar w:fldCharType="end"/>
      </w:r>
    </w:p>
    <w:p w14:paraId="109EEFEB">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_Toc22686 </w:instrText>
      </w:r>
      <w:r>
        <w:rPr>
          <w:rFonts w:hint="eastAsia" w:ascii="宋体" w:hAnsi="宋体" w:cs="宋体"/>
          <w:bCs/>
          <w:lang w:val="zh-CN"/>
        </w:rPr>
        <w:fldChar w:fldCharType="separate"/>
      </w:r>
      <w:r>
        <w:rPr>
          <w:rFonts w:hint="eastAsia" w:ascii="宋体" w:hAnsi="宋体" w:cs="宋体"/>
          <w:szCs w:val="21"/>
        </w:rPr>
        <w:t>20. 评审原则</w:t>
      </w:r>
      <w:r>
        <w:tab/>
      </w:r>
      <w:r>
        <w:fldChar w:fldCharType="begin"/>
      </w:r>
      <w:r>
        <w:instrText xml:space="preserve"> PAGEREF _Toc22686 \h </w:instrText>
      </w:r>
      <w:r>
        <w:fldChar w:fldCharType="separate"/>
      </w:r>
      <w:r>
        <w:t>- 14 -</w:t>
      </w:r>
      <w:r>
        <w:fldChar w:fldCharType="end"/>
      </w:r>
      <w:r>
        <w:rPr>
          <w:rFonts w:hint="eastAsia" w:ascii="宋体" w:hAnsi="宋体" w:cs="宋体"/>
          <w:bCs/>
          <w:lang w:val="zh-CN"/>
        </w:rPr>
        <w:fldChar w:fldCharType="end"/>
      </w:r>
    </w:p>
    <w:p w14:paraId="2795EF3F">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_Toc2476 </w:instrText>
      </w:r>
      <w:r>
        <w:rPr>
          <w:rFonts w:hint="eastAsia" w:ascii="宋体" w:hAnsi="宋体" w:cs="宋体"/>
          <w:bCs/>
          <w:lang w:val="zh-CN"/>
        </w:rPr>
        <w:fldChar w:fldCharType="separate"/>
      </w:r>
      <w:r>
        <w:rPr>
          <w:rFonts w:hint="eastAsia" w:ascii="宋体" w:hAnsi="宋体" w:cs="宋体"/>
          <w:szCs w:val="21"/>
        </w:rPr>
        <w:t>21. 评审程序及谈判要求</w:t>
      </w:r>
      <w:r>
        <w:tab/>
      </w:r>
      <w:r>
        <w:fldChar w:fldCharType="begin"/>
      </w:r>
      <w:r>
        <w:instrText xml:space="preserve"> PAGEREF _Toc2476 \h </w:instrText>
      </w:r>
      <w:r>
        <w:fldChar w:fldCharType="separate"/>
      </w:r>
      <w:r>
        <w:t>- 15 -</w:t>
      </w:r>
      <w:r>
        <w:fldChar w:fldCharType="end"/>
      </w:r>
      <w:r>
        <w:rPr>
          <w:rFonts w:hint="eastAsia" w:ascii="宋体" w:hAnsi="宋体" w:cs="宋体"/>
          <w:bCs/>
          <w:lang w:val="zh-CN"/>
        </w:rPr>
        <w:fldChar w:fldCharType="end"/>
      </w:r>
    </w:p>
    <w:p w14:paraId="793D3425">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_Toc8304 </w:instrText>
      </w:r>
      <w:r>
        <w:rPr>
          <w:rFonts w:hint="eastAsia" w:ascii="宋体" w:hAnsi="宋体" w:cs="宋体"/>
          <w:bCs/>
          <w:lang w:val="zh-CN"/>
        </w:rPr>
        <w:fldChar w:fldCharType="separate"/>
      </w:r>
      <w:r>
        <w:rPr>
          <w:rFonts w:hint="eastAsia" w:ascii="宋体" w:hAnsi="宋体" w:cs="宋体"/>
          <w:szCs w:val="21"/>
        </w:rPr>
        <w:t>22. 确定成交供应商</w:t>
      </w:r>
      <w:r>
        <w:tab/>
      </w:r>
      <w:r>
        <w:fldChar w:fldCharType="begin"/>
      </w:r>
      <w:r>
        <w:instrText xml:space="preserve"> PAGEREF _Toc8304 \h </w:instrText>
      </w:r>
      <w:r>
        <w:fldChar w:fldCharType="separate"/>
      </w:r>
      <w:r>
        <w:t>- 18 -</w:t>
      </w:r>
      <w:r>
        <w:fldChar w:fldCharType="end"/>
      </w:r>
      <w:r>
        <w:rPr>
          <w:rFonts w:hint="eastAsia" w:ascii="宋体" w:hAnsi="宋体" w:cs="宋体"/>
          <w:bCs/>
          <w:lang w:val="zh-CN"/>
        </w:rPr>
        <w:fldChar w:fldCharType="end"/>
      </w:r>
    </w:p>
    <w:p w14:paraId="7434A419">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_Toc25743 </w:instrText>
      </w:r>
      <w:r>
        <w:rPr>
          <w:rFonts w:hint="eastAsia" w:ascii="宋体" w:hAnsi="宋体" w:cs="宋体"/>
          <w:bCs/>
          <w:lang w:val="zh-CN"/>
        </w:rPr>
        <w:fldChar w:fldCharType="separate"/>
      </w:r>
      <w:r>
        <w:rPr>
          <w:rFonts w:hint="eastAsia" w:ascii="宋体" w:hAnsi="宋体" w:cs="宋体"/>
          <w:szCs w:val="21"/>
        </w:rPr>
        <w:t>23. 属于下列情况之一者，响应文件无效：</w:t>
      </w:r>
      <w:r>
        <w:tab/>
      </w:r>
      <w:r>
        <w:fldChar w:fldCharType="begin"/>
      </w:r>
      <w:r>
        <w:instrText xml:space="preserve"> PAGEREF _Toc25743 \h </w:instrText>
      </w:r>
      <w:r>
        <w:fldChar w:fldCharType="separate"/>
      </w:r>
      <w:r>
        <w:t>- 18 -</w:t>
      </w:r>
      <w:r>
        <w:fldChar w:fldCharType="end"/>
      </w:r>
      <w:r>
        <w:rPr>
          <w:rFonts w:hint="eastAsia" w:ascii="宋体" w:hAnsi="宋体" w:cs="宋体"/>
          <w:bCs/>
          <w:lang w:val="zh-CN"/>
        </w:rPr>
        <w:fldChar w:fldCharType="end"/>
      </w:r>
    </w:p>
    <w:p w14:paraId="27BF4C8E">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_Toc20517 </w:instrText>
      </w:r>
      <w:r>
        <w:rPr>
          <w:rFonts w:hint="eastAsia" w:ascii="宋体" w:hAnsi="宋体" w:cs="宋体"/>
          <w:bCs/>
          <w:lang w:val="zh-CN"/>
        </w:rPr>
        <w:fldChar w:fldCharType="separate"/>
      </w:r>
      <w:r>
        <w:rPr>
          <w:rFonts w:hint="eastAsia" w:ascii="宋体" w:hAnsi="宋体" w:cs="宋体"/>
          <w:szCs w:val="21"/>
        </w:rPr>
        <w:t>24. 出现下列情形之一的，采购人或者采购代理机构应当终止竞争性谈判采购活动，发布项目终止公告并说明原因，重新开展采购活动：</w:t>
      </w:r>
      <w:r>
        <w:tab/>
      </w:r>
      <w:r>
        <w:fldChar w:fldCharType="begin"/>
      </w:r>
      <w:r>
        <w:instrText xml:space="preserve"> PAGEREF _Toc20517 \h </w:instrText>
      </w:r>
      <w:r>
        <w:fldChar w:fldCharType="separate"/>
      </w:r>
      <w:r>
        <w:t>- 19 -</w:t>
      </w:r>
      <w:r>
        <w:fldChar w:fldCharType="end"/>
      </w:r>
      <w:r>
        <w:rPr>
          <w:rFonts w:hint="eastAsia" w:ascii="宋体" w:hAnsi="宋体" w:cs="宋体"/>
          <w:bCs/>
          <w:lang w:val="zh-CN"/>
        </w:rPr>
        <w:fldChar w:fldCharType="end"/>
      </w:r>
    </w:p>
    <w:p w14:paraId="2282EAB7">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_Toc3112 </w:instrText>
      </w:r>
      <w:r>
        <w:rPr>
          <w:rFonts w:hint="eastAsia" w:ascii="宋体" w:hAnsi="宋体" w:cs="宋体"/>
          <w:bCs/>
          <w:lang w:val="zh-CN"/>
        </w:rPr>
        <w:fldChar w:fldCharType="separate"/>
      </w:r>
      <w:r>
        <w:rPr>
          <w:rFonts w:hint="eastAsia" w:ascii="宋体" w:hAnsi="宋体" w:cs="宋体"/>
          <w:szCs w:val="21"/>
        </w:rPr>
        <w:t>25. 谈判过程的监控</w:t>
      </w:r>
      <w:r>
        <w:tab/>
      </w:r>
      <w:r>
        <w:fldChar w:fldCharType="begin"/>
      </w:r>
      <w:r>
        <w:instrText xml:space="preserve"> PAGEREF _Toc3112 \h </w:instrText>
      </w:r>
      <w:r>
        <w:fldChar w:fldCharType="separate"/>
      </w:r>
      <w:r>
        <w:t>- 19 -</w:t>
      </w:r>
      <w:r>
        <w:fldChar w:fldCharType="end"/>
      </w:r>
      <w:r>
        <w:rPr>
          <w:rFonts w:hint="eastAsia" w:ascii="宋体" w:hAnsi="宋体" w:cs="宋体"/>
          <w:bCs/>
          <w:lang w:val="zh-CN"/>
        </w:rPr>
        <w:fldChar w:fldCharType="end"/>
      </w:r>
    </w:p>
    <w:p w14:paraId="28F047AD">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_Toc22332 </w:instrText>
      </w:r>
      <w:r>
        <w:rPr>
          <w:rFonts w:hint="eastAsia" w:ascii="宋体" w:hAnsi="宋体" w:cs="宋体"/>
          <w:bCs/>
          <w:lang w:val="zh-CN"/>
        </w:rPr>
        <w:fldChar w:fldCharType="separate"/>
      </w:r>
      <w:r>
        <w:rPr>
          <w:rFonts w:hint="eastAsia" w:ascii="宋体" w:hAnsi="宋体" w:cs="宋体"/>
          <w:szCs w:val="21"/>
        </w:rPr>
        <w:t>26.信用查询：</w:t>
      </w:r>
      <w:r>
        <w:tab/>
      </w:r>
      <w:r>
        <w:fldChar w:fldCharType="begin"/>
      </w:r>
      <w:r>
        <w:instrText xml:space="preserve"> PAGEREF _Toc22332 \h </w:instrText>
      </w:r>
      <w:r>
        <w:fldChar w:fldCharType="separate"/>
      </w:r>
      <w:r>
        <w:t>- 19 -</w:t>
      </w:r>
      <w:r>
        <w:fldChar w:fldCharType="end"/>
      </w:r>
      <w:r>
        <w:rPr>
          <w:rFonts w:hint="eastAsia" w:ascii="宋体" w:hAnsi="宋体" w:cs="宋体"/>
          <w:bCs/>
          <w:lang w:val="zh-CN"/>
        </w:rPr>
        <w:fldChar w:fldCharType="end"/>
      </w:r>
    </w:p>
    <w:p w14:paraId="286068CD">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_Toc22807 </w:instrText>
      </w:r>
      <w:r>
        <w:rPr>
          <w:rFonts w:hint="eastAsia" w:ascii="宋体" w:hAnsi="宋体" w:cs="宋体"/>
          <w:bCs/>
          <w:lang w:val="zh-CN"/>
        </w:rPr>
        <w:fldChar w:fldCharType="separate"/>
      </w:r>
      <w:r>
        <w:rPr>
          <w:rFonts w:hint="eastAsia" w:ascii="宋体" w:hAnsi="宋体" w:cs="宋体"/>
          <w:szCs w:val="21"/>
        </w:rPr>
        <w:t>27. 成交结果公告及成交通知书</w:t>
      </w:r>
      <w:r>
        <w:tab/>
      </w:r>
      <w:r>
        <w:fldChar w:fldCharType="begin"/>
      </w:r>
      <w:r>
        <w:instrText xml:space="preserve"> PAGEREF _Toc22807 \h </w:instrText>
      </w:r>
      <w:r>
        <w:fldChar w:fldCharType="separate"/>
      </w:r>
      <w:r>
        <w:t>- 19 -</w:t>
      </w:r>
      <w:r>
        <w:fldChar w:fldCharType="end"/>
      </w:r>
      <w:r>
        <w:rPr>
          <w:rFonts w:hint="eastAsia" w:ascii="宋体" w:hAnsi="宋体" w:cs="宋体"/>
          <w:bCs/>
          <w:lang w:val="zh-CN"/>
        </w:rPr>
        <w:fldChar w:fldCharType="end"/>
      </w:r>
    </w:p>
    <w:p w14:paraId="7FD31B1B">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_Toc18670 </w:instrText>
      </w:r>
      <w:r>
        <w:rPr>
          <w:rFonts w:hint="eastAsia" w:ascii="宋体" w:hAnsi="宋体" w:cs="宋体"/>
          <w:bCs/>
          <w:lang w:val="zh-CN"/>
        </w:rPr>
        <w:fldChar w:fldCharType="separate"/>
      </w:r>
      <w:r>
        <w:rPr>
          <w:rFonts w:hint="eastAsia"/>
          <w:szCs w:val="28"/>
        </w:rPr>
        <w:t>五、</w:t>
      </w:r>
      <w:r>
        <w:rPr>
          <w:rFonts w:hint="eastAsia" w:ascii="Arial" w:hAnsi="Arial"/>
          <w:bCs/>
          <w:szCs w:val="28"/>
        </w:rPr>
        <w:t>签订合同</w:t>
      </w:r>
      <w:r>
        <w:tab/>
      </w:r>
      <w:r>
        <w:fldChar w:fldCharType="begin"/>
      </w:r>
      <w:r>
        <w:instrText xml:space="preserve"> PAGEREF _Toc18670 \h </w:instrText>
      </w:r>
      <w:r>
        <w:fldChar w:fldCharType="separate"/>
      </w:r>
      <w:r>
        <w:t>- 19 -</w:t>
      </w:r>
      <w:r>
        <w:fldChar w:fldCharType="end"/>
      </w:r>
      <w:r>
        <w:rPr>
          <w:rFonts w:hint="eastAsia" w:ascii="宋体" w:hAnsi="宋体" w:cs="宋体"/>
          <w:bCs/>
          <w:lang w:val="zh-CN"/>
        </w:rPr>
        <w:fldChar w:fldCharType="end"/>
      </w:r>
    </w:p>
    <w:p w14:paraId="65CF973E">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_Toc32035 </w:instrText>
      </w:r>
      <w:r>
        <w:rPr>
          <w:rFonts w:hint="eastAsia" w:ascii="宋体" w:hAnsi="宋体" w:cs="宋体"/>
          <w:bCs/>
          <w:lang w:val="zh-CN"/>
        </w:rPr>
        <w:fldChar w:fldCharType="separate"/>
      </w:r>
      <w:r>
        <w:rPr>
          <w:rFonts w:hint="eastAsia" w:ascii="宋体" w:hAnsi="宋体" w:cs="宋体"/>
          <w:szCs w:val="21"/>
        </w:rPr>
        <w:t>28. 履约保证金</w:t>
      </w:r>
      <w:r>
        <w:tab/>
      </w:r>
      <w:r>
        <w:fldChar w:fldCharType="begin"/>
      </w:r>
      <w:r>
        <w:instrText xml:space="preserve"> PAGEREF _Toc32035 \h </w:instrText>
      </w:r>
      <w:r>
        <w:fldChar w:fldCharType="separate"/>
      </w:r>
      <w:r>
        <w:t>- 19 -</w:t>
      </w:r>
      <w:r>
        <w:fldChar w:fldCharType="end"/>
      </w:r>
      <w:r>
        <w:rPr>
          <w:rFonts w:hint="eastAsia" w:ascii="宋体" w:hAnsi="宋体" w:cs="宋体"/>
          <w:bCs/>
          <w:lang w:val="zh-CN"/>
        </w:rPr>
        <w:fldChar w:fldCharType="end"/>
      </w:r>
    </w:p>
    <w:p w14:paraId="7C229934">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_Toc27021 </w:instrText>
      </w:r>
      <w:r>
        <w:rPr>
          <w:rFonts w:hint="eastAsia" w:ascii="宋体" w:hAnsi="宋体" w:cs="宋体"/>
          <w:bCs/>
          <w:lang w:val="zh-CN"/>
        </w:rPr>
        <w:fldChar w:fldCharType="separate"/>
      </w:r>
      <w:r>
        <w:rPr>
          <w:rFonts w:hint="eastAsia" w:ascii="宋体" w:hAnsi="宋体" w:cs="宋体"/>
          <w:szCs w:val="21"/>
        </w:rPr>
        <w:t>29. 签订合同</w:t>
      </w:r>
      <w:r>
        <w:tab/>
      </w:r>
      <w:r>
        <w:fldChar w:fldCharType="begin"/>
      </w:r>
      <w:r>
        <w:instrText xml:space="preserve"> PAGEREF _Toc27021 \h </w:instrText>
      </w:r>
      <w:r>
        <w:fldChar w:fldCharType="separate"/>
      </w:r>
      <w:r>
        <w:t>- 20 -</w:t>
      </w:r>
      <w:r>
        <w:fldChar w:fldCharType="end"/>
      </w:r>
      <w:r>
        <w:rPr>
          <w:rFonts w:hint="eastAsia" w:ascii="宋体" w:hAnsi="宋体" w:cs="宋体"/>
          <w:bCs/>
          <w:lang w:val="zh-CN"/>
        </w:rPr>
        <w:fldChar w:fldCharType="end"/>
      </w:r>
    </w:p>
    <w:p w14:paraId="06C21A0A">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_Toc3231 </w:instrText>
      </w:r>
      <w:r>
        <w:rPr>
          <w:rFonts w:hint="eastAsia" w:ascii="宋体" w:hAnsi="宋体" w:cs="宋体"/>
          <w:bCs/>
          <w:lang w:val="zh-CN"/>
        </w:rPr>
        <w:fldChar w:fldCharType="separate"/>
      </w:r>
      <w:r>
        <w:rPr>
          <w:rFonts w:hint="eastAsia"/>
          <w:szCs w:val="28"/>
        </w:rPr>
        <w:t>六、其他事项</w:t>
      </w:r>
      <w:r>
        <w:tab/>
      </w:r>
      <w:r>
        <w:fldChar w:fldCharType="begin"/>
      </w:r>
      <w:r>
        <w:instrText xml:space="preserve"> PAGEREF _Toc3231 \h </w:instrText>
      </w:r>
      <w:r>
        <w:fldChar w:fldCharType="separate"/>
      </w:r>
      <w:r>
        <w:t>- 20 -</w:t>
      </w:r>
      <w:r>
        <w:fldChar w:fldCharType="end"/>
      </w:r>
      <w:r>
        <w:rPr>
          <w:rFonts w:hint="eastAsia" w:ascii="宋体" w:hAnsi="宋体" w:cs="宋体"/>
          <w:bCs/>
          <w:lang w:val="zh-CN"/>
        </w:rPr>
        <w:fldChar w:fldCharType="end"/>
      </w:r>
    </w:p>
    <w:p w14:paraId="5A0ED795">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_Toc8229 </w:instrText>
      </w:r>
      <w:r>
        <w:rPr>
          <w:rFonts w:hint="eastAsia" w:ascii="宋体" w:hAnsi="宋体" w:cs="宋体"/>
          <w:bCs/>
          <w:lang w:val="zh-CN"/>
        </w:rPr>
        <w:fldChar w:fldCharType="separate"/>
      </w:r>
      <w:r>
        <w:rPr>
          <w:rFonts w:hint="eastAsia" w:ascii="宋体" w:hAnsi="宋体" w:cs="宋体"/>
          <w:szCs w:val="21"/>
        </w:rPr>
        <w:t>30. 采购代理服务费</w:t>
      </w:r>
      <w:r>
        <w:tab/>
      </w:r>
      <w:r>
        <w:fldChar w:fldCharType="begin"/>
      </w:r>
      <w:r>
        <w:instrText xml:space="preserve"> PAGEREF _Toc8229 \h </w:instrText>
      </w:r>
      <w:r>
        <w:fldChar w:fldCharType="separate"/>
      </w:r>
      <w:r>
        <w:t>- 20 -</w:t>
      </w:r>
      <w:r>
        <w:fldChar w:fldCharType="end"/>
      </w:r>
      <w:r>
        <w:rPr>
          <w:rFonts w:hint="eastAsia" w:ascii="宋体" w:hAnsi="宋体" w:cs="宋体"/>
          <w:bCs/>
          <w:lang w:val="zh-CN"/>
        </w:rPr>
        <w:fldChar w:fldCharType="end"/>
      </w:r>
    </w:p>
    <w:p w14:paraId="27077F97">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_Toc11455 </w:instrText>
      </w:r>
      <w:r>
        <w:rPr>
          <w:rFonts w:hint="eastAsia" w:ascii="宋体" w:hAnsi="宋体" w:cs="宋体"/>
          <w:bCs/>
          <w:lang w:val="zh-CN"/>
        </w:rPr>
        <w:fldChar w:fldCharType="separate"/>
      </w:r>
      <w:r>
        <w:rPr>
          <w:rFonts w:hint="eastAsia" w:ascii="宋体" w:hAnsi="宋体" w:cs="宋体"/>
          <w:szCs w:val="21"/>
        </w:rPr>
        <w:t>31. 解释权</w:t>
      </w:r>
      <w:r>
        <w:tab/>
      </w:r>
      <w:r>
        <w:fldChar w:fldCharType="begin"/>
      </w:r>
      <w:r>
        <w:instrText xml:space="preserve"> PAGEREF _Toc11455 \h </w:instrText>
      </w:r>
      <w:r>
        <w:fldChar w:fldCharType="separate"/>
      </w:r>
      <w:r>
        <w:t>- 20 -</w:t>
      </w:r>
      <w:r>
        <w:fldChar w:fldCharType="end"/>
      </w:r>
      <w:r>
        <w:rPr>
          <w:rFonts w:hint="eastAsia" w:ascii="宋体" w:hAnsi="宋体" w:cs="宋体"/>
          <w:bCs/>
          <w:lang w:val="zh-CN"/>
        </w:rPr>
        <w:fldChar w:fldCharType="end"/>
      </w:r>
    </w:p>
    <w:p w14:paraId="61DCF2DA">
      <w:pPr>
        <w:pStyle w:val="12"/>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_Toc11535 </w:instrText>
      </w:r>
      <w:r>
        <w:rPr>
          <w:rFonts w:hint="eastAsia" w:ascii="宋体" w:hAnsi="宋体" w:cs="宋体"/>
          <w:bCs/>
          <w:lang w:val="zh-CN"/>
        </w:rPr>
        <w:fldChar w:fldCharType="separate"/>
      </w:r>
      <w:r>
        <w:rPr>
          <w:rFonts w:hint="eastAsia" w:ascii="宋体" w:hAnsi="宋体" w:cs="宋体"/>
          <w:szCs w:val="21"/>
        </w:rPr>
        <w:t>32. 监督管理机构</w:t>
      </w:r>
      <w:r>
        <w:tab/>
      </w:r>
      <w:r>
        <w:fldChar w:fldCharType="begin"/>
      </w:r>
      <w:r>
        <w:instrText xml:space="preserve"> PAGEREF _Toc11535 \h </w:instrText>
      </w:r>
      <w:r>
        <w:fldChar w:fldCharType="separate"/>
      </w:r>
      <w:r>
        <w:t>- 21 -</w:t>
      </w:r>
      <w:r>
        <w:fldChar w:fldCharType="end"/>
      </w:r>
      <w:r>
        <w:rPr>
          <w:rFonts w:hint="eastAsia" w:ascii="宋体" w:hAnsi="宋体" w:cs="宋体"/>
          <w:bCs/>
          <w:lang w:val="zh-CN"/>
        </w:rPr>
        <w:fldChar w:fldCharType="end"/>
      </w:r>
    </w:p>
    <w:p w14:paraId="4C26FECC">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_Toc5642 </w:instrText>
      </w:r>
      <w:r>
        <w:rPr>
          <w:rFonts w:hint="eastAsia" w:ascii="宋体" w:hAnsi="宋体" w:cs="宋体"/>
          <w:bCs/>
          <w:lang w:val="zh-CN"/>
        </w:rPr>
        <w:fldChar w:fldCharType="separate"/>
      </w:r>
      <w:r>
        <w:rPr>
          <w:rFonts w:hint="eastAsia"/>
          <w:bCs/>
          <w:kern w:val="44"/>
          <w:szCs w:val="32"/>
        </w:rPr>
        <w:t>第三章　</w:t>
      </w:r>
      <w:r>
        <w:rPr>
          <w:rFonts w:hint="eastAsia"/>
          <w:szCs w:val="32"/>
        </w:rPr>
        <w:t>采购需求</w:t>
      </w:r>
      <w:r>
        <w:tab/>
      </w:r>
      <w:r>
        <w:fldChar w:fldCharType="begin"/>
      </w:r>
      <w:r>
        <w:instrText xml:space="preserve"> PAGEREF _Toc5642 \h </w:instrText>
      </w:r>
      <w:r>
        <w:fldChar w:fldCharType="separate"/>
      </w:r>
      <w:r>
        <w:t>- 22 -</w:t>
      </w:r>
      <w:r>
        <w:fldChar w:fldCharType="end"/>
      </w:r>
      <w:r>
        <w:rPr>
          <w:rFonts w:hint="eastAsia" w:ascii="宋体" w:hAnsi="宋体" w:cs="宋体"/>
          <w:bCs/>
          <w:lang w:val="zh-CN"/>
        </w:rPr>
        <w:fldChar w:fldCharType="end"/>
      </w:r>
    </w:p>
    <w:p w14:paraId="2016DBC0">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_Toc26443 </w:instrText>
      </w:r>
      <w:r>
        <w:rPr>
          <w:rFonts w:hint="eastAsia" w:ascii="宋体" w:hAnsi="宋体" w:cs="宋体"/>
          <w:bCs/>
          <w:lang w:val="zh-CN"/>
        </w:rPr>
        <w:fldChar w:fldCharType="separate"/>
      </w:r>
      <w:r>
        <w:rPr>
          <w:rFonts w:hint="eastAsia"/>
          <w:szCs w:val="32"/>
        </w:rPr>
        <w:t>第四章 评审办法</w:t>
      </w:r>
      <w:r>
        <w:tab/>
      </w:r>
      <w:r>
        <w:fldChar w:fldCharType="begin"/>
      </w:r>
      <w:r>
        <w:instrText xml:space="preserve"> PAGEREF _Toc26443 \h </w:instrText>
      </w:r>
      <w:r>
        <w:fldChar w:fldCharType="separate"/>
      </w:r>
      <w:r>
        <w:t>- 84 -</w:t>
      </w:r>
      <w:r>
        <w:fldChar w:fldCharType="end"/>
      </w:r>
      <w:r>
        <w:rPr>
          <w:rFonts w:hint="eastAsia" w:ascii="宋体" w:hAnsi="宋体" w:cs="宋体"/>
          <w:bCs/>
          <w:lang w:val="zh-CN"/>
        </w:rPr>
        <w:fldChar w:fldCharType="end"/>
      </w:r>
    </w:p>
    <w:p w14:paraId="027BFAE2">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_Toc12573 </w:instrText>
      </w:r>
      <w:r>
        <w:rPr>
          <w:rFonts w:hint="eastAsia" w:ascii="宋体" w:hAnsi="宋体" w:cs="宋体"/>
          <w:bCs/>
          <w:lang w:val="zh-CN"/>
        </w:rPr>
        <w:fldChar w:fldCharType="separate"/>
      </w:r>
      <w:r>
        <w:rPr>
          <w:rFonts w:hint="eastAsia" w:ascii="宋体" w:hAnsi="宋体" w:cs="宋体"/>
          <w:szCs w:val="32"/>
        </w:rPr>
        <w:t>第五章  采购合同（合同主要条款及格式）</w:t>
      </w:r>
      <w:r>
        <w:tab/>
      </w:r>
      <w:r>
        <w:fldChar w:fldCharType="begin"/>
      </w:r>
      <w:r>
        <w:instrText xml:space="preserve"> PAGEREF _Toc12573 \h </w:instrText>
      </w:r>
      <w:r>
        <w:fldChar w:fldCharType="separate"/>
      </w:r>
      <w:r>
        <w:t>- 88 -</w:t>
      </w:r>
      <w:r>
        <w:fldChar w:fldCharType="end"/>
      </w:r>
      <w:r>
        <w:rPr>
          <w:rFonts w:hint="eastAsia" w:ascii="宋体" w:hAnsi="宋体" w:cs="宋体"/>
          <w:bCs/>
          <w:lang w:val="zh-CN"/>
        </w:rPr>
        <w:fldChar w:fldCharType="end"/>
      </w:r>
    </w:p>
    <w:p w14:paraId="11001E22">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_Toc13393 </w:instrText>
      </w:r>
      <w:r>
        <w:rPr>
          <w:rFonts w:hint="eastAsia" w:ascii="宋体" w:hAnsi="宋体" w:cs="宋体"/>
          <w:bCs/>
          <w:lang w:val="zh-CN"/>
        </w:rPr>
        <w:fldChar w:fldCharType="separate"/>
      </w:r>
      <w:r>
        <w:rPr>
          <w:rFonts w:hint="eastAsia" w:ascii="宋体" w:hAnsi="宋体" w:cs="宋体"/>
          <w:szCs w:val="21"/>
        </w:rPr>
        <w:t>第一条 合同标的及合同金额</w:t>
      </w:r>
      <w:r>
        <w:tab/>
      </w:r>
      <w:r>
        <w:fldChar w:fldCharType="begin"/>
      </w:r>
      <w:r>
        <w:instrText xml:space="preserve"> PAGEREF _Toc13393 \h </w:instrText>
      </w:r>
      <w:r>
        <w:fldChar w:fldCharType="separate"/>
      </w:r>
      <w:r>
        <w:t>- 88 -</w:t>
      </w:r>
      <w:r>
        <w:fldChar w:fldCharType="end"/>
      </w:r>
      <w:r>
        <w:rPr>
          <w:rFonts w:hint="eastAsia" w:ascii="宋体" w:hAnsi="宋体" w:cs="宋体"/>
          <w:bCs/>
          <w:lang w:val="zh-CN"/>
        </w:rPr>
        <w:fldChar w:fldCharType="end"/>
      </w:r>
    </w:p>
    <w:p w14:paraId="0E1087BC">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_Toc31851 </w:instrText>
      </w:r>
      <w:r>
        <w:rPr>
          <w:rFonts w:hint="eastAsia" w:ascii="宋体" w:hAnsi="宋体" w:cs="宋体"/>
          <w:bCs/>
          <w:lang w:val="zh-CN"/>
        </w:rPr>
        <w:fldChar w:fldCharType="separate"/>
      </w:r>
      <w:r>
        <w:rPr>
          <w:rFonts w:hint="eastAsia" w:ascii="宋体" w:hAnsi="宋体" w:cs="宋体"/>
          <w:szCs w:val="21"/>
        </w:rPr>
        <w:t>第二条  质量保证</w:t>
      </w:r>
      <w:r>
        <w:tab/>
      </w:r>
      <w:r>
        <w:fldChar w:fldCharType="begin"/>
      </w:r>
      <w:r>
        <w:instrText xml:space="preserve"> PAGEREF _Toc31851 \h </w:instrText>
      </w:r>
      <w:r>
        <w:fldChar w:fldCharType="separate"/>
      </w:r>
      <w:r>
        <w:t>- 88 -</w:t>
      </w:r>
      <w:r>
        <w:fldChar w:fldCharType="end"/>
      </w:r>
      <w:r>
        <w:rPr>
          <w:rFonts w:hint="eastAsia" w:ascii="宋体" w:hAnsi="宋体" w:cs="宋体"/>
          <w:bCs/>
          <w:lang w:val="zh-CN"/>
        </w:rPr>
        <w:fldChar w:fldCharType="end"/>
      </w:r>
    </w:p>
    <w:p w14:paraId="6A66468C">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_Toc5104 </w:instrText>
      </w:r>
      <w:r>
        <w:rPr>
          <w:rFonts w:hint="eastAsia" w:ascii="宋体" w:hAnsi="宋体" w:cs="宋体"/>
          <w:bCs/>
          <w:lang w:val="zh-CN"/>
        </w:rPr>
        <w:fldChar w:fldCharType="separate"/>
      </w:r>
      <w:r>
        <w:rPr>
          <w:rFonts w:hint="eastAsia" w:ascii="宋体" w:hAnsi="宋体" w:cs="宋体"/>
          <w:szCs w:val="21"/>
        </w:rPr>
        <w:t>第三条  权利保证</w:t>
      </w:r>
      <w:r>
        <w:tab/>
      </w:r>
      <w:r>
        <w:fldChar w:fldCharType="begin"/>
      </w:r>
      <w:r>
        <w:instrText xml:space="preserve"> PAGEREF _Toc5104 \h </w:instrText>
      </w:r>
      <w:r>
        <w:fldChar w:fldCharType="separate"/>
      </w:r>
      <w:r>
        <w:t>- 88 -</w:t>
      </w:r>
      <w:r>
        <w:fldChar w:fldCharType="end"/>
      </w:r>
      <w:r>
        <w:rPr>
          <w:rFonts w:hint="eastAsia" w:ascii="宋体" w:hAnsi="宋体" w:cs="宋体"/>
          <w:bCs/>
          <w:lang w:val="zh-CN"/>
        </w:rPr>
        <w:fldChar w:fldCharType="end"/>
      </w:r>
    </w:p>
    <w:p w14:paraId="7F6BEE0F">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_Toc3865 </w:instrText>
      </w:r>
      <w:r>
        <w:rPr>
          <w:rFonts w:hint="eastAsia" w:ascii="宋体" w:hAnsi="宋体" w:cs="宋体"/>
          <w:bCs/>
          <w:lang w:val="zh-CN"/>
        </w:rPr>
        <w:fldChar w:fldCharType="separate"/>
      </w:r>
      <w:r>
        <w:rPr>
          <w:rFonts w:hint="eastAsia" w:ascii="宋体" w:hAnsi="宋体" w:cs="宋体"/>
          <w:szCs w:val="21"/>
        </w:rPr>
        <w:t>第四条  货物包装、运输、安装、调试</w:t>
      </w:r>
      <w:r>
        <w:tab/>
      </w:r>
      <w:r>
        <w:fldChar w:fldCharType="begin"/>
      </w:r>
      <w:r>
        <w:instrText xml:space="preserve"> PAGEREF _Toc3865 \h </w:instrText>
      </w:r>
      <w:r>
        <w:fldChar w:fldCharType="separate"/>
      </w:r>
      <w:r>
        <w:t>- 88 -</w:t>
      </w:r>
      <w:r>
        <w:fldChar w:fldCharType="end"/>
      </w:r>
      <w:r>
        <w:rPr>
          <w:rFonts w:hint="eastAsia" w:ascii="宋体" w:hAnsi="宋体" w:cs="宋体"/>
          <w:bCs/>
          <w:lang w:val="zh-CN"/>
        </w:rPr>
        <w:fldChar w:fldCharType="end"/>
      </w:r>
    </w:p>
    <w:p w14:paraId="446BA540">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_Toc25828 </w:instrText>
      </w:r>
      <w:r>
        <w:rPr>
          <w:rFonts w:hint="eastAsia" w:ascii="宋体" w:hAnsi="宋体" w:cs="宋体"/>
          <w:bCs/>
          <w:lang w:val="zh-CN"/>
        </w:rPr>
        <w:fldChar w:fldCharType="separate"/>
      </w:r>
      <w:r>
        <w:rPr>
          <w:rFonts w:hint="eastAsia" w:ascii="宋体" w:hAnsi="宋体" w:cs="宋体"/>
          <w:szCs w:val="21"/>
        </w:rPr>
        <w:t>第五条  交付</w:t>
      </w:r>
      <w:r>
        <w:tab/>
      </w:r>
      <w:r>
        <w:fldChar w:fldCharType="begin"/>
      </w:r>
      <w:r>
        <w:instrText xml:space="preserve"> PAGEREF _Toc25828 \h </w:instrText>
      </w:r>
      <w:r>
        <w:fldChar w:fldCharType="separate"/>
      </w:r>
      <w:r>
        <w:t>- 89 -</w:t>
      </w:r>
      <w:r>
        <w:fldChar w:fldCharType="end"/>
      </w:r>
      <w:r>
        <w:rPr>
          <w:rFonts w:hint="eastAsia" w:ascii="宋体" w:hAnsi="宋体" w:cs="宋体"/>
          <w:bCs/>
          <w:lang w:val="zh-CN"/>
        </w:rPr>
        <w:fldChar w:fldCharType="end"/>
      </w:r>
    </w:p>
    <w:p w14:paraId="075ADAC7">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_Toc10335 </w:instrText>
      </w:r>
      <w:r>
        <w:rPr>
          <w:rFonts w:hint="eastAsia" w:ascii="宋体" w:hAnsi="宋体" w:cs="宋体"/>
          <w:bCs/>
          <w:lang w:val="zh-CN"/>
        </w:rPr>
        <w:fldChar w:fldCharType="separate"/>
      </w:r>
      <w:r>
        <w:rPr>
          <w:rFonts w:hint="eastAsia" w:ascii="宋体" w:hAnsi="宋体" w:cs="宋体"/>
          <w:szCs w:val="21"/>
        </w:rPr>
        <w:t>第六条  验收方式</w:t>
      </w:r>
      <w:r>
        <w:tab/>
      </w:r>
      <w:r>
        <w:fldChar w:fldCharType="begin"/>
      </w:r>
      <w:r>
        <w:instrText xml:space="preserve"> PAGEREF _Toc10335 \h </w:instrText>
      </w:r>
      <w:r>
        <w:fldChar w:fldCharType="separate"/>
      </w:r>
      <w:r>
        <w:t>- 89 -</w:t>
      </w:r>
      <w:r>
        <w:fldChar w:fldCharType="end"/>
      </w:r>
      <w:r>
        <w:rPr>
          <w:rFonts w:hint="eastAsia" w:ascii="宋体" w:hAnsi="宋体" w:cs="宋体"/>
          <w:bCs/>
          <w:lang w:val="zh-CN"/>
        </w:rPr>
        <w:fldChar w:fldCharType="end"/>
      </w:r>
    </w:p>
    <w:p w14:paraId="092A00B5">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_Toc32587 </w:instrText>
      </w:r>
      <w:r>
        <w:rPr>
          <w:rFonts w:hint="eastAsia" w:ascii="宋体" w:hAnsi="宋体" w:cs="宋体"/>
          <w:bCs/>
          <w:lang w:val="zh-CN"/>
        </w:rPr>
        <w:fldChar w:fldCharType="separate"/>
      </w:r>
      <w:r>
        <w:rPr>
          <w:rFonts w:hint="eastAsia" w:ascii="宋体" w:hAnsi="宋体" w:cs="宋体"/>
          <w:szCs w:val="21"/>
        </w:rPr>
        <w:t>第七条  安装和培训</w:t>
      </w:r>
      <w:r>
        <w:tab/>
      </w:r>
      <w:r>
        <w:fldChar w:fldCharType="begin"/>
      </w:r>
      <w:r>
        <w:instrText xml:space="preserve"> PAGEREF _Toc32587 \h </w:instrText>
      </w:r>
      <w:r>
        <w:fldChar w:fldCharType="separate"/>
      </w:r>
      <w:r>
        <w:t>- 89 -</w:t>
      </w:r>
      <w:r>
        <w:fldChar w:fldCharType="end"/>
      </w:r>
      <w:r>
        <w:rPr>
          <w:rFonts w:hint="eastAsia" w:ascii="宋体" w:hAnsi="宋体" w:cs="宋体"/>
          <w:bCs/>
          <w:lang w:val="zh-CN"/>
        </w:rPr>
        <w:fldChar w:fldCharType="end"/>
      </w:r>
    </w:p>
    <w:p w14:paraId="09F7DDC1">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_Toc1691 </w:instrText>
      </w:r>
      <w:r>
        <w:rPr>
          <w:rFonts w:hint="eastAsia" w:ascii="宋体" w:hAnsi="宋体" w:cs="宋体"/>
          <w:bCs/>
          <w:lang w:val="zh-CN"/>
        </w:rPr>
        <w:fldChar w:fldCharType="separate"/>
      </w:r>
      <w:r>
        <w:rPr>
          <w:rFonts w:hint="eastAsia" w:ascii="宋体" w:hAnsi="宋体" w:cs="宋体"/>
          <w:szCs w:val="21"/>
        </w:rPr>
        <w:t>第八条  服务要求及免费保修期</w:t>
      </w:r>
      <w:r>
        <w:tab/>
      </w:r>
      <w:r>
        <w:fldChar w:fldCharType="begin"/>
      </w:r>
      <w:r>
        <w:instrText xml:space="preserve"> PAGEREF _Toc1691 \h </w:instrText>
      </w:r>
      <w:r>
        <w:fldChar w:fldCharType="separate"/>
      </w:r>
      <w:r>
        <w:t>- 89 -</w:t>
      </w:r>
      <w:r>
        <w:fldChar w:fldCharType="end"/>
      </w:r>
      <w:r>
        <w:rPr>
          <w:rFonts w:hint="eastAsia" w:ascii="宋体" w:hAnsi="宋体" w:cs="宋体"/>
          <w:bCs/>
          <w:lang w:val="zh-CN"/>
        </w:rPr>
        <w:fldChar w:fldCharType="end"/>
      </w:r>
    </w:p>
    <w:p w14:paraId="2B7637B0">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_Toc15324 </w:instrText>
      </w:r>
      <w:r>
        <w:rPr>
          <w:rFonts w:hint="eastAsia" w:ascii="宋体" w:hAnsi="宋体" w:cs="宋体"/>
          <w:bCs/>
          <w:lang w:val="zh-CN"/>
        </w:rPr>
        <w:fldChar w:fldCharType="separate"/>
      </w:r>
      <w:r>
        <w:rPr>
          <w:rFonts w:hint="eastAsia" w:ascii="宋体" w:hAnsi="宋体" w:cs="宋体"/>
          <w:szCs w:val="21"/>
        </w:rPr>
        <w:t>第九条  税费等要求</w:t>
      </w:r>
      <w:r>
        <w:tab/>
      </w:r>
      <w:r>
        <w:fldChar w:fldCharType="begin"/>
      </w:r>
      <w:r>
        <w:instrText xml:space="preserve"> PAGEREF _Toc15324 \h </w:instrText>
      </w:r>
      <w:r>
        <w:fldChar w:fldCharType="separate"/>
      </w:r>
      <w:r>
        <w:t>- 89 -</w:t>
      </w:r>
      <w:r>
        <w:fldChar w:fldCharType="end"/>
      </w:r>
      <w:r>
        <w:rPr>
          <w:rFonts w:hint="eastAsia" w:ascii="宋体" w:hAnsi="宋体" w:cs="宋体"/>
          <w:bCs/>
          <w:lang w:val="zh-CN"/>
        </w:rPr>
        <w:fldChar w:fldCharType="end"/>
      </w:r>
    </w:p>
    <w:p w14:paraId="1D1823C3">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_Toc11319 </w:instrText>
      </w:r>
      <w:r>
        <w:rPr>
          <w:rFonts w:hint="eastAsia" w:ascii="宋体" w:hAnsi="宋体" w:cs="宋体"/>
          <w:bCs/>
          <w:lang w:val="zh-CN"/>
        </w:rPr>
        <w:fldChar w:fldCharType="separate"/>
      </w:r>
      <w:r>
        <w:rPr>
          <w:rFonts w:hint="eastAsia" w:ascii="宋体" w:hAnsi="宋体" w:cs="宋体"/>
          <w:szCs w:val="21"/>
        </w:rPr>
        <w:t>第十条  付款方式</w:t>
      </w:r>
      <w:r>
        <w:tab/>
      </w:r>
      <w:r>
        <w:fldChar w:fldCharType="begin"/>
      </w:r>
      <w:r>
        <w:instrText xml:space="preserve"> PAGEREF _Toc11319 \h </w:instrText>
      </w:r>
      <w:r>
        <w:fldChar w:fldCharType="separate"/>
      </w:r>
      <w:r>
        <w:t>- 89 -</w:t>
      </w:r>
      <w:r>
        <w:fldChar w:fldCharType="end"/>
      </w:r>
      <w:r>
        <w:rPr>
          <w:rFonts w:hint="eastAsia" w:ascii="宋体" w:hAnsi="宋体" w:cs="宋体"/>
          <w:bCs/>
          <w:lang w:val="zh-CN"/>
        </w:rPr>
        <w:fldChar w:fldCharType="end"/>
      </w:r>
    </w:p>
    <w:p w14:paraId="02FFDA19">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_Toc5565 </w:instrText>
      </w:r>
      <w:r>
        <w:rPr>
          <w:rFonts w:hint="eastAsia" w:ascii="宋体" w:hAnsi="宋体" w:cs="宋体"/>
          <w:bCs/>
          <w:lang w:val="zh-CN"/>
        </w:rPr>
        <w:fldChar w:fldCharType="separate"/>
      </w:r>
      <w:r>
        <w:rPr>
          <w:rFonts w:hint="eastAsia" w:ascii="宋体" w:hAnsi="宋体" w:cs="宋体"/>
          <w:szCs w:val="21"/>
        </w:rPr>
        <w:t>第十一条  违约责任</w:t>
      </w:r>
      <w:r>
        <w:tab/>
      </w:r>
      <w:r>
        <w:fldChar w:fldCharType="begin"/>
      </w:r>
      <w:r>
        <w:instrText xml:space="preserve"> PAGEREF _Toc5565 \h </w:instrText>
      </w:r>
      <w:r>
        <w:fldChar w:fldCharType="separate"/>
      </w:r>
      <w:r>
        <w:t>- 89 -</w:t>
      </w:r>
      <w:r>
        <w:fldChar w:fldCharType="end"/>
      </w:r>
      <w:r>
        <w:rPr>
          <w:rFonts w:hint="eastAsia" w:ascii="宋体" w:hAnsi="宋体" w:cs="宋体"/>
          <w:bCs/>
          <w:lang w:val="zh-CN"/>
        </w:rPr>
        <w:fldChar w:fldCharType="end"/>
      </w:r>
    </w:p>
    <w:p w14:paraId="0CCF98C2">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_Toc10393 </w:instrText>
      </w:r>
      <w:r>
        <w:rPr>
          <w:rFonts w:hint="eastAsia" w:ascii="宋体" w:hAnsi="宋体" w:cs="宋体"/>
          <w:bCs/>
          <w:lang w:val="zh-CN"/>
        </w:rPr>
        <w:fldChar w:fldCharType="separate"/>
      </w:r>
      <w:r>
        <w:rPr>
          <w:rFonts w:hint="eastAsia" w:ascii="宋体" w:hAnsi="宋体" w:cs="宋体"/>
          <w:szCs w:val="21"/>
        </w:rPr>
        <w:t>第十二条  不可抗力事件处理</w:t>
      </w:r>
      <w:r>
        <w:tab/>
      </w:r>
      <w:r>
        <w:fldChar w:fldCharType="begin"/>
      </w:r>
      <w:r>
        <w:instrText xml:space="preserve"> PAGEREF _Toc10393 \h </w:instrText>
      </w:r>
      <w:r>
        <w:fldChar w:fldCharType="separate"/>
      </w:r>
      <w:r>
        <w:t>- 90 -</w:t>
      </w:r>
      <w:r>
        <w:fldChar w:fldCharType="end"/>
      </w:r>
      <w:r>
        <w:rPr>
          <w:rFonts w:hint="eastAsia" w:ascii="宋体" w:hAnsi="宋体" w:cs="宋体"/>
          <w:bCs/>
          <w:lang w:val="zh-CN"/>
        </w:rPr>
        <w:fldChar w:fldCharType="end"/>
      </w:r>
    </w:p>
    <w:p w14:paraId="67F79554">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_Toc17451 </w:instrText>
      </w:r>
      <w:r>
        <w:rPr>
          <w:rFonts w:hint="eastAsia" w:ascii="宋体" w:hAnsi="宋体" w:cs="宋体"/>
          <w:bCs/>
          <w:lang w:val="zh-CN"/>
        </w:rPr>
        <w:fldChar w:fldCharType="separate"/>
      </w:r>
      <w:r>
        <w:rPr>
          <w:rFonts w:hint="eastAsia" w:ascii="宋体" w:hAnsi="宋体" w:cs="宋体"/>
          <w:szCs w:val="21"/>
        </w:rPr>
        <w:t>第十三条  合同争议解决</w:t>
      </w:r>
      <w:r>
        <w:tab/>
      </w:r>
      <w:r>
        <w:fldChar w:fldCharType="begin"/>
      </w:r>
      <w:r>
        <w:instrText xml:space="preserve"> PAGEREF _Toc17451 \h </w:instrText>
      </w:r>
      <w:r>
        <w:fldChar w:fldCharType="separate"/>
      </w:r>
      <w:r>
        <w:t>- 90 -</w:t>
      </w:r>
      <w:r>
        <w:fldChar w:fldCharType="end"/>
      </w:r>
      <w:r>
        <w:rPr>
          <w:rFonts w:hint="eastAsia" w:ascii="宋体" w:hAnsi="宋体" w:cs="宋体"/>
          <w:bCs/>
          <w:lang w:val="zh-CN"/>
        </w:rPr>
        <w:fldChar w:fldCharType="end"/>
      </w:r>
    </w:p>
    <w:p w14:paraId="53AAB34E">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_Toc28082 </w:instrText>
      </w:r>
      <w:r>
        <w:rPr>
          <w:rFonts w:hint="eastAsia" w:ascii="宋体" w:hAnsi="宋体" w:cs="宋体"/>
          <w:bCs/>
          <w:lang w:val="zh-CN"/>
        </w:rPr>
        <w:fldChar w:fldCharType="separate"/>
      </w:r>
      <w:r>
        <w:rPr>
          <w:rFonts w:hint="eastAsia" w:ascii="宋体" w:hAnsi="宋体" w:cs="宋体"/>
          <w:szCs w:val="21"/>
        </w:rPr>
        <w:t>第十四条  合同生效及其它</w:t>
      </w:r>
      <w:r>
        <w:tab/>
      </w:r>
      <w:r>
        <w:fldChar w:fldCharType="begin"/>
      </w:r>
      <w:r>
        <w:instrText xml:space="preserve"> PAGEREF _Toc28082 \h </w:instrText>
      </w:r>
      <w:r>
        <w:fldChar w:fldCharType="separate"/>
      </w:r>
      <w:r>
        <w:t>- 90 -</w:t>
      </w:r>
      <w:r>
        <w:fldChar w:fldCharType="end"/>
      </w:r>
      <w:r>
        <w:rPr>
          <w:rFonts w:hint="eastAsia" w:ascii="宋体" w:hAnsi="宋体" w:cs="宋体"/>
          <w:bCs/>
          <w:lang w:val="zh-CN"/>
        </w:rPr>
        <w:fldChar w:fldCharType="end"/>
      </w:r>
    </w:p>
    <w:p w14:paraId="6F7B31FB">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_Toc21080 </w:instrText>
      </w:r>
      <w:r>
        <w:rPr>
          <w:rFonts w:hint="eastAsia" w:ascii="宋体" w:hAnsi="宋体" w:cs="宋体"/>
          <w:bCs/>
          <w:lang w:val="zh-CN"/>
        </w:rPr>
        <w:fldChar w:fldCharType="separate"/>
      </w:r>
      <w:r>
        <w:rPr>
          <w:rFonts w:hint="eastAsia" w:ascii="宋体" w:hAnsi="宋体" w:cs="宋体"/>
          <w:szCs w:val="21"/>
        </w:rPr>
        <w:t>第十五条  合同的变更、终止与转让</w:t>
      </w:r>
      <w:r>
        <w:tab/>
      </w:r>
      <w:r>
        <w:fldChar w:fldCharType="begin"/>
      </w:r>
      <w:r>
        <w:instrText xml:space="preserve"> PAGEREF _Toc21080 \h </w:instrText>
      </w:r>
      <w:r>
        <w:fldChar w:fldCharType="separate"/>
      </w:r>
      <w:r>
        <w:t>- 90 -</w:t>
      </w:r>
      <w:r>
        <w:fldChar w:fldCharType="end"/>
      </w:r>
      <w:r>
        <w:rPr>
          <w:rFonts w:hint="eastAsia" w:ascii="宋体" w:hAnsi="宋体" w:cs="宋体"/>
          <w:bCs/>
          <w:lang w:val="zh-CN"/>
        </w:rPr>
        <w:fldChar w:fldCharType="end"/>
      </w:r>
    </w:p>
    <w:p w14:paraId="4B2CD021">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_Toc16104 </w:instrText>
      </w:r>
      <w:r>
        <w:rPr>
          <w:rFonts w:hint="eastAsia" w:ascii="宋体" w:hAnsi="宋体" w:cs="宋体"/>
          <w:bCs/>
          <w:lang w:val="zh-CN"/>
        </w:rPr>
        <w:fldChar w:fldCharType="separate"/>
      </w:r>
      <w:r>
        <w:rPr>
          <w:rFonts w:hint="eastAsia" w:ascii="宋体" w:hAnsi="宋体" w:cs="宋体"/>
          <w:szCs w:val="21"/>
        </w:rPr>
        <w:t>第十六条  签订本合同依据</w:t>
      </w:r>
      <w:r>
        <w:tab/>
      </w:r>
      <w:r>
        <w:fldChar w:fldCharType="begin"/>
      </w:r>
      <w:r>
        <w:instrText xml:space="preserve"> PAGEREF _Toc16104 \h </w:instrText>
      </w:r>
      <w:r>
        <w:fldChar w:fldCharType="separate"/>
      </w:r>
      <w:r>
        <w:t>- 90 -</w:t>
      </w:r>
      <w:r>
        <w:fldChar w:fldCharType="end"/>
      </w:r>
      <w:r>
        <w:rPr>
          <w:rFonts w:hint="eastAsia" w:ascii="宋体" w:hAnsi="宋体" w:cs="宋体"/>
          <w:bCs/>
          <w:lang w:val="zh-CN"/>
        </w:rPr>
        <w:fldChar w:fldCharType="end"/>
      </w:r>
    </w:p>
    <w:p w14:paraId="02260AF9">
      <w:pPr>
        <w:pStyle w:val="18"/>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_Toc12064 </w:instrText>
      </w:r>
      <w:r>
        <w:rPr>
          <w:rFonts w:hint="eastAsia" w:ascii="宋体" w:hAnsi="宋体" w:cs="宋体"/>
          <w:bCs/>
          <w:lang w:val="zh-CN"/>
        </w:rPr>
        <w:fldChar w:fldCharType="separate"/>
      </w:r>
      <w:r>
        <w:rPr>
          <w:rFonts w:hint="eastAsia" w:ascii="宋体" w:cs="宋体"/>
          <w:bCs/>
          <w:kern w:val="44"/>
          <w:szCs w:val="32"/>
        </w:rPr>
        <w:t>第六章　</w:t>
      </w:r>
      <w:r>
        <w:rPr>
          <w:rFonts w:hint="eastAsia" w:ascii="宋体" w:hAnsi="宋体" w:cs="宋体"/>
          <w:szCs w:val="32"/>
        </w:rPr>
        <w:t>响应</w:t>
      </w:r>
      <w:r>
        <w:rPr>
          <w:rFonts w:hint="eastAsia"/>
          <w:szCs w:val="32"/>
        </w:rPr>
        <w:t>文件</w:t>
      </w:r>
      <w:r>
        <w:rPr>
          <w:rFonts w:hint="eastAsia" w:ascii="宋体" w:hAnsi="宋体" w:cs="宋体"/>
          <w:szCs w:val="32"/>
        </w:rPr>
        <w:t>（格式）</w:t>
      </w:r>
      <w:r>
        <w:tab/>
      </w:r>
      <w:r>
        <w:fldChar w:fldCharType="begin"/>
      </w:r>
      <w:r>
        <w:instrText xml:space="preserve"> PAGEREF _Toc12064 \h </w:instrText>
      </w:r>
      <w:r>
        <w:fldChar w:fldCharType="separate"/>
      </w:r>
      <w:r>
        <w:t>- 92 -</w:t>
      </w:r>
      <w:r>
        <w:fldChar w:fldCharType="end"/>
      </w:r>
      <w:r>
        <w:rPr>
          <w:rFonts w:hint="eastAsia" w:ascii="宋体" w:hAnsi="宋体" w:cs="宋体"/>
          <w:bCs/>
          <w:lang w:val="zh-CN"/>
        </w:rPr>
        <w:fldChar w:fldCharType="end"/>
      </w:r>
    </w:p>
    <w:p w14:paraId="51D6823E">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_Toc27760 </w:instrText>
      </w:r>
      <w:r>
        <w:rPr>
          <w:rFonts w:hint="eastAsia" w:ascii="宋体" w:hAnsi="宋体" w:cs="宋体"/>
          <w:bCs/>
          <w:lang w:val="zh-CN"/>
        </w:rPr>
        <w:fldChar w:fldCharType="separate"/>
      </w:r>
      <w:r>
        <w:rPr>
          <w:rFonts w:hint="eastAsia"/>
          <w:bCs/>
          <w:szCs w:val="32"/>
        </w:rPr>
        <w:t>（一）资格性响应证明材料目录</w:t>
      </w:r>
      <w:r>
        <w:tab/>
      </w:r>
      <w:r>
        <w:fldChar w:fldCharType="begin"/>
      </w:r>
      <w:r>
        <w:instrText xml:space="preserve"> PAGEREF _Toc27760 \h </w:instrText>
      </w:r>
      <w:r>
        <w:fldChar w:fldCharType="separate"/>
      </w:r>
      <w:r>
        <w:t>- 94 -</w:t>
      </w:r>
      <w:r>
        <w:fldChar w:fldCharType="end"/>
      </w:r>
      <w:r>
        <w:rPr>
          <w:rFonts w:hint="eastAsia" w:ascii="宋体" w:hAnsi="宋体" w:cs="宋体"/>
          <w:bCs/>
          <w:lang w:val="zh-CN"/>
        </w:rPr>
        <w:fldChar w:fldCharType="end"/>
      </w:r>
    </w:p>
    <w:p w14:paraId="02D103AA">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_Toc15241 </w:instrText>
      </w:r>
      <w:r>
        <w:rPr>
          <w:rFonts w:hint="eastAsia" w:ascii="宋体" w:hAnsi="宋体" w:cs="宋体"/>
          <w:bCs/>
          <w:lang w:val="zh-CN"/>
        </w:rPr>
        <w:fldChar w:fldCharType="separate"/>
      </w:r>
      <w:r>
        <w:rPr>
          <w:rFonts w:hint="eastAsia"/>
          <w:bCs/>
          <w:szCs w:val="32"/>
        </w:rPr>
        <w:t>（二）</w:t>
      </w:r>
      <w:r>
        <w:rPr>
          <w:bCs/>
          <w:szCs w:val="32"/>
        </w:rPr>
        <w:t>符合性响应证明材料目录</w:t>
      </w:r>
      <w:r>
        <w:tab/>
      </w:r>
      <w:r>
        <w:fldChar w:fldCharType="begin"/>
      </w:r>
      <w:r>
        <w:instrText xml:space="preserve"> PAGEREF _Toc15241 \h </w:instrText>
      </w:r>
      <w:r>
        <w:fldChar w:fldCharType="separate"/>
      </w:r>
      <w:r>
        <w:t>- 99 -</w:t>
      </w:r>
      <w:r>
        <w:fldChar w:fldCharType="end"/>
      </w:r>
      <w:r>
        <w:rPr>
          <w:rFonts w:hint="eastAsia" w:ascii="宋体" w:hAnsi="宋体" w:cs="宋体"/>
          <w:bCs/>
          <w:lang w:val="zh-CN"/>
        </w:rPr>
        <w:fldChar w:fldCharType="end"/>
      </w:r>
    </w:p>
    <w:p w14:paraId="43B8408A">
      <w:pPr>
        <w:pStyle w:val="20"/>
        <w:tabs>
          <w:tab w:val="right" w:leader="dot" w:pos="10192"/>
        </w:tabs>
      </w:pPr>
      <w:r>
        <w:rPr>
          <w:rFonts w:hint="eastAsia" w:ascii="宋体" w:hAnsi="宋体" w:cs="宋体"/>
          <w:bCs/>
          <w:lang w:val="zh-CN"/>
        </w:rPr>
        <w:fldChar w:fldCharType="begin"/>
      </w:r>
      <w:r>
        <w:rPr>
          <w:rFonts w:hint="eastAsia" w:ascii="宋体" w:hAnsi="宋体" w:cs="宋体"/>
          <w:bCs/>
          <w:lang w:val="zh-CN"/>
        </w:rPr>
        <w:instrText xml:space="preserve"> HYPERLINK \l _Toc26194 </w:instrText>
      </w:r>
      <w:r>
        <w:rPr>
          <w:rFonts w:hint="eastAsia" w:ascii="宋体" w:hAnsi="宋体" w:cs="宋体"/>
          <w:bCs/>
          <w:lang w:val="zh-CN"/>
        </w:rPr>
        <w:fldChar w:fldCharType="separate"/>
      </w:r>
      <w:r>
        <w:rPr>
          <w:bCs/>
          <w:szCs w:val="32"/>
        </w:rPr>
        <w:t>（</w:t>
      </w:r>
      <w:r>
        <w:rPr>
          <w:rFonts w:hint="eastAsia"/>
          <w:bCs/>
          <w:szCs w:val="32"/>
        </w:rPr>
        <w:t>三</w:t>
      </w:r>
      <w:r>
        <w:rPr>
          <w:bCs/>
          <w:szCs w:val="32"/>
        </w:rPr>
        <w:t>）其</w:t>
      </w:r>
      <w:r>
        <w:rPr>
          <w:rFonts w:hint="eastAsia"/>
          <w:bCs/>
          <w:szCs w:val="32"/>
        </w:rPr>
        <w:t>他</w:t>
      </w:r>
      <w:r>
        <w:rPr>
          <w:bCs/>
          <w:szCs w:val="32"/>
        </w:rPr>
        <w:t>有效证明材料目录</w:t>
      </w:r>
      <w:r>
        <w:tab/>
      </w:r>
      <w:r>
        <w:fldChar w:fldCharType="begin"/>
      </w:r>
      <w:r>
        <w:instrText xml:space="preserve"> PAGEREF _Toc26194 \h </w:instrText>
      </w:r>
      <w:r>
        <w:fldChar w:fldCharType="separate"/>
      </w:r>
      <w:r>
        <w:t>- 105 -</w:t>
      </w:r>
      <w:r>
        <w:fldChar w:fldCharType="end"/>
      </w:r>
      <w:r>
        <w:rPr>
          <w:rFonts w:hint="eastAsia" w:ascii="宋体" w:hAnsi="宋体" w:cs="宋体"/>
          <w:bCs/>
          <w:lang w:val="zh-CN"/>
        </w:rPr>
        <w:fldChar w:fldCharType="end"/>
      </w:r>
    </w:p>
    <w:p w14:paraId="698BBDA6">
      <w:pPr>
        <w:pStyle w:val="3"/>
        <w:spacing w:line="240" w:lineRule="auto"/>
        <w:ind w:firstLine="402"/>
        <w:jc w:val="center"/>
        <w:rPr>
          <w:rFonts w:hint="eastAsia" w:ascii="宋体" w:hAnsi="宋体" w:cs="宋体"/>
          <w:bCs w:val="0"/>
          <w:lang w:val="zh-CN"/>
        </w:rPr>
      </w:pPr>
      <w:r>
        <w:rPr>
          <w:rFonts w:hint="eastAsia" w:ascii="宋体" w:hAnsi="宋体" w:cs="宋体"/>
          <w:bCs w:val="0"/>
          <w:lang w:val="zh-CN"/>
        </w:rPr>
        <w:fldChar w:fldCharType="end"/>
      </w:r>
      <w:bookmarkStart w:id="0" w:name="_Toc26027"/>
      <w:bookmarkStart w:id="1" w:name="_Toc18266"/>
      <w:bookmarkStart w:id="2" w:name="_Toc13749"/>
      <w:bookmarkStart w:id="3" w:name="_Toc14018"/>
      <w:bookmarkStart w:id="4" w:name="_Toc27428"/>
      <w:bookmarkStart w:id="5" w:name="_Toc19446"/>
      <w:bookmarkStart w:id="6" w:name="_Toc28359011"/>
      <w:bookmarkStart w:id="7" w:name="_Toc35393797"/>
      <w:bookmarkStart w:id="8" w:name="_Toc30333"/>
      <w:bookmarkStart w:id="9" w:name="_Toc31240"/>
      <w:bookmarkStart w:id="10" w:name="_Toc1538"/>
      <w:bookmarkStart w:id="11" w:name="_Toc15996"/>
    </w:p>
    <w:p w14:paraId="00380973">
      <w:pPr>
        <w:rPr>
          <w:rFonts w:hint="eastAsia" w:ascii="宋体" w:hAnsi="宋体" w:cs="宋体"/>
          <w:bCs/>
          <w:lang w:val="zh-CN"/>
        </w:rPr>
      </w:pPr>
    </w:p>
    <w:p w14:paraId="32FD8B06">
      <w:pPr>
        <w:pStyle w:val="25"/>
        <w:rPr>
          <w:rFonts w:hint="eastAsia" w:ascii="宋体" w:hAnsi="宋体" w:cs="宋体"/>
          <w:bCs/>
          <w:lang w:val="zh-CN"/>
        </w:rPr>
      </w:pPr>
    </w:p>
    <w:p w14:paraId="6E87E653">
      <w:pPr>
        <w:rPr>
          <w:rFonts w:hint="eastAsia" w:ascii="宋体" w:hAnsi="宋体" w:cs="宋体"/>
          <w:bCs/>
          <w:lang w:val="zh-CN"/>
        </w:rPr>
      </w:pPr>
    </w:p>
    <w:p w14:paraId="692C8566">
      <w:pPr>
        <w:pStyle w:val="25"/>
        <w:rPr>
          <w:rFonts w:hint="eastAsia" w:ascii="宋体" w:hAnsi="宋体" w:cs="宋体"/>
          <w:bCs/>
          <w:lang w:val="zh-CN"/>
        </w:rPr>
      </w:pPr>
    </w:p>
    <w:p w14:paraId="4887B406">
      <w:pPr>
        <w:rPr>
          <w:rFonts w:hint="eastAsia" w:ascii="宋体" w:hAnsi="宋体" w:cs="宋体"/>
          <w:bCs/>
          <w:lang w:val="zh-CN"/>
        </w:rPr>
      </w:pPr>
    </w:p>
    <w:p w14:paraId="6DC4A965">
      <w:pPr>
        <w:pStyle w:val="25"/>
        <w:rPr>
          <w:rFonts w:hint="eastAsia"/>
          <w:lang w:val="zh-CN"/>
        </w:rPr>
      </w:pPr>
    </w:p>
    <w:p w14:paraId="0C79E881">
      <w:pPr>
        <w:pStyle w:val="3"/>
        <w:spacing w:line="240" w:lineRule="auto"/>
        <w:ind w:firstLine="402"/>
        <w:jc w:val="center"/>
        <w:rPr>
          <w:rFonts w:hint="eastAsia"/>
          <w:sz w:val="32"/>
          <w:szCs w:val="32"/>
        </w:rPr>
      </w:pPr>
    </w:p>
    <w:p w14:paraId="05D10848">
      <w:pPr>
        <w:rPr>
          <w:rFonts w:hint="eastAsia"/>
        </w:rPr>
      </w:pPr>
    </w:p>
    <w:p w14:paraId="68961669">
      <w:pPr>
        <w:rPr>
          <w:rFonts w:hint="eastAsia"/>
        </w:rPr>
      </w:pPr>
    </w:p>
    <w:p w14:paraId="31F45CE9">
      <w:pPr>
        <w:rPr>
          <w:rFonts w:hint="eastAsia"/>
        </w:rPr>
      </w:pPr>
    </w:p>
    <w:p w14:paraId="42499D31">
      <w:pPr>
        <w:rPr>
          <w:rFonts w:hint="eastAsia"/>
        </w:rPr>
      </w:pPr>
    </w:p>
    <w:p w14:paraId="5B6E6227">
      <w:pPr>
        <w:pStyle w:val="3"/>
        <w:spacing w:line="240" w:lineRule="auto"/>
        <w:ind w:firstLine="402"/>
        <w:jc w:val="center"/>
        <w:rPr>
          <w:rFonts w:hint="eastAsia"/>
          <w:sz w:val="32"/>
          <w:szCs w:val="32"/>
        </w:rPr>
        <w:sectPr>
          <w:footerReference r:id="rId9" w:type="default"/>
          <w:pgSz w:w="11906" w:h="16838"/>
          <w:pgMar w:top="1440" w:right="935" w:bottom="1440" w:left="779" w:header="851" w:footer="992" w:gutter="0"/>
          <w:pgBorders>
            <w:top w:val="none" w:sz="0" w:space="0"/>
            <w:left w:val="none" w:sz="0" w:space="0"/>
            <w:bottom w:val="none" w:sz="0" w:space="0"/>
            <w:right w:val="none" w:sz="0" w:space="0"/>
          </w:pgBorders>
          <w:pgNumType w:fmt="numberInDash" w:start="1"/>
          <w:cols w:space="720" w:num="1"/>
          <w:docGrid w:type="linesAndChars" w:linePitch="312" w:charSpace="0"/>
        </w:sectPr>
      </w:pPr>
      <w:bookmarkStart w:id="12" w:name="_Toc26371"/>
    </w:p>
    <w:p w14:paraId="5A4601D0">
      <w:pPr>
        <w:pStyle w:val="3"/>
        <w:spacing w:line="240" w:lineRule="auto"/>
        <w:ind w:firstLine="402"/>
        <w:jc w:val="center"/>
        <w:rPr>
          <w:rFonts w:hint="eastAsia"/>
          <w:sz w:val="32"/>
          <w:szCs w:val="32"/>
        </w:rPr>
      </w:pPr>
      <w:bookmarkStart w:id="13" w:name="_Toc19241"/>
      <w:r>
        <w:rPr>
          <w:rFonts w:hint="eastAsia"/>
          <w:sz w:val="32"/>
          <w:szCs w:val="32"/>
        </w:rPr>
        <w:t>第一章 竞争性谈判公告</w:t>
      </w:r>
      <w:bookmarkEnd w:id="0"/>
      <w:bookmarkEnd w:id="1"/>
      <w:bookmarkEnd w:id="2"/>
      <w:bookmarkEnd w:id="3"/>
      <w:bookmarkEnd w:id="4"/>
      <w:bookmarkEnd w:id="5"/>
      <w:bookmarkEnd w:id="6"/>
      <w:bookmarkEnd w:id="7"/>
      <w:bookmarkEnd w:id="8"/>
      <w:bookmarkEnd w:id="9"/>
      <w:bookmarkEnd w:id="10"/>
      <w:bookmarkEnd w:id="11"/>
      <w:bookmarkEnd w:id="12"/>
      <w:bookmarkEnd w:id="13"/>
      <w:bookmarkStart w:id="14" w:name="_Toc28359089"/>
      <w:bookmarkStart w:id="15" w:name="_Toc35393629"/>
      <w:bookmarkStart w:id="16" w:name="_Toc35393798"/>
      <w:bookmarkStart w:id="17" w:name="_Toc28359012"/>
    </w:p>
    <w:tbl>
      <w:tblPr>
        <w:tblStyle w:val="26"/>
        <w:tblpPr w:leftFromText="180" w:rightFromText="180" w:vertAnchor="text" w:tblpX="38" w:tblpY="1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20"/>
      </w:tblGrid>
      <w:tr w14:paraId="765BF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10220" w:type="dxa"/>
            <w:vAlign w:val="top"/>
          </w:tcPr>
          <w:p w14:paraId="77C87A6A">
            <w:pPr>
              <w:spacing w:line="380" w:lineRule="exact"/>
              <w:ind w:firstLine="480" w:firstLineChars="200"/>
              <w:rPr>
                <w:rFonts w:hint="eastAsia" w:ascii="宋体" w:hAnsi="宋体" w:cs="宋体"/>
                <w:sz w:val="24"/>
              </w:rPr>
            </w:pPr>
            <w:r>
              <w:rPr>
                <w:rFonts w:hint="eastAsia" w:ascii="宋体" w:hAnsi="宋体" w:cs="宋体"/>
                <w:sz w:val="24"/>
              </w:rPr>
              <w:t>项目概况</w:t>
            </w:r>
          </w:p>
          <w:p w14:paraId="2464D2FA">
            <w:pPr>
              <w:spacing w:line="400" w:lineRule="exact"/>
              <w:ind w:firstLine="480" w:firstLineChars="200"/>
              <w:rPr>
                <w:rFonts w:hint="eastAsia" w:ascii="宋体" w:hAnsi="宋体" w:cs="宋体"/>
                <w:sz w:val="24"/>
              </w:rPr>
            </w:pPr>
            <w:r>
              <w:rPr>
                <w:rFonts w:hint="eastAsia" w:ascii="宋体" w:hAnsi="宋体" w:cs="宋体"/>
                <w:sz w:val="24"/>
              </w:rPr>
              <w:t>桂林市政府集中采购中心</w:t>
            </w:r>
            <w:r>
              <w:rPr>
                <w:rFonts w:hint="eastAsia" w:ascii="宋体" w:hAnsi="宋体" w:cs="宋体"/>
                <w:sz w:val="24"/>
                <w:highlight w:val="none"/>
              </w:rPr>
              <w:t>受</w:t>
            </w:r>
            <w:r>
              <w:rPr>
                <w:rFonts w:hint="eastAsia" w:ascii="宋体" w:hAnsi="宋体" w:cs="宋体"/>
                <w:sz w:val="24"/>
                <w:highlight w:val="none"/>
                <w:u w:val="single"/>
                <w:lang w:eastAsia="zh-CN"/>
              </w:rPr>
              <w:t>资源县教育局</w:t>
            </w:r>
            <w:r>
              <w:rPr>
                <w:rFonts w:hint="eastAsia" w:ascii="宋体" w:hAnsi="宋体" w:cs="宋体"/>
                <w:sz w:val="24"/>
                <w:highlight w:val="none"/>
              </w:rPr>
              <w:t>委托，根据《中华人民共和国政府采购法》《中华人民共和国政府采购法实施条例》《政府采购非招标采购方式管理办法》等规定，现就</w:t>
            </w:r>
            <w:r>
              <w:rPr>
                <w:rFonts w:hint="eastAsia" w:ascii="宋体" w:hAnsi="宋体" w:cs="宋体"/>
                <w:sz w:val="24"/>
                <w:highlight w:val="none"/>
                <w:u w:val="single"/>
                <w:lang w:eastAsia="zh-CN"/>
              </w:rPr>
              <w:t>资源县教育局教学设备采购</w:t>
            </w:r>
            <w:r>
              <w:rPr>
                <w:rFonts w:hint="eastAsia" w:ascii="宋体" w:hAnsi="宋体" w:cs="宋体"/>
                <w:sz w:val="24"/>
                <w:highlight w:val="none"/>
              </w:rPr>
              <w:t>进行竞争性谈判采购，欢迎符</w:t>
            </w:r>
            <w:r>
              <w:rPr>
                <w:rFonts w:hint="eastAsia" w:ascii="宋体" w:hAnsi="宋体" w:cs="宋体"/>
                <w:sz w:val="24"/>
              </w:rPr>
              <w:t>合条件的供应商前来参加谈判活动，并于</w:t>
            </w:r>
            <w:r>
              <w:rPr>
                <w:rFonts w:hint="eastAsia" w:ascii="宋体" w:hAnsi="宋体" w:cs="宋体"/>
                <w:color w:val="000000"/>
                <w:sz w:val="24"/>
                <w:lang w:eastAsia="zh-CN"/>
              </w:rPr>
              <w:t>2026年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日</w:t>
            </w:r>
            <w:r>
              <w:rPr>
                <w:rFonts w:hint="eastAsia" w:ascii="宋体" w:hAnsi="宋体" w:cs="宋体"/>
                <w:color w:val="000000"/>
                <w:sz w:val="24"/>
                <w:highlight w:val="none"/>
              </w:rPr>
              <w:t>9</w:t>
            </w:r>
            <w:r>
              <w:rPr>
                <w:rFonts w:hint="eastAsia" w:ascii="宋体" w:hAnsi="宋体" w:cs="宋体"/>
                <w:sz w:val="24"/>
                <w:highlight w:val="none"/>
              </w:rPr>
              <w:t>点30分</w:t>
            </w:r>
            <w:r>
              <w:rPr>
                <w:rFonts w:hint="eastAsia" w:ascii="宋体" w:hAnsi="宋体" w:cs="宋体"/>
                <w:sz w:val="24"/>
              </w:rPr>
              <w:t>（北京时间）前提交响应文件。现将本次竞争性谈判的有关事项公告如下：</w:t>
            </w:r>
          </w:p>
        </w:tc>
      </w:tr>
    </w:tbl>
    <w:p w14:paraId="748D139B">
      <w:pPr>
        <w:pStyle w:val="2"/>
      </w:pPr>
    </w:p>
    <w:p w14:paraId="540B0510">
      <w:pPr>
        <w:spacing w:line="360" w:lineRule="exact"/>
        <w:ind w:firstLine="480" w:firstLineChars="200"/>
        <w:jc w:val="left"/>
        <w:rPr>
          <w:rFonts w:hint="eastAsia"/>
          <w:sz w:val="24"/>
        </w:rPr>
      </w:pPr>
      <w:r>
        <w:rPr>
          <w:rFonts w:hint="eastAsia"/>
          <w:sz w:val="24"/>
        </w:rPr>
        <w:t>一、项目基本情况</w:t>
      </w:r>
      <w:bookmarkEnd w:id="14"/>
      <w:bookmarkEnd w:id="15"/>
      <w:bookmarkEnd w:id="16"/>
      <w:bookmarkEnd w:id="17"/>
    </w:p>
    <w:p w14:paraId="541C93F4">
      <w:pPr>
        <w:spacing w:line="360" w:lineRule="exact"/>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GLZC2026-J1-290019-GLSZ</w:t>
      </w:r>
    </w:p>
    <w:p w14:paraId="77EFD04D">
      <w:pPr>
        <w:spacing w:line="360" w:lineRule="exact"/>
        <w:ind w:firstLine="480" w:firstLineChars="200"/>
        <w:jc w:val="left"/>
        <w:rPr>
          <w:rFonts w:hint="eastAsia" w:ascii="宋体" w:hAnsi="宋体" w:eastAsia="宋体" w:cs="宋体"/>
          <w:sz w:val="24"/>
          <w:highlight w:val="none"/>
          <w:u w:val="single"/>
          <w:lang w:eastAsia="zh-CN"/>
        </w:rPr>
      </w:pPr>
      <w:r>
        <w:rPr>
          <w:rFonts w:hint="eastAsia" w:ascii="宋体" w:hAnsi="宋体" w:cs="宋体"/>
          <w:sz w:val="24"/>
          <w:highlight w:val="none"/>
        </w:rPr>
        <w:t>项目名称：</w:t>
      </w:r>
      <w:r>
        <w:rPr>
          <w:rFonts w:hint="eastAsia" w:ascii="宋体" w:hAnsi="宋体" w:cs="宋体"/>
          <w:sz w:val="24"/>
          <w:highlight w:val="none"/>
          <w:lang w:eastAsia="zh-CN"/>
        </w:rPr>
        <w:t>资源县教育局教学设备采购</w:t>
      </w:r>
    </w:p>
    <w:p w14:paraId="137AA515">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采购方式：竞争性谈判</w:t>
      </w:r>
    </w:p>
    <w:p w14:paraId="601CE345">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预算金额：</w:t>
      </w:r>
      <w:r>
        <w:rPr>
          <w:rFonts w:hint="eastAsia" w:ascii="宋体" w:hAnsi="宋体" w:cs="宋体"/>
          <w:sz w:val="24"/>
          <w:highlight w:val="none"/>
          <w:lang w:eastAsia="zh-CN"/>
        </w:rPr>
        <w:t>人民币贰佰肆拾柒万肆仟捌佰柒拾元伍角玖分（¥2474870.59元）</w:t>
      </w:r>
      <w:r>
        <w:rPr>
          <w:rFonts w:hint="eastAsia" w:ascii="宋体" w:hAnsi="宋体" w:cs="宋体"/>
          <w:sz w:val="24"/>
          <w:highlight w:val="none"/>
        </w:rPr>
        <w:t>。</w:t>
      </w:r>
    </w:p>
    <w:p w14:paraId="31848286">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采购需求：</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577"/>
        <w:gridCol w:w="1105"/>
        <w:gridCol w:w="1145"/>
        <w:gridCol w:w="2479"/>
      </w:tblGrid>
      <w:tr w14:paraId="499F7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vAlign w:val="center"/>
          </w:tcPr>
          <w:p w14:paraId="50934D8A">
            <w:pPr>
              <w:spacing w:line="360" w:lineRule="exact"/>
              <w:jc w:val="center"/>
              <w:rPr>
                <w:rFonts w:hint="eastAsia" w:ascii="宋体" w:hAnsi="宋体" w:cs="宋体"/>
                <w:sz w:val="24"/>
                <w:highlight w:val="none"/>
              </w:rPr>
            </w:pPr>
            <w:r>
              <w:rPr>
                <w:rFonts w:hint="eastAsia" w:ascii="宋体" w:hAnsi="宋体" w:cs="宋体"/>
                <w:sz w:val="24"/>
                <w:highlight w:val="none"/>
              </w:rPr>
              <w:t>项号</w:t>
            </w:r>
          </w:p>
        </w:tc>
        <w:tc>
          <w:tcPr>
            <w:tcW w:w="2577" w:type="dxa"/>
            <w:vAlign w:val="center"/>
          </w:tcPr>
          <w:p w14:paraId="52A9CE85">
            <w:pPr>
              <w:spacing w:line="360" w:lineRule="exact"/>
              <w:jc w:val="center"/>
              <w:rPr>
                <w:rFonts w:hint="eastAsia" w:ascii="宋体" w:hAnsi="宋体" w:cs="宋体"/>
                <w:sz w:val="24"/>
                <w:highlight w:val="none"/>
              </w:rPr>
            </w:pPr>
            <w:r>
              <w:rPr>
                <w:rFonts w:hint="eastAsia" w:ascii="宋体" w:hAnsi="宋体" w:cs="宋体"/>
                <w:sz w:val="24"/>
                <w:highlight w:val="none"/>
              </w:rPr>
              <w:t>项目名称</w:t>
            </w:r>
          </w:p>
        </w:tc>
        <w:tc>
          <w:tcPr>
            <w:tcW w:w="1105" w:type="dxa"/>
            <w:vAlign w:val="center"/>
          </w:tcPr>
          <w:p w14:paraId="5B4817AC">
            <w:pPr>
              <w:spacing w:line="360" w:lineRule="exact"/>
              <w:jc w:val="center"/>
              <w:rPr>
                <w:rFonts w:hint="eastAsia" w:ascii="宋体" w:hAnsi="宋体" w:cs="宋体"/>
                <w:sz w:val="24"/>
                <w:highlight w:val="none"/>
              </w:rPr>
            </w:pPr>
            <w:r>
              <w:rPr>
                <w:rFonts w:hint="eastAsia" w:ascii="宋体" w:hAnsi="宋体" w:cs="宋体"/>
                <w:sz w:val="24"/>
                <w:highlight w:val="none"/>
              </w:rPr>
              <w:t>单位</w:t>
            </w:r>
          </w:p>
        </w:tc>
        <w:tc>
          <w:tcPr>
            <w:tcW w:w="1145" w:type="dxa"/>
            <w:vAlign w:val="center"/>
          </w:tcPr>
          <w:p w14:paraId="724CF6F9">
            <w:pPr>
              <w:spacing w:line="360" w:lineRule="exact"/>
              <w:jc w:val="center"/>
              <w:rPr>
                <w:rFonts w:hint="eastAsia" w:ascii="宋体" w:hAnsi="宋体" w:cs="宋体"/>
                <w:sz w:val="24"/>
                <w:highlight w:val="none"/>
              </w:rPr>
            </w:pPr>
            <w:r>
              <w:rPr>
                <w:rFonts w:hint="eastAsia" w:ascii="宋体" w:hAnsi="宋体" w:cs="宋体"/>
                <w:sz w:val="24"/>
                <w:highlight w:val="none"/>
              </w:rPr>
              <w:t>数量</w:t>
            </w:r>
          </w:p>
        </w:tc>
        <w:tc>
          <w:tcPr>
            <w:tcW w:w="2479" w:type="dxa"/>
            <w:vAlign w:val="center"/>
          </w:tcPr>
          <w:p w14:paraId="6F095CCE">
            <w:pPr>
              <w:spacing w:line="360" w:lineRule="exact"/>
              <w:jc w:val="center"/>
              <w:rPr>
                <w:rFonts w:hint="eastAsia" w:ascii="宋体" w:hAnsi="宋体" w:cs="宋体"/>
                <w:sz w:val="24"/>
                <w:highlight w:val="none"/>
              </w:rPr>
            </w:pPr>
            <w:r>
              <w:rPr>
                <w:rFonts w:hint="eastAsia" w:ascii="宋体" w:hAnsi="宋体" w:cs="宋体"/>
                <w:sz w:val="24"/>
                <w:highlight w:val="none"/>
              </w:rPr>
              <w:t>主要技术参数</w:t>
            </w:r>
          </w:p>
        </w:tc>
      </w:tr>
      <w:tr w14:paraId="2A9F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025" w:type="dxa"/>
            <w:vAlign w:val="center"/>
          </w:tcPr>
          <w:p w14:paraId="0A5853AC">
            <w:pPr>
              <w:spacing w:line="360" w:lineRule="exact"/>
              <w:jc w:val="center"/>
              <w:rPr>
                <w:rFonts w:hint="eastAsia" w:ascii="宋体" w:hAnsi="宋体" w:cs="宋体"/>
                <w:sz w:val="24"/>
                <w:highlight w:val="none"/>
              </w:rPr>
            </w:pPr>
            <w:r>
              <w:rPr>
                <w:rFonts w:hint="eastAsia" w:ascii="宋体" w:hAnsi="宋体" w:cs="宋体"/>
                <w:sz w:val="24"/>
                <w:highlight w:val="none"/>
              </w:rPr>
              <w:t>1</w:t>
            </w:r>
          </w:p>
        </w:tc>
        <w:tc>
          <w:tcPr>
            <w:tcW w:w="2577" w:type="dxa"/>
            <w:vAlign w:val="center"/>
          </w:tcPr>
          <w:p w14:paraId="24333CAE">
            <w:pPr>
              <w:spacing w:line="360" w:lineRule="exact"/>
              <w:jc w:val="center"/>
              <w:rPr>
                <w:rFonts w:hint="eastAsia" w:ascii="宋体" w:hAnsi="宋体" w:eastAsia="宋体" w:cs="宋体"/>
                <w:sz w:val="24"/>
                <w:highlight w:val="none"/>
                <w:lang w:eastAsia="zh-CN"/>
              </w:rPr>
            </w:pPr>
            <w:r>
              <w:rPr>
                <w:rFonts w:hint="eastAsia" w:ascii="宋体" w:hAnsi="宋体" w:cs="宋体"/>
                <w:sz w:val="24"/>
                <w:highlight w:val="none"/>
                <w:lang w:eastAsia="zh-CN"/>
              </w:rPr>
              <w:t>资源县教育局教学设备采购</w:t>
            </w:r>
          </w:p>
        </w:tc>
        <w:tc>
          <w:tcPr>
            <w:tcW w:w="1105" w:type="dxa"/>
            <w:vAlign w:val="center"/>
          </w:tcPr>
          <w:p w14:paraId="3EE06036">
            <w:pPr>
              <w:pStyle w:val="69"/>
              <w:spacing w:line="360" w:lineRule="exact"/>
              <w:jc w:val="center"/>
              <w:rPr>
                <w:rFonts w:hint="eastAsia" w:ascii="宋体" w:hAnsi="宋体" w:cs="宋体"/>
                <w:kern w:val="2"/>
                <w:sz w:val="24"/>
                <w:highlight w:val="none"/>
              </w:rPr>
            </w:pPr>
            <w:r>
              <w:rPr>
                <w:rFonts w:hint="eastAsia" w:ascii="宋体" w:hAnsi="宋体" w:cs="宋体"/>
                <w:kern w:val="2"/>
                <w:sz w:val="24"/>
                <w:highlight w:val="none"/>
                <w:lang w:val="en-US" w:eastAsia="zh-CN"/>
              </w:rPr>
              <w:t>套</w:t>
            </w:r>
          </w:p>
        </w:tc>
        <w:tc>
          <w:tcPr>
            <w:tcW w:w="1145" w:type="dxa"/>
            <w:vAlign w:val="center"/>
          </w:tcPr>
          <w:p w14:paraId="5BCC8764">
            <w:pPr>
              <w:adjustRightInd w:val="0"/>
              <w:spacing w:line="360" w:lineRule="exact"/>
              <w:jc w:val="center"/>
              <w:rPr>
                <w:rFonts w:hint="eastAsia" w:ascii="宋体" w:hAnsi="宋体" w:cs="宋体"/>
                <w:sz w:val="24"/>
                <w:highlight w:val="none"/>
              </w:rPr>
            </w:pPr>
            <w:r>
              <w:rPr>
                <w:rFonts w:hint="eastAsia" w:ascii="宋体" w:hAnsi="宋体" w:cs="宋体"/>
                <w:sz w:val="24"/>
                <w:highlight w:val="none"/>
              </w:rPr>
              <w:t>1</w:t>
            </w:r>
          </w:p>
        </w:tc>
        <w:tc>
          <w:tcPr>
            <w:tcW w:w="2479" w:type="dxa"/>
            <w:vAlign w:val="center"/>
          </w:tcPr>
          <w:p w14:paraId="3E4B5198">
            <w:pPr>
              <w:adjustRightInd w:val="0"/>
              <w:spacing w:line="360" w:lineRule="exact"/>
              <w:jc w:val="center"/>
              <w:rPr>
                <w:rFonts w:hint="eastAsia" w:ascii="宋体" w:hAnsi="宋体" w:cs="宋体"/>
                <w:sz w:val="24"/>
                <w:highlight w:val="none"/>
              </w:rPr>
            </w:pPr>
            <w:r>
              <w:rPr>
                <w:rFonts w:hint="eastAsia" w:ascii="宋体" w:hAnsi="宋体" w:cs="宋体"/>
                <w:sz w:val="24"/>
                <w:highlight w:val="none"/>
              </w:rPr>
              <w:t>详见竞争性谈判文件</w:t>
            </w:r>
          </w:p>
        </w:tc>
      </w:tr>
    </w:tbl>
    <w:p w14:paraId="4F94AC49">
      <w:pPr>
        <w:spacing w:line="360" w:lineRule="exact"/>
        <w:ind w:firstLine="480" w:firstLineChars="200"/>
        <w:jc w:val="left"/>
        <w:rPr>
          <w:rFonts w:hint="eastAsia" w:ascii="宋体" w:hAnsi="宋体" w:cs="宋体"/>
          <w:sz w:val="24"/>
          <w:highlight w:val="none"/>
        </w:rPr>
      </w:pPr>
      <w:r>
        <w:rPr>
          <w:rFonts w:hint="eastAsia" w:ascii="宋体" w:hAnsi="宋体" w:cs="宋体"/>
          <w:sz w:val="24"/>
          <w:highlight w:val="none"/>
        </w:rPr>
        <w:t>采购需求的详细内容，详见竞争性谈判文件。</w:t>
      </w:r>
    </w:p>
    <w:p w14:paraId="122EEB82">
      <w:pPr>
        <w:spacing w:line="360" w:lineRule="exact"/>
        <w:ind w:firstLine="480" w:firstLineChars="200"/>
        <w:jc w:val="left"/>
        <w:rPr>
          <w:rFonts w:hint="eastAsia" w:ascii="宋体" w:hAnsi="宋体" w:cs="宋体"/>
          <w:sz w:val="24"/>
        </w:rPr>
      </w:pPr>
      <w:r>
        <w:rPr>
          <w:rFonts w:hint="eastAsia" w:ascii="宋体" w:hAnsi="宋体" w:cs="宋体"/>
          <w:sz w:val="24"/>
        </w:rPr>
        <w:t>合同履行期限：自合同签订之日起至成交供应商承诺免费保修期满。</w:t>
      </w:r>
    </w:p>
    <w:p w14:paraId="7ECD233A">
      <w:pPr>
        <w:spacing w:line="360" w:lineRule="exact"/>
        <w:ind w:firstLine="482" w:firstLineChars="200"/>
        <w:jc w:val="left"/>
        <w:rPr>
          <w:rFonts w:hint="eastAsia" w:ascii="宋体" w:hAnsi="宋体" w:cs="宋体"/>
          <w:b/>
          <w:bCs/>
          <w:sz w:val="24"/>
        </w:rPr>
      </w:pPr>
      <w:r>
        <w:rPr>
          <w:rFonts w:hint="eastAsia" w:ascii="宋体" w:hAnsi="宋体" w:cs="宋体"/>
          <w:b/>
          <w:bCs/>
          <w:sz w:val="24"/>
        </w:rPr>
        <w:t>本项目不接受联合体参与谈判。</w:t>
      </w:r>
    </w:p>
    <w:p w14:paraId="49FE84BC">
      <w:pPr>
        <w:spacing w:line="360" w:lineRule="exact"/>
        <w:ind w:firstLine="480" w:firstLineChars="200"/>
        <w:jc w:val="left"/>
        <w:rPr>
          <w:rFonts w:hint="eastAsia"/>
          <w:sz w:val="24"/>
        </w:rPr>
      </w:pPr>
      <w:bookmarkStart w:id="18" w:name="_Toc35393630"/>
      <w:bookmarkStart w:id="19" w:name="_Toc35393799"/>
      <w:bookmarkStart w:id="20" w:name="_Toc28359013"/>
      <w:bookmarkStart w:id="21" w:name="_Toc28359090"/>
      <w:r>
        <w:rPr>
          <w:rFonts w:hint="eastAsia"/>
          <w:sz w:val="24"/>
        </w:rPr>
        <w:t>二、申请人的资格要求：</w:t>
      </w:r>
      <w:bookmarkEnd w:id="18"/>
      <w:bookmarkEnd w:id="19"/>
      <w:bookmarkEnd w:id="20"/>
      <w:bookmarkEnd w:id="21"/>
    </w:p>
    <w:p w14:paraId="55B221AD">
      <w:pPr>
        <w:spacing w:line="360" w:lineRule="exact"/>
        <w:ind w:firstLine="480" w:firstLineChars="200"/>
        <w:jc w:val="left"/>
        <w:rPr>
          <w:rFonts w:hint="eastAsia" w:ascii="宋体" w:hAnsi="宋体" w:cs="宋体"/>
          <w:sz w:val="24"/>
        </w:rPr>
      </w:pPr>
      <w:bookmarkStart w:id="22" w:name="_Toc28359091"/>
      <w:bookmarkStart w:id="23" w:name="_Toc28359014"/>
      <w:r>
        <w:rPr>
          <w:rFonts w:hint="eastAsia" w:ascii="宋体" w:hAnsi="宋体" w:cs="宋体"/>
          <w:sz w:val="24"/>
        </w:rPr>
        <w:t>1.满足《中华人民共和国政府采购法》第二十二条规定；</w:t>
      </w:r>
    </w:p>
    <w:p w14:paraId="10FF7C6D">
      <w:pPr>
        <w:spacing w:line="360" w:lineRule="exact"/>
        <w:ind w:firstLine="480" w:firstLineChars="200"/>
        <w:jc w:val="left"/>
        <w:rPr>
          <w:rFonts w:hint="eastAsia"/>
        </w:rPr>
      </w:pPr>
      <w:r>
        <w:rPr>
          <w:rFonts w:hint="eastAsia" w:ascii="宋体" w:hAnsi="宋体" w:cs="宋体"/>
          <w:sz w:val="24"/>
        </w:rPr>
        <w:t>2.被列入失信被执行人、重大税收违法案件当事人名单、政府采购严重违法失信行为记录名单及其他不符合《中华人民共和国政府采购法》第二十二条规定条件的供应商，将被拒绝其参与本次政府采购活动。供应商可在“信用中国”网站（www.creditchina.gov.cn）、中国政府采购网（www.ccgp.gov.cn）查询相关供应商主体信用记录。</w:t>
      </w:r>
    </w:p>
    <w:p w14:paraId="2D309E98">
      <w:pPr>
        <w:spacing w:line="380" w:lineRule="exact"/>
        <w:ind w:firstLine="480" w:firstLineChars="200"/>
        <w:jc w:val="left"/>
        <w:rPr>
          <w:rFonts w:hint="eastAsia" w:ascii="宋体" w:hAnsi="宋体" w:cs="宋体"/>
          <w:sz w:val="24"/>
        </w:rPr>
      </w:pPr>
      <w:r>
        <w:rPr>
          <w:rFonts w:hint="eastAsia" w:ascii="宋体" w:hAnsi="宋体" w:cs="宋体"/>
          <w:sz w:val="24"/>
        </w:rPr>
        <w:t>3.落实政府采购政策需满足的资格要求：</w:t>
      </w:r>
      <w:r>
        <w:rPr>
          <w:rFonts w:hint="eastAsia" w:ascii="宋体" w:hAnsi="宋体" w:cs="宋体"/>
          <w:b/>
          <w:bCs/>
          <w:sz w:val="24"/>
        </w:rPr>
        <w:t>无</w:t>
      </w:r>
    </w:p>
    <w:p w14:paraId="19F0B9AC">
      <w:pPr>
        <w:spacing w:line="360" w:lineRule="exact"/>
        <w:ind w:firstLine="480" w:firstLineChars="200"/>
        <w:jc w:val="left"/>
        <w:rPr>
          <w:sz w:val="24"/>
        </w:rPr>
      </w:pPr>
      <w:r>
        <w:rPr>
          <w:rFonts w:hint="eastAsia" w:ascii="宋体" w:hAnsi="宋体" w:cs="宋体"/>
          <w:sz w:val="24"/>
        </w:rPr>
        <w:t>4.本项目的特定资格要求：</w:t>
      </w:r>
      <w:bookmarkEnd w:id="22"/>
      <w:bookmarkEnd w:id="23"/>
      <w:bookmarkStart w:id="24" w:name="_Toc35393800"/>
      <w:bookmarkStart w:id="25" w:name="_Toc35393631"/>
      <w:r>
        <w:rPr>
          <w:rFonts w:hint="eastAsia" w:ascii="宋体" w:hAnsi="宋体" w:cs="宋体"/>
          <w:b/>
          <w:bCs/>
          <w:sz w:val="24"/>
        </w:rPr>
        <w:t>无</w:t>
      </w:r>
    </w:p>
    <w:p w14:paraId="2000DD47">
      <w:pPr>
        <w:numPr>
          <w:ilvl w:val="0"/>
          <w:numId w:val="1"/>
        </w:numPr>
        <w:spacing w:line="360" w:lineRule="exact"/>
        <w:ind w:firstLine="480" w:firstLineChars="200"/>
        <w:jc w:val="left"/>
        <w:rPr>
          <w:rFonts w:hint="eastAsia"/>
          <w:sz w:val="24"/>
        </w:rPr>
      </w:pPr>
      <w:r>
        <w:rPr>
          <w:rFonts w:hint="eastAsia"/>
          <w:sz w:val="24"/>
        </w:rPr>
        <w:t>获取采购文件</w:t>
      </w:r>
      <w:bookmarkEnd w:id="24"/>
      <w:bookmarkEnd w:id="25"/>
    </w:p>
    <w:p w14:paraId="32FDF0AF">
      <w:pPr>
        <w:spacing w:line="360" w:lineRule="exact"/>
        <w:ind w:firstLine="480" w:firstLineChars="200"/>
        <w:jc w:val="left"/>
        <w:rPr>
          <w:rFonts w:ascii="宋体" w:hAnsi="宋体" w:cs="宋体"/>
          <w:color w:val="000000"/>
          <w:sz w:val="24"/>
        </w:rPr>
      </w:pPr>
      <w:r>
        <w:rPr>
          <w:rFonts w:hint="eastAsia" w:ascii="宋体" w:hAnsi="宋体" w:cs="宋体"/>
          <w:sz w:val="24"/>
        </w:rPr>
        <w:t>1.采购文件获取时间：</w:t>
      </w:r>
      <w:r>
        <w:rPr>
          <w:rFonts w:hint="eastAsia" w:ascii="宋体" w:hAnsi="宋体" w:cs="宋体"/>
          <w:color w:val="000000"/>
          <w:sz w:val="24"/>
          <w:highlight w:val="none"/>
          <w:lang w:eastAsia="zh-CN"/>
        </w:rPr>
        <w:t>2026年</w:t>
      </w:r>
      <w:r>
        <w:rPr>
          <w:rFonts w:hint="eastAsia" w:ascii="宋体" w:hAnsi="宋体" w:cs="宋体"/>
          <w:color w:val="000000"/>
          <w:sz w:val="24"/>
          <w:highlight w:val="none"/>
          <w:lang w:val="en-US" w:eastAsia="zh-CN"/>
        </w:rPr>
        <w:t>6</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25</w:t>
      </w:r>
      <w:r>
        <w:rPr>
          <w:rFonts w:hint="eastAsia" w:ascii="宋体" w:hAnsi="宋体" w:cs="宋体"/>
          <w:color w:val="000000"/>
          <w:sz w:val="24"/>
          <w:highlight w:val="none"/>
          <w:lang w:eastAsia="zh-CN"/>
        </w:rPr>
        <w:t>日</w:t>
      </w:r>
      <w:r>
        <w:rPr>
          <w:rFonts w:hint="eastAsia" w:ascii="宋体" w:hAnsi="宋体" w:cs="宋体"/>
          <w:color w:val="000000"/>
          <w:sz w:val="24"/>
          <w:highlight w:val="none"/>
        </w:rPr>
        <w:t>至</w:t>
      </w:r>
      <w:r>
        <w:rPr>
          <w:rFonts w:hint="eastAsia" w:ascii="宋体" w:hAnsi="宋体" w:cs="宋体"/>
          <w:color w:val="000000"/>
          <w:sz w:val="24"/>
          <w:highlight w:val="none"/>
          <w:lang w:eastAsia="zh-CN"/>
        </w:rPr>
        <w:t>2026年</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月</w:t>
      </w:r>
      <w:r>
        <w:rPr>
          <w:rFonts w:hint="eastAsia" w:ascii="宋体" w:hAnsi="宋体" w:cs="宋体"/>
          <w:color w:val="000000"/>
          <w:sz w:val="24"/>
          <w:highlight w:val="none"/>
          <w:lang w:val="en-US" w:eastAsia="zh-CN"/>
        </w:rPr>
        <w:t>7</w:t>
      </w:r>
      <w:r>
        <w:rPr>
          <w:rFonts w:hint="eastAsia" w:ascii="宋体" w:hAnsi="宋体" w:cs="宋体"/>
          <w:color w:val="000000"/>
          <w:sz w:val="24"/>
          <w:highlight w:val="none"/>
          <w:lang w:eastAsia="zh-CN"/>
        </w:rPr>
        <w:t>日</w:t>
      </w:r>
      <w:r>
        <w:rPr>
          <w:rFonts w:hint="eastAsia" w:ascii="宋体" w:hAnsi="宋体" w:cs="宋体"/>
          <w:color w:val="000000"/>
          <w:sz w:val="24"/>
          <w:highlight w:val="none"/>
        </w:rPr>
        <w:t xml:space="preserve">9时30分止。   </w:t>
      </w:r>
    </w:p>
    <w:p w14:paraId="6C70C40D">
      <w:pPr>
        <w:spacing w:line="360" w:lineRule="exact"/>
        <w:ind w:firstLine="480" w:firstLineChars="200"/>
        <w:jc w:val="left"/>
        <w:rPr>
          <w:rFonts w:hint="eastAsia" w:ascii="宋体" w:hAnsi="宋体" w:cs="宋体"/>
          <w:color w:val="000000"/>
          <w:sz w:val="24"/>
        </w:rPr>
      </w:pPr>
      <w:r>
        <w:rPr>
          <w:rFonts w:hint="eastAsia" w:ascii="宋体" w:hAnsi="宋体" w:cs="宋体"/>
          <w:color w:val="000000"/>
          <w:sz w:val="24"/>
        </w:rPr>
        <w:t>2.采购文件的获取地点及方式：潜在供应商请登录广西政府采购云平台获取该项目竞争性谈判文件。</w:t>
      </w:r>
    </w:p>
    <w:p w14:paraId="55E43C83">
      <w:pPr>
        <w:pStyle w:val="2"/>
        <w:spacing w:line="360" w:lineRule="exact"/>
        <w:ind w:firstLine="480" w:firstLineChars="200"/>
        <w:jc w:val="left"/>
        <w:rPr>
          <w:rFonts w:hint="eastAsia"/>
          <w:color w:val="000000"/>
          <w:sz w:val="24"/>
        </w:rPr>
      </w:pPr>
      <w:r>
        <w:rPr>
          <w:rFonts w:hint="eastAsia" w:ascii="宋体" w:hAnsi="宋体" w:cs="宋体"/>
          <w:color w:val="000000"/>
          <w:sz w:val="24"/>
        </w:rPr>
        <w:t>3.采购文件售价：本项目采购文件不收取费用。</w:t>
      </w:r>
    </w:p>
    <w:p w14:paraId="47BD4A6E">
      <w:pPr>
        <w:numPr>
          <w:ilvl w:val="0"/>
          <w:numId w:val="2"/>
        </w:numPr>
        <w:spacing w:line="360" w:lineRule="exact"/>
        <w:ind w:firstLine="480" w:firstLineChars="200"/>
        <w:jc w:val="left"/>
        <w:rPr>
          <w:rFonts w:hint="eastAsia"/>
          <w:color w:val="000000"/>
          <w:sz w:val="24"/>
        </w:rPr>
      </w:pPr>
      <w:bookmarkStart w:id="26" w:name="_Toc28359015"/>
      <w:bookmarkStart w:id="27" w:name="_Toc35393801"/>
      <w:bookmarkStart w:id="28" w:name="_Toc28359092"/>
      <w:bookmarkStart w:id="29" w:name="_Toc35393632"/>
      <w:r>
        <w:rPr>
          <w:rFonts w:hint="eastAsia"/>
          <w:color w:val="000000"/>
          <w:sz w:val="24"/>
        </w:rPr>
        <w:t>响应文件</w:t>
      </w:r>
      <w:bookmarkEnd w:id="26"/>
      <w:bookmarkEnd w:id="27"/>
      <w:bookmarkEnd w:id="28"/>
      <w:bookmarkEnd w:id="29"/>
      <w:r>
        <w:rPr>
          <w:rFonts w:hint="eastAsia"/>
          <w:color w:val="000000"/>
          <w:sz w:val="24"/>
        </w:rPr>
        <w:t>递交时间和地点</w:t>
      </w:r>
    </w:p>
    <w:p w14:paraId="61B02E88">
      <w:pPr>
        <w:spacing w:line="360" w:lineRule="exact"/>
        <w:ind w:firstLine="480" w:firstLineChars="200"/>
        <w:jc w:val="left"/>
        <w:rPr>
          <w:rFonts w:hint="eastAsia"/>
          <w:highlight w:val="yellow"/>
        </w:rPr>
      </w:pPr>
      <w:r>
        <w:rPr>
          <w:rFonts w:hint="eastAsia" w:ascii="宋体" w:hAnsi="宋体" w:cs="宋体"/>
          <w:color w:val="000000"/>
          <w:sz w:val="24"/>
        </w:rPr>
        <w:t>响应文件递交截止时间</w:t>
      </w:r>
      <w:r>
        <w:rPr>
          <w:rFonts w:hint="eastAsia" w:ascii="宋体" w:hAnsi="宋体" w:cs="宋体"/>
          <w:color w:val="000000"/>
          <w:sz w:val="24"/>
          <w:highlight w:val="none"/>
        </w:rPr>
        <w:t>：</w:t>
      </w:r>
      <w:r>
        <w:rPr>
          <w:rFonts w:hint="eastAsia" w:ascii="宋体" w:hAnsi="宋体" w:cs="宋体"/>
          <w:color w:val="000000"/>
          <w:sz w:val="24"/>
          <w:highlight w:val="none"/>
          <w:u w:val="single"/>
          <w:lang w:eastAsia="zh-CN"/>
        </w:rPr>
        <w:t>2026年</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日</w:t>
      </w:r>
      <w:r>
        <w:rPr>
          <w:rFonts w:hint="eastAsia" w:ascii="宋体" w:hAnsi="宋体" w:cs="宋体"/>
          <w:color w:val="000000"/>
          <w:sz w:val="24"/>
          <w:u w:val="single"/>
        </w:rPr>
        <w:t>9点30分</w:t>
      </w:r>
      <w:r>
        <w:rPr>
          <w:rFonts w:hint="eastAsia" w:ascii="宋体" w:hAnsi="宋体" w:cs="宋体"/>
          <w:color w:val="000000"/>
          <w:sz w:val="24"/>
        </w:rPr>
        <w:t>（</w:t>
      </w:r>
      <w:r>
        <w:rPr>
          <w:rFonts w:hint="eastAsia" w:ascii="宋体" w:hAnsi="宋体" w:cs="宋体"/>
          <w:sz w:val="24"/>
        </w:rPr>
        <w:t>北京时间）</w:t>
      </w:r>
    </w:p>
    <w:p w14:paraId="1C46CFE1">
      <w:pPr>
        <w:spacing w:line="360" w:lineRule="exact"/>
        <w:ind w:firstLine="480" w:firstLineChars="200"/>
        <w:jc w:val="left"/>
        <w:rPr>
          <w:rFonts w:hint="eastAsia" w:ascii="宋体" w:hAnsi="宋体" w:cs="宋体"/>
          <w:sz w:val="24"/>
        </w:rPr>
      </w:pPr>
      <w:r>
        <w:rPr>
          <w:rFonts w:hint="eastAsia" w:ascii="宋体" w:hAnsi="宋体" w:cs="宋体"/>
          <w:sz w:val="24"/>
        </w:rPr>
        <w:t>地点：通过广西政府采购云平台实行在线响应。</w:t>
      </w:r>
    </w:p>
    <w:p w14:paraId="1DFD03D0">
      <w:pPr>
        <w:numPr>
          <w:ilvl w:val="0"/>
          <w:numId w:val="2"/>
        </w:numPr>
        <w:spacing w:line="360" w:lineRule="exact"/>
        <w:ind w:firstLine="480" w:firstLineChars="200"/>
        <w:jc w:val="left"/>
        <w:rPr>
          <w:rFonts w:hint="eastAsia" w:ascii="宋体" w:hAnsi="宋体" w:cs="宋体"/>
          <w:sz w:val="24"/>
        </w:rPr>
      </w:pPr>
      <w:r>
        <w:rPr>
          <w:rFonts w:hint="eastAsia" w:ascii="宋体" w:hAnsi="宋体" w:cs="宋体"/>
          <w:sz w:val="24"/>
        </w:rPr>
        <w:t>开启</w:t>
      </w:r>
    </w:p>
    <w:p w14:paraId="6F298E78">
      <w:pPr>
        <w:spacing w:line="360" w:lineRule="exact"/>
        <w:ind w:firstLine="480" w:firstLineChars="200"/>
        <w:jc w:val="left"/>
        <w:rPr>
          <w:rFonts w:hint="eastAsia" w:ascii="宋体" w:hAnsi="宋体" w:cs="宋体"/>
          <w:color w:val="000000"/>
          <w:sz w:val="24"/>
          <w:highlight w:val="none"/>
        </w:rPr>
      </w:pPr>
      <w:r>
        <w:rPr>
          <w:rFonts w:hint="eastAsia" w:ascii="宋体" w:hAnsi="宋体" w:cs="宋体"/>
          <w:sz w:val="24"/>
        </w:rPr>
        <w:t>时间</w:t>
      </w:r>
      <w:r>
        <w:rPr>
          <w:rFonts w:hint="eastAsia" w:ascii="宋体" w:hAnsi="宋体" w:cs="宋体"/>
          <w:sz w:val="24"/>
          <w:highlight w:val="none"/>
        </w:rPr>
        <w:t>：</w:t>
      </w:r>
      <w:r>
        <w:rPr>
          <w:rFonts w:hint="eastAsia" w:ascii="宋体" w:hAnsi="宋体" w:cs="宋体"/>
          <w:color w:val="000000"/>
          <w:sz w:val="24"/>
          <w:highlight w:val="none"/>
          <w:u w:val="single"/>
          <w:lang w:eastAsia="zh-CN"/>
        </w:rPr>
        <w:t>2026年</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月</w:t>
      </w:r>
      <w:r>
        <w:rPr>
          <w:rFonts w:hint="eastAsia" w:ascii="宋体" w:hAnsi="宋体" w:cs="宋体"/>
          <w:color w:val="000000"/>
          <w:sz w:val="24"/>
          <w:highlight w:val="none"/>
          <w:u w:val="single"/>
          <w:lang w:val="en-US" w:eastAsia="zh-CN"/>
        </w:rPr>
        <w:t>7</w:t>
      </w:r>
      <w:r>
        <w:rPr>
          <w:rFonts w:hint="eastAsia" w:ascii="宋体" w:hAnsi="宋体" w:cs="宋体"/>
          <w:color w:val="000000"/>
          <w:sz w:val="24"/>
          <w:highlight w:val="none"/>
          <w:u w:val="single"/>
          <w:lang w:eastAsia="zh-CN"/>
        </w:rPr>
        <w:t>日</w:t>
      </w:r>
      <w:r>
        <w:rPr>
          <w:rFonts w:hint="eastAsia" w:ascii="宋体" w:hAnsi="宋体" w:cs="宋体"/>
          <w:color w:val="000000"/>
          <w:sz w:val="24"/>
          <w:highlight w:val="none"/>
          <w:u w:val="single"/>
        </w:rPr>
        <w:t>9点30分</w:t>
      </w:r>
      <w:r>
        <w:rPr>
          <w:rFonts w:hint="eastAsia" w:ascii="宋体" w:hAnsi="宋体" w:cs="宋体"/>
          <w:color w:val="000000"/>
          <w:sz w:val="24"/>
          <w:highlight w:val="none"/>
        </w:rPr>
        <w:t>（北京时间）截标后。</w:t>
      </w:r>
    </w:p>
    <w:p w14:paraId="7E9B6E3E">
      <w:pPr>
        <w:spacing w:line="360" w:lineRule="exact"/>
        <w:ind w:firstLine="480" w:firstLineChars="200"/>
        <w:jc w:val="left"/>
        <w:rPr>
          <w:rFonts w:hint="eastAsia"/>
        </w:rPr>
      </w:pPr>
      <w:r>
        <w:rPr>
          <w:rFonts w:hint="eastAsia" w:ascii="宋体" w:hAnsi="宋体" w:cs="宋体"/>
          <w:color w:val="000000"/>
          <w:sz w:val="24"/>
          <w:highlight w:val="none"/>
        </w:rPr>
        <w:t>地点：</w:t>
      </w:r>
      <w:bookmarkStart w:id="30" w:name="OLE_LINK1"/>
      <w:r>
        <w:rPr>
          <w:rFonts w:hint="eastAsia" w:ascii="宋体" w:hAnsi="宋体" w:cs="宋体"/>
          <w:color w:val="000000"/>
          <w:sz w:val="24"/>
          <w:highlight w:val="none"/>
        </w:rPr>
        <w:t>桂林市公共资源交易中心</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lang w:eastAsia="zh-CN"/>
        </w:rPr>
        <w:t>号</w:t>
      </w:r>
      <w:r>
        <w:rPr>
          <w:rFonts w:hint="eastAsia" w:ascii="宋体" w:hAnsi="宋体" w:cs="宋体"/>
          <w:color w:val="000000"/>
          <w:sz w:val="24"/>
          <w:highlight w:val="none"/>
          <w:u w:val="single"/>
          <w:lang w:val="en-US" w:eastAsia="zh-CN"/>
        </w:rPr>
        <w:t>开标室5号</w:t>
      </w:r>
      <w:r>
        <w:rPr>
          <w:rFonts w:hint="eastAsia" w:ascii="宋体" w:hAnsi="宋体" w:cs="宋体"/>
          <w:color w:val="000000"/>
          <w:sz w:val="24"/>
          <w:highlight w:val="none"/>
          <w:u w:val="single"/>
          <w:lang w:eastAsia="zh-CN"/>
        </w:rPr>
        <w:t>仓</w:t>
      </w:r>
      <w:bookmarkEnd w:id="30"/>
      <w:r>
        <w:rPr>
          <w:rFonts w:hint="eastAsia" w:ascii="宋体" w:hAnsi="宋体" w:cs="宋体"/>
          <w:sz w:val="24"/>
          <w:highlight w:val="none"/>
        </w:rPr>
        <w:t>通</w:t>
      </w:r>
      <w:r>
        <w:rPr>
          <w:rFonts w:hint="eastAsia" w:ascii="宋体" w:hAnsi="宋体" w:cs="宋体"/>
          <w:sz w:val="24"/>
        </w:rPr>
        <w:t>过广西政府采购云平台实行在线解密开启。</w:t>
      </w:r>
    </w:p>
    <w:p w14:paraId="6C6F0DD5">
      <w:pPr>
        <w:numPr>
          <w:ilvl w:val="0"/>
          <w:numId w:val="2"/>
        </w:numPr>
        <w:spacing w:line="360" w:lineRule="exact"/>
        <w:ind w:firstLine="480" w:firstLineChars="200"/>
        <w:jc w:val="left"/>
        <w:rPr>
          <w:rFonts w:hint="eastAsia"/>
          <w:sz w:val="24"/>
        </w:rPr>
      </w:pPr>
      <w:bookmarkStart w:id="31" w:name="_Toc28359094"/>
      <w:bookmarkStart w:id="32" w:name="_Toc35393803"/>
      <w:bookmarkStart w:id="33" w:name="_Toc28359017"/>
      <w:bookmarkStart w:id="34" w:name="_Toc35393634"/>
      <w:r>
        <w:rPr>
          <w:rFonts w:hint="eastAsia"/>
          <w:sz w:val="24"/>
        </w:rPr>
        <w:t>公告期限</w:t>
      </w:r>
      <w:bookmarkEnd w:id="31"/>
      <w:bookmarkEnd w:id="32"/>
      <w:bookmarkEnd w:id="33"/>
      <w:bookmarkEnd w:id="34"/>
    </w:p>
    <w:p w14:paraId="0DD5ECA2">
      <w:pPr>
        <w:spacing w:line="360" w:lineRule="exact"/>
        <w:ind w:firstLine="480" w:firstLineChars="200"/>
        <w:jc w:val="left"/>
        <w:rPr>
          <w:rFonts w:hint="eastAsia" w:ascii="宋体" w:hAnsi="宋体" w:cs="宋体"/>
          <w:sz w:val="24"/>
        </w:rPr>
      </w:pPr>
      <w:r>
        <w:rPr>
          <w:rFonts w:hint="eastAsia" w:ascii="宋体" w:hAnsi="宋体" w:cs="宋体"/>
          <w:sz w:val="24"/>
        </w:rPr>
        <w:t>自本公告发布之日起5个工作日。</w:t>
      </w:r>
    </w:p>
    <w:p w14:paraId="20987B07">
      <w:pPr>
        <w:spacing w:line="360" w:lineRule="exact"/>
        <w:ind w:firstLine="480" w:firstLineChars="200"/>
        <w:jc w:val="left"/>
        <w:rPr>
          <w:rFonts w:hint="eastAsia"/>
          <w:sz w:val="24"/>
        </w:rPr>
      </w:pPr>
      <w:bookmarkStart w:id="35" w:name="_Toc35393804"/>
      <w:bookmarkStart w:id="36" w:name="_Toc35393635"/>
      <w:r>
        <w:rPr>
          <w:rFonts w:hint="eastAsia"/>
          <w:sz w:val="24"/>
        </w:rPr>
        <w:t>七、其他补充事宜</w:t>
      </w:r>
      <w:bookmarkEnd w:id="35"/>
      <w:bookmarkEnd w:id="36"/>
    </w:p>
    <w:p w14:paraId="5818F64F">
      <w:pPr>
        <w:spacing w:line="360" w:lineRule="exact"/>
        <w:ind w:firstLine="482" w:firstLineChars="200"/>
        <w:jc w:val="left"/>
        <w:rPr>
          <w:rFonts w:hint="eastAsia" w:ascii="宋体" w:hAnsi="宋体" w:cs="宋体"/>
          <w:sz w:val="24"/>
        </w:rPr>
      </w:pPr>
      <w:r>
        <w:rPr>
          <w:rFonts w:hint="eastAsia" w:ascii="宋体" w:hAnsi="宋体" w:cs="宋体"/>
          <w:b/>
          <w:bCs/>
          <w:sz w:val="24"/>
        </w:rPr>
        <w:t>1. 本项目无需缴纳谈判保证金。</w:t>
      </w:r>
    </w:p>
    <w:p w14:paraId="027A32C9">
      <w:pPr>
        <w:spacing w:line="360" w:lineRule="exact"/>
        <w:ind w:firstLine="480" w:firstLineChars="200"/>
        <w:jc w:val="left"/>
        <w:rPr>
          <w:rFonts w:ascii="宋体" w:hAnsi="宋体" w:cs="宋体"/>
          <w:sz w:val="24"/>
        </w:rPr>
      </w:pPr>
      <w:r>
        <w:rPr>
          <w:rFonts w:hint="eastAsia" w:ascii="宋体" w:hAnsi="宋体" w:cs="宋体"/>
          <w:sz w:val="24"/>
        </w:rPr>
        <w:t>2. 供应商可视自身情况决定是否出席开标会议；如出席开标会议，可以由法定代表人、负责人、自然人或其委托代理人出席开标会议（出席代表需携带本人身份证原件，未携带身份证所造成一切后果，由其自行承担）。</w:t>
      </w:r>
    </w:p>
    <w:p w14:paraId="796F6777">
      <w:pPr>
        <w:spacing w:line="360" w:lineRule="exact"/>
        <w:ind w:firstLine="480" w:firstLineChars="200"/>
        <w:jc w:val="left"/>
        <w:rPr>
          <w:rFonts w:hint="eastAsia" w:ascii="宋体" w:hAnsi="宋体" w:cs="宋体"/>
          <w:sz w:val="24"/>
        </w:rPr>
      </w:pPr>
      <w:r>
        <w:rPr>
          <w:rFonts w:hint="eastAsia" w:ascii="宋体" w:hAnsi="宋体" w:cs="宋体"/>
          <w:sz w:val="24"/>
        </w:rPr>
        <w:t>3. 本项目信息发布媒体：</w:t>
      </w:r>
    </w:p>
    <w:p w14:paraId="63E24B56">
      <w:pPr>
        <w:pStyle w:val="2"/>
      </w:pPr>
      <w:r>
        <w:rPr>
          <w:rFonts w:hint="eastAsia" w:ascii="宋体" w:hAnsi="宋体" w:cs="宋体"/>
          <w:sz w:val="24"/>
        </w:rPr>
        <w:t xml:space="preserve">  </w:t>
      </w:r>
      <w:r>
        <w:rPr>
          <w:rFonts w:hint="eastAsia" w:ascii="宋体" w:hAnsi="宋体" w:cs="宋体"/>
          <w:sz w:val="24"/>
          <w:highlight w:val="none"/>
        </w:rPr>
        <w:t xml:space="preserve">  桂林市政府采购网（zfcg.czj.guilin.gov.cn）</w:t>
      </w:r>
    </w:p>
    <w:p w14:paraId="2C951B74">
      <w:pPr>
        <w:spacing w:line="360" w:lineRule="exact"/>
        <w:ind w:firstLine="480" w:firstLineChars="200"/>
        <w:jc w:val="left"/>
        <w:rPr>
          <w:rFonts w:hint="eastAsia" w:ascii="宋体" w:hAnsi="宋体" w:cs="宋体"/>
          <w:sz w:val="24"/>
        </w:rPr>
      </w:pPr>
      <w:r>
        <w:rPr>
          <w:rFonts w:hint="eastAsia" w:ascii="宋体" w:hAnsi="宋体" w:cs="宋体"/>
          <w:sz w:val="24"/>
        </w:rPr>
        <w:t>广西壮族自治区政府采购网（www.ccgp-guangxi.gov.cn）</w:t>
      </w:r>
    </w:p>
    <w:p w14:paraId="64F8701C">
      <w:pPr>
        <w:spacing w:line="360" w:lineRule="exact"/>
        <w:ind w:firstLine="480" w:firstLineChars="200"/>
        <w:jc w:val="left"/>
        <w:rPr>
          <w:rFonts w:ascii="宋体" w:hAnsi="宋体" w:cs="宋体"/>
          <w:sz w:val="24"/>
        </w:rPr>
      </w:pPr>
      <w:r>
        <w:rPr>
          <w:rFonts w:hint="eastAsia" w:ascii="宋体" w:hAnsi="宋体" w:cs="宋体"/>
          <w:sz w:val="24"/>
        </w:rPr>
        <w:t>中国政府采购网（www.ccgp.gov.cn）</w:t>
      </w:r>
    </w:p>
    <w:p w14:paraId="1AC70B76">
      <w:pPr>
        <w:numPr>
          <w:ilvl w:val="0"/>
          <w:numId w:val="3"/>
        </w:numPr>
        <w:spacing w:line="360" w:lineRule="exact"/>
        <w:ind w:firstLine="480" w:firstLineChars="200"/>
        <w:jc w:val="left"/>
        <w:rPr>
          <w:rFonts w:hint="eastAsia" w:ascii="宋体" w:hAnsi="宋体" w:cs="宋体"/>
          <w:sz w:val="24"/>
        </w:rPr>
      </w:pPr>
      <w:r>
        <w:rPr>
          <w:rFonts w:hint="eastAsia" w:ascii="宋体" w:hAnsi="宋体" w:cs="宋体"/>
          <w:sz w:val="24"/>
        </w:rPr>
        <w:t>响应文件解密时间：截标时间后</w:t>
      </w:r>
      <w:r>
        <w:rPr>
          <w:rFonts w:hint="eastAsia" w:ascii="宋体" w:hAnsi="宋体" w:cs="宋体"/>
          <w:sz w:val="24"/>
          <w:u w:val="single"/>
        </w:rPr>
        <w:t>30</w:t>
      </w:r>
      <w:r>
        <w:rPr>
          <w:rFonts w:hint="eastAsia" w:ascii="宋体" w:hAnsi="宋体" w:cs="宋体"/>
          <w:sz w:val="24"/>
          <w:highlight w:val="none"/>
        </w:rPr>
        <w:t>分钟内（</w:t>
      </w:r>
      <w:r>
        <w:rPr>
          <w:rFonts w:hint="eastAsia" w:ascii="宋体" w:hAnsi="宋体" w:cs="宋体"/>
          <w:sz w:val="24"/>
          <w:highlight w:val="none"/>
          <w:u w:val="single"/>
          <w:lang w:eastAsia="zh-CN"/>
        </w:rPr>
        <w:t>2026年</w:t>
      </w:r>
      <w:r>
        <w:rPr>
          <w:rFonts w:hint="eastAsia" w:ascii="宋体" w:hAnsi="宋体" w:cs="宋体"/>
          <w:sz w:val="24"/>
          <w:highlight w:val="none"/>
          <w:u w:val="single"/>
          <w:lang w:val="en-US" w:eastAsia="zh-CN"/>
        </w:rPr>
        <w:t>7</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7</w:t>
      </w:r>
      <w:r>
        <w:rPr>
          <w:rFonts w:hint="eastAsia" w:ascii="宋体" w:hAnsi="宋体" w:cs="宋体"/>
          <w:sz w:val="24"/>
          <w:highlight w:val="none"/>
          <w:u w:val="single"/>
          <w:lang w:eastAsia="zh-CN"/>
        </w:rPr>
        <w:t>日</w:t>
      </w:r>
      <w:r>
        <w:rPr>
          <w:rFonts w:hint="eastAsia" w:ascii="宋体" w:hAnsi="宋体" w:cs="宋体"/>
          <w:sz w:val="24"/>
          <w:highlight w:val="none"/>
          <w:u w:val="single"/>
        </w:rPr>
        <w:t>上午9时30分至10时00分</w:t>
      </w:r>
      <w:r>
        <w:rPr>
          <w:rFonts w:hint="eastAsia" w:ascii="宋体" w:hAnsi="宋体" w:cs="宋体"/>
          <w:sz w:val="24"/>
          <w:highlight w:val="none"/>
        </w:rPr>
        <w:t>)供应商</w:t>
      </w:r>
      <w:r>
        <w:rPr>
          <w:rFonts w:hint="eastAsia" w:ascii="宋体" w:hAnsi="宋体" w:cs="宋体"/>
          <w:sz w:val="24"/>
        </w:rPr>
        <w:t>可以登录广西政府采购云平台，用“项目采购-开标评标”功能进行解密响应文件。</w:t>
      </w:r>
    </w:p>
    <w:p w14:paraId="2070F7A2">
      <w:pPr>
        <w:pStyle w:val="2"/>
        <w:spacing w:line="360" w:lineRule="exact"/>
        <w:ind w:firstLine="482" w:firstLineChars="200"/>
        <w:jc w:val="left"/>
        <w:rPr>
          <w:rFonts w:hint="eastAsia" w:ascii="宋体" w:hAnsi="宋体" w:cs="宋体"/>
          <w:sz w:val="24"/>
        </w:rPr>
      </w:pPr>
      <w:r>
        <w:rPr>
          <w:rFonts w:hint="eastAsia" w:ascii="宋体" w:hAnsi="宋体" w:cs="宋体"/>
          <w:b/>
          <w:bCs/>
          <w:sz w:val="24"/>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sz w:val="24"/>
        </w:rPr>
        <w:t> </w:t>
      </w:r>
    </w:p>
    <w:p w14:paraId="56B1D985">
      <w:pPr>
        <w:pStyle w:val="73"/>
        <w:spacing w:line="360" w:lineRule="exact"/>
        <w:ind w:firstLine="480" w:firstLineChars="200"/>
        <w:rPr>
          <w:rFonts w:hint="eastAsia" w:ascii="宋体" w:hAnsi="宋体" w:cs="宋体"/>
          <w:color w:val="auto"/>
          <w:kern w:val="2"/>
        </w:rPr>
      </w:pPr>
      <w:r>
        <w:rPr>
          <w:rFonts w:hint="eastAsia" w:ascii="宋体" w:hAnsi="宋体" w:cs="宋体"/>
          <w:color w:val="auto"/>
          <w:kern w:val="2"/>
        </w:rPr>
        <w:t>八、在线投标响应（电子投标）说明</w:t>
      </w:r>
    </w:p>
    <w:p w14:paraId="2DCEAA4E">
      <w:pPr>
        <w:spacing w:line="360" w:lineRule="exact"/>
        <w:ind w:firstLine="480" w:firstLineChars="200"/>
        <w:jc w:val="left"/>
        <w:rPr>
          <w:rFonts w:hint="eastAsia" w:ascii="宋体" w:hAnsi="宋体" w:cs="宋体"/>
          <w:sz w:val="24"/>
        </w:rPr>
      </w:pPr>
      <w:r>
        <w:rPr>
          <w:rFonts w:hint="eastAsia" w:ascii="宋体" w:hAnsi="宋体" w:cs="宋体"/>
          <w:sz w:val="24"/>
        </w:rPr>
        <w:t>1.本项目通过广西政府采购云平台实行在线投标响应（电子投标），供应商需要先安装“广西政府采购云平台客户端”，并按照本谈判文件和广西政府采购云平台的要求，通过“广西政府采购云平台客户端”编制并加密响应文件。供应商未按规定编制并加密的响应文件，广西政府采购云平台将予以拒收。</w:t>
      </w:r>
    </w:p>
    <w:p w14:paraId="77616CA3">
      <w:pPr>
        <w:pStyle w:val="73"/>
        <w:spacing w:line="360" w:lineRule="exact"/>
        <w:ind w:firstLine="480" w:firstLineChars="200"/>
        <w:rPr>
          <w:rFonts w:hint="eastAsia" w:ascii="宋体" w:hAnsi="宋体" w:cs="宋体"/>
          <w:color w:val="auto"/>
          <w:kern w:val="2"/>
        </w:rPr>
      </w:pPr>
      <w:r>
        <w:rPr>
          <w:rFonts w:hint="eastAsia" w:ascii="宋体" w:hAnsi="宋体" w:cs="宋体"/>
          <w:color w:val="auto"/>
          <w:kern w:val="2"/>
        </w:rPr>
        <w:t>“广西政府采购云平台客户端”请自行前往广西政府采购网下载并安装；电子投标响应具体操作流程参考《政府采购项目电子交易管理操作指南-供应商》；在使用</w:t>
      </w:r>
      <w:r>
        <w:rPr>
          <w:rFonts w:hint="eastAsia" w:ascii="宋体" w:hAnsi="宋体" w:cs="宋体"/>
          <w:szCs w:val="21"/>
        </w:rPr>
        <w:t>广西政府采购云</w:t>
      </w:r>
      <w:r>
        <w:rPr>
          <w:rFonts w:hint="eastAsia" w:ascii="宋体" w:hAnsi="宋体" w:cs="宋体"/>
          <w:color w:val="auto"/>
          <w:kern w:val="2"/>
        </w:rPr>
        <w:t>投标客户端时，建议使用WIN7及以上操作系统,通过广西政府采购云平台参与在线投标响应时如遇平台技术问题详询95763。</w:t>
      </w:r>
    </w:p>
    <w:p w14:paraId="1B44D575">
      <w:pPr>
        <w:spacing w:line="360" w:lineRule="exact"/>
        <w:ind w:firstLine="480" w:firstLineChars="200"/>
        <w:jc w:val="left"/>
        <w:rPr>
          <w:rFonts w:hint="eastAsia" w:ascii="宋体" w:hAnsi="宋体" w:cs="宋体"/>
          <w:sz w:val="24"/>
        </w:rPr>
      </w:pPr>
      <w:r>
        <w:rPr>
          <w:rFonts w:hint="eastAsia" w:ascii="宋体" w:hAnsi="宋体" w:cs="宋体"/>
          <w:sz w:val="24"/>
        </w:rPr>
        <w:t>2.为确保网上操作合法、有效和安全，供应商应当在响应文件递交截止时间前完成在广西政府采购云平台的身份认证，确保在电子投标响应过程中能够对相关数据电子文件进行加密和使用电子签章。使用“广西政府采购云平台客户端”需要提前申领CA数字证书，申领流程请自行前往广西政府采购云平台网站进行查阅；</w:t>
      </w:r>
      <w:r>
        <w:rPr>
          <w:rFonts w:hint="eastAsia" w:ascii="宋体" w:hAnsi="宋体" w:cs="宋体"/>
          <w:b/>
          <w:bCs/>
          <w:sz w:val="24"/>
        </w:rPr>
        <w:t>（完成CA数字证书办理预计一周左右，建议供应商获取谈判文件后立即办理。）</w:t>
      </w:r>
    </w:p>
    <w:p w14:paraId="6CE9EE02">
      <w:pPr>
        <w:spacing w:line="360" w:lineRule="exact"/>
        <w:ind w:firstLine="480" w:firstLineChars="200"/>
        <w:jc w:val="left"/>
        <w:rPr>
          <w:rFonts w:hint="eastAsia" w:ascii="宋体" w:hAnsi="宋体" w:cs="宋体"/>
          <w:sz w:val="24"/>
        </w:rPr>
      </w:pPr>
      <w:r>
        <w:rPr>
          <w:rFonts w:hint="eastAsia" w:ascii="宋体" w:hAnsi="宋体" w:cs="宋体"/>
          <w:sz w:val="24"/>
        </w:rPr>
        <w:t>3.供应商应当在响应文件递交截止时间前，将生成的“响应文件”上传递交至广西政府采购云平台。响应文件递交截止时间前可以撤回电子响应文件。补充或者修改电子响应文件的，应当先行撤回原文件，补充、修改后重新传输递交，响应文件递交截止时间前未完成传输的，视为撤回响应文件。</w:t>
      </w:r>
    </w:p>
    <w:p w14:paraId="7A756AFB">
      <w:pPr>
        <w:pStyle w:val="73"/>
        <w:spacing w:line="360" w:lineRule="exact"/>
        <w:ind w:firstLine="482" w:firstLineChars="200"/>
        <w:rPr>
          <w:rFonts w:hint="eastAsia"/>
          <w:b/>
          <w:bCs/>
          <w:color w:val="auto"/>
        </w:rPr>
      </w:pPr>
      <w:r>
        <w:rPr>
          <w:rFonts w:hint="eastAsia" w:ascii="宋体" w:hAnsi="宋体" w:cs="宋体"/>
          <w:b/>
          <w:bCs/>
          <w:color w:val="auto"/>
          <w:kern w:val="2"/>
        </w:rPr>
        <w:t>4.</w:t>
      </w:r>
      <w:r>
        <w:rPr>
          <w:rFonts w:hint="eastAsia" w:ascii="宋体" w:hAnsi="宋体" w:cs="宋体"/>
          <w:b/>
          <w:bCs/>
          <w:color w:val="auto"/>
          <w:kern w:val="2"/>
          <w:u w:val="single"/>
        </w:rPr>
        <w:t>本项目需要供应商代表在截标当天截标后，按谈判小组要求及时</w:t>
      </w:r>
      <w:r>
        <w:rPr>
          <w:rFonts w:hint="eastAsia" w:ascii="宋体" w:hAnsi="宋体" w:cs="宋体"/>
          <w:b/>
          <w:bCs/>
          <w:color w:val="auto"/>
          <w:kern w:val="2"/>
          <w:u w:val="single"/>
          <w:lang w:eastAsia="zh-CN"/>
        </w:rPr>
        <w:t>登录</w:t>
      </w:r>
      <w:r>
        <w:rPr>
          <w:rFonts w:hint="eastAsia" w:ascii="宋体" w:hAnsi="宋体" w:cs="宋体"/>
          <w:b/>
          <w:bCs/>
          <w:color w:val="auto"/>
          <w:kern w:val="2"/>
          <w:u w:val="single"/>
        </w:rPr>
        <w:t>广西政府采购云平台等候在线谈判及提交最后报价</w:t>
      </w:r>
      <w:r>
        <w:rPr>
          <w:rFonts w:hint="eastAsia" w:ascii="宋体" w:hAnsi="宋体" w:cs="宋体"/>
          <w:b/>
          <w:bCs/>
          <w:color w:val="auto"/>
          <w:kern w:val="2"/>
        </w:rPr>
        <w:t>。</w:t>
      </w:r>
    </w:p>
    <w:p w14:paraId="2A20E394">
      <w:pPr>
        <w:pStyle w:val="73"/>
        <w:spacing w:line="360" w:lineRule="exact"/>
        <w:ind w:firstLine="480" w:firstLineChars="200"/>
        <w:rPr>
          <w:rFonts w:hint="eastAsia" w:ascii="宋体" w:hAnsi="宋体" w:cs="宋体"/>
          <w:color w:val="auto"/>
          <w:kern w:val="2"/>
        </w:rPr>
      </w:pPr>
      <w:r>
        <w:rPr>
          <w:rFonts w:hint="eastAsia" w:ascii="宋体" w:hAnsi="宋体" w:cs="宋体"/>
          <w:color w:val="auto"/>
          <w:kern w:val="2"/>
        </w:rPr>
        <w:t>5.本采购项目为广西政府采购云全流程电子化操作，参与谈判的供应商需自备计算机和网络设备（设备需可视频通话和读取广西政府采购云CA数字证书），确保谈判过程顺利进行；因供应商自身设备或网络原因造成的一切后果，由供应商自行承担。</w:t>
      </w:r>
    </w:p>
    <w:p w14:paraId="08008F82">
      <w:pPr>
        <w:spacing w:line="360" w:lineRule="exact"/>
        <w:ind w:firstLine="480" w:firstLineChars="200"/>
        <w:jc w:val="left"/>
        <w:rPr>
          <w:rFonts w:hint="eastAsia"/>
          <w:sz w:val="24"/>
        </w:rPr>
      </w:pPr>
      <w:bookmarkStart w:id="37" w:name="_Toc35393805"/>
      <w:bookmarkStart w:id="38" w:name="_Toc35393636"/>
      <w:bookmarkStart w:id="39" w:name="_Toc28359018"/>
      <w:bookmarkStart w:id="40" w:name="_Toc28359095"/>
      <w:r>
        <w:rPr>
          <w:rFonts w:hint="eastAsia"/>
          <w:sz w:val="24"/>
        </w:rPr>
        <w:t>九、凡对本次采购提出询问，请按以下方式联系。</w:t>
      </w:r>
      <w:bookmarkEnd w:id="37"/>
      <w:bookmarkEnd w:id="38"/>
      <w:bookmarkEnd w:id="39"/>
      <w:bookmarkEnd w:id="40"/>
    </w:p>
    <w:p w14:paraId="19122B33">
      <w:pPr>
        <w:spacing w:line="360" w:lineRule="exact"/>
        <w:ind w:firstLine="480"/>
        <w:jc w:val="left"/>
        <w:outlineLvl w:val="2"/>
        <w:rPr>
          <w:rFonts w:hint="eastAsia" w:ascii="宋体" w:hAnsi="宋体" w:cs="宋体"/>
          <w:sz w:val="24"/>
          <w:highlight w:val="none"/>
        </w:rPr>
      </w:pPr>
      <w:bookmarkStart w:id="41" w:name="_Toc35393806"/>
      <w:bookmarkStart w:id="42" w:name="_Toc35393637"/>
      <w:bookmarkStart w:id="43" w:name="_Toc28359019"/>
      <w:bookmarkStart w:id="44" w:name="_Toc28359096"/>
      <w:bookmarkStart w:id="45" w:name="_Toc9995"/>
      <w:bookmarkStart w:id="46" w:name="_Toc13065"/>
      <w:bookmarkStart w:id="47" w:name="_Toc29338"/>
      <w:bookmarkStart w:id="48" w:name="_Toc20189"/>
      <w:bookmarkStart w:id="49" w:name="_Toc7014_WPSOffice_Level1"/>
      <w:bookmarkStart w:id="50" w:name="_Toc7441"/>
      <w:bookmarkStart w:id="51" w:name="_Toc12492"/>
      <w:bookmarkStart w:id="52" w:name="_Toc16361"/>
      <w:bookmarkStart w:id="53" w:name="_Toc19055"/>
      <w:bookmarkStart w:id="54" w:name="_Toc12693"/>
      <w:bookmarkStart w:id="55" w:name="_Toc1311"/>
      <w:bookmarkStart w:id="56" w:name="_Toc26689"/>
      <w:bookmarkStart w:id="57" w:name="_Toc27901"/>
      <w:r>
        <w:rPr>
          <w:rFonts w:hint="eastAsia" w:ascii="宋体" w:hAnsi="宋体" w:cs="宋体"/>
          <w:sz w:val="24"/>
          <w:highlight w:val="none"/>
        </w:rPr>
        <w:t>1.采购人信息</w:t>
      </w:r>
      <w:bookmarkEnd w:id="41"/>
      <w:bookmarkEnd w:id="42"/>
      <w:bookmarkEnd w:id="43"/>
      <w:bookmarkEnd w:id="44"/>
    </w:p>
    <w:p w14:paraId="371B8954">
      <w:pPr>
        <w:spacing w:line="360" w:lineRule="exact"/>
        <w:ind w:firstLine="480"/>
        <w:jc w:val="left"/>
        <w:rPr>
          <w:rFonts w:hint="eastAsia" w:ascii="宋体" w:hAnsi="宋体" w:eastAsia="宋体" w:cs="宋体"/>
          <w:color w:val="000000"/>
          <w:sz w:val="24"/>
          <w:highlight w:val="none"/>
          <w:u w:val="single"/>
          <w:lang w:eastAsia="zh-CN"/>
        </w:rPr>
      </w:pPr>
      <w:bookmarkStart w:id="58" w:name="_Toc28359097"/>
      <w:bookmarkStart w:id="59" w:name="_Toc35393638"/>
      <w:bookmarkStart w:id="60" w:name="_Toc28359020"/>
      <w:bookmarkStart w:id="61" w:name="_Toc35393807"/>
      <w:r>
        <w:rPr>
          <w:rFonts w:hint="eastAsia" w:ascii="宋体" w:hAnsi="宋体" w:cs="宋体"/>
          <w:color w:val="000000"/>
          <w:sz w:val="24"/>
          <w:highlight w:val="none"/>
        </w:rPr>
        <w:t>名    称：</w:t>
      </w:r>
      <w:r>
        <w:rPr>
          <w:rFonts w:hint="eastAsia" w:ascii="宋体" w:hAnsi="宋体" w:cs="宋体"/>
          <w:color w:val="000000"/>
          <w:sz w:val="24"/>
          <w:highlight w:val="none"/>
          <w:u w:val="single"/>
        </w:rPr>
        <w:t>资源县教育局</w:t>
      </w:r>
    </w:p>
    <w:p w14:paraId="26BBCB8D">
      <w:pPr>
        <w:spacing w:line="360" w:lineRule="exact"/>
        <w:ind w:firstLine="480"/>
        <w:jc w:val="left"/>
        <w:rPr>
          <w:rFonts w:hint="eastAsia" w:ascii="宋体" w:hAnsi="宋体" w:eastAsia="宋体" w:cs="宋体"/>
          <w:color w:val="000000"/>
          <w:sz w:val="24"/>
          <w:highlight w:val="none"/>
          <w:u w:val="single"/>
          <w:lang w:eastAsia="zh-CN"/>
        </w:rPr>
      </w:pPr>
      <w:r>
        <w:rPr>
          <w:rFonts w:hint="eastAsia" w:ascii="宋体" w:hAnsi="宋体" w:cs="宋体"/>
          <w:color w:val="000000"/>
          <w:sz w:val="24"/>
          <w:highlight w:val="none"/>
        </w:rPr>
        <w:t>地    址：</w:t>
      </w:r>
      <w:r>
        <w:rPr>
          <w:rFonts w:hint="eastAsia" w:ascii="宋体" w:hAnsi="宋体" w:eastAsia="宋体" w:cs="宋体"/>
          <w:color w:val="000000"/>
          <w:sz w:val="24"/>
          <w:highlight w:val="none"/>
          <w:u w:val="single"/>
        </w:rPr>
        <w:t>资源县城北新区资源县教育局</w:t>
      </w:r>
    </w:p>
    <w:p w14:paraId="53960E0E">
      <w:pPr>
        <w:spacing w:line="360" w:lineRule="exact"/>
        <w:ind w:firstLine="480"/>
        <w:jc w:val="left"/>
        <w:rPr>
          <w:rFonts w:ascii="宋体" w:hAnsi="宋体" w:cs="宋体"/>
          <w:color w:val="000000"/>
          <w:sz w:val="24"/>
          <w:highlight w:val="none"/>
          <w:u w:val="single"/>
        </w:rPr>
      </w:pPr>
      <w:r>
        <w:rPr>
          <w:rFonts w:hint="eastAsia" w:ascii="宋体" w:hAnsi="宋体" w:cs="宋体"/>
          <w:color w:val="000000"/>
          <w:sz w:val="24"/>
          <w:highlight w:val="none"/>
        </w:rPr>
        <w:t>联 系 人：</w:t>
      </w:r>
      <w:r>
        <w:rPr>
          <w:rFonts w:hint="eastAsia" w:ascii="宋体" w:hAnsi="宋体" w:eastAsia="宋体" w:cs="宋体"/>
          <w:color w:val="000000"/>
          <w:sz w:val="24"/>
          <w:highlight w:val="none"/>
          <w:u w:val="single"/>
          <w:lang w:val="en-US" w:eastAsia="zh-CN"/>
        </w:rPr>
        <w:t>刘</w:t>
      </w:r>
      <w:r>
        <w:rPr>
          <w:rFonts w:hint="eastAsia" w:ascii="宋体" w:hAnsi="宋体" w:cs="宋体"/>
          <w:color w:val="000000"/>
          <w:sz w:val="24"/>
          <w:highlight w:val="none"/>
          <w:u w:val="single"/>
        </w:rPr>
        <w:t xml:space="preserve">老师 </w:t>
      </w:r>
      <w:r>
        <w:rPr>
          <w:rFonts w:hint="eastAsia" w:ascii="宋体" w:hAnsi="宋体" w:cs="宋体"/>
          <w:color w:val="000000"/>
          <w:sz w:val="24"/>
          <w:highlight w:val="none"/>
          <w:u w:val="single"/>
          <w:lang w:val="en-US" w:eastAsia="zh-CN"/>
        </w:rPr>
        <w:t xml:space="preserve">  13457355606</w:t>
      </w:r>
    </w:p>
    <w:p w14:paraId="6D5C2D3C">
      <w:pPr>
        <w:spacing w:line="360" w:lineRule="exact"/>
        <w:ind w:firstLine="480"/>
        <w:jc w:val="left"/>
        <w:outlineLvl w:val="2"/>
        <w:rPr>
          <w:rFonts w:hint="eastAsia" w:ascii="宋体" w:hAnsi="宋体" w:cs="宋体"/>
          <w:color w:val="000000"/>
          <w:sz w:val="24"/>
          <w:highlight w:val="none"/>
        </w:rPr>
      </w:pPr>
      <w:r>
        <w:rPr>
          <w:rFonts w:hint="eastAsia" w:ascii="宋体" w:hAnsi="宋体" w:cs="宋体"/>
          <w:color w:val="000000"/>
          <w:sz w:val="24"/>
          <w:highlight w:val="none"/>
        </w:rPr>
        <w:t>2.采购代理机构信息</w:t>
      </w:r>
      <w:bookmarkEnd w:id="58"/>
      <w:bookmarkEnd w:id="59"/>
      <w:bookmarkEnd w:id="60"/>
      <w:bookmarkEnd w:id="61"/>
    </w:p>
    <w:p w14:paraId="3309BE64">
      <w:pPr>
        <w:spacing w:line="360" w:lineRule="exact"/>
        <w:ind w:firstLine="480"/>
        <w:jc w:val="left"/>
        <w:rPr>
          <w:rFonts w:hint="eastAsia" w:ascii="宋体" w:hAnsi="宋体" w:cs="宋体"/>
          <w:color w:val="000000"/>
          <w:sz w:val="24"/>
          <w:highlight w:val="none"/>
        </w:rPr>
      </w:pPr>
      <w:r>
        <w:rPr>
          <w:rFonts w:hint="eastAsia" w:ascii="宋体" w:hAnsi="宋体" w:cs="宋体"/>
          <w:color w:val="000000"/>
          <w:sz w:val="24"/>
          <w:highlight w:val="none"/>
        </w:rPr>
        <w:t>名    称：</w:t>
      </w:r>
      <w:r>
        <w:rPr>
          <w:rFonts w:hint="eastAsia" w:ascii="宋体" w:hAnsi="宋体" w:cs="宋体"/>
          <w:color w:val="000000"/>
          <w:sz w:val="24"/>
          <w:highlight w:val="none"/>
          <w:u w:val="single"/>
        </w:rPr>
        <w:t>桂林市政府集中采购中心</w:t>
      </w:r>
    </w:p>
    <w:p w14:paraId="09782BCB">
      <w:pPr>
        <w:spacing w:line="360" w:lineRule="exact"/>
        <w:ind w:firstLine="480"/>
        <w:jc w:val="left"/>
        <w:rPr>
          <w:rFonts w:hint="eastAsia" w:ascii="宋体" w:hAnsi="宋体" w:cs="宋体"/>
          <w:color w:val="000000"/>
          <w:sz w:val="24"/>
          <w:highlight w:val="none"/>
          <w:u w:val="singl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桂林市临桂区西城中路69号创业大厦西辅楼5楼</w:t>
      </w:r>
    </w:p>
    <w:p w14:paraId="576966A8">
      <w:pPr>
        <w:spacing w:line="360" w:lineRule="exact"/>
        <w:ind w:firstLine="480"/>
        <w:jc w:val="left"/>
        <w:rPr>
          <w:rFonts w:ascii="宋体" w:hAnsi="宋体" w:eastAsia="宋体" w:cs="宋体"/>
          <w:color w:val="000000"/>
          <w:sz w:val="24"/>
          <w:highlight w:val="none"/>
          <w:u w:val="single"/>
          <w:lang w:val="en-US" w:eastAsia="zh-CN"/>
        </w:rPr>
      </w:pPr>
      <w:r>
        <w:rPr>
          <w:rFonts w:hint="eastAsia" w:ascii="宋体" w:hAnsi="宋体" w:cs="宋体"/>
          <w:color w:val="000000"/>
          <w:sz w:val="24"/>
          <w:highlight w:val="none"/>
        </w:rPr>
        <w:t>联系方式：</w:t>
      </w:r>
      <w:r>
        <w:rPr>
          <w:rFonts w:hint="eastAsia" w:ascii="宋体" w:hAnsi="宋体" w:cs="宋体"/>
          <w:color w:val="000000"/>
          <w:sz w:val="24"/>
          <w:highlight w:val="none"/>
          <w:u w:val="single"/>
        </w:rPr>
        <w:t>0773-5625</w:t>
      </w:r>
      <w:r>
        <w:rPr>
          <w:rFonts w:hint="eastAsia" w:ascii="宋体" w:hAnsi="宋体" w:cs="宋体"/>
          <w:color w:val="000000"/>
          <w:sz w:val="24"/>
          <w:highlight w:val="none"/>
          <w:u w:val="single"/>
          <w:lang w:val="en-US" w:eastAsia="zh-CN"/>
        </w:rPr>
        <w:t>166</w:t>
      </w:r>
    </w:p>
    <w:p w14:paraId="3E69AC91">
      <w:pPr>
        <w:spacing w:line="360" w:lineRule="exact"/>
        <w:ind w:firstLine="480"/>
        <w:jc w:val="left"/>
        <w:outlineLvl w:val="2"/>
        <w:rPr>
          <w:rFonts w:hint="eastAsia" w:ascii="宋体" w:hAnsi="宋体" w:cs="宋体"/>
          <w:color w:val="000000"/>
          <w:sz w:val="24"/>
          <w:highlight w:val="none"/>
        </w:rPr>
      </w:pPr>
      <w:bookmarkStart w:id="62" w:name="_Toc35393639"/>
      <w:bookmarkStart w:id="63" w:name="_Toc35393808"/>
      <w:bookmarkStart w:id="64" w:name="_Toc28359021"/>
      <w:bookmarkStart w:id="65" w:name="_Toc28359098"/>
      <w:r>
        <w:rPr>
          <w:rFonts w:hint="eastAsia" w:ascii="宋体" w:hAnsi="宋体" w:cs="宋体"/>
          <w:color w:val="000000"/>
          <w:sz w:val="24"/>
          <w:highlight w:val="none"/>
        </w:rPr>
        <w:t>3.项目联系方式</w:t>
      </w:r>
      <w:bookmarkEnd w:id="62"/>
      <w:bookmarkEnd w:id="63"/>
      <w:bookmarkEnd w:id="64"/>
      <w:bookmarkEnd w:id="65"/>
    </w:p>
    <w:p w14:paraId="23DD2DFB">
      <w:pPr>
        <w:pStyle w:val="87"/>
        <w:spacing w:line="360" w:lineRule="exact"/>
        <w:ind w:firstLine="480"/>
        <w:jc w:val="left"/>
        <w:rPr>
          <w:rFonts w:hint="eastAsia" w:hAnsi="宋体" w:eastAsia="宋体" w:cs="宋体"/>
          <w:color w:val="000000"/>
          <w:sz w:val="24"/>
          <w:szCs w:val="24"/>
          <w:highlight w:val="none"/>
          <w:lang w:eastAsia="zh-CN"/>
        </w:rPr>
      </w:pPr>
      <w:r>
        <w:rPr>
          <w:rFonts w:hint="eastAsia" w:hAnsi="宋体" w:cs="宋体"/>
          <w:color w:val="000000"/>
          <w:sz w:val="24"/>
          <w:szCs w:val="24"/>
          <w:highlight w:val="none"/>
        </w:rPr>
        <w:t>项目联系人：</w:t>
      </w:r>
      <w:r>
        <w:rPr>
          <w:rFonts w:hint="eastAsia" w:hAnsi="宋体" w:cs="宋体"/>
          <w:color w:val="000000"/>
          <w:sz w:val="24"/>
          <w:szCs w:val="24"/>
          <w:highlight w:val="none"/>
          <w:u w:val="single"/>
          <w:lang w:val="en-US" w:eastAsia="zh-CN"/>
        </w:rPr>
        <w:t>欧</w:t>
      </w:r>
      <w:r>
        <w:rPr>
          <w:rFonts w:hint="eastAsia" w:hAnsi="宋体" w:cs="宋体"/>
          <w:color w:val="000000"/>
          <w:sz w:val="24"/>
          <w:szCs w:val="24"/>
          <w:highlight w:val="none"/>
          <w:u w:val="single"/>
        </w:rPr>
        <w:t>工</w:t>
      </w:r>
    </w:p>
    <w:p w14:paraId="1F5F45FF">
      <w:pPr>
        <w:spacing w:line="360" w:lineRule="exact"/>
        <w:ind w:firstLine="480"/>
        <w:jc w:val="left"/>
        <w:rPr>
          <w:rFonts w:ascii="宋体" w:hAnsi="宋体" w:cs="宋体"/>
          <w:color w:val="000000"/>
          <w:sz w:val="24"/>
          <w:highlight w:val="none"/>
          <w:u w:val="single"/>
          <w:lang w:val="en-US"/>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0773-5625</w:t>
      </w:r>
      <w:r>
        <w:rPr>
          <w:rFonts w:hint="eastAsia" w:ascii="宋体" w:hAnsi="宋体" w:cs="宋体"/>
          <w:color w:val="000000"/>
          <w:sz w:val="24"/>
          <w:highlight w:val="none"/>
          <w:u w:val="single"/>
          <w:lang w:val="en-US" w:eastAsia="zh-CN"/>
        </w:rPr>
        <w:t>166</w:t>
      </w:r>
    </w:p>
    <w:p w14:paraId="03614D13">
      <w:pPr>
        <w:spacing w:line="360" w:lineRule="exact"/>
        <w:ind w:firstLine="480"/>
        <w:jc w:val="left"/>
        <w:outlineLvl w:val="2"/>
        <w:rPr>
          <w:rFonts w:hint="eastAsia" w:ascii="宋体" w:hAnsi="宋体" w:cs="宋体"/>
          <w:color w:val="000000"/>
          <w:sz w:val="24"/>
          <w:highlight w:val="none"/>
        </w:rPr>
      </w:pPr>
      <w:r>
        <w:rPr>
          <w:rFonts w:hint="eastAsia" w:ascii="宋体" w:hAnsi="宋体" w:cs="宋体"/>
          <w:color w:val="000000"/>
          <w:sz w:val="24"/>
          <w:highlight w:val="none"/>
        </w:rPr>
        <w:t>4.政府采购监督管理机构</w:t>
      </w:r>
    </w:p>
    <w:p w14:paraId="2B510143">
      <w:pPr>
        <w:spacing w:line="360" w:lineRule="exact"/>
        <w:ind w:firstLine="480"/>
        <w:jc w:val="left"/>
        <w:rPr>
          <w:rFonts w:ascii="宋体" w:hAnsi="宋体" w:eastAsia="宋体" w:cs="宋体"/>
          <w:color w:val="000000"/>
          <w:sz w:val="24"/>
          <w:highlight w:val="none"/>
          <w:u w:val="single"/>
          <w:lang w:val="en-US" w:eastAsia="zh-CN"/>
        </w:rPr>
      </w:pPr>
      <w:r>
        <w:rPr>
          <w:rFonts w:hint="eastAsia" w:ascii="宋体" w:hAnsi="宋体" w:cs="宋体"/>
          <w:color w:val="000000"/>
          <w:sz w:val="24"/>
          <w:highlight w:val="none"/>
        </w:rPr>
        <w:t>名    称：</w:t>
      </w:r>
      <w:r>
        <w:rPr>
          <w:rFonts w:hint="eastAsia" w:ascii="宋体" w:hAnsi="宋体" w:cs="宋体"/>
          <w:color w:val="000000"/>
          <w:sz w:val="24"/>
          <w:highlight w:val="none"/>
          <w:u w:val="single"/>
          <w:lang w:val="en-US" w:eastAsia="zh-CN"/>
        </w:rPr>
        <w:t>资源县财政局</w:t>
      </w:r>
    </w:p>
    <w:p w14:paraId="12C1C163">
      <w:pPr>
        <w:spacing w:line="360" w:lineRule="exact"/>
        <w:ind w:firstLine="480"/>
        <w:jc w:val="left"/>
        <w:rPr>
          <w:rFonts w:eastAsia="宋体"/>
          <w:color w:val="000000"/>
          <w:highlight w:val="none"/>
          <w:lang w:val="en-US" w:eastAsia="zh-CN"/>
        </w:rPr>
        <w:sectPr>
          <w:footerReference r:id="rId10" w:type="default"/>
          <w:pgSz w:w="11906" w:h="16838"/>
          <w:pgMar w:top="1440" w:right="935" w:bottom="1440" w:left="779" w:header="851" w:footer="992" w:gutter="0"/>
          <w:pgBorders>
            <w:top w:val="none" w:sz="0" w:space="0"/>
            <w:left w:val="none" w:sz="0" w:space="0"/>
            <w:bottom w:val="none" w:sz="0" w:space="0"/>
            <w:right w:val="none" w:sz="0" w:space="0"/>
          </w:pgBorders>
          <w:pgNumType w:start="1"/>
          <w:cols w:space="1701" w:num="1"/>
        </w:sectPr>
      </w:pPr>
      <w:r>
        <w:rPr>
          <w:rFonts w:hint="eastAsia" w:ascii="宋体" w:hAnsi="宋体" w:cs="宋体"/>
          <w:color w:val="000000"/>
          <w:sz w:val="24"/>
          <w:highlight w:val="none"/>
        </w:rPr>
        <w:t>联系方式：</w:t>
      </w:r>
      <w:r>
        <w:rPr>
          <w:rFonts w:hint="eastAsia" w:ascii="宋体" w:hAnsi="宋体" w:cs="宋体"/>
          <w:color w:val="000000"/>
          <w:sz w:val="24"/>
          <w:highlight w:val="none"/>
          <w:u w:val="single"/>
          <w:lang w:eastAsia="zh-CN"/>
        </w:rPr>
        <w:t>0773-4315648</w:t>
      </w:r>
    </w:p>
    <w:p w14:paraId="2F1004F3">
      <w:pPr>
        <w:pStyle w:val="3"/>
        <w:spacing w:line="240" w:lineRule="auto"/>
        <w:ind w:firstLine="402"/>
        <w:jc w:val="center"/>
        <w:rPr>
          <w:sz w:val="32"/>
          <w:szCs w:val="32"/>
        </w:rPr>
      </w:pPr>
      <w:r>
        <w:rPr>
          <w:rFonts w:hint="eastAsia"/>
          <w:sz w:val="32"/>
          <w:szCs w:val="32"/>
        </w:rPr>
        <w:t>第二章　供应商须知</w:t>
      </w:r>
      <w:bookmarkEnd w:id="45"/>
      <w:bookmarkEnd w:id="46"/>
      <w:bookmarkEnd w:id="47"/>
      <w:bookmarkEnd w:id="48"/>
      <w:bookmarkEnd w:id="49"/>
      <w:bookmarkEnd w:id="50"/>
      <w:bookmarkEnd w:id="51"/>
      <w:bookmarkEnd w:id="52"/>
      <w:bookmarkEnd w:id="53"/>
      <w:bookmarkEnd w:id="54"/>
      <w:bookmarkEnd w:id="55"/>
      <w:bookmarkEnd w:id="56"/>
      <w:bookmarkEnd w:id="57"/>
    </w:p>
    <w:p w14:paraId="32E70AC3">
      <w:pPr>
        <w:pStyle w:val="4"/>
        <w:jc w:val="center"/>
        <w:rPr>
          <w:rFonts w:hint="eastAsia" w:ascii="宋体" w:hAnsi="宋体" w:cs="宋体"/>
          <w:b/>
          <w:bCs w:val="0"/>
          <w:color w:val="auto"/>
          <w:sz w:val="24"/>
          <w:szCs w:val="24"/>
        </w:rPr>
      </w:pPr>
      <w:bookmarkStart w:id="66" w:name="_Toc10616"/>
      <w:bookmarkStart w:id="67" w:name="_Toc15020"/>
      <w:bookmarkStart w:id="68" w:name="_Toc17842"/>
      <w:bookmarkStart w:id="69" w:name="_Toc1517"/>
      <w:bookmarkStart w:id="70" w:name="_Toc14657"/>
      <w:bookmarkStart w:id="71" w:name="_Toc29133"/>
      <w:bookmarkStart w:id="72" w:name="_Toc14834"/>
      <w:bookmarkStart w:id="73" w:name="_Toc6815"/>
      <w:bookmarkStart w:id="74" w:name="_Toc7891"/>
      <w:bookmarkStart w:id="75" w:name="_Toc10392"/>
      <w:bookmarkStart w:id="76" w:name="_Toc5323"/>
      <w:bookmarkStart w:id="77" w:name="_Toc9266"/>
      <w:r>
        <w:rPr>
          <w:rFonts w:hint="eastAsia" w:ascii="宋体" w:hAnsi="宋体" w:cs="宋体"/>
          <w:b/>
          <w:bCs w:val="0"/>
          <w:color w:val="auto"/>
          <w:sz w:val="24"/>
          <w:szCs w:val="24"/>
        </w:rPr>
        <w:t>供 应 商 须 知 前 附 表</w:t>
      </w:r>
      <w:bookmarkEnd w:id="66"/>
      <w:bookmarkEnd w:id="67"/>
      <w:bookmarkEnd w:id="68"/>
      <w:bookmarkEnd w:id="69"/>
      <w:bookmarkEnd w:id="70"/>
      <w:bookmarkEnd w:id="71"/>
      <w:bookmarkEnd w:id="72"/>
      <w:bookmarkEnd w:id="73"/>
      <w:bookmarkEnd w:id="74"/>
      <w:bookmarkEnd w:id="75"/>
      <w:bookmarkEnd w:id="76"/>
      <w:bookmarkEnd w:id="77"/>
    </w:p>
    <w:tbl>
      <w:tblPr>
        <w:tblStyle w:val="26"/>
        <w:tblW w:w="1037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25"/>
        <w:gridCol w:w="1815"/>
        <w:gridCol w:w="7205"/>
      </w:tblGrid>
      <w:tr w14:paraId="1882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2" w:hRule="atLeast"/>
        </w:trPr>
        <w:tc>
          <w:tcPr>
            <w:tcW w:w="525" w:type="dxa"/>
            <w:vAlign w:val="center"/>
          </w:tcPr>
          <w:p w14:paraId="7CACD2B1">
            <w:pPr>
              <w:spacing w:line="360" w:lineRule="auto"/>
              <w:jc w:val="center"/>
              <w:rPr>
                <w:rFonts w:ascii="宋体"/>
                <w:szCs w:val="21"/>
              </w:rPr>
            </w:pPr>
            <w:r>
              <w:rPr>
                <w:rFonts w:hint="eastAsia" w:ascii="宋体" w:hAnsi="宋体"/>
                <w:szCs w:val="21"/>
              </w:rPr>
              <w:t>序号</w:t>
            </w:r>
          </w:p>
        </w:tc>
        <w:tc>
          <w:tcPr>
            <w:tcW w:w="825" w:type="dxa"/>
            <w:vAlign w:val="center"/>
          </w:tcPr>
          <w:p w14:paraId="6911AA1F">
            <w:pPr>
              <w:spacing w:line="360" w:lineRule="auto"/>
              <w:jc w:val="center"/>
              <w:rPr>
                <w:rFonts w:ascii="宋体"/>
                <w:szCs w:val="21"/>
              </w:rPr>
            </w:pPr>
            <w:r>
              <w:rPr>
                <w:rFonts w:hint="eastAsia" w:ascii="宋体" w:hAnsi="宋体"/>
                <w:szCs w:val="21"/>
              </w:rPr>
              <w:t>条款号</w:t>
            </w:r>
          </w:p>
        </w:tc>
        <w:tc>
          <w:tcPr>
            <w:tcW w:w="1815" w:type="dxa"/>
            <w:vAlign w:val="center"/>
          </w:tcPr>
          <w:p w14:paraId="42DFE04E">
            <w:pPr>
              <w:spacing w:line="360" w:lineRule="auto"/>
              <w:jc w:val="center"/>
              <w:rPr>
                <w:rFonts w:ascii="宋体"/>
                <w:szCs w:val="21"/>
              </w:rPr>
            </w:pPr>
            <w:r>
              <w:rPr>
                <w:rFonts w:hint="eastAsia" w:ascii="宋体" w:hAnsi="宋体"/>
                <w:szCs w:val="21"/>
              </w:rPr>
              <w:t>条款名称</w:t>
            </w:r>
          </w:p>
        </w:tc>
        <w:tc>
          <w:tcPr>
            <w:tcW w:w="7205" w:type="dxa"/>
            <w:vAlign w:val="center"/>
          </w:tcPr>
          <w:p w14:paraId="7CB60C25">
            <w:pPr>
              <w:spacing w:line="360" w:lineRule="auto"/>
              <w:jc w:val="center"/>
              <w:rPr>
                <w:rFonts w:ascii="宋体"/>
                <w:szCs w:val="21"/>
              </w:rPr>
            </w:pPr>
            <w:r>
              <w:rPr>
                <w:rFonts w:hint="eastAsia" w:ascii="宋体" w:hAnsi="宋体"/>
                <w:szCs w:val="21"/>
              </w:rPr>
              <w:t>内容、要求</w:t>
            </w:r>
          </w:p>
        </w:tc>
      </w:tr>
      <w:tr w14:paraId="1899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525" w:type="dxa"/>
            <w:vAlign w:val="center"/>
          </w:tcPr>
          <w:p w14:paraId="4897DF03">
            <w:pPr>
              <w:spacing w:line="360" w:lineRule="auto"/>
              <w:jc w:val="center"/>
              <w:rPr>
                <w:rFonts w:ascii="宋体" w:hAnsi="宋体"/>
                <w:szCs w:val="21"/>
              </w:rPr>
            </w:pPr>
            <w:r>
              <w:rPr>
                <w:rFonts w:ascii="宋体" w:hAnsi="宋体"/>
                <w:szCs w:val="21"/>
              </w:rPr>
              <w:t>1</w:t>
            </w:r>
          </w:p>
        </w:tc>
        <w:tc>
          <w:tcPr>
            <w:tcW w:w="825" w:type="dxa"/>
            <w:vAlign w:val="center"/>
          </w:tcPr>
          <w:p w14:paraId="37134A4B">
            <w:pPr>
              <w:spacing w:line="360" w:lineRule="auto"/>
              <w:jc w:val="center"/>
              <w:rPr>
                <w:rFonts w:ascii="宋体" w:hAnsi="宋体"/>
                <w:szCs w:val="21"/>
              </w:rPr>
            </w:pPr>
            <w:r>
              <w:rPr>
                <w:rFonts w:ascii="宋体" w:hAnsi="宋体"/>
                <w:szCs w:val="21"/>
              </w:rPr>
              <w:t>1.1</w:t>
            </w:r>
          </w:p>
        </w:tc>
        <w:tc>
          <w:tcPr>
            <w:tcW w:w="1815" w:type="dxa"/>
            <w:vAlign w:val="center"/>
          </w:tcPr>
          <w:p w14:paraId="3FE530FD">
            <w:pPr>
              <w:spacing w:line="360" w:lineRule="auto"/>
              <w:jc w:val="center"/>
              <w:rPr>
                <w:rFonts w:ascii="宋体"/>
                <w:szCs w:val="21"/>
              </w:rPr>
            </w:pPr>
            <w:r>
              <w:rPr>
                <w:rFonts w:hint="eastAsia" w:ascii="宋体" w:hAnsi="宋体"/>
                <w:szCs w:val="21"/>
              </w:rPr>
              <w:t>项目名称及项目编号</w:t>
            </w:r>
          </w:p>
        </w:tc>
        <w:tc>
          <w:tcPr>
            <w:tcW w:w="7205" w:type="dxa"/>
            <w:vAlign w:val="top"/>
          </w:tcPr>
          <w:p w14:paraId="302D1802">
            <w:pPr>
              <w:spacing w:line="360" w:lineRule="auto"/>
              <w:rPr>
                <w:rFonts w:hint="eastAsia" w:ascii="宋体" w:hAnsi="宋体" w:eastAsia="宋体"/>
                <w:szCs w:val="21"/>
                <w:highlight w:val="none"/>
                <w:lang w:eastAsia="zh-CN"/>
              </w:rPr>
            </w:pPr>
            <w:r>
              <w:rPr>
                <w:rFonts w:hint="eastAsia" w:ascii="宋体" w:hAnsi="宋体"/>
                <w:szCs w:val="21"/>
                <w:highlight w:val="none"/>
              </w:rPr>
              <w:t>项目名称：</w:t>
            </w:r>
            <w:r>
              <w:rPr>
                <w:rFonts w:hint="eastAsia" w:ascii="宋体" w:hAnsi="宋体"/>
                <w:szCs w:val="21"/>
                <w:highlight w:val="none"/>
                <w:lang w:eastAsia="zh-CN"/>
              </w:rPr>
              <w:t>资源县教育局教学设备采购</w:t>
            </w:r>
          </w:p>
          <w:p w14:paraId="1D4C218B">
            <w:pPr>
              <w:spacing w:line="360" w:lineRule="auto"/>
              <w:rPr>
                <w:rFonts w:hint="eastAsia" w:ascii="宋体" w:eastAsia="宋体"/>
                <w:lang w:eastAsia="zh-CN"/>
              </w:rPr>
            </w:pPr>
            <w:r>
              <w:rPr>
                <w:rFonts w:hint="eastAsia" w:ascii="宋体" w:hAnsi="宋体"/>
                <w:szCs w:val="21"/>
                <w:highlight w:val="none"/>
              </w:rPr>
              <w:t>项目编号：</w:t>
            </w:r>
            <w:r>
              <w:rPr>
                <w:rFonts w:hint="eastAsia" w:ascii="宋体" w:hAnsi="宋体"/>
                <w:szCs w:val="21"/>
                <w:highlight w:val="none"/>
                <w:lang w:eastAsia="zh-CN"/>
              </w:rPr>
              <w:t>GLZC2026-J1-290019-GLSZ</w:t>
            </w:r>
          </w:p>
        </w:tc>
      </w:tr>
      <w:tr w14:paraId="357F2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009211E6">
            <w:pPr>
              <w:spacing w:line="360" w:lineRule="auto"/>
              <w:jc w:val="center"/>
              <w:rPr>
                <w:rFonts w:ascii="宋体" w:hAnsi="宋体"/>
                <w:szCs w:val="21"/>
              </w:rPr>
            </w:pPr>
            <w:r>
              <w:rPr>
                <w:rFonts w:ascii="宋体" w:hAnsi="宋体"/>
                <w:szCs w:val="21"/>
              </w:rPr>
              <w:t>2</w:t>
            </w:r>
          </w:p>
        </w:tc>
        <w:tc>
          <w:tcPr>
            <w:tcW w:w="825" w:type="dxa"/>
            <w:vAlign w:val="center"/>
          </w:tcPr>
          <w:p w14:paraId="543F1437">
            <w:pPr>
              <w:spacing w:line="360" w:lineRule="auto"/>
              <w:jc w:val="center"/>
              <w:rPr>
                <w:rFonts w:ascii="宋体" w:hAnsi="宋体"/>
                <w:szCs w:val="21"/>
              </w:rPr>
            </w:pPr>
            <w:r>
              <w:rPr>
                <w:rFonts w:ascii="宋体" w:hAnsi="宋体"/>
                <w:szCs w:val="21"/>
              </w:rPr>
              <w:t>3</w:t>
            </w:r>
          </w:p>
        </w:tc>
        <w:tc>
          <w:tcPr>
            <w:tcW w:w="1815" w:type="dxa"/>
            <w:vAlign w:val="center"/>
          </w:tcPr>
          <w:p w14:paraId="38588474">
            <w:pPr>
              <w:spacing w:line="360" w:lineRule="auto"/>
              <w:jc w:val="center"/>
              <w:rPr>
                <w:rFonts w:ascii="宋体"/>
                <w:szCs w:val="21"/>
              </w:rPr>
            </w:pPr>
            <w:r>
              <w:rPr>
                <w:rFonts w:hint="eastAsia" w:ascii="宋体" w:hAnsi="宋体"/>
                <w:szCs w:val="21"/>
              </w:rPr>
              <w:t>供应商资格</w:t>
            </w:r>
          </w:p>
        </w:tc>
        <w:tc>
          <w:tcPr>
            <w:tcW w:w="7205" w:type="dxa"/>
            <w:vAlign w:val="center"/>
          </w:tcPr>
          <w:p w14:paraId="4293E089">
            <w:pPr>
              <w:spacing w:line="360" w:lineRule="auto"/>
              <w:rPr>
                <w:rFonts w:ascii="宋体"/>
                <w:szCs w:val="21"/>
              </w:rPr>
            </w:pPr>
            <w:r>
              <w:rPr>
                <w:rFonts w:ascii="宋体" w:hAnsi="宋体"/>
                <w:szCs w:val="21"/>
              </w:rPr>
              <w:t>3.1</w:t>
            </w:r>
            <w:r>
              <w:rPr>
                <w:rFonts w:hint="eastAsia" w:ascii="宋体" w:hAnsi="宋体"/>
                <w:szCs w:val="21"/>
              </w:rPr>
              <w:t>符合《中华人民共和国政府采购法》第二十二条和《政府采购法实施条例》第十八条规定，具备合法资格的供应商；</w:t>
            </w:r>
          </w:p>
          <w:p w14:paraId="0790AD24">
            <w:pPr>
              <w:spacing w:line="360" w:lineRule="auto"/>
              <w:rPr>
                <w:rFonts w:hint="eastAsia" w:ascii="宋体" w:hAnsi="宋体"/>
                <w:szCs w:val="21"/>
              </w:rPr>
            </w:pPr>
            <w:r>
              <w:rPr>
                <w:rFonts w:ascii="宋体" w:hAnsi="宋体"/>
                <w:szCs w:val="21"/>
              </w:rPr>
              <w:t>3.</w:t>
            </w:r>
            <w:r>
              <w:rPr>
                <w:rFonts w:hint="eastAsia" w:ascii="宋体" w:hAnsi="宋体"/>
                <w:szCs w:val="21"/>
              </w:rPr>
              <w:t>2本项目</w:t>
            </w:r>
            <w:r>
              <w:rPr>
                <w:rFonts w:hint="eastAsia" w:ascii="宋体" w:hAnsi="宋体"/>
                <w:b/>
                <w:bCs/>
                <w:szCs w:val="21"/>
              </w:rPr>
              <w:t>不接受</w:t>
            </w:r>
            <w:r>
              <w:rPr>
                <w:rFonts w:hint="eastAsia" w:ascii="宋体" w:hAnsi="宋体"/>
                <w:szCs w:val="21"/>
              </w:rPr>
              <w:t>联合体参与谈判；</w:t>
            </w:r>
          </w:p>
          <w:p w14:paraId="41BB2E0E">
            <w:pPr>
              <w:spacing w:line="360" w:lineRule="auto"/>
              <w:rPr>
                <w:rFonts w:hint="eastAsia" w:ascii="宋体" w:hAnsi="宋体"/>
                <w:szCs w:val="21"/>
              </w:rPr>
            </w:pPr>
            <w:r>
              <w:rPr>
                <w:rFonts w:ascii="宋体" w:hAnsi="宋体"/>
                <w:szCs w:val="21"/>
              </w:rPr>
              <w:t>3.</w:t>
            </w:r>
            <w:r>
              <w:rPr>
                <w:rFonts w:hint="eastAsia" w:ascii="宋体" w:hAnsi="宋体"/>
                <w:szCs w:val="21"/>
              </w:rPr>
              <w:t>3对在“信用中国”网站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等渠道列入失信被执行人、重大税收违法案件当事人名单、政府采购严重违法失信行为记录名单及其他不符合《中华人民共和国政府采购法》第二十二条规定条件的供应商，不得参与政府采购活动。</w:t>
            </w:r>
          </w:p>
          <w:p w14:paraId="1615790A">
            <w:pPr>
              <w:spacing w:line="380" w:lineRule="exact"/>
              <w:rPr>
                <w:rFonts w:hint="eastAsia" w:ascii="宋体" w:hAnsi="宋体"/>
                <w:szCs w:val="21"/>
              </w:rPr>
            </w:pPr>
            <w:r>
              <w:rPr>
                <w:rFonts w:hint="eastAsia" w:ascii="宋体" w:hAnsi="宋体"/>
                <w:szCs w:val="21"/>
              </w:rPr>
              <w:t>3.4落实政府采购政策需满足的资格要求：</w:t>
            </w:r>
            <w:r>
              <w:rPr>
                <w:rFonts w:hint="eastAsia" w:ascii="宋体" w:hAnsi="宋体" w:cs="宋体"/>
                <w:szCs w:val="21"/>
              </w:rPr>
              <w:t>无</w:t>
            </w:r>
            <w:r>
              <w:rPr>
                <w:rFonts w:hint="eastAsia" w:ascii="宋体" w:hAnsi="宋体" w:cs="宋体"/>
                <w:b/>
                <w:bCs/>
                <w:szCs w:val="21"/>
              </w:rPr>
              <w:t>。</w:t>
            </w:r>
          </w:p>
          <w:p w14:paraId="7B267E4C">
            <w:pPr>
              <w:spacing w:line="360" w:lineRule="auto"/>
              <w:rPr>
                <w:rFonts w:ascii="宋体"/>
                <w:szCs w:val="21"/>
              </w:rPr>
            </w:pPr>
            <w:r>
              <w:rPr>
                <w:rFonts w:hint="eastAsia" w:ascii="宋体" w:hAnsi="宋体"/>
                <w:szCs w:val="21"/>
              </w:rPr>
              <w:t>3.5本项目的特定资格要求：无。</w:t>
            </w:r>
          </w:p>
        </w:tc>
      </w:tr>
      <w:tr w14:paraId="1BA6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25" w:type="dxa"/>
            <w:vAlign w:val="center"/>
          </w:tcPr>
          <w:p w14:paraId="4CDBE9D6">
            <w:pPr>
              <w:spacing w:line="360" w:lineRule="auto"/>
              <w:jc w:val="center"/>
              <w:rPr>
                <w:rFonts w:ascii="宋体" w:hAnsi="宋体"/>
                <w:szCs w:val="21"/>
              </w:rPr>
            </w:pPr>
            <w:r>
              <w:rPr>
                <w:rFonts w:ascii="宋体" w:hAnsi="宋体"/>
                <w:szCs w:val="21"/>
              </w:rPr>
              <w:t>3</w:t>
            </w:r>
          </w:p>
        </w:tc>
        <w:tc>
          <w:tcPr>
            <w:tcW w:w="825" w:type="dxa"/>
            <w:vAlign w:val="center"/>
          </w:tcPr>
          <w:p w14:paraId="574120F2">
            <w:pPr>
              <w:spacing w:line="360" w:lineRule="auto"/>
              <w:jc w:val="center"/>
              <w:rPr>
                <w:rFonts w:ascii="宋体" w:hAnsi="宋体"/>
                <w:szCs w:val="21"/>
              </w:rPr>
            </w:pPr>
            <w:r>
              <w:rPr>
                <w:rFonts w:ascii="宋体" w:hAnsi="宋体"/>
                <w:szCs w:val="21"/>
              </w:rPr>
              <w:t>4</w:t>
            </w:r>
          </w:p>
        </w:tc>
        <w:tc>
          <w:tcPr>
            <w:tcW w:w="1815" w:type="dxa"/>
            <w:vAlign w:val="center"/>
          </w:tcPr>
          <w:p w14:paraId="2FD99CD1">
            <w:pPr>
              <w:spacing w:line="360" w:lineRule="auto"/>
              <w:jc w:val="center"/>
              <w:rPr>
                <w:rFonts w:ascii="宋体"/>
                <w:szCs w:val="21"/>
              </w:rPr>
            </w:pPr>
            <w:r>
              <w:rPr>
                <w:rFonts w:hint="eastAsia" w:ascii="宋体" w:hAnsi="宋体"/>
                <w:szCs w:val="21"/>
              </w:rPr>
              <w:t>谈判费用</w:t>
            </w:r>
          </w:p>
        </w:tc>
        <w:tc>
          <w:tcPr>
            <w:tcW w:w="7205" w:type="dxa"/>
            <w:vAlign w:val="center"/>
          </w:tcPr>
          <w:p w14:paraId="3C0D2DD4">
            <w:pPr>
              <w:spacing w:line="360" w:lineRule="auto"/>
              <w:rPr>
                <w:rFonts w:ascii="宋体" w:hAnsi="宋体"/>
                <w:szCs w:val="21"/>
              </w:rPr>
            </w:pPr>
            <w:r>
              <w:rPr>
                <w:rFonts w:hint="eastAsia" w:ascii="宋体" w:hAnsi="宋体"/>
                <w:szCs w:val="21"/>
              </w:rPr>
              <w:t>不论</w:t>
            </w:r>
            <w:r>
              <w:rPr>
                <w:rFonts w:hint="eastAsia" w:ascii="宋体" w:hAnsi="宋体" w:cs="宋体"/>
                <w:szCs w:val="21"/>
              </w:rPr>
              <w:t>谈判</w:t>
            </w:r>
            <w:r>
              <w:rPr>
                <w:rFonts w:hint="eastAsia" w:ascii="宋体" w:hAnsi="宋体"/>
                <w:szCs w:val="21"/>
              </w:rPr>
              <w:t>结果如何，供应商均应自行承担所有与</w:t>
            </w:r>
            <w:r>
              <w:rPr>
                <w:rFonts w:hint="eastAsia" w:ascii="宋体" w:hAnsi="宋体" w:cs="宋体"/>
                <w:szCs w:val="21"/>
              </w:rPr>
              <w:t>谈判</w:t>
            </w:r>
            <w:r>
              <w:rPr>
                <w:rFonts w:hint="eastAsia" w:ascii="宋体" w:hAnsi="宋体"/>
                <w:szCs w:val="21"/>
              </w:rPr>
              <w:t>有关的全部费用。</w:t>
            </w:r>
            <w:r>
              <w:rPr>
                <w:rFonts w:ascii="宋体" w:hAnsi="宋体"/>
                <w:szCs w:val="21"/>
              </w:rPr>
              <w:t xml:space="preserve"> </w:t>
            </w:r>
          </w:p>
        </w:tc>
      </w:tr>
      <w:tr w14:paraId="7B8F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79209C44">
            <w:pPr>
              <w:spacing w:line="360" w:lineRule="auto"/>
              <w:jc w:val="center"/>
              <w:rPr>
                <w:rFonts w:hint="eastAsia" w:ascii="宋体" w:hAnsi="宋体"/>
                <w:szCs w:val="21"/>
              </w:rPr>
            </w:pPr>
            <w:r>
              <w:rPr>
                <w:rFonts w:hint="eastAsia" w:ascii="宋体" w:hAnsi="宋体"/>
                <w:szCs w:val="21"/>
              </w:rPr>
              <w:t>4</w:t>
            </w:r>
          </w:p>
        </w:tc>
        <w:tc>
          <w:tcPr>
            <w:tcW w:w="825" w:type="dxa"/>
            <w:vAlign w:val="center"/>
          </w:tcPr>
          <w:p w14:paraId="66F6C4E3">
            <w:pPr>
              <w:spacing w:line="360" w:lineRule="auto"/>
              <w:jc w:val="center"/>
              <w:rPr>
                <w:rFonts w:ascii="宋体" w:hAnsi="宋体"/>
                <w:position w:val="-2"/>
                <w:szCs w:val="21"/>
              </w:rPr>
            </w:pPr>
            <w:r>
              <w:rPr>
                <w:rFonts w:ascii="宋体" w:hAnsi="宋体"/>
                <w:position w:val="-2"/>
                <w:szCs w:val="21"/>
              </w:rPr>
              <w:t>13</w:t>
            </w:r>
          </w:p>
        </w:tc>
        <w:tc>
          <w:tcPr>
            <w:tcW w:w="1815" w:type="dxa"/>
            <w:vAlign w:val="center"/>
          </w:tcPr>
          <w:p w14:paraId="4BC54355">
            <w:pPr>
              <w:spacing w:line="360" w:lineRule="auto"/>
              <w:jc w:val="center"/>
              <w:rPr>
                <w:rFonts w:ascii="宋体"/>
                <w:position w:val="-2"/>
                <w:szCs w:val="21"/>
              </w:rPr>
            </w:pPr>
            <w:r>
              <w:rPr>
                <w:rFonts w:hint="eastAsia" w:ascii="宋体" w:hAnsi="宋体"/>
                <w:szCs w:val="21"/>
              </w:rPr>
              <w:t>谈判报价及采购预算金额</w:t>
            </w:r>
          </w:p>
        </w:tc>
        <w:tc>
          <w:tcPr>
            <w:tcW w:w="7205" w:type="dxa"/>
            <w:vAlign w:val="center"/>
          </w:tcPr>
          <w:p w14:paraId="7BD69D92">
            <w:pPr>
              <w:spacing w:line="360" w:lineRule="auto"/>
              <w:rPr>
                <w:rFonts w:ascii="宋体" w:cs="宋体"/>
                <w:szCs w:val="21"/>
              </w:rPr>
            </w:pPr>
            <w:r>
              <w:rPr>
                <w:rFonts w:ascii="宋体" w:hAnsi="宋体"/>
                <w:szCs w:val="21"/>
              </w:rPr>
              <w:t>13.1</w:t>
            </w:r>
            <w:r>
              <w:rPr>
                <w:rFonts w:ascii="宋体" w:hAnsi="宋体" w:cs="宋体"/>
                <w:szCs w:val="21"/>
              </w:rPr>
              <w:t xml:space="preserve"> </w:t>
            </w:r>
            <w:r>
              <w:rPr>
                <w:rFonts w:hint="eastAsia" w:ascii="宋体" w:hAnsi="宋体" w:cs="宋体"/>
                <w:szCs w:val="21"/>
              </w:rPr>
              <w:t>谈判报价应按谈判文件中相关附表</w:t>
            </w:r>
            <w:r>
              <w:rPr>
                <w:rFonts w:hint="eastAsia" w:ascii="宋体" w:hAnsi="宋体" w:cs="宋体"/>
                <w:szCs w:val="21"/>
                <w:highlight w:val="none"/>
              </w:rPr>
              <w:t>格式填写。</w:t>
            </w:r>
            <w:r>
              <w:rPr>
                <w:rFonts w:hint="eastAsia" w:ascii="宋体" w:hAnsi="宋体" w:cs="宋体"/>
                <w:b/>
                <w:bCs/>
                <w:szCs w:val="21"/>
                <w:highlight w:val="none"/>
              </w:rPr>
              <w:t>采购预算金额（人民币）：</w:t>
            </w:r>
            <w:r>
              <w:rPr>
                <w:rFonts w:hint="eastAsia" w:ascii="宋体" w:hAnsi="宋体" w:cs="宋体"/>
                <w:b/>
                <w:bCs/>
                <w:szCs w:val="21"/>
                <w:highlight w:val="none"/>
                <w:lang w:eastAsia="zh-CN"/>
              </w:rPr>
              <w:t>人民币贰佰肆拾柒万肆仟捌佰柒拾元伍角玖分（¥2474870.59元）</w:t>
            </w:r>
            <w:r>
              <w:rPr>
                <w:rFonts w:hint="eastAsia" w:ascii="宋体" w:hAnsi="宋体" w:cs="宋体"/>
                <w:szCs w:val="21"/>
              </w:rPr>
              <w:t>，响应报价不得超出预算金额，否则，作响应无效处理</w:t>
            </w:r>
            <w:r>
              <w:rPr>
                <w:rFonts w:hint="eastAsia" w:ascii="宋体" w:hAnsi="宋体" w:cs="宋体"/>
                <w:kern w:val="0"/>
                <w:szCs w:val="21"/>
              </w:rPr>
              <w:t>。</w:t>
            </w:r>
          </w:p>
          <w:p w14:paraId="4B406261">
            <w:pPr>
              <w:snapToGrid w:val="0"/>
              <w:spacing w:line="360" w:lineRule="auto"/>
              <w:jc w:val="left"/>
              <w:rPr>
                <w:rFonts w:ascii="宋体" w:cs="Courier New"/>
                <w:szCs w:val="21"/>
              </w:rPr>
            </w:pPr>
            <w:r>
              <w:rPr>
                <w:rFonts w:ascii="宋体" w:hAnsi="宋体" w:cs="Courier New"/>
                <w:szCs w:val="21"/>
              </w:rPr>
              <w:t>13.2</w:t>
            </w:r>
            <w:r>
              <w:rPr>
                <w:rFonts w:hint="eastAsia"/>
                <w:szCs w:val="21"/>
              </w:rPr>
              <w:t>供应商必须就“采购需求”中所有内容作完整唯一报价，否则，其响应文件无效；响应文件只允许有一个报价，有选择的或有条件的报价将不予接受。</w:t>
            </w:r>
          </w:p>
          <w:p w14:paraId="68643469">
            <w:pPr>
              <w:snapToGrid w:val="0"/>
              <w:spacing w:line="360" w:lineRule="auto"/>
              <w:jc w:val="left"/>
              <w:rPr>
                <w:rFonts w:ascii="宋体" w:cs="Courier New"/>
                <w:szCs w:val="21"/>
              </w:rPr>
            </w:pPr>
            <w:r>
              <w:rPr>
                <w:rFonts w:ascii="宋体" w:hAnsi="宋体" w:cs="Courier New"/>
                <w:szCs w:val="21"/>
              </w:rPr>
              <w:t>13.4</w:t>
            </w:r>
            <w:r>
              <w:rPr>
                <w:rFonts w:hint="eastAsia" w:ascii="宋体" w:hAnsi="宋体" w:cs="宋体"/>
                <w:kern w:val="0"/>
                <w:szCs w:val="21"/>
              </w:rPr>
              <w:t>供应商应在规定时间内在</w:t>
            </w:r>
            <w:r>
              <w:rPr>
                <w:rFonts w:hint="eastAsia" w:ascii="宋体" w:hAnsi="宋体" w:cs="宋体"/>
                <w:szCs w:val="21"/>
              </w:rPr>
              <w:t>广西政府采购云</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tc>
      </w:tr>
      <w:tr w14:paraId="65EB4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10B27FA6">
            <w:pPr>
              <w:spacing w:line="360" w:lineRule="auto"/>
              <w:jc w:val="center"/>
              <w:rPr>
                <w:rFonts w:hint="eastAsia" w:ascii="宋体" w:hAnsi="宋体"/>
                <w:szCs w:val="21"/>
              </w:rPr>
            </w:pPr>
            <w:r>
              <w:rPr>
                <w:rFonts w:hint="eastAsia" w:ascii="宋体" w:hAnsi="宋体"/>
                <w:szCs w:val="21"/>
              </w:rPr>
              <w:t>5</w:t>
            </w:r>
          </w:p>
        </w:tc>
        <w:tc>
          <w:tcPr>
            <w:tcW w:w="825" w:type="dxa"/>
            <w:vAlign w:val="center"/>
          </w:tcPr>
          <w:p w14:paraId="3C90ACB3">
            <w:pPr>
              <w:spacing w:line="360" w:lineRule="auto"/>
              <w:jc w:val="center"/>
              <w:rPr>
                <w:rFonts w:ascii="宋体" w:hAnsi="宋体"/>
                <w:position w:val="-2"/>
                <w:szCs w:val="21"/>
              </w:rPr>
            </w:pPr>
            <w:r>
              <w:rPr>
                <w:rFonts w:ascii="宋体" w:hAnsi="宋体"/>
                <w:position w:val="-2"/>
                <w:szCs w:val="21"/>
              </w:rPr>
              <w:t>14.1</w:t>
            </w:r>
          </w:p>
        </w:tc>
        <w:tc>
          <w:tcPr>
            <w:tcW w:w="1815" w:type="dxa"/>
            <w:vAlign w:val="center"/>
          </w:tcPr>
          <w:p w14:paraId="5FDFE776">
            <w:pPr>
              <w:spacing w:line="360" w:lineRule="auto"/>
              <w:jc w:val="center"/>
              <w:rPr>
                <w:rFonts w:ascii="宋体"/>
                <w:position w:val="-2"/>
                <w:szCs w:val="21"/>
              </w:rPr>
            </w:pPr>
            <w:r>
              <w:rPr>
                <w:rFonts w:hint="eastAsia" w:ascii="宋体" w:hAnsi="宋体"/>
                <w:position w:val="-2"/>
                <w:szCs w:val="21"/>
              </w:rPr>
              <w:t>响应文件有效期</w:t>
            </w:r>
          </w:p>
        </w:tc>
        <w:tc>
          <w:tcPr>
            <w:tcW w:w="7205" w:type="dxa"/>
            <w:vAlign w:val="top"/>
          </w:tcPr>
          <w:p w14:paraId="463588E6">
            <w:pPr>
              <w:tabs>
                <w:tab w:val="left" w:pos="1305"/>
              </w:tabs>
              <w:spacing w:line="360" w:lineRule="auto"/>
              <w:rPr>
                <w:rFonts w:ascii="宋体"/>
                <w:szCs w:val="21"/>
              </w:rPr>
            </w:pPr>
            <w:r>
              <w:rPr>
                <w:rFonts w:hint="eastAsia" w:ascii="宋体" w:hAnsi="宋体"/>
                <w:szCs w:val="21"/>
              </w:rPr>
              <w:t>响应文件递交截止时间之日起</w:t>
            </w:r>
            <w:r>
              <w:rPr>
                <w:rFonts w:ascii="宋体" w:hAnsi="宋体"/>
                <w:szCs w:val="21"/>
              </w:rPr>
              <w:t>90</w:t>
            </w:r>
            <w:r>
              <w:rPr>
                <w:rFonts w:hint="eastAsia" w:ascii="宋体" w:hAnsi="宋体"/>
                <w:szCs w:val="21"/>
              </w:rPr>
              <w:t>天，有效期不足的响应文件将被拒绝。</w:t>
            </w:r>
          </w:p>
        </w:tc>
      </w:tr>
      <w:tr w14:paraId="05786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1846754D">
            <w:pPr>
              <w:spacing w:line="360" w:lineRule="auto"/>
              <w:jc w:val="center"/>
              <w:rPr>
                <w:rFonts w:hint="eastAsia" w:ascii="宋体" w:hAnsi="宋体"/>
                <w:szCs w:val="21"/>
              </w:rPr>
            </w:pPr>
            <w:r>
              <w:rPr>
                <w:rFonts w:hint="eastAsia" w:ascii="宋体" w:hAnsi="宋体"/>
                <w:szCs w:val="21"/>
              </w:rPr>
              <w:t>6</w:t>
            </w:r>
          </w:p>
        </w:tc>
        <w:tc>
          <w:tcPr>
            <w:tcW w:w="825" w:type="dxa"/>
            <w:vAlign w:val="center"/>
          </w:tcPr>
          <w:p w14:paraId="79A20AA7">
            <w:pPr>
              <w:spacing w:line="360" w:lineRule="auto"/>
              <w:jc w:val="center"/>
              <w:rPr>
                <w:rFonts w:ascii="宋体" w:hAnsi="宋体"/>
                <w:position w:val="-2"/>
                <w:szCs w:val="21"/>
              </w:rPr>
            </w:pPr>
            <w:r>
              <w:rPr>
                <w:rFonts w:hint="eastAsia" w:ascii="宋体" w:hAnsi="宋体"/>
                <w:position w:val="-2"/>
                <w:szCs w:val="21"/>
              </w:rPr>
              <w:t>15</w:t>
            </w:r>
          </w:p>
        </w:tc>
        <w:tc>
          <w:tcPr>
            <w:tcW w:w="1815" w:type="dxa"/>
            <w:vAlign w:val="center"/>
          </w:tcPr>
          <w:p w14:paraId="1A274B8A">
            <w:pPr>
              <w:spacing w:line="360" w:lineRule="auto"/>
              <w:jc w:val="center"/>
              <w:rPr>
                <w:rFonts w:hint="eastAsia" w:ascii="宋体" w:hAnsi="宋体"/>
                <w:position w:val="-2"/>
                <w:szCs w:val="21"/>
              </w:rPr>
            </w:pPr>
            <w:r>
              <w:rPr>
                <w:rFonts w:hint="eastAsia" w:ascii="宋体" w:hAnsi="宋体"/>
                <w:position w:val="-2"/>
                <w:szCs w:val="21"/>
              </w:rPr>
              <w:t>保证金</w:t>
            </w:r>
          </w:p>
        </w:tc>
        <w:tc>
          <w:tcPr>
            <w:tcW w:w="7205" w:type="dxa"/>
            <w:vAlign w:val="top"/>
          </w:tcPr>
          <w:p w14:paraId="0346A427">
            <w:pPr>
              <w:tabs>
                <w:tab w:val="left" w:pos="1305"/>
              </w:tabs>
              <w:spacing w:line="360" w:lineRule="auto"/>
              <w:rPr>
                <w:rFonts w:hint="eastAsia" w:ascii="宋体" w:hAnsi="宋体"/>
                <w:szCs w:val="21"/>
              </w:rPr>
            </w:pPr>
            <w:r>
              <w:rPr>
                <w:rFonts w:hint="eastAsia" w:ascii="宋体" w:hAnsi="宋体"/>
                <w:szCs w:val="21"/>
              </w:rPr>
              <w:t>本项目无需缴纳谈判保证金。</w:t>
            </w:r>
          </w:p>
        </w:tc>
      </w:tr>
      <w:tr w14:paraId="32DF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25" w:type="dxa"/>
            <w:vAlign w:val="center"/>
          </w:tcPr>
          <w:p w14:paraId="79267810">
            <w:pPr>
              <w:spacing w:line="360" w:lineRule="auto"/>
              <w:jc w:val="center"/>
              <w:rPr>
                <w:rFonts w:hint="eastAsia" w:ascii="宋体" w:hAnsi="宋体"/>
                <w:szCs w:val="21"/>
              </w:rPr>
            </w:pPr>
            <w:r>
              <w:rPr>
                <w:rFonts w:hint="eastAsia" w:ascii="宋体" w:hAnsi="宋体"/>
                <w:szCs w:val="21"/>
              </w:rPr>
              <w:t>7</w:t>
            </w:r>
          </w:p>
        </w:tc>
        <w:tc>
          <w:tcPr>
            <w:tcW w:w="825" w:type="dxa"/>
            <w:vAlign w:val="center"/>
          </w:tcPr>
          <w:p w14:paraId="2CBDCA34">
            <w:pPr>
              <w:spacing w:line="360" w:lineRule="auto"/>
              <w:jc w:val="center"/>
              <w:rPr>
                <w:rFonts w:ascii="宋体" w:hAnsi="宋体"/>
                <w:szCs w:val="21"/>
              </w:rPr>
            </w:pPr>
            <w:r>
              <w:rPr>
                <w:rFonts w:ascii="宋体" w:hAnsi="宋体"/>
                <w:szCs w:val="21"/>
              </w:rPr>
              <w:t>16</w:t>
            </w:r>
          </w:p>
        </w:tc>
        <w:tc>
          <w:tcPr>
            <w:tcW w:w="1815" w:type="dxa"/>
            <w:vAlign w:val="center"/>
          </w:tcPr>
          <w:p w14:paraId="6B892F38">
            <w:pPr>
              <w:spacing w:line="360" w:lineRule="auto"/>
              <w:jc w:val="center"/>
              <w:rPr>
                <w:rFonts w:ascii="宋体"/>
                <w:szCs w:val="21"/>
              </w:rPr>
            </w:pPr>
            <w:r>
              <w:rPr>
                <w:rFonts w:hint="eastAsia" w:ascii="宋体" w:hAnsi="宋体"/>
                <w:szCs w:val="21"/>
              </w:rPr>
              <w:t>响应文件的制作</w:t>
            </w:r>
          </w:p>
        </w:tc>
        <w:tc>
          <w:tcPr>
            <w:tcW w:w="7205" w:type="dxa"/>
            <w:vAlign w:val="center"/>
          </w:tcPr>
          <w:p w14:paraId="311FBF32">
            <w:pPr>
              <w:spacing w:line="360" w:lineRule="exact"/>
              <w:rPr>
                <w:rFonts w:hint="eastAsia" w:ascii="宋体" w:hAnsi="宋体" w:cs="宋体"/>
                <w:szCs w:val="21"/>
              </w:rPr>
            </w:pPr>
            <w:r>
              <w:rPr>
                <w:rFonts w:hint="eastAsia" w:ascii="宋体" w:hAnsi="宋体" w:cs="宋体"/>
                <w:szCs w:val="21"/>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6CE79916">
            <w:pPr>
              <w:spacing w:line="360" w:lineRule="exact"/>
              <w:rPr>
                <w:rFonts w:hint="eastAsia" w:ascii="宋体" w:hAnsi="宋体" w:cs="宋体"/>
                <w:szCs w:val="21"/>
              </w:rPr>
            </w:pPr>
            <w:r>
              <w:rPr>
                <w:rFonts w:hint="eastAsia" w:ascii="宋体" w:hAnsi="宋体" w:cs="宋体"/>
                <w:szCs w:val="21"/>
              </w:rPr>
              <w:t xml:space="preserve">16.2 供应商法人（负责人）或授权代表持有广西政府采购云个人CA签章的，应在响应文件中涉及到签字的位置使用个人CA签章，没有办理广西政府采购云个人CA签章的可在响应文件文件中涉及到签字的位置手写签字后扫描或者拍照做成 PDF 的格式上传即可。 </w:t>
            </w:r>
          </w:p>
          <w:p w14:paraId="04AC407A">
            <w:pPr>
              <w:spacing w:line="360" w:lineRule="exact"/>
              <w:rPr>
                <w:rFonts w:hint="eastAsia" w:ascii="宋体" w:hAnsi="宋体" w:cs="宋体"/>
                <w:szCs w:val="21"/>
              </w:rPr>
            </w:pPr>
            <w:r>
              <w:rPr>
                <w:rFonts w:hint="eastAsia" w:ascii="宋体" w:hAnsi="宋体" w:cs="宋体"/>
                <w:szCs w:val="21"/>
              </w:rPr>
              <w:t>16.3 响应文件不得涂改，若有修改错漏处，须法定代表人（负责人）或授权委托人签字（或个人CA签章）。响应文件因字迹潦草或表达不清所引起的后果由供应商负责。</w:t>
            </w:r>
          </w:p>
          <w:p w14:paraId="3A99F43B">
            <w:pPr>
              <w:spacing w:line="360" w:lineRule="exact"/>
              <w:rPr>
                <w:rFonts w:hint="eastAsia" w:ascii="宋体" w:hAnsi="宋体" w:cs="宋体"/>
                <w:szCs w:val="21"/>
              </w:rPr>
            </w:pPr>
            <w:r>
              <w:rPr>
                <w:rFonts w:hint="eastAsia" w:ascii="宋体" w:hAnsi="宋体" w:cs="宋体"/>
                <w:szCs w:val="21"/>
              </w:rPr>
              <w:t xml:space="preserve">16.4评审前准备 </w:t>
            </w:r>
          </w:p>
          <w:p w14:paraId="48D05083">
            <w:pPr>
              <w:spacing w:line="360" w:lineRule="exact"/>
              <w:rPr>
                <w:rFonts w:hint="eastAsia" w:ascii="宋体" w:hAnsi="宋体" w:cs="宋体"/>
                <w:szCs w:val="21"/>
              </w:rPr>
            </w:pPr>
            <w:r>
              <w:rPr>
                <w:rFonts w:hint="eastAsia" w:ascii="宋体" w:hAnsi="宋体" w:cs="宋体"/>
                <w:szCs w:val="21"/>
              </w:rPr>
              <w:t xml:space="preserve">16.4.1本项目实行网上评审，采用电子响应文件；若供应商参与谈判，自行承担谈判一切费用。 </w:t>
            </w:r>
          </w:p>
          <w:p w14:paraId="19E73EBA">
            <w:pPr>
              <w:spacing w:line="360" w:lineRule="exact"/>
              <w:rPr>
                <w:rFonts w:hint="eastAsia" w:ascii="宋体" w:hAnsi="宋体" w:cs="宋体"/>
                <w:szCs w:val="21"/>
              </w:rPr>
            </w:pPr>
            <w:r>
              <w:rPr>
                <w:rFonts w:hint="eastAsia" w:ascii="宋体" w:hAnsi="宋体" w:cs="宋体"/>
                <w:szCs w:val="21"/>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379C7933">
            <w:pPr>
              <w:spacing w:line="360" w:lineRule="auto"/>
              <w:rPr>
                <w:rFonts w:ascii="宋体"/>
                <w:szCs w:val="21"/>
              </w:rPr>
            </w:pPr>
            <w:r>
              <w:rPr>
                <w:rFonts w:hint="eastAsia" w:ascii="宋体" w:hAnsi="宋体" w:cs="宋体"/>
                <w:szCs w:val="21"/>
              </w:rPr>
              <w:t>16.4.3供应商将广西政府采购云平台客户端下载、安装完成后，可通过账号密码或 CA 登录客户端进行响应文件制作。客户端请至网站下载专区查看，如有问题可拨打广西政府采购云客户服务热线 95763 进行咨询。</w:t>
            </w:r>
          </w:p>
        </w:tc>
      </w:tr>
      <w:tr w14:paraId="4856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0237E4FD">
            <w:pPr>
              <w:spacing w:line="360" w:lineRule="auto"/>
              <w:jc w:val="center"/>
              <w:rPr>
                <w:rFonts w:hint="eastAsia" w:ascii="宋体" w:hAnsi="宋体"/>
                <w:szCs w:val="21"/>
              </w:rPr>
            </w:pPr>
            <w:r>
              <w:rPr>
                <w:rFonts w:hint="eastAsia" w:ascii="宋体" w:hAnsi="宋体"/>
                <w:szCs w:val="21"/>
              </w:rPr>
              <w:t>8</w:t>
            </w:r>
          </w:p>
        </w:tc>
        <w:tc>
          <w:tcPr>
            <w:tcW w:w="825" w:type="dxa"/>
            <w:vAlign w:val="center"/>
          </w:tcPr>
          <w:p w14:paraId="1B8AFF6D">
            <w:pPr>
              <w:spacing w:line="360" w:lineRule="auto"/>
              <w:jc w:val="center"/>
              <w:rPr>
                <w:rFonts w:ascii="宋体" w:hAnsi="宋体"/>
                <w:position w:val="10"/>
                <w:szCs w:val="21"/>
              </w:rPr>
            </w:pPr>
            <w:r>
              <w:rPr>
                <w:rFonts w:hint="eastAsia" w:ascii="宋体" w:hAnsi="宋体"/>
                <w:position w:val="10"/>
                <w:szCs w:val="21"/>
              </w:rPr>
              <w:t>17.1</w:t>
            </w:r>
          </w:p>
        </w:tc>
        <w:tc>
          <w:tcPr>
            <w:tcW w:w="1815" w:type="dxa"/>
            <w:vAlign w:val="center"/>
          </w:tcPr>
          <w:p w14:paraId="6D5C5819">
            <w:pPr>
              <w:spacing w:line="360" w:lineRule="auto"/>
              <w:jc w:val="center"/>
              <w:rPr>
                <w:rFonts w:ascii="宋体"/>
                <w:position w:val="10"/>
                <w:szCs w:val="21"/>
              </w:rPr>
            </w:pPr>
            <w:r>
              <w:rPr>
                <w:rFonts w:hint="eastAsia" w:ascii="宋体" w:hAnsi="宋体" w:cs="宋体"/>
                <w:szCs w:val="21"/>
              </w:rPr>
              <w:t>响应文件的补充、修改和撤回</w:t>
            </w:r>
          </w:p>
        </w:tc>
        <w:tc>
          <w:tcPr>
            <w:tcW w:w="7205" w:type="dxa"/>
            <w:vAlign w:val="center"/>
          </w:tcPr>
          <w:p w14:paraId="39684E25">
            <w:pPr>
              <w:spacing w:line="360" w:lineRule="auto"/>
              <w:rPr>
                <w:rFonts w:ascii="宋体"/>
                <w:szCs w:val="21"/>
              </w:rPr>
            </w:pPr>
            <w:r>
              <w:rPr>
                <w:rFonts w:hint="eastAsia" w:ascii="宋体" w:hAnsi="宋体" w:cs="宋体"/>
                <w:szCs w:val="21"/>
              </w:rPr>
              <w:t>17.1 响应文件递交截止时间前可以撤回电子响应文件。补充或者修改电子响应文件的，应当先行撤回原文件，补充、修改后重新传输递交，响应文件递交截止时间前未完成传输的，视为撤回响应文件。</w:t>
            </w:r>
          </w:p>
        </w:tc>
      </w:tr>
      <w:tr w14:paraId="6E9E3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1FB3E53B">
            <w:pPr>
              <w:spacing w:line="360" w:lineRule="auto"/>
              <w:jc w:val="center"/>
              <w:rPr>
                <w:rFonts w:ascii="宋体" w:hAnsi="宋体"/>
                <w:szCs w:val="21"/>
              </w:rPr>
            </w:pPr>
            <w:r>
              <w:rPr>
                <w:rFonts w:hint="eastAsia" w:ascii="宋体" w:hAnsi="宋体"/>
                <w:szCs w:val="21"/>
              </w:rPr>
              <w:t>9</w:t>
            </w:r>
          </w:p>
        </w:tc>
        <w:tc>
          <w:tcPr>
            <w:tcW w:w="825" w:type="dxa"/>
            <w:vAlign w:val="center"/>
          </w:tcPr>
          <w:p w14:paraId="0B9B334C">
            <w:pPr>
              <w:spacing w:line="360" w:lineRule="auto"/>
              <w:jc w:val="center"/>
              <w:rPr>
                <w:rFonts w:ascii="宋体" w:hAnsi="宋体"/>
                <w:szCs w:val="21"/>
              </w:rPr>
            </w:pPr>
            <w:r>
              <w:rPr>
                <w:rFonts w:hint="eastAsia" w:ascii="宋体" w:hAnsi="宋体"/>
                <w:szCs w:val="21"/>
              </w:rPr>
              <w:t>18.1</w:t>
            </w:r>
          </w:p>
        </w:tc>
        <w:tc>
          <w:tcPr>
            <w:tcW w:w="1815" w:type="dxa"/>
            <w:vAlign w:val="center"/>
          </w:tcPr>
          <w:p w14:paraId="7D1EEF21">
            <w:pPr>
              <w:spacing w:line="360" w:lineRule="auto"/>
              <w:jc w:val="center"/>
              <w:rPr>
                <w:rFonts w:ascii="宋体"/>
                <w:szCs w:val="21"/>
              </w:rPr>
            </w:pPr>
            <w:r>
              <w:rPr>
                <w:rFonts w:hint="eastAsia" w:ascii="宋体" w:hAnsi="宋体" w:cs="宋体"/>
                <w:szCs w:val="21"/>
              </w:rPr>
              <w:t>响应文件递交</w:t>
            </w:r>
          </w:p>
        </w:tc>
        <w:tc>
          <w:tcPr>
            <w:tcW w:w="7205" w:type="dxa"/>
            <w:vAlign w:val="center"/>
          </w:tcPr>
          <w:p w14:paraId="6416571E">
            <w:pPr>
              <w:spacing w:line="360" w:lineRule="auto"/>
              <w:rPr>
                <w:rFonts w:ascii="宋体"/>
                <w:szCs w:val="21"/>
              </w:rPr>
            </w:pPr>
            <w:r>
              <w:rPr>
                <w:rFonts w:hint="eastAsia" w:ascii="宋体" w:hAnsi="宋体"/>
                <w:szCs w:val="21"/>
              </w:rPr>
              <w:t>18.1响应文件递交截止时间</w:t>
            </w:r>
            <w:r>
              <w:rPr>
                <w:rFonts w:hint="eastAsia" w:ascii="宋体" w:hAnsi="宋体"/>
                <w:szCs w:val="21"/>
                <w:highlight w:val="none"/>
              </w:rPr>
              <w:t>：于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lang w:eastAsia="zh-CN"/>
              </w:rPr>
              <w:t>日</w:t>
            </w:r>
            <w:r>
              <w:rPr>
                <w:rFonts w:hint="eastAsia" w:ascii="宋体" w:hAnsi="宋体" w:cs="宋体"/>
                <w:color w:val="000000"/>
                <w:szCs w:val="21"/>
                <w:highlight w:val="none"/>
                <w:u w:val="single"/>
              </w:rPr>
              <w:t>上午9时30分</w:t>
            </w:r>
            <w:r>
              <w:rPr>
                <w:rFonts w:hint="eastAsia" w:ascii="宋体" w:hAnsi="宋体" w:cs="宋体"/>
                <w:szCs w:val="21"/>
                <w:highlight w:val="none"/>
              </w:rPr>
              <w:t>之前将电子</w:t>
            </w:r>
            <w:r>
              <w:rPr>
                <w:rFonts w:hint="eastAsia" w:ascii="宋体" w:hAnsi="宋体"/>
                <w:szCs w:val="21"/>
                <w:highlight w:val="none"/>
              </w:rPr>
              <w:t>响应</w:t>
            </w:r>
            <w:r>
              <w:rPr>
                <w:rFonts w:hint="eastAsia" w:ascii="宋体" w:hAnsi="宋体" w:cs="宋体"/>
                <w:szCs w:val="21"/>
                <w:highlight w:val="none"/>
              </w:rPr>
              <w:t>文件上传到广西政府采购云平台。应按照本项目谈判文件和广西政府采购云平台的要求编制、加密传输</w:t>
            </w:r>
            <w:r>
              <w:rPr>
                <w:rFonts w:hint="eastAsia" w:ascii="宋体" w:hAnsi="宋体"/>
                <w:szCs w:val="21"/>
                <w:highlight w:val="none"/>
              </w:rPr>
              <w:t>响应</w:t>
            </w:r>
            <w:r>
              <w:rPr>
                <w:rFonts w:hint="eastAsia" w:ascii="宋体" w:hAnsi="宋体" w:cs="宋体"/>
                <w:szCs w:val="21"/>
                <w:highlight w:val="none"/>
              </w:rPr>
              <w:t>文件。供</w:t>
            </w:r>
            <w:r>
              <w:rPr>
                <w:rFonts w:hint="eastAsia" w:ascii="宋体" w:hAnsi="宋体" w:cs="宋体"/>
                <w:szCs w:val="21"/>
              </w:rPr>
              <w:t>应商在使用系统进行投标响应的过程中遇到涉及平台使用的任何问题，可致电广西政府采购云平台技术支持热线咨询，联系方式：95763。</w:t>
            </w:r>
          </w:p>
        </w:tc>
      </w:tr>
      <w:tr w14:paraId="6E907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525" w:type="dxa"/>
            <w:vAlign w:val="center"/>
          </w:tcPr>
          <w:p w14:paraId="50DAE7CB">
            <w:pPr>
              <w:spacing w:line="360" w:lineRule="auto"/>
              <w:jc w:val="center"/>
              <w:rPr>
                <w:rFonts w:ascii="宋体" w:hAnsi="宋体"/>
                <w:szCs w:val="21"/>
              </w:rPr>
            </w:pPr>
            <w:r>
              <w:rPr>
                <w:rFonts w:hint="eastAsia" w:ascii="宋体" w:hAnsi="宋体"/>
                <w:szCs w:val="21"/>
              </w:rPr>
              <w:t>10</w:t>
            </w:r>
          </w:p>
        </w:tc>
        <w:tc>
          <w:tcPr>
            <w:tcW w:w="825" w:type="dxa"/>
            <w:vAlign w:val="center"/>
          </w:tcPr>
          <w:p w14:paraId="77BA23A2">
            <w:pPr>
              <w:spacing w:line="360" w:lineRule="auto"/>
              <w:jc w:val="center"/>
              <w:rPr>
                <w:rFonts w:ascii="宋体" w:hAnsi="宋体"/>
                <w:szCs w:val="21"/>
              </w:rPr>
            </w:pPr>
            <w:r>
              <w:rPr>
                <w:rFonts w:hint="eastAsia" w:ascii="宋体" w:hAnsi="宋体"/>
                <w:szCs w:val="21"/>
              </w:rPr>
              <w:t>18.2</w:t>
            </w:r>
          </w:p>
        </w:tc>
        <w:tc>
          <w:tcPr>
            <w:tcW w:w="1815" w:type="dxa"/>
            <w:vAlign w:val="center"/>
          </w:tcPr>
          <w:p w14:paraId="708FB1C1">
            <w:pPr>
              <w:spacing w:line="360" w:lineRule="auto"/>
              <w:jc w:val="center"/>
              <w:rPr>
                <w:rFonts w:ascii="宋体"/>
                <w:szCs w:val="21"/>
              </w:rPr>
            </w:pPr>
            <w:r>
              <w:rPr>
                <w:rFonts w:hint="eastAsia" w:ascii="宋体" w:hAnsi="宋体" w:cs="宋体"/>
                <w:szCs w:val="21"/>
              </w:rPr>
              <w:t>响应文件解密</w:t>
            </w:r>
          </w:p>
        </w:tc>
        <w:tc>
          <w:tcPr>
            <w:tcW w:w="7205" w:type="dxa"/>
            <w:vAlign w:val="center"/>
          </w:tcPr>
          <w:p w14:paraId="749EA745">
            <w:pPr>
              <w:pStyle w:val="2"/>
              <w:rPr>
                <w:rFonts w:hint="eastAsia" w:ascii="宋体" w:hAnsi="宋体" w:cs="宋体"/>
              </w:rPr>
            </w:pPr>
            <w:r>
              <w:rPr>
                <w:rFonts w:hint="eastAsia" w:ascii="宋体" w:hAnsi="宋体" w:cs="宋体"/>
                <w:szCs w:val="21"/>
              </w:rPr>
              <w:t>18.2</w:t>
            </w:r>
            <w:r>
              <w:rPr>
                <w:rFonts w:hint="eastAsia" w:ascii="宋体" w:hAnsi="宋体" w:cs="宋体"/>
              </w:rPr>
              <w:t>响应文件解密时间：截标时间后</w:t>
            </w:r>
            <w:r>
              <w:rPr>
                <w:rFonts w:hint="eastAsia" w:ascii="宋体" w:hAnsi="宋体" w:cs="宋体"/>
                <w:u w:val="single"/>
              </w:rPr>
              <w:t>30</w:t>
            </w:r>
            <w:r>
              <w:rPr>
                <w:rFonts w:hint="eastAsia" w:ascii="宋体" w:hAnsi="宋体" w:cs="宋体"/>
              </w:rPr>
              <w:t>分钟内</w:t>
            </w:r>
            <w:r>
              <w:rPr>
                <w:rFonts w:hint="eastAsia" w:ascii="宋体" w:hAnsi="宋体" w:cs="宋体"/>
                <w:highlight w:val="none"/>
              </w:rPr>
              <w:t>（</w:t>
            </w:r>
            <w:r>
              <w:rPr>
                <w:rFonts w:hint="eastAsia" w:ascii="宋体" w:hAnsi="宋体" w:cs="宋体"/>
                <w:color w:val="000000"/>
                <w:highlight w:val="none"/>
                <w:u w:val="single"/>
                <w:lang w:eastAsia="zh-CN"/>
              </w:rPr>
              <w:t>2026年</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lang w:eastAsia="zh-CN"/>
              </w:rPr>
              <w:t>月</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lang w:eastAsia="zh-CN"/>
              </w:rPr>
              <w:t>日</w:t>
            </w:r>
            <w:r>
              <w:rPr>
                <w:rFonts w:hint="eastAsia" w:ascii="宋体" w:hAnsi="宋体" w:cs="宋体"/>
                <w:u w:val="single"/>
              </w:rPr>
              <w:t>上午9时30分至10时00分</w:t>
            </w:r>
            <w:r>
              <w:rPr>
                <w:rFonts w:hint="eastAsia" w:ascii="宋体" w:hAnsi="宋体" w:cs="宋体"/>
              </w:rPr>
              <w:t>)供应商可以登录广西政府采购云平台，用“项目采购-开标评标”功能进行解密响应文件。</w:t>
            </w:r>
          </w:p>
          <w:p w14:paraId="1BA2610F">
            <w:pPr>
              <w:pStyle w:val="2"/>
              <w:rPr>
                <w:rFonts w:ascii="宋体"/>
                <w:szCs w:val="21"/>
              </w:rPr>
            </w:pPr>
            <w:r>
              <w:rPr>
                <w:rFonts w:hint="eastAsia" w:ascii="宋体" w:hAnsi="宋体" w:cs="宋体"/>
                <w:b/>
                <w:bCs/>
                <w:szCs w:val="21"/>
              </w:rPr>
              <w:t>注：响应文件网上递交截止时间后，各供应商须在解密时限内对上传广西政府采购云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p>
        </w:tc>
      </w:tr>
      <w:tr w14:paraId="7E69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525" w:type="dxa"/>
            <w:vAlign w:val="center"/>
          </w:tcPr>
          <w:p w14:paraId="7E476A21">
            <w:pPr>
              <w:spacing w:line="360" w:lineRule="auto"/>
              <w:jc w:val="center"/>
              <w:rPr>
                <w:rFonts w:ascii="宋体" w:hAnsi="宋体"/>
                <w:szCs w:val="21"/>
              </w:rPr>
            </w:pPr>
            <w:r>
              <w:rPr>
                <w:rFonts w:hint="eastAsia" w:ascii="宋体" w:hAnsi="宋体"/>
                <w:szCs w:val="21"/>
              </w:rPr>
              <w:t>11</w:t>
            </w:r>
          </w:p>
        </w:tc>
        <w:tc>
          <w:tcPr>
            <w:tcW w:w="825" w:type="dxa"/>
            <w:vAlign w:val="center"/>
          </w:tcPr>
          <w:p w14:paraId="3CFA45A6">
            <w:pPr>
              <w:spacing w:line="360" w:lineRule="auto"/>
              <w:ind w:firstLine="105" w:firstLineChars="50"/>
              <w:jc w:val="center"/>
              <w:rPr>
                <w:rFonts w:ascii="宋体" w:hAnsi="宋体"/>
                <w:position w:val="-2"/>
                <w:szCs w:val="21"/>
              </w:rPr>
            </w:pPr>
            <w:r>
              <w:rPr>
                <w:rFonts w:hint="eastAsia" w:ascii="宋体" w:hAnsi="宋体"/>
                <w:position w:val="-2"/>
                <w:szCs w:val="21"/>
              </w:rPr>
              <w:t>19</w:t>
            </w:r>
            <w:r>
              <w:rPr>
                <w:rFonts w:ascii="宋体" w:hAnsi="宋体"/>
                <w:position w:val="-2"/>
                <w:szCs w:val="21"/>
              </w:rPr>
              <w:t>.1</w:t>
            </w:r>
          </w:p>
        </w:tc>
        <w:tc>
          <w:tcPr>
            <w:tcW w:w="1815" w:type="dxa"/>
            <w:vAlign w:val="center"/>
          </w:tcPr>
          <w:p w14:paraId="49263064">
            <w:pPr>
              <w:spacing w:line="360" w:lineRule="auto"/>
              <w:jc w:val="center"/>
              <w:rPr>
                <w:rFonts w:ascii="宋体"/>
                <w:szCs w:val="21"/>
              </w:rPr>
            </w:pPr>
            <w:r>
              <w:rPr>
                <w:rFonts w:hint="eastAsia" w:ascii="宋体" w:hAnsi="宋体"/>
                <w:szCs w:val="21"/>
              </w:rPr>
              <w:t>谈判小组组成</w:t>
            </w:r>
          </w:p>
        </w:tc>
        <w:tc>
          <w:tcPr>
            <w:tcW w:w="7205" w:type="dxa"/>
            <w:vAlign w:val="center"/>
          </w:tcPr>
          <w:p w14:paraId="377D45CF">
            <w:pPr>
              <w:spacing w:line="360" w:lineRule="auto"/>
              <w:ind w:left="15" w:hanging="14" w:hangingChars="7"/>
              <w:rPr>
                <w:rFonts w:ascii="宋体"/>
                <w:szCs w:val="21"/>
              </w:rPr>
            </w:pPr>
            <w:r>
              <w:rPr>
                <w:rFonts w:hint="eastAsia" w:ascii="宋体" w:hAnsi="宋体"/>
                <w:szCs w:val="21"/>
              </w:rPr>
              <w:t>谈判及评审工作由采购代理机构负责组织，具体谈判、评审工作由依法组建的谈判小组负责，谈判小组由采购人代表和有关方面的专家组成。谈判小组的构成：</w:t>
            </w:r>
            <w:r>
              <w:rPr>
                <w:rFonts w:ascii="宋体" w:hAnsi="宋体"/>
                <w:szCs w:val="21"/>
                <w:u w:val="single"/>
              </w:rPr>
              <w:t xml:space="preserve">3 </w:t>
            </w:r>
            <w:r>
              <w:rPr>
                <w:rFonts w:hint="eastAsia" w:ascii="宋体" w:hAnsi="宋体"/>
                <w:szCs w:val="21"/>
              </w:rPr>
              <w:t>人，其中采购人代表</w:t>
            </w:r>
            <w:r>
              <w:rPr>
                <w:rFonts w:ascii="宋体" w:hAnsi="宋体"/>
                <w:szCs w:val="21"/>
                <w:u w:val="single"/>
              </w:rPr>
              <w:t xml:space="preserve"> 1 </w:t>
            </w:r>
            <w:r>
              <w:rPr>
                <w:rFonts w:hint="eastAsia" w:ascii="宋体" w:hAnsi="宋体"/>
                <w:szCs w:val="21"/>
              </w:rPr>
              <w:t>人，专家</w:t>
            </w:r>
            <w:r>
              <w:rPr>
                <w:rFonts w:ascii="宋体" w:hAnsi="宋体"/>
                <w:szCs w:val="21"/>
                <w:u w:val="single"/>
              </w:rPr>
              <w:t xml:space="preserve"> 2</w:t>
            </w:r>
            <w:r>
              <w:rPr>
                <w:rFonts w:hint="eastAsia" w:ascii="宋体" w:hAnsi="宋体"/>
                <w:szCs w:val="21"/>
              </w:rPr>
              <w:t>人。</w:t>
            </w:r>
          </w:p>
        </w:tc>
      </w:tr>
      <w:tr w14:paraId="6E9B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525" w:type="dxa"/>
            <w:vAlign w:val="center"/>
          </w:tcPr>
          <w:p w14:paraId="74E62A6B">
            <w:pPr>
              <w:spacing w:line="360" w:lineRule="auto"/>
              <w:jc w:val="center"/>
              <w:rPr>
                <w:rFonts w:ascii="宋体" w:hAnsi="宋体"/>
                <w:szCs w:val="21"/>
              </w:rPr>
            </w:pPr>
            <w:r>
              <w:rPr>
                <w:rFonts w:hint="eastAsia" w:ascii="宋体" w:hAnsi="宋体"/>
                <w:szCs w:val="21"/>
              </w:rPr>
              <w:t>12</w:t>
            </w:r>
          </w:p>
        </w:tc>
        <w:tc>
          <w:tcPr>
            <w:tcW w:w="825" w:type="dxa"/>
            <w:vAlign w:val="center"/>
          </w:tcPr>
          <w:p w14:paraId="5A66B05E">
            <w:pPr>
              <w:spacing w:line="360" w:lineRule="auto"/>
              <w:jc w:val="center"/>
              <w:rPr>
                <w:rFonts w:ascii="宋体" w:hAnsi="宋体"/>
                <w:szCs w:val="21"/>
              </w:rPr>
            </w:pPr>
            <w:r>
              <w:rPr>
                <w:rFonts w:hint="eastAsia" w:ascii="宋体" w:hAnsi="宋体"/>
                <w:szCs w:val="21"/>
              </w:rPr>
              <w:t>19</w:t>
            </w:r>
            <w:r>
              <w:rPr>
                <w:rFonts w:ascii="宋体" w:hAnsi="宋体"/>
                <w:szCs w:val="21"/>
              </w:rPr>
              <w:t>.2</w:t>
            </w:r>
          </w:p>
        </w:tc>
        <w:tc>
          <w:tcPr>
            <w:tcW w:w="1815" w:type="dxa"/>
            <w:vAlign w:val="center"/>
          </w:tcPr>
          <w:p w14:paraId="5826A976">
            <w:pPr>
              <w:spacing w:line="360" w:lineRule="auto"/>
              <w:jc w:val="center"/>
              <w:rPr>
                <w:rFonts w:ascii="宋体"/>
                <w:szCs w:val="21"/>
              </w:rPr>
            </w:pPr>
            <w:r>
              <w:rPr>
                <w:rFonts w:hint="eastAsia" w:ascii="宋体" w:hAnsi="宋体"/>
                <w:szCs w:val="21"/>
              </w:rPr>
              <w:t>谈判时间、地点、人员</w:t>
            </w:r>
          </w:p>
        </w:tc>
        <w:tc>
          <w:tcPr>
            <w:tcW w:w="7205" w:type="dxa"/>
            <w:vAlign w:val="top"/>
          </w:tcPr>
          <w:p w14:paraId="0759EACB">
            <w:pPr>
              <w:spacing w:line="360" w:lineRule="auto"/>
              <w:ind w:left="315" w:hanging="315" w:hangingChars="150"/>
              <w:jc w:val="left"/>
              <w:rPr>
                <w:rFonts w:ascii="宋体"/>
                <w:szCs w:val="21"/>
              </w:rPr>
            </w:pPr>
            <w:r>
              <w:rPr>
                <w:rFonts w:hint="eastAsia" w:ascii="宋体" w:hAnsi="宋体"/>
                <w:szCs w:val="21"/>
              </w:rPr>
              <w:t>19</w:t>
            </w:r>
            <w:r>
              <w:rPr>
                <w:rFonts w:ascii="宋体" w:hAnsi="宋体"/>
                <w:szCs w:val="21"/>
              </w:rPr>
              <w:t>.2.1</w:t>
            </w:r>
            <w:r>
              <w:rPr>
                <w:rFonts w:hint="eastAsia" w:ascii="宋体" w:hAnsi="宋体"/>
                <w:szCs w:val="21"/>
              </w:rPr>
              <w:t>谈判时间：响应文件递交截止时间后。</w:t>
            </w:r>
          </w:p>
          <w:p w14:paraId="4C68F565">
            <w:pPr>
              <w:spacing w:line="360" w:lineRule="auto"/>
              <w:jc w:val="left"/>
              <w:rPr>
                <w:rFonts w:ascii="宋体"/>
                <w:b/>
                <w:bCs/>
                <w:szCs w:val="21"/>
              </w:rPr>
            </w:pPr>
            <w:r>
              <w:rPr>
                <w:rFonts w:hint="eastAsia" w:ascii="宋体" w:hAnsi="宋体"/>
                <w:szCs w:val="21"/>
              </w:rPr>
              <w:t>19</w:t>
            </w:r>
            <w:r>
              <w:rPr>
                <w:rFonts w:ascii="宋体" w:hAnsi="宋体"/>
                <w:szCs w:val="21"/>
              </w:rPr>
              <w:t>.2.2</w:t>
            </w:r>
            <w:r>
              <w:rPr>
                <w:rFonts w:hint="eastAsia" w:ascii="宋体" w:hAnsi="宋体"/>
                <w:szCs w:val="21"/>
              </w:rPr>
              <w:t>谈判地点：</w:t>
            </w:r>
            <w:r>
              <w:rPr>
                <w:rFonts w:hint="eastAsia" w:ascii="宋体" w:hAnsi="宋体" w:cs="宋体"/>
                <w:b/>
                <w:bCs/>
                <w:szCs w:val="21"/>
              </w:rPr>
              <w:t>通过广西政府采购云平台在线谈判</w:t>
            </w:r>
            <w:r>
              <w:rPr>
                <w:rFonts w:hint="eastAsia" w:ascii="宋体" w:hAnsi="宋体"/>
                <w:b/>
                <w:bCs/>
                <w:szCs w:val="21"/>
              </w:rPr>
              <w:t>。</w:t>
            </w:r>
          </w:p>
          <w:p w14:paraId="04751285">
            <w:pPr>
              <w:spacing w:line="360" w:lineRule="auto"/>
              <w:ind w:left="15" w:hanging="14" w:hangingChars="7"/>
              <w:jc w:val="left"/>
              <w:rPr>
                <w:rFonts w:ascii="宋体"/>
                <w:szCs w:val="21"/>
              </w:rPr>
            </w:pPr>
            <w:r>
              <w:rPr>
                <w:rFonts w:hint="eastAsia" w:ascii="宋体" w:hAnsi="宋体"/>
                <w:szCs w:val="21"/>
              </w:rPr>
              <w:t>19</w:t>
            </w:r>
            <w:r>
              <w:rPr>
                <w:rFonts w:ascii="宋体" w:hAnsi="宋体"/>
                <w:szCs w:val="21"/>
              </w:rPr>
              <w:t>.2.3</w:t>
            </w:r>
            <w:r>
              <w:rPr>
                <w:rFonts w:hint="eastAsia" w:ascii="宋体" w:hAnsi="宋体"/>
                <w:szCs w:val="21"/>
              </w:rPr>
              <w:t>谈判参加人员：供应商法定代表人、负责人、自然人或相应的委托代理人持有</w:t>
            </w:r>
            <w:r>
              <w:rPr>
                <w:rFonts w:hint="eastAsia" w:ascii="宋体" w:hAnsi="宋体"/>
                <w:szCs w:val="21"/>
                <w:u w:val="single"/>
              </w:rPr>
              <w:t>效身份证原件和供应商广西政府采购云平台CA数字证书</w:t>
            </w:r>
            <w:r>
              <w:rPr>
                <w:rFonts w:hint="eastAsia" w:ascii="宋体" w:hAnsi="宋体"/>
                <w:szCs w:val="21"/>
              </w:rPr>
              <w:t>参加谈判。请供应商及时</w:t>
            </w:r>
            <w:r>
              <w:rPr>
                <w:rFonts w:hint="eastAsia" w:ascii="宋体" w:hAnsi="宋体"/>
                <w:szCs w:val="21"/>
                <w:lang w:eastAsia="zh-CN"/>
              </w:rPr>
              <w:t>登录</w:t>
            </w:r>
            <w:r>
              <w:rPr>
                <w:rFonts w:hint="eastAsia" w:ascii="宋体" w:hAnsi="宋体"/>
                <w:szCs w:val="21"/>
              </w:rPr>
              <w:t>广西政府采购云平台等候谈判。</w:t>
            </w:r>
          </w:p>
          <w:p w14:paraId="665FA205">
            <w:pPr>
              <w:tabs>
                <w:tab w:val="left" w:pos="1140"/>
              </w:tabs>
              <w:spacing w:line="360" w:lineRule="auto"/>
              <w:jc w:val="left"/>
              <w:rPr>
                <w:rFonts w:ascii="宋体"/>
                <w:szCs w:val="21"/>
              </w:rPr>
            </w:pPr>
            <w:r>
              <w:rPr>
                <w:rFonts w:hint="eastAsia" w:ascii="宋体" w:hAnsi="宋体"/>
                <w:szCs w:val="21"/>
              </w:rPr>
              <w:t>19</w:t>
            </w:r>
            <w:r>
              <w:rPr>
                <w:rFonts w:ascii="宋体" w:hAnsi="宋体"/>
                <w:szCs w:val="21"/>
              </w:rPr>
              <w:t>.2.4</w:t>
            </w:r>
            <w:r>
              <w:rPr>
                <w:rFonts w:hint="eastAsia" w:ascii="宋体" w:hAnsi="宋体"/>
                <w:szCs w:val="21"/>
              </w:rPr>
              <w:t>响应文件递交截止时间后，由谈判小组在评标室内开启响应文件。</w:t>
            </w:r>
          </w:p>
        </w:tc>
      </w:tr>
      <w:tr w14:paraId="4889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14:paraId="46F4B52D">
            <w:pPr>
              <w:spacing w:line="360" w:lineRule="auto"/>
              <w:jc w:val="center"/>
              <w:rPr>
                <w:rFonts w:ascii="宋体"/>
                <w:szCs w:val="21"/>
              </w:rPr>
            </w:pPr>
            <w:r>
              <w:rPr>
                <w:rFonts w:hint="eastAsia" w:ascii="宋体" w:hAnsi="宋体" w:cs="Arial"/>
                <w:kern w:val="0"/>
                <w:szCs w:val="21"/>
              </w:rPr>
              <w:t>13</w:t>
            </w:r>
          </w:p>
        </w:tc>
        <w:tc>
          <w:tcPr>
            <w:tcW w:w="825" w:type="dxa"/>
            <w:vAlign w:val="center"/>
          </w:tcPr>
          <w:p w14:paraId="4DFA1349">
            <w:pPr>
              <w:spacing w:line="360" w:lineRule="auto"/>
              <w:jc w:val="center"/>
              <w:rPr>
                <w:rFonts w:ascii="宋体" w:hAnsi="宋体"/>
                <w:szCs w:val="21"/>
              </w:rPr>
            </w:pPr>
            <w:r>
              <w:rPr>
                <w:rFonts w:hint="eastAsia" w:ascii="宋体" w:hAnsi="宋体"/>
                <w:szCs w:val="21"/>
              </w:rPr>
              <w:t>20</w:t>
            </w:r>
            <w:r>
              <w:rPr>
                <w:rFonts w:ascii="宋体" w:hAnsi="宋体"/>
                <w:szCs w:val="21"/>
              </w:rPr>
              <w:t>.2</w:t>
            </w:r>
          </w:p>
        </w:tc>
        <w:tc>
          <w:tcPr>
            <w:tcW w:w="1815" w:type="dxa"/>
            <w:vAlign w:val="center"/>
          </w:tcPr>
          <w:p w14:paraId="7D4E3F00">
            <w:pPr>
              <w:pStyle w:val="13"/>
              <w:spacing w:line="360" w:lineRule="auto"/>
              <w:jc w:val="center"/>
              <w:rPr>
                <w:rFonts w:hAnsi="宋体" w:cs="Arial"/>
                <w:sz w:val="21"/>
              </w:rPr>
            </w:pPr>
            <w:r>
              <w:rPr>
                <w:rFonts w:hint="eastAsia" w:hAnsi="宋体" w:cs="Arial"/>
                <w:sz w:val="21"/>
              </w:rPr>
              <w:t>评审办法</w:t>
            </w:r>
          </w:p>
        </w:tc>
        <w:tc>
          <w:tcPr>
            <w:tcW w:w="7205" w:type="dxa"/>
            <w:vAlign w:val="center"/>
          </w:tcPr>
          <w:p w14:paraId="52AA580C">
            <w:pPr>
              <w:tabs>
                <w:tab w:val="left" w:pos="1140"/>
              </w:tabs>
              <w:spacing w:line="360" w:lineRule="auto"/>
              <w:rPr>
                <w:rFonts w:ascii="宋体"/>
                <w:szCs w:val="21"/>
              </w:rPr>
            </w:pPr>
            <w:r>
              <w:rPr>
                <w:rFonts w:hint="eastAsia" w:ascii="宋体" w:hAnsi="宋体"/>
                <w:szCs w:val="21"/>
              </w:rPr>
              <w:t>具体详见第四章评审办法。</w:t>
            </w:r>
          </w:p>
        </w:tc>
      </w:tr>
      <w:tr w14:paraId="02883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14:paraId="7CF4E802">
            <w:pPr>
              <w:spacing w:line="360" w:lineRule="auto"/>
              <w:jc w:val="center"/>
              <w:rPr>
                <w:rFonts w:ascii="宋体" w:hAnsi="宋体"/>
                <w:szCs w:val="21"/>
              </w:rPr>
            </w:pPr>
            <w:r>
              <w:rPr>
                <w:rFonts w:hint="eastAsia" w:ascii="宋体" w:hAnsi="宋体"/>
                <w:szCs w:val="21"/>
              </w:rPr>
              <w:t>14</w:t>
            </w:r>
          </w:p>
        </w:tc>
        <w:tc>
          <w:tcPr>
            <w:tcW w:w="825" w:type="dxa"/>
            <w:vAlign w:val="center"/>
          </w:tcPr>
          <w:p w14:paraId="242129CC">
            <w:pPr>
              <w:spacing w:line="360" w:lineRule="auto"/>
              <w:jc w:val="center"/>
              <w:rPr>
                <w:rFonts w:ascii="宋体" w:hAnsi="宋体"/>
                <w:szCs w:val="21"/>
              </w:rPr>
            </w:pPr>
            <w:r>
              <w:rPr>
                <w:rFonts w:hint="eastAsia" w:ascii="宋体" w:hAnsi="宋体"/>
                <w:szCs w:val="21"/>
              </w:rPr>
              <w:t>26</w:t>
            </w:r>
          </w:p>
        </w:tc>
        <w:tc>
          <w:tcPr>
            <w:tcW w:w="1815" w:type="dxa"/>
            <w:vAlign w:val="center"/>
          </w:tcPr>
          <w:p w14:paraId="6E2AC0D0">
            <w:pPr>
              <w:spacing w:line="360" w:lineRule="auto"/>
              <w:jc w:val="center"/>
              <w:rPr>
                <w:rFonts w:ascii="宋体"/>
                <w:szCs w:val="21"/>
              </w:rPr>
            </w:pPr>
            <w:r>
              <w:rPr>
                <w:rFonts w:hint="eastAsia" w:ascii="宋体" w:hAnsi="宋体"/>
                <w:szCs w:val="21"/>
              </w:rPr>
              <w:t>信用查询</w:t>
            </w:r>
          </w:p>
        </w:tc>
        <w:tc>
          <w:tcPr>
            <w:tcW w:w="7205" w:type="dxa"/>
            <w:vAlign w:val="center"/>
          </w:tcPr>
          <w:p w14:paraId="4F99C6C5">
            <w:pPr>
              <w:spacing w:line="360" w:lineRule="auto"/>
              <w:ind w:left="15" w:hanging="14" w:hangingChars="7"/>
              <w:rPr>
                <w:rFonts w:ascii="宋体"/>
                <w:szCs w:val="21"/>
              </w:rPr>
            </w:pPr>
            <w:r>
              <w:rPr>
                <w:rFonts w:hint="eastAsia" w:ascii="宋体" w:hAnsi="宋体"/>
                <w:szCs w:val="21"/>
              </w:rPr>
              <w:t>根据《关于做好政府采购有关信用主体标识码登记及在政府采购活动中查询使用信用记录有关问题的通知》（桂财采〔</w:t>
            </w:r>
            <w:r>
              <w:rPr>
                <w:rFonts w:ascii="宋体" w:hAnsi="宋体"/>
                <w:szCs w:val="21"/>
              </w:rPr>
              <w:t>2016</w:t>
            </w:r>
            <w:r>
              <w:rPr>
                <w:rFonts w:hint="eastAsia" w:ascii="宋体" w:hAnsi="宋体"/>
                <w:szCs w:val="21"/>
              </w:rPr>
              <w:t>〕</w:t>
            </w:r>
            <w:r>
              <w:rPr>
                <w:rFonts w:ascii="宋体" w:hAnsi="宋体"/>
                <w:szCs w:val="21"/>
              </w:rPr>
              <w:t>37</w:t>
            </w:r>
            <w:r>
              <w:rPr>
                <w:rFonts w:hint="eastAsia" w:ascii="宋体" w:hAnsi="宋体"/>
                <w:szCs w:val="21"/>
              </w:rPr>
              <w:t>号），由采购代理机构对第一成交候选人进行信用查询：</w:t>
            </w:r>
          </w:p>
          <w:p w14:paraId="143184E7">
            <w:pPr>
              <w:spacing w:line="360" w:lineRule="auto"/>
              <w:ind w:left="15" w:hanging="14" w:hangingChars="7"/>
              <w:rPr>
                <w:rFonts w:ascii="宋体"/>
                <w:szCs w:val="21"/>
              </w:rPr>
            </w:pPr>
            <w:r>
              <w:rPr>
                <w:rFonts w:hint="eastAsia" w:ascii="宋体" w:hAnsi="宋体"/>
                <w:szCs w:val="21"/>
              </w:rPr>
              <w:t>⑴查询渠道：“信用中国”网站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w:t>
            </w:r>
          </w:p>
          <w:p w14:paraId="1FDCED70">
            <w:pPr>
              <w:spacing w:line="360" w:lineRule="auto"/>
              <w:ind w:left="315" w:hanging="315" w:hangingChars="150"/>
              <w:rPr>
                <w:rFonts w:ascii="宋体"/>
                <w:szCs w:val="21"/>
              </w:rPr>
            </w:pPr>
            <w:r>
              <w:rPr>
                <w:rFonts w:hint="eastAsia" w:ascii="宋体" w:hAnsi="宋体"/>
                <w:szCs w:val="21"/>
              </w:rPr>
              <w:t>⑵查询时间：成交通知书发出前；</w:t>
            </w:r>
          </w:p>
          <w:p w14:paraId="20692EAC">
            <w:pPr>
              <w:spacing w:line="360" w:lineRule="auto"/>
              <w:ind w:left="15" w:hanging="14" w:hangingChars="7"/>
              <w:rPr>
                <w:rFonts w:ascii="宋体"/>
                <w:szCs w:val="21"/>
              </w:rPr>
            </w:pPr>
            <w:r>
              <w:rPr>
                <w:rFonts w:hint="eastAsia" w:ascii="宋体" w:hAnsi="宋体"/>
                <w:szCs w:val="21"/>
              </w:rPr>
              <w:t>⑶信用信息查询记录和证据留存方式：在查询网站中直接打印查询记录，打印材料作为采购活动资料保存；</w:t>
            </w:r>
          </w:p>
          <w:p w14:paraId="77AA08DF">
            <w:pPr>
              <w:spacing w:line="360" w:lineRule="auto"/>
              <w:ind w:left="15" w:hanging="14" w:hangingChars="7"/>
              <w:rPr>
                <w:rFonts w:ascii="宋体"/>
                <w:szCs w:val="21"/>
              </w:rPr>
            </w:pPr>
            <w:r>
              <w:rPr>
                <w:rFonts w:hint="eastAsia" w:ascii="宋体" w:hAnsi="宋体"/>
                <w:szCs w:val="21"/>
              </w:rPr>
              <w:t>⑷信用信息使用规则：对在“信用中国”网站</w:t>
            </w:r>
            <w:r>
              <w:rPr>
                <w:rFonts w:ascii="宋体" w:hAnsi="宋体"/>
                <w:szCs w:val="21"/>
              </w:rPr>
              <w:t>(www.creditchina.gov.cn)</w:t>
            </w:r>
            <w:r>
              <w:rPr>
                <w:rFonts w:hint="eastAsia" w:ascii="宋体" w:hAnsi="宋体"/>
                <w:szCs w:val="21"/>
              </w:rPr>
              <w:t>、中国政府采购网</w:t>
            </w:r>
            <w:r>
              <w:rPr>
                <w:rFonts w:ascii="宋体" w:hAnsi="宋体"/>
                <w:szCs w:val="21"/>
              </w:rPr>
              <w:t>(www.ccgp.gov.cn)</w:t>
            </w:r>
            <w:r>
              <w:rPr>
                <w:rFonts w:hint="eastAsia" w:ascii="宋体" w:hAnsi="宋体"/>
                <w:szCs w:val="21"/>
              </w:rPr>
              <w:t>等渠道列入失信被执行人、重大税收违法案件当事人名单、政府采购严重违法失信行为记录名单及其他不符合《中华人民共和国政府采购法》第二十二条规定条件的供应商，取消其成交候选人资格。两个以上的自然人、法人或者其他组织组成一个联合体，以一个供应商的身份共同参加政府采购活动的，对所有联合体成员进行信用记录查询，联合体成员存在不良信用记录的，视同联合体存在不良信用记录。</w:t>
            </w:r>
          </w:p>
        </w:tc>
      </w:tr>
      <w:tr w14:paraId="0E48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25" w:type="dxa"/>
            <w:vAlign w:val="center"/>
          </w:tcPr>
          <w:p w14:paraId="0DBB0AD1">
            <w:pPr>
              <w:spacing w:line="360" w:lineRule="auto"/>
              <w:jc w:val="center"/>
              <w:rPr>
                <w:rFonts w:ascii="宋体" w:hAnsi="宋体"/>
                <w:szCs w:val="21"/>
              </w:rPr>
            </w:pPr>
            <w:r>
              <w:rPr>
                <w:rFonts w:hint="eastAsia" w:ascii="宋体" w:hAnsi="宋体"/>
                <w:szCs w:val="21"/>
              </w:rPr>
              <w:t>15</w:t>
            </w:r>
          </w:p>
        </w:tc>
        <w:tc>
          <w:tcPr>
            <w:tcW w:w="825" w:type="dxa"/>
            <w:vAlign w:val="center"/>
          </w:tcPr>
          <w:p w14:paraId="492B6B85">
            <w:pPr>
              <w:spacing w:line="360" w:lineRule="auto"/>
              <w:jc w:val="center"/>
              <w:rPr>
                <w:rFonts w:ascii="宋体" w:hAnsi="宋体"/>
                <w:szCs w:val="21"/>
              </w:rPr>
            </w:pPr>
            <w:r>
              <w:rPr>
                <w:rFonts w:hint="eastAsia" w:ascii="宋体" w:hAnsi="宋体"/>
                <w:szCs w:val="21"/>
              </w:rPr>
              <w:t>27</w:t>
            </w:r>
          </w:p>
        </w:tc>
        <w:tc>
          <w:tcPr>
            <w:tcW w:w="1815" w:type="dxa"/>
            <w:vAlign w:val="center"/>
          </w:tcPr>
          <w:p w14:paraId="352A9503">
            <w:pPr>
              <w:spacing w:line="360" w:lineRule="auto"/>
              <w:jc w:val="center"/>
              <w:rPr>
                <w:rFonts w:ascii="宋体"/>
                <w:szCs w:val="21"/>
              </w:rPr>
            </w:pPr>
            <w:r>
              <w:rPr>
                <w:rFonts w:hint="eastAsia" w:ascii="宋体" w:hAnsi="宋体"/>
                <w:szCs w:val="21"/>
              </w:rPr>
              <w:t>成交结果公告</w:t>
            </w:r>
          </w:p>
          <w:p w14:paraId="7D96A09A">
            <w:pPr>
              <w:spacing w:line="360" w:lineRule="auto"/>
              <w:jc w:val="center"/>
              <w:rPr>
                <w:rFonts w:ascii="宋体"/>
                <w:szCs w:val="21"/>
              </w:rPr>
            </w:pPr>
            <w:r>
              <w:rPr>
                <w:rFonts w:hint="eastAsia" w:ascii="宋体" w:hAnsi="宋体"/>
                <w:szCs w:val="21"/>
              </w:rPr>
              <w:t>及成交通知书</w:t>
            </w:r>
          </w:p>
        </w:tc>
        <w:tc>
          <w:tcPr>
            <w:tcW w:w="7205" w:type="dxa"/>
            <w:vAlign w:val="top"/>
          </w:tcPr>
          <w:p w14:paraId="6D30BC74">
            <w:pPr>
              <w:spacing w:line="360" w:lineRule="auto"/>
              <w:rPr>
                <w:rFonts w:ascii="宋体"/>
                <w:szCs w:val="21"/>
              </w:rPr>
            </w:pPr>
            <w:r>
              <w:rPr>
                <w:rFonts w:ascii="宋体" w:hAnsi="宋体"/>
                <w:szCs w:val="21"/>
              </w:rPr>
              <w:t>2</w:t>
            </w:r>
            <w:r>
              <w:rPr>
                <w:rFonts w:hint="eastAsia" w:ascii="宋体" w:hAnsi="宋体"/>
                <w:szCs w:val="21"/>
              </w:rPr>
              <w:t>7</w:t>
            </w:r>
            <w:r>
              <w:rPr>
                <w:rFonts w:ascii="宋体" w:hAnsi="宋体"/>
                <w:szCs w:val="21"/>
              </w:rPr>
              <w:t>.1</w:t>
            </w:r>
            <w:r>
              <w:rPr>
                <w:rFonts w:hint="eastAsia" w:ascii="宋体" w:hAnsi="宋体"/>
                <w:szCs w:val="21"/>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87BB06B">
            <w:pPr>
              <w:spacing w:line="360" w:lineRule="auto"/>
              <w:rPr>
                <w:rFonts w:ascii="宋体"/>
                <w:szCs w:val="21"/>
              </w:rPr>
            </w:pPr>
            <w:r>
              <w:rPr>
                <w:rFonts w:ascii="宋体" w:hAnsi="宋体"/>
                <w:szCs w:val="21"/>
              </w:rPr>
              <w:t>2</w:t>
            </w:r>
            <w:r>
              <w:rPr>
                <w:rFonts w:hint="eastAsia" w:ascii="宋体" w:hAnsi="宋体"/>
                <w:szCs w:val="21"/>
              </w:rPr>
              <w:t>7</w:t>
            </w:r>
            <w:r>
              <w:rPr>
                <w:rFonts w:ascii="宋体" w:hAnsi="宋体"/>
                <w:szCs w:val="21"/>
              </w:rPr>
              <w:t>.2</w:t>
            </w:r>
            <w:r>
              <w:rPr>
                <w:rFonts w:hint="eastAsia" w:ascii="宋体" w:hAnsi="宋体"/>
                <w:szCs w:val="21"/>
              </w:rPr>
              <w:t>成交公告发布的同时，采购代理机构在线向成交供应商发出电子成交通知书。</w:t>
            </w:r>
          </w:p>
        </w:tc>
      </w:tr>
      <w:tr w14:paraId="29FC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525" w:type="dxa"/>
            <w:vAlign w:val="center"/>
          </w:tcPr>
          <w:p w14:paraId="531EFE42">
            <w:pPr>
              <w:spacing w:line="360" w:lineRule="auto"/>
              <w:jc w:val="center"/>
              <w:rPr>
                <w:rFonts w:hint="eastAsia" w:ascii="宋体" w:hAnsi="宋体"/>
                <w:szCs w:val="21"/>
              </w:rPr>
            </w:pPr>
            <w:r>
              <w:rPr>
                <w:rFonts w:ascii="宋体" w:hAnsi="宋体"/>
                <w:szCs w:val="21"/>
              </w:rPr>
              <w:t>1</w:t>
            </w:r>
            <w:r>
              <w:rPr>
                <w:rFonts w:hint="eastAsia" w:ascii="宋体" w:hAnsi="宋体"/>
                <w:szCs w:val="21"/>
              </w:rPr>
              <w:t>6</w:t>
            </w:r>
          </w:p>
        </w:tc>
        <w:tc>
          <w:tcPr>
            <w:tcW w:w="825" w:type="dxa"/>
            <w:vAlign w:val="center"/>
          </w:tcPr>
          <w:p w14:paraId="06434E9B">
            <w:pPr>
              <w:spacing w:line="360" w:lineRule="auto"/>
              <w:jc w:val="center"/>
              <w:rPr>
                <w:rFonts w:ascii="宋体" w:hAnsi="宋体"/>
                <w:szCs w:val="21"/>
              </w:rPr>
            </w:pPr>
            <w:r>
              <w:rPr>
                <w:rFonts w:hint="eastAsia" w:ascii="宋体" w:hAnsi="宋体"/>
                <w:szCs w:val="21"/>
              </w:rPr>
              <w:t>28</w:t>
            </w:r>
          </w:p>
        </w:tc>
        <w:tc>
          <w:tcPr>
            <w:tcW w:w="1815" w:type="dxa"/>
            <w:vAlign w:val="center"/>
          </w:tcPr>
          <w:p w14:paraId="79A8DD03">
            <w:pPr>
              <w:spacing w:line="360" w:lineRule="auto"/>
              <w:jc w:val="center"/>
              <w:rPr>
                <w:rFonts w:ascii="宋体"/>
                <w:szCs w:val="21"/>
              </w:rPr>
            </w:pPr>
            <w:r>
              <w:rPr>
                <w:rFonts w:hint="eastAsia" w:ascii="宋体" w:hAnsi="宋体"/>
                <w:szCs w:val="21"/>
              </w:rPr>
              <w:t>履约保证金</w:t>
            </w:r>
          </w:p>
        </w:tc>
        <w:tc>
          <w:tcPr>
            <w:tcW w:w="7205" w:type="dxa"/>
            <w:vAlign w:val="center"/>
          </w:tcPr>
          <w:p w14:paraId="1286DE7F">
            <w:pPr>
              <w:snapToGrid/>
              <w:spacing w:line="360" w:lineRule="auto"/>
              <w:ind w:left="0" w:leftChars="0" w:right="0" w:rightChars="0" w:firstLine="0" w:firstLineChars="0"/>
              <w:jc w:val="left"/>
              <w:rPr>
                <w:rFonts w:hint="eastAsia" w:ascii="宋体" w:hAnsi="宋体" w:eastAsia="宋体" w:cs="Times New Roman"/>
                <w:color w:val="auto"/>
                <w:sz w:val="21"/>
                <w:highlight w:val="none"/>
                <w:u w:val="none"/>
                <w:vertAlign w:val="baseline"/>
                <w:lang w:eastAsia="zh-CN"/>
              </w:rPr>
            </w:pPr>
            <w:r>
              <w:rPr>
                <w:rFonts w:hint="eastAsia" w:ascii="宋体" w:hAnsi="宋体" w:eastAsia="宋体" w:cs="Times New Roman"/>
                <w:color w:val="auto"/>
                <w:sz w:val="21"/>
                <w:highlight w:val="none"/>
                <w:u w:val="none"/>
                <w:vertAlign w:val="baseline"/>
                <w:lang w:eastAsia="zh-CN"/>
              </w:rPr>
              <w:t>1.履约保证金为：</w:t>
            </w:r>
            <w:r>
              <w:rPr>
                <w:rFonts w:hint="eastAsia" w:ascii="宋体" w:hAnsi="宋体" w:eastAsia="宋体" w:cs="Times New Roman"/>
                <w:sz w:val="21"/>
                <w:lang w:val="en-US" w:eastAsia="zh-CN"/>
              </w:rPr>
              <w:t>“</w:t>
            </w:r>
            <w:r>
              <w:rPr>
                <w:rFonts w:hint="eastAsia" w:ascii="宋体" w:hAnsi="宋体" w:eastAsia="宋体" w:cs="Times New Roman"/>
                <w:color w:val="auto"/>
                <w:kern w:val="2"/>
                <w:sz w:val="21"/>
                <w:szCs w:val="24"/>
                <w:highlight w:val="none"/>
              </w:rPr>
              <w:t>合同签订之前，</w:t>
            </w:r>
            <w:r>
              <w:rPr>
                <w:rFonts w:hint="eastAsia" w:ascii="宋体" w:hAnsi="宋体" w:eastAsia="宋体" w:cs="Times New Roman"/>
                <w:color w:val="auto"/>
                <w:kern w:val="2"/>
                <w:sz w:val="21"/>
                <w:szCs w:val="24"/>
                <w:highlight w:val="none"/>
                <w:lang w:eastAsia="zh-CN"/>
              </w:rPr>
              <w:t>成交</w:t>
            </w:r>
            <w:r>
              <w:rPr>
                <w:rFonts w:hint="eastAsia" w:ascii="宋体" w:hAnsi="宋体" w:eastAsia="宋体" w:cs="Times New Roman"/>
                <w:color w:val="auto"/>
                <w:kern w:val="2"/>
                <w:sz w:val="21"/>
                <w:szCs w:val="24"/>
                <w:highlight w:val="none"/>
              </w:rPr>
              <w:t>供应商向采购人缴纳履约保证金[根据《广西壮族自治区财政厅关于持续优化政府采购营商环境推动高质量发展的通知》（桂财采〔2024〕55号）规定，大型企业按中标金额的5%收取履约保证金；中小企业按中标金额的2%收取履约保证金]</w:t>
            </w:r>
            <w:r>
              <w:rPr>
                <w:rFonts w:hint="eastAsia" w:ascii="宋体" w:hAnsi="宋体" w:eastAsia="宋体" w:cs="Times New Roman"/>
                <w:color w:val="auto"/>
                <w:kern w:val="2"/>
                <w:sz w:val="21"/>
                <w:szCs w:val="24"/>
                <w:highlight w:val="none"/>
                <w:lang w:eastAsia="zh-CN"/>
              </w:rPr>
              <w:t>。</w:t>
            </w:r>
            <w:r>
              <w:rPr>
                <w:rFonts w:hint="eastAsia" w:ascii="宋体" w:hAnsi="宋体" w:eastAsia="宋体" w:cs="Times New Roman"/>
                <w:sz w:val="21"/>
                <w:lang w:val="en-US" w:eastAsia="zh-CN"/>
              </w:rPr>
              <w:t>”</w:t>
            </w:r>
          </w:p>
          <w:p w14:paraId="370C60B0">
            <w:pPr>
              <w:snapToGrid/>
              <w:spacing w:line="360" w:lineRule="auto"/>
              <w:ind w:left="0" w:leftChars="0" w:right="0" w:rightChars="0" w:firstLine="0" w:firstLineChars="0"/>
              <w:jc w:val="left"/>
              <w:rPr>
                <w:rFonts w:hint="eastAsia" w:ascii="宋体" w:hAnsi="宋体" w:eastAsia="宋体" w:cs="Times New Roman"/>
                <w:color w:val="auto"/>
                <w:sz w:val="21"/>
                <w:highlight w:val="none"/>
                <w:u w:val="none"/>
                <w:vertAlign w:val="baseline"/>
                <w:lang w:eastAsia="zh-CN"/>
              </w:rPr>
            </w:pPr>
            <w:r>
              <w:rPr>
                <w:rFonts w:hint="eastAsia" w:ascii="宋体" w:hAnsi="宋体" w:eastAsia="宋体" w:cs="Times New Roman"/>
                <w:color w:val="auto"/>
                <w:sz w:val="21"/>
                <w:highlight w:val="none"/>
                <w:u w:val="none"/>
                <w:vertAlign w:val="baseline"/>
                <w:lang w:eastAsia="zh-CN"/>
              </w:rPr>
              <w:t>2.递交方式：银行转账、支票、汇票、本票或者金融机构、保险机构出具的保函等非现金方式。</w:t>
            </w:r>
          </w:p>
          <w:p w14:paraId="172458DD">
            <w:pPr>
              <w:spacing w:line="360" w:lineRule="auto"/>
              <w:rPr>
                <w:rFonts w:hint="eastAsia" w:ascii="宋体"/>
                <w:szCs w:val="21"/>
              </w:rPr>
            </w:pPr>
            <w:r>
              <w:rPr>
                <w:rFonts w:hint="eastAsia" w:ascii="宋体" w:hAnsi="宋体" w:eastAsia="宋体" w:cs="Times New Roman"/>
                <w:color w:val="auto"/>
                <w:sz w:val="21"/>
                <w:highlight w:val="none"/>
                <w:u w:val="none"/>
                <w:vertAlign w:val="baseline"/>
                <w:lang w:eastAsia="zh-CN"/>
              </w:rPr>
              <w:t>3.履约保证金在项目验收通过后，由</w:t>
            </w:r>
            <w:r>
              <w:rPr>
                <w:rFonts w:hint="eastAsia" w:ascii="宋体" w:hAnsi="宋体" w:eastAsia="宋体" w:cs="Times New Roman"/>
                <w:color w:val="auto"/>
                <w:sz w:val="21"/>
                <w:highlight w:val="none"/>
                <w:u w:val="none"/>
                <w:vertAlign w:val="baseline"/>
                <w:lang w:val="en-US" w:eastAsia="zh-CN"/>
              </w:rPr>
              <w:t>成交</w:t>
            </w:r>
            <w:r>
              <w:rPr>
                <w:rFonts w:hint="eastAsia" w:ascii="宋体" w:hAnsi="宋体" w:eastAsia="宋体" w:cs="Times New Roman"/>
                <w:color w:val="auto"/>
                <w:sz w:val="21"/>
                <w:highlight w:val="none"/>
                <w:u w:val="none"/>
                <w:vertAlign w:val="baseline"/>
                <w:lang w:eastAsia="zh-CN"/>
              </w:rPr>
              <w:t>供应商向采购人提出申请，采购人在收到材料后5个工作日内如数退还（不计利息）。涉及违约的违约金和损失赔偿从履约保证金中扣减。</w:t>
            </w:r>
          </w:p>
        </w:tc>
      </w:tr>
      <w:tr w14:paraId="0EB46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Align w:val="center"/>
          </w:tcPr>
          <w:p w14:paraId="3937EAA7">
            <w:pPr>
              <w:spacing w:line="360" w:lineRule="auto"/>
              <w:jc w:val="center"/>
              <w:rPr>
                <w:rFonts w:ascii="宋体" w:hAnsi="宋体"/>
                <w:szCs w:val="21"/>
              </w:rPr>
            </w:pPr>
            <w:r>
              <w:rPr>
                <w:rFonts w:hint="eastAsia" w:ascii="宋体" w:hAnsi="宋体"/>
                <w:szCs w:val="21"/>
              </w:rPr>
              <w:t>17</w:t>
            </w:r>
          </w:p>
        </w:tc>
        <w:tc>
          <w:tcPr>
            <w:tcW w:w="825" w:type="dxa"/>
            <w:vAlign w:val="center"/>
          </w:tcPr>
          <w:p w14:paraId="55505873">
            <w:pPr>
              <w:spacing w:line="360" w:lineRule="auto"/>
              <w:jc w:val="center"/>
              <w:rPr>
                <w:rFonts w:ascii="宋体" w:hAnsi="宋体"/>
                <w:szCs w:val="21"/>
              </w:rPr>
            </w:pPr>
            <w:r>
              <w:rPr>
                <w:rFonts w:hint="eastAsia" w:ascii="宋体" w:hAnsi="宋体"/>
                <w:szCs w:val="21"/>
              </w:rPr>
              <w:t>29</w:t>
            </w:r>
            <w:r>
              <w:rPr>
                <w:rFonts w:ascii="宋体" w:hAnsi="宋体"/>
                <w:szCs w:val="21"/>
              </w:rPr>
              <w:t>.1</w:t>
            </w:r>
          </w:p>
        </w:tc>
        <w:tc>
          <w:tcPr>
            <w:tcW w:w="1815" w:type="dxa"/>
            <w:vAlign w:val="center"/>
          </w:tcPr>
          <w:p w14:paraId="1DE13098">
            <w:pPr>
              <w:spacing w:line="360" w:lineRule="auto"/>
              <w:jc w:val="center"/>
              <w:rPr>
                <w:rFonts w:ascii="宋体"/>
                <w:szCs w:val="21"/>
              </w:rPr>
            </w:pPr>
            <w:r>
              <w:rPr>
                <w:rFonts w:hint="eastAsia" w:ascii="宋体" w:hAnsi="宋体"/>
                <w:szCs w:val="21"/>
              </w:rPr>
              <w:t>签订合同时间</w:t>
            </w:r>
          </w:p>
        </w:tc>
        <w:tc>
          <w:tcPr>
            <w:tcW w:w="7205" w:type="dxa"/>
            <w:vAlign w:val="top"/>
          </w:tcPr>
          <w:p w14:paraId="23E1F5F1">
            <w:pPr>
              <w:spacing w:line="360" w:lineRule="auto"/>
              <w:rPr>
                <w:rFonts w:ascii="宋体"/>
                <w:szCs w:val="21"/>
              </w:rPr>
            </w:pPr>
            <w:r>
              <w:rPr>
                <w:rFonts w:hint="eastAsia" w:ascii="宋体" w:hAnsi="宋体"/>
              </w:rPr>
              <w:t>成交通知书发出之日起八个工作日内。</w:t>
            </w:r>
            <w:r>
              <w:rPr>
                <w:rFonts w:hint="eastAsia" w:ascii="宋体" w:hAnsi="宋体"/>
                <w:szCs w:val="21"/>
              </w:rPr>
              <w:t>成交供应商收到成交通知书后，</w:t>
            </w:r>
            <w:r>
              <w:rPr>
                <w:rFonts w:hint="eastAsia" w:ascii="宋体" w:hAnsi="宋体" w:cs="宋体"/>
                <w:szCs w:val="21"/>
              </w:rPr>
              <w:t>应按规定与采购人在广西政府采购云平台上在线签订电子合同。</w:t>
            </w:r>
          </w:p>
        </w:tc>
      </w:tr>
      <w:tr w14:paraId="45D0F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14:paraId="000DB418">
            <w:pPr>
              <w:spacing w:line="360" w:lineRule="auto"/>
              <w:jc w:val="center"/>
              <w:rPr>
                <w:rFonts w:ascii="宋体" w:hAnsi="宋体"/>
                <w:szCs w:val="21"/>
              </w:rPr>
            </w:pPr>
            <w:r>
              <w:rPr>
                <w:rFonts w:hint="eastAsia" w:ascii="宋体" w:hAnsi="宋体"/>
                <w:szCs w:val="21"/>
              </w:rPr>
              <w:t>18</w:t>
            </w:r>
          </w:p>
        </w:tc>
        <w:tc>
          <w:tcPr>
            <w:tcW w:w="825" w:type="dxa"/>
            <w:vAlign w:val="center"/>
          </w:tcPr>
          <w:p w14:paraId="1D986E16">
            <w:pPr>
              <w:spacing w:line="360" w:lineRule="auto"/>
              <w:jc w:val="center"/>
              <w:rPr>
                <w:rFonts w:hint="eastAsia" w:ascii="宋体" w:hAnsi="宋体"/>
                <w:szCs w:val="21"/>
              </w:rPr>
            </w:pPr>
            <w:r>
              <w:rPr>
                <w:rFonts w:hint="eastAsia" w:ascii="宋体" w:hAnsi="宋体"/>
                <w:szCs w:val="21"/>
              </w:rPr>
              <w:t>29</w:t>
            </w:r>
            <w:r>
              <w:rPr>
                <w:rFonts w:ascii="宋体" w:hAnsi="宋体"/>
                <w:szCs w:val="21"/>
              </w:rPr>
              <w:t>.</w:t>
            </w:r>
            <w:r>
              <w:rPr>
                <w:rFonts w:hint="eastAsia" w:ascii="宋体" w:hAnsi="宋体"/>
                <w:szCs w:val="21"/>
              </w:rPr>
              <w:t>3</w:t>
            </w:r>
          </w:p>
        </w:tc>
        <w:tc>
          <w:tcPr>
            <w:tcW w:w="1815" w:type="dxa"/>
            <w:vAlign w:val="center"/>
          </w:tcPr>
          <w:p w14:paraId="0C47D1B1">
            <w:pPr>
              <w:spacing w:line="360" w:lineRule="auto"/>
              <w:jc w:val="center"/>
              <w:rPr>
                <w:rFonts w:ascii="宋体"/>
                <w:szCs w:val="21"/>
              </w:rPr>
            </w:pPr>
            <w:r>
              <w:rPr>
                <w:rFonts w:hint="eastAsia" w:ascii="宋体" w:hAnsi="宋体"/>
                <w:szCs w:val="21"/>
              </w:rPr>
              <w:t>合同备案存档</w:t>
            </w:r>
          </w:p>
        </w:tc>
        <w:tc>
          <w:tcPr>
            <w:tcW w:w="7205" w:type="dxa"/>
            <w:vAlign w:val="center"/>
          </w:tcPr>
          <w:p w14:paraId="401D20B2">
            <w:pPr>
              <w:spacing w:line="360" w:lineRule="auto"/>
              <w:rPr>
                <w:rFonts w:ascii="宋体"/>
                <w:szCs w:val="21"/>
              </w:rPr>
            </w:pPr>
            <w:r>
              <w:rPr>
                <w:rFonts w:hint="eastAsia" w:ascii="宋体" w:hAnsi="宋体" w:cs="宋体"/>
                <w:szCs w:val="21"/>
              </w:rPr>
              <w:t>政府采购合同双方自签订之日起将自动存档于广西政府采购云平台上，</w:t>
            </w:r>
            <w:r>
              <w:rPr>
                <w:rFonts w:hint="eastAsia" w:ascii="宋体"/>
                <w:szCs w:val="21"/>
              </w:rPr>
              <w:t>采购人于合同签订之日起七个工作日内将一份合同原件送本级财政部门备案。</w:t>
            </w:r>
          </w:p>
        </w:tc>
      </w:tr>
      <w:tr w14:paraId="06C9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vAlign w:val="center"/>
          </w:tcPr>
          <w:p w14:paraId="42879B02">
            <w:pPr>
              <w:spacing w:line="360" w:lineRule="auto"/>
              <w:jc w:val="center"/>
              <w:rPr>
                <w:rFonts w:ascii="宋体" w:hAnsi="宋体"/>
                <w:szCs w:val="21"/>
              </w:rPr>
            </w:pPr>
            <w:r>
              <w:rPr>
                <w:rFonts w:hint="eastAsia" w:ascii="宋体" w:hAnsi="宋体"/>
                <w:szCs w:val="21"/>
              </w:rPr>
              <w:t>19</w:t>
            </w:r>
          </w:p>
        </w:tc>
        <w:tc>
          <w:tcPr>
            <w:tcW w:w="825" w:type="dxa"/>
            <w:vAlign w:val="center"/>
          </w:tcPr>
          <w:p w14:paraId="30AC3AB3">
            <w:pPr>
              <w:spacing w:line="360" w:lineRule="auto"/>
              <w:jc w:val="center"/>
              <w:rPr>
                <w:rFonts w:ascii="宋体" w:hAnsi="宋体"/>
                <w:szCs w:val="21"/>
              </w:rPr>
            </w:pPr>
            <w:r>
              <w:rPr>
                <w:rFonts w:hint="eastAsia" w:ascii="宋体" w:hAnsi="宋体"/>
                <w:szCs w:val="21"/>
              </w:rPr>
              <w:t>30</w:t>
            </w:r>
          </w:p>
        </w:tc>
        <w:tc>
          <w:tcPr>
            <w:tcW w:w="1815" w:type="dxa"/>
            <w:vAlign w:val="center"/>
          </w:tcPr>
          <w:p w14:paraId="4065CC52">
            <w:pPr>
              <w:spacing w:line="360" w:lineRule="auto"/>
              <w:jc w:val="center"/>
              <w:rPr>
                <w:rFonts w:ascii="宋体"/>
                <w:szCs w:val="21"/>
              </w:rPr>
            </w:pPr>
            <w:r>
              <w:rPr>
                <w:rFonts w:hint="eastAsia" w:ascii="宋体" w:hAnsi="宋体"/>
                <w:szCs w:val="21"/>
              </w:rPr>
              <w:t>采购代理服务费</w:t>
            </w:r>
          </w:p>
        </w:tc>
        <w:tc>
          <w:tcPr>
            <w:tcW w:w="7205" w:type="dxa"/>
            <w:vAlign w:val="top"/>
          </w:tcPr>
          <w:p w14:paraId="4F7E4F74">
            <w:pPr>
              <w:spacing w:line="360" w:lineRule="auto"/>
              <w:rPr>
                <w:rFonts w:hint="eastAsia" w:ascii="宋体" w:hAnsi="宋体"/>
                <w:szCs w:val="21"/>
              </w:rPr>
            </w:pPr>
            <w:r>
              <w:rPr>
                <w:rFonts w:hint="eastAsia" w:ascii="宋体" w:hAnsi="宋体"/>
              </w:rPr>
              <w:t>本项目不收取代理服务费。</w:t>
            </w:r>
          </w:p>
        </w:tc>
      </w:tr>
      <w:tr w14:paraId="713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525" w:type="dxa"/>
            <w:shd w:val="clear" w:color="auto" w:fill="auto"/>
            <w:vAlign w:val="center"/>
          </w:tcPr>
          <w:p w14:paraId="15561E9E">
            <w:pPr>
              <w:spacing w:line="360" w:lineRule="exact"/>
              <w:jc w:val="center"/>
              <w:rPr>
                <w:rFonts w:hint="eastAsia" w:ascii="宋体" w:hAnsi="宋体" w:eastAsia="宋体" w:cs="宋体"/>
                <w:kern w:val="2"/>
                <w:sz w:val="21"/>
                <w:szCs w:val="21"/>
                <w:lang w:val="en-US" w:eastAsia="zh-CN" w:bidi="ar-SA"/>
              </w:rPr>
            </w:pPr>
            <w:r>
              <w:rPr>
                <w:rFonts w:hint="eastAsia" w:ascii="宋体" w:hAnsi="宋体" w:cs="宋体"/>
                <w:szCs w:val="21"/>
                <w:lang w:val="en-US" w:eastAsia="zh-CN"/>
              </w:rPr>
              <w:t>20</w:t>
            </w:r>
          </w:p>
        </w:tc>
        <w:tc>
          <w:tcPr>
            <w:tcW w:w="825" w:type="dxa"/>
            <w:shd w:val="clear" w:color="auto" w:fill="auto"/>
            <w:vAlign w:val="center"/>
          </w:tcPr>
          <w:p w14:paraId="69B9694F">
            <w:pPr>
              <w:spacing w:line="360" w:lineRule="exact"/>
              <w:jc w:val="center"/>
              <w:rPr>
                <w:rFonts w:hint="default" w:ascii="宋体" w:hAnsi="宋体" w:eastAsia="宋体" w:cs="宋体"/>
                <w:kern w:val="2"/>
                <w:sz w:val="21"/>
                <w:szCs w:val="21"/>
                <w:lang w:val="en-US" w:eastAsia="zh-CN" w:bidi="ar-SA"/>
              </w:rPr>
            </w:pPr>
            <w:r>
              <w:rPr>
                <w:rFonts w:hint="eastAsia" w:ascii="宋体" w:hAnsi="宋体" w:cs="宋体"/>
                <w:szCs w:val="21"/>
                <w:lang w:val="en-US" w:eastAsia="zh-CN"/>
              </w:rPr>
              <w:t>31</w:t>
            </w:r>
          </w:p>
        </w:tc>
        <w:tc>
          <w:tcPr>
            <w:tcW w:w="1815" w:type="dxa"/>
            <w:shd w:val="clear" w:color="auto" w:fill="auto"/>
            <w:vAlign w:val="center"/>
          </w:tcPr>
          <w:p w14:paraId="0B806D5E">
            <w:pPr>
              <w:spacing w:line="380" w:lineRule="exact"/>
              <w:ind w:firstLine="0" w:firstLineChars="0"/>
              <w:outlineLvl w:val="2"/>
              <w:rPr>
                <w:rFonts w:hint="eastAsia" w:ascii="宋体" w:hAnsi="宋体" w:eastAsia="宋体" w:cs="宋体"/>
                <w:b w:val="0"/>
                <w:bCs/>
                <w:kern w:val="2"/>
                <w:sz w:val="21"/>
                <w:szCs w:val="21"/>
                <w:lang w:val="en-US" w:eastAsia="zh-CN"/>
              </w:rPr>
            </w:pPr>
            <w:r>
              <w:rPr>
                <w:rFonts w:hint="eastAsia" w:ascii="宋体" w:hAnsi="宋体" w:eastAsia="宋体" w:cs="宋体"/>
                <w:b w:val="0"/>
                <w:bCs/>
                <w:kern w:val="2"/>
                <w:sz w:val="21"/>
                <w:szCs w:val="21"/>
                <w:lang w:val="en-US" w:eastAsia="zh-CN"/>
              </w:rPr>
              <w:t>本国产品标准及相关政策</w:t>
            </w:r>
          </w:p>
          <w:p w14:paraId="0DEA93B3">
            <w:pPr>
              <w:spacing w:line="360" w:lineRule="exact"/>
              <w:jc w:val="center"/>
              <w:rPr>
                <w:rFonts w:hint="eastAsia" w:ascii="宋体" w:hAnsi="宋体" w:eastAsia="宋体" w:cs="宋体"/>
                <w:kern w:val="2"/>
                <w:sz w:val="21"/>
                <w:szCs w:val="21"/>
                <w:lang w:val="en-US" w:eastAsia="zh-CN" w:bidi="ar-SA"/>
              </w:rPr>
            </w:pPr>
          </w:p>
        </w:tc>
        <w:tc>
          <w:tcPr>
            <w:tcW w:w="7205" w:type="dxa"/>
            <w:shd w:val="clear" w:color="auto" w:fill="auto"/>
            <w:vAlign w:val="center"/>
          </w:tcPr>
          <w:p w14:paraId="09495B37">
            <w:pPr>
              <w:spacing w:line="360" w:lineRule="exact"/>
              <w:rPr>
                <w:rFonts w:hint="eastAsia" w:ascii="宋体" w:hAnsi="宋体" w:eastAsia="宋体" w:cs="宋体"/>
                <w:kern w:val="2"/>
                <w:sz w:val="21"/>
                <w:szCs w:val="21"/>
                <w:lang w:val="en-US" w:eastAsia="zh-CN" w:bidi="ar-SA"/>
              </w:rPr>
            </w:pPr>
            <w:r>
              <w:rPr>
                <w:rFonts w:hint="eastAsia" w:ascii="宋体" w:hAnsi="宋体" w:eastAsia="宋体" w:cs="宋体"/>
                <w:b w:val="0"/>
                <w:bCs w:val="0"/>
                <w:sz w:val="21"/>
                <w:szCs w:val="21"/>
                <w:lang w:val="en-US" w:eastAsia="zh-CN"/>
              </w:rPr>
              <w:t>《</w:t>
            </w:r>
            <w:r>
              <w:rPr>
                <w:rFonts w:hint="eastAsia" w:ascii="宋体" w:hAnsi="宋体" w:eastAsia="宋体" w:cs="宋体"/>
                <w:b w:val="0"/>
                <w:bCs w:val="0"/>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val="0"/>
                <w:bCs w:val="0"/>
                <w:sz w:val="21"/>
                <w:szCs w:val="21"/>
                <w:lang w:val="en-US" w:eastAsia="zh-CN"/>
              </w:rPr>
              <w:t>》（国办发〔2025〕34号）</w:t>
            </w:r>
          </w:p>
        </w:tc>
      </w:tr>
      <w:tr w14:paraId="70F4B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25" w:type="dxa"/>
            <w:vAlign w:val="center"/>
          </w:tcPr>
          <w:p w14:paraId="2D8FA055">
            <w:pPr>
              <w:spacing w:line="360" w:lineRule="auto"/>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1</w:t>
            </w:r>
          </w:p>
        </w:tc>
        <w:tc>
          <w:tcPr>
            <w:tcW w:w="825" w:type="dxa"/>
            <w:vAlign w:val="center"/>
          </w:tcPr>
          <w:p w14:paraId="0D9900F6">
            <w:pPr>
              <w:spacing w:line="360" w:lineRule="auto"/>
              <w:jc w:val="center"/>
              <w:rPr>
                <w:rFonts w:hint="eastAsia" w:ascii="宋体" w:hAnsi="宋体" w:eastAsia="宋体"/>
                <w:szCs w:val="21"/>
                <w:lang w:eastAsia="zh-CN"/>
              </w:rPr>
            </w:pPr>
            <w:r>
              <w:rPr>
                <w:rFonts w:ascii="宋体" w:hAnsi="宋体"/>
                <w:szCs w:val="21"/>
              </w:rPr>
              <w:t>3</w:t>
            </w:r>
            <w:r>
              <w:rPr>
                <w:rFonts w:hint="eastAsia" w:ascii="宋体" w:hAnsi="宋体"/>
                <w:szCs w:val="21"/>
                <w:lang w:val="en-US" w:eastAsia="zh-CN"/>
              </w:rPr>
              <w:t>2</w:t>
            </w:r>
          </w:p>
        </w:tc>
        <w:tc>
          <w:tcPr>
            <w:tcW w:w="1815" w:type="dxa"/>
            <w:vAlign w:val="center"/>
          </w:tcPr>
          <w:p w14:paraId="379016F7">
            <w:pPr>
              <w:spacing w:line="360" w:lineRule="auto"/>
              <w:jc w:val="center"/>
              <w:rPr>
                <w:rFonts w:ascii="宋体"/>
                <w:szCs w:val="21"/>
              </w:rPr>
            </w:pPr>
            <w:r>
              <w:rPr>
                <w:rFonts w:hint="eastAsia" w:ascii="宋体" w:hAnsi="宋体"/>
                <w:szCs w:val="21"/>
                <w:lang w:eastAsia="zh-CN"/>
              </w:rPr>
              <w:t>编制依据</w:t>
            </w:r>
          </w:p>
        </w:tc>
        <w:tc>
          <w:tcPr>
            <w:tcW w:w="7205" w:type="dxa"/>
            <w:vAlign w:val="top"/>
          </w:tcPr>
          <w:p w14:paraId="2AB84B79">
            <w:pPr>
              <w:spacing w:line="360" w:lineRule="auto"/>
              <w:rPr>
                <w:rFonts w:ascii="宋体"/>
                <w:szCs w:val="21"/>
              </w:rPr>
            </w:pPr>
            <w:r>
              <w:rPr>
                <w:rFonts w:hint="eastAsia" w:ascii="宋体" w:hAnsi="宋体"/>
              </w:rPr>
              <w:t>本竞争性谈判文件是根据《中华人民共和国政府采购法》《中华人民共和国政府采购法实施条例》《政府采购非招标采购方式管理办法》和政府采购管理有关规定编制。</w:t>
            </w:r>
          </w:p>
        </w:tc>
      </w:tr>
      <w:tr w14:paraId="1212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25" w:type="dxa"/>
            <w:vAlign w:val="center"/>
          </w:tcPr>
          <w:p w14:paraId="7B08BB88">
            <w:pPr>
              <w:spacing w:line="360" w:lineRule="auto"/>
              <w:jc w:val="center"/>
              <w:rPr>
                <w:rFonts w:hint="eastAsia" w:ascii="宋体" w:hAnsi="宋体" w:eastAsia="宋体"/>
                <w:szCs w:val="21"/>
                <w:lang w:eastAsia="zh-CN"/>
              </w:rPr>
            </w:pPr>
            <w:r>
              <w:rPr>
                <w:rFonts w:hint="eastAsia" w:ascii="宋体" w:hAnsi="宋体"/>
                <w:szCs w:val="21"/>
              </w:rPr>
              <w:t>2</w:t>
            </w:r>
            <w:r>
              <w:rPr>
                <w:rFonts w:hint="eastAsia" w:ascii="宋体" w:hAnsi="宋体"/>
                <w:szCs w:val="21"/>
                <w:lang w:val="en-US" w:eastAsia="zh-CN"/>
              </w:rPr>
              <w:t>2</w:t>
            </w:r>
          </w:p>
        </w:tc>
        <w:tc>
          <w:tcPr>
            <w:tcW w:w="825" w:type="dxa"/>
            <w:vAlign w:val="center"/>
          </w:tcPr>
          <w:p w14:paraId="4AB7D9B4">
            <w:pPr>
              <w:spacing w:line="360" w:lineRule="auto"/>
              <w:jc w:val="center"/>
              <w:rPr>
                <w:rFonts w:hint="eastAsia" w:ascii="宋体" w:hAnsi="宋体" w:eastAsia="宋体"/>
                <w:szCs w:val="21"/>
                <w:lang w:eastAsia="zh-CN"/>
              </w:rPr>
            </w:pPr>
            <w:r>
              <w:rPr>
                <w:rFonts w:ascii="宋体" w:hAnsi="宋体"/>
                <w:szCs w:val="21"/>
              </w:rPr>
              <w:t>3</w:t>
            </w:r>
            <w:r>
              <w:rPr>
                <w:rFonts w:hint="eastAsia" w:ascii="宋体" w:hAnsi="宋体"/>
                <w:szCs w:val="21"/>
                <w:lang w:val="en-US" w:eastAsia="zh-CN"/>
              </w:rPr>
              <w:t>3</w:t>
            </w:r>
          </w:p>
        </w:tc>
        <w:tc>
          <w:tcPr>
            <w:tcW w:w="1815" w:type="dxa"/>
            <w:vAlign w:val="center"/>
          </w:tcPr>
          <w:p w14:paraId="34BB82E6">
            <w:pPr>
              <w:spacing w:line="360" w:lineRule="auto"/>
              <w:jc w:val="center"/>
              <w:rPr>
                <w:rFonts w:ascii="宋体"/>
                <w:szCs w:val="21"/>
              </w:rPr>
            </w:pPr>
            <w:r>
              <w:rPr>
                <w:rFonts w:hint="eastAsia" w:ascii="宋体" w:hAnsi="宋体"/>
                <w:szCs w:val="21"/>
              </w:rPr>
              <w:t>监督管理机构</w:t>
            </w:r>
          </w:p>
        </w:tc>
        <w:tc>
          <w:tcPr>
            <w:tcW w:w="7205" w:type="dxa"/>
            <w:vAlign w:val="center"/>
          </w:tcPr>
          <w:p w14:paraId="53D372CC">
            <w:pPr>
              <w:spacing w:line="360" w:lineRule="auto"/>
              <w:rPr>
                <w:rFonts w:hint="eastAsia" w:ascii="宋体" w:hAnsi="宋体"/>
                <w:szCs w:val="21"/>
                <w:highlight w:val="none"/>
              </w:rPr>
            </w:pPr>
            <w:r>
              <w:rPr>
                <w:rFonts w:hint="eastAsia" w:ascii="宋体" w:hAnsi="宋体"/>
                <w:szCs w:val="21"/>
                <w:highlight w:val="none"/>
                <w:lang w:val="en-US" w:eastAsia="zh-CN"/>
              </w:rPr>
              <w:t>资源县</w:t>
            </w:r>
            <w:r>
              <w:rPr>
                <w:rFonts w:hint="eastAsia" w:ascii="宋体" w:hAnsi="宋体"/>
                <w:szCs w:val="21"/>
                <w:highlight w:val="none"/>
              </w:rPr>
              <w:t xml:space="preserve">财政局   </w:t>
            </w:r>
            <w:r>
              <w:rPr>
                <w:rFonts w:hint="eastAsia" w:ascii="宋体" w:hAnsi="宋体"/>
                <w:szCs w:val="21"/>
                <w:highlight w:val="none"/>
                <w:lang w:val="en-US" w:eastAsia="zh-CN"/>
              </w:rPr>
              <w:t xml:space="preserve">                                       </w:t>
            </w:r>
            <w:r>
              <w:rPr>
                <w:rFonts w:hint="eastAsia" w:ascii="宋体" w:hAnsi="宋体"/>
                <w:szCs w:val="21"/>
                <w:highlight w:val="none"/>
                <w:lang w:eastAsia="zh-CN"/>
              </w:rPr>
              <w:t>0773-4315648</w:t>
            </w:r>
          </w:p>
        </w:tc>
      </w:tr>
    </w:tbl>
    <w:p w14:paraId="7A32E712">
      <w:pPr>
        <w:pStyle w:val="16"/>
        <w:rPr>
          <w:rFonts w:hint="eastAsia"/>
        </w:rPr>
      </w:pPr>
    </w:p>
    <w:p w14:paraId="75744E3C">
      <w:pPr>
        <w:rPr>
          <w:rFonts w:hint="eastAsia" w:ascii="宋体" w:hAnsi="宋体"/>
          <w:szCs w:val="21"/>
        </w:rPr>
      </w:pPr>
    </w:p>
    <w:p w14:paraId="01B193B4">
      <w:pPr>
        <w:rPr>
          <w:rFonts w:hint="eastAsia" w:ascii="宋体" w:hAnsi="宋体"/>
          <w:szCs w:val="21"/>
        </w:rPr>
      </w:pPr>
    </w:p>
    <w:p w14:paraId="73489F91">
      <w:pPr>
        <w:rPr>
          <w:rFonts w:hint="eastAsia" w:ascii="宋体" w:hAnsi="宋体"/>
          <w:szCs w:val="21"/>
        </w:rPr>
      </w:pPr>
    </w:p>
    <w:p w14:paraId="1BE3C441">
      <w:pPr>
        <w:rPr>
          <w:rFonts w:hint="eastAsia" w:ascii="宋体" w:hAnsi="宋体"/>
          <w:szCs w:val="21"/>
        </w:rPr>
      </w:pPr>
    </w:p>
    <w:p w14:paraId="113294EA">
      <w:pPr>
        <w:spacing w:line="360" w:lineRule="auto"/>
        <w:rPr>
          <w:rFonts w:hint="eastAsia" w:ascii="宋体" w:hAnsi="宋体"/>
          <w:szCs w:val="21"/>
        </w:rPr>
      </w:pPr>
    </w:p>
    <w:p w14:paraId="10907301">
      <w:pPr>
        <w:spacing w:line="360" w:lineRule="auto"/>
        <w:rPr>
          <w:rFonts w:hint="eastAsia" w:ascii="宋体" w:hAnsi="宋体"/>
          <w:szCs w:val="21"/>
        </w:rPr>
      </w:pPr>
    </w:p>
    <w:p w14:paraId="437F8D61">
      <w:pPr>
        <w:pStyle w:val="4"/>
        <w:ind w:left="0" w:firstLine="0"/>
        <w:jc w:val="center"/>
        <w:rPr>
          <w:b/>
          <w:bCs w:val="0"/>
          <w:color w:val="auto"/>
          <w:szCs w:val="28"/>
        </w:rPr>
      </w:pPr>
      <w:bookmarkStart w:id="78" w:name="_Toc17800"/>
      <w:bookmarkStart w:id="79" w:name="_Toc19226"/>
      <w:bookmarkStart w:id="80" w:name="_Toc32434"/>
      <w:bookmarkStart w:id="81" w:name="_Toc13850"/>
      <w:bookmarkStart w:id="82" w:name="_Toc28833"/>
      <w:bookmarkStart w:id="83" w:name="_Toc12795"/>
      <w:bookmarkStart w:id="84" w:name="_Toc17986"/>
      <w:bookmarkStart w:id="85" w:name="_Toc21245"/>
      <w:bookmarkStart w:id="86" w:name="_Toc23882"/>
      <w:bookmarkStart w:id="87" w:name="_Toc3655"/>
      <w:bookmarkStart w:id="88" w:name="_Toc2118"/>
      <w:bookmarkStart w:id="89" w:name="_Toc20219"/>
      <w:r>
        <w:rPr>
          <w:rFonts w:hint="eastAsia"/>
          <w:b/>
          <w:bCs w:val="0"/>
          <w:color w:val="auto"/>
          <w:szCs w:val="28"/>
        </w:rPr>
        <w:t>一、总则</w:t>
      </w:r>
      <w:bookmarkEnd w:id="78"/>
      <w:bookmarkEnd w:id="79"/>
      <w:bookmarkEnd w:id="80"/>
      <w:bookmarkEnd w:id="81"/>
      <w:bookmarkEnd w:id="82"/>
      <w:bookmarkEnd w:id="83"/>
      <w:bookmarkEnd w:id="84"/>
      <w:bookmarkEnd w:id="85"/>
      <w:bookmarkEnd w:id="86"/>
      <w:bookmarkEnd w:id="87"/>
      <w:bookmarkEnd w:id="88"/>
      <w:bookmarkEnd w:id="89"/>
    </w:p>
    <w:p w14:paraId="228665F9">
      <w:pPr>
        <w:pStyle w:val="5"/>
        <w:spacing w:before="0" w:after="0" w:line="360" w:lineRule="auto"/>
        <w:ind w:firstLine="420" w:firstLineChars="200"/>
        <w:rPr>
          <w:rFonts w:hint="eastAsia" w:ascii="宋体" w:hAnsi="宋体" w:cs="宋体"/>
          <w:sz w:val="21"/>
          <w:szCs w:val="21"/>
        </w:rPr>
      </w:pPr>
      <w:bookmarkStart w:id="90" w:name="_Toc28207"/>
      <w:bookmarkStart w:id="91" w:name="_Toc1911"/>
      <w:bookmarkStart w:id="92" w:name="_Toc500"/>
      <w:bookmarkStart w:id="93" w:name="_Toc11418"/>
      <w:bookmarkStart w:id="94" w:name="_Toc5438"/>
      <w:bookmarkStart w:id="95" w:name="_Toc4898"/>
      <w:bookmarkStart w:id="96" w:name="_Toc14878"/>
      <w:bookmarkStart w:id="97" w:name="_Toc8149"/>
      <w:bookmarkStart w:id="98" w:name="_Toc31852"/>
      <w:bookmarkStart w:id="99" w:name="_Toc3536"/>
      <w:bookmarkStart w:id="100" w:name="_Toc31144"/>
      <w:bookmarkStart w:id="101" w:name="_Toc14895"/>
      <w:r>
        <w:rPr>
          <w:rFonts w:hint="eastAsia" w:ascii="宋体" w:hAnsi="宋体" w:cs="宋体"/>
          <w:sz w:val="21"/>
          <w:szCs w:val="21"/>
        </w:rPr>
        <w:t>1. 适应范围</w:t>
      </w:r>
      <w:bookmarkEnd w:id="90"/>
      <w:bookmarkEnd w:id="91"/>
      <w:bookmarkEnd w:id="92"/>
      <w:bookmarkEnd w:id="93"/>
      <w:bookmarkEnd w:id="94"/>
      <w:bookmarkEnd w:id="95"/>
      <w:bookmarkEnd w:id="96"/>
      <w:bookmarkEnd w:id="97"/>
      <w:bookmarkEnd w:id="98"/>
      <w:bookmarkEnd w:id="99"/>
      <w:bookmarkEnd w:id="100"/>
      <w:bookmarkEnd w:id="101"/>
    </w:p>
    <w:p w14:paraId="599476AC">
      <w:pPr>
        <w:spacing w:line="360" w:lineRule="exact"/>
        <w:ind w:firstLine="435"/>
        <w:rPr>
          <w:rFonts w:ascii="宋体"/>
          <w:szCs w:val="21"/>
        </w:rPr>
      </w:pPr>
      <w:r>
        <w:rPr>
          <w:rFonts w:ascii="宋体" w:hAnsi="宋体"/>
          <w:szCs w:val="21"/>
        </w:rPr>
        <w:t xml:space="preserve">1.1  </w:t>
      </w:r>
      <w:r>
        <w:rPr>
          <w:rFonts w:hint="eastAsia" w:ascii="宋体" w:hAnsi="宋体"/>
          <w:szCs w:val="21"/>
        </w:rPr>
        <w:t>项目名称及项目编号：</w:t>
      </w:r>
    </w:p>
    <w:p w14:paraId="0C3CFDE7">
      <w:pPr>
        <w:spacing w:line="360" w:lineRule="exact"/>
        <w:ind w:firstLine="435"/>
        <w:rPr>
          <w:rFonts w:ascii="宋体"/>
          <w:szCs w:val="21"/>
          <w:highlight w:val="none"/>
        </w:rPr>
      </w:pPr>
      <w:r>
        <w:rPr>
          <w:rFonts w:hint="eastAsia" w:ascii="宋体" w:hAnsi="宋体"/>
          <w:szCs w:val="21"/>
          <w:highlight w:val="none"/>
        </w:rPr>
        <w:t>项目名称：</w:t>
      </w:r>
      <w:r>
        <w:rPr>
          <w:rFonts w:hint="eastAsia" w:ascii="宋体" w:hAnsi="宋体"/>
          <w:szCs w:val="21"/>
          <w:highlight w:val="none"/>
          <w:lang w:eastAsia="zh-CN"/>
        </w:rPr>
        <w:t>资源县教育局教学设备采购</w:t>
      </w:r>
      <w:r>
        <w:rPr>
          <w:rFonts w:hint="eastAsia" w:ascii="宋体" w:hAnsi="宋体"/>
          <w:szCs w:val="21"/>
          <w:highlight w:val="none"/>
        </w:rPr>
        <w:t xml:space="preserve">       </w:t>
      </w:r>
      <w:r>
        <w:rPr>
          <w:rFonts w:ascii="宋体" w:hAnsi="宋体"/>
          <w:szCs w:val="21"/>
          <w:highlight w:val="none"/>
        </w:rPr>
        <w:t xml:space="preserve">     </w:t>
      </w:r>
    </w:p>
    <w:p w14:paraId="5892CA4F">
      <w:pPr>
        <w:spacing w:line="360" w:lineRule="exact"/>
        <w:ind w:firstLine="435"/>
        <w:rPr>
          <w:rFonts w:hint="eastAsia" w:ascii="宋体" w:eastAsia="宋体"/>
          <w:szCs w:val="21"/>
          <w:highlight w:val="none"/>
          <w:lang w:eastAsia="zh-CN"/>
        </w:rPr>
      </w:pPr>
      <w:r>
        <w:rPr>
          <w:rFonts w:hint="eastAsia" w:ascii="宋体" w:hAnsi="宋体"/>
          <w:szCs w:val="21"/>
          <w:highlight w:val="none"/>
        </w:rPr>
        <w:t>项目编号：</w:t>
      </w:r>
      <w:r>
        <w:rPr>
          <w:rFonts w:hint="eastAsia" w:ascii="宋体" w:hAnsi="宋体"/>
          <w:szCs w:val="21"/>
          <w:highlight w:val="none"/>
          <w:lang w:eastAsia="zh-CN"/>
        </w:rPr>
        <w:t>GLZC2026-J1-290019-GLSZ</w:t>
      </w:r>
    </w:p>
    <w:p w14:paraId="33624989">
      <w:pPr>
        <w:spacing w:line="360" w:lineRule="exact"/>
        <w:ind w:firstLine="411" w:firstLineChars="196"/>
        <w:rPr>
          <w:rFonts w:ascii="宋体"/>
          <w:szCs w:val="21"/>
        </w:rPr>
      </w:pPr>
      <w:r>
        <w:rPr>
          <w:rFonts w:ascii="宋体" w:hAnsi="宋体"/>
          <w:szCs w:val="21"/>
        </w:rPr>
        <w:t>1.2</w:t>
      </w:r>
      <w:r>
        <w:rPr>
          <w:rFonts w:hint="eastAsia" w:ascii="宋体" w:hAnsi="宋体"/>
          <w:szCs w:val="21"/>
        </w:rPr>
        <w:t>本竞争性谈判文件（以下简称谈判文件）适用于本谈判项目的谈判、评审、合同履约、验收、付款等行为（法律、法规另有规定的，从其规定）。</w:t>
      </w:r>
    </w:p>
    <w:p w14:paraId="28412AD0">
      <w:pPr>
        <w:pStyle w:val="5"/>
        <w:spacing w:before="0" w:after="0" w:line="360" w:lineRule="auto"/>
        <w:ind w:firstLine="420" w:firstLineChars="200"/>
        <w:rPr>
          <w:rFonts w:hint="eastAsia" w:ascii="宋体" w:hAnsi="宋体" w:cs="宋体"/>
          <w:sz w:val="21"/>
          <w:szCs w:val="21"/>
        </w:rPr>
      </w:pPr>
      <w:bookmarkStart w:id="102" w:name="_Toc21649"/>
      <w:bookmarkStart w:id="103" w:name="_Toc11384"/>
      <w:bookmarkStart w:id="104" w:name="_Toc32250"/>
      <w:bookmarkStart w:id="105" w:name="_Toc5584"/>
      <w:bookmarkStart w:id="106" w:name="_Toc6189"/>
      <w:bookmarkStart w:id="107" w:name="_Toc1418"/>
      <w:bookmarkStart w:id="108" w:name="_Toc13126"/>
      <w:bookmarkStart w:id="109" w:name="_Toc30503"/>
      <w:bookmarkStart w:id="110" w:name="_Toc22247"/>
      <w:bookmarkStart w:id="111" w:name="_Toc23404"/>
      <w:bookmarkStart w:id="112" w:name="_Toc10650"/>
      <w:bookmarkStart w:id="113" w:name="_Toc20514"/>
      <w:r>
        <w:rPr>
          <w:rFonts w:hint="eastAsia" w:ascii="宋体" w:hAnsi="宋体" w:cs="宋体"/>
          <w:sz w:val="21"/>
          <w:szCs w:val="21"/>
        </w:rPr>
        <w:t>2. 定义</w:t>
      </w:r>
      <w:bookmarkEnd w:id="102"/>
      <w:bookmarkEnd w:id="103"/>
      <w:bookmarkEnd w:id="104"/>
      <w:bookmarkEnd w:id="105"/>
      <w:bookmarkEnd w:id="106"/>
      <w:bookmarkEnd w:id="107"/>
      <w:bookmarkEnd w:id="108"/>
      <w:bookmarkEnd w:id="109"/>
      <w:bookmarkEnd w:id="110"/>
      <w:bookmarkEnd w:id="111"/>
      <w:bookmarkEnd w:id="112"/>
      <w:bookmarkEnd w:id="113"/>
    </w:p>
    <w:p w14:paraId="54A06D53">
      <w:pPr>
        <w:spacing w:line="360" w:lineRule="exact"/>
        <w:ind w:firstLine="435"/>
        <w:rPr>
          <w:rFonts w:ascii="宋体"/>
          <w:szCs w:val="21"/>
        </w:rPr>
      </w:pPr>
      <w:r>
        <w:rPr>
          <w:rFonts w:ascii="宋体" w:hAnsi="宋体"/>
          <w:szCs w:val="21"/>
        </w:rPr>
        <w:t>2.1</w:t>
      </w:r>
      <w:r>
        <w:rPr>
          <w:rFonts w:hint="eastAsia" w:ascii="宋体" w:hAnsi="宋体"/>
          <w:szCs w:val="21"/>
        </w:rPr>
        <w:t>“供应商”是指符合本次采购项目的供应商资格并提交响应文件、参加谈判的供应商。如果该供应商在本次谈判中成交，即成为“成交供应商”。</w:t>
      </w:r>
    </w:p>
    <w:p w14:paraId="13DDD736">
      <w:pPr>
        <w:spacing w:line="360" w:lineRule="exact"/>
        <w:ind w:firstLine="435"/>
        <w:rPr>
          <w:rFonts w:ascii="宋体"/>
          <w:szCs w:val="21"/>
        </w:rPr>
      </w:pPr>
      <w:r>
        <w:rPr>
          <w:rFonts w:ascii="宋体" w:hAnsi="宋体"/>
          <w:szCs w:val="21"/>
        </w:rPr>
        <w:t>2.2</w:t>
      </w:r>
      <w:r>
        <w:rPr>
          <w:rFonts w:hint="eastAsia" w:ascii="宋体" w:hAnsi="宋体"/>
          <w:szCs w:val="21"/>
        </w:rPr>
        <w:t>“货物”系指按谈判文件规定，供应商须向采购人提供的一切设备、保险、税金、备品备件、工具、手册及其它有关技术资料和材料。</w:t>
      </w:r>
    </w:p>
    <w:p w14:paraId="6D3AAF87">
      <w:pPr>
        <w:spacing w:line="360" w:lineRule="exact"/>
        <w:ind w:firstLine="435"/>
        <w:rPr>
          <w:rFonts w:ascii="宋体"/>
          <w:szCs w:val="21"/>
        </w:rPr>
      </w:pPr>
      <w:r>
        <w:rPr>
          <w:rFonts w:ascii="宋体" w:hAnsi="宋体"/>
          <w:szCs w:val="21"/>
        </w:rPr>
        <w:t>2.3</w:t>
      </w:r>
      <w:r>
        <w:rPr>
          <w:rFonts w:hint="eastAsia" w:ascii="宋体" w:hAnsi="宋体"/>
          <w:szCs w:val="21"/>
        </w:rPr>
        <w:t>“服务”系指按谈判文件规定，供应商须承担的安装、调试、技术协助、校准、培训、技术指导以及其他类似的义务。</w:t>
      </w:r>
    </w:p>
    <w:p w14:paraId="00DFA3A8">
      <w:pPr>
        <w:spacing w:line="360" w:lineRule="exact"/>
        <w:ind w:firstLine="435"/>
        <w:rPr>
          <w:rFonts w:ascii="宋体"/>
          <w:szCs w:val="21"/>
        </w:rPr>
      </w:pPr>
      <w:r>
        <w:rPr>
          <w:rFonts w:ascii="宋体" w:hAnsi="宋体"/>
          <w:szCs w:val="21"/>
        </w:rPr>
        <w:t>2.4</w:t>
      </w:r>
      <w:r>
        <w:rPr>
          <w:rFonts w:hint="eastAsia" w:ascii="宋体" w:hAnsi="宋体"/>
          <w:szCs w:val="21"/>
        </w:rPr>
        <w:t>“项目”系指供应商按谈判文件规定向采购人提供的货物和服务。</w:t>
      </w:r>
    </w:p>
    <w:p w14:paraId="1B4E5148">
      <w:pPr>
        <w:spacing w:line="360" w:lineRule="exact"/>
        <w:ind w:firstLine="435"/>
        <w:rPr>
          <w:rFonts w:ascii="宋体"/>
          <w:szCs w:val="21"/>
        </w:rPr>
      </w:pPr>
      <w:r>
        <w:rPr>
          <w:rFonts w:ascii="宋体" w:hAnsi="宋体"/>
          <w:szCs w:val="21"/>
        </w:rPr>
        <w:t>2.5</w:t>
      </w:r>
      <w:r>
        <w:rPr>
          <w:rFonts w:hint="eastAsia" w:ascii="宋体" w:hAnsi="宋体"/>
          <w:szCs w:val="21"/>
        </w:rPr>
        <w:t>“书面形式”包括信函、传真、电报等。</w:t>
      </w:r>
    </w:p>
    <w:p w14:paraId="2460487D">
      <w:pPr>
        <w:spacing w:line="360" w:lineRule="exact"/>
        <w:ind w:firstLine="435"/>
        <w:rPr>
          <w:rFonts w:hint="eastAsia" w:ascii="宋体" w:hAnsi="宋体" w:cs="宋体"/>
          <w:b/>
          <w:szCs w:val="21"/>
          <w:u w:val="single"/>
        </w:rPr>
      </w:pPr>
      <w:r>
        <w:rPr>
          <w:rFonts w:hint="eastAsia" w:ascii="宋体" w:hAnsi="宋体" w:cs="宋体"/>
          <w:b/>
          <w:szCs w:val="21"/>
          <w:u w:val="single"/>
        </w:rPr>
        <w:t>2.6实质性要求：</w:t>
      </w:r>
      <w:r>
        <w:rPr>
          <w:rFonts w:hint="eastAsia" w:ascii="宋体" w:hAnsi="宋体" w:cs="宋体"/>
          <w:b/>
          <w:bCs/>
          <w:szCs w:val="21"/>
          <w:u w:val="single"/>
        </w:rPr>
        <w:t>“采购需求”中所有要求均为实质性要求，不允许负偏离，否则视为无效响应</w:t>
      </w:r>
      <w:r>
        <w:rPr>
          <w:rFonts w:hint="eastAsia" w:ascii="宋体" w:hAnsi="宋体" w:cs="宋体"/>
          <w:b/>
          <w:szCs w:val="21"/>
          <w:u w:val="single"/>
        </w:rPr>
        <w:t>。</w:t>
      </w:r>
    </w:p>
    <w:p w14:paraId="61E19055">
      <w:pPr>
        <w:pStyle w:val="5"/>
        <w:spacing w:before="0" w:after="0" w:line="360" w:lineRule="auto"/>
        <w:ind w:firstLine="420" w:firstLineChars="200"/>
        <w:rPr>
          <w:rFonts w:hint="eastAsia" w:ascii="宋体" w:hAnsi="宋体" w:cs="宋体"/>
          <w:sz w:val="21"/>
          <w:szCs w:val="21"/>
        </w:rPr>
      </w:pPr>
      <w:bookmarkStart w:id="114" w:name="_Toc32327"/>
      <w:bookmarkStart w:id="115" w:name="_Toc5213"/>
      <w:bookmarkStart w:id="116" w:name="_Toc11151"/>
      <w:bookmarkStart w:id="117" w:name="_Toc32534"/>
      <w:bookmarkStart w:id="118" w:name="_Toc28389"/>
      <w:bookmarkStart w:id="119" w:name="_Toc32735"/>
      <w:bookmarkStart w:id="120" w:name="_Toc10307"/>
      <w:bookmarkStart w:id="121" w:name="_Toc24409"/>
      <w:bookmarkStart w:id="122" w:name="_Toc31681"/>
      <w:bookmarkStart w:id="123" w:name="_Toc22141"/>
      <w:bookmarkStart w:id="124" w:name="_Toc6157"/>
      <w:bookmarkStart w:id="125" w:name="_Toc4442"/>
      <w:r>
        <w:rPr>
          <w:rFonts w:hint="eastAsia" w:ascii="宋体" w:hAnsi="宋体" w:cs="宋体"/>
          <w:sz w:val="21"/>
          <w:szCs w:val="21"/>
        </w:rPr>
        <w:t>3. 供应商资格</w:t>
      </w:r>
      <w:bookmarkEnd w:id="114"/>
      <w:bookmarkEnd w:id="115"/>
      <w:bookmarkEnd w:id="116"/>
      <w:bookmarkEnd w:id="117"/>
      <w:bookmarkEnd w:id="118"/>
      <w:bookmarkEnd w:id="119"/>
      <w:bookmarkEnd w:id="120"/>
      <w:bookmarkEnd w:id="121"/>
      <w:bookmarkEnd w:id="122"/>
      <w:bookmarkEnd w:id="123"/>
      <w:bookmarkEnd w:id="124"/>
      <w:bookmarkEnd w:id="125"/>
    </w:p>
    <w:p w14:paraId="1721B341">
      <w:pPr>
        <w:spacing w:line="360" w:lineRule="exact"/>
        <w:ind w:firstLine="435"/>
        <w:rPr>
          <w:rFonts w:ascii="宋体" w:cs="宋体"/>
          <w:bCs/>
          <w:szCs w:val="21"/>
        </w:rPr>
      </w:pPr>
      <w:r>
        <w:rPr>
          <w:rFonts w:ascii="宋体" w:hAnsi="宋体" w:cs="宋体"/>
          <w:bCs/>
          <w:szCs w:val="21"/>
        </w:rPr>
        <w:t>3.1</w:t>
      </w:r>
      <w:r>
        <w:rPr>
          <w:rFonts w:hint="eastAsia" w:ascii="宋体" w:hAnsi="宋体" w:cs="宋体"/>
          <w:bCs/>
          <w:szCs w:val="21"/>
        </w:rPr>
        <w:t>符合《中华人民共和国政府采购法》第二十二条和《政府采购法实施条例》第十八条规定，具备合法资格的供应商；</w:t>
      </w:r>
    </w:p>
    <w:p w14:paraId="56E9A9B9">
      <w:pPr>
        <w:spacing w:line="360" w:lineRule="exact"/>
        <w:ind w:firstLine="435"/>
        <w:rPr>
          <w:rFonts w:hint="eastAsia" w:ascii="宋体" w:cs="宋体"/>
          <w:bCs/>
          <w:szCs w:val="21"/>
        </w:rPr>
      </w:pPr>
      <w:r>
        <w:rPr>
          <w:rFonts w:ascii="宋体" w:hAnsi="宋体" w:cs="宋体"/>
          <w:bCs/>
          <w:szCs w:val="21"/>
        </w:rPr>
        <w:t>3.</w:t>
      </w:r>
      <w:r>
        <w:rPr>
          <w:rFonts w:hint="eastAsia" w:ascii="宋体" w:hAnsi="宋体" w:cs="宋体"/>
          <w:bCs/>
          <w:szCs w:val="21"/>
        </w:rPr>
        <w:t>2本项目不接受联合体参与谈判；</w:t>
      </w:r>
    </w:p>
    <w:p w14:paraId="798E554C">
      <w:pPr>
        <w:spacing w:line="360" w:lineRule="exact"/>
        <w:ind w:firstLine="435"/>
        <w:rPr>
          <w:rFonts w:hint="eastAsia" w:ascii="宋体" w:hAnsi="宋体" w:cs="宋体"/>
          <w:bCs/>
          <w:szCs w:val="21"/>
        </w:rPr>
      </w:pPr>
      <w:r>
        <w:rPr>
          <w:rFonts w:ascii="宋体" w:hAnsi="宋体" w:cs="宋体"/>
          <w:bCs/>
          <w:szCs w:val="21"/>
        </w:rPr>
        <w:t>3.</w:t>
      </w:r>
      <w:r>
        <w:rPr>
          <w:rFonts w:hint="eastAsia" w:ascii="宋体" w:hAnsi="宋体" w:cs="宋体"/>
          <w:bCs/>
          <w:szCs w:val="21"/>
        </w:rPr>
        <w:t>3对在“信用中国”网站</w:t>
      </w:r>
      <w:r>
        <w:rPr>
          <w:rFonts w:ascii="宋体" w:hAnsi="宋体" w:cs="宋体"/>
          <w:bCs/>
          <w:szCs w:val="21"/>
        </w:rPr>
        <w:t>(www.creditchina.gov.cn)</w:t>
      </w:r>
      <w:r>
        <w:rPr>
          <w:rFonts w:hint="eastAsia" w:ascii="宋体" w:hAnsi="宋体" w:cs="宋体"/>
          <w:bCs/>
          <w:szCs w:val="21"/>
        </w:rPr>
        <w:t>、中国政府采购网</w:t>
      </w:r>
      <w:r>
        <w:rPr>
          <w:rFonts w:ascii="宋体" w:hAnsi="宋体" w:cs="宋体"/>
          <w:bCs/>
          <w:szCs w:val="21"/>
        </w:rPr>
        <w:t>(www.ccgp.gov.cn)</w:t>
      </w:r>
      <w:r>
        <w:rPr>
          <w:rFonts w:hint="eastAsia" w:ascii="宋体" w:hAnsi="宋体" w:cs="宋体"/>
          <w:bCs/>
          <w:szCs w:val="21"/>
        </w:rPr>
        <w:t>等渠道列入失信被执行人、重大税收违法案件当事人名单、政府采购严重违法失信行为记录名单及其他不符合《中华人民共和国政府采购法》第二十二条规定条件的供应商，不得参与政府采购活动。</w:t>
      </w:r>
    </w:p>
    <w:p w14:paraId="411E0859">
      <w:pPr>
        <w:spacing w:line="380" w:lineRule="exact"/>
        <w:ind w:firstLine="420" w:firstLineChars="200"/>
        <w:rPr>
          <w:rFonts w:hint="eastAsia" w:ascii="宋体" w:hAnsi="宋体" w:cs="宋体"/>
          <w:b/>
          <w:bCs/>
          <w:sz w:val="24"/>
        </w:rPr>
      </w:pPr>
      <w:r>
        <w:rPr>
          <w:rFonts w:hint="eastAsia" w:ascii="宋体" w:hAnsi="宋体" w:cs="宋体"/>
          <w:bCs/>
          <w:szCs w:val="21"/>
        </w:rPr>
        <w:t>3.4落实政府采购政策需满足的资格要求：无</w:t>
      </w:r>
      <w:r>
        <w:rPr>
          <w:rFonts w:hint="eastAsia" w:ascii="宋体" w:hAnsi="宋体" w:cs="宋体"/>
          <w:b/>
          <w:bCs/>
          <w:szCs w:val="21"/>
        </w:rPr>
        <w:t>。</w:t>
      </w:r>
    </w:p>
    <w:p w14:paraId="568D3E80">
      <w:pPr>
        <w:spacing w:line="380" w:lineRule="exact"/>
        <w:ind w:firstLine="420" w:firstLineChars="200"/>
        <w:rPr>
          <w:rFonts w:hint="eastAsia" w:ascii="宋体" w:hAnsi="宋体" w:cs="宋体"/>
          <w:bCs/>
          <w:szCs w:val="21"/>
        </w:rPr>
      </w:pPr>
      <w:r>
        <w:rPr>
          <w:rFonts w:hint="eastAsia" w:ascii="宋体" w:hAnsi="宋体" w:cs="宋体"/>
          <w:bCs/>
          <w:szCs w:val="21"/>
        </w:rPr>
        <w:t>3.5本项目的特定资格要求：无。</w:t>
      </w:r>
    </w:p>
    <w:p w14:paraId="2CCC20F6">
      <w:pPr>
        <w:pStyle w:val="5"/>
        <w:spacing w:before="0" w:after="0" w:line="360" w:lineRule="auto"/>
        <w:ind w:firstLine="420" w:firstLineChars="200"/>
        <w:rPr>
          <w:rFonts w:hint="eastAsia" w:ascii="宋体" w:hAnsi="宋体" w:cs="宋体"/>
          <w:sz w:val="21"/>
          <w:szCs w:val="21"/>
        </w:rPr>
      </w:pPr>
      <w:bookmarkStart w:id="126" w:name="_Toc31156"/>
      <w:bookmarkStart w:id="127" w:name="_Toc32640"/>
      <w:bookmarkStart w:id="128" w:name="_Toc8725"/>
      <w:bookmarkStart w:id="129" w:name="_Toc2001"/>
      <w:bookmarkStart w:id="130" w:name="_Toc14258"/>
      <w:bookmarkStart w:id="131" w:name="_Toc2933"/>
      <w:bookmarkStart w:id="132" w:name="_Toc2957"/>
      <w:bookmarkStart w:id="133" w:name="_Toc12354"/>
      <w:bookmarkStart w:id="134" w:name="_Toc10575"/>
      <w:bookmarkStart w:id="135" w:name="_Toc20634"/>
      <w:bookmarkStart w:id="136" w:name="_Toc31769"/>
      <w:bookmarkStart w:id="137" w:name="_Toc31247"/>
      <w:r>
        <w:rPr>
          <w:rFonts w:hint="eastAsia" w:ascii="宋体" w:hAnsi="宋体" w:cs="宋体"/>
          <w:sz w:val="21"/>
          <w:szCs w:val="21"/>
        </w:rPr>
        <w:t>4. 谈判费用</w:t>
      </w:r>
      <w:bookmarkEnd w:id="126"/>
      <w:bookmarkEnd w:id="127"/>
      <w:bookmarkEnd w:id="128"/>
      <w:bookmarkEnd w:id="129"/>
      <w:bookmarkEnd w:id="130"/>
      <w:bookmarkEnd w:id="131"/>
      <w:bookmarkEnd w:id="132"/>
      <w:bookmarkEnd w:id="133"/>
      <w:bookmarkEnd w:id="134"/>
      <w:bookmarkEnd w:id="135"/>
      <w:bookmarkEnd w:id="136"/>
      <w:bookmarkEnd w:id="137"/>
    </w:p>
    <w:p w14:paraId="0AD080F0">
      <w:pPr>
        <w:tabs>
          <w:tab w:val="left" w:pos="1635"/>
        </w:tabs>
        <w:spacing w:line="360" w:lineRule="exact"/>
        <w:ind w:firstLine="435"/>
        <w:rPr>
          <w:rFonts w:ascii="宋体"/>
          <w:szCs w:val="21"/>
        </w:rPr>
      </w:pPr>
      <w:r>
        <w:rPr>
          <w:rFonts w:hint="eastAsia" w:ascii="宋体" w:hAnsi="宋体"/>
          <w:szCs w:val="21"/>
        </w:rPr>
        <w:t>不论</w:t>
      </w:r>
      <w:r>
        <w:rPr>
          <w:rFonts w:hint="eastAsia" w:ascii="宋体" w:hAnsi="宋体" w:cs="宋体"/>
          <w:szCs w:val="21"/>
        </w:rPr>
        <w:t>谈判</w:t>
      </w:r>
      <w:r>
        <w:rPr>
          <w:rFonts w:hint="eastAsia" w:ascii="宋体" w:hAnsi="宋体"/>
          <w:szCs w:val="21"/>
        </w:rPr>
        <w:t>结果如何，供应商均应自行承担所有与谈判有关的全部费用。</w:t>
      </w:r>
    </w:p>
    <w:p w14:paraId="1E7CA95D">
      <w:pPr>
        <w:pStyle w:val="5"/>
        <w:spacing w:before="0" w:after="0" w:line="360" w:lineRule="auto"/>
        <w:ind w:firstLine="420" w:firstLineChars="200"/>
        <w:rPr>
          <w:rFonts w:hint="eastAsia" w:ascii="宋体" w:hAnsi="宋体" w:cs="宋体"/>
          <w:sz w:val="21"/>
          <w:szCs w:val="21"/>
        </w:rPr>
      </w:pPr>
      <w:bookmarkStart w:id="138" w:name="_Toc18797"/>
      <w:bookmarkStart w:id="139" w:name="_Toc25039"/>
      <w:bookmarkStart w:id="140" w:name="_Toc22057"/>
      <w:bookmarkStart w:id="141" w:name="_Toc17809"/>
      <w:bookmarkStart w:id="142" w:name="_Toc1635"/>
      <w:bookmarkStart w:id="143" w:name="_Toc31425"/>
      <w:bookmarkStart w:id="144" w:name="_Toc23827"/>
      <w:bookmarkStart w:id="145" w:name="_Toc25660"/>
      <w:bookmarkStart w:id="146" w:name="_Toc8295"/>
      <w:bookmarkStart w:id="147" w:name="_Toc20233"/>
      <w:bookmarkStart w:id="148" w:name="_Toc26103"/>
      <w:bookmarkStart w:id="149" w:name="_Toc22801"/>
      <w:r>
        <w:rPr>
          <w:rFonts w:hint="eastAsia" w:ascii="宋体" w:hAnsi="宋体" w:cs="宋体"/>
          <w:sz w:val="21"/>
          <w:szCs w:val="21"/>
        </w:rPr>
        <w:t>5.联合体要求</w:t>
      </w:r>
      <w:bookmarkEnd w:id="138"/>
      <w:bookmarkEnd w:id="139"/>
      <w:bookmarkEnd w:id="140"/>
      <w:bookmarkEnd w:id="141"/>
      <w:bookmarkEnd w:id="142"/>
      <w:bookmarkEnd w:id="143"/>
      <w:bookmarkEnd w:id="144"/>
      <w:bookmarkEnd w:id="145"/>
      <w:bookmarkEnd w:id="146"/>
      <w:bookmarkEnd w:id="147"/>
      <w:bookmarkEnd w:id="148"/>
      <w:bookmarkEnd w:id="149"/>
    </w:p>
    <w:p w14:paraId="311EB76D">
      <w:pPr>
        <w:spacing w:line="360" w:lineRule="exact"/>
        <w:ind w:firstLine="420" w:firstLineChars="200"/>
        <w:rPr>
          <w:rFonts w:hint="eastAsia"/>
        </w:rPr>
      </w:pPr>
      <w:r>
        <w:rPr>
          <w:rFonts w:hint="eastAsia" w:ascii="宋体" w:hAnsi="宋体"/>
          <w:bCs/>
          <w:szCs w:val="21"/>
        </w:rPr>
        <w:t xml:space="preserve">本项目不接受联合体参与谈判。     </w:t>
      </w:r>
    </w:p>
    <w:p w14:paraId="40088C74">
      <w:pPr>
        <w:pStyle w:val="5"/>
        <w:spacing w:before="0" w:after="0" w:line="360" w:lineRule="auto"/>
        <w:ind w:firstLine="420" w:firstLineChars="200"/>
        <w:rPr>
          <w:rFonts w:hint="eastAsia" w:ascii="宋体" w:hAnsi="宋体" w:cs="宋体"/>
          <w:sz w:val="21"/>
          <w:szCs w:val="21"/>
        </w:rPr>
      </w:pPr>
      <w:bookmarkStart w:id="150" w:name="_Toc31465"/>
      <w:bookmarkStart w:id="151" w:name="_Toc15445"/>
      <w:bookmarkStart w:id="152" w:name="_Toc15680"/>
      <w:bookmarkStart w:id="153" w:name="_Toc6105"/>
      <w:bookmarkStart w:id="154" w:name="_Toc12836"/>
      <w:bookmarkStart w:id="155" w:name="_Toc23275"/>
      <w:bookmarkStart w:id="156" w:name="_Toc12290"/>
      <w:bookmarkStart w:id="157" w:name="_Toc26025"/>
      <w:bookmarkStart w:id="158" w:name="_Toc28044"/>
      <w:bookmarkStart w:id="159" w:name="_Toc22550"/>
      <w:bookmarkStart w:id="160" w:name="_Toc20109"/>
      <w:bookmarkStart w:id="161" w:name="_Toc10978"/>
      <w:r>
        <w:rPr>
          <w:rFonts w:hint="eastAsia" w:ascii="宋体" w:hAnsi="宋体" w:cs="宋体"/>
          <w:sz w:val="21"/>
          <w:szCs w:val="21"/>
        </w:rPr>
        <w:t>6. 质疑和投诉</w:t>
      </w:r>
      <w:bookmarkEnd w:id="150"/>
      <w:bookmarkEnd w:id="151"/>
      <w:bookmarkEnd w:id="152"/>
      <w:bookmarkEnd w:id="153"/>
      <w:bookmarkEnd w:id="154"/>
      <w:bookmarkEnd w:id="155"/>
      <w:bookmarkEnd w:id="156"/>
      <w:bookmarkEnd w:id="157"/>
      <w:bookmarkEnd w:id="158"/>
      <w:bookmarkEnd w:id="159"/>
      <w:bookmarkEnd w:id="160"/>
      <w:bookmarkEnd w:id="161"/>
      <w:r>
        <w:rPr>
          <w:rFonts w:hint="eastAsia" w:ascii="宋体" w:hAnsi="宋体" w:cs="宋体"/>
          <w:sz w:val="21"/>
          <w:szCs w:val="21"/>
        </w:rPr>
        <w:tab/>
      </w:r>
    </w:p>
    <w:p w14:paraId="6B5F72F5">
      <w:pPr>
        <w:spacing w:line="360" w:lineRule="exact"/>
        <w:ind w:firstLine="420" w:firstLineChars="200"/>
        <w:rPr>
          <w:rFonts w:hint="eastAsia" w:ascii="宋体" w:hAnsi="宋体" w:cs="宋体"/>
        </w:rPr>
      </w:pPr>
      <w:r>
        <w:rPr>
          <w:rFonts w:hint="eastAsia" w:ascii="宋体" w:hAnsi="宋体" w:cs="宋体"/>
        </w:rPr>
        <w:t>6.1供应商认为招标文件使自己的合法权益受到损害的，应当在本项目招标公告期限届满之日起七个工作日内以书面形式向采购人或桂林市政府集中采购中心提出质疑。供应商认为招标过程或中标结果使自己的合法权益受到损害的，应当在采购程序环节结束之日或中标公告期限届满之日起七个工作日内，以书面形式向采购人或桂林市政府集中采购中心提出质疑。</w:t>
      </w:r>
    </w:p>
    <w:p w14:paraId="3016A934">
      <w:pPr>
        <w:spacing w:line="360" w:lineRule="exact"/>
        <w:ind w:firstLine="420" w:firstLineChars="200"/>
        <w:rPr>
          <w:rFonts w:hint="eastAsia" w:ascii="宋体" w:hAnsi="宋体" w:cs="宋体"/>
        </w:rPr>
      </w:pPr>
      <w:r>
        <w:rPr>
          <w:rFonts w:hint="eastAsia" w:ascii="宋体" w:hAnsi="宋体" w:cs="宋体"/>
        </w:rPr>
        <w:t>接收质疑函方式：以书面形式（原件）提交。</w:t>
      </w:r>
    </w:p>
    <w:p w14:paraId="5FFA655F">
      <w:pPr>
        <w:spacing w:line="360" w:lineRule="exact"/>
        <w:ind w:firstLine="420" w:firstLineChars="200"/>
        <w:rPr>
          <w:rFonts w:hint="eastAsia" w:ascii="宋体" w:hAnsi="宋体" w:cs="宋体"/>
        </w:rPr>
      </w:pPr>
      <w:r>
        <w:rPr>
          <w:rFonts w:hint="eastAsia" w:ascii="宋体" w:hAnsi="宋体" w:cs="宋体"/>
        </w:rPr>
        <w:t>质疑联系人：桂林市政府集中采购中心，联系电话：0773-5625162</w:t>
      </w:r>
    </w:p>
    <w:p w14:paraId="18CA9A00">
      <w:pPr>
        <w:spacing w:line="360" w:lineRule="exact"/>
        <w:ind w:firstLine="420" w:firstLineChars="200"/>
        <w:rPr>
          <w:rFonts w:hint="eastAsia" w:ascii="宋体" w:hAnsi="宋体" w:cs="宋体"/>
        </w:rPr>
      </w:pPr>
      <w:r>
        <w:rPr>
          <w:rFonts w:hint="eastAsia" w:ascii="宋体" w:hAnsi="宋体" w:cs="宋体"/>
        </w:rPr>
        <w:t>通讯地址：桂林市临桂区西城中路69号创业大厦西辅楼5楼574室</w:t>
      </w:r>
    </w:p>
    <w:p w14:paraId="4BC1E597">
      <w:pPr>
        <w:spacing w:line="360" w:lineRule="exact"/>
        <w:ind w:firstLine="420" w:firstLineChars="200"/>
        <w:rPr>
          <w:rFonts w:hint="eastAsia" w:ascii="宋体" w:hAnsi="宋体" w:cs="宋体"/>
        </w:rPr>
      </w:pPr>
      <w:r>
        <w:rPr>
          <w:rFonts w:hint="eastAsia" w:ascii="宋体" w:hAnsi="宋体" w:cs="宋体"/>
        </w:rPr>
        <w:t>6.2收到供应商书面质疑函后，采购人应当在七个工作日内对质疑事项作出答复（答复内容不得涉及商业秘密），并委托采购代理机构以书面形式通知质疑供应商，在财政部门指定的媒体发布质疑答复公告。</w:t>
      </w:r>
    </w:p>
    <w:p w14:paraId="46C40C0E">
      <w:pPr>
        <w:spacing w:line="360" w:lineRule="exact"/>
        <w:ind w:firstLine="420" w:firstLineChars="200"/>
        <w:rPr>
          <w:rFonts w:hint="eastAsia" w:ascii="宋体" w:hAnsi="宋体" w:cs="宋体"/>
        </w:rPr>
      </w:pPr>
      <w:r>
        <w:rPr>
          <w:rFonts w:hint="eastAsia" w:ascii="宋体" w:hAnsi="宋体" w:cs="宋体"/>
        </w:rPr>
        <w:t>6.3供应商对采购人或采购代理机构的答复不满意，或者采购人或采购代理机构未在规定的时间内作出答复的，可以在答复期满后十五个工作日内向本级财政部门投诉。</w:t>
      </w:r>
    </w:p>
    <w:p w14:paraId="4A62BF0D">
      <w:pPr>
        <w:spacing w:line="360" w:lineRule="exact"/>
        <w:ind w:firstLine="420" w:firstLineChars="200"/>
        <w:rPr>
          <w:rFonts w:hint="eastAsia" w:ascii="宋体" w:hAnsi="宋体" w:cs="宋体"/>
        </w:rPr>
      </w:pPr>
      <w:r>
        <w:rPr>
          <w:rFonts w:hint="eastAsia" w:ascii="宋体" w:hAnsi="宋体" w:cs="宋体"/>
        </w:rPr>
        <w:t>6.4质疑、投诉应当采用书面形式，质疑书、投诉书实行实名制，均应明确阐述招标文件、招标过程或中标结果中使自己合法权益受到损害的实质性内容，并提供必要的证明材料。</w:t>
      </w:r>
    </w:p>
    <w:p w14:paraId="541C420C">
      <w:pPr>
        <w:spacing w:line="360" w:lineRule="exact"/>
        <w:ind w:firstLine="420" w:firstLineChars="200"/>
        <w:rPr>
          <w:rFonts w:hint="eastAsia" w:ascii="宋体" w:hAnsi="宋体" w:cs="宋体"/>
        </w:rPr>
      </w:pPr>
      <w:r>
        <w:rPr>
          <w:rFonts w:hint="eastAsia" w:ascii="宋体" w:hAnsi="宋体" w:cs="宋体"/>
        </w:rPr>
        <w:t>6.5供应商在法定质疑期内应当一次性提出针对同一采购程序环节的质疑。</w:t>
      </w:r>
    </w:p>
    <w:p w14:paraId="30CBC8A0">
      <w:pPr>
        <w:spacing w:line="360" w:lineRule="exact"/>
        <w:ind w:firstLine="420" w:firstLineChars="200"/>
        <w:rPr>
          <w:rFonts w:hint="eastAsia" w:ascii="宋体" w:hAnsi="宋体" w:cs="宋体"/>
        </w:rPr>
      </w:pPr>
      <w:r>
        <w:rPr>
          <w:rFonts w:hint="eastAsia" w:ascii="宋体" w:hAnsi="宋体" w:cs="宋体"/>
        </w:rPr>
        <w:t>6.6 不在法定质疑期内提出的质疑函可以拒收。不符合要求的质疑函在法定质疑期内及时补充完整，否则作质疑不成立处理。</w:t>
      </w:r>
      <w:bookmarkStart w:id="162" w:name="_Toc13444"/>
      <w:bookmarkStart w:id="163" w:name="_Toc17834"/>
      <w:bookmarkStart w:id="164" w:name="_Toc27100"/>
      <w:bookmarkStart w:id="165" w:name="_Toc24675"/>
      <w:bookmarkStart w:id="166" w:name="_Toc18778"/>
      <w:bookmarkStart w:id="167" w:name="_Toc31836"/>
      <w:bookmarkStart w:id="168" w:name="_Toc3350"/>
      <w:bookmarkStart w:id="169" w:name="_Toc9309"/>
      <w:bookmarkStart w:id="170" w:name="_Toc5692"/>
      <w:bookmarkStart w:id="171" w:name="_Toc2262"/>
      <w:bookmarkStart w:id="172" w:name="_Toc7459"/>
      <w:bookmarkStart w:id="173" w:name="_Toc9814"/>
    </w:p>
    <w:p w14:paraId="43E1054B">
      <w:pPr>
        <w:pStyle w:val="5"/>
        <w:spacing w:before="0" w:after="0" w:line="360" w:lineRule="auto"/>
        <w:ind w:firstLine="420" w:firstLineChars="200"/>
        <w:rPr>
          <w:rFonts w:hint="eastAsia" w:ascii="宋体" w:hAnsi="宋体" w:cs="宋体"/>
          <w:sz w:val="21"/>
          <w:szCs w:val="21"/>
        </w:rPr>
      </w:pPr>
      <w:r>
        <w:rPr>
          <w:rFonts w:hint="eastAsia" w:ascii="宋体" w:hAnsi="宋体" w:cs="宋体"/>
          <w:sz w:val="21"/>
          <w:szCs w:val="21"/>
        </w:rPr>
        <w:t>7. 转包与分包</w:t>
      </w:r>
      <w:bookmarkEnd w:id="162"/>
      <w:bookmarkEnd w:id="163"/>
      <w:bookmarkEnd w:id="164"/>
      <w:bookmarkEnd w:id="165"/>
      <w:bookmarkEnd w:id="166"/>
      <w:bookmarkEnd w:id="167"/>
      <w:bookmarkEnd w:id="168"/>
      <w:bookmarkEnd w:id="169"/>
      <w:bookmarkEnd w:id="170"/>
      <w:bookmarkEnd w:id="171"/>
      <w:bookmarkEnd w:id="172"/>
      <w:bookmarkEnd w:id="173"/>
    </w:p>
    <w:p w14:paraId="0E0813A8">
      <w:pPr>
        <w:tabs>
          <w:tab w:val="left" w:pos="2190"/>
        </w:tabs>
        <w:spacing w:line="360" w:lineRule="exact"/>
        <w:ind w:firstLine="435"/>
        <w:rPr>
          <w:rFonts w:ascii="宋体"/>
          <w:szCs w:val="21"/>
        </w:rPr>
      </w:pPr>
      <w:r>
        <w:rPr>
          <w:rFonts w:ascii="宋体" w:hAnsi="宋体"/>
          <w:szCs w:val="21"/>
        </w:rPr>
        <w:t xml:space="preserve">7.1 </w:t>
      </w:r>
      <w:r>
        <w:rPr>
          <w:rFonts w:hint="eastAsia" w:ascii="宋体" w:hAnsi="宋体"/>
          <w:szCs w:val="21"/>
        </w:rPr>
        <w:t>本项目不允许转包。</w:t>
      </w:r>
    </w:p>
    <w:p w14:paraId="33B56303">
      <w:pPr>
        <w:tabs>
          <w:tab w:val="left" w:pos="2190"/>
        </w:tabs>
        <w:spacing w:line="360" w:lineRule="exact"/>
        <w:ind w:firstLine="435"/>
        <w:rPr>
          <w:rFonts w:ascii="宋体"/>
          <w:szCs w:val="21"/>
        </w:rPr>
      </w:pPr>
      <w:r>
        <w:rPr>
          <w:rFonts w:ascii="宋体" w:hAnsi="宋体"/>
          <w:szCs w:val="21"/>
        </w:rPr>
        <w:t xml:space="preserve">7.2 </w:t>
      </w:r>
      <w:r>
        <w:rPr>
          <w:rFonts w:hint="eastAsia" w:ascii="宋体" w:hAnsi="宋体"/>
          <w:szCs w:val="21"/>
        </w:rPr>
        <w:t>本项目不可以分包。</w:t>
      </w:r>
    </w:p>
    <w:p w14:paraId="5E83591B">
      <w:pPr>
        <w:pStyle w:val="5"/>
        <w:spacing w:before="0" w:after="0" w:line="360" w:lineRule="auto"/>
        <w:ind w:firstLine="420" w:firstLineChars="200"/>
        <w:rPr>
          <w:rFonts w:hint="eastAsia" w:ascii="宋体" w:hAnsi="宋体" w:cs="宋体"/>
          <w:sz w:val="21"/>
          <w:szCs w:val="21"/>
        </w:rPr>
      </w:pPr>
      <w:bookmarkStart w:id="174" w:name="_Toc17907"/>
      <w:bookmarkStart w:id="175" w:name="_Toc20316"/>
      <w:bookmarkStart w:id="176" w:name="_Toc21741"/>
      <w:bookmarkStart w:id="177" w:name="_Toc24568"/>
      <w:bookmarkStart w:id="178" w:name="_Toc13074"/>
      <w:bookmarkStart w:id="179" w:name="_Toc11259"/>
      <w:bookmarkStart w:id="180" w:name="_Toc11519"/>
      <w:bookmarkStart w:id="181" w:name="_Toc14869"/>
      <w:bookmarkStart w:id="182" w:name="_Toc18475"/>
      <w:bookmarkStart w:id="183" w:name="_Toc1638"/>
      <w:bookmarkStart w:id="184" w:name="_Toc5833"/>
      <w:bookmarkStart w:id="185" w:name="_Toc17535"/>
      <w:r>
        <w:rPr>
          <w:rFonts w:hint="eastAsia" w:ascii="宋体" w:hAnsi="宋体" w:cs="宋体"/>
          <w:sz w:val="21"/>
          <w:szCs w:val="21"/>
        </w:rPr>
        <w:t>8. 特别说明</w:t>
      </w:r>
      <w:bookmarkEnd w:id="174"/>
      <w:bookmarkEnd w:id="175"/>
      <w:bookmarkEnd w:id="176"/>
      <w:bookmarkEnd w:id="177"/>
      <w:bookmarkEnd w:id="178"/>
      <w:bookmarkEnd w:id="179"/>
      <w:bookmarkEnd w:id="180"/>
      <w:bookmarkEnd w:id="181"/>
      <w:bookmarkEnd w:id="182"/>
      <w:bookmarkEnd w:id="183"/>
      <w:bookmarkEnd w:id="184"/>
      <w:bookmarkEnd w:id="185"/>
    </w:p>
    <w:p w14:paraId="7A1BCD8A">
      <w:pPr>
        <w:tabs>
          <w:tab w:val="left" w:pos="1635"/>
        </w:tabs>
        <w:spacing w:line="360" w:lineRule="exact"/>
        <w:ind w:firstLine="420" w:firstLineChars="200"/>
        <w:rPr>
          <w:rFonts w:ascii="宋体"/>
          <w:b/>
          <w:szCs w:val="21"/>
        </w:rPr>
      </w:pPr>
      <w:r>
        <w:rPr>
          <w:rFonts w:hint="eastAsia" w:ascii="宋体" w:hAnsi="宋体"/>
          <w:b/>
          <w:szCs w:val="21"/>
        </w:rPr>
        <w:t>8.1关联供应商不得参加同一合同项下政府采购活动，否则响应文件将被视为无效：</w:t>
      </w:r>
    </w:p>
    <w:p w14:paraId="5E32FA73">
      <w:pPr>
        <w:tabs>
          <w:tab w:val="left" w:pos="1635"/>
        </w:tabs>
        <w:spacing w:line="360" w:lineRule="exact"/>
        <w:ind w:firstLine="420" w:firstLineChars="200"/>
        <w:rPr>
          <w:rFonts w:ascii="宋体"/>
          <w:szCs w:val="21"/>
        </w:rPr>
      </w:pPr>
      <w:r>
        <w:rPr>
          <w:rFonts w:hint="eastAsia" w:ascii="宋体" w:hAnsi="宋体"/>
          <w:szCs w:val="21"/>
        </w:rPr>
        <w:t>（</w:t>
      </w:r>
      <w:r>
        <w:rPr>
          <w:rFonts w:ascii="宋体" w:hAnsi="宋体"/>
          <w:szCs w:val="21"/>
        </w:rPr>
        <w:t>1</w:t>
      </w:r>
      <w:r>
        <w:rPr>
          <w:rFonts w:hint="eastAsia" w:ascii="宋体" w:hAnsi="宋体"/>
          <w:szCs w:val="21"/>
        </w:rPr>
        <w:t>）单位负责人为同一人或者存在直接控股、管理关系的，不得参加同一合同项下的政府采购活动。</w:t>
      </w:r>
    </w:p>
    <w:p w14:paraId="12CCE080">
      <w:pPr>
        <w:tabs>
          <w:tab w:val="left" w:pos="1635"/>
        </w:tabs>
        <w:spacing w:line="360" w:lineRule="exact"/>
        <w:ind w:firstLine="435"/>
        <w:rPr>
          <w:rFonts w:ascii="宋体"/>
          <w:szCs w:val="21"/>
        </w:rPr>
      </w:pPr>
      <w:r>
        <w:rPr>
          <w:rFonts w:hint="eastAsia" w:ascii="宋体" w:hAnsi="宋体"/>
          <w:szCs w:val="21"/>
        </w:rPr>
        <w:t>（2）为本采购项目提供整体设计、规范编制或者项目管理、监理、检测等服务的供应商，不得再参加本次采购活动。</w:t>
      </w:r>
    </w:p>
    <w:p w14:paraId="15745744">
      <w:pPr>
        <w:tabs>
          <w:tab w:val="left" w:pos="1635"/>
        </w:tabs>
        <w:spacing w:line="360" w:lineRule="exact"/>
        <w:ind w:firstLine="435"/>
        <w:rPr>
          <w:rFonts w:hint="eastAsia" w:ascii="宋体" w:hAnsi="宋体"/>
          <w:b/>
          <w:bCs/>
          <w:szCs w:val="21"/>
        </w:rPr>
      </w:pPr>
      <w:r>
        <w:rPr>
          <w:rFonts w:hint="eastAsia" w:ascii="宋体" w:hAnsi="宋体"/>
          <w:b/>
          <w:szCs w:val="21"/>
        </w:rPr>
        <w:t>8.2</w:t>
      </w:r>
      <w:r>
        <w:rPr>
          <w:rFonts w:hint="eastAsia" w:ascii="宋体" w:hAnsi="宋体"/>
          <w:b/>
          <w:bCs/>
          <w:szCs w:val="21"/>
        </w:rPr>
        <w:t>提供相同品牌产品的不同供应商参加同一合同项下谈判的，以其中通过资格审查、符合性审查且最后报价最低的参加评审，最后报价相同的，由采购人自主选择确定一个参加评审的供应商，其他报价无效。非单一产品采购项目中，多家供应商提供的核心产品品牌相同的，视为提供相同品牌产品。</w:t>
      </w:r>
    </w:p>
    <w:p w14:paraId="37A85EBE">
      <w:pPr>
        <w:pStyle w:val="2"/>
        <w:rPr>
          <w:rFonts w:hint="eastAsia"/>
        </w:rPr>
      </w:pPr>
    </w:p>
    <w:p w14:paraId="6386DCBA">
      <w:pPr>
        <w:pStyle w:val="4"/>
        <w:jc w:val="center"/>
        <w:rPr>
          <w:rFonts w:hint="eastAsia"/>
          <w:b/>
          <w:bCs w:val="0"/>
          <w:color w:val="auto"/>
          <w:szCs w:val="28"/>
        </w:rPr>
      </w:pPr>
      <w:bookmarkStart w:id="186" w:name="_Toc14768"/>
      <w:bookmarkStart w:id="187" w:name="_Toc30079"/>
      <w:bookmarkStart w:id="188" w:name="_Toc18374"/>
      <w:bookmarkStart w:id="189" w:name="_Toc3532"/>
      <w:bookmarkStart w:id="190" w:name="_Toc15583"/>
      <w:bookmarkStart w:id="191" w:name="_Toc4525"/>
      <w:bookmarkStart w:id="192" w:name="_Toc2829"/>
      <w:bookmarkStart w:id="193" w:name="_Toc3019"/>
      <w:bookmarkStart w:id="194" w:name="_Toc8864"/>
      <w:bookmarkStart w:id="195" w:name="_Toc2459"/>
      <w:bookmarkStart w:id="196" w:name="_Toc19868"/>
      <w:bookmarkStart w:id="197" w:name="_Toc19379"/>
      <w:r>
        <w:rPr>
          <w:rFonts w:hint="eastAsia"/>
          <w:b/>
          <w:bCs w:val="0"/>
          <w:color w:val="auto"/>
          <w:szCs w:val="28"/>
        </w:rPr>
        <w:t>二、谈判文件</w:t>
      </w:r>
      <w:bookmarkEnd w:id="186"/>
      <w:bookmarkEnd w:id="187"/>
      <w:bookmarkEnd w:id="188"/>
      <w:bookmarkEnd w:id="189"/>
      <w:bookmarkEnd w:id="190"/>
      <w:bookmarkEnd w:id="191"/>
      <w:bookmarkEnd w:id="192"/>
      <w:bookmarkEnd w:id="193"/>
      <w:bookmarkEnd w:id="194"/>
      <w:bookmarkEnd w:id="195"/>
      <w:bookmarkEnd w:id="196"/>
      <w:bookmarkEnd w:id="197"/>
    </w:p>
    <w:p w14:paraId="762B9B3B">
      <w:pPr>
        <w:pStyle w:val="5"/>
        <w:spacing w:before="0" w:after="0" w:line="360" w:lineRule="auto"/>
        <w:ind w:firstLine="420" w:firstLineChars="200"/>
        <w:rPr>
          <w:rFonts w:hint="eastAsia" w:ascii="宋体" w:hAnsi="宋体" w:cs="宋体"/>
          <w:sz w:val="21"/>
          <w:szCs w:val="21"/>
        </w:rPr>
      </w:pPr>
      <w:bookmarkStart w:id="198" w:name="_Toc18991"/>
      <w:bookmarkStart w:id="199" w:name="_Toc3905"/>
      <w:bookmarkStart w:id="200" w:name="_Toc32371"/>
      <w:bookmarkStart w:id="201" w:name="_Toc25591"/>
      <w:bookmarkStart w:id="202" w:name="_Toc8743"/>
      <w:bookmarkStart w:id="203" w:name="_Toc3148"/>
      <w:bookmarkStart w:id="204" w:name="_Toc7893"/>
      <w:bookmarkStart w:id="205" w:name="_Toc15893"/>
      <w:bookmarkStart w:id="206" w:name="_Toc24068"/>
      <w:bookmarkStart w:id="207" w:name="_Toc20220"/>
      <w:bookmarkStart w:id="208" w:name="_Toc3432"/>
      <w:bookmarkStart w:id="209" w:name="_Toc3546"/>
      <w:r>
        <w:rPr>
          <w:rFonts w:hint="eastAsia" w:ascii="宋体" w:hAnsi="宋体" w:cs="宋体"/>
          <w:sz w:val="21"/>
          <w:szCs w:val="21"/>
        </w:rPr>
        <w:t>9. 谈判文件的构成</w:t>
      </w:r>
      <w:bookmarkEnd w:id="198"/>
      <w:bookmarkEnd w:id="199"/>
      <w:bookmarkEnd w:id="200"/>
      <w:bookmarkEnd w:id="201"/>
      <w:bookmarkEnd w:id="202"/>
      <w:bookmarkEnd w:id="203"/>
      <w:bookmarkEnd w:id="204"/>
      <w:bookmarkEnd w:id="205"/>
      <w:bookmarkEnd w:id="206"/>
      <w:bookmarkEnd w:id="207"/>
      <w:bookmarkEnd w:id="208"/>
      <w:bookmarkEnd w:id="209"/>
    </w:p>
    <w:p w14:paraId="2EECC2B4">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）竞争性谈判公告；</w:t>
      </w:r>
    </w:p>
    <w:p w14:paraId="39B3441D">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）供应商须知；</w:t>
      </w:r>
    </w:p>
    <w:p w14:paraId="54A42CBF">
      <w:pPr>
        <w:spacing w:line="360" w:lineRule="auto"/>
        <w:ind w:firstLine="420" w:firstLineChars="200"/>
        <w:rPr>
          <w:rFonts w:hint="eastAsia" w:ascii="宋体" w:hAnsi="宋体"/>
          <w:b/>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）采购需求</w:t>
      </w:r>
      <w:r>
        <w:rPr>
          <w:rFonts w:hint="eastAsia" w:ascii="宋体" w:hAnsi="宋体"/>
          <w:bCs/>
          <w:szCs w:val="21"/>
        </w:rPr>
        <w:t>；</w:t>
      </w:r>
    </w:p>
    <w:p w14:paraId="69E26B7A">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）评审办法；</w:t>
      </w:r>
    </w:p>
    <w:p w14:paraId="750C38B9">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）采购合同（合同主要条款及格式）；</w:t>
      </w:r>
    </w:p>
    <w:p w14:paraId="54CE41C1">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）响应文件（格式）。</w:t>
      </w:r>
    </w:p>
    <w:p w14:paraId="3610CE1F">
      <w:pPr>
        <w:pStyle w:val="5"/>
        <w:spacing w:before="0" w:after="0" w:line="360" w:lineRule="auto"/>
        <w:ind w:firstLine="420" w:firstLineChars="200"/>
        <w:rPr>
          <w:rFonts w:hint="eastAsia" w:ascii="宋体" w:hAnsi="宋体" w:cs="宋体"/>
          <w:sz w:val="21"/>
          <w:szCs w:val="21"/>
        </w:rPr>
      </w:pPr>
      <w:bookmarkStart w:id="210" w:name="_Toc1448"/>
      <w:bookmarkStart w:id="211" w:name="_Toc29427"/>
      <w:bookmarkStart w:id="212" w:name="_Toc30256"/>
      <w:bookmarkStart w:id="213" w:name="_Toc289"/>
      <w:bookmarkStart w:id="214" w:name="_Toc12978"/>
      <w:bookmarkStart w:id="215" w:name="_Toc10179"/>
      <w:bookmarkStart w:id="216" w:name="_Toc18821"/>
      <w:bookmarkStart w:id="217" w:name="_Toc26306"/>
      <w:bookmarkStart w:id="218" w:name="_Toc6173"/>
      <w:bookmarkStart w:id="219" w:name="_Toc11229"/>
      <w:bookmarkStart w:id="220" w:name="_Toc142"/>
      <w:bookmarkStart w:id="221" w:name="_Toc12804"/>
      <w:r>
        <w:rPr>
          <w:rFonts w:hint="eastAsia" w:ascii="宋体" w:hAnsi="宋体" w:cs="宋体"/>
          <w:sz w:val="21"/>
          <w:szCs w:val="21"/>
        </w:rPr>
        <w:t>10. 谈判文件的澄清与修改</w:t>
      </w:r>
      <w:bookmarkEnd w:id="210"/>
      <w:bookmarkEnd w:id="211"/>
      <w:bookmarkEnd w:id="212"/>
      <w:bookmarkEnd w:id="213"/>
      <w:bookmarkEnd w:id="214"/>
      <w:bookmarkEnd w:id="215"/>
      <w:bookmarkEnd w:id="216"/>
      <w:bookmarkEnd w:id="217"/>
      <w:bookmarkEnd w:id="218"/>
      <w:bookmarkEnd w:id="219"/>
      <w:bookmarkEnd w:id="220"/>
      <w:bookmarkEnd w:id="221"/>
    </w:p>
    <w:p w14:paraId="6CAA6387">
      <w:pPr>
        <w:spacing w:line="360" w:lineRule="auto"/>
        <w:ind w:left="420" w:leftChars="200"/>
        <w:jc w:val="left"/>
        <w:rPr>
          <w:rFonts w:hint="eastAsia" w:ascii="宋体" w:hAnsi="宋体" w:cs="宋体"/>
          <w:szCs w:val="21"/>
        </w:rPr>
      </w:pPr>
      <w:r>
        <w:rPr>
          <w:rFonts w:ascii="宋体" w:hAnsi="宋体" w:cs="宋体"/>
          <w:szCs w:val="21"/>
        </w:rPr>
        <w:t xml:space="preserve">10.1 </w:t>
      </w:r>
      <w:r>
        <w:rPr>
          <w:rFonts w:hint="eastAsia" w:ascii="宋体" w:hAnsi="宋体" w:cs="宋体"/>
          <w:szCs w:val="21"/>
        </w:rPr>
        <w:t>提交首次响应文件截止之日前，采购代理机构可以对已发出的谈判文件进行必要澄清、答复、修改或补充，澄清或者修改的内容可能影响响应文件编制的，采购人、采购代理机构应当在提交首次响应文件递交截止时间五个工作日前在本项目竞争性谈判公告发布的同一媒体上发布更正公告，不足五个工作日的，应当顺延首次响应文件递交截止时间。</w:t>
      </w:r>
    </w:p>
    <w:p w14:paraId="03B54872">
      <w:pPr>
        <w:spacing w:line="360" w:lineRule="auto"/>
        <w:ind w:left="420" w:leftChars="200"/>
        <w:jc w:val="left"/>
        <w:rPr>
          <w:rFonts w:ascii="宋体" w:cs="宋体"/>
          <w:b/>
          <w:bCs/>
          <w:szCs w:val="21"/>
        </w:rPr>
      </w:pPr>
      <w:r>
        <w:rPr>
          <w:rFonts w:ascii="宋体" w:hAnsi="宋体" w:cs="宋体"/>
          <w:szCs w:val="21"/>
        </w:rPr>
        <w:t>10.2</w:t>
      </w:r>
      <w:r>
        <w:rPr>
          <w:rFonts w:hint="eastAsia" w:ascii="宋体" w:hAnsi="宋体" w:cs="宋体"/>
          <w:b/>
          <w:bCs/>
          <w:szCs w:val="21"/>
        </w:rPr>
        <w:t>供应商应实时关注本项目信息公告发布媒体相关网站了解澄清、修改等与项目有关的内容，如因供应商未及时登录相关网站了解澄清、修改等与项目有关的内容，从而导致响应文件无效的，由供应商自行承担责任。</w:t>
      </w:r>
    </w:p>
    <w:p w14:paraId="0F1B9BAA">
      <w:pPr>
        <w:spacing w:line="360" w:lineRule="auto"/>
        <w:ind w:left="420" w:leftChars="200"/>
        <w:jc w:val="left"/>
        <w:rPr>
          <w:rFonts w:hint="eastAsia" w:ascii="宋体" w:hAnsi="宋体" w:cs="宋体"/>
          <w:szCs w:val="21"/>
        </w:rPr>
      </w:pPr>
      <w:r>
        <w:rPr>
          <w:rFonts w:hint="eastAsia" w:ascii="宋体" w:hAnsi="宋体" w:cs="宋体"/>
          <w:szCs w:val="21"/>
        </w:rPr>
        <w:t>10.3澄清或者修改的内容为谈判文件的组成部分。当澄清或者修改通知就同一内容的表述不一致时，以最后发出的文件为准。</w:t>
      </w:r>
    </w:p>
    <w:p w14:paraId="4D0DD0A3">
      <w:pPr>
        <w:spacing w:line="360" w:lineRule="auto"/>
        <w:ind w:left="420" w:leftChars="200"/>
        <w:jc w:val="left"/>
        <w:rPr>
          <w:rFonts w:hint="eastAsia" w:ascii="宋体" w:hAnsi="宋体" w:cs="宋体"/>
          <w:szCs w:val="21"/>
        </w:rPr>
      </w:pPr>
      <w:r>
        <w:rPr>
          <w:rFonts w:hint="eastAsia" w:ascii="宋体" w:hAnsi="宋体" w:cs="宋体"/>
          <w:szCs w:val="21"/>
        </w:rPr>
        <w:t>10.4 谈判文件的澄清或者修改都应该通过本项目采购代理机构以法定形式发布，采购人非通过本机构，不得擅自澄清或者修改谈判文件。</w:t>
      </w:r>
    </w:p>
    <w:p w14:paraId="08038ADF">
      <w:pPr>
        <w:spacing w:line="360" w:lineRule="auto"/>
        <w:ind w:left="420" w:leftChars="200"/>
        <w:jc w:val="left"/>
        <w:rPr>
          <w:rFonts w:hint="eastAsia"/>
        </w:rPr>
      </w:pPr>
      <w:r>
        <w:rPr>
          <w:rFonts w:hint="eastAsia" w:ascii="宋体" w:hAnsi="宋体" w:cs="宋体"/>
          <w:szCs w:val="21"/>
        </w:rPr>
        <w:t>10.5采购单位可以视采购具体情况，延长响应文件截止时间和谈判时间，在本项目竞争性谈判公告发布的同一媒体上发布变更公告。</w:t>
      </w:r>
    </w:p>
    <w:p w14:paraId="718C4395">
      <w:pPr>
        <w:pStyle w:val="4"/>
        <w:jc w:val="center"/>
        <w:rPr>
          <w:rFonts w:hint="eastAsia"/>
          <w:b/>
          <w:bCs w:val="0"/>
          <w:color w:val="auto"/>
          <w:szCs w:val="28"/>
        </w:rPr>
      </w:pPr>
      <w:bookmarkStart w:id="222" w:name="_Toc3834"/>
      <w:bookmarkStart w:id="223" w:name="_Toc23004"/>
      <w:bookmarkStart w:id="224" w:name="_Toc1838"/>
      <w:bookmarkStart w:id="225" w:name="_Toc30408"/>
      <w:bookmarkStart w:id="226" w:name="_Toc6502"/>
      <w:bookmarkStart w:id="227" w:name="_Toc4294"/>
      <w:bookmarkStart w:id="228" w:name="_Toc28536"/>
      <w:bookmarkStart w:id="229" w:name="_Toc13768"/>
      <w:bookmarkStart w:id="230" w:name="_Toc31243"/>
      <w:bookmarkStart w:id="231" w:name="_Toc13602"/>
      <w:bookmarkStart w:id="232" w:name="_Toc27466"/>
      <w:bookmarkStart w:id="233" w:name="_Toc5782"/>
      <w:r>
        <w:rPr>
          <w:rFonts w:hint="eastAsia"/>
          <w:b/>
          <w:bCs w:val="0"/>
          <w:color w:val="auto"/>
          <w:szCs w:val="28"/>
        </w:rPr>
        <w:t>三、竞争性谈判响应文件的编制</w:t>
      </w:r>
      <w:bookmarkEnd w:id="222"/>
      <w:bookmarkEnd w:id="223"/>
      <w:bookmarkEnd w:id="224"/>
      <w:bookmarkEnd w:id="225"/>
      <w:bookmarkEnd w:id="226"/>
      <w:bookmarkEnd w:id="227"/>
      <w:bookmarkEnd w:id="228"/>
      <w:bookmarkEnd w:id="229"/>
      <w:bookmarkEnd w:id="230"/>
      <w:bookmarkEnd w:id="231"/>
      <w:bookmarkEnd w:id="232"/>
      <w:bookmarkEnd w:id="233"/>
    </w:p>
    <w:p w14:paraId="461CA054">
      <w:pPr>
        <w:pStyle w:val="5"/>
        <w:spacing w:before="0" w:after="0" w:line="360" w:lineRule="auto"/>
        <w:ind w:firstLine="420" w:firstLineChars="200"/>
        <w:rPr>
          <w:rFonts w:hint="eastAsia" w:ascii="宋体" w:hAnsi="宋体" w:cs="宋体"/>
          <w:sz w:val="21"/>
          <w:szCs w:val="21"/>
        </w:rPr>
      </w:pPr>
      <w:bookmarkStart w:id="234" w:name="_Toc6724"/>
      <w:bookmarkStart w:id="235" w:name="_Toc5167"/>
      <w:bookmarkStart w:id="236" w:name="_Toc28492"/>
      <w:bookmarkStart w:id="237" w:name="_Toc11209"/>
      <w:bookmarkStart w:id="238" w:name="_Toc1151"/>
      <w:bookmarkStart w:id="239" w:name="_Toc7258"/>
      <w:bookmarkStart w:id="240" w:name="_Toc3672"/>
      <w:bookmarkStart w:id="241" w:name="_Toc1961"/>
      <w:bookmarkStart w:id="242" w:name="_Toc1879"/>
      <w:bookmarkStart w:id="243" w:name="_Toc3548"/>
      <w:bookmarkStart w:id="244" w:name="_Toc13590"/>
      <w:bookmarkStart w:id="245" w:name="_Toc3373"/>
      <w:r>
        <w:rPr>
          <w:rFonts w:hint="eastAsia" w:ascii="宋体" w:hAnsi="宋体" w:cs="宋体"/>
          <w:sz w:val="21"/>
          <w:szCs w:val="21"/>
        </w:rPr>
        <w:t>11.竞争性谈判响应文件（以下简称响应文件）的组成及要求</w:t>
      </w:r>
      <w:bookmarkEnd w:id="234"/>
      <w:bookmarkEnd w:id="235"/>
      <w:bookmarkEnd w:id="236"/>
      <w:bookmarkEnd w:id="237"/>
      <w:bookmarkEnd w:id="238"/>
      <w:bookmarkEnd w:id="239"/>
      <w:bookmarkEnd w:id="240"/>
      <w:bookmarkEnd w:id="241"/>
      <w:bookmarkEnd w:id="242"/>
      <w:bookmarkEnd w:id="243"/>
      <w:bookmarkEnd w:id="244"/>
      <w:bookmarkEnd w:id="245"/>
    </w:p>
    <w:p w14:paraId="013DA35E">
      <w:pPr>
        <w:spacing w:line="360" w:lineRule="auto"/>
        <w:ind w:firstLine="420" w:firstLineChars="200"/>
        <w:rPr>
          <w:rFonts w:ascii="宋体" w:hAnsi="宋体" w:cs="宋体"/>
          <w:b/>
          <w:bCs/>
          <w:szCs w:val="21"/>
        </w:rPr>
      </w:pPr>
      <w:r>
        <w:rPr>
          <w:rFonts w:hint="eastAsia" w:ascii="宋体" w:hAnsi="宋体" w:cs="宋体"/>
          <w:b/>
          <w:bCs/>
          <w:szCs w:val="21"/>
        </w:rPr>
        <w:t>11</w:t>
      </w:r>
      <w:r>
        <w:rPr>
          <w:rFonts w:ascii="宋体" w:hAnsi="宋体" w:cs="宋体"/>
          <w:b/>
          <w:bCs/>
          <w:szCs w:val="21"/>
        </w:rPr>
        <w:t>.1 本项目实行电子投标</w:t>
      </w:r>
      <w:r>
        <w:rPr>
          <w:rFonts w:hint="eastAsia" w:ascii="宋体" w:hAnsi="宋体" w:cs="宋体"/>
          <w:b/>
          <w:bCs/>
          <w:szCs w:val="21"/>
        </w:rPr>
        <w:t>响应</w:t>
      </w:r>
      <w:r>
        <w:rPr>
          <w:rFonts w:ascii="宋体" w:hAnsi="宋体" w:cs="宋体"/>
          <w:b/>
          <w:bCs/>
          <w:szCs w:val="21"/>
        </w:rPr>
        <w:t>，供应商应准备电子响应文件</w:t>
      </w:r>
      <w:r>
        <w:rPr>
          <w:rFonts w:hint="eastAsia" w:ascii="宋体" w:hAnsi="宋体" w:cs="宋体"/>
          <w:b/>
          <w:bCs/>
          <w:szCs w:val="21"/>
        </w:rPr>
        <w:t>：</w:t>
      </w:r>
    </w:p>
    <w:p w14:paraId="49794012">
      <w:pPr>
        <w:spacing w:line="360" w:lineRule="auto"/>
        <w:ind w:firstLine="420" w:firstLineChars="200"/>
        <w:rPr>
          <w:rFonts w:hint="eastAsia"/>
        </w:rPr>
      </w:pPr>
      <w:r>
        <w:rPr>
          <w:rFonts w:hint="eastAsia" w:ascii="宋体" w:hAnsi="宋体" w:cs="宋体"/>
          <w:b/>
          <w:bCs/>
          <w:szCs w:val="21"/>
        </w:rPr>
        <w:t>11</w:t>
      </w:r>
      <w:r>
        <w:rPr>
          <w:rFonts w:ascii="宋体" w:hAnsi="宋体" w:cs="宋体"/>
          <w:b/>
          <w:bCs/>
          <w:szCs w:val="21"/>
        </w:rPr>
        <w:t>.1.1 电子响应文件按</w:t>
      </w:r>
      <w:r>
        <w:rPr>
          <w:rFonts w:hint="eastAsia" w:ascii="宋体" w:hAnsi="宋体" w:cs="宋体"/>
          <w:b/>
          <w:bCs/>
          <w:szCs w:val="21"/>
        </w:rPr>
        <w:t>广西政府采购云平台</w:t>
      </w:r>
      <w:r>
        <w:rPr>
          <w:rFonts w:ascii="宋体" w:hAnsi="宋体" w:cs="宋体"/>
          <w:b/>
          <w:bCs/>
          <w:szCs w:val="21"/>
        </w:rPr>
        <w:t>要求及本</w:t>
      </w:r>
      <w:r>
        <w:rPr>
          <w:rFonts w:hint="eastAsia" w:ascii="宋体" w:hAnsi="宋体" w:cs="宋体"/>
          <w:b/>
          <w:bCs/>
          <w:szCs w:val="21"/>
        </w:rPr>
        <w:t>谈判</w:t>
      </w:r>
      <w:r>
        <w:rPr>
          <w:rFonts w:ascii="宋体" w:hAnsi="宋体" w:cs="宋体"/>
          <w:b/>
          <w:bCs/>
          <w:szCs w:val="21"/>
        </w:rPr>
        <w:t>文件要求制作、加密并递交。具体操作流程可参考《政府采购项目电子交易管理操作指南-供应商》</w:t>
      </w:r>
      <w:r>
        <w:rPr>
          <w:rFonts w:hint="eastAsia" w:ascii="宋体" w:hAnsi="宋体" w:cs="宋体"/>
          <w:b/>
          <w:bCs/>
          <w:szCs w:val="21"/>
        </w:rPr>
        <w:t>，</w:t>
      </w:r>
      <w:r>
        <w:rPr>
          <w:rFonts w:ascii="宋体" w:hAnsi="宋体" w:cs="宋体"/>
          <w:b/>
          <w:bCs/>
          <w:szCs w:val="21"/>
        </w:rPr>
        <w:t>指南可在 “</w:t>
      </w:r>
      <w:r>
        <w:rPr>
          <w:rFonts w:hint="eastAsia" w:ascii="宋体" w:hAnsi="宋体" w:cs="宋体"/>
          <w:b/>
          <w:bCs/>
          <w:szCs w:val="21"/>
        </w:rPr>
        <w:t>广西政府采购云平台</w:t>
      </w:r>
      <w:r>
        <w:rPr>
          <w:rFonts w:ascii="宋体" w:hAnsi="宋体" w:cs="宋体"/>
          <w:b/>
          <w:bCs/>
          <w:szCs w:val="21"/>
        </w:rPr>
        <w:t xml:space="preserve">”下载。 </w:t>
      </w:r>
    </w:p>
    <w:p w14:paraId="52FE5974">
      <w:pPr>
        <w:spacing w:line="360" w:lineRule="auto"/>
        <w:ind w:firstLine="420" w:firstLineChars="200"/>
        <w:rPr>
          <w:rFonts w:ascii="宋体" w:cs="宋体"/>
          <w:b/>
          <w:bCs/>
          <w:szCs w:val="21"/>
        </w:rPr>
      </w:pPr>
      <w:r>
        <w:rPr>
          <w:rFonts w:ascii="宋体" w:hAnsi="宋体" w:cs="宋体"/>
          <w:b/>
          <w:bCs/>
          <w:szCs w:val="21"/>
        </w:rPr>
        <w:t>1</w:t>
      </w:r>
      <w:r>
        <w:rPr>
          <w:rFonts w:hint="eastAsia" w:ascii="宋体" w:hAnsi="宋体" w:cs="宋体"/>
          <w:b/>
          <w:bCs/>
          <w:szCs w:val="21"/>
        </w:rPr>
        <w:t>1</w:t>
      </w:r>
      <w:r>
        <w:rPr>
          <w:rFonts w:ascii="宋体" w:hAnsi="宋体" w:cs="宋体"/>
          <w:b/>
          <w:bCs/>
          <w:szCs w:val="21"/>
        </w:rPr>
        <w:t>.</w:t>
      </w:r>
      <w:r>
        <w:rPr>
          <w:rFonts w:hint="eastAsia" w:ascii="宋体" w:hAnsi="宋体" w:cs="宋体"/>
          <w:b/>
          <w:bCs/>
          <w:szCs w:val="21"/>
        </w:rPr>
        <w:t>2响应文件组成【格式见第六章“响应文件（格式）”】</w:t>
      </w:r>
    </w:p>
    <w:p w14:paraId="4CFD0560">
      <w:pPr>
        <w:spacing w:line="360" w:lineRule="auto"/>
        <w:ind w:firstLine="420" w:firstLineChars="200"/>
      </w:pPr>
      <w:r>
        <w:rPr>
          <w:rFonts w:ascii="宋体" w:hAnsi="宋体" w:cs="宋体"/>
          <w:b/>
          <w:bCs/>
          <w:szCs w:val="21"/>
        </w:rPr>
        <w:t>11.</w:t>
      </w:r>
      <w:r>
        <w:rPr>
          <w:rFonts w:hint="eastAsia" w:ascii="宋体" w:hAnsi="宋体" w:cs="宋体"/>
          <w:b/>
          <w:bCs/>
          <w:szCs w:val="21"/>
        </w:rPr>
        <w:t>2.1资格性响应证明材料：</w:t>
      </w:r>
    </w:p>
    <w:p w14:paraId="11444344">
      <w:pPr>
        <w:spacing w:line="360" w:lineRule="auto"/>
        <w:ind w:firstLine="420" w:firstLineChars="200"/>
        <w:rPr>
          <w:rFonts w:ascii="宋体" w:cs="宋体"/>
          <w:szCs w:val="21"/>
        </w:rPr>
      </w:pPr>
      <w:r>
        <w:rPr>
          <w:rFonts w:hint="eastAsia" w:ascii="宋体" w:hAnsi="宋体" w:cs="宋体"/>
          <w:szCs w:val="21"/>
        </w:rPr>
        <w:t>（1）供应商相应的法定代表人、负责人、自然人身份证正反两面扫描件加盖电子签章</w:t>
      </w:r>
      <w:r>
        <w:rPr>
          <w:rFonts w:hint="eastAsia" w:ascii="宋体" w:hAnsi="宋体" w:cs="宋体"/>
          <w:b/>
          <w:bCs/>
          <w:szCs w:val="21"/>
        </w:rPr>
        <w:t>（必须提供）；</w:t>
      </w:r>
    </w:p>
    <w:p w14:paraId="11E08A22">
      <w:pPr>
        <w:spacing w:line="360" w:lineRule="auto"/>
        <w:ind w:firstLine="420" w:firstLineChars="200"/>
        <w:rPr>
          <w:rFonts w:hint="eastAsia" w:ascii="宋体" w:hAnsi="宋体" w:cs="宋体"/>
          <w:szCs w:val="21"/>
        </w:rPr>
      </w:pPr>
      <w:r>
        <w:rPr>
          <w:rFonts w:hint="eastAsia" w:ascii="宋体" w:hAnsi="宋体" w:cs="宋体"/>
          <w:szCs w:val="21"/>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17BB5CF0">
      <w:pPr>
        <w:spacing w:line="360" w:lineRule="auto"/>
        <w:ind w:firstLine="630" w:firstLineChars="300"/>
        <w:rPr>
          <w:rFonts w:hint="eastAsia" w:ascii="宋体" w:hAnsi="宋体" w:cs="宋体"/>
          <w:szCs w:val="21"/>
        </w:rPr>
      </w:pPr>
      <w:r>
        <w:rPr>
          <w:rFonts w:hint="eastAsia" w:ascii="宋体" w:hAnsi="宋体" w:cs="宋体"/>
          <w:szCs w:val="21"/>
        </w:rPr>
        <w:t>①如供应商为截标时间前60日以内成立的公司，可以提供供应商与委托代理人签订的劳动合同扫描件加盖电子签章代替养老保险证明扫描件加盖电子签章；</w:t>
      </w:r>
    </w:p>
    <w:p w14:paraId="5BB46AB9">
      <w:pPr>
        <w:spacing w:line="360" w:lineRule="auto"/>
        <w:ind w:firstLine="630" w:firstLineChars="300"/>
        <w:rPr>
          <w:rFonts w:hint="eastAsia" w:ascii="宋体" w:hAnsi="宋体" w:cs="宋体"/>
          <w:szCs w:val="21"/>
        </w:rPr>
      </w:pPr>
      <w:r>
        <w:rPr>
          <w:rFonts w:hint="eastAsia" w:ascii="宋体" w:hAnsi="宋体" w:cs="宋体"/>
          <w:szCs w:val="21"/>
        </w:rPr>
        <w:t>②如供应商为事业单位，可以提供事业单位机构编制管理证扫描件加盖电子签章或事业单位机构为其发放工资的工资条扫描件加盖电子签章代替养老保险证明扫描件加盖电子签章；</w:t>
      </w:r>
    </w:p>
    <w:p w14:paraId="5B5DD8A5">
      <w:pPr>
        <w:spacing w:line="360" w:lineRule="auto"/>
        <w:ind w:firstLine="630" w:firstLineChars="300"/>
        <w:rPr>
          <w:rFonts w:hint="eastAsia" w:ascii="宋体" w:hAnsi="宋体" w:cs="宋体"/>
          <w:szCs w:val="21"/>
        </w:rPr>
      </w:pPr>
      <w:r>
        <w:rPr>
          <w:rFonts w:hint="eastAsia" w:ascii="宋体" w:hAnsi="宋体" w:cs="宋体"/>
          <w:szCs w:val="21"/>
        </w:rPr>
        <w:t>③如委托代理人为免缴纳养老保险人员，提供免缴纳养老保险的证明材料扫描件加盖电子签章及供应商与委托代理人签订的劳动合同扫描件加盖电子签章代替养老保险证明扫描件加盖电子签章；</w:t>
      </w:r>
    </w:p>
    <w:p w14:paraId="511CF387">
      <w:pPr>
        <w:pStyle w:val="2"/>
        <w:spacing w:line="360" w:lineRule="auto"/>
        <w:ind w:firstLine="630" w:firstLineChars="300"/>
        <w:rPr>
          <w:rFonts w:hint="eastAsia" w:ascii="宋体" w:hAnsi="宋体" w:cs="宋体"/>
          <w:szCs w:val="21"/>
        </w:rPr>
      </w:pPr>
      <w:r>
        <w:rPr>
          <w:rFonts w:hint="eastAsia" w:ascii="宋体" w:hAnsi="宋体" w:cs="宋体"/>
          <w:szCs w:val="21"/>
        </w:rPr>
        <w:t>④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3E45E1B4">
      <w:pPr>
        <w:spacing w:line="360" w:lineRule="auto"/>
        <w:ind w:firstLine="420" w:firstLineChars="200"/>
        <w:rPr>
          <w:rFonts w:hint="eastAsia" w:ascii="宋体" w:hAnsi="宋体" w:cs="宋体"/>
          <w:b/>
          <w:bCs/>
          <w:szCs w:val="21"/>
        </w:rPr>
      </w:pPr>
      <w:r>
        <w:rPr>
          <w:rFonts w:hint="eastAsia" w:ascii="宋体" w:hAnsi="宋体" w:cs="宋体"/>
          <w:b/>
          <w:bCs/>
          <w:szCs w:val="21"/>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szCs w:val="21"/>
        </w:rPr>
        <w:t>】</w:t>
      </w:r>
      <w:r>
        <w:rPr>
          <w:rFonts w:hint="eastAsia" w:ascii="宋体" w:hAnsi="宋体" w:cs="宋体"/>
          <w:b/>
          <w:bCs/>
          <w:szCs w:val="21"/>
        </w:rPr>
        <w:t>（委托代理时必须提供；如为联合体的，授权委托书原件须由牵头人出具）</w:t>
      </w:r>
    </w:p>
    <w:p w14:paraId="1A8F1F07">
      <w:pPr>
        <w:spacing w:line="360" w:lineRule="auto"/>
        <w:ind w:firstLine="420" w:firstLineChars="200"/>
        <w:rPr>
          <w:rFonts w:ascii="宋体" w:cs="宋体"/>
          <w:b/>
          <w:bCs/>
          <w:szCs w:val="21"/>
        </w:rPr>
      </w:pPr>
      <w:r>
        <w:rPr>
          <w:rFonts w:hint="eastAsia" w:ascii="宋体" w:hAnsi="宋体" w:cs="宋体"/>
          <w:szCs w:val="21"/>
        </w:rPr>
        <w:t>（3）供应商参加政府采购活动前</w:t>
      </w:r>
      <w:r>
        <w:rPr>
          <w:rFonts w:ascii="宋体" w:hAnsi="宋体" w:cs="宋体"/>
          <w:szCs w:val="21"/>
        </w:rPr>
        <w:t>3</w:t>
      </w:r>
      <w:r>
        <w:rPr>
          <w:rFonts w:hint="eastAsia" w:ascii="宋体" w:hAnsi="宋体" w:cs="宋体"/>
          <w:szCs w:val="21"/>
        </w:rPr>
        <w:t>年内在经营活动中没有重大违法记录及有关信用信息的书面声明</w:t>
      </w:r>
      <w:r>
        <w:rPr>
          <w:rFonts w:hint="eastAsia" w:ascii="宋体" w:hAnsi="宋体" w:cs="宋体"/>
          <w:b/>
          <w:bCs/>
          <w:szCs w:val="21"/>
        </w:rPr>
        <w:t>（必须提供）；</w:t>
      </w:r>
    </w:p>
    <w:p w14:paraId="3F0AE46E">
      <w:pPr>
        <w:spacing w:line="360" w:lineRule="auto"/>
        <w:ind w:firstLine="420" w:firstLineChars="200"/>
        <w:rPr>
          <w:rFonts w:ascii="宋体" w:cs="宋体"/>
          <w:szCs w:val="21"/>
        </w:rPr>
      </w:pPr>
      <w:r>
        <w:rPr>
          <w:rFonts w:hint="eastAsia" w:ascii="宋体" w:hAnsi="宋体" w:cs="宋体"/>
          <w:szCs w:val="21"/>
        </w:rPr>
        <w:t>（4）供应商的法人或者其他组织营业执照等证明文件扫描件加盖电子签章</w:t>
      </w:r>
      <w:r>
        <w:rPr>
          <w:rFonts w:hint="eastAsia" w:ascii="宋体" w:hAnsi="宋体" w:cs="宋体"/>
          <w:b/>
          <w:bCs/>
          <w:szCs w:val="21"/>
        </w:rPr>
        <w:t>（必须提供，自然人除外）；</w:t>
      </w:r>
    </w:p>
    <w:p w14:paraId="376D567B">
      <w:pPr>
        <w:tabs>
          <w:tab w:val="left" w:pos="1305"/>
        </w:tabs>
        <w:spacing w:line="360" w:lineRule="auto"/>
        <w:ind w:firstLine="420" w:firstLineChars="200"/>
        <w:rPr>
          <w:rFonts w:ascii="宋体" w:hAnsi="宋体" w:cs="宋体"/>
          <w:szCs w:val="21"/>
          <w:u w:val="single"/>
        </w:rPr>
      </w:pPr>
      <w:r>
        <w:rPr>
          <w:rFonts w:hint="eastAsia" w:ascii="宋体" w:hAnsi="宋体" w:cs="宋体"/>
          <w:b/>
          <w:szCs w:val="21"/>
          <w:u w:val="single"/>
        </w:rPr>
        <w:t>注：</w:t>
      </w:r>
      <w:r>
        <w:rPr>
          <w:rFonts w:hint="eastAsia" w:ascii="宋体" w:hAnsi="宋体" w:cs="宋体"/>
          <w:b/>
          <w:color w:val="000000"/>
          <w:szCs w:val="21"/>
          <w:highlight w:val="none"/>
          <w:u w:val="single"/>
        </w:rPr>
        <w:t>供应商为企业（包括合伙企业），应提供</w:t>
      </w:r>
      <w:r>
        <w:rPr>
          <w:rFonts w:hint="eastAsia" w:ascii="宋体" w:hAnsi="宋体" w:cs="宋体"/>
          <w:b/>
          <w:color w:val="000000"/>
          <w:szCs w:val="21"/>
          <w:highlight w:val="none"/>
          <w:u w:val="single"/>
          <w:lang w:eastAsia="zh-CN"/>
        </w:rPr>
        <w:t>市场监管部门（登记机关）</w:t>
      </w:r>
      <w:r>
        <w:rPr>
          <w:rFonts w:hint="eastAsia" w:ascii="宋体" w:hAnsi="宋体" w:cs="宋体"/>
          <w:b/>
          <w:color w:val="000000"/>
          <w:szCs w:val="21"/>
          <w:highlight w:val="none"/>
          <w:u w:val="single"/>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cs="宋体"/>
          <w:b/>
          <w:color w:val="000000"/>
          <w:szCs w:val="21"/>
          <w:highlight w:val="none"/>
          <w:u w:val="single"/>
          <w:lang w:eastAsia="zh-CN"/>
        </w:rPr>
        <w:t>扫描件</w:t>
      </w:r>
      <w:r>
        <w:rPr>
          <w:rFonts w:hint="eastAsia" w:ascii="宋体" w:hAnsi="宋体" w:cs="宋体"/>
          <w:b/>
          <w:color w:val="000000"/>
          <w:szCs w:val="21"/>
          <w:highlight w:val="none"/>
          <w:u w:val="single"/>
        </w:rPr>
        <w:t>）</w:t>
      </w:r>
    </w:p>
    <w:p w14:paraId="219E7172">
      <w:pPr>
        <w:spacing w:line="360" w:lineRule="auto"/>
        <w:ind w:firstLine="420" w:firstLineChars="200"/>
        <w:rPr>
          <w:rFonts w:hint="eastAsia" w:ascii="宋体" w:hAnsi="宋体" w:cs="宋体"/>
          <w:szCs w:val="21"/>
        </w:rPr>
      </w:pPr>
      <w:r>
        <w:rPr>
          <w:rFonts w:hint="eastAsia" w:ascii="宋体" w:hAnsi="宋体" w:cs="宋体"/>
          <w:szCs w:val="21"/>
        </w:rPr>
        <w:t>（5）财务状况报告</w:t>
      </w:r>
      <w:r>
        <w:rPr>
          <w:rFonts w:hint="eastAsia" w:ascii="宋体" w:hAnsi="宋体" w:cs="宋体"/>
          <w:b/>
          <w:bCs/>
          <w:szCs w:val="21"/>
        </w:rPr>
        <w:t>（格式自拟，必须提供）</w:t>
      </w:r>
      <w:r>
        <w:rPr>
          <w:rFonts w:hint="eastAsia" w:ascii="宋体" w:hAnsi="宋体" w:cs="宋体"/>
          <w:szCs w:val="21"/>
        </w:rPr>
        <w:t>；</w:t>
      </w:r>
    </w:p>
    <w:p w14:paraId="1C7C10B8">
      <w:pPr>
        <w:spacing w:line="360" w:lineRule="auto"/>
        <w:ind w:firstLine="420" w:firstLineChars="200"/>
        <w:rPr>
          <w:rFonts w:hint="eastAsia"/>
        </w:rPr>
      </w:pPr>
      <w:r>
        <w:rPr>
          <w:rFonts w:hint="eastAsia" w:ascii="宋体" w:hAnsi="宋体" w:cs="宋体"/>
          <w:szCs w:val="21"/>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szCs w:val="21"/>
        </w:rPr>
        <w:t>（必须提供）。</w:t>
      </w:r>
    </w:p>
    <w:p w14:paraId="3C6AAD3B">
      <w:pPr>
        <w:pStyle w:val="25"/>
        <w:spacing w:after="0" w:line="360" w:lineRule="auto"/>
        <w:ind w:left="0" w:leftChars="0" w:firstLine="422"/>
        <w:rPr>
          <w:rFonts w:hint="eastAsia" w:ascii="宋体" w:hAnsi="宋体" w:cs="宋体"/>
        </w:rPr>
      </w:pPr>
      <w:r>
        <w:rPr>
          <w:rFonts w:hint="eastAsia" w:ascii="宋体" w:hAnsi="宋体" w:cs="宋体"/>
          <w:b/>
          <w:bCs/>
          <w:szCs w:val="21"/>
        </w:rPr>
        <w:t>11.2.2符合性响应证明材料：</w:t>
      </w:r>
    </w:p>
    <w:p w14:paraId="0FBCCC0D">
      <w:pPr>
        <w:pStyle w:val="25"/>
        <w:spacing w:after="0" w:line="400" w:lineRule="exact"/>
        <w:ind w:left="0" w:leftChars="0"/>
        <w:rPr>
          <w:rFonts w:hint="eastAsia" w:ascii="宋体" w:hAnsi="宋体" w:cs="宋体"/>
          <w:szCs w:val="21"/>
        </w:rPr>
      </w:pPr>
      <w:r>
        <w:rPr>
          <w:rFonts w:hint="eastAsia" w:ascii="宋体" w:hAnsi="宋体" w:cs="宋体"/>
          <w:szCs w:val="21"/>
        </w:rPr>
        <w:t>（1）响应函（格式见附件）</w:t>
      </w:r>
      <w:r>
        <w:rPr>
          <w:rFonts w:hint="eastAsia" w:ascii="宋体" w:hAnsi="宋体" w:cs="宋体"/>
          <w:b/>
          <w:bCs/>
          <w:szCs w:val="21"/>
        </w:rPr>
        <w:t>（必须提供）</w:t>
      </w:r>
      <w:r>
        <w:rPr>
          <w:rFonts w:hint="eastAsia" w:ascii="宋体" w:hAnsi="宋体" w:cs="宋体"/>
          <w:szCs w:val="21"/>
        </w:rPr>
        <w:t>；</w:t>
      </w:r>
    </w:p>
    <w:p w14:paraId="606F9F3F">
      <w:pPr>
        <w:pStyle w:val="25"/>
        <w:spacing w:after="0" w:line="400" w:lineRule="exact"/>
        <w:ind w:left="0" w:leftChars="0"/>
        <w:rPr>
          <w:rFonts w:hint="eastAsia" w:ascii="宋体" w:hAnsi="宋体" w:cs="宋体"/>
          <w:szCs w:val="21"/>
        </w:rPr>
      </w:pPr>
      <w:r>
        <w:rPr>
          <w:rFonts w:hint="eastAsia" w:ascii="宋体" w:hAnsi="宋体" w:cs="宋体"/>
          <w:szCs w:val="21"/>
        </w:rPr>
        <w:t>（2）谈判报价表（格式见附件）</w:t>
      </w:r>
      <w:r>
        <w:rPr>
          <w:rFonts w:hint="eastAsia" w:ascii="宋体" w:hAnsi="宋体" w:cs="宋体"/>
          <w:b/>
          <w:bCs/>
          <w:szCs w:val="21"/>
        </w:rPr>
        <w:t>（必须提供）</w:t>
      </w:r>
      <w:r>
        <w:rPr>
          <w:rFonts w:hint="eastAsia" w:ascii="宋体" w:hAnsi="宋体" w:cs="宋体"/>
          <w:szCs w:val="21"/>
        </w:rPr>
        <w:t>；</w:t>
      </w:r>
    </w:p>
    <w:p w14:paraId="7AAF4B26">
      <w:pPr>
        <w:pStyle w:val="25"/>
        <w:spacing w:after="0" w:line="400" w:lineRule="exact"/>
        <w:ind w:left="0" w:leftChars="0"/>
        <w:rPr>
          <w:rFonts w:hint="eastAsia" w:ascii="宋体" w:hAnsi="宋体" w:cs="宋体"/>
          <w:szCs w:val="21"/>
        </w:rPr>
      </w:pPr>
      <w:r>
        <w:rPr>
          <w:rFonts w:hint="eastAsia" w:ascii="宋体" w:hAnsi="宋体" w:cs="宋体"/>
          <w:szCs w:val="21"/>
        </w:rPr>
        <w:t>（3）技术规格偏离表</w:t>
      </w:r>
      <w:r>
        <w:rPr>
          <w:rFonts w:hint="eastAsia" w:ascii="宋体" w:hAnsi="宋体" w:cs="宋体"/>
          <w:b/>
          <w:bCs/>
          <w:szCs w:val="21"/>
        </w:rPr>
        <w:t>（必须提供）</w:t>
      </w:r>
      <w:r>
        <w:rPr>
          <w:rFonts w:hint="eastAsia" w:ascii="宋体" w:hAnsi="宋体" w:cs="宋体"/>
          <w:szCs w:val="21"/>
        </w:rPr>
        <w:t>；</w:t>
      </w:r>
    </w:p>
    <w:p w14:paraId="0802EEEE">
      <w:pPr>
        <w:pStyle w:val="25"/>
        <w:spacing w:after="0" w:line="400" w:lineRule="exact"/>
        <w:ind w:left="0" w:leftChars="0"/>
        <w:rPr>
          <w:rFonts w:hint="eastAsia" w:ascii="宋体" w:hAnsi="宋体" w:cs="宋体"/>
          <w:szCs w:val="21"/>
        </w:rPr>
      </w:pPr>
      <w:r>
        <w:rPr>
          <w:rFonts w:hint="eastAsia" w:ascii="宋体" w:hAnsi="宋体" w:cs="宋体"/>
          <w:szCs w:val="21"/>
        </w:rPr>
        <w:t>（4）商务响应表</w:t>
      </w:r>
      <w:r>
        <w:rPr>
          <w:rFonts w:hint="eastAsia" w:ascii="宋体" w:hAnsi="宋体" w:cs="宋体"/>
          <w:b/>
          <w:bCs/>
          <w:szCs w:val="21"/>
        </w:rPr>
        <w:t>（必须提供）</w:t>
      </w:r>
      <w:r>
        <w:rPr>
          <w:rFonts w:hint="eastAsia" w:ascii="宋体" w:hAnsi="宋体" w:cs="宋体"/>
          <w:szCs w:val="21"/>
        </w:rPr>
        <w:t>；</w:t>
      </w:r>
    </w:p>
    <w:p w14:paraId="0232B3AA">
      <w:pPr>
        <w:pStyle w:val="25"/>
        <w:spacing w:after="0" w:line="400" w:lineRule="exact"/>
        <w:ind w:left="0" w:leftChars="0"/>
        <w:rPr>
          <w:rFonts w:hint="eastAsia" w:ascii="宋体" w:hAnsi="宋体" w:cs="宋体"/>
          <w:szCs w:val="21"/>
        </w:rPr>
      </w:pPr>
      <w:r>
        <w:rPr>
          <w:rFonts w:hint="eastAsia" w:ascii="宋体" w:hAnsi="宋体" w:cs="宋体"/>
          <w:szCs w:val="21"/>
        </w:rPr>
        <w:t>（5）供应商的售后服务承诺书（必须包含售后服务要求的全部内容）</w:t>
      </w:r>
      <w:r>
        <w:rPr>
          <w:rFonts w:hint="eastAsia" w:ascii="宋体" w:hAnsi="宋体" w:cs="宋体"/>
          <w:b/>
          <w:bCs/>
          <w:szCs w:val="21"/>
        </w:rPr>
        <w:t>（必须提供）</w:t>
      </w:r>
      <w:r>
        <w:rPr>
          <w:rFonts w:hint="eastAsia" w:ascii="宋体" w:hAnsi="宋体" w:cs="宋体"/>
          <w:szCs w:val="21"/>
        </w:rPr>
        <w:t>；</w:t>
      </w:r>
    </w:p>
    <w:p w14:paraId="2B2F6999">
      <w:pPr>
        <w:pStyle w:val="25"/>
        <w:spacing w:after="0" w:line="400" w:lineRule="exact"/>
        <w:ind w:left="0" w:leftChars="0"/>
        <w:rPr>
          <w:rFonts w:hint="eastAsia" w:ascii="宋体" w:hAnsi="宋体" w:cs="宋体"/>
          <w:szCs w:val="21"/>
        </w:rPr>
      </w:pPr>
      <w:r>
        <w:rPr>
          <w:rFonts w:hint="eastAsia" w:ascii="宋体" w:hAnsi="宋体" w:cs="宋体"/>
          <w:szCs w:val="21"/>
        </w:rPr>
        <w:t>（6）“采购需求”需提供的有效证明文件</w:t>
      </w:r>
      <w:r>
        <w:rPr>
          <w:rFonts w:hint="eastAsia" w:ascii="宋体" w:hAnsi="宋体" w:cs="宋体"/>
          <w:b/>
          <w:bCs/>
          <w:szCs w:val="21"/>
        </w:rPr>
        <w:t>（按其要求提供）</w:t>
      </w:r>
      <w:r>
        <w:rPr>
          <w:rFonts w:hint="eastAsia" w:ascii="宋体" w:hAnsi="宋体" w:cs="宋体"/>
          <w:szCs w:val="21"/>
        </w:rPr>
        <w:t>。</w:t>
      </w:r>
    </w:p>
    <w:p w14:paraId="5FC25B73">
      <w:pPr>
        <w:pStyle w:val="25"/>
        <w:spacing w:after="0" w:line="400" w:lineRule="exact"/>
        <w:ind w:left="0" w:leftChars="0" w:firstLine="422"/>
        <w:rPr>
          <w:rFonts w:hint="eastAsia" w:ascii="宋体" w:hAnsi="宋体" w:cs="宋体"/>
          <w:b/>
          <w:bCs/>
          <w:szCs w:val="21"/>
        </w:rPr>
      </w:pPr>
      <w:r>
        <w:rPr>
          <w:rFonts w:hint="eastAsia" w:ascii="宋体" w:hAnsi="宋体" w:cs="宋体"/>
          <w:b/>
          <w:bCs/>
          <w:szCs w:val="21"/>
        </w:rPr>
        <w:t>11.2.3其他有效证明材料</w:t>
      </w:r>
    </w:p>
    <w:p w14:paraId="4AF8A583">
      <w:pPr>
        <w:spacing w:line="400" w:lineRule="exact"/>
        <w:ind w:firstLine="420" w:firstLineChars="200"/>
        <w:rPr>
          <w:rFonts w:hint="eastAsia" w:ascii="宋体" w:hAnsi="宋体" w:cs="宋体"/>
          <w:b/>
          <w:bCs/>
          <w:szCs w:val="21"/>
        </w:rPr>
      </w:pPr>
      <w:r>
        <w:rPr>
          <w:rFonts w:hint="eastAsia" w:ascii="宋体" w:hAnsi="宋体" w:cs="宋体"/>
          <w:szCs w:val="21"/>
        </w:rPr>
        <w:t>（1）项目实施人员一览表</w:t>
      </w:r>
      <w:r>
        <w:rPr>
          <w:rFonts w:hint="eastAsia" w:ascii="宋体" w:hAnsi="宋体" w:cs="宋体"/>
          <w:b/>
          <w:szCs w:val="21"/>
        </w:rPr>
        <w:t>（如有，请提供）</w:t>
      </w:r>
      <w:r>
        <w:rPr>
          <w:rFonts w:hint="eastAsia" w:ascii="宋体" w:hAnsi="宋体" w:cs="宋体"/>
          <w:b/>
          <w:bCs/>
          <w:szCs w:val="21"/>
        </w:rPr>
        <w:t>；</w:t>
      </w:r>
    </w:p>
    <w:p w14:paraId="0DE86849">
      <w:pPr>
        <w:tabs>
          <w:tab w:val="left" w:pos="1305"/>
        </w:tabs>
        <w:spacing w:line="400" w:lineRule="exact"/>
        <w:ind w:firstLine="420" w:firstLineChars="200"/>
        <w:rPr>
          <w:rFonts w:hint="eastAsia" w:ascii="宋体" w:hAnsi="宋体" w:cs="宋体"/>
          <w:szCs w:val="20"/>
        </w:rPr>
      </w:pPr>
      <w:r>
        <w:rPr>
          <w:rFonts w:hint="eastAsia" w:ascii="宋体" w:hAnsi="宋体" w:cs="宋体"/>
          <w:szCs w:val="21"/>
        </w:rPr>
        <w:t>（2）节能方面的证书扫描件加盖电子签章</w:t>
      </w:r>
      <w:r>
        <w:rPr>
          <w:rFonts w:hint="eastAsia" w:ascii="宋体" w:hAnsi="宋体" w:cs="宋体"/>
          <w:b/>
          <w:szCs w:val="21"/>
        </w:rPr>
        <w:t>（如有，请提供）</w:t>
      </w:r>
      <w:r>
        <w:rPr>
          <w:rFonts w:hint="eastAsia" w:ascii="宋体" w:hAnsi="宋体" w:cs="宋体"/>
          <w:bCs/>
          <w:szCs w:val="21"/>
        </w:rPr>
        <w:t>；</w:t>
      </w:r>
    </w:p>
    <w:p w14:paraId="5D1606A0">
      <w:pPr>
        <w:tabs>
          <w:tab w:val="left" w:pos="1305"/>
        </w:tabs>
        <w:spacing w:line="400" w:lineRule="exact"/>
        <w:ind w:firstLine="420" w:firstLineChars="200"/>
        <w:rPr>
          <w:rFonts w:hint="eastAsia" w:ascii="宋体" w:hAnsi="宋体" w:cs="宋体"/>
          <w:szCs w:val="21"/>
        </w:rPr>
      </w:pPr>
      <w:r>
        <w:rPr>
          <w:rFonts w:hint="eastAsia" w:ascii="宋体" w:hAnsi="宋体" w:cs="宋体"/>
          <w:szCs w:val="21"/>
        </w:rPr>
        <w:t>（3）环境标志方面的证书扫描件加盖电子签章</w:t>
      </w:r>
      <w:r>
        <w:rPr>
          <w:rFonts w:hint="eastAsia" w:ascii="宋体" w:hAnsi="宋体" w:cs="宋体"/>
          <w:b/>
          <w:szCs w:val="21"/>
        </w:rPr>
        <w:t>（如有，请提供）</w:t>
      </w:r>
      <w:r>
        <w:rPr>
          <w:rFonts w:hint="eastAsia" w:ascii="宋体" w:hAnsi="宋体" w:cs="宋体"/>
          <w:bCs/>
          <w:szCs w:val="21"/>
        </w:rPr>
        <w:t>；</w:t>
      </w:r>
    </w:p>
    <w:p w14:paraId="581FF1F3">
      <w:pPr>
        <w:tabs>
          <w:tab w:val="left" w:pos="1305"/>
        </w:tabs>
        <w:spacing w:line="400" w:lineRule="exact"/>
        <w:ind w:firstLine="420" w:firstLineChars="200"/>
        <w:rPr>
          <w:rFonts w:hint="eastAsia" w:ascii="宋体" w:hAnsi="宋体" w:cs="宋体"/>
          <w:bCs/>
        </w:rPr>
      </w:pPr>
      <w:r>
        <w:rPr>
          <w:rFonts w:hint="eastAsia" w:ascii="宋体" w:hAnsi="宋体" w:cs="宋体"/>
          <w:szCs w:val="21"/>
        </w:rPr>
        <w:t>（4）供应商自</w:t>
      </w:r>
      <w:r>
        <w:rPr>
          <w:rFonts w:hint="eastAsia" w:ascii="宋体" w:hAnsi="宋体" w:cs="宋体"/>
        </w:rPr>
        <w:t>2023年1月1日</w:t>
      </w:r>
      <w:r>
        <w:rPr>
          <w:rFonts w:hint="eastAsia" w:ascii="宋体" w:hAnsi="宋体" w:cs="宋体"/>
          <w:szCs w:val="21"/>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bCs/>
        </w:rPr>
        <w:t>；</w:t>
      </w:r>
    </w:p>
    <w:p w14:paraId="54C889ED">
      <w:pPr>
        <w:pStyle w:val="8"/>
        <w:spacing w:line="400" w:lineRule="exact"/>
        <w:rPr>
          <w:rFonts w:hint="eastAsia"/>
        </w:rPr>
      </w:pPr>
      <w:r>
        <w:rPr>
          <w:rFonts w:hint="eastAsia"/>
        </w:rPr>
        <w:t>（5）《中小企业声明函》（见附件）</w:t>
      </w:r>
      <w:r>
        <w:rPr>
          <w:rFonts w:hint="eastAsia"/>
          <w:b/>
          <w:bCs/>
        </w:rPr>
        <w:t>（如有，请提供）</w:t>
      </w:r>
      <w:r>
        <w:rPr>
          <w:rFonts w:hint="eastAsia"/>
        </w:rPr>
        <w:t>；</w:t>
      </w:r>
    </w:p>
    <w:p w14:paraId="0412C8DC">
      <w:pPr>
        <w:pStyle w:val="8"/>
        <w:spacing w:line="400" w:lineRule="exact"/>
        <w:rPr>
          <w:rFonts w:hint="eastAsia"/>
        </w:rPr>
      </w:pPr>
      <w:r>
        <w:rPr>
          <w:rFonts w:hint="eastAsia"/>
        </w:rPr>
        <w:t>（6）如货物生产企业属于监狱企业的，应当提供由省级以上监狱管理局、戒毒管理局等（含新疆生产建设兵团）出具的属于监狱企业的证明文件</w:t>
      </w:r>
      <w:r>
        <w:rPr>
          <w:rFonts w:hint="eastAsia" w:ascii="宋体" w:hAnsi="宋体" w:cs="宋体"/>
          <w:b/>
        </w:rPr>
        <w:t>（如有，请提供）</w:t>
      </w:r>
      <w:r>
        <w:rPr>
          <w:rFonts w:hint="eastAsia"/>
        </w:rPr>
        <w:t>；</w:t>
      </w:r>
    </w:p>
    <w:p w14:paraId="4DC9204E">
      <w:pPr>
        <w:pStyle w:val="8"/>
        <w:spacing w:line="400" w:lineRule="exact"/>
        <w:rPr>
          <w:rFonts w:hint="eastAsia"/>
        </w:rPr>
      </w:pPr>
      <w:r>
        <w:rPr>
          <w:rFonts w:hint="eastAsia"/>
        </w:rPr>
        <w:t>（7）符合条件的残疾人福利性单位在参加政府采购活动时，应当提供《残疾人福利性单位声明函》（见附件），并对声明的真实性负责</w:t>
      </w:r>
      <w:r>
        <w:rPr>
          <w:rFonts w:hint="eastAsia" w:ascii="宋体" w:hAnsi="宋体" w:cs="宋体"/>
          <w:b/>
        </w:rPr>
        <w:t>（如有，请提供）</w:t>
      </w:r>
      <w:r>
        <w:rPr>
          <w:rFonts w:hint="eastAsia"/>
        </w:rPr>
        <w:t>。</w:t>
      </w:r>
    </w:p>
    <w:p w14:paraId="7EC1031C">
      <w:pPr>
        <w:pStyle w:val="14"/>
        <w:ind w:firstLine="420" w:firstLineChars="200"/>
        <w:rPr>
          <w:rFonts w:hint="eastAsia" w:eastAsia="宋体"/>
          <w:highlight w:val="none"/>
          <w:lang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8</w:t>
      </w:r>
      <w:r>
        <w:rPr>
          <w:rFonts w:hint="eastAsia" w:ascii="宋体" w:hAnsi="宋体" w:eastAsia="宋体" w:cs="宋体"/>
          <w:b w:val="0"/>
          <w:bCs w:val="0"/>
          <w:sz w:val="21"/>
          <w:szCs w:val="21"/>
          <w:highlight w:val="none"/>
          <w:lang w:eastAsia="zh-CN"/>
        </w:rPr>
        <w:t>）</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lang w:eastAsia="zh-CN"/>
        </w:rPr>
        <w:t>关于符合本国产品标准的声明函</w:t>
      </w:r>
      <w:r>
        <w:rPr>
          <w:rFonts w:hint="eastAsia" w:ascii="宋体" w:hAnsi="宋体" w:cs="宋体"/>
          <w:b w:val="0"/>
          <w:bCs w:val="0"/>
          <w:sz w:val="21"/>
          <w:szCs w:val="21"/>
          <w:highlight w:val="none"/>
          <w:lang w:eastAsia="zh-CN"/>
        </w:rPr>
        <w:t>》</w:t>
      </w:r>
      <w:r>
        <w:rPr>
          <w:rFonts w:hint="eastAsia" w:ascii="宋体" w:hAnsi="宋体" w:eastAsia="宋体" w:cs="宋体"/>
          <w:b w:val="0"/>
          <w:bCs w:val="0"/>
          <w:sz w:val="21"/>
          <w:szCs w:val="21"/>
          <w:highlight w:val="none"/>
        </w:rPr>
        <w:t>（见附件）</w:t>
      </w:r>
      <w:r>
        <w:rPr>
          <w:rFonts w:hint="eastAsia" w:ascii="宋体" w:hAnsi="宋体" w:eastAsia="宋体" w:cs="宋体"/>
          <w:b/>
          <w:bCs/>
          <w:sz w:val="21"/>
          <w:szCs w:val="21"/>
          <w:highlight w:val="none"/>
        </w:rPr>
        <w:t>（如有，请提供）；</w:t>
      </w:r>
    </w:p>
    <w:p w14:paraId="2B3D6BA2">
      <w:pPr>
        <w:tabs>
          <w:tab w:val="left" w:pos="1305"/>
        </w:tabs>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9</w:t>
      </w:r>
      <w:r>
        <w:rPr>
          <w:rFonts w:hint="eastAsia" w:ascii="宋体" w:hAnsi="宋体" w:eastAsia="宋体" w:cs="宋体"/>
          <w:szCs w:val="21"/>
        </w:rPr>
        <w:t>）项目实施方案</w:t>
      </w:r>
      <w:r>
        <w:rPr>
          <w:rFonts w:hint="eastAsia" w:ascii="宋体" w:hAnsi="宋体" w:eastAsia="宋体" w:cs="宋体"/>
          <w:b/>
          <w:bCs/>
          <w:szCs w:val="21"/>
        </w:rPr>
        <w:t>（如有，请提供）</w:t>
      </w:r>
      <w:r>
        <w:rPr>
          <w:rFonts w:hint="eastAsia" w:ascii="宋体" w:hAnsi="宋体" w:eastAsia="宋体" w:cs="宋体"/>
          <w:szCs w:val="21"/>
        </w:rPr>
        <w:t>；</w:t>
      </w:r>
    </w:p>
    <w:p w14:paraId="44A47254">
      <w:pPr>
        <w:tabs>
          <w:tab w:val="left" w:pos="1305"/>
        </w:tabs>
        <w:spacing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10</w:t>
      </w:r>
      <w:r>
        <w:rPr>
          <w:rFonts w:hint="eastAsia" w:ascii="宋体" w:hAnsi="宋体" w:eastAsia="宋体" w:cs="宋体"/>
          <w:szCs w:val="21"/>
        </w:rPr>
        <w:t>）供应商可结合本项目的评审办法视自身情况自行提交相关证明材料</w:t>
      </w:r>
      <w:r>
        <w:rPr>
          <w:rFonts w:hint="eastAsia" w:ascii="宋体" w:hAnsi="宋体" w:eastAsia="宋体" w:cs="宋体"/>
          <w:b/>
          <w:bCs/>
          <w:szCs w:val="21"/>
        </w:rPr>
        <w:t>（如有，请提供）</w:t>
      </w:r>
      <w:r>
        <w:rPr>
          <w:rFonts w:hint="eastAsia" w:ascii="宋体" w:hAnsi="宋体" w:eastAsia="宋体" w:cs="宋体"/>
          <w:szCs w:val="21"/>
        </w:rPr>
        <w:t>。</w:t>
      </w:r>
    </w:p>
    <w:p w14:paraId="5A92A401">
      <w:pPr>
        <w:snapToGrid w:val="0"/>
        <w:spacing w:line="440" w:lineRule="exact"/>
        <w:ind w:firstLine="420" w:firstLineChars="200"/>
        <w:outlineLvl w:val="4"/>
        <w:rPr>
          <w:rFonts w:hint="eastAsia" w:ascii="宋体" w:hAnsi="宋体" w:cs="宋体"/>
          <w:b/>
          <w:bCs/>
          <w:szCs w:val="21"/>
        </w:rPr>
      </w:pPr>
      <w:r>
        <w:rPr>
          <w:rFonts w:hint="eastAsia" w:ascii="宋体" w:hAnsi="宋体" w:cs="宋体"/>
          <w:b/>
          <w:bCs/>
          <w:szCs w:val="21"/>
        </w:rPr>
        <w:t>供应商提供的以上相关证明材料属于“必须提供”的文件应加盖供应商公章（CA签章）/自然人签字或加盖个人CA签章，否则响应无效。</w:t>
      </w:r>
    </w:p>
    <w:p w14:paraId="22F6498B">
      <w:pPr>
        <w:spacing w:line="360" w:lineRule="auto"/>
        <w:ind w:firstLine="420" w:firstLineChars="200"/>
        <w:rPr>
          <w:rFonts w:ascii="宋体" w:cs="宋体"/>
          <w:szCs w:val="21"/>
        </w:rPr>
      </w:pPr>
      <w:r>
        <w:rPr>
          <w:rFonts w:ascii="宋体" w:hAnsi="宋体" w:cs="宋体"/>
          <w:szCs w:val="21"/>
        </w:rPr>
        <w:t>11.</w:t>
      </w:r>
      <w:r>
        <w:rPr>
          <w:rFonts w:hint="eastAsia" w:ascii="宋体" w:hAnsi="宋体" w:cs="宋体"/>
          <w:szCs w:val="21"/>
        </w:rPr>
        <w:t>3</w:t>
      </w:r>
      <w:r>
        <w:rPr>
          <w:rFonts w:ascii="宋体" w:hAnsi="宋体" w:cs="宋体"/>
          <w:szCs w:val="21"/>
        </w:rPr>
        <w:t xml:space="preserve"> </w:t>
      </w:r>
      <w:r>
        <w:rPr>
          <w:rFonts w:hint="eastAsia" w:ascii="宋体" w:hAnsi="宋体" w:cs="宋体"/>
          <w:szCs w:val="21"/>
        </w:rPr>
        <w:t>供应商应按竞争性谈判文件第六章“响应文件（格式）”编制响应文件。</w:t>
      </w:r>
    </w:p>
    <w:p w14:paraId="154E4B2B">
      <w:pPr>
        <w:pStyle w:val="5"/>
        <w:spacing w:before="0" w:after="0" w:line="360" w:lineRule="auto"/>
        <w:ind w:firstLine="420" w:firstLineChars="200"/>
        <w:rPr>
          <w:rFonts w:hint="eastAsia" w:ascii="宋体" w:hAnsi="宋体" w:cs="宋体"/>
          <w:sz w:val="21"/>
          <w:szCs w:val="21"/>
        </w:rPr>
      </w:pPr>
      <w:bookmarkStart w:id="246" w:name="_Toc501"/>
      <w:bookmarkStart w:id="247" w:name="_Toc25055"/>
      <w:bookmarkStart w:id="248" w:name="_Toc14301"/>
      <w:bookmarkStart w:id="249" w:name="_Toc24628"/>
      <w:bookmarkStart w:id="250" w:name="_Toc12374"/>
      <w:bookmarkStart w:id="251" w:name="_Toc22573"/>
      <w:bookmarkStart w:id="252" w:name="_Toc22516"/>
      <w:bookmarkStart w:id="253" w:name="_Toc10331"/>
      <w:bookmarkStart w:id="254" w:name="_Toc22977"/>
      <w:bookmarkStart w:id="255" w:name="_Toc2153"/>
      <w:bookmarkStart w:id="256" w:name="_Toc18336"/>
      <w:bookmarkStart w:id="257" w:name="_Toc24949"/>
      <w:r>
        <w:rPr>
          <w:rFonts w:hint="eastAsia" w:ascii="宋体" w:hAnsi="宋体" w:cs="宋体"/>
          <w:sz w:val="21"/>
          <w:szCs w:val="21"/>
        </w:rPr>
        <w:t>12. 响应文件的语言及计量</w:t>
      </w:r>
      <w:bookmarkEnd w:id="246"/>
      <w:bookmarkEnd w:id="247"/>
      <w:bookmarkEnd w:id="248"/>
      <w:bookmarkEnd w:id="249"/>
      <w:bookmarkEnd w:id="250"/>
      <w:bookmarkEnd w:id="251"/>
      <w:bookmarkEnd w:id="252"/>
      <w:bookmarkEnd w:id="253"/>
      <w:bookmarkEnd w:id="254"/>
      <w:bookmarkEnd w:id="255"/>
      <w:bookmarkEnd w:id="256"/>
      <w:bookmarkEnd w:id="257"/>
    </w:p>
    <w:p w14:paraId="228D614E">
      <w:pPr>
        <w:spacing w:line="360" w:lineRule="auto"/>
        <w:ind w:firstLine="420" w:firstLineChars="200"/>
        <w:rPr>
          <w:rFonts w:ascii="宋体" w:cs="宋体"/>
          <w:szCs w:val="21"/>
        </w:rPr>
      </w:pPr>
      <w:r>
        <w:rPr>
          <w:rFonts w:ascii="宋体" w:hAnsi="宋体" w:cs="宋体"/>
          <w:szCs w:val="21"/>
        </w:rPr>
        <w:t xml:space="preserve">12.1 </w:t>
      </w:r>
      <w:r>
        <w:rPr>
          <w:rFonts w:hint="eastAsia" w:ascii="宋体" w:hAnsi="宋体" w:cs="宋体"/>
          <w:szCs w:val="21"/>
        </w:rPr>
        <w:t>响应文件以及供应商与采购代理机构就有关谈判事宜的所有来往函电，均应以中文汉语书写。供应商提交的支持文件和印刷的文献可以使用别的语言，但其相应内容必须附有中文翻译文本，在解释响应文件时以中文翻译文本为主。</w:t>
      </w:r>
    </w:p>
    <w:p w14:paraId="27AE2120">
      <w:pPr>
        <w:spacing w:line="360" w:lineRule="auto"/>
        <w:ind w:firstLine="420" w:firstLineChars="200"/>
        <w:rPr>
          <w:rFonts w:ascii="宋体" w:cs="宋体"/>
          <w:szCs w:val="21"/>
        </w:rPr>
      </w:pPr>
      <w:r>
        <w:rPr>
          <w:rFonts w:ascii="宋体" w:hAnsi="宋体" w:cs="宋体"/>
          <w:szCs w:val="21"/>
        </w:rPr>
        <w:t xml:space="preserve">12.2 </w:t>
      </w:r>
      <w:r>
        <w:rPr>
          <w:rFonts w:hint="eastAsia" w:ascii="宋体" w:hAnsi="宋体" w:cs="宋体"/>
          <w:szCs w:val="21"/>
        </w:rPr>
        <w:t>谈判计量单位，谈判文件已有明确规定的，使用谈判文件规定的计量单位；谈判文件没有规定的，应采用中华人民共和国法定计量单位（货币单位：人民币元），否则视同未响应。</w:t>
      </w:r>
    </w:p>
    <w:p w14:paraId="330CCDA8">
      <w:pPr>
        <w:pStyle w:val="5"/>
        <w:spacing w:before="0" w:after="0" w:line="360" w:lineRule="auto"/>
        <w:ind w:firstLine="420" w:firstLineChars="200"/>
        <w:rPr>
          <w:rFonts w:hint="eastAsia" w:ascii="宋体" w:hAnsi="宋体" w:cs="宋体"/>
          <w:sz w:val="21"/>
          <w:szCs w:val="21"/>
        </w:rPr>
      </w:pPr>
      <w:bookmarkStart w:id="258" w:name="_Toc26350"/>
      <w:bookmarkStart w:id="259" w:name="_Toc25252"/>
      <w:bookmarkStart w:id="260" w:name="_Toc22589"/>
      <w:bookmarkStart w:id="261" w:name="_Toc7923"/>
      <w:bookmarkStart w:id="262" w:name="_Toc31711"/>
      <w:bookmarkStart w:id="263" w:name="_Toc2551"/>
      <w:bookmarkStart w:id="264" w:name="_Toc30585"/>
      <w:bookmarkStart w:id="265" w:name="_Toc5298"/>
      <w:bookmarkStart w:id="266" w:name="_Toc13772"/>
      <w:bookmarkStart w:id="267" w:name="_Toc15813"/>
      <w:bookmarkStart w:id="268" w:name="_Toc11449"/>
      <w:bookmarkStart w:id="269" w:name="_Toc6844"/>
      <w:r>
        <w:rPr>
          <w:rFonts w:hint="eastAsia" w:ascii="宋体" w:hAnsi="宋体" w:cs="宋体"/>
          <w:sz w:val="21"/>
          <w:szCs w:val="21"/>
        </w:rPr>
        <w:t>13. 谈判报价及采购预算金额</w:t>
      </w:r>
      <w:bookmarkEnd w:id="258"/>
      <w:bookmarkEnd w:id="259"/>
      <w:bookmarkEnd w:id="260"/>
      <w:bookmarkEnd w:id="261"/>
      <w:bookmarkEnd w:id="262"/>
      <w:bookmarkEnd w:id="263"/>
      <w:bookmarkEnd w:id="264"/>
      <w:bookmarkEnd w:id="265"/>
      <w:bookmarkEnd w:id="266"/>
      <w:bookmarkEnd w:id="267"/>
      <w:bookmarkEnd w:id="268"/>
      <w:bookmarkEnd w:id="269"/>
    </w:p>
    <w:p w14:paraId="3253404E">
      <w:pPr>
        <w:spacing w:line="360" w:lineRule="auto"/>
        <w:ind w:firstLine="420" w:firstLineChars="200"/>
        <w:rPr>
          <w:rFonts w:ascii="宋体" w:cs="宋体"/>
          <w:szCs w:val="21"/>
        </w:rPr>
      </w:pPr>
      <w:r>
        <w:rPr>
          <w:rFonts w:ascii="宋体" w:hAnsi="宋体" w:cs="宋体"/>
          <w:szCs w:val="21"/>
        </w:rPr>
        <w:t xml:space="preserve">13.1 </w:t>
      </w:r>
      <w:r>
        <w:rPr>
          <w:rFonts w:hint="eastAsia" w:ascii="宋体" w:hAnsi="宋体" w:cs="宋体"/>
          <w:szCs w:val="21"/>
        </w:rPr>
        <w:t>谈判报价应按谈判文件中相关附表格式填写。采购预算金额：</w:t>
      </w:r>
      <w:r>
        <w:rPr>
          <w:rFonts w:hint="eastAsia" w:ascii="宋体" w:hAnsi="宋体" w:cs="宋体"/>
          <w:b/>
          <w:bCs/>
          <w:szCs w:val="21"/>
          <w:lang w:eastAsia="zh-CN"/>
        </w:rPr>
        <w:t>人民币贰佰肆拾柒万肆仟捌佰柒拾元伍角玖分（¥2474870.59元）</w:t>
      </w:r>
      <w:r>
        <w:rPr>
          <w:rFonts w:hint="eastAsia" w:ascii="宋体" w:hAnsi="宋体" w:cs="宋体"/>
          <w:szCs w:val="21"/>
        </w:rPr>
        <w:t>，响应报价不得超出预算金额，否则，作响应无效处理。</w:t>
      </w:r>
    </w:p>
    <w:p w14:paraId="3727840A">
      <w:pPr>
        <w:spacing w:line="360" w:lineRule="auto"/>
        <w:ind w:firstLine="420" w:firstLineChars="200"/>
        <w:rPr>
          <w:rFonts w:ascii="宋体" w:cs="宋体"/>
          <w:szCs w:val="21"/>
        </w:rPr>
      </w:pPr>
      <w:r>
        <w:rPr>
          <w:rFonts w:ascii="宋体" w:hAnsi="宋体" w:cs="宋体"/>
          <w:szCs w:val="21"/>
        </w:rPr>
        <w:t>13.2</w:t>
      </w:r>
      <w:r>
        <w:rPr>
          <w:rFonts w:hint="eastAsia" w:ascii="宋体" w:hAnsi="宋体" w:cs="宋体"/>
          <w:szCs w:val="21"/>
        </w:rPr>
        <w:t>供应商必须就“采购需求”中所竞所有货物内容作完整唯一报价，否则，其响应文件无效。响应文件只允许有一个报价，有选择的或有条件的报价将不予接受。</w:t>
      </w:r>
    </w:p>
    <w:p w14:paraId="0FE3F705">
      <w:pPr>
        <w:spacing w:line="360" w:lineRule="auto"/>
        <w:ind w:firstLine="420" w:firstLineChars="200"/>
        <w:rPr>
          <w:rFonts w:ascii="宋体" w:cs="宋体"/>
          <w:szCs w:val="21"/>
        </w:rPr>
      </w:pPr>
      <w:r>
        <w:rPr>
          <w:rFonts w:ascii="宋体" w:hAnsi="宋体" w:cs="宋体"/>
          <w:szCs w:val="21"/>
        </w:rPr>
        <w:t xml:space="preserve">13.3 </w:t>
      </w:r>
      <w:r>
        <w:rPr>
          <w:rFonts w:hint="eastAsia" w:ascii="宋体" w:hAnsi="宋体" w:cs="宋体"/>
          <w:szCs w:val="21"/>
        </w:rPr>
        <w:t>谈判报价应包括本次采购范围内货物价款、货物随配标准附件、包装、运输、装卸、保险、税金、货到位以及安装、调试、检验、售后服务、培训、保修及项目施工等人员的人身意外保险等其他所有成本费用的总和；供应商综合考虑在报价中。</w:t>
      </w:r>
    </w:p>
    <w:p w14:paraId="06CC316E">
      <w:pPr>
        <w:spacing w:line="360" w:lineRule="auto"/>
        <w:ind w:firstLine="420" w:firstLineChars="200"/>
        <w:rPr>
          <w:rFonts w:ascii="宋体" w:hAnsi="宋体" w:cs="宋体"/>
          <w:b/>
          <w:bCs/>
          <w:szCs w:val="21"/>
        </w:rPr>
      </w:pPr>
      <w:r>
        <w:rPr>
          <w:rFonts w:ascii="宋体" w:hAnsi="宋体" w:cs="宋体"/>
          <w:szCs w:val="21"/>
        </w:rPr>
        <w:t>13.4</w:t>
      </w:r>
      <w:r>
        <w:rPr>
          <w:rFonts w:hint="eastAsia" w:ascii="宋体" w:hAnsi="宋体" w:cs="宋体"/>
          <w:kern w:val="0"/>
          <w:szCs w:val="21"/>
        </w:rPr>
        <w:t>供应商应在规定时间内在</w:t>
      </w:r>
      <w:r>
        <w:rPr>
          <w:rFonts w:hint="eastAsia" w:ascii="宋体" w:hAnsi="宋体" w:cs="宋体"/>
          <w:szCs w:val="21"/>
        </w:rPr>
        <w:t>广西政府采购云</w:t>
      </w:r>
      <w:r>
        <w:rPr>
          <w:rFonts w:hint="eastAsia" w:ascii="宋体" w:hAnsi="宋体" w:cs="宋体"/>
          <w:kern w:val="0"/>
          <w:szCs w:val="21"/>
        </w:rPr>
        <w:t>系统上提交最后报价，超出评委设定的最后报价时限或其最后报价超出采购预算导致已通过评审的响应文件无效的，按供应商在提交响应文件截止时间后撤回响应文件处理。</w:t>
      </w:r>
    </w:p>
    <w:p w14:paraId="71208203">
      <w:pPr>
        <w:pStyle w:val="5"/>
        <w:spacing w:before="0" w:after="0" w:line="360" w:lineRule="auto"/>
        <w:ind w:firstLine="420" w:firstLineChars="200"/>
        <w:rPr>
          <w:rFonts w:hint="eastAsia" w:ascii="宋体" w:hAnsi="宋体" w:cs="宋体"/>
          <w:sz w:val="21"/>
          <w:szCs w:val="21"/>
        </w:rPr>
      </w:pPr>
      <w:bookmarkStart w:id="270" w:name="_Toc12494"/>
      <w:bookmarkStart w:id="271" w:name="_Toc9416"/>
      <w:bookmarkStart w:id="272" w:name="_Toc26807"/>
      <w:bookmarkStart w:id="273" w:name="_Toc27036"/>
      <w:bookmarkStart w:id="274" w:name="_Toc12715"/>
      <w:bookmarkStart w:id="275" w:name="_Toc19802"/>
      <w:bookmarkStart w:id="276" w:name="_Toc3573"/>
      <w:bookmarkStart w:id="277" w:name="_Toc19408"/>
      <w:bookmarkStart w:id="278" w:name="_Toc20551"/>
      <w:bookmarkStart w:id="279" w:name="_Toc22087"/>
      <w:bookmarkStart w:id="280" w:name="_Toc18553"/>
      <w:bookmarkStart w:id="281" w:name="_Toc27235"/>
      <w:r>
        <w:rPr>
          <w:rFonts w:hint="eastAsia" w:ascii="宋体" w:hAnsi="宋体" w:cs="宋体"/>
          <w:sz w:val="21"/>
          <w:szCs w:val="21"/>
        </w:rPr>
        <w:t>14. 响应文件有效期</w:t>
      </w:r>
      <w:bookmarkEnd w:id="270"/>
      <w:bookmarkEnd w:id="271"/>
      <w:bookmarkEnd w:id="272"/>
      <w:bookmarkEnd w:id="273"/>
      <w:bookmarkEnd w:id="274"/>
      <w:bookmarkEnd w:id="275"/>
      <w:bookmarkEnd w:id="276"/>
      <w:bookmarkEnd w:id="277"/>
      <w:bookmarkEnd w:id="278"/>
      <w:bookmarkEnd w:id="279"/>
      <w:bookmarkEnd w:id="280"/>
      <w:bookmarkEnd w:id="281"/>
    </w:p>
    <w:p w14:paraId="4154EAD0">
      <w:pPr>
        <w:spacing w:line="360" w:lineRule="auto"/>
        <w:ind w:firstLine="420" w:firstLineChars="200"/>
        <w:rPr>
          <w:rFonts w:ascii="宋体" w:cs="宋体"/>
          <w:szCs w:val="21"/>
        </w:rPr>
      </w:pPr>
      <w:r>
        <w:rPr>
          <w:rFonts w:ascii="宋体" w:hAnsi="宋体" w:cs="宋体"/>
          <w:szCs w:val="21"/>
        </w:rPr>
        <w:t xml:space="preserve">14.1 </w:t>
      </w:r>
      <w:r>
        <w:rPr>
          <w:rFonts w:hint="eastAsia" w:ascii="宋体" w:hAnsi="宋体" w:cs="宋体"/>
          <w:szCs w:val="21"/>
        </w:rPr>
        <w:t>响应文件有效期：响应文件递交截止时间之日起</w:t>
      </w:r>
      <w:r>
        <w:rPr>
          <w:rFonts w:ascii="宋体" w:hAnsi="宋体" w:cs="宋体"/>
          <w:szCs w:val="21"/>
        </w:rPr>
        <w:t>90</w:t>
      </w:r>
      <w:r>
        <w:rPr>
          <w:rFonts w:hint="eastAsia" w:ascii="宋体" w:hAnsi="宋体" w:cs="宋体"/>
          <w:szCs w:val="21"/>
        </w:rPr>
        <w:t>天，有效期不足的响应文件将被拒绝。</w:t>
      </w:r>
    </w:p>
    <w:p w14:paraId="3B4BD470">
      <w:pPr>
        <w:spacing w:line="360" w:lineRule="auto"/>
        <w:ind w:firstLine="420" w:firstLineChars="200"/>
        <w:rPr>
          <w:rFonts w:ascii="宋体" w:cs="宋体"/>
          <w:szCs w:val="21"/>
        </w:rPr>
      </w:pPr>
      <w:r>
        <w:rPr>
          <w:rFonts w:ascii="宋体" w:hAnsi="宋体" w:cs="宋体"/>
          <w:szCs w:val="21"/>
        </w:rPr>
        <w:t xml:space="preserve">14.2 </w:t>
      </w:r>
      <w:r>
        <w:rPr>
          <w:rFonts w:hint="eastAsia" w:ascii="宋体" w:hAnsi="宋体" w:cs="宋体"/>
          <w:szCs w:val="21"/>
        </w:rPr>
        <w:t>出现特殊情况下，需要延长响应文件有效期的，采购代理机构以书面形式通知供应商延长响应文件有效期。供应商同意延长的，原响应文件继续有效。供应商拒绝延长的，其响应文件无效。</w:t>
      </w:r>
    </w:p>
    <w:p w14:paraId="1840D641">
      <w:pPr>
        <w:pStyle w:val="5"/>
        <w:spacing w:before="0" w:after="0" w:line="360" w:lineRule="auto"/>
        <w:ind w:firstLine="420" w:firstLineChars="200"/>
        <w:rPr>
          <w:rFonts w:hint="eastAsia" w:ascii="宋体" w:hAnsi="宋体" w:cs="宋体"/>
          <w:sz w:val="21"/>
          <w:szCs w:val="21"/>
        </w:rPr>
      </w:pPr>
      <w:bookmarkStart w:id="282" w:name="_Toc13607"/>
      <w:bookmarkStart w:id="283" w:name="_Toc4321"/>
      <w:bookmarkStart w:id="284" w:name="_Toc24545"/>
      <w:bookmarkStart w:id="285" w:name="_Toc4746"/>
      <w:bookmarkStart w:id="286" w:name="_Toc1509"/>
      <w:bookmarkStart w:id="287" w:name="_Toc24860"/>
      <w:bookmarkStart w:id="288" w:name="_Toc24385"/>
      <w:bookmarkStart w:id="289" w:name="_Toc12930"/>
      <w:bookmarkStart w:id="290" w:name="_Toc27237"/>
      <w:bookmarkStart w:id="291" w:name="_Toc9729"/>
      <w:bookmarkStart w:id="292" w:name="_Toc7082"/>
      <w:bookmarkStart w:id="293" w:name="_Toc8248"/>
      <w:r>
        <w:rPr>
          <w:rFonts w:hint="eastAsia" w:ascii="宋体" w:hAnsi="宋体" w:cs="宋体"/>
          <w:sz w:val="21"/>
          <w:szCs w:val="21"/>
        </w:rPr>
        <w:t>15. 保证金</w:t>
      </w:r>
      <w:bookmarkEnd w:id="282"/>
      <w:bookmarkEnd w:id="283"/>
      <w:bookmarkEnd w:id="284"/>
      <w:bookmarkEnd w:id="285"/>
      <w:bookmarkEnd w:id="286"/>
      <w:bookmarkEnd w:id="287"/>
      <w:bookmarkEnd w:id="288"/>
      <w:bookmarkEnd w:id="289"/>
      <w:bookmarkEnd w:id="290"/>
      <w:bookmarkEnd w:id="291"/>
      <w:bookmarkEnd w:id="292"/>
      <w:bookmarkEnd w:id="293"/>
    </w:p>
    <w:p w14:paraId="6B330D35">
      <w:pPr>
        <w:spacing w:line="360" w:lineRule="auto"/>
        <w:ind w:firstLine="420" w:firstLineChars="200"/>
        <w:rPr>
          <w:rFonts w:ascii="宋体" w:hAnsi="宋体" w:cs="宋体"/>
          <w:b/>
          <w:bCs/>
          <w:szCs w:val="21"/>
        </w:rPr>
      </w:pPr>
      <w:r>
        <w:rPr>
          <w:rFonts w:hint="eastAsia" w:ascii="宋体" w:hAnsi="宋体" w:cs="宋体"/>
          <w:szCs w:val="21"/>
        </w:rPr>
        <w:t>本项目无需缴纳谈判保证金。</w:t>
      </w:r>
    </w:p>
    <w:p w14:paraId="263F97E9">
      <w:pPr>
        <w:pStyle w:val="5"/>
        <w:spacing w:before="0" w:after="0" w:line="360" w:lineRule="auto"/>
        <w:ind w:firstLine="420" w:firstLineChars="200"/>
        <w:rPr>
          <w:rFonts w:ascii="宋体" w:hAnsi="宋体" w:cs="宋体"/>
          <w:sz w:val="21"/>
          <w:szCs w:val="21"/>
        </w:rPr>
      </w:pPr>
      <w:bookmarkStart w:id="294" w:name="_Toc19939"/>
      <w:bookmarkStart w:id="295" w:name="_Toc12262"/>
      <w:bookmarkStart w:id="296" w:name="_Toc18396"/>
      <w:bookmarkStart w:id="297" w:name="_Toc828"/>
      <w:bookmarkStart w:id="298" w:name="_Toc20987"/>
      <w:bookmarkStart w:id="299" w:name="_Toc17472"/>
      <w:bookmarkStart w:id="300" w:name="_Toc6601"/>
      <w:bookmarkStart w:id="301" w:name="_Toc5531"/>
      <w:bookmarkStart w:id="302" w:name="_Toc27057"/>
      <w:bookmarkStart w:id="303" w:name="_Toc1279"/>
      <w:bookmarkStart w:id="304" w:name="_Toc13330"/>
      <w:bookmarkStart w:id="305" w:name="_Toc15292"/>
      <w:r>
        <w:rPr>
          <w:rFonts w:hint="eastAsia" w:ascii="宋体" w:hAnsi="宋体" w:cs="宋体"/>
          <w:sz w:val="21"/>
          <w:szCs w:val="21"/>
        </w:rPr>
        <w:t>16. 响应文件的制作</w:t>
      </w:r>
      <w:bookmarkEnd w:id="294"/>
      <w:bookmarkEnd w:id="295"/>
      <w:bookmarkEnd w:id="296"/>
      <w:bookmarkEnd w:id="297"/>
      <w:bookmarkEnd w:id="298"/>
      <w:bookmarkEnd w:id="299"/>
      <w:bookmarkEnd w:id="300"/>
      <w:bookmarkEnd w:id="301"/>
      <w:bookmarkEnd w:id="302"/>
      <w:bookmarkEnd w:id="303"/>
      <w:bookmarkEnd w:id="304"/>
      <w:bookmarkEnd w:id="305"/>
    </w:p>
    <w:p w14:paraId="5C94958A">
      <w:pPr>
        <w:spacing w:line="360" w:lineRule="auto"/>
        <w:ind w:firstLine="420" w:firstLineChars="200"/>
        <w:rPr>
          <w:rFonts w:hint="eastAsia" w:ascii="宋体" w:hAnsi="宋体" w:cs="宋体"/>
          <w:szCs w:val="21"/>
        </w:rPr>
      </w:pPr>
      <w:r>
        <w:rPr>
          <w:rFonts w:hint="eastAsia" w:ascii="宋体" w:hAnsi="宋体" w:cs="宋体"/>
          <w:szCs w:val="21"/>
        </w:rPr>
        <w:t>16.1电子响应文件中须加盖供应商公章部分均采用 CA 签章，并根据“政府采购项目电子交易管理操作指南-供应商” 及本谈判文件规定的格式和顺序编制电子响应文件并进行关联定位，以便谈判小组在评审时，点击即可直接定位到该内容。如对谈判文件的某项要求，供应商的电子响应文件未能关联定位提供相应的内容与其对应，则谈判小组在评审时如做出对供应商不利的评审由供应商自行承担。电子响应文件如内容不完整、编排混乱导致响应文件被误读、 漏读，或者在按响应文件规定的部位查找不到相关内容的，由供应商自行承担。</w:t>
      </w:r>
    </w:p>
    <w:p w14:paraId="46DA9807">
      <w:pPr>
        <w:spacing w:line="360" w:lineRule="auto"/>
        <w:ind w:firstLine="420" w:firstLineChars="200"/>
        <w:rPr>
          <w:rFonts w:hint="eastAsia" w:ascii="宋体" w:hAnsi="宋体" w:cs="宋体"/>
          <w:szCs w:val="21"/>
        </w:rPr>
      </w:pPr>
      <w:r>
        <w:rPr>
          <w:rFonts w:hint="eastAsia" w:ascii="宋体" w:hAnsi="宋体" w:cs="宋体"/>
          <w:szCs w:val="21"/>
        </w:rPr>
        <w:t xml:space="preserve">16.2 供应商法人（负责人）或授权代表持有政采云个人CA签章的，应在响应文件中涉及到签字的位置使用个人CA签章，没有办理政采云个人CA签章的可在响应文件文件中涉及到签字的位置手写签字后扫描或者拍照做成 PDF 的格式上传即可。 </w:t>
      </w:r>
    </w:p>
    <w:p w14:paraId="5CE4D1EA">
      <w:pPr>
        <w:spacing w:line="360" w:lineRule="auto"/>
        <w:ind w:firstLine="420" w:firstLineChars="200"/>
        <w:rPr>
          <w:rFonts w:hint="eastAsia" w:ascii="宋体" w:hAnsi="宋体" w:cs="宋体"/>
          <w:szCs w:val="21"/>
        </w:rPr>
      </w:pPr>
      <w:r>
        <w:rPr>
          <w:rFonts w:hint="eastAsia" w:ascii="宋体" w:hAnsi="宋体" w:cs="宋体"/>
          <w:szCs w:val="21"/>
        </w:rPr>
        <w:t>16.3 响应文件不得涂改，若有修改错漏处，须法定代表人（负责人）或授权委托人签字（或个人CA签章）。响应文件因字迹潦草或表达不清所引起的后果由供应商负责。</w:t>
      </w:r>
    </w:p>
    <w:p w14:paraId="5B084E53">
      <w:pPr>
        <w:spacing w:line="360" w:lineRule="auto"/>
        <w:ind w:firstLine="420" w:firstLineChars="200"/>
        <w:rPr>
          <w:rFonts w:hint="eastAsia" w:ascii="宋体" w:hAnsi="宋体" w:cs="宋体"/>
          <w:szCs w:val="21"/>
        </w:rPr>
      </w:pPr>
      <w:r>
        <w:rPr>
          <w:rFonts w:hint="eastAsia" w:ascii="宋体" w:hAnsi="宋体" w:cs="宋体"/>
          <w:szCs w:val="21"/>
        </w:rPr>
        <w:t xml:space="preserve">16.4评审前准备 </w:t>
      </w:r>
    </w:p>
    <w:p w14:paraId="4E35B7E5">
      <w:pPr>
        <w:spacing w:line="360" w:lineRule="auto"/>
        <w:ind w:firstLine="420" w:firstLineChars="200"/>
        <w:rPr>
          <w:rFonts w:hint="eastAsia" w:ascii="宋体" w:hAnsi="宋体" w:cs="宋体"/>
          <w:szCs w:val="21"/>
        </w:rPr>
      </w:pPr>
      <w:r>
        <w:rPr>
          <w:rFonts w:hint="eastAsia" w:ascii="宋体" w:hAnsi="宋体" w:cs="宋体"/>
          <w:szCs w:val="21"/>
        </w:rPr>
        <w:t xml:space="preserve">16.4.1本项目实行网上评审，采用电子响应文件；若供应商参与谈判，自行承担谈判一切费用。 </w:t>
      </w:r>
    </w:p>
    <w:p w14:paraId="08542D6A">
      <w:pPr>
        <w:spacing w:line="360" w:lineRule="auto"/>
        <w:ind w:firstLine="420" w:firstLineChars="200"/>
        <w:rPr>
          <w:rFonts w:hint="eastAsia" w:ascii="宋体" w:hAnsi="宋体" w:cs="宋体"/>
          <w:szCs w:val="21"/>
        </w:rPr>
      </w:pPr>
      <w:r>
        <w:rPr>
          <w:rFonts w:hint="eastAsia" w:ascii="宋体" w:hAnsi="宋体" w:cs="宋体"/>
          <w:szCs w:val="21"/>
        </w:rPr>
        <w:t xml:space="preserve">16.4.2各供应商在截标前应确保成为广西政府采购云平台正式注册入库供应商，并完成 CA 数字证书申领。因未注册入库、未办理 CA 数字证书等原因造成无法响应或响应失败等后果由供应商自行承担。 </w:t>
      </w:r>
    </w:p>
    <w:p w14:paraId="14FFD95F">
      <w:pPr>
        <w:spacing w:line="360" w:lineRule="auto"/>
        <w:ind w:firstLine="420" w:firstLineChars="200"/>
        <w:rPr>
          <w:rFonts w:hint="eastAsia" w:ascii="宋体" w:hAnsi="宋体" w:cs="宋体"/>
          <w:szCs w:val="21"/>
        </w:rPr>
      </w:pPr>
      <w:r>
        <w:rPr>
          <w:rFonts w:hint="eastAsia" w:ascii="宋体" w:hAnsi="宋体" w:cs="宋体"/>
          <w:szCs w:val="21"/>
        </w:rPr>
        <w:t>16.4.3供应商将广西政府采购云平台客户端下载、安装完成后，可通过账号密码或 CA 登录客户端进行响应文件制作。客户端请至网站下载专区查看，如有问题可拨打广西政府采购云客户服务热线 95763 进行咨询。</w:t>
      </w:r>
    </w:p>
    <w:p w14:paraId="2E802EE1">
      <w:pPr>
        <w:pStyle w:val="5"/>
        <w:spacing w:before="0" w:after="0" w:line="360" w:lineRule="auto"/>
        <w:ind w:firstLine="420" w:firstLineChars="200"/>
        <w:rPr>
          <w:rFonts w:ascii="宋体" w:hAnsi="宋体" w:cs="宋体"/>
          <w:sz w:val="21"/>
          <w:szCs w:val="21"/>
        </w:rPr>
      </w:pPr>
      <w:bookmarkStart w:id="306" w:name="_Toc30896"/>
      <w:bookmarkStart w:id="307" w:name="_Toc23586"/>
      <w:bookmarkStart w:id="308" w:name="_Toc383"/>
      <w:bookmarkStart w:id="309" w:name="_Toc23217"/>
      <w:bookmarkStart w:id="310" w:name="_Toc9153"/>
      <w:bookmarkStart w:id="311" w:name="_Toc16916"/>
      <w:bookmarkStart w:id="312" w:name="_Toc20184"/>
      <w:bookmarkStart w:id="313" w:name="_Toc24605"/>
      <w:bookmarkStart w:id="314" w:name="_Toc23469"/>
      <w:bookmarkStart w:id="315" w:name="_Toc22831"/>
      <w:bookmarkStart w:id="316" w:name="_Toc17516"/>
      <w:bookmarkStart w:id="317" w:name="_Toc31290"/>
      <w:r>
        <w:rPr>
          <w:rFonts w:hint="eastAsia" w:ascii="宋体" w:hAnsi="宋体" w:cs="宋体"/>
          <w:sz w:val="21"/>
          <w:szCs w:val="21"/>
        </w:rPr>
        <w:t>17. 响应文件的补充、修改和撤回</w:t>
      </w:r>
      <w:bookmarkEnd w:id="306"/>
      <w:bookmarkEnd w:id="307"/>
      <w:bookmarkEnd w:id="308"/>
      <w:bookmarkEnd w:id="309"/>
      <w:bookmarkEnd w:id="310"/>
      <w:bookmarkEnd w:id="311"/>
      <w:bookmarkEnd w:id="312"/>
      <w:bookmarkEnd w:id="313"/>
      <w:bookmarkEnd w:id="314"/>
      <w:bookmarkEnd w:id="315"/>
      <w:bookmarkEnd w:id="316"/>
      <w:bookmarkEnd w:id="317"/>
    </w:p>
    <w:p w14:paraId="201723D1">
      <w:pPr>
        <w:spacing w:line="360" w:lineRule="auto"/>
        <w:ind w:firstLine="420" w:firstLineChars="200"/>
        <w:rPr>
          <w:rFonts w:hint="eastAsia" w:ascii="宋体" w:hAnsi="宋体" w:cs="宋体"/>
          <w:szCs w:val="21"/>
        </w:rPr>
      </w:pPr>
      <w:r>
        <w:rPr>
          <w:rFonts w:hint="eastAsia" w:ascii="宋体" w:hAnsi="宋体" w:cs="宋体"/>
          <w:szCs w:val="21"/>
        </w:rPr>
        <w:t>17.1 响应文件递交截止时间前可以撤回电子响应文件。补充或者修改电子响应文件的，应当先行撤回原文件，补充、修改后重新传输递交，响应文件递交截止时间前未完成传输的，视为撤回响应文件。</w:t>
      </w:r>
    </w:p>
    <w:p w14:paraId="1D0B7FCD">
      <w:pPr>
        <w:spacing w:line="360" w:lineRule="auto"/>
        <w:ind w:firstLine="420" w:firstLineChars="200"/>
        <w:rPr>
          <w:rFonts w:ascii="宋体" w:cs="宋体"/>
          <w:szCs w:val="21"/>
        </w:rPr>
      </w:pPr>
      <w:r>
        <w:rPr>
          <w:rFonts w:ascii="宋体" w:hAnsi="宋体" w:cs="宋体"/>
          <w:szCs w:val="21"/>
        </w:rPr>
        <w:t xml:space="preserve">17.2 </w:t>
      </w:r>
      <w:r>
        <w:rPr>
          <w:rFonts w:hint="eastAsia" w:ascii="宋体" w:hAnsi="宋体" w:cs="宋体"/>
          <w:szCs w:val="21"/>
        </w:rPr>
        <w:t>在响应文件递交截止时间后的响应文件有效期内，供应商不得撤回其响应文件。</w:t>
      </w:r>
    </w:p>
    <w:p w14:paraId="76EAC1BE">
      <w:pPr>
        <w:pStyle w:val="5"/>
        <w:spacing w:before="0" w:after="0" w:line="360" w:lineRule="auto"/>
        <w:ind w:firstLine="420" w:firstLineChars="200"/>
        <w:rPr>
          <w:rFonts w:ascii="宋体" w:hAnsi="宋体" w:cs="宋体"/>
          <w:sz w:val="21"/>
          <w:szCs w:val="21"/>
        </w:rPr>
      </w:pPr>
      <w:bookmarkStart w:id="318" w:name="_Toc7348"/>
      <w:bookmarkStart w:id="319" w:name="_Toc16516"/>
      <w:bookmarkStart w:id="320" w:name="_Toc20179"/>
      <w:bookmarkStart w:id="321" w:name="_Toc30803"/>
      <w:bookmarkStart w:id="322" w:name="_Toc17044"/>
      <w:bookmarkStart w:id="323" w:name="_Toc6510"/>
      <w:bookmarkStart w:id="324" w:name="_Toc23854"/>
      <w:bookmarkStart w:id="325" w:name="_Toc27699"/>
      <w:bookmarkStart w:id="326" w:name="_Toc8614"/>
      <w:bookmarkStart w:id="327" w:name="_Toc24152"/>
      <w:bookmarkStart w:id="328" w:name="_Toc689"/>
      <w:bookmarkStart w:id="329" w:name="_Toc16460"/>
      <w:r>
        <w:rPr>
          <w:rFonts w:hint="eastAsia" w:ascii="宋体" w:hAnsi="宋体" w:cs="宋体"/>
          <w:sz w:val="21"/>
          <w:szCs w:val="21"/>
        </w:rPr>
        <w:t>18. 响应文件的递交和解密</w:t>
      </w:r>
      <w:bookmarkEnd w:id="318"/>
      <w:bookmarkEnd w:id="319"/>
      <w:bookmarkEnd w:id="320"/>
      <w:bookmarkEnd w:id="321"/>
      <w:bookmarkEnd w:id="322"/>
      <w:bookmarkEnd w:id="323"/>
      <w:bookmarkEnd w:id="324"/>
      <w:bookmarkEnd w:id="325"/>
      <w:bookmarkEnd w:id="326"/>
      <w:bookmarkEnd w:id="327"/>
      <w:bookmarkEnd w:id="328"/>
      <w:bookmarkEnd w:id="329"/>
    </w:p>
    <w:p w14:paraId="54458862">
      <w:pPr>
        <w:spacing w:line="360" w:lineRule="auto"/>
        <w:ind w:firstLine="420" w:firstLineChars="200"/>
        <w:rPr>
          <w:rFonts w:hint="eastAsia" w:ascii="宋体" w:hAnsi="宋体" w:cs="宋体"/>
          <w:szCs w:val="21"/>
        </w:rPr>
      </w:pPr>
      <w:r>
        <w:rPr>
          <w:rFonts w:hint="eastAsia" w:ascii="宋体" w:hAnsi="宋体"/>
          <w:szCs w:val="21"/>
        </w:rPr>
        <w:t>18.1响应文件递交截止时间：于</w:t>
      </w:r>
      <w:r>
        <w:rPr>
          <w:rFonts w:hint="eastAsia" w:ascii="宋体" w:hAnsi="宋体" w:cs="宋体"/>
          <w:color w:val="000000"/>
          <w:szCs w:val="21"/>
          <w:highlight w:val="none"/>
          <w:u w:val="single"/>
          <w:lang w:eastAsia="zh-CN"/>
        </w:rPr>
        <w:t>2026年</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lang w:eastAsia="zh-CN"/>
        </w:rPr>
        <w:t>月</w:t>
      </w:r>
      <w:r>
        <w:rPr>
          <w:rFonts w:hint="eastAsia" w:ascii="宋体" w:hAnsi="宋体" w:cs="宋体"/>
          <w:color w:val="000000"/>
          <w:szCs w:val="21"/>
          <w:highlight w:val="none"/>
          <w:u w:val="single"/>
          <w:lang w:val="en-US" w:eastAsia="zh-CN"/>
        </w:rPr>
        <w:t>7</w:t>
      </w:r>
      <w:r>
        <w:rPr>
          <w:rFonts w:hint="eastAsia" w:ascii="宋体" w:hAnsi="宋体" w:cs="宋体"/>
          <w:color w:val="000000"/>
          <w:szCs w:val="21"/>
          <w:highlight w:val="none"/>
          <w:u w:val="single"/>
          <w:lang w:eastAsia="zh-CN"/>
        </w:rPr>
        <w:t>日</w:t>
      </w:r>
      <w:r>
        <w:rPr>
          <w:rFonts w:hint="eastAsia" w:ascii="宋体" w:hAnsi="宋体" w:cs="宋体"/>
          <w:szCs w:val="21"/>
          <w:highlight w:val="none"/>
          <w:u w:val="single"/>
        </w:rPr>
        <w:t>上</w:t>
      </w:r>
      <w:r>
        <w:rPr>
          <w:rFonts w:hint="eastAsia" w:ascii="宋体" w:hAnsi="宋体" w:cs="宋体"/>
          <w:szCs w:val="21"/>
          <w:u w:val="single"/>
        </w:rPr>
        <w:t>午9时30分</w:t>
      </w:r>
      <w:r>
        <w:rPr>
          <w:rFonts w:hint="eastAsia" w:ascii="宋体" w:hAnsi="宋体" w:cs="宋体"/>
          <w:szCs w:val="21"/>
        </w:rPr>
        <w:t>之前将电子</w:t>
      </w:r>
      <w:r>
        <w:rPr>
          <w:rFonts w:hint="eastAsia" w:ascii="宋体" w:hAnsi="宋体"/>
          <w:szCs w:val="21"/>
        </w:rPr>
        <w:t>响应</w:t>
      </w:r>
      <w:r>
        <w:rPr>
          <w:rFonts w:hint="eastAsia" w:ascii="宋体" w:hAnsi="宋体" w:cs="宋体"/>
          <w:szCs w:val="21"/>
        </w:rPr>
        <w:t>文件上传到广西政府采购云平台。应按照本项目谈判文件和广西政府采购云平台的要求编制、加密传输</w:t>
      </w:r>
      <w:r>
        <w:rPr>
          <w:rFonts w:hint="eastAsia" w:ascii="宋体" w:hAnsi="宋体"/>
          <w:szCs w:val="21"/>
        </w:rPr>
        <w:t>响应</w:t>
      </w:r>
      <w:r>
        <w:rPr>
          <w:rFonts w:hint="eastAsia" w:ascii="宋体" w:hAnsi="宋体" w:cs="宋体"/>
          <w:szCs w:val="21"/>
        </w:rPr>
        <w:t>文件。供应商在使用系统进行投标响应的过程中遇到涉及平台使用的任何问题，可致电广西政府采购云平台技术支持热线咨询，联系方式：95763。</w:t>
      </w:r>
    </w:p>
    <w:p w14:paraId="451BD6E4">
      <w:pPr>
        <w:pStyle w:val="2"/>
        <w:ind w:firstLine="420" w:firstLineChars="200"/>
        <w:rPr>
          <w:rFonts w:hint="eastAsia" w:ascii="宋体" w:hAnsi="宋体" w:cs="宋体"/>
          <w:b/>
          <w:bCs/>
          <w:sz w:val="24"/>
        </w:rPr>
      </w:pPr>
      <w:r>
        <w:rPr>
          <w:rFonts w:hint="eastAsia" w:ascii="宋体" w:hAnsi="宋体" w:cs="宋体"/>
          <w:szCs w:val="21"/>
        </w:rPr>
        <w:t>18.2</w:t>
      </w:r>
      <w:r>
        <w:rPr>
          <w:rFonts w:hint="eastAsia" w:ascii="宋体" w:hAnsi="宋体" w:cs="宋体"/>
        </w:rPr>
        <w:t>响应文件解密时间：截标时间后</w:t>
      </w:r>
      <w:r>
        <w:rPr>
          <w:rFonts w:hint="eastAsia" w:ascii="宋体" w:hAnsi="宋体" w:cs="宋体"/>
          <w:u w:val="single"/>
        </w:rPr>
        <w:t>30</w:t>
      </w:r>
      <w:r>
        <w:rPr>
          <w:rFonts w:hint="eastAsia" w:ascii="宋体" w:hAnsi="宋体" w:cs="宋体"/>
        </w:rPr>
        <w:t>分钟内（</w:t>
      </w:r>
      <w:r>
        <w:rPr>
          <w:rFonts w:hint="eastAsia" w:ascii="宋体" w:hAnsi="宋体" w:cs="宋体"/>
          <w:color w:val="000000"/>
          <w:highlight w:val="none"/>
          <w:u w:val="single"/>
          <w:lang w:eastAsia="zh-CN"/>
        </w:rPr>
        <w:t>2026年</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lang w:eastAsia="zh-CN"/>
        </w:rPr>
        <w:t>月</w:t>
      </w:r>
      <w:r>
        <w:rPr>
          <w:rFonts w:hint="eastAsia" w:ascii="宋体" w:hAnsi="宋体" w:cs="宋体"/>
          <w:color w:val="000000"/>
          <w:highlight w:val="none"/>
          <w:u w:val="single"/>
          <w:lang w:val="en-US" w:eastAsia="zh-CN"/>
        </w:rPr>
        <w:t>7</w:t>
      </w:r>
      <w:r>
        <w:rPr>
          <w:rFonts w:hint="eastAsia" w:ascii="宋体" w:hAnsi="宋体" w:cs="宋体"/>
          <w:color w:val="000000"/>
          <w:highlight w:val="none"/>
          <w:u w:val="single"/>
          <w:lang w:eastAsia="zh-CN"/>
        </w:rPr>
        <w:t>日</w:t>
      </w:r>
      <w:r>
        <w:rPr>
          <w:rFonts w:hint="eastAsia" w:ascii="宋体" w:hAnsi="宋体" w:cs="宋体"/>
          <w:highlight w:val="none"/>
          <w:u w:val="single"/>
        </w:rPr>
        <w:t>上</w:t>
      </w:r>
      <w:r>
        <w:rPr>
          <w:rFonts w:hint="eastAsia" w:ascii="宋体" w:hAnsi="宋体" w:cs="宋体"/>
          <w:u w:val="single"/>
        </w:rPr>
        <w:t>午9时30分至10时00分</w:t>
      </w:r>
      <w:r>
        <w:rPr>
          <w:rFonts w:hint="eastAsia" w:ascii="宋体" w:hAnsi="宋体" w:cs="宋体"/>
        </w:rPr>
        <w:t>)供应商可以登录广西政府采购云平台，用“项目采购-开标评标”功能进行解密响应文件。</w:t>
      </w:r>
      <w:r>
        <w:rPr>
          <w:rFonts w:hint="eastAsia" w:ascii="宋体" w:hAnsi="宋体" w:cs="宋体"/>
          <w:b/>
          <w:bCs/>
          <w:sz w:val="24"/>
        </w:rPr>
        <w:t xml:space="preserve"> </w:t>
      </w:r>
    </w:p>
    <w:p w14:paraId="11BC997B">
      <w:pPr>
        <w:pStyle w:val="2"/>
        <w:ind w:firstLine="420" w:firstLineChars="200"/>
        <w:rPr>
          <w:rFonts w:ascii="宋体" w:hAnsi="宋体" w:cs="宋体"/>
        </w:rPr>
      </w:pPr>
      <w:r>
        <w:rPr>
          <w:rFonts w:hint="eastAsia" w:ascii="宋体" w:hAnsi="宋体" w:cs="宋体"/>
          <w:b/>
          <w:bCs/>
        </w:rPr>
        <w:t>注：响应文件网上递交截止时间后，各供应商须在解密时限内对上传</w:t>
      </w:r>
      <w:r>
        <w:rPr>
          <w:rFonts w:hint="eastAsia" w:ascii="宋体" w:hAnsi="宋体" w:cs="宋体"/>
          <w:b/>
          <w:bCs/>
          <w:szCs w:val="21"/>
        </w:rPr>
        <w:t>广西政府采购云平台</w:t>
      </w:r>
      <w:r>
        <w:rPr>
          <w:rFonts w:hint="eastAsia" w:ascii="宋体" w:hAnsi="宋体" w:cs="宋体"/>
          <w:b/>
          <w:bCs/>
        </w:rPr>
        <w:t>的响应文件进行解密，所有供应商在规定的解密时限内解密完成或解密时限结束后，我中心开启已解密的响应文件。供应商超过解密时限未解密的，系统默认自动放弃，造成响应无效的后果由供应商自行承担。解密响应文件后，30分钟内在线签字确认，超过时间没有在线签字确认的系统将自动视为供应商认可。</w:t>
      </w:r>
      <w:r>
        <w:rPr>
          <w:rFonts w:hint="eastAsia" w:ascii="宋体" w:hAnsi="宋体" w:cs="宋体"/>
        </w:rPr>
        <w:t> </w:t>
      </w:r>
    </w:p>
    <w:p w14:paraId="31853857">
      <w:pPr>
        <w:spacing w:line="360" w:lineRule="auto"/>
        <w:ind w:firstLine="420" w:firstLineChars="200"/>
        <w:rPr>
          <w:rFonts w:hint="eastAsia" w:ascii="宋体" w:hAnsi="宋体" w:cs="宋体"/>
          <w:szCs w:val="21"/>
        </w:rPr>
      </w:pPr>
      <w:r>
        <w:rPr>
          <w:rFonts w:hint="eastAsia" w:ascii="宋体" w:hAnsi="宋体" w:cs="宋体"/>
          <w:szCs w:val="21"/>
        </w:rPr>
        <w:t>18.3 除响应文件另有规定外，供应商所递交的响应文件不予退还。</w:t>
      </w:r>
    </w:p>
    <w:p w14:paraId="261C7FC4">
      <w:pPr>
        <w:spacing w:line="360" w:lineRule="auto"/>
        <w:ind w:firstLine="420" w:firstLineChars="200"/>
        <w:rPr>
          <w:rFonts w:hint="eastAsia" w:ascii="宋体" w:hAnsi="宋体" w:cs="宋体"/>
          <w:szCs w:val="21"/>
        </w:rPr>
      </w:pPr>
      <w:r>
        <w:rPr>
          <w:rFonts w:hint="eastAsia" w:ascii="宋体" w:hAnsi="宋体" w:cs="宋体"/>
          <w:szCs w:val="21"/>
        </w:rPr>
        <w:t>18.4 电子响应文件的相关说明</w:t>
      </w:r>
    </w:p>
    <w:p w14:paraId="50B21664">
      <w:pPr>
        <w:spacing w:line="360" w:lineRule="auto"/>
        <w:ind w:firstLine="420" w:firstLineChars="200"/>
        <w:rPr>
          <w:rFonts w:hint="eastAsia" w:ascii="宋体" w:hAnsi="宋体" w:cs="宋体"/>
          <w:szCs w:val="21"/>
        </w:rPr>
      </w:pPr>
      <w:r>
        <w:rPr>
          <w:rFonts w:hint="eastAsia" w:ascii="宋体" w:hAnsi="宋体" w:cs="宋体"/>
          <w:szCs w:val="21"/>
        </w:rPr>
        <w:t xml:space="preserve">（1）供应商进行电子投标应安装客户端软件，并按照谈判文件和电子交易平台的要求编制并加密响应文件。供应商未按规定加密的响应文件，电子交易平台将拒收。供应商应当在响应文件递交截止时间前完成响应文件的传输递交，并可以补充、修改或者撤回响应文件。补充或者修改响应文件的，应当先行撤回原文件，补充、修改后重新传输递交。响应文件递交截止时间前未完成传输的，视为撤回响应文件。响应文件递交截止时间后递交的响应文件，电子交易平台将拒收。 </w:t>
      </w:r>
    </w:p>
    <w:p w14:paraId="509ECAE2">
      <w:pPr>
        <w:spacing w:line="360" w:lineRule="auto"/>
        <w:ind w:firstLine="420" w:firstLineChars="200"/>
        <w:rPr>
          <w:rFonts w:hint="eastAsia" w:ascii="宋体" w:hAnsi="宋体" w:cs="宋体"/>
          <w:szCs w:val="21"/>
        </w:rPr>
      </w:pPr>
      <w:r>
        <w:rPr>
          <w:rFonts w:hint="eastAsia" w:ascii="宋体" w:hAnsi="宋体" w:cs="宋体"/>
          <w:szCs w:val="21"/>
        </w:rPr>
        <w:t>（2）如有特殊情况，采购代理机构延长截止时间和开标时间，采购代理机构和供应商的权利和义务将受到新的截止时间和开标时间的约束。</w:t>
      </w:r>
    </w:p>
    <w:p w14:paraId="1BD5E9A9">
      <w:pPr>
        <w:pStyle w:val="4"/>
        <w:jc w:val="center"/>
        <w:rPr>
          <w:rFonts w:hint="eastAsia"/>
          <w:b/>
          <w:bCs w:val="0"/>
          <w:color w:val="auto"/>
          <w:szCs w:val="28"/>
        </w:rPr>
      </w:pPr>
      <w:bookmarkStart w:id="330" w:name="_Toc13131"/>
      <w:bookmarkStart w:id="331" w:name="_Toc20673"/>
      <w:bookmarkStart w:id="332" w:name="_Toc21272"/>
      <w:bookmarkStart w:id="333" w:name="_Toc29487"/>
      <w:bookmarkStart w:id="334" w:name="_Toc16370"/>
      <w:bookmarkStart w:id="335" w:name="_Toc1602"/>
      <w:bookmarkStart w:id="336" w:name="_Toc26917"/>
      <w:bookmarkStart w:id="337" w:name="_Toc22747"/>
      <w:bookmarkStart w:id="338" w:name="_Toc21771"/>
      <w:bookmarkStart w:id="339" w:name="_Toc13867"/>
      <w:bookmarkStart w:id="340" w:name="_Toc10288"/>
      <w:bookmarkStart w:id="341" w:name="_Toc18730"/>
      <w:r>
        <w:rPr>
          <w:rFonts w:hint="eastAsia"/>
          <w:b/>
          <w:bCs w:val="0"/>
          <w:color w:val="auto"/>
          <w:szCs w:val="28"/>
        </w:rPr>
        <w:t>四、竞争性谈判（简称谈判）与评审</w:t>
      </w:r>
      <w:bookmarkEnd w:id="330"/>
      <w:bookmarkEnd w:id="331"/>
      <w:bookmarkEnd w:id="332"/>
      <w:bookmarkEnd w:id="333"/>
      <w:bookmarkEnd w:id="334"/>
      <w:bookmarkEnd w:id="335"/>
      <w:bookmarkEnd w:id="336"/>
      <w:bookmarkEnd w:id="337"/>
      <w:bookmarkEnd w:id="338"/>
      <w:bookmarkEnd w:id="339"/>
      <w:bookmarkEnd w:id="340"/>
      <w:bookmarkEnd w:id="341"/>
    </w:p>
    <w:p w14:paraId="2646506F">
      <w:pPr>
        <w:pStyle w:val="5"/>
        <w:spacing w:before="0" w:after="0" w:line="360" w:lineRule="auto"/>
        <w:ind w:firstLine="420" w:firstLineChars="200"/>
        <w:rPr>
          <w:rFonts w:hint="eastAsia" w:ascii="宋体" w:hAnsi="宋体" w:cs="宋体"/>
          <w:sz w:val="21"/>
          <w:szCs w:val="21"/>
        </w:rPr>
      </w:pPr>
      <w:bookmarkStart w:id="342" w:name="_Toc580"/>
      <w:bookmarkStart w:id="343" w:name="_Toc23202"/>
      <w:bookmarkStart w:id="344" w:name="_Toc28739"/>
      <w:bookmarkStart w:id="345" w:name="_Toc22662"/>
      <w:bookmarkStart w:id="346" w:name="_Toc1043"/>
      <w:bookmarkStart w:id="347" w:name="_Toc20471"/>
      <w:bookmarkStart w:id="348" w:name="_Toc21940"/>
      <w:bookmarkStart w:id="349" w:name="_Toc28716"/>
      <w:bookmarkStart w:id="350" w:name="_Toc13780"/>
      <w:bookmarkStart w:id="351" w:name="_Toc26009"/>
      <w:bookmarkStart w:id="352" w:name="_Toc32162"/>
      <w:bookmarkStart w:id="353" w:name="_Toc18481"/>
      <w:r>
        <w:rPr>
          <w:rFonts w:hint="eastAsia" w:ascii="宋体" w:hAnsi="宋体" w:cs="宋体"/>
          <w:sz w:val="21"/>
          <w:szCs w:val="21"/>
        </w:rPr>
        <w:t>19. 谈判小组组成及谈判时间、地点、人员</w:t>
      </w:r>
      <w:bookmarkEnd w:id="342"/>
      <w:bookmarkEnd w:id="343"/>
      <w:bookmarkEnd w:id="344"/>
      <w:bookmarkEnd w:id="345"/>
      <w:bookmarkEnd w:id="346"/>
      <w:bookmarkEnd w:id="347"/>
      <w:bookmarkEnd w:id="348"/>
      <w:bookmarkEnd w:id="349"/>
      <w:bookmarkEnd w:id="350"/>
      <w:bookmarkEnd w:id="351"/>
      <w:bookmarkEnd w:id="352"/>
      <w:bookmarkEnd w:id="353"/>
    </w:p>
    <w:p w14:paraId="53749607">
      <w:pPr>
        <w:ind w:firstLine="420" w:firstLineChars="200"/>
        <w:rPr>
          <w:rFonts w:hint="eastAsia" w:ascii="宋体" w:hAnsi="宋体" w:cs="宋体"/>
          <w:b/>
          <w:bCs/>
        </w:rPr>
      </w:pPr>
      <w:r>
        <w:rPr>
          <w:rFonts w:hint="eastAsia" w:ascii="宋体" w:hAnsi="宋体" w:cs="宋体"/>
          <w:b/>
          <w:bCs/>
        </w:rPr>
        <w:t>19.1 谈判小组组成：</w:t>
      </w:r>
    </w:p>
    <w:p w14:paraId="0CC523D3">
      <w:pPr>
        <w:spacing w:line="360" w:lineRule="auto"/>
        <w:ind w:firstLine="420" w:firstLineChars="200"/>
        <w:rPr>
          <w:rFonts w:ascii="宋体" w:cs="宋体"/>
          <w:szCs w:val="21"/>
        </w:rPr>
      </w:pPr>
      <w:r>
        <w:rPr>
          <w:rFonts w:hint="eastAsia" w:ascii="宋体" w:hAnsi="宋体" w:cs="宋体"/>
          <w:szCs w:val="21"/>
        </w:rPr>
        <w:t>谈判及评审工作由采购代理机构负责组织，具体谈判、评审工作由依法组建的谈判小组负责，谈判小组由采购人代表和有关方面的专家组成。谈判小组的构成：</w:t>
      </w:r>
      <w:r>
        <w:rPr>
          <w:rFonts w:hint="eastAsia" w:ascii="宋体" w:hAnsi="宋体" w:cs="宋体"/>
          <w:szCs w:val="21"/>
          <w:u w:val="single"/>
        </w:rPr>
        <w:t xml:space="preserve"> </w:t>
      </w:r>
      <w:r>
        <w:rPr>
          <w:rFonts w:ascii="宋体" w:hAnsi="宋体" w:cs="宋体"/>
          <w:szCs w:val="21"/>
          <w:u w:val="single"/>
        </w:rPr>
        <w:t xml:space="preserve">3 </w:t>
      </w:r>
      <w:r>
        <w:rPr>
          <w:rFonts w:hint="eastAsia" w:ascii="宋体" w:hAnsi="宋体" w:cs="宋体"/>
          <w:szCs w:val="21"/>
        </w:rPr>
        <w:t>人，其中采购人代表</w:t>
      </w:r>
      <w:r>
        <w:rPr>
          <w:rFonts w:hint="eastAsia" w:ascii="宋体" w:hAnsi="宋体" w:cs="宋体"/>
          <w:szCs w:val="21"/>
          <w:u w:val="single"/>
        </w:rPr>
        <w:t xml:space="preserve"> </w:t>
      </w:r>
      <w:r>
        <w:rPr>
          <w:rFonts w:ascii="宋体" w:hAnsi="宋体" w:cs="宋体"/>
          <w:szCs w:val="21"/>
          <w:u w:val="single"/>
        </w:rPr>
        <w:t xml:space="preserve">1 </w:t>
      </w:r>
      <w:r>
        <w:rPr>
          <w:rFonts w:hint="eastAsia" w:ascii="宋体" w:hAnsi="宋体" w:cs="宋体"/>
          <w:szCs w:val="21"/>
        </w:rPr>
        <w:t>人，</w:t>
      </w:r>
      <w:r>
        <w:rPr>
          <w:rFonts w:ascii="宋体" w:hAnsi="宋体" w:cs="宋体"/>
          <w:szCs w:val="21"/>
        </w:rPr>
        <w:t xml:space="preserve"> </w:t>
      </w:r>
      <w:r>
        <w:rPr>
          <w:rFonts w:hint="eastAsia" w:ascii="宋体" w:hAnsi="宋体" w:cs="宋体"/>
          <w:szCs w:val="21"/>
        </w:rPr>
        <w:t>专家</w:t>
      </w:r>
      <w:r>
        <w:rPr>
          <w:rFonts w:ascii="宋体" w:hAnsi="宋体" w:cs="宋体"/>
          <w:szCs w:val="21"/>
          <w:u w:val="single"/>
        </w:rPr>
        <w:t xml:space="preserve"> 2 </w:t>
      </w:r>
      <w:r>
        <w:rPr>
          <w:rFonts w:hint="eastAsia" w:ascii="宋体" w:hAnsi="宋体" w:cs="宋体"/>
          <w:szCs w:val="21"/>
        </w:rPr>
        <w:t>人。</w:t>
      </w:r>
    </w:p>
    <w:p w14:paraId="1ED92AF1">
      <w:pPr>
        <w:ind w:firstLine="420" w:firstLineChars="200"/>
        <w:rPr>
          <w:rFonts w:hint="eastAsia" w:ascii="宋体" w:hAnsi="宋体" w:cs="宋体"/>
          <w:b/>
          <w:bCs/>
        </w:rPr>
      </w:pPr>
      <w:r>
        <w:rPr>
          <w:rFonts w:hint="eastAsia" w:ascii="宋体" w:hAnsi="宋体" w:cs="宋体"/>
          <w:b/>
          <w:bCs/>
        </w:rPr>
        <w:t>19.2 谈判时间、地点、人员：</w:t>
      </w:r>
    </w:p>
    <w:p w14:paraId="1E116B9E">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.2.1 </w:t>
      </w:r>
      <w:r>
        <w:rPr>
          <w:rFonts w:hint="eastAsia" w:ascii="宋体" w:hAnsi="宋体" w:cs="宋体"/>
          <w:szCs w:val="21"/>
        </w:rPr>
        <w:t>谈判时间：响应文件递交截止时间后。</w:t>
      </w:r>
    </w:p>
    <w:p w14:paraId="779BD541">
      <w:pPr>
        <w:spacing w:line="360" w:lineRule="auto"/>
        <w:ind w:firstLine="420" w:firstLineChars="200"/>
        <w:rPr>
          <w:rFonts w:hint="eastAsia" w:ascii="宋体" w:hAnsi="宋体" w:cs="宋体"/>
          <w:b/>
          <w:bCs/>
          <w:szCs w:val="21"/>
        </w:rPr>
      </w:pPr>
      <w:r>
        <w:rPr>
          <w:rFonts w:hint="eastAsia" w:ascii="宋体" w:hAnsi="宋体" w:cs="宋体"/>
          <w:szCs w:val="21"/>
        </w:rPr>
        <w:t>19</w:t>
      </w:r>
      <w:r>
        <w:rPr>
          <w:rFonts w:ascii="宋体" w:hAnsi="宋体" w:cs="宋体"/>
          <w:szCs w:val="21"/>
        </w:rPr>
        <w:t xml:space="preserve">.2.2 </w:t>
      </w:r>
      <w:r>
        <w:rPr>
          <w:rFonts w:hint="eastAsia" w:ascii="宋体" w:hAnsi="宋体" w:cs="宋体"/>
          <w:szCs w:val="21"/>
        </w:rPr>
        <w:t>谈判地点：</w:t>
      </w:r>
      <w:r>
        <w:rPr>
          <w:rFonts w:hint="eastAsia" w:ascii="宋体" w:hAnsi="宋体" w:cs="宋体"/>
          <w:b/>
          <w:bCs/>
          <w:szCs w:val="21"/>
        </w:rPr>
        <w:t>通过广西政府采购云平台在线谈判。</w:t>
      </w:r>
    </w:p>
    <w:p w14:paraId="15637E63">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.2.3 </w:t>
      </w:r>
      <w:r>
        <w:rPr>
          <w:rFonts w:hint="eastAsia" w:ascii="宋体" w:hAnsi="宋体" w:cs="宋体"/>
          <w:szCs w:val="21"/>
        </w:rPr>
        <w:t>谈判参加人员：</w:t>
      </w:r>
      <w:r>
        <w:rPr>
          <w:rFonts w:hint="eastAsia" w:ascii="宋体" w:hAnsi="宋体"/>
          <w:szCs w:val="21"/>
        </w:rPr>
        <w:t>供应商法定代表人、负责人、自然人或相应的委托代理人持</w:t>
      </w:r>
      <w:r>
        <w:rPr>
          <w:rFonts w:hint="eastAsia" w:ascii="宋体" w:hAnsi="宋体"/>
          <w:szCs w:val="21"/>
          <w:u w:val="single"/>
        </w:rPr>
        <w:t>有效身份证原</w:t>
      </w:r>
      <w:r>
        <w:rPr>
          <w:rFonts w:hint="eastAsia" w:ascii="宋体" w:hAnsi="宋体"/>
          <w:szCs w:val="21"/>
        </w:rPr>
        <w:t>件和</w:t>
      </w:r>
      <w:r>
        <w:rPr>
          <w:rFonts w:hint="eastAsia" w:ascii="宋体" w:hAnsi="宋体"/>
          <w:szCs w:val="21"/>
          <w:u w:val="single"/>
        </w:rPr>
        <w:t>供应商广西政府采购云平台CA数字证书</w:t>
      </w:r>
      <w:r>
        <w:rPr>
          <w:rFonts w:hint="eastAsia" w:ascii="宋体" w:hAnsi="宋体"/>
          <w:szCs w:val="21"/>
        </w:rPr>
        <w:t>参加谈判。请供应商及时</w:t>
      </w:r>
      <w:r>
        <w:rPr>
          <w:rFonts w:hint="eastAsia" w:ascii="宋体" w:hAnsi="宋体"/>
          <w:szCs w:val="21"/>
          <w:lang w:eastAsia="zh-CN"/>
        </w:rPr>
        <w:t>登录</w:t>
      </w:r>
      <w:r>
        <w:rPr>
          <w:rFonts w:hint="eastAsia" w:ascii="宋体" w:hAnsi="宋体"/>
          <w:szCs w:val="21"/>
        </w:rPr>
        <w:t>广西政府采购云平台等候谈判</w:t>
      </w:r>
      <w:r>
        <w:rPr>
          <w:rFonts w:hint="eastAsia" w:ascii="宋体" w:hAnsi="宋体" w:cs="宋体"/>
          <w:szCs w:val="21"/>
        </w:rPr>
        <w:t>。</w:t>
      </w:r>
    </w:p>
    <w:p w14:paraId="301ECE8E">
      <w:pPr>
        <w:spacing w:line="360" w:lineRule="auto"/>
        <w:ind w:firstLine="420" w:firstLineChars="200"/>
        <w:rPr>
          <w:rFonts w:ascii="宋体" w:cs="宋体"/>
          <w:szCs w:val="21"/>
        </w:rPr>
      </w:pPr>
      <w:r>
        <w:rPr>
          <w:rFonts w:hint="eastAsia" w:ascii="宋体" w:hAnsi="宋体" w:cs="宋体"/>
          <w:szCs w:val="21"/>
        </w:rPr>
        <w:t>19</w:t>
      </w:r>
      <w:r>
        <w:rPr>
          <w:rFonts w:ascii="宋体" w:hAnsi="宋体" w:cs="宋体"/>
          <w:szCs w:val="21"/>
        </w:rPr>
        <w:t xml:space="preserve">.2.4 </w:t>
      </w:r>
      <w:r>
        <w:rPr>
          <w:rFonts w:hint="eastAsia" w:ascii="宋体" w:hAnsi="宋体" w:cs="宋体"/>
          <w:szCs w:val="21"/>
        </w:rPr>
        <w:t>响应文件递交截止时间后，由谈判小组在评标室内开启响应文件。</w:t>
      </w:r>
      <w:r>
        <w:rPr>
          <w:rFonts w:ascii="宋体" w:hAnsi="宋体" w:cs="宋体"/>
          <w:szCs w:val="21"/>
        </w:rPr>
        <w:t xml:space="preserve">  </w:t>
      </w:r>
    </w:p>
    <w:p w14:paraId="28707423">
      <w:pPr>
        <w:pStyle w:val="5"/>
        <w:spacing w:before="0" w:after="0" w:line="360" w:lineRule="auto"/>
        <w:ind w:firstLine="420" w:firstLineChars="200"/>
        <w:rPr>
          <w:rFonts w:hint="eastAsia" w:ascii="宋体" w:hAnsi="宋体" w:cs="宋体"/>
          <w:sz w:val="21"/>
          <w:szCs w:val="21"/>
        </w:rPr>
      </w:pPr>
      <w:bookmarkStart w:id="354" w:name="_Toc2224"/>
      <w:bookmarkStart w:id="355" w:name="_Toc21001"/>
      <w:bookmarkStart w:id="356" w:name="_Toc30892"/>
      <w:bookmarkStart w:id="357" w:name="_Toc5902"/>
      <w:bookmarkStart w:id="358" w:name="_Toc27806"/>
      <w:bookmarkStart w:id="359" w:name="_Toc23784"/>
      <w:bookmarkStart w:id="360" w:name="_Toc3666"/>
      <w:bookmarkStart w:id="361" w:name="_Toc3727"/>
      <w:bookmarkStart w:id="362" w:name="_Toc20293"/>
      <w:bookmarkStart w:id="363" w:name="_Toc21172"/>
      <w:bookmarkStart w:id="364" w:name="_Toc10604"/>
      <w:bookmarkStart w:id="365" w:name="_Toc22686"/>
      <w:r>
        <w:rPr>
          <w:rFonts w:hint="eastAsia" w:ascii="宋体" w:hAnsi="宋体" w:cs="宋体"/>
          <w:sz w:val="21"/>
          <w:szCs w:val="21"/>
        </w:rPr>
        <w:t>20. 评审原则</w:t>
      </w:r>
      <w:bookmarkEnd w:id="354"/>
      <w:bookmarkEnd w:id="355"/>
      <w:bookmarkEnd w:id="356"/>
      <w:bookmarkEnd w:id="357"/>
      <w:bookmarkEnd w:id="358"/>
      <w:bookmarkEnd w:id="359"/>
      <w:bookmarkEnd w:id="360"/>
      <w:bookmarkEnd w:id="361"/>
      <w:bookmarkEnd w:id="362"/>
      <w:bookmarkEnd w:id="363"/>
      <w:bookmarkEnd w:id="364"/>
      <w:bookmarkEnd w:id="365"/>
    </w:p>
    <w:p w14:paraId="04129CD9">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.1 </w:t>
      </w:r>
      <w:r>
        <w:rPr>
          <w:rFonts w:hint="eastAsia" w:ascii="宋体" w:hAnsi="宋体" w:cs="宋体"/>
          <w:szCs w:val="21"/>
        </w:rPr>
        <w:t>谈判小组必须坚持公平、公正、科学和择优的原则。</w:t>
      </w:r>
    </w:p>
    <w:p w14:paraId="769CFD9E">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.2 </w:t>
      </w:r>
      <w:r>
        <w:rPr>
          <w:rFonts w:hint="eastAsia" w:ascii="宋体" w:hAnsi="宋体" w:cs="宋体"/>
          <w:szCs w:val="21"/>
        </w:rPr>
        <w:t>评审办法：具体详见第四章评审办法。</w:t>
      </w:r>
    </w:p>
    <w:p w14:paraId="22922FF6">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.3 </w:t>
      </w:r>
      <w:r>
        <w:rPr>
          <w:rFonts w:hint="eastAsia" w:ascii="宋体" w:hAnsi="宋体" w:cs="宋体"/>
          <w:szCs w:val="21"/>
        </w:rPr>
        <w:t>谈判小组应按谈判文件进行评审，不得擅自更改评审办法。</w:t>
      </w:r>
    </w:p>
    <w:p w14:paraId="3BA60DBE">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.4 </w:t>
      </w:r>
      <w:r>
        <w:rPr>
          <w:rFonts w:hint="eastAsia" w:ascii="宋体" w:hAnsi="宋体" w:cs="宋体"/>
          <w:szCs w:val="21"/>
        </w:rPr>
        <w:t>在评审过程中，谈判小组任何人不得对某个供应商发表任何倾向性意见，不得向其他谈判小组成员明示或者暗示自己的评审意见。</w:t>
      </w:r>
    </w:p>
    <w:p w14:paraId="134B200D">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0</w:t>
      </w:r>
      <w:r>
        <w:rPr>
          <w:rFonts w:ascii="宋体" w:hAnsi="宋体" w:cs="宋体"/>
          <w:szCs w:val="21"/>
        </w:rPr>
        <w:t xml:space="preserve">.5 </w:t>
      </w:r>
      <w:r>
        <w:rPr>
          <w:rFonts w:hint="eastAsia" w:ascii="宋体" w:hAnsi="宋体" w:cs="宋体"/>
          <w:szCs w:val="21"/>
        </w:rPr>
        <w:t>谈判小组成员对需要共同认定的事项存在争议的，按照少数服从多数的原则作出结论。持不　　　　　　　　　　　　　　　　　　　　　　　　　　　　　　　　　　　　　　　　　　　　　　　　　　　　　　　　　　　　　　　　　　　　　　同意见的谈判小组成员应当在评审报告上签署不同意见并说明理由，否则视为同意。</w:t>
      </w:r>
    </w:p>
    <w:p w14:paraId="6E23345D">
      <w:pPr>
        <w:spacing w:line="360" w:lineRule="auto"/>
        <w:ind w:firstLine="420" w:firstLineChars="200"/>
        <w:rPr>
          <w:rFonts w:hint="eastAsia" w:ascii="宋体" w:hAnsi="宋体" w:cs="宋体"/>
          <w:szCs w:val="21"/>
        </w:rPr>
      </w:pPr>
      <w:r>
        <w:rPr>
          <w:rFonts w:hint="eastAsia" w:ascii="宋体" w:hAnsi="宋体" w:cs="宋体"/>
          <w:szCs w:val="21"/>
        </w:rPr>
        <w:t>20.6 响应文件最后报价出现前后不一致的，除竞争性谈判文件另有规定外，按照下列规定修正：</w:t>
      </w:r>
    </w:p>
    <w:p w14:paraId="3CB81C96">
      <w:pPr>
        <w:spacing w:line="360" w:lineRule="auto"/>
        <w:ind w:firstLine="420" w:firstLineChars="200"/>
        <w:rPr>
          <w:rFonts w:hint="eastAsia" w:ascii="宋体" w:hAnsi="宋体" w:cs="宋体"/>
          <w:szCs w:val="21"/>
        </w:rPr>
      </w:pPr>
      <w:r>
        <w:rPr>
          <w:rFonts w:hint="eastAsia" w:ascii="宋体" w:hAnsi="宋体" w:cs="宋体"/>
          <w:szCs w:val="21"/>
        </w:rPr>
        <w:t>(1) 响应文件中谈判报价表内容与响应文件中相应内容不一致的，以最后谈判报价表为准；</w:t>
      </w:r>
    </w:p>
    <w:p w14:paraId="49B467E6">
      <w:pPr>
        <w:spacing w:line="360" w:lineRule="auto"/>
        <w:ind w:firstLine="420" w:firstLineChars="200"/>
        <w:rPr>
          <w:rFonts w:hint="eastAsia" w:ascii="宋体" w:hAnsi="宋体" w:cs="宋体"/>
          <w:szCs w:val="21"/>
        </w:rPr>
      </w:pPr>
      <w:r>
        <w:rPr>
          <w:rFonts w:hint="eastAsia" w:ascii="宋体" w:hAnsi="宋体" w:cs="宋体"/>
          <w:szCs w:val="21"/>
        </w:rPr>
        <w:t>(2) 大写金额和小写金额不一致的，以大写金额为准；</w:t>
      </w:r>
    </w:p>
    <w:p w14:paraId="4D909F18">
      <w:pPr>
        <w:spacing w:line="360" w:lineRule="auto"/>
        <w:ind w:firstLine="420" w:firstLineChars="200"/>
        <w:rPr>
          <w:rFonts w:hint="eastAsia" w:ascii="宋体" w:hAnsi="宋体" w:cs="宋体"/>
          <w:szCs w:val="21"/>
        </w:rPr>
      </w:pPr>
      <w:r>
        <w:rPr>
          <w:rFonts w:hint="eastAsia" w:ascii="宋体" w:hAnsi="宋体" w:cs="宋体"/>
          <w:szCs w:val="21"/>
        </w:rPr>
        <w:t>(3) 单价金额小数点或者百分比有明显错位的，以报价表的总价为准，并修改单价；</w:t>
      </w:r>
    </w:p>
    <w:p w14:paraId="547A00E8">
      <w:pPr>
        <w:spacing w:line="360" w:lineRule="auto"/>
        <w:ind w:firstLine="420" w:firstLineChars="200"/>
        <w:rPr>
          <w:rFonts w:hint="eastAsia" w:ascii="宋体" w:hAnsi="宋体" w:cs="宋体"/>
          <w:szCs w:val="21"/>
        </w:rPr>
      </w:pPr>
      <w:r>
        <w:rPr>
          <w:rFonts w:hint="eastAsia" w:ascii="宋体" w:hAnsi="宋体" w:cs="宋体"/>
          <w:szCs w:val="21"/>
        </w:rPr>
        <w:t>(4) 总价金额与按单价汇总金额不一致的，以单价金额计算结果为准。</w:t>
      </w:r>
    </w:p>
    <w:p w14:paraId="71D22D2C">
      <w:pPr>
        <w:spacing w:line="360" w:lineRule="auto"/>
        <w:ind w:firstLine="420" w:firstLineChars="200"/>
        <w:rPr>
          <w:rFonts w:hint="eastAsia" w:ascii="宋体" w:hAnsi="宋体" w:cs="宋体"/>
          <w:szCs w:val="21"/>
        </w:rPr>
      </w:pPr>
      <w:r>
        <w:rPr>
          <w:rFonts w:hint="eastAsia" w:ascii="宋体" w:hAnsi="宋体" w:cs="宋体"/>
          <w:szCs w:val="21"/>
        </w:rPr>
        <w:t>同时出现两种以上不一致的，按照前款规定的顺序修正。修正后的报价（不得超出响应文件的范围或者改变响应文件的实质性内容）经供应商确认后产生约束力，供应商不确认的，作无效响应处理。</w:t>
      </w:r>
    </w:p>
    <w:p w14:paraId="78F4BC0D">
      <w:pPr>
        <w:pStyle w:val="5"/>
        <w:spacing w:before="0" w:after="0" w:line="360" w:lineRule="auto"/>
        <w:ind w:firstLine="420" w:firstLineChars="200"/>
        <w:rPr>
          <w:rFonts w:hint="eastAsia" w:ascii="宋体" w:hAnsi="宋体" w:cs="宋体"/>
          <w:sz w:val="21"/>
          <w:szCs w:val="21"/>
        </w:rPr>
      </w:pPr>
      <w:bookmarkStart w:id="366" w:name="_Toc467"/>
      <w:bookmarkStart w:id="367" w:name="_Toc9027"/>
      <w:bookmarkStart w:id="368" w:name="_Toc28877"/>
      <w:bookmarkStart w:id="369" w:name="_Toc2476"/>
      <w:bookmarkStart w:id="370" w:name="_Toc26302"/>
      <w:bookmarkStart w:id="371" w:name="_Toc21440"/>
      <w:bookmarkStart w:id="372" w:name="_Toc8174"/>
      <w:bookmarkStart w:id="373" w:name="_Toc9409"/>
      <w:bookmarkStart w:id="374" w:name="_Toc6023"/>
      <w:bookmarkStart w:id="375" w:name="_Toc17711"/>
      <w:bookmarkStart w:id="376" w:name="_Toc26391"/>
      <w:bookmarkStart w:id="377" w:name="_Toc32552"/>
      <w:r>
        <w:rPr>
          <w:rFonts w:hint="eastAsia" w:ascii="宋体" w:hAnsi="宋体" w:cs="宋体"/>
          <w:sz w:val="21"/>
          <w:szCs w:val="21"/>
        </w:rPr>
        <w:t>21. 评审程序及谈判要求</w:t>
      </w:r>
      <w:bookmarkEnd w:id="366"/>
      <w:bookmarkEnd w:id="367"/>
      <w:bookmarkEnd w:id="368"/>
      <w:bookmarkEnd w:id="369"/>
      <w:bookmarkEnd w:id="370"/>
      <w:bookmarkEnd w:id="371"/>
      <w:bookmarkEnd w:id="372"/>
      <w:bookmarkEnd w:id="373"/>
      <w:bookmarkEnd w:id="374"/>
      <w:bookmarkEnd w:id="375"/>
      <w:bookmarkEnd w:id="376"/>
      <w:bookmarkEnd w:id="377"/>
    </w:p>
    <w:p w14:paraId="75A453BA">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.1</w:t>
      </w:r>
      <w:r>
        <w:rPr>
          <w:rFonts w:hint="eastAsia" w:ascii="宋体" w:hAnsi="宋体" w:cs="宋体"/>
          <w:szCs w:val="21"/>
        </w:rPr>
        <w:t xml:space="preserve">谈判小组成员的通讯工具或相关电子设备交由桂林市公共资源交易中心统一保管后到达评标室，采购 </w:t>
      </w:r>
    </w:p>
    <w:p w14:paraId="7B7772DD">
      <w:pPr>
        <w:spacing w:line="360" w:lineRule="auto"/>
        <w:rPr>
          <w:rFonts w:hint="eastAsia" w:ascii="宋体" w:hAnsi="宋体" w:cs="宋体"/>
          <w:szCs w:val="21"/>
        </w:rPr>
      </w:pPr>
      <w:r>
        <w:rPr>
          <w:rFonts w:hint="eastAsia" w:ascii="宋体" w:hAnsi="宋体" w:cs="宋体"/>
          <w:szCs w:val="21"/>
        </w:rPr>
        <w:t>代理机构核实谈判小组成员身份，告知回避要求，宣布评审工作纪律和程序，推选谈判小组组长。</w:t>
      </w:r>
    </w:p>
    <w:p w14:paraId="10FBE5FE">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1</w:t>
      </w:r>
      <w:r>
        <w:rPr>
          <w:rFonts w:ascii="宋体" w:hAnsi="宋体" w:cs="宋体"/>
          <w:szCs w:val="21"/>
        </w:rPr>
        <w:t>.2</w:t>
      </w:r>
      <w:r>
        <w:rPr>
          <w:rFonts w:hint="eastAsia" w:ascii="宋体" w:hAnsi="宋体" w:cs="宋体"/>
          <w:szCs w:val="21"/>
        </w:rPr>
        <w:t>谈判小组应当对发布公告的竞争性谈判文件（简称谈判文件）进行确认，审查供应商的响应文件并作出评价；要求供应商解释或者澄清其响应文件；编写评审报告；告知采购人、采购代理机构在评审过程中发现的供应商的违法违规行为。</w:t>
      </w:r>
    </w:p>
    <w:p w14:paraId="5D797757">
      <w:pPr>
        <w:spacing w:line="360" w:lineRule="auto"/>
        <w:ind w:firstLine="420" w:firstLineChars="200"/>
        <w:rPr>
          <w:rFonts w:hint="eastAsia" w:ascii="宋体" w:hAnsi="宋体" w:cs="宋体"/>
          <w:szCs w:val="21"/>
        </w:rPr>
      </w:pPr>
      <w:r>
        <w:rPr>
          <w:rFonts w:hint="eastAsia" w:ascii="宋体" w:hAnsi="宋体" w:cs="宋体"/>
          <w:szCs w:val="21"/>
        </w:rPr>
        <w:t xml:space="preserve">21.3 谈判小组依据竞争性谈判文件的规定，首先对响应文件进行资格性审查，以确定供应商是否具备本项 </w:t>
      </w:r>
    </w:p>
    <w:p w14:paraId="596A5546">
      <w:pPr>
        <w:spacing w:line="360" w:lineRule="auto"/>
        <w:rPr>
          <w:rFonts w:hint="eastAsia" w:ascii="宋体" w:hAnsi="宋体" w:cs="宋体"/>
          <w:szCs w:val="21"/>
        </w:rPr>
      </w:pPr>
      <w:r>
        <w:rPr>
          <w:rFonts w:hint="eastAsia" w:ascii="宋体" w:hAnsi="宋体" w:cs="宋体"/>
          <w:szCs w:val="21"/>
        </w:rPr>
        <w:t xml:space="preserve">目供应商资格；再对通过资格性审查的供应商响应文件的有效性、完整性和对谈判文件的响应程度进行符合性 </w:t>
      </w:r>
    </w:p>
    <w:p w14:paraId="7C440A1A">
      <w:pPr>
        <w:spacing w:line="360" w:lineRule="auto"/>
        <w:rPr>
          <w:rFonts w:hint="eastAsia" w:ascii="宋体" w:hAnsi="宋体" w:cs="宋体"/>
          <w:szCs w:val="21"/>
        </w:rPr>
      </w:pPr>
      <w:r>
        <w:rPr>
          <w:rFonts w:hint="eastAsia" w:ascii="宋体" w:hAnsi="宋体" w:cs="宋体"/>
          <w:szCs w:val="21"/>
        </w:rPr>
        <w:t xml:space="preserve">审查，以确定是否对谈判文件的实质性要求做出响应。 </w:t>
      </w:r>
    </w:p>
    <w:p w14:paraId="171CB765">
      <w:pPr>
        <w:spacing w:line="360" w:lineRule="auto"/>
        <w:ind w:firstLine="420" w:firstLineChars="200"/>
        <w:rPr>
          <w:rFonts w:hint="eastAsia" w:ascii="宋体" w:hAnsi="宋体" w:cs="宋体"/>
          <w:b/>
          <w:bCs/>
          <w:szCs w:val="21"/>
        </w:rPr>
      </w:pPr>
      <w:r>
        <w:rPr>
          <w:rFonts w:hint="eastAsia" w:ascii="宋体" w:hAnsi="宋体" w:cs="宋体"/>
          <w:b/>
          <w:bCs/>
          <w:szCs w:val="21"/>
        </w:rPr>
        <w:t>21.4 谈判小组在对供应商进行资格性审查时，将对供应商企业股东及出资等信息进行查询 。 根据 《 中华人民共和国政府采购法实施条例 》 第十八条第一款规定 ， 审查中如发现供应商存在单位负责人为同一人或者存在直接控股、管理关系的不同供应商参加同一合同项下的政府采购活动的，按响应文件无效处理 。</w:t>
      </w:r>
    </w:p>
    <w:p w14:paraId="28958F00">
      <w:pPr>
        <w:spacing w:line="360" w:lineRule="auto"/>
        <w:ind w:firstLine="420" w:firstLineChars="200"/>
        <w:rPr>
          <w:rFonts w:hint="eastAsia" w:ascii="宋体" w:hAnsi="宋体" w:cs="宋体"/>
          <w:szCs w:val="21"/>
        </w:rPr>
      </w:pPr>
      <w:r>
        <w:rPr>
          <w:rFonts w:hint="eastAsia" w:ascii="宋体" w:hAnsi="宋体" w:cs="宋体"/>
          <w:szCs w:val="21"/>
        </w:rPr>
        <w:t>21.4.1 查询渠道：《国家企业信用信息公示系统》（网址：www.gsxt.gov.cn/index.html）</w:t>
      </w:r>
    </w:p>
    <w:p w14:paraId="6DB647F9">
      <w:pPr>
        <w:spacing w:line="360" w:lineRule="auto"/>
        <w:ind w:firstLine="420" w:firstLineChars="200"/>
        <w:rPr>
          <w:rFonts w:hint="eastAsia" w:ascii="宋体" w:hAnsi="宋体" w:cs="宋体"/>
          <w:szCs w:val="21"/>
        </w:rPr>
      </w:pPr>
      <w:r>
        <w:rPr>
          <w:rFonts w:hint="eastAsia" w:ascii="宋体" w:hAnsi="宋体" w:cs="宋体"/>
          <w:szCs w:val="21"/>
        </w:rPr>
        <w:t>21.4.2 审查流程：</w:t>
      </w:r>
    </w:p>
    <w:p w14:paraId="0A81205E">
      <w:pPr>
        <w:spacing w:line="360" w:lineRule="auto"/>
        <w:ind w:firstLine="420" w:firstLineChars="200"/>
        <w:rPr>
          <w:rFonts w:hint="eastAsia" w:ascii="宋体" w:hAnsi="宋体" w:cs="宋体"/>
          <w:szCs w:val="21"/>
        </w:rPr>
      </w:pPr>
      <w:r>
        <w:rPr>
          <w:rFonts w:hint="eastAsia" w:ascii="宋体" w:hAnsi="宋体" w:cs="宋体"/>
          <w:szCs w:val="21"/>
        </w:rPr>
        <w:t>（1）进入《国家企业信用信息公示系统》（网址：www.gsxt.gov.cn/index.html），输入企业名称，进入企业信息主页面；</w:t>
      </w:r>
    </w:p>
    <w:p w14:paraId="1DB45F87">
      <w:pPr>
        <w:spacing w:line="360" w:lineRule="auto"/>
        <w:ind w:firstLine="420" w:firstLineChars="200"/>
        <w:rPr>
          <w:rFonts w:hint="eastAsia" w:ascii="宋体" w:hAnsi="宋体" w:cs="宋体"/>
          <w:szCs w:val="21"/>
        </w:rPr>
      </w:pPr>
      <w:r>
        <w:rPr>
          <w:rFonts w:hint="eastAsia" w:ascii="宋体" w:hAnsi="宋体" w:cs="宋体"/>
          <w:szCs w:val="21"/>
        </w:rPr>
        <w:t>（2）查看主页“股东及出资信息”栏，或年报中的“股东及出资信息”栏信息；</w:t>
      </w:r>
    </w:p>
    <w:p w14:paraId="7CA88100">
      <w:pPr>
        <w:spacing w:line="360" w:lineRule="auto"/>
        <w:ind w:firstLine="420" w:firstLineChars="200"/>
        <w:rPr>
          <w:rFonts w:hint="eastAsia" w:ascii="宋体" w:hAnsi="宋体" w:cs="宋体"/>
          <w:szCs w:val="21"/>
        </w:rPr>
      </w:pPr>
      <w:r>
        <w:rPr>
          <w:rFonts w:hint="eastAsia" w:ascii="宋体" w:hAnsi="宋体" w:cs="宋体"/>
          <w:szCs w:val="21"/>
        </w:rPr>
        <w:t>（3）将各供应商的股东及出资信息进行比对，得出审查结论；</w:t>
      </w:r>
    </w:p>
    <w:p w14:paraId="26CC3C2E">
      <w:pPr>
        <w:spacing w:line="360" w:lineRule="auto"/>
        <w:ind w:firstLine="420" w:firstLineChars="200"/>
        <w:rPr>
          <w:rFonts w:hint="eastAsia" w:ascii="宋体" w:hAnsi="宋体" w:cs="宋体"/>
          <w:szCs w:val="21"/>
        </w:rPr>
      </w:pPr>
      <w:r>
        <w:rPr>
          <w:rFonts w:hint="eastAsia" w:ascii="宋体" w:hAnsi="宋体" w:cs="宋体"/>
          <w:szCs w:val="21"/>
        </w:rPr>
        <w:t>（4）将相关资料作为评审资料打印存档。</w:t>
      </w:r>
    </w:p>
    <w:p w14:paraId="351BA1D2">
      <w:pPr>
        <w:spacing w:line="360" w:lineRule="auto"/>
        <w:ind w:firstLine="420" w:firstLineChars="200"/>
        <w:rPr>
          <w:rFonts w:hint="eastAsia" w:ascii="宋体" w:hAnsi="宋体" w:cs="宋体"/>
          <w:szCs w:val="21"/>
        </w:rPr>
      </w:pPr>
      <w:r>
        <w:rPr>
          <w:rFonts w:hint="eastAsia" w:ascii="宋体" w:hAnsi="宋体" w:cs="宋体"/>
          <w:szCs w:val="21"/>
        </w:rPr>
        <w:t>21.5 谈判小组如发现供应商提供的证明文件不齐全或不符合规定格式的，应一次性告知供应商，供应商应在规定的时间内当场补正或更正。</w:t>
      </w:r>
    </w:p>
    <w:p w14:paraId="5B335E9F">
      <w:pPr>
        <w:spacing w:line="360" w:lineRule="auto"/>
        <w:ind w:firstLine="420" w:firstLineChars="200"/>
        <w:rPr>
          <w:rFonts w:hint="eastAsia" w:ascii="宋体" w:hAnsi="宋体" w:cs="宋体"/>
          <w:szCs w:val="21"/>
        </w:rPr>
      </w:pPr>
      <w:r>
        <w:rPr>
          <w:rFonts w:hint="eastAsia" w:ascii="宋体" w:hAnsi="宋体" w:cs="宋体"/>
          <w:szCs w:val="21"/>
        </w:rPr>
        <w:t xml:space="preserve">21.6 谈判小组在对响应文件的有效性、完整性和响应程度进行审查时，可以要求供应商对响应文件中含义 </w:t>
      </w:r>
    </w:p>
    <w:p w14:paraId="4555EEE2">
      <w:pPr>
        <w:spacing w:line="360" w:lineRule="auto"/>
        <w:rPr>
          <w:rFonts w:hint="eastAsia" w:ascii="宋体" w:hAnsi="宋体" w:cs="宋体"/>
          <w:szCs w:val="21"/>
        </w:rPr>
      </w:pPr>
      <w:r>
        <w:rPr>
          <w:rFonts w:hint="eastAsia" w:ascii="宋体" w:hAnsi="宋体" w:cs="宋体"/>
          <w:szCs w:val="21"/>
        </w:rPr>
        <w:t xml:space="preserve">不明确、同类问题表述不一致或者有明显文字和计算错误的内容等作出必要的澄清、说明或者更正。供应商的 </w:t>
      </w:r>
    </w:p>
    <w:p w14:paraId="54BF037C">
      <w:pPr>
        <w:spacing w:line="360" w:lineRule="auto"/>
        <w:rPr>
          <w:rFonts w:hint="eastAsia" w:ascii="宋体" w:hAnsi="宋体" w:cs="宋体"/>
          <w:szCs w:val="21"/>
        </w:rPr>
      </w:pPr>
      <w:r>
        <w:rPr>
          <w:rFonts w:hint="eastAsia" w:ascii="宋体" w:hAnsi="宋体" w:cs="宋体"/>
          <w:szCs w:val="21"/>
        </w:rPr>
        <w:t xml:space="preserve">澄清、说明或者更正不得超出响应文件的范围或者改变响应文件的实质性内容。澄清、说明或者更正应由其法 </w:t>
      </w:r>
    </w:p>
    <w:p w14:paraId="2C497608">
      <w:pPr>
        <w:spacing w:line="360" w:lineRule="auto"/>
        <w:rPr>
          <w:rFonts w:hint="eastAsia" w:ascii="宋体" w:hAnsi="宋体" w:cs="宋体"/>
          <w:szCs w:val="21"/>
        </w:rPr>
      </w:pPr>
      <w:r>
        <w:rPr>
          <w:rFonts w:hint="eastAsia" w:ascii="宋体" w:hAnsi="宋体" w:cs="宋体"/>
          <w:szCs w:val="21"/>
        </w:rPr>
        <w:t xml:space="preserve">定代表人或相应的授权委托代表签字或者加盖供应商CA签章。由授权委托代表签字的，应当附授权委托书。 </w:t>
      </w:r>
    </w:p>
    <w:p w14:paraId="5E746B9D">
      <w:pPr>
        <w:spacing w:line="360" w:lineRule="auto"/>
        <w:ind w:firstLine="420" w:firstLineChars="200"/>
        <w:rPr>
          <w:rFonts w:hint="eastAsia" w:ascii="宋体" w:hAnsi="宋体" w:cs="宋体"/>
          <w:szCs w:val="21"/>
        </w:rPr>
      </w:pPr>
      <w:r>
        <w:rPr>
          <w:rFonts w:hint="eastAsia" w:ascii="宋体" w:hAnsi="宋体" w:cs="宋体"/>
          <w:szCs w:val="21"/>
        </w:rPr>
        <w:t xml:space="preserve">根据谈判文件规定的程序、评定成交的标准等事项与实质性响应竞争性谈判文件要求的供应商进行谈判。 </w:t>
      </w:r>
    </w:p>
    <w:p w14:paraId="0D56B3A7">
      <w:pPr>
        <w:spacing w:line="360" w:lineRule="auto"/>
        <w:rPr>
          <w:rFonts w:hint="eastAsia" w:ascii="宋体" w:hAnsi="宋体" w:cs="宋体"/>
          <w:szCs w:val="21"/>
        </w:rPr>
      </w:pPr>
      <w:r>
        <w:rPr>
          <w:rFonts w:hint="eastAsia" w:ascii="宋体" w:hAnsi="宋体" w:cs="宋体"/>
          <w:szCs w:val="21"/>
        </w:rPr>
        <w:t xml:space="preserve">未实质性响应谈判文件的响应文件按无效处理，谈判小组应当告知有关供应商。 </w:t>
      </w:r>
    </w:p>
    <w:p w14:paraId="6F171987">
      <w:pPr>
        <w:spacing w:line="360" w:lineRule="auto"/>
        <w:ind w:firstLine="420" w:firstLineChars="200"/>
        <w:rPr>
          <w:rFonts w:hint="eastAsia" w:ascii="宋体" w:hAnsi="宋体" w:cs="宋体"/>
          <w:szCs w:val="21"/>
        </w:rPr>
      </w:pPr>
      <w:r>
        <w:rPr>
          <w:rFonts w:hint="eastAsia" w:ascii="宋体" w:hAnsi="宋体" w:cs="宋体"/>
          <w:szCs w:val="21"/>
        </w:rPr>
        <w:t xml:space="preserve">谈判小组所有成员应当按已确定的谈判顺序集中与单一供应商分别进行谈判，并给予所有实质性响应竞争 </w:t>
      </w:r>
    </w:p>
    <w:p w14:paraId="21968522">
      <w:pPr>
        <w:spacing w:line="360" w:lineRule="auto"/>
        <w:rPr>
          <w:rFonts w:hint="eastAsia" w:ascii="宋体" w:hAnsi="宋体" w:cs="宋体"/>
          <w:szCs w:val="21"/>
        </w:rPr>
      </w:pPr>
      <w:r>
        <w:rPr>
          <w:rFonts w:hint="eastAsia" w:ascii="宋体" w:hAnsi="宋体" w:cs="宋体"/>
          <w:szCs w:val="21"/>
        </w:rPr>
        <w:t xml:space="preserve">性谈判文件要求的供应商平等的谈判机会。 </w:t>
      </w:r>
    </w:p>
    <w:p w14:paraId="7D2ED382">
      <w:pPr>
        <w:spacing w:line="360" w:lineRule="auto"/>
        <w:ind w:firstLine="420" w:firstLineChars="200"/>
        <w:rPr>
          <w:rFonts w:hint="eastAsia" w:ascii="宋体" w:hAnsi="宋体" w:cs="宋体"/>
          <w:szCs w:val="21"/>
        </w:rPr>
      </w:pPr>
      <w:r>
        <w:rPr>
          <w:rFonts w:hint="eastAsia" w:ascii="宋体" w:hAnsi="宋体" w:cs="宋体"/>
          <w:szCs w:val="21"/>
        </w:rPr>
        <w:t xml:space="preserve">谈判中，谈判小组不得透露与谈判有关的其他供应商的技术资料、价格和其他信息。 </w:t>
      </w:r>
    </w:p>
    <w:p w14:paraId="15E89FE2">
      <w:pPr>
        <w:spacing w:line="360" w:lineRule="auto"/>
        <w:ind w:firstLine="420" w:firstLineChars="200"/>
        <w:rPr>
          <w:rFonts w:hint="eastAsia" w:ascii="宋体" w:hAnsi="宋体" w:cs="宋体"/>
          <w:szCs w:val="21"/>
        </w:rPr>
      </w:pPr>
      <w:r>
        <w:rPr>
          <w:rFonts w:hint="eastAsia" w:ascii="宋体" w:hAnsi="宋体" w:cs="宋体"/>
          <w:szCs w:val="21"/>
        </w:rPr>
        <w:t xml:space="preserve">谈判小组对谈判过程和重要谈判内容进行记录，谈判双方在记录上签字确认。 </w:t>
      </w:r>
    </w:p>
    <w:p w14:paraId="04A118DC">
      <w:pPr>
        <w:spacing w:line="360" w:lineRule="auto"/>
        <w:ind w:firstLine="420" w:firstLineChars="200"/>
        <w:rPr>
          <w:rFonts w:hint="eastAsia"/>
        </w:rPr>
      </w:pPr>
      <w:r>
        <w:rPr>
          <w:rFonts w:hint="eastAsia" w:ascii="宋体" w:hAnsi="宋体" w:cs="宋体"/>
          <w:szCs w:val="21"/>
        </w:rPr>
        <w:t>21.7当谈判小组一致确定供应商的竞争性谈判响应文件符合竞争性谈判文件要求，无需再谈判的，谈判小组按竞争性谈判文件设定的21.11、21.16程序和评标方法确定成交候选人。第一轮谈判后竞争性谈判文件有实质性变动或仍需谈判的，谈判小组对竞争性谈判文件变动或提出谈判意见后进行第二轮谈判。</w:t>
      </w:r>
    </w:p>
    <w:p w14:paraId="4E98EE86">
      <w:pPr>
        <w:spacing w:line="360" w:lineRule="auto"/>
        <w:ind w:firstLine="420" w:firstLineChars="200"/>
        <w:rPr>
          <w:rFonts w:hint="eastAsia" w:ascii="宋体" w:hAnsi="宋体" w:cs="宋体"/>
          <w:szCs w:val="21"/>
        </w:rPr>
      </w:pPr>
      <w:r>
        <w:rPr>
          <w:rFonts w:hint="eastAsia" w:ascii="宋体" w:hAnsi="宋体" w:cs="宋体"/>
          <w:szCs w:val="21"/>
        </w:rPr>
        <w:t xml:space="preserve">21.8 在谈判过程中，谈判小组可以根据谈判文件和谈判情况实质性变动项目需求中的技术、服务要求以及 </w:t>
      </w:r>
    </w:p>
    <w:p w14:paraId="04AA7DE6">
      <w:pPr>
        <w:spacing w:line="360" w:lineRule="auto"/>
        <w:rPr>
          <w:rFonts w:hint="eastAsia" w:ascii="宋体" w:hAnsi="宋体" w:cs="宋体"/>
          <w:szCs w:val="21"/>
        </w:rPr>
      </w:pPr>
      <w:r>
        <w:rPr>
          <w:rFonts w:hint="eastAsia" w:ascii="宋体" w:hAnsi="宋体" w:cs="宋体"/>
          <w:szCs w:val="21"/>
        </w:rPr>
        <w:t xml:space="preserve">合同草案条款，但不得变动谈判文件中的其他内容。实质性变动的内容，须经采购人代表确认。 </w:t>
      </w:r>
    </w:p>
    <w:p w14:paraId="27E631A9">
      <w:pPr>
        <w:spacing w:line="360" w:lineRule="auto"/>
        <w:ind w:firstLine="420" w:firstLineChars="200"/>
        <w:rPr>
          <w:rFonts w:hint="eastAsia" w:ascii="宋体" w:hAnsi="宋体" w:cs="宋体"/>
          <w:szCs w:val="21"/>
        </w:rPr>
      </w:pPr>
      <w:r>
        <w:rPr>
          <w:rFonts w:hint="eastAsia" w:ascii="宋体" w:hAnsi="宋体" w:cs="宋体"/>
          <w:szCs w:val="21"/>
        </w:rPr>
        <w:t xml:space="preserve">对谈判文件作出的实质性变动是谈判文件的有效组成部分，谈判小组应当及时同时通知所有参加谈判的供应商。 </w:t>
      </w:r>
    </w:p>
    <w:p w14:paraId="6A956FBC">
      <w:pPr>
        <w:spacing w:line="360" w:lineRule="auto"/>
        <w:ind w:firstLine="420" w:firstLineChars="200"/>
        <w:rPr>
          <w:rFonts w:hint="eastAsia" w:ascii="宋体" w:hAnsi="宋体" w:cs="宋体"/>
          <w:szCs w:val="21"/>
        </w:rPr>
      </w:pPr>
      <w:r>
        <w:rPr>
          <w:rFonts w:hint="eastAsia" w:ascii="宋体" w:hAnsi="宋体" w:cs="宋体"/>
          <w:szCs w:val="21"/>
        </w:rPr>
        <w:t xml:space="preserve">供应商应当按照谈判文件的变动情况和谈判小组的要求重新提交响应文件，并由其法定代表人或相应的授 </w:t>
      </w:r>
    </w:p>
    <w:p w14:paraId="3E523214">
      <w:pPr>
        <w:spacing w:line="360" w:lineRule="auto"/>
        <w:rPr>
          <w:rFonts w:hint="eastAsia" w:ascii="宋体" w:hAnsi="宋体" w:cs="宋体"/>
          <w:szCs w:val="21"/>
        </w:rPr>
      </w:pPr>
      <w:r>
        <w:rPr>
          <w:rFonts w:hint="eastAsia" w:ascii="宋体" w:hAnsi="宋体" w:cs="宋体"/>
          <w:szCs w:val="21"/>
        </w:rPr>
        <w:t xml:space="preserve">权委托代表签字或者加盖供应商CA签章。逾期不交的，视同放弃谈判。 </w:t>
      </w:r>
    </w:p>
    <w:p w14:paraId="5EEECA53">
      <w:pPr>
        <w:spacing w:line="360" w:lineRule="auto"/>
        <w:ind w:firstLine="420" w:firstLineChars="200"/>
        <w:rPr>
          <w:rFonts w:hint="eastAsia" w:ascii="宋体" w:hAnsi="宋体" w:cs="宋体"/>
          <w:szCs w:val="21"/>
        </w:rPr>
      </w:pPr>
      <w:r>
        <w:rPr>
          <w:rFonts w:hint="eastAsia" w:ascii="宋体" w:hAnsi="宋体" w:cs="宋体"/>
          <w:szCs w:val="21"/>
        </w:rPr>
        <w:t>21.9 第二轮谈判</w:t>
      </w:r>
    </w:p>
    <w:p w14:paraId="182D754B">
      <w:pPr>
        <w:spacing w:line="360" w:lineRule="auto"/>
        <w:ind w:firstLine="420" w:firstLineChars="200"/>
        <w:rPr>
          <w:rFonts w:hint="eastAsia" w:ascii="宋体" w:hAnsi="宋体" w:cs="宋体"/>
          <w:szCs w:val="21"/>
        </w:rPr>
      </w:pPr>
      <w:r>
        <w:rPr>
          <w:rFonts w:hint="eastAsia" w:ascii="宋体" w:hAnsi="宋体" w:cs="宋体"/>
          <w:szCs w:val="21"/>
        </w:rPr>
        <w:t>谈判小组集中就重新提交的响应文件或谈判小组提出的谈判意见与单一响应供应商分别进行谈判。谈判小组对谈判过程和重要谈判内容进行记录，谈判双方在记录上签字确认。</w:t>
      </w:r>
    </w:p>
    <w:p w14:paraId="025888CD">
      <w:pPr>
        <w:spacing w:line="360" w:lineRule="auto"/>
        <w:ind w:firstLine="420" w:firstLineChars="200"/>
        <w:rPr>
          <w:rFonts w:hint="eastAsia" w:ascii="宋体" w:hAnsi="宋体" w:cs="宋体"/>
          <w:szCs w:val="21"/>
        </w:rPr>
      </w:pPr>
      <w:r>
        <w:rPr>
          <w:rFonts w:hint="eastAsia" w:ascii="宋体" w:hAnsi="宋体" w:cs="宋体"/>
          <w:szCs w:val="21"/>
        </w:rPr>
        <w:t>谈判后，供应商根据谈判小组统一整理的书面谈判记录要求做出书面承诺，并由其法定代表人(负责人)或授权代表签字或者加盖CA签章后按时在线递交。</w:t>
      </w:r>
    </w:p>
    <w:p w14:paraId="24F3C3CE">
      <w:pPr>
        <w:spacing w:line="360" w:lineRule="auto"/>
        <w:ind w:firstLine="420" w:firstLineChars="200"/>
        <w:rPr>
          <w:rFonts w:hint="eastAsia"/>
        </w:rPr>
      </w:pPr>
      <w:r>
        <w:rPr>
          <w:rFonts w:hint="eastAsia" w:ascii="宋体" w:hAnsi="宋体" w:cs="宋体"/>
          <w:szCs w:val="21"/>
        </w:rPr>
        <w:t>当谈判小组一致确定供应商的竞争性谈判响应文件符合竞争性谈判文件要求，无需再谈判的，谈判小组按竞争性谈判文件设定的21.11、21.16程序和评标方法确定成交候选人。第二轮谈判后竞争性谈判文件仍有实质性变动的或仍需谈判的，谈判小组对竞争性谈判文件变动或提出谈判意见后进行第三轮谈判。以此类推。</w:t>
      </w:r>
    </w:p>
    <w:p w14:paraId="68B82D09">
      <w:pPr>
        <w:spacing w:line="360" w:lineRule="auto"/>
        <w:ind w:firstLine="420" w:firstLineChars="200"/>
        <w:rPr>
          <w:rFonts w:hint="eastAsia" w:ascii="宋体" w:hAnsi="宋体" w:cs="宋体"/>
          <w:szCs w:val="21"/>
        </w:rPr>
      </w:pPr>
      <w:r>
        <w:rPr>
          <w:rFonts w:hint="eastAsia" w:ascii="宋体" w:hAnsi="宋体" w:cs="宋体"/>
          <w:szCs w:val="21"/>
        </w:rPr>
        <w:t xml:space="preserve">21.10 在采购过程中符合竞争要求的供应商或者报价未超过采购预算的供应商不足 3 家的，采购人或者采购代理机构应当终止竞争性谈判采购活动。 </w:t>
      </w:r>
    </w:p>
    <w:p w14:paraId="70128C24">
      <w:pPr>
        <w:spacing w:line="360" w:lineRule="auto"/>
        <w:ind w:firstLine="420" w:firstLineChars="200"/>
        <w:rPr>
          <w:rFonts w:hint="eastAsia" w:ascii="宋体" w:hAnsi="宋体" w:cs="宋体"/>
          <w:szCs w:val="21"/>
        </w:rPr>
      </w:pPr>
      <w:r>
        <w:rPr>
          <w:rFonts w:hint="eastAsia" w:ascii="宋体" w:hAnsi="宋体" w:cs="宋体"/>
          <w:szCs w:val="21"/>
        </w:rPr>
        <w:t xml:space="preserve">21.11 最后报价 </w:t>
      </w:r>
    </w:p>
    <w:p w14:paraId="7D02F8E2">
      <w:pPr>
        <w:spacing w:line="360" w:lineRule="auto"/>
        <w:ind w:firstLine="420" w:firstLineChars="200"/>
        <w:rPr>
          <w:rFonts w:hint="eastAsia" w:ascii="宋体" w:hAnsi="宋体" w:cs="宋体"/>
          <w:szCs w:val="21"/>
        </w:rPr>
      </w:pPr>
      <w:r>
        <w:rPr>
          <w:rFonts w:hint="eastAsia" w:ascii="宋体" w:hAnsi="宋体" w:cs="宋体"/>
          <w:szCs w:val="21"/>
        </w:rPr>
        <w:t xml:space="preserve">21.11.1 谈判文件能够详细列明采购标的的技术、服务要求的，谈判结束后，谈判小组应当要求所有继续参加谈判的供应商在规定时间内在线提交最后报价，提交最后报价的供应商不得少于 3 家。 </w:t>
      </w:r>
    </w:p>
    <w:p w14:paraId="2FE6A5CB">
      <w:pPr>
        <w:spacing w:line="360" w:lineRule="auto"/>
        <w:ind w:firstLine="420" w:firstLineChars="200"/>
        <w:rPr>
          <w:rFonts w:hint="eastAsia" w:ascii="宋体" w:hAnsi="宋体" w:cs="宋体"/>
          <w:szCs w:val="21"/>
        </w:rPr>
      </w:pPr>
      <w:r>
        <w:rPr>
          <w:rFonts w:hint="eastAsia" w:ascii="宋体" w:hAnsi="宋体" w:cs="宋体"/>
          <w:szCs w:val="21"/>
        </w:rPr>
        <w:t xml:space="preserve">21.11.2 谈判文件不能详细列明采购标的的技术、服务要求的，需由谈判供应商提供最终设计方案或解决方案的，谈判结束后，谈判小组应当按照少数服从多数的原则投票推荐 3 家以上（含 3 家）供应商的设计方案或者解决方案，并要求其在规定时间内在线提交最后报价。 </w:t>
      </w:r>
    </w:p>
    <w:p w14:paraId="4EB36F3B">
      <w:pPr>
        <w:spacing w:line="360" w:lineRule="auto"/>
        <w:ind w:firstLine="420" w:firstLineChars="200"/>
        <w:rPr>
          <w:rFonts w:hint="eastAsia" w:ascii="宋体" w:hAnsi="宋体" w:cs="宋体"/>
          <w:szCs w:val="21"/>
        </w:rPr>
      </w:pPr>
      <w:r>
        <w:rPr>
          <w:rFonts w:hint="eastAsia" w:ascii="宋体" w:hAnsi="宋体" w:cs="宋体"/>
          <w:szCs w:val="21"/>
        </w:rPr>
        <w:t xml:space="preserve">21.11.3 最后报价是供应商响应文件的有效组成部分。 </w:t>
      </w:r>
    </w:p>
    <w:p w14:paraId="5542D180">
      <w:pPr>
        <w:spacing w:line="360" w:lineRule="auto"/>
        <w:ind w:firstLine="420" w:firstLineChars="200"/>
        <w:rPr>
          <w:rFonts w:hint="eastAsia" w:ascii="宋体" w:hAnsi="宋体" w:cs="宋体"/>
          <w:szCs w:val="21"/>
        </w:rPr>
      </w:pPr>
      <w:r>
        <w:rPr>
          <w:rFonts w:hint="eastAsia" w:ascii="宋体" w:hAnsi="宋体" w:cs="宋体"/>
          <w:szCs w:val="21"/>
        </w:rPr>
        <w:t xml:space="preserve">21.12 已提交响应文件的供应商，在提交最后报价之前，可以根据谈判情况退出谈判。 </w:t>
      </w:r>
    </w:p>
    <w:p w14:paraId="180851A1">
      <w:pPr>
        <w:spacing w:line="360" w:lineRule="auto"/>
        <w:ind w:firstLine="420" w:firstLineChars="200"/>
        <w:rPr>
          <w:rFonts w:hint="eastAsia" w:ascii="宋体" w:hAnsi="宋体" w:cs="宋体"/>
          <w:szCs w:val="21"/>
        </w:rPr>
      </w:pPr>
      <w:r>
        <w:rPr>
          <w:rFonts w:hint="eastAsia" w:ascii="宋体" w:hAnsi="宋体" w:cs="宋体"/>
          <w:szCs w:val="21"/>
        </w:rPr>
        <w:t>未退出谈判的供应商应在规定时间内在广西政府采购云平台系统上提交最后报价，超出评委设定的最后报价时限或其最后报价超出采购预算导致已通过评审的响应文件无效的，按供应商在提交响应文件截止时间后撤回响应文件处理。</w:t>
      </w:r>
    </w:p>
    <w:p w14:paraId="369BD10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firstLineChars="200"/>
        <w:jc w:val="both"/>
        <w:rPr>
          <w:rFonts w:hint="eastAsia" w:ascii="宋体" w:hAnsi="宋体" w:eastAsia="宋体" w:cs="宋体"/>
          <w:b/>
          <w:bCs w:val="0"/>
          <w:i w:val="0"/>
          <w:iCs w:val="0"/>
          <w:caps w:val="0"/>
          <w:color w:val="333333"/>
          <w:spacing w:val="0"/>
          <w:sz w:val="21"/>
          <w:szCs w:val="21"/>
          <w:highlight w:val="none"/>
        </w:rPr>
      </w:pPr>
      <w:r>
        <w:rPr>
          <w:rFonts w:hint="eastAsia" w:ascii="宋体" w:hAnsi="宋体" w:cs="宋体"/>
          <w:b/>
          <w:bCs/>
          <w:color w:val="auto"/>
          <w:sz w:val="21"/>
          <w:szCs w:val="21"/>
          <w:highlight w:val="none"/>
          <w:lang w:val="en-US" w:eastAsia="zh-CN"/>
        </w:rPr>
        <w:t>21.13</w:t>
      </w:r>
      <w:r>
        <w:rPr>
          <w:rFonts w:hint="eastAsia" w:ascii="宋体" w:hAnsi="宋体" w:cs="宋体"/>
          <w:b/>
          <w:color w:val="auto"/>
          <w:sz w:val="21"/>
          <w:szCs w:val="21"/>
          <w:highlight w:val="none"/>
          <w:shd w:val="clear" w:color="auto" w:fill="FFFFFF"/>
        </w:rPr>
        <w:t>根据</w:t>
      </w:r>
      <w:r>
        <w:rPr>
          <w:rFonts w:ascii="宋体" w:hAnsi="宋体"/>
          <w:b/>
          <w:bCs/>
          <w:color w:val="auto"/>
          <w:sz w:val="21"/>
          <w:szCs w:val="21"/>
          <w:highlight w:val="none"/>
          <w:shd w:val="clear" w:color="auto" w:fill="FFFFFF"/>
        </w:rPr>
        <w:t>《</w:t>
      </w:r>
      <w:r>
        <w:rPr>
          <w:rFonts w:hint="eastAsia" w:ascii="宋体" w:hAnsi="宋体" w:cs="宋体"/>
          <w:b/>
          <w:color w:val="auto"/>
          <w:sz w:val="21"/>
          <w:szCs w:val="21"/>
          <w:highlight w:val="none"/>
          <w:shd w:val="clear" w:color="auto" w:fill="FFFFFF"/>
        </w:rPr>
        <w:t>关于推动解决政府采购异常低价问题的通知</w:t>
      </w:r>
      <w:r>
        <w:rPr>
          <w:rFonts w:ascii="宋体" w:hAnsi="宋体"/>
          <w:b/>
          <w:bCs/>
          <w:color w:val="auto"/>
          <w:sz w:val="21"/>
          <w:szCs w:val="21"/>
          <w:highlight w:val="none"/>
          <w:shd w:val="clear" w:color="auto" w:fill="FFFFFF"/>
        </w:rPr>
        <w:t>》</w:t>
      </w:r>
      <w:r>
        <w:rPr>
          <w:rFonts w:hint="eastAsia" w:ascii="宋体" w:hAnsi="宋体"/>
          <w:b/>
          <w:bCs/>
          <w:color w:val="auto"/>
          <w:sz w:val="21"/>
          <w:szCs w:val="21"/>
          <w:highlight w:val="none"/>
          <w:shd w:val="clear" w:color="auto" w:fill="FFFFFF"/>
          <w:lang w:eastAsia="zh-CN"/>
        </w:rPr>
        <w:t>（</w:t>
      </w:r>
      <w:r>
        <w:rPr>
          <w:rFonts w:ascii="宋体" w:hAnsi="宋体"/>
          <w:b/>
          <w:bCs/>
          <w:color w:val="auto"/>
          <w:sz w:val="21"/>
          <w:szCs w:val="21"/>
          <w:highlight w:val="none"/>
          <w:shd w:val="clear" w:color="auto" w:fill="FFFFFF"/>
        </w:rPr>
        <w:t>财库〔2026〕2号</w:t>
      </w:r>
      <w:r>
        <w:rPr>
          <w:rFonts w:hint="eastAsia" w:ascii="宋体" w:hAnsi="宋体"/>
          <w:b/>
          <w:bCs/>
          <w:color w:val="auto"/>
          <w:sz w:val="21"/>
          <w:szCs w:val="21"/>
          <w:highlight w:val="none"/>
          <w:shd w:val="clear" w:color="auto" w:fill="FFFFFF"/>
          <w:lang w:eastAsia="zh-CN"/>
        </w:rPr>
        <w:t>）规定</w:t>
      </w:r>
      <w:r>
        <w:rPr>
          <w:rFonts w:hint="eastAsia" w:ascii="宋体" w:hAnsi="宋体" w:cs="Calibri"/>
          <w:b/>
          <w:bCs w:val="0"/>
          <w:color w:val="auto"/>
          <w:kern w:val="0"/>
          <w:sz w:val="21"/>
          <w:szCs w:val="21"/>
          <w:highlight w:val="none"/>
        </w:rPr>
        <w:t>，</w:t>
      </w:r>
      <w:r>
        <w:rPr>
          <w:rFonts w:hint="eastAsia" w:ascii="宋体" w:hAnsi="宋体" w:eastAsia="宋体" w:cs="宋体"/>
          <w:b/>
          <w:bCs w:val="0"/>
          <w:i w:val="0"/>
          <w:iCs w:val="0"/>
          <w:caps w:val="0"/>
          <w:color w:val="333333"/>
          <w:spacing w:val="0"/>
          <w:sz w:val="21"/>
          <w:szCs w:val="21"/>
          <w:highlight w:val="none"/>
          <w:shd w:val="clear" w:color="auto" w:fill="FFFFFF"/>
        </w:rPr>
        <w:t>政府采购评审中出现下列情形之一的，评审委员会应当启动异常低价投标（响应）审查程序： </w:t>
      </w:r>
    </w:p>
    <w:p w14:paraId="39944EF0">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1</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投标（响应）报价低于全部通过符合性审查供应商投标（响应）报价平均值50%的，即投标（响应）报价&lt;全部通过符合性审查供应商投标（响应）报价平均值</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50%； </w:t>
      </w:r>
    </w:p>
    <w:p w14:paraId="6E4E40F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2</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投标（响应）报价低于通过符合性审查的次低报价供应商投标（响应）报价50%的，即投标（响应）报价&lt;通过符合性审查的次低报价供应商投标（响应）报价</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50%； </w:t>
      </w:r>
    </w:p>
    <w:p w14:paraId="7577DF1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val="en-US" w:eastAsia="zh-CN"/>
        </w:rPr>
        <w:t xml:space="preserve">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3</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投标（响应）报价低于采购项目最高限价45%的，即投标（响应）报价&lt;采购项目最高限价</w:t>
      </w:r>
      <w:r>
        <w:rPr>
          <w:rFonts w:hint="eastAsia" w:ascii="宋体" w:hAnsi="宋体"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45%； </w:t>
      </w:r>
    </w:p>
    <w:p w14:paraId="1770CDB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color="auto" w:fill="FFFFFF"/>
        </w:rPr>
        <w:t>　　</w:t>
      </w:r>
      <w:r>
        <w:rPr>
          <w:rFonts w:hint="eastAsia" w:eastAsia="宋体" w:cs="宋体"/>
          <w:i w:val="0"/>
          <w:iCs w:val="0"/>
          <w:caps w:val="0"/>
          <w:color w:val="333333"/>
          <w:spacing w:val="0"/>
          <w:sz w:val="21"/>
          <w:szCs w:val="21"/>
          <w:shd w:val="clear" w:color="auto" w:fill="FFFFFF"/>
          <w:lang w:eastAsia="zh-CN"/>
        </w:rPr>
        <w:t>（</w:t>
      </w:r>
      <w:r>
        <w:rPr>
          <w:rFonts w:hint="eastAsia" w:eastAsia="宋体" w:cs="宋体"/>
          <w:i w:val="0"/>
          <w:iCs w:val="0"/>
          <w:caps w:val="0"/>
          <w:color w:val="333333"/>
          <w:spacing w:val="0"/>
          <w:sz w:val="21"/>
          <w:szCs w:val="21"/>
          <w:shd w:val="clear" w:color="auto" w:fill="FFFFFF"/>
          <w:lang w:val="en-US" w:eastAsia="zh-CN"/>
        </w:rPr>
        <w:t>4</w:t>
      </w:r>
      <w:r>
        <w:rPr>
          <w:rFonts w:hint="eastAsia" w:eastAsia="宋体" w:cs="宋体"/>
          <w:i w:val="0"/>
          <w:iCs w:val="0"/>
          <w:caps w:val="0"/>
          <w:color w:val="333333"/>
          <w:spacing w:val="0"/>
          <w:sz w:val="21"/>
          <w:szCs w:val="21"/>
          <w:shd w:val="clear" w:color="auto" w:fill="FFFFFF"/>
          <w:lang w:eastAsia="zh-CN"/>
        </w:rPr>
        <w:t>）</w:t>
      </w:r>
      <w:r>
        <w:rPr>
          <w:rFonts w:hint="eastAsia" w:ascii="宋体" w:hAnsi="宋体" w:eastAsia="宋体" w:cs="宋体"/>
          <w:i w:val="0"/>
          <w:iCs w:val="0"/>
          <w:caps w:val="0"/>
          <w:color w:val="333333"/>
          <w:spacing w:val="0"/>
          <w:sz w:val="21"/>
          <w:szCs w:val="21"/>
          <w:shd w:val="clear" w:color="auto" w:fill="FFFFFF"/>
        </w:rPr>
        <w:t>评审委员会基于专业判断，认为供应商报价过低，有可能影响产品质量或者不能诚信履约的其他情形。 </w:t>
      </w:r>
    </w:p>
    <w:p w14:paraId="2F71EFEA">
      <w:pPr>
        <w:spacing w:line="360" w:lineRule="auto"/>
        <w:ind w:firstLine="420" w:firstLineChars="200"/>
        <w:jc w:val="left"/>
        <w:rPr>
          <w:rFonts w:hint="eastAsia"/>
        </w:rPr>
      </w:pPr>
      <w:bookmarkStart w:id="378" w:name="_Toc13532"/>
      <w:r>
        <w:rPr>
          <w:rFonts w:hint="eastAsia"/>
        </w:rPr>
        <w:t>评审委员会启动异常低价投标（响应）审查后，属于前述第</w:t>
      </w:r>
      <w:r>
        <w:rPr>
          <w:rFonts w:hint="eastAsia" w:ascii="宋体" w:hAnsi="宋体" w:eastAsia="宋体" w:cs="宋体"/>
        </w:rPr>
        <w:t>1项至第4项情形的，应当要求相关供应商在评审委员会要求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投标（响应）供应商不能提供书面说明、证明材料，或者提供的书面说明、证明材料不能证明其报价合理性的，评审委员会应当将其作为无效</w:t>
      </w:r>
      <w:r>
        <w:rPr>
          <w:rFonts w:hint="eastAsia"/>
        </w:rPr>
        <w:t>投标（响应）处理。 异常低价投标（响应）审查的启动原因、审查意见和审查结果应当在评审报告中记录</w:t>
      </w:r>
      <w:r>
        <w:rPr>
          <w:rFonts w:hint="eastAsia"/>
          <w:lang w:eastAsia="zh-CN"/>
        </w:rPr>
        <w:t>。</w:t>
      </w:r>
      <w:bookmarkEnd w:id="378"/>
    </w:p>
    <w:p w14:paraId="3EC20754">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4</w:t>
      </w:r>
      <w:r>
        <w:rPr>
          <w:rFonts w:hint="eastAsia" w:ascii="宋体" w:hAnsi="宋体" w:cs="宋体"/>
          <w:szCs w:val="21"/>
        </w:rPr>
        <w:t xml:space="preserve"> 评审报告 </w:t>
      </w:r>
    </w:p>
    <w:p w14:paraId="32A57A4E">
      <w:pPr>
        <w:spacing w:line="360" w:lineRule="auto"/>
        <w:ind w:firstLine="420" w:firstLineChars="200"/>
        <w:rPr>
          <w:rFonts w:hint="eastAsia" w:ascii="宋体" w:hAnsi="宋体" w:cs="宋体"/>
          <w:szCs w:val="21"/>
        </w:rPr>
      </w:pPr>
      <w:r>
        <w:rPr>
          <w:rFonts w:hint="eastAsia" w:ascii="宋体" w:hAnsi="宋体" w:cs="宋体"/>
          <w:szCs w:val="21"/>
        </w:rPr>
        <w:t xml:space="preserve">谈判小组应当从质量和服务均能满足谈判文件全部实质性响应要求的供应商中，按照最后报价由低到高的 </w:t>
      </w:r>
    </w:p>
    <w:p w14:paraId="606E7AF2">
      <w:pPr>
        <w:spacing w:line="360" w:lineRule="auto"/>
        <w:rPr>
          <w:rFonts w:hint="eastAsia" w:ascii="宋体" w:hAnsi="宋体" w:cs="宋体"/>
          <w:szCs w:val="21"/>
        </w:rPr>
      </w:pPr>
      <w:r>
        <w:rPr>
          <w:rFonts w:hint="eastAsia" w:ascii="宋体" w:hAnsi="宋体" w:cs="宋体"/>
          <w:szCs w:val="21"/>
        </w:rPr>
        <w:t xml:space="preserve">顺序提出 3 名以上（含 3 名）成交候选人，并编写评审报告。 </w:t>
      </w:r>
    </w:p>
    <w:p w14:paraId="4910265B">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5</w:t>
      </w:r>
      <w:r>
        <w:rPr>
          <w:rFonts w:hint="eastAsia" w:ascii="宋体" w:hAnsi="宋体" w:cs="宋体"/>
          <w:szCs w:val="21"/>
        </w:rPr>
        <w:t xml:space="preserve"> 在评审过程中出现法律法规和谈判文件均没有明确规定的情形时，由谈判小组现场协商解决，协商 </w:t>
      </w:r>
    </w:p>
    <w:p w14:paraId="2673AAA2">
      <w:pPr>
        <w:spacing w:line="360" w:lineRule="auto"/>
        <w:rPr>
          <w:rFonts w:hint="eastAsia" w:ascii="宋体" w:hAnsi="宋体" w:cs="宋体"/>
          <w:szCs w:val="21"/>
        </w:rPr>
      </w:pPr>
      <w:r>
        <w:rPr>
          <w:rFonts w:hint="eastAsia" w:ascii="宋体" w:hAnsi="宋体" w:cs="宋体"/>
          <w:szCs w:val="21"/>
        </w:rPr>
        <w:t xml:space="preserve">不一致的，由全体谈判小组投票表决，以得票率二分之一以上专家的意见为准。 </w:t>
      </w:r>
    </w:p>
    <w:p w14:paraId="0C3ED68F">
      <w:pPr>
        <w:spacing w:line="360" w:lineRule="auto"/>
        <w:ind w:firstLine="420" w:firstLineChars="200"/>
        <w:rPr>
          <w:rFonts w:hint="eastAsia" w:ascii="宋体" w:hAnsi="宋体" w:cs="宋体"/>
          <w:szCs w:val="21"/>
        </w:rPr>
      </w:pPr>
      <w:r>
        <w:rPr>
          <w:rFonts w:hint="eastAsia" w:ascii="宋体" w:hAnsi="宋体" w:cs="宋体"/>
          <w:szCs w:val="21"/>
        </w:rPr>
        <w:t>21.1</w:t>
      </w:r>
      <w:r>
        <w:rPr>
          <w:rFonts w:hint="eastAsia" w:ascii="宋体" w:hAnsi="宋体" w:cs="宋体"/>
          <w:szCs w:val="21"/>
          <w:lang w:val="en-US" w:eastAsia="zh-CN"/>
        </w:rPr>
        <w:t>6</w:t>
      </w:r>
      <w:r>
        <w:rPr>
          <w:rFonts w:hint="eastAsia" w:ascii="宋体" w:hAnsi="宋体" w:cs="宋体"/>
          <w:szCs w:val="21"/>
        </w:rPr>
        <w:t xml:space="preserve">采购代理机构发现谈判小组有明显的违规倾向或歧视现象，或不按评审办法进行，或其他不正常行 </w:t>
      </w:r>
    </w:p>
    <w:p w14:paraId="379A493D">
      <w:pPr>
        <w:spacing w:line="360" w:lineRule="auto"/>
        <w:rPr>
          <w:rFonts w:hint="eastAsia" w:ascii="宋体" w:hAnsi="宋体" w:cs="宋体"/>
          <w:szCs w:val="21"/>
        </w:rPr>
      </w:pPr>
      <w:r>
        <w:rPr>
          <w:rFonts w:hint="eastAsia" w:ascii="宋体" w:hAnsi="宋体" w:cs="宋体"/>
          <w:szCs w:val="21"/>
        </w:rPr>
        <w:t>为的，应当及时制止。如制止无效，应及时向本级财政部门报告。</w:t>
      </w:r>
    </w:p>
    <w:p w14:paraId="5173F5B7">
      <w:pPr>
        <w:spacing w:line="360" w:lineRule="auto"/>
        <w:ind w:firstLine="420" w:firstLineChars="200"/>
      </w:pPr>
      <w:r>
        <w:rPr>
          <w:rFonts w:hint="eastAsia" w:ascii="宋体" w:hAnsi="宋体" w:cs="宋体"/>
          <w:szCs w:val="21"/>
        </w:rPr>
        <w:t>21.1</w:t>
      </w:r>
      <w:r>
        <w:rPr>
          <w:rFonts w:hint="eastAsia" w:ascii="宋体" w:hAnsi="宋体" w:cs="宋体"/>
          <w:szCs w:val="21"/>
          <w:lang w:val="en-US" w:eastAsia="zh-CN"/>
        </w:rPr>
        <w:t>7</w:t>
      </w:r>
      <w:r>
        <w:rPr>
          <w:rFonts w:hint="eastAsia" w:ascii="宋体" w:hAnsi="宋体" w:cs="宋体"/>
          <w:szCs w:val="21"/>
        </w:rPr>
        <w:t>本采购项目的评审依据为竞争性谈判文件和竞争性谈判响应文件，采用的评标方法为</w:t>
      </w:r>
      <w:r>
        <w:rPr>
          <w:rFonts w:hint="eastAsia" w:ascii="宋体" w:hAnsi="宋体" w:cs="宋体"/>
          <w:b/>
          <w:bCs/>
          <w:szCs w:val="21"/>
        </w:rPr>
        <w:t>最低评标价法。</w:t>
      </w:r>
    </w:p>
    <w:p w14:paraId="5D8FDEC2">
      <w:pPr>
        <w:pStyle w:val="5"/>
        <w:spacing w:before="0" w:after="0" w:line="360" w:lineRule="auto"/>
        <w:ind w:firstLine="420" w:firstLineChars="200"/>
        <w:rPr>
          <w:rFonts w:hint="eastAsia" w:ascii="宋体" w:hAnsi="宋体" w:cs="宋体"/>
          <w:sz w:val="21"/>
          <w:szCs w:val="21"/>
        </w:rPr>
      </w:pPr>
      <w:bookmarkStart w:id="379" w:name="_Toc27294"/>
      <w:bookmarkStart w:id="380" w:name="_Toc15861"/>
      <w:bookmarkStart w:id="381" w:name="_Toc12391"/>
      <w:bookmarkStart w:id="382" w:name="_Toc16483"/>
      <w:bookmarkStart w:id="383" w:name="_Toc24971"/>
      <w:bookmarkStart w:id="384" w:name="_Toc6849"/>
      <w:bookmarkStart w:id="385" w:name="_Toc9410"/>
      <w:bookmarkStart w:id="386" w:name="_Toc8304"/>
      <w:bookmarkStart w:id="387" w:name="_Toc12665"/>
      <w:bookmarkStart w:id="388" w:name="_Toc11133"/>
      <w:bookmarkStart w:id="389" w:name="_Toc21103"/>
      <w:bookmarkStart w:id="390" w:name="_Toc23879"/>
      <w:r>
        <w:rPr>
          <w:rFonts w:hint="eastAsia" w:ascii="宋体" w:hAnsi="宋体" w:cs="宋体"/>
          <w:sz w:val="21"/>
          <w:szCs w:val="21"/>
        </w:rPr>
        <w:t>22. 确定成交供应商</w:t>
      </w:r>
      <w:bookmarkEnd w:id="379"/>
      <w:bookmarkEnd w:id="380"/>
      <w:bookmarkEnd w:id="381"/>
      <w:bookmarkEnd w:id="382"/>
      <w:bookmarkEnd w:id="383"/>
      <w:bookmarkEnd w:id="384"/>
      <w:bookmarkEnd w:id="385"/>
      <w:bookmarkEnd w:id="386"/>
      <w:bookmarkEnd w:id="387"/>
      <w:bookmarkEnd w:id="388"/>
      <w:bookmarkEnd w:id="389"/>
      <w:bookmarkEnd w:id="390"/>
    </w:p>
    <w:p w14:paraId="0F00FA3A">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.1</w:t>
      </w:r>
      <w:r>
        <w:rPr>
          <w:rFonts w:hint="eastAsia" w:ascii="宋体" w:hAnsi="宋体" w:cs="宋体"/>
          <w:szCs w:val="21"/>
        </w:rPr>
        <w:t>采购单位应当确定谈判小组推荐排名第一的成交候选人为成交供应商。</w:t>
      </w:r>
    </w:p>
    <w:p w14:paraId="5010FB3F">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.2</w:t>
      </w:r>
      <w:r>
        <w:rPr>
          <w:rFonts w:hint="eastAsia" w:ascii="宋体" w:hAnsi="宋体" w:cs="宋体"/>
          <w:szCs w:val="21"/>
        </w:rPr>
        <w:t>排名第一的成交候选人放弃成交、因不可抗力提出不能履行合同，或信用信息记录不符合相关规定的，或者谈判文件规定应当提交履约保证金而在规定的期限内未能提交的，采购单位可以确定排名第二的成交候选人为成交供应商。</w:t>
      </w:r>
    </w:p>
    <w:p w14:paraId="293478D7">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2</w:t>
      </w:r>
      <w:r>
        <w:rPr>
          <w:rFonts w:ascii="宋体" w:hAnsi="宋体" w:cs="宋体"/>
          <w:szCs w:val="21"/>
        </w:rPr>
        <w:t>.3</w:t>
      </w:r>
      <w:r>
        <w:rPr>
          <w:rFonts w:hint="eastAsia" w:ascii="宋体" w:hAnsi="宋体" w:cs="宋体"/>
          <w:szCs w:val="21"/>
        </w:rPr>
        <w:t>排名第二的成交候选人因前款规定的同样原因不能签订合同的，采购单位可以确定排名第三的成交候选人为成交供应商。</w:t>
      </w:r>
    </w:p>
    <w:p w14:paraId="626303C4">
      <w:pPr>
        <w:pStyle w:val="5"/>
        <w:spacing w:before="0" w:after="0" w:line="360" w:lineRule="auto"/>
        <w:ind w:firstLine="420" w:firstLineChars="200"/>
        <w:rPr>
          <w:rFonts w:hint="eastAsia" w:ascii="宋体" w:hAnsi="宋体" w:cs="宋体"/>
          <w:sz w:val="21"/>
          <w:szCs w:val="21"/>
        </w:rPr>
      </w:pPr>
      <w:bookmarkStart w:id="391" w:name="_Toc12126"/>
      <w:bookmarkStart w:id="392" w:name="_Toc22278"/>
      <w:bookmarkStart w:id="393" w:name="_Toc12951"/>
      <w:bookmarkStart w:id="394" w:name="_Toc2063"/>
      <w:bookmarkStart w:id="395" w:name="_Toc18158"/>
      <w:bookmarkStart w:id="396" w:name="_Toc7358"/>
      <w:bookmarkStart w:id="397" w:name="_Toc12495"/>
      <w:bookmarkStart w:id="398" w:name="_Toc23777"/>
      <w:bookmarkStart w:id="399" w:name="_Toc24946"/>
      <w:bookmarkStart w:id="400" w:name="_Toc25743"/>
      <w:bookmarkStart w:id="401" w:name="_Toc21736"/>
      <w:bookmarkStart w:id="402" w:name="_Toc15473"/>
      <w:r>
        <w:rPr>
          <w:rFonts w:hint="eastAsia" w:ascii="宋体" w:hAnsi="宋体" w:cs="宋体"/>
          <w:sz w:val="21"/>
          <w:szCs w:val="21"/>
        </w:rPr>
        <w:t>23. 属于下列情况之一者，响应文件无效：</w:t>
      </w:r>
      <w:bookmarkEnd w:id="391"/>
      <w:bookmarkEnd w:id="392"/>
      <w:bookmarkEnd w:id="393"/>
      <w:bookmarkEnd w:id="394"/>
      <w:bookmarkEnd w:id="395"/>
      <w:bookmarkEnd w:id="396"/>
      <w:bookmarkEnd w:id="397"/>
      <w:bookmarkEnd w:id="398"/>
      <w:bookmarkEnd w:id="399"/>
      <w:bookmarkEnd w:id="400"/>
      <w:bookmarkEnd w:id="401"/>
      <w:bookmarkEnd w:id="402"/>
    </w:p>
    <w:p w14:paraId="062B2CE7">
      <w:pPr>
        <w:spacing w:line="360" w:lineRule="auto"/>
        <w:ind w:firstLine="420" w:firstLineChars="200"/>
        <w:rPr>
          <w:rFonts w:ascii="宋体" w:cs="宋体"/>
          <w:szCs w:val="21"/>
        </w:rPr>
      </w:pPr>
      <w:r>
        <w:rPr>
          <w:rFonts w:hint="eastAsia" w:ascii="宋体" w:hAnsi="宋体" w:cs="宋体"/>
          <w:szCs w:val="21"/>
        </w:rPr>
        <w:t>（1）未按谈判文件规定完整提交响应文件或未按规定要求在线提交、加盖供应商CA签章的；</w:t>
      </w:r>
    </w:p>
    <w:p w14:paraId="01FDD842">
      <w:pPr>
        <w:spacing w:line="360" w:lineRule="auto"/>
        <w:ind w:firstLine="420" w:firstLineChars="200"/>
        <w:rPr>
          <w:rFonts w:ascii="宋体" w:cs="宋体"/>
          <w:szCs w:val="21"/>
        </w:rPr>
      </w:pPr>
      <w:r>
        <w:rPr>
          <w:rFonts w:hint="eastAsia" w:ascii="宋体" w:hAnsi="宋体" w:cs="宋体"/>
          <w:szCs w:val="21"/>
        </w:rPr>
        <w:t>（2）不具备谈判文件规定的资格要求的；</w:t>
      </w:r>
    </w:p>
    <w:p w14:paraId="78660F8F">
      <w:pPr>
        <w:spacing w:line="360" w:lineRule="auto"/>
        <w:ind w:firstLine="420" w:firstLineChars="200"/>
        <w:rPr>
          <w:rFonts w:ascii="宋体" w:cs="宋体"/>
          <w:szCs w:val="21"/>
        </w:rPr>
      </w:pPr>
      <w:r>
        <w:rPr>
          <w:rFonts w:hint="eastAsia" w:ascii="宋体" w:hAnsi="宋体" w:cs="宋体"/>
          <w:szCs w:val="21"/>
        </w:rPr>
        <w:t>（3）响应文件未按谈判文件的内容和要求编制，或提供虚假材料的；</w:t>
      </w:r>
    </w:p>
    <w:p w14:paraId="1506CEB4">
      <w:pPr>
        <w:spacing w:line="360" w:lineRule="auto"/>
        <w:ind w:firstLine="420" w:firstLineChars="200"/>
        <w:rPr>
          <w:rFonts w:ascii="宋体" w:cs="宋体"/>
          <w:szCs w:val="21"/>
        </w:rPr>
      </w:pPr>
      <w:r>
        <w:rPr>
          <w:rFonts w:hint="eastAsia" w:ascii="宋体" w:hAnsi="宋体" w:cs="宋体"/>
          <w:szCs w:val="21"/>
        </w:rPr>
        <w:t>（4）响应文件有效期、交货时间、免费保修期（升级、维护）期/维护期、售后服务不能满足谈判文件要求的；</w:t>
      </w:r>
    </w:p>
    <w:p w14:paraId="06C778A8">
      <w:pPr>
        <w:spacing w:line="360" w:lineRule="auto"/>
        <w:ind w:firstLine="420" w:firstLineChars="200"/>
        <w:rPr>
          <w:rFonts w:ascii="宋体" w:cs="宋体"/>
          <w:szCs w:val="21"/>
        </w:rPr>
      </w:pPr>
      <w:r>
        <w:rPr>
          <w:rFonts w:hint="eastAsia" w:ascii="宋体" w:hAnsi="宋体" w:cs="宋体"/>
          <w:szCs w:val="21"/>
        </w:rPr>
        <w:t>（5）供应商未就“采购需求”中的所有内容作完整唯一报价的，或报价超出采购预算总金额的；</w:t>
      </w:r>
    </w:p>
    <w:p w14:paraId="3725222D">
      <w:pPr>
        <w:spacing w:line="360" w:lineRule="auto"/>
        <w:ind w:firstLine="420" w:firstLineChars="200"/>
        <w:rPr>
          <w:rFonts w:ascii="宋体" w:cs="宋体"/>
          <w:szCs w:val="21"/>
        </w:rPr>
      </w:pPr>
      <w:r>
        <w:rPr>
          <w:rFonts w:hint="eastAsia" w:ascii="宋体" w:hAnsi="宋体" w:cs="宋体"/>
          <w:szCs w:val="21"/>
        </w:rPr>
        <w:t>（6）未在谈判小组规定的时间内重新提交响应文件的；</w:t>
      </w:r>
    </w:p>
    <w:p w14:paraId="7B9C9A50">
      <w:pPr>
        <w:spacing w:line="360" w:lineRule="auto"/>
        <w:ind w:firstLine="420" w:firstLineChars="200"/>
        <w:rPr>
          <w:rFonts w:hint="eastAsia" w:ascii="宋体" w:hAnsi="宋体" w:cs="宋体"/>
          <w:szCs w:val="21"/>
        </w:rPr>
      </w:pPr>
      <w:r>
        <w:rPr>
          <w:rFonts w:hint="eastAsia" w:ascii="宋体" w:hAnsi="宋体" w:cs="宋体"/>
          <w:szCs w:val="21"/>
        </w:rPr>
        <w:t>（7）超越了按照法律法规规定必须获得行政许可或者行政审批的经营范围的；</w:t>
      </w:r>
    </w:p>
    <w:p w14:paraId="4DF249BF">
      <w:pPr>
        <w:spacing w:line="360" w:lineRule="auto"/>
        <w:ind w:firstLine="420" w:firstLineChars="200"/>
        <w:rPr>
          <w:rFonts w:ascii="宋体" w:cs="宋体"/>
          <w:szCs w:val="21"/>
        </w:rPr>
      </w:pPr>
      <w:r>
        <w:rPr>
          <w:rFonts w:hint="eastAsia" w:ascii="宋体" w:hAnsi="宋体" w:cs="宋体"/>
          <w:szCs w:val="21"/>
        </w:rPr>
        <w:t>（8）未满足谈判文件全部实质性要求的或者响应文件有采购人不能接受的附加条件的；</w:t>
      </w:r>
    </w:p>
    <w:p w14:paraId="6017FDCC">
      <w:pPr>
        <w:spacing w:line="360" w:lineRule="auto"/>
        <w:ind w:firstLine="420" w:firstLineChars="200"/>
        <w:rPr>
          <w:rFonts w:hint="eastAsia"/>
        </w:rPr>
      </w:pPr>
      <w:r>
        <w:rPr>
          <w:rFonts w:hint="eastAsia" w:ascii="宋体" w:hAnsi="宋体" w:cs="宋体"/>
          <w:szCs w:val="21"/>
        </w:rPr>
        <w:t>（9）响应文件实质性要求未做变动，供应商最后报价高于第一次报价的；</w:t>
      </w:r>
    </w:p>
    <w:p w14:paraId="5F004446">
      <w:pPr>
        <w:spacing w:line="360" w:lineRule="auto"/>
        <w:ind w:firstLine="420" w:firstLineChars="200"/>
        <w:rPr>
          <w:rFonts w:hint="eastAsia" w:ascii="宋体" w:hAnsi="宋体" w:cs="宋体"/>
          <w:szCs w:val="21"/>
        </w:rPr>
      </w:pPr>
      <w:r>
        <w:rPr>
          <w:rFonts w:hint="eastAsia" w:ascii="宋体" w:hAnsi="宋体" w:cs="宋体"/>
          <w:szCs w:val="21"/>
        </w:rPr>
        <w:t>（10）不符合法律、法规和谈判文件规定的其他实质性要求和条件的。</w:t>
      </w:r>
    </w:p>
    <w:p w14:paraId="270A26C8">
      <w:pPr>
        <w:spacing w:line="360" w:lineRule="auto"/>
        <w:ind w:firstLine="420" w:firstLineChars="200"/>
        <w:rPr>
          <w:rFonts w:ascii="宋体" w:cs="宋体"/>
          <w:b/>
          <w:bCs/>
          <w:szCs w:val="21"/>
        </w:rPr>
      </w:pPr>
      <w:r>
        <w:rPr>
          <w:rFonts w:hint="eastAsia" w:ascii="宋体" w:hAnsi="宋体" w:cs="宋体"/>
          <w:b/>
          <w:bCs/>
          <w:szCs w:val="21"/>
        </w:rPr>
        <w:t>供应商有下列情形之一的视为供应商相互串通谈判，响应文件将被视为无效：</w:t>
      </w:r>
    </w:p>
    <w:p w14:paraId="094E545D">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）不同供应商的响应文件由同一单位或者个人编制；或不同供应商报名的</w:t>
      </w:r>
      <w:r>
        <w:rPr>
          <w:rFonts w:ascii="宋体" w:hAnsi="宋体" w:cs="宋体"/>
          <w:szCs w:val="21"/>
        </w:rPr>
        <w:t>IP</w:t>
      </w:r>
      <w:r>
        <w:rPr>
          <w:rFonts w:hint="eastAsia" w:ascii="宋体" w:hAnsi="宋体" w:cs="宋体"/>
          <w:szCs w:val="21"/>
        </w:rPr>
        <w:t>地址一致的；</w:t>
      </w:r>
    </w:p>
    <w:p w14:paraId="2C5289A5">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）不同供应商委托同一单位或者个人办理谈判事宜；</w:t>
      </w:r>
    </w:p>
    <w:p w14:paraId="69B58EC2">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）不同的供应商的响应文件载明的项目管理员为同一个人；</w:t>
      </w:r>
    </w:p>
    <w:p w14:paraId="7820BBC1">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）不同供应商的响应文件异常一致或竞标报价呈规律性差异；</w:t>
      </w:r>
    </w:p>
    <w:p w14:paraId="1FC2C02E">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）不同供应商的响应文件相互</w:t>
      </w:r>
      <w:r>
        <w:rPr>
          <w:rFonts w:hint="eastAsia"/>
        </w:rPr>
        <w:t>混编</w:t>
      </w:r>
      <w:r>
        <w:rPr>
          <w:rFonts w:hint="eastAsia" w:ascii="宋体" w:hAnsi="宋体" w:cs="宋体"/>
          <w:szCs w:val="21"/>
        </w:rPr>
        <w:t>；</w:t>
      </w:r>
    </w:p>
    <w:p w14:paraId="12D20B62">
      <w:pPr>
        <w:spacing w:line="360" w:lineRule="auto"/>
        <w:ind w:firstLine="420" w:firstLineChars="200"/>
        <w:rPr>
          <w:rFonts w:hint="eastAsia" w:ascii="宋体" w:cs="宋体"/>
          <w:szCs w:val="21"/>
        </w:rPr>
      </w:pPr>
      <w:r>
        <w:rPr>
          <w:rFonts w:hint="eastAsia" w:ascii="宋体" w:hAnsi="宋体" w:cs="宋体"/>
          <w:szCs w:val="21"/>
        </w:rPr>
        <w:t>（</w:t>
      </w:r>
      <w:r>
        <w:rPr>
          <w:rFonts w:ascii="宋体" w:hAnsi="宋体" w:cs="宋体"/>
          <w:szCs w:val="21"/>
        </w:rPr>
        <w:t>6</w:t>
      </w:r>
      <w:r>
        <w:rPr>
          <w:rFonts w:hint="eastAsia" w:ascii="宋体" w:hAnsi="宋体" w:cs="宋体"/>
          <w:szCs w:val="21"/>
        </w:rPr>
        <w:t>）不同供应商的谈判保证金从同一单位或者个人账户转出。</w:t>
      </w:r>
    </w:p>
    <w:p w14:paraId="657F83FB">
      <w:pPr>
        <w:pStyle w:val="5"/>
        <w:spacing w:before="0" w:after="0" w:line="360" w:lineRule="auto"/>
        <w:ind w:firstLine="420" w:firstLineChars="200"/>
        <w:rPr>
          <w:rFonts w:hint="eastAsia" w:ascii="宋体" w:hAnsi="宋体" w:cs="宋体"/>
          <w:sz w:val="21"/>
          <w:szCs w:val="21"/>
        </w:rPr>
      </w:pPr>
      <w:bookmarkStart w:id="403" w:name="_Toc3389"/>
      <w:bookmarkStart w:id="404" w:name="_Toc3253"/>
      <w:bookmarkStart w:id="405" w:name="_Toc15404"/>
      <w:bookmarkStart w:id="406" w:name="_Toc17677"/>
      <w:bookmarkStart w:id="407" w:name="_Toc3170"/>
      <w:bookmarkStart w:id="408" w:name="_Toc20517"/>
      <w:bookmarkStart w:id="409" w:name="_Toc26708"/>
      <w:bookmarkStart w:id="410" w:name="_Toc28105"/>
      <w:bookmarkStart w:id="411" w:name="_Toc25805"/>
      <w:bookmarkStart w:id="412" w:name="_Toc18308"/>
      <w:bookmarkStart w:id="413" w:name="_Toc25889"/>
      <w:bookmarkStart w:id="414" w:name="_Toc31795"/>
      <w:r>
        <w:rPr>
          <w:rFonts w:hint="eastAsia" w:ascii="宋体" w:hAnsi="宋体" w:cs="宋体"/>
          <w:sz w:val="21"/>
          <w:szCs w:val="21"/>
        </w:rPr>
        <w:t>24. 出现下列情形之一的，采购人或者采购代理机构应当终止竞争性谈判采购活动，发布项目终止公告并说明原因，重新开展采购活动：</w:t>
      </w:r>
      <w:bookmarkEnd w:id="403"/>
      <w:bookmarkEnd w:id="404"/>
      <w:bookmarkEnd w:id="405"/>
      <w:bookmarkEnd w:id="406"/>
      <w:bookmarkEnd w:id="407"/>
      <w:bookmarkEnd w:id="408"/>
      <w:bookmarkEnd w:id="409"/>
      <w:bookmarkEnd w:id="410"/>
      <w:bookmarkEnd w:id="411"/>
      <w:bookmarkEnd w:id="412"/>
      <w:bookmarkEnd w:id="413"/>
      <w:bookmarkEnd w:id="414"/>
    </w:p>
    <w:p w14:paraId="21B94F2F">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）因情况变化，不再符合规定的竞争性谈判采购方式适用情形的；</w:t>
      </w:r>
    </w:p>
    <w:p w14:paraId="4267B3F5">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）出现影响采购公正的违法、违规行为的；</w:t>
      </w:r>
      <w:r>
        <w:rPr>
          <w:rFonts w:ascii="宋体" w:hAnsi="宋体" w:cs="宋体"/>
          <w:szCs w:val="21"/>
        </w:rPr>
        <w:t xml:space="preserve"> </w:t>
      </w:r>
    </w:p>
    <w:p w14:paraId="3878E98D">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）在采购过程中符合竞争要求的供应商或者报价未超过采购预算的供应商不足</w:t>
      </w:r>
      <w:r>
        <w:rPr>
          <w:rFonts w:ascii="宋体" w:hAnsi="宋体" w:cs="宋体"/>
          <w:szCs w:val="21"/>
        </w:rPr>
        <w:t>3</w:t>
      </w:r>
      <w:r>
        <w:rPr>
          <w:rFonts w:hint="eastAsia" w:ascii="宋体" w:hAnsi="宋体" w:cs="宋体"/>
          <w:szCs w:val="21"/>
        </w:rPr>
        <w:t>家的。</w:t>
      </w:r>
      <w:r>
        <w:rPr>
          <w:rFonts w:ascii="宋体" w:hAnsi="宋体" w:cs="宋体"/>
          <w:szCs w:val="21"/>
        </w:rPr>
        <w:t xml:space="preserve"> </w:t>
      </w:r>
    </w:p>
    <w:p w14:paraId="2CDF1C51">
      <w:pPr>
        <w:pStyle w:val="5"/>
        <w:spacing w:before="0" w:after="0" w:line="360" w:lineRule="auto"/>
        <w:ind w:firstLine="420" w:firstLineChars="200"/>
        <w:rPr>
          <w:rFonts w:hint="eastAsia" w:ascii="宋体" w:hAnsi="宋体" w:cs="宋体"/>
          <w:sz w:val="21"/>
          <w:szCs w:val="21"/>
        </w:rPr>
      </w:pPr>
      <w:bookmarkStart w:id="415" w:name="_Toc22915"/>
      <w:bookmarkStart w:id="416" w:name="_Toc2380"/>
      <w:bookmarkStart w:id="417" w:name="_Toc22852"/>
      <w:bookmarkStart w:id="418" w:name="_Toc18884"/>
      <w:bookmarkStart w:id="419" w:name="_Toc14054"/>
      <w:bookmarkStart w:id="420" w:name="_Toc8657"/>
      <w:bookmarkStart w:id="421" w:name="_Toc7356"/>
      <w:bookmarkStart w:id="422" w:name="_Toc3112"/>
      <w:bookmarkStart w:id="423" w:name="_Toc912"/>
      <w:bookmarkStart w:id="424" w:name="_Toc18350"/>
      <w:bookmarkStart w:id="425" w:name="_Toc26271"/>
      <w:bookmarkStart w:id="426" w:name="_Toc9923"/>
      <w:r>
        <w:rPr>
          <w:rFonts w:hint="eastAsia" w:ascii="宋体" w:hAnsi="宋体" w:cs="宋体"/>
          <w:sz w:val="21"/>
          <w:szCs w:val="21"/>
        </w:rPr>
        <w:t>25. 谈判过程的监控</w:t>
      </w:r>
      <w:bookmarkEnd w:id="415"/>
      <w:bookmarkEnd w:id="416"/>
      <w:bookmarkEnd w:id="417"/>
      <w:bookmarkEnd w:id="418"/>
      <w:bookmarkEnd w:id="419"/>
      <w:bookmarkEnd w:id="420"/>
      <w:bookmarkEnd w:id="421"/>
      <w:bookmarkEnd w:id="422"/>
      <w:bookmarkEnd w:id="423"/>
      <w:bookmarkEnd w:id="424"/>
      <w:bookmarkEnd w:id="425"/>
      <w:bookmarkEnd w:id="426"/>
    </w:p>
    <w:p w14:paraId="4552FA38">
      <w:pPr>
        <w:spacing w:line="360" w:lineRule="auto"/>
        <w:ind w:firstLine="420" w:firstLineChars="200"/>
        <w:rPr>
          <w:rFonts w:hint="eastAsia" w:ascii="宋体" w:hAnsi="宋体" w:cs="宋体"/>
          <w:szCs w:val="21"/>
        </w:rPr>
      </w:pPr>
      <w:r>
        <w:rPr>
          <w:rFonts w:hint="eastAsia" w:ascii="宋体" w:hAnsi="宋体" w:cs="宋体"/>
          <w:szCs w:val="21"/>
        </w:rPr>
        <w:t>本项目谈判过程实行全程录音、录像监控，供应商在谈判过程中所进行的试图影响谈判结果的不公正活动，可能导致其谈判被拒绝。</w:t>
      </w:r>
    </w:p>
    <w:p w14:paraId="691107E8">
      <w:pPr>
        <w:pStyle w:val="5"/>
        <w:spacing w:before="0" w:after="0" w:line="360" w:lineRule="auto"/>
        <w:ind w:firstLine="420" w:firstLineChars="200"/>
        <w:rPr>
          <w:rFonts w:hint="eastAsia" w:ascii="宋体" w:hAnsi="宋体" w:cs="宋体"/>
          <w:sz w:val="21"/>
          <w:szCs w:val="21"/>
        </w:rPr>
      </w:pPr>
      <w:bookmarkStart w:id="427" w:name="_Toc16553"/>
      <w:bookmarkStart w:id="428" w:name="_Toc22332"/>
      <w:bookmarkStart w:id="429" w:name="_Toc6718"/>
      <w:bookmarkStart w:id="430" w:name="_Toc19116"/>
      <w:bookmarkStart w:id="431" w:name="_Toc3959"/>
      <w:bookmarkStart w:id="432" w:name="_Toc9148"/>
      <w:bookmarkStart w:id="433" w:name="_Toc26818"/>
      <w:bookmarkStart w:id="434" w:name="_Toc1119"/>
      <w:bookmarkStart w:id="435" w:name="_Toc15563"/>
      <w:bookmarkStart w:id="436" w:name="_Toc13878"/>
      <w:bookmarkStart w:id="437" w:name="_Toc21905"/>
      <w:bookmarkStart w:id="438" w:name="_Toc17871"/>
      <w:r>
        <w:rPr>
          <w:rFonts w:hint="eastAsia" w:ascii="宋体" w:hAnsi="宋体" w:cs="宋体"/>
          <w:sz w:val="21"/>
          <w:szCs w:val="21"/>
        </w:rPr>
        <w:t>26.信用查询：</w:t>
      </w:r>
      <w:bookmarkEnd w:id="427"/>
      <w:bookmarkEnd w:id="428"/>
      <w:bookmarkEnd w:id="429"/>
      <w:bookmarkEnd w:id="430"/>
      <w:bookmarkEnd w:id="431"/>
      <w:bookmarkEnd w:id="432"/>
      <w:bookmarkEnd w:id="433"/>
      <w:bookmarkEnd w:id="434"/>
      <w:bookmarkEnd w:id="435"/>
      <w:bookmarkEnd w:id="436"/>
      <w:bookmarkEnd w:id="437"/>
      <w:bookmarkEnd w:id="438"/>
    </w:p>
    <w:p w14:paraId="4DB94B22">
      <w:pPr>
        <w:spacing w:line="360" w:lineRule="auto"/>
        <w:ind w:firstLine="420" w:firstLineChars="200"/>
        <w:rPr>
          <w:rFonts w:ascii="宋体" w:cs="宋体"/>
          <w:szCs w:val="21"/>
        </w:rPr>
      </w:pPr>
      <w:r>
        <w:rPr>
          <w:rFonts w:hint="eastAsia" w:ascii="宋体" w:hAnsi="宋体" w:cs="宋体"/>
          <w:szCs w:val="21"/>
        </w:rPr>
        <w:t>根据《关于做好政府采购有关信用主体标识码登记及在政府采购活动中查询使用信用记录有关问题的通知》（桂财采〔</w:t>
      </w:r>
      <w:r>
        <w:rPr>
          <w:rFonts w:ascii="宋体" w:hAnsi="宋体" w:cs="宋体"/>
          <w:szCs w:val="21"/>
        </w:rPr>
        <w:t>2016</w:t>
      </w:r>
      <w:r>
        <w:rPr>
          <w:rFonts w:hint="eastAsia" w:ascii="宋体" w:hAnsi="宋体" w:cs="宋体"/>
          <w:szCs w:val="21"/>
        </w:rPr>
        <w:t>〕</w:t>
      </w:r>
      <w:r>
        <w:rPr>
          <w:rFonts w:ascii="宋体" w:hAnsi="宋体" w:cs="宋体"/>
          <w:szCs w:val="21"/>
        </w:rPr>
        <w:t>37</w:t>
      </w:r>
      <w:r>
        <w:rPr>
          <w:rFonts w:hint="eastAsia" w:ascii="宋体" w:hAnsi="宋体" w:cs="宋体"/>
          <w:szCs w:val="21"/>
        </w:rPr>
        <w:t>号）的通知，采购代理机构对成交人的成交资格进行信用查询：</w:t>
      </w:r>
    </w:p>
    <w:p w14:paraId="49056875">
      <w:pPr>
        <w:spacing w:line="360" w:lineRule="auto"/>
        <w:ind w:firstLine="210" w:firstLineChars="100"/>
        <w:rPr>
          <w:rFonts w:ascii="宋体" w:cs="宋体"/>
          <w:szCs w:val="21"/>
        </w:rPr>
      </w:pPr>
      <w:r>
        <w:rPr>
          <w:rFonts w:hint="eastAsia" w:ascii="宋体" w:hAnsi="宋体" w:cs="宋体"/>
          <w:szCs w:val="21"/>
        </w:rPr>
        <w:t>（1）查询渠道：“信用中国”网站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等；</w:t>
      </w:r>
    </w:p>
    <w:p w14:paraId="695ECE0E">
      <w:pPr>
        <w:spacing w:line="360" w:lineRule="auto"/>
        <w:ind w:firstLine="210" w:firstLineChars="100"/>
        <w:rPr>
          <w:rFonts w:ascii="宋体" w:cs="宋体"/>
          <w:szCs w:val="21"/>
        </w:rPr>
      </w:pPr>
      <w:r>
        <w:rPr>
          <w:rFonts w:hint="eastAsia" w:ascii="宋体" w:hAnsi="宋体" w:cs="宋体"/>
          <w:szCs w:val="21"/>
        </w:rPr>
        <w:t>（2）查询时间：成交通知书发出前；</w:t>
      </w:r>
    </w:p>
    <w:p w14:paraId="0AC7FD8B">
      <w:pPr>
        <w:spacing w:line="360" w:lineRule="auto"/>
        <w:ind w:firstLine="210" w:firstLineChars="100"/>
        <w:rPr>
          <w:rFonts w:ascii="宋体" w:cs="宋体"/>
          <w:szCs w:val="21"/>
        </w:rPr>
      </w:pPr>
      <w:r>
        <w:rPr>
          <w:rFonts w:hint="eastAsia" w:ascii="宋体" w:hAnsi="宋体" w:cs="宋体"/>
          <w:szCs w:val="21"/>
        </w:rPr>
        <w:t>（3）信用信息查询记录和证据留存方式：在查询网站中直接打印查询记录，打印材料作为采购活动资料保存。</w:t>
      </w:r>
    </w:p>
    <w:p w14:paraId="42CE3E9C">
      <w:pPr>
        <w:spacing w:line="360" w:lineRule="auto"/>
        <w:ind w:firstLine="210" w:firstLineChars="100"/>
        <w:rPr>
          <w:rFonts w:ascii="宋体" w:cs="宋体"/>
          <w:szCs w:val="21"/>
        </w:rPr>
      </w:pPr>
      <w:r>
        <w:rPr>
          <w:rFonts w:hint="eastAsia" w:ascii="宋体" w:hAnsi="宋体" w:cs="宋体"/>
          <w:szCs w:val="21"/>
        </w:rPr>
        <w:t>（4）信用信息使用规则：对在“信用中国”网站</w:t>
      </w:r>
      <w:r>
        <w:rPr>
          <w:rFonts w:ascii="宋体" w:hAnsi="宋体" w:cs="宋体"/>
          <w:szCs w:val="21"/>
        </w:rPr>
        <w:t>(www.creditchina.gov.cn)</w:t>
      </w:r>
      <w:r>
        <w:rPr>
          <w:rFonts w:hint="eastAsia" w:ascii="宋体" w:hAnsi="宋体" w:cs="宋体"/>
          <w:szCs w:val="21"/>
        </w:rPr>
        <w:t>、中国政府采购网</w:t>
      </w:r>
      <w:r>
        <w:rPr>
          <w:rFonts w:ascii="宋体" w:hAnsi="宋体" w:cs="宋体"/>
          <w:szCs w:val="21"/>
        </w:rPr>
        <w:t>(www.ccgp.gov.cn)</w:t>
      </w:r>
      <w:r>
        <w:rPr>
          <w:rFonts w:hint="eastAsia" w:ascii="宋体" w:hAnsi="宋体" w:cs="宋体"/>
          <w:szCs w:val="21"/>
        </w:rPr>
        <w:t>等渠道列入失信被执行人、重大税收违法案件当事人名单、政府采购严重违法失信行为记录名单及其他不符合《中华人民共和国政府采购法》第二十二条规定条件的供应商，不得参与政府采购活动，取消其成交候选人资格。采购人依法按照评审报告中谈判小组推荐成交候选人排序表确定排名第二的成交候选人为成交供应商或者重新组织采购。</w:t>
      </w:r>
    </w:p>
    <w:p w14:paraId="6014FCC8">
      <w:pPr>
        <w:spacing w:line="360" w:lineRule="auto"/>
        <w:ind w:firstLine="420" w:firstLineChars="200"/>
      </w:pPr>
      <w:r>
        <w:rPr>
          <w:rFonts w:hint="eastAsia" w:ascii="宋体" w:hAnsi="宋体" w:cs="宋体"/>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6F310B12">
      <w:pPr>
        <w:pStyle w:val="5"/>
        <w:spacing w:before="0" w:after="0" w:line="360" w:lineRule="auto"/>
        <w:ind w:firstLine="420" w:firstLineChars="200"/>
        <w:rPr>
          <w:rFonts w:hint="eastAsia" w:ascii="宋体" w:hAnsi="宋体" w:cs="宋体"/>
          <w:sz w:val="21"/>
          <w:szCs w:val="21"/>
        </w:rPr>
      </w:pPr>
      <w:bookmarkStart w:id="439" w:name="_Toc32175"/>
      <w:bookmarkStart w:id="440" w:name="_Toc16667"/>
      <w:bookmarkStart w:id="441" w:name="_Toc26290"/>
      <w:bookmarkStart w:id="442" w:name="_Toc23139"/>
      <w:bookmarkStart w:id="443" w:name="_Toc7749"/>
      <w:bookmarkStart w:id="444" w:name="_Toc10078"/>
      <w:bookmarkStart w:id="445" w:name="_Toc27559"/>
      <w:bookmarkStart w:id="446" w:name="_Toc4373"/>
      <w:bookmarkStart w:id="447" w:name="_Toc19716"/>
      <w:bookmarkStart w:id="448" w:name="_Toc31767"/>
      <w:bookmarkStart w:id="449" w:name="_Toc6181"/>
      <w:bookmarkStart w:id="450" w:name="_Toc22807"/>
      <w:r>
        <w:rPr>
          <w:rFonts w:hint="eastAsia" w:ascii="宋体" w:hAnsi="宋体" w:cs="宋体"/>
          <w:sz w:val="21"/>
          <w:szCs w:val="21"/>
        </w:rPr>
        <w:t>27. 成交结果公告及成交通知书</w:t>
      </w:r>
      <w:bookmarkEnd w:id="439"/>
      <w:bookmarkEnd w:id="440"/>
      <w:bookmarkEnd w:id="441"/>
      <w:bookmarkEnd w:id="442"/>
      <w:bookmarkEnd w:id="443"/>
      <w:bookmarkEnd w:id="444"/>
      <w:bookmarkEnd w:id="445"/>
      <w:bookmarkEnd w:id="446"/>
      <w:bookmarkEnd w:id="447"/>
      <w:bookmarkEnd w:id="448"/>
      <w:bookmarkEnd w:id="449"/>
      <w:bookmarkEnd w:id="450"/>
    </w:p>
    <w:p w14:paraId="37FEBBF3">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.1 </w:t>
      </w:r>
      <w:r>
        <w:rPr>
          <w:rFonts w:hint="eastAsia" w:ascii="宋体" w:hAnsi="宋体" w:cs="宋体"/>
          <w:szCs w:val="21"/>
        </w:rPr>
        <w:t>采购代理机构于谈判结束后两个工作日内将评审报告送交采购人，采购人应当自收到评审报告五个工作日内在评审报告推荐的成交候选人中按顺序确定成交供应商，采购代理机构在成交供应商确定之日起两个工作日内发出成交通知书，并在指定媒体上公告成交信息。</w:t>
      </w:r>
    </w:p>
    <w:p w14:paraId="50DD8F50">
      <w:pPr>
        <w:spacing w:line="360" w:lineRule="auto"/>
        <w:ind w:firstLine="420" w:firstLineChars="200"/>
        <w:rPr>
          <w:rFonts w:hint="eastAsia" w:ascii="宋体" w:hAns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.2 </w:t>
      </w:r>
      <w:r>
        <w:rPr>
          <w:rFonts w:hint="eastAsia" w:ascii="宋体" w:hAnsi="宋体" w:cs="宋体"/>
          <w:szCs w:val="21"/>
        </w:rPr>
        <w:t>成交公告发布的同时，采购代理机构在线向成交供应商发出电子成交通知书。</w:t>
      </w:r>
    </w:p>
    <w:p w14:paraId="4B0FF705">
      <w:pPr>
        <w:spacing w:line="360" w:lineRule="auto"/>
        <w:ind w:firstLine="420" w:firstLineChars="200"/>
        <w:rPr>
          <w:rFonts w:ascii="宋体" w:cs="宋体"/>
          <w:szCs w:val="21"/>
        </w:rPr>
      </w:pPr>
      <w:r>
        <w:rPr>
          <w:rFonts w:ascii="宋体" w:hAnsi="宋体" w:cs="宋体"/>
          <w:szCs w:val="21"/>
        </w:rPr>
        <w:t>2</w:t>
      </w:r>
      <w:r>
        <w:rPr>
          <w:rFonts w:hint="eastAsia" w:ascii="宋体" w:hAnsi="宋体" w:cs="宋体"/>
          <w:szCs w:val="21"/>
        </w:rPr>
        <w:t>7</w:t>
      </w:r>
      <w:r>
        <w:rPr>
          <w:rFonts w:ascii="宋体" w:hAnsi="宋体" w:cs="宋体"/>
          <w:szCs w:val="21"/>
        </w:rPr>
        <w:t xml:space="preserve">.3 </w:t>
      </w:r>
      <w:r>
        <w:rPr>
          <w:rFonts w:hint="eastAsia" w:ascii="宋体" w:hAnsi="宋体" w:cs="宋体"/>
          <w:szCs w:val="21"/>
        </w:rPr>
        <w:t>采购代理机构无义务向未成交的供应商解释未成交原因和退还响应文件。</w:t>
      </w:r>
    </w:p>
    <w:p w14:paraId="1B18CCE2">
      <w:pPr>
        <w:pStyle w:val="4"/>
        <w:jc w:val="center"/>
        <w:rPr>
          <w:rFonts w:hint="eastAsia"/>
          <w:b/>
          <w:bCs w:val="0"/>
          <w:color w:val="auto"/>
          <w:szCs w:val="28"/>
        </w:rPr>
      </w:pPr>
      <w:bookmarkStart w:id="451" w:name="_Toc19711"/>
      <w:bookmarkStart w:id="452" w:name="_Toc27632"/>
      <w:bookmarkStart w:id="453" w:name="_Toc24627"/>
      <w:bookmarkStart w:id="454" w:name="_Toc26948"/>
      <w:bookmarkStart w:id="455" w:name="_Toc5548"/>
      <w:bookmarkStart w:id="456" w:name="_Toc19781"/>
      <w:bookmarkStart w:id="457" w:name="_Toc2496"/>
      <w:bookmarkStart w:id="458" w:name="_Toc9587"/>
      <w:bookmarkStart w:id="459" w:name="_Toc7532"/>
      <w:bookmarkStart w:id="460" w:name="_Toc28551"/>
      <w:bookmarkStart w:id="461" w:name="_Toc18170"/>
      <w:bookmarkStart w:id="462" w:name="_Toc18670"/>
      <w:r>
        <w:rPr>
          <w:rFonts w:hint="eastAsia"/>
          <w:b/>
          <w:bCs w:val="0"/>
          <w:color w:val="auto"/>
          <w:szCs w:val="28"/>
        </w:rPr>
        <w:t>五、</w:t>
      </w:r>
      <w:r>
        <w:rPr>
          <w:rFonts w:hint="eastAsia"/>
          <w:b/>
          <w:color w:val="auto"/>
          <w:szCs w:val="28"/>
        </w:rPr>
        <w:t>签订合同</w:t>
      </w:r>
      <w:bookmarkEnd w:id="451"/>
      <w:bookmarkEnd w:id="452"/>
      <w:bookmarkEnd w:id="453"/>
      <w:bookmarkEnd w:id="454"/>
      <w:bookmarkEnd w:id="455"/>
      <w:bookmarkEnd w:id="456"/>
      <w:bookmarkEnd w:id="457"/>
      <w:bookmarkEnd w:id="458"/>
      <w:bookmarkEnd w:id="459"/>
      <w:bookmarkEnd w:id="460"/>
      <w:bookmarkEnd w:id="461"/>
      <w:bookmarkEnd w:id="462"/>
    </w:p>
    <w:p w14:paraId="523ED10F">
      <w:pPr>
        <w:spacing w:line="360" w:lineRule="exact"/>
        <w:ind w:firstLine="411" w:firstLineChars="196"/>
        <w:outlineLvl w:val="2"/>
        <w:rPr>
          <w:rFonts w:ascii="宋体" w:hAnsi="宋体" w:cs="宋体"/>
          <w:b/>
          <w:szCs w:val="21"/>
        </w:rPr>
      </w:pPr>
      <w:bookmarkStart w:id="463" w:name="_Toc9151"/>
      <w:bookmarkStart w:id="464" w:name="_Toc10047"/>
      <w:bookmarkStart w:id="465" w:name="_Toc8751"/>
      <w:bookmarkStart w:id="466" w:name="_Toc19840"/>
      <w:bookmarkStart w:id="467" w:name="_Toc11500"/>
      <w:bookmarkStart w:id="468" w:name="_Toc3109"/>
      <w:bookmarkStart w:id="469" w:name="_Toc17650"/>
      <w:bookmarkStart w:id="470" w:name="_Toc137"/>
      <w:bookmarkStart w:id="471" w:name="_Toc11357"/>
      <w:bookmarkStart w:id="472" w:name="_Toc32035"/>
      <w:bookmarkStart w:id="473" w:name="_Toc6350"/>
      <w:bookmarkStart w:id="474" w:name="_Toc6994"/>
      <w:bookmarkStart w:id="475" w:name="_Toc9839"/>
      <w:bookmarkStart w:id="476" w:name="_Toc17433"/>
      <w:bookmarkStart w:id="477" w:name="_Toc19386"/>
      <w:r>
        <w:rPr>
          <w:rFonts w:hint="eastAsia" w:ascii="宋体" w:hAnsi="宋体" w:cs="宋体"/>
          <w:b/>
          <w:szCs w:val="21"/>
        </w:rPr>
        <w:t>28. 履约保证金</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688A247D">
      <w:pPr>
        <w:snapToGrid/>
        <w:spacing w:line="360" w:lineRule="exact"/>
        <w:ind w:left="2" w:leftChars="1" w:right="0" w:rightChars="0" w:firstLine="420" w:firstLineChars="200"/>
        <w:jc w:val="left"/>
        <w:rPr>
          <w:rFonts w:hint="eastAsia" w:ascii="宋体" w:hAnsi="宋体" w:eastAsia="宋体" w:cs="宋体"/>
          <w:color w:val="auto"/>
          <w:sz w:val="21"/>
          <w:szCs w:val="21"/>
          <w:highlight w:val="none"/>
          <w:u w:val="none"/>
          <w:vertAlign w:val="baseline"/>
          <w:lang w:eastAsia="zh-CN"/>
        </w:rPr>
      </w:pPr>
      <w:bookmarkStart w:id="478" w:name="_Toc10973"/>
      <w:bookmarkStart w:id="479" w:name="_Toc29711"/>
      <w:bookmarkStart w:id="480" w:name="_Toc25471"/>
      <w:bookmarkStart w:id="481" w:name="_Toc339"/>
      <w:bookmarkStart w:id="482" w:name="_Toc13533"/>
      <w:bookmarkStart w:id="483" w:name="_Toc14679"/>
      <w:bookmarkStart w:id="484" w:name="_Toc18160"/>
      <w:bookmarkStart w:id="485" w:name="_Toc22092"/>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1.履约保证金为：</w:t>
      </w:r>
      <w:r>
        <w:rPr>
          <w:rFonts w:hint="eastAsia" w:ascii="宋体" w:hAnsi="宋体" w:eastAsia="宋体" w:cs="宋体"/>
          <w:sz w:val="21"/>
          <w:szCs w:val="21"/>
          <w:lang w:val="en-US" w:eastAsia="zh-CN"/>
        </w:rPr>
        <w:t>“</w:t>
      </w:r>
      <w:r>
        <w:rPr>
          <w:rFonts w:hint="eastAsia" w:ascii="宋体" w:hAnsi="宋体" w:eastAsia="宋体" w:cs="宋体"/>
          <w:color w:val="auto"/>
          <w:kern w:val="2"/>
          <w:sz w:val="21"/>
          <w:szCs w:val="21"/>
          <w:highlight w:val="none"/>
        </w:rPr>
        <w:t>合同签订之前，</w:t>
      </w:r>
      <w:r>
        <w:rPr>
          <w:rFonts w:hint="eastAsia" w:ascii="宋体" w:hAnsi="宋体" w:eastAsia="宋体" w:cs="宋体"/>
          <w:color w:val="auto"/>
          <w:kern w:val="2"/>
          <w:sz w:val="21"/>
          <w:szCs w:val="21"/>
          <w:highlight w:val="none"/>
          <w:lang w:eastAsia="zh-CN"/>
        </w:rPr>
        <w:t>成交</w:t>
      </w:r>
      <w:r>
        <w:rPr>
          <w:rFonts w:hint="eastAsia" w:ascii="宋体" w:hAnsi="宋体" w:eastAsia="宋体" w:cs="宋体"/>
          <w:color w:val="auto"/>
          <w:kern w:val="2"/>
          <w:sz w:val="21"/>
          <w:szCs w:val="21"/>
          <w:highlight w:val="none"/>
        </w:rPr>
        <w:t>供应商向采购人缴纳履约保证金[根据《广西壮族自治区财政厅关于持续优化政府采购营商环境推动高质量发展的通知》（桂财采〔2024〕55号）规定，大型企业按中标金额的5%收取履约保证金；中小企业按中标金额的2%收取履约保证金]</w:t>
      </w:r>
      <w:r>
        <w:rPr>
          <w:rFonts w:hint="eastAsia" w:ascii="宋体" w:hAnsi="宋体" w:eastAsia="宋体" w:cs="宋体"/>
          <w:color w:val="auto"/>
          <w:kern w:val="2"/>
          <w:sz w:val="21"/>
          <w:szCs w:val="21"/>
          <w:highlight w:val="none"/>
          <w:lang w:eastAsia="zh-CN"/>
        </w:rPr>
        <w:t>。</w:t>
      </w:r>
      <w:r>
        <w:rPr>
          <w:rFonts w:hint="eastAsia" w:ascii="宋体" w:hAnsi="宋体" w:eastAsia="宋体" w:cs="宋体"/>
          <w:sz w:val="21"/>
          <w:szCs w:val="21"/>
          <w:lang w:val="en-US" w:eastAsia="zh-CN"/>
        </w:rPr>
        <w:t>”</w:t>
      </w:r>
    </w:p>
    <w:p w14:paraId="7B198595">
      <w:pPr>
        <w:snapToGrid/>
        <w:spacing w:line="360" w:lineRule="exact"/>
        <w:ind w:left="2" w:leftChars="1" w:right="0" w:rightChars="0" w:firstLine="420" w:firstLineChars="200"/>
        <w:jc w:val="left"/>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2.递交方式：银行转账、支票、汇票、本票或者金融机构、保险机构出具的保函等非现金方式。</w:t>
      </w:r>
    </w:p>
    <w:p w14:paraId="49D82258">
      <w:pPr>
        <w:spacing w:line="360" w:lineRule="exact"/>
        <w:ind w:left="2" w:leftChars="1" w:firstLineChars="200"/>
        <w:rPr>
          <w:rFonts w:hint="eastAsia" w:ascii="宋体" w:hAnsi="宋体" w:eastAsia="宋体" w:cs="宋体"/>
          <w:color w:val="auto"/>
          <w:sz w:val="21"/>
          <w:szCs w:val="21"/>
          <w:highlight w:val="none"/>
          <w:u w:val="none"/>
          <w:vertAlign w:val="baseline"/>
          <w:lang w:eastAsia="zh-CN"/>
        </w:rPr>
      </w:pPr>
      <w:r>
        <w:rPr>
          <w:rFonts w:hint="eastAsia" w:ascii="宋体" w:hAnsi="宋体" w:eastAsia="宋体" w:cs="宋体"/>
          <w:color w:val="auto"/>
          <w:sz w:val="21"/>
          <w:szCs w:val="21"/>
          <w:highlight w:val="none"/>
          <w:u w:val="none"/>
          <w:vertAlign w:val="baseline"/>
          <w:lang w:val="en-US" w:eastAsia="zh-CN"/>
        </w:rPr>
        <w:t>28.</w:t>
      </w:r>
      <w:r>
        <w:rPr>
          <w:rFonts w:hint="eastAsia" w:ascii="宋体" w:hAnsi="宋体" w:eastAsia="宋体" w:cs="宋体"/>
          <w:color w:val="auto"/>
          <w:sz w:val="21"/>
          <w:szCs w:val="21"/>
          <w:highlight w:val="none"/>
          <w:u w:val="none"/>
          <w:vertAlign w:val="baseline"/>
          <w:lang w:eastAsia="zh-CN"/>
        </w:rPr>
        <w:t>3.履约保证金在项目验收通过后，由</w:t>
      </w:r>
      <w:r>
        <w:rPr>
          <w:rFonts w:hint="eastAsia" w:ascii="宋体" w:hAnsi="宋体" w:eastAsia="宋体" w:cs="宋体"/>
          <w:color w:val="auto"/>
          <w:sz w:val="21"/>
          <w:szCs w:val="21"/>
          <w:highlight w:val="none"/>
          <w:u w:val="none"/>
          <w:vertAlign w:val="baseline"/>
          <w:lang w:val="en-US" w:eastAsia="zh-CN"/>
        </w:rPr>
        <w:t>成交</w:t>
      </w:r>
      <w:r>
        <w:rPr>
          <w:rFonts w:hint="eastAsia" w:ascii="宋体" w:hAnsi="宋体" w:eastAsia="宋体" w:cs="宋体"/>
          <w:color w:val="auto"/>
          <w:sz w:val="21"/>
          <w:szCs w:val="21"/>
          <w:highlight w:val="none"/>
          <w:u w:val="none"/>
          <w:vertAlign w:val="baseline"/>
          <w:lang w:eastAsia="zh-CN"/>
        </w:rPr>
        <w:t>供应商向采购人提出申请，采购人在收到材料后5个工作日内如数退还（不计利息）。涉及违约的违约金和损失赔偿从履约保证金中扣减。</w:t>
      </w:r>
    </w:p>
    <w:bookmarkEnd w:id="478"/>
    <w:bookmarkEnd w:id="479"/>
    <w:bookmarkEnd w:id="480"/>
    <w:bookmarkEnd w:id="481"/>
    <w:bookmarkEnd w:id="482"/>
    <w:p w14:paraId="12B71537">
      <w:pPr>
        <w:spacing w:line="360" w:lineRule="exact"/>
        <w:ind w:firstLine="411" w:firstLineChars="196"/>
        <w:outlineLvl w:val="2"/>
        <w:rPr>
          <w:rFonts w:hint="eastAsia" w:ascii="宋体" w:hAnsi="宋体" w:cs="宋体"/>
          <w:b/>
          <w:szCs w:val="21"/>
        </w:rPr>
      </w:pPr>
      <w:bookmarkStart w:id="486" w:name="_Toc3732"/>
      <w:bookmarkStart w:id="487" w:name="_Toc7113"/>
      <w:bookmarkStart w:id="488" w:name="_Toc18599"/>
      <w:bookmarkStart w:id="489" w:name="_Toc14391"/>
      <w:bookmarkStart w:id="490" w:name="_Toc19380"/>
      <w:bookmarkStart w:id="491" w:name="_Toc13567"/>
      <w:bookmarkStart w:id="492" w:name="_Toc22752"/>
      <w:bookmarkStart w:id="493" w:name="_Toc27021"/>
      <w:bookmarkStart w:id="494" w:name="_Toc31424"/>
      <w:bookmarkStart w:id="495" w:name="_Toc30382"/>
      <w:bookmarkStart w:id="496" w:name="_Toc7259"/>
      <w:bookmarkStart w:id="497" w:name="_Toc6080"/>
      <w:r>
        <w:rPr>
          <w:rFonts w:hint="eastAsia" w:ascii="宋体" w:hAnsi="宋体" w:cs="宋体"/>
          <w:b/>
          <w:szCs w:val="21"/>
        </w:rPr>
        <w:t>29. 签订合同</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p>
    <w:p w14:paraId="70D1E3EA">
      <w:pPr>
        <w:spacing w:line="360" w:lineRule="exact"/>
        <w:ind w:left="2" w:leftChars="1" w:firstLine="420" w:firstLineChars="200"/>
        <w:rPr>
          <w:rFonts w:hint="eastAsia" w:ascii="宋体" w:hAnsi="宋体" w:cs="宋体"/>
        </w:rPr>
      </w:pPr>
      <w:r>
        <w:rPr>
          <w:rFonts w:hint="eastAsia" w:ascii="宋体" w:hAnsi="宋体" w:cs="宋体"/>
          <w:szCs w:val="21"/>
        </w:rPr>
        <w:t>29.1签订合同时间：成交通知书发出之日起八个工作</w:t>
      </w:r>
      <w:r>
        <w:rPr>
          <w:rFonts w:hint="eastAsia" w:ascii="宋体" w:hAnsi="宋体"/>
        </w:rPr>
        <w:t>日内</w:t>
      </w:r>
      <w:r>
        <w:rPr>
          <w:rFonts w:hint="eastAsia" w:ascii="宋体" w:hAnsi="宋体" w:cs="宋体"/>
          <w:szCs w:val="21"/>
        </w:rPr>
        <w:t>。</w:t>
      </w:r>
      <w:r>
        <w:rPr>
          <w:rFonts w:hint="eastAsia"/>
        </w:rPr>
        <w:t>成交供应商收到成交通知书后</w:t>
      </w:r>
      <w:r>
        <w:rPr>
          <w:rFonts w:hint="eastAsia" w:ascii="宋体" w:hAnsi="宋体" w:cs="宋体"/>
          <w:szCs w:val="21"/>
        </w:rPr>
        <w:t>，应按规定与采购人在广西政府采购云平台上在线签订电子合同。</w:t>
      </w:r>
    </w:p>
    <w:p w14:paraId="40668AAD">
      <w:pPr>
        <w:spacing w:line="360" w:lineRule="exact"/>
        <w:ind w:left="2" w:leftChars="1" w:firstLine="420" w:firstLineChars="200"/>
        <w:rPr>
          <w:rFonts w:hint="eastAsia" w:ascii="宋体" w:hAnsi="宋体" w:cs="宋体"/>
        </w:rPr>
      </w:pPr>
      <w:r>
        <w:rPr>
          <w:rFonts w:hint="eastAsia" w:ascii="宋体" w:hAnsi="宋体" w:cs="宋体"/>
        </w:rPr>
        <w:t>29.2成交供应商为联合体的，联合体各方均应与采购人签订合同，并承担连带责任。（本项目不接受联合体投标）</w:t>
      </w:r>
    </w:p>
    <w:p w14:paraId="1CAE3623">
      <w:pPr>
        <w:spacing w:line="360" w:lineRule="exact"/>
        <w:ind w:left="2" w:leftChars="1" w:firstLine="420" w:firstLineChars="200"/>
        <w:rPr>
          <w:rFonts w:ascii="宋体" w:hAnsi="宋体" w:cs="宋体"/>
          <w:szCs w:val="21"/>
        </w:rPr>
      </w:pPr>
      <w:r>
        <w:rPr>
          <w:rFonts w:hint="eastAsia" w:ascii="宋体" w:hAnsi="宋体" w:cs="宋体"/>
          <w:szCs w:val="21"/>
        </w:rPr>
        <w:t>29.3如成交供应商有下列情形之一的，情节严重的，由财政部门将其列入不良行为记录名单，在一至三年内禁止参加政府采购活动，并予以通报。采购人或者采购代理机构可从评标委员会推荐的成交候选供应商中按顺序重新确定成交供应商或重新组织招标。</w:t>
      </w:r>
    </w:p>
    <w:p w14:paraId="3D585BF1">
      <w:pPr>
        <w:spacing w:line="360" w:lineRule="exact"/>
        <w:ind w:firstLine="315" w:firstLineChars="150"/>
        <w:rPr>
          <w:rFonts w:ascii="宋体" w:hAnsi="宋体" w:cs="宋体"/>
          <w:szCs w:val="21"/>
        </w:rPr>
      </w:pPr>
      <w:r>
        <w:rPr>
          <w:rFonts w:hint="eastAsia" w:ascii="宋体" w:hAnsi="宋体" w:cs="宋体"/>
          <w:szCs w:val="21"/>
        </w:rPr>
        <w:t>（1）中标后不与采购人签订合同的（不可抗力除外）；</w:t>
      </w:r>
    </w:p>
    <w:p w14:paraId="4B9776A1">
      <w:pPr>
        <w:spacing w:line="360" w:lineRule="exact"/>
        <w:ind w:left="2" w:leftChars="1" w:firstLine="315" w:firstLineChars="150"/>
        <w:rPr>
          <w:rFonts w:ascii="宋体" w:hAnsi="宋体" w:cs="宋体"/>
          <w:szCs w:val="21"/>
        </w:rPr>
      </w:pPr>
      <w:r>
        <w:rPr>
          <w:rFonts w:hint="eastAsia" w:ascii="宋体" w:hAnsi="宋体" w:cs="宋体"/>
          <w:szCs w:val="21"/>
        </w:rPr>
        <w:t>（2）将中标项目转让给他人，或者在投标文件中未说明，且未经采购人同意，将中标项目分包给他人的；</w:t>
      </w:r>
    </w:p>
    <w:p w14:paraId="2CDA0C23">
      <w:pPr>
        <w:spacing w:line="360" w:lineRule="exact"/>
        <w:ind w:firstLine="315" w:firstLineChars="150"/>
        <w:rPr>
          <w:rFonts w:ascii="宋体" w:hAnsi="宋体" w:cs="宋体"/>
          <w:szCs w:val="21"/>
        </w:rPr>
      </w:pPr>
      <w:r>
        <w:rPr>
          <w:rFonts w:hint="eastAsia" w:ascii="宋体" w:hAnsi="宋体" w:cs="宋体"/>
          <w:szCs w:val="21"/>
        </w:rPr>
        <w:t>（3）拒绝履行合同义务的。</w:t>
      </w:r>
    </w:p>
    <w:p w14:paraId="2FE63F25">
      <w:pPr>
        <w:spacing w:line="360" w:lineRule="exact"/>
        <w:ind w:left="2" w:leftChars="1" w:firstLine="420" w:firstLineChars="200"/>
        <w:rPr>
          <w:rFonts w:hint="eastAsia" w:ascii="宋体" w:hAnsi="宋体" w:cs="宋体"/>
          <w:szCs w:val="21"/>
        </w:rPr>
      </w:pPr>
      <w:r>
        <w:rPr>
          <w:rFonts w:hint="eastAsia" w:ascii="宋体" w:hAnsi="宋体" w:cs="宋体"/>
          <w:szCs w:val="21"/>
        </w:rPr>
        <w:t>29.4合同备案存档：政府采购合同双方自签订之日起将自动存档于广西政府采购云平台上，采购人于合同签订之日起七个工作日内将一份合同原件送本级财政部门备案。</w:t>
      </w:r>
    </w:p>
    <w:p w14:paraId="4E26CBC0">
      <w:pPr>
        <w:pStyle w:val="2"/>
        <w:rPr>
          <w:rFonts w:hint="eastAsia"/>
        </w:rPr>
      </w:pPr>
    </w:p>
    <w:p w14:paraId="088765E3">
      <w:pPr>
        <w:rPr>
          <w:rFonts w:hint="eastAsia"/>
        </w:rPr>
      </w:pPr>
    </w:p>
    <w:p w14:paraId="5E7D9911">
      <w:pPr>
        <w:rPr>
          <w:rFonts w:hint="eastAsia"/>
        </w:rPr>
      </w:pPr>
    </w:p>
    <w:p w14:paraId="3250B680">
      <w:pPr>
        <w:pStyle w:val="4"/>
        <w:jc w:val="center"/>
        <w:rPr>
          <w:rFonts w:hint="eastAsia"/>
          <w:b/>
          <w:bCs w:val="0"/>
          <w:color w:val="auto"/>
          <w:szCs w:val="28"/>
        </w:rPr>
      </w:pPr>
      <w:bookmarkStart w:id="498" w:name="_Toc655"/>
      <w:bookmarkStart w:id="499" w:name="_Toc24168"/>
      <w:bookmarkStart w:id="500" w:name="_Toc24198"/>
      <w:bookmarkStart w:id="501" w:name="_Toc16154"/>
      <w:bookmarkStart w:id="502" w:name="_Toc3231"/>
      <w:bookmarkStart w:id="503" w:name="_Toc23949"/>
      <w:bookmarkStart w:id="504" w:name="_Toc19422"/>
      <w:bookmarkStart w:id="505" w:name="_Toc2401"/>
      <w:bookmarkStart w:id="506" w:name="_Toc7521"/>
      <w:bookmarkStart w:id="507" w:name="_Toc15898"/>
      <w:bookmarkStart w:id="508" w:name="_Toc17499"/>
      <w:bookmarkStart w:id="509" w:name="_Toc19628"/>
      <w:r>
        <w:rPr>
          <w:rFonts w:hint="eastAsia"/>
          <w:b/>
          <w:bCs w:val="0"/>
          <w:color w:val="auto"/>
          <w:szCs w:val="28"/>
        </w:rPr>
        <w:t>六、其他事项</w:t>
      </w:r>
      <w:bookmarkEnd w:id="498"/>
      <w:bookmarkEnd w:id="499"/>
      <w:bookmarkEnd w:id="500"/>
      <w:bookmarkEnd w:id="501"/>
      <w:bookmarkEnd w:id="502"/>
      <w:bookmarkEnd w:id="503"/>
      <w:bookmarkEnd w:id="504"/>
      <w:bookmarkEnd w:id="505"/>
      <w:bookmarkEnd w:id="506"/>
      <w:bookmarkEnd w:id="507"/>
      <w:bookmarkEnd w:id="508"/>
      <w:bookmarkEnd w:id="509"/>
    </w:p>
    <w:p w14:paraId="6E8481EE">
      <w:pPr>
        <w:pStyle w:val="5"/>
        <w:spacing w:before="0" w:after="0" w:line="360" w:lineRule="auto"/>
        <w:ind w:firstLine="420" w:firstLineChars="200"/>
        <w:rPr>
          <w:rFonts w:hint="eastAsia" w:ascii="宋体" w:hAnsi="宋体" w:cs="宋体"/>
          <w:sz w:val="21"/>
          <w:szCs w:val="21"/>
        </w:rPr>
      </w:pPr>
      <w:bookmarkStart w:id="510" w:name="_Toc23031"/>
      <w:bookmarkStart w:id="511" w:name="_Toc17200"/>
      <w:bookmarkStart w:id="512" w:name="_Toc10892"/>
      <w:bookmarkStart w:id="513" w:name="_Toc14380"/>
      <w:bookmarkStart w:id="514" w:name="_Toc18028"/>
      <w:bookmarkStart w:id="515" w:name="_Toc20464"/>
      <w:bookmarkStart w:id="516" w:name="_Toc22356"/>
      <w:bookmarkStart w:id="517" w:name="_Toc32532"/>
      <w:bookmarkStart w:id="518" w:name="_Toc22779"/>
      <w:bookmarkStart w:id="519" w:name="_Toc9971"/>
      <w:bookmarkStart w:id="520" w:name="_Toc8229"/>
      <w:bookmarkStart w:id="521" w:name="_Toc5581"/>
      <w:r>
        <w:rPr>
          <w:rFonts w:hint="eastAsia" w:ascii="宋体" w:hAnsi="宋体" w:cs="宋体"/>
          <w:sz w:val="21"/>
          <w:szCs w:val="21"/>
        </w:rPr>
        <w:t>30. 采购代理服务费</w:t>
      </w:r>
      <w:bookmarkEnd w:id="510"/>
      <w:bookmarkEnd w:id="511"/>
      <w:bookmarkEnd w:id="512"/>
      <w:bookmarkEnd w:id="513"/>
      <w:bookmarkEnd w:id="514"/>
      <w:bookmarkEnd w:id="515"/>
      <w:bookmarkEnd w:id="516"/>
      <w:bookmarkEnd w:id="517"/>
      <w:bookmarkEnd w:id="518"/>
      <w:bookmarkEnd w:id="519"/>
      <w:bookmarkEnd w:id="520"/>
      <w:bookmarkEnd w:id="521"/>
    </w:p>
    <w:p w14:paraId="4B9F5C74">
      <w:pPr>
        <w:pStyle w:val="25"/>
        <w:ind w:left="0" w:leftChars="0" w:firstLine="840" w:firstLineChars="400"/>
      </w:pPr>
      <w:r>
        <w:rPr>
          <w:rFonts w:hint="eastAsia" w:ascii="宋体" w:hAnsi="宋体" w:cs="宋体"/>
          <w:b/>
          <w:bCs/>
          <w:szCs w:val="21"/>
        </w:rPr>
        <w:t>本项目不收取代理服务费。</w:t>
      </w:r>
    </w:p>
    <w:p w14:paraId="7072CA01">
      <w:pPr>
        <w:pStyle w:val="5"/>
        <w:spacing w:before="0" w:after="0" w:line="360" w:lineRule="exact"/>
        <w:ind w:firstLine="420" w:firstLineChars="200"/>
        <w:rPr>
          <w:rFonts w:hint="eastAsia" w:ascii="宋体" w:hAnsi="宋体" w:eastAsia="宋体" w:cs="宋体"/>
          <w:b/>
          <w:bCs w:val="0"/>
          <w:kern w:val="0"/>
          <w:sz w:val="21"/>
          <w:szCs w:val="21"/>
          <w:lang w:val="en-US" w:eastAsia="zh-CN"/>
        </w:rPr>
      </w:pPr>
      <w:bookmarkStart w:id="522" w:name="_Toc5947"/>
      <w:bookmarkStart w:id="523" w:name="_Toc6373"/>
      <w:bookmarkStart w:id="524" w:name="_Toc12162"/>
      <w:bookmarkStart w:id="525" w:name="_Toc6949"/>
      <w:bookmarkStart w:id="526" w:name="_Toc14535"/>
      <w:bookmarkStart w:id="527" w:name="_Toc11455"/>
      <w:bookmarkStart w:id="528" w:name="_Toc10577"/>
      <w:bookmarkStart w:id="529" w:name="_Toc102"/>
      <w:bookmarkStart w:id="530" w:name="_Toc2054"/>
      <w:bookmarkStart w:id="531" w:name="_Toc23905"/>
      <w:bookmarkStart w:id="532" w:name="_Toc11529"/>
      <w:bookmarkStart w:id="533" w:name="_Toc26051"/>
      <w:bookmarkStart w:id="534" w:name="_Toc31204"/>
      <w:bookmarkStart w:id="535" w:name="_Toc8409"/>
      <w:bookmarkStart w:id="536" w:name="_Toc8467"/>
      <w:r>
        <w:rPr>
          <w:rFonts w:hint="eastAsia" w:ascii="宋体" w:hAnsi="宋体" w:eastAsia="宋体" w:cs="宋体"/>
          <w:b/>
          <w:bCs w:val="0"/>
          <w:kern w:val="0"/>
          <w:sz w:val="21"/>
          <w:szCs w:val="21"/>
          <w:lang w:val="en-US" w:eastAsia="zh-CN" w:bidi="ar-SA"/>
        </w:rPr>
        <w:t>31.</w:t>
      </w:r>
      <w:r>
        <w:rPr>
          <w:rFonts w:hint="eastAsia" w:ascii="宋体" w:hAnsi="宋体" w:eastAsia="宋体" w:cs="宋体"/>
          <w:b/>
          <w:bCs w:val="0"/>
          <w:kern w:val="0"/>
          <w:sz w:val="21"/>
          <w:szCs w:val="21"/>
          <w:lang w:val="en-US" w:eastAsia="zh-CN"/>
        </w:rPr>
        <w:t>本国产品标准及相关政策</w:t>
      </w:r>
      <w:bookmarkEnd w:id="522"/>
      <w:bookmarkEnd w:id="523"/>
      <w:bookmarkEnd w:id="524"/>
    </w:p>
    <w:p w14:paraId="392C4CA7">
      <w:pPr>
        <w:numPr>
          <w:ilvl w:val="0"/>
          <w:numId w:val="0"/>
        </w:numPr>
        <w:spacing w:beforeLines="0" w:afterLines="0"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cs="宋体"/>
          <w:b/>
          <w:bCs/>
          <w:szCs w:val="21"/>
          <w:lang w:val="en-US" w:eastAsia="zh-CN"/>
        </w:rPr>
        <w:t xml:space="preserve"> </w:t>
      </w:r>
      <w:r>
        <w:rPr>
          <w:rFonts w:hint="eastAsia" w:ascii="宋体" w:hAnsi="宋体" w:eastAsia="宋体" w:cs="宋体"/>
          <w:b w:val="0"/>
          <w:bCs w:val="0"/>
          <w:sz w:val="21"/>
          <w:szCs w:val="21"/>
          <w:lang w:val="en-US" w:eastAsia="zh-CN"/>
        </w:rPr>
        <w:t>根据《</w:t>
      </w:r>
      <w:r>
        <w:rPr>
          <w:rFonts w:hint="eastAsia" w:ascii="宋体" w:hAnsi="宋体" w:eastAsia="宋体" w:cs="宋体"/>
          <w:b w:val="0"/>
          <w:bCs w:val="0"/>
          <w:i w:val="0"/>
          <w:iCs w:val="0"/>
          <w:caps w:val="0"/>
          <w:spacing w:val="0"/>
          <w:sz w:val="21"/>
          <w:szCs w:val="21"/>
          <w:shd w:val="clear" w:color="auto" w:fill="auto"/>
        </w:rPr>
        <w:t>国务院办公厅关于在政府采购中实施本国产品标准及相关政策的通知</w:t>
      </w:r>
      <w:r>
        <w:rPr>
          <w:rFonts w:hint="eastAsia" w:ascii="宋体" w:hAnsi="宋体" w:eastAsia="宋体" w:cs="宋体"/>
          <w:b w:val="0"/>
          <w:bCs w:val="0"/>
          <w:sz w:val="21"/>
          <w:szCs w:val="21"/>
          <w:lang w:val="en-US" w:eastAsia="zh-CN"/>
        </w:rPr>
        <w:t>》（国办发〔2025〕34号）的规定，本国产品</w:t>
      </w:r>
      <w:r>
        <w:rPr>
          <w:rFonts w:hint="eastAsia" w:ascii="宋体" w:hAnsi="宋体" w:eastAsia="宋体" w:cs="宋体"/>
          <w:b w:val="0"/>
          <w:bCs w:val="0"/>
          <w:kern w:val="0"/>
          <w:szCs w:val="21"/>
          <w:lang w:val="en-US" w:eastAsia="zh-CN"/>
        </w:rPr>
        <w:t>标准及相关政策如下</w:t>
      </w:r>
      <w:r>
        <w:rPr>
          <w:rFonts w:hint="eastAsia" w:ascii="宋体" w:hAnsi="宋体" w:eastAsia="宋体" w:cs="宋体"/>
          <w:b w:val="0"/>
          <w:bCs w:val="0"/>
          <w:sz w:val="21"/>
          <w:szCs w:val="21"/>
          <w:lang w:val="en-US" w:eastAsia="zh-CN"/>
        </w:rPr>
        <w:t>：</w:t>
      </w:r>
    </w:p>
    <w:p w14:paraId="59E233A8">
      <w:pPr>
        <w:numPr>
          <w:ilvl w:val="0"/>
          <w:numId w:val="0"/>
        </w:numPr>
        <w:spacing w:beforeLines="0" w:afterLines="0" w:line="360" w:lineRule="exact"/>
        <w:ind w:left="0" w:firstLine="420" w:firstLineChars="200"/>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31.1 本国产品标准</w:t>
      </w:r>
    </w:p>
    <w:p w14:paraId="1317E30B">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（一）在中国境内生产</w:t>
      </w:r>
    </w:p>
    <w:p w14:paraId="621B8422">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产品应当在中国境内生产，即在中华人民共和国关境内实现从原材料、组件到产品的属性改变。</w:t>
      </w:r>
    </w:p>
    <w:p w14:paraId="796E9E8F">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属性改变是指经过制造、加工或者组装等工序，产生完全不同于原材料、组件的新产品，并具有新的名称和特征（用途）。属性改变不包括以下细微操作：</w:t>
      </w:r>
    </w:p>
    <w:p w14:paraId="2492D545">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1.为确保产品在运输或者储存期间保持某种状态而进行的操作；</w:t>
      </w:r>
    </w:p>
    <w:p w14:paraId="667A8779">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2.为产品运输或者销售进行的包装或者展示；</w:t>
      </w:r>
    </w:p>
    <w:p w14:paraId="57D04CC1">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3.在产品或者其包装上粘贴或者印刷品牌、标志、标识以及其他用于区别的标记；</w:t>
      </w:r>
    </w:p>
    <w:p w14:paraId="591BA61D">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4.简单的上漆、磨光和分装；</w:t>
      </w:r>
    </w:p>
    <w:p w14:paraId="6901AE6F">
      <w:pPr>
        <w:numPr>
          <w:ilvl w:val="0"/>
          <w:numId w:val="0"/>
        </w:numPr>
        <w:spacing w:line="360" w:lineRule="exact"/>
        <w:ind w:left="0" w:firstLine="420" w:firstLineChars="200"/>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5.其他不属于属性改变的情形。</w:t>
      </w:r>
    </w:p>
    <w:p w14:paraId="25EE2A25">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（二）在中国境内生产的组件成本占比达到规定比例</w:t>
      </w:r>
    </w:p>
    <w:p w14:paraId="0954B7B7">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bCs/>
          <w:szCs w:val="21"/>
          <w:lang w:val="en-US" w:eastAsia="zh-CN"/>
        </w:rPr>
        <w:drawing>
          <wp:anchor distT="0" distB="0" distL="114300" distR="114300" simplePos="0" relativeHeight="251659264" behindDoc="0" locked="0" layoutInCell="1" allowOverlap="1">
            <wp:simplePos x="0" y="0"/>
            <wp:positionH relativeFrom="column">
              <wp:posOffset>160020</wp:posOffset>
            </wp:positionH>
            <wp:positionV relativeFrom="paragraph">
              <wp:posOffset>518160</wp:posOffset>
            </wp:positionV>
            <wp:extent cx="4829175" cy="762000"/>
            <wp:effectExtent l="0" t="0" r="1905" b="0"/>
            <wp:wrapTopAndBottom/>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14"/>
                    <a:stretch>
                      <a:fillRect/>
                    </a:stretch>
                  </pic:blipFill>
                  <pic:spPr>
                    <a:xfrm>
                      <a:off x="0" y="0"/>
                      <a:ext cx="4829175" cy="762000"/>
                    </a:xfrm>
                    <a:prstGeom prst="rect">
                      <a:avLst/>
                    </a:prstGeom>
                    <a:noFill/>
                    <a:ln>
                      <a:noFill/>
                    </a:ln>
                  </pic:spPr>
                </pic:pic>
              </a:graphicData>
            </a:graphic>
          </wp:anchor>
        </w:drawing>
      </w:r>
      <w:r>
        <w:rPr>
          <w:rFonts w:hint="default" w:ascii="宋体" w:hAnsi="宋体" w:cs="宋体"/>
          <w:b w:val="0"/>
          <w:bCs w:val="0"/>
          <w:szCs w:val="21"/>
          <w:lang w:val="en-US" w:eastAsia="zh-CN"/>
        </w:rPr>
        <w:t>产品在中国境内生产的组件成本占比应当达到规定比例，计算公式为：</w:t>
      </w:r>
    </w:p>
    <w:p w14:paraId="6CAAFF85">
      <w:pPr>
        <w:numPr>
          <w:ilvl w:val="0"/>
          <w:numId w:val="0"/>
        </w:numPr>
        <w:spacing w:line="360" w:lineRule="exact"/>
        <w:ind w:left="0" w:firstLine="420" w:firstLineChars="200"/>
        <w:jc w:val="left"/>
        <w:rPr>
          <w:rFonts w:hint="default" w:ascii="宋体" w:hAnsi="宋体" w:cs="宋体"/>
          <w:b/>
          <w:bCs/>
          <w:szCs w:val="21"/>
          <w:lang w:val="en-US" w:eastAsia="zh-CN"/>
        </w:rPr>
      </w:pPr>
    </w:p>
    <w:p w14:paraId="3C09CE88">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6D274359">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（三）特定产品的关键组件、关键工序符合相关要求</w:t>
      </w:r>
    </w:p>
    <w:p w14:paraId="6DDD6A01">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对特定产品，在符合本通知第一条第（一）项和第（二）项条件的基础上，应当符合财政部会同有关行业主管部门确定的其关键组件、关键工序在中国境内生产、完成等要求。</w:t>
      </w:r>
    </w:p>
    <w:p w14:paraId="20E2B7E6">
      <w:pPr>
        <w:numPr>
          <w:ilvl w:val="0"/>
          <w:numId w:val="0"/>
        </w:numPr>
        <w:spacing w:line="360" w:lineRule="exact"/>
        <w:ind w:left="0" w:firstLine="420" w:firstLineChars="200"/>
        <w:jc w:val="left"/>
        <w:rPr>
          <w:rFonts w:hint="default" w:ascii="宋体" w:hAnsi="宋体" w:cs="宋体"/>
          <w:b w:val="0"/>
          <w:bCs w:val="0"/>
          <w:szCs w:val="21"/>
          <w:lang w:val="en-US" w:eastAsia="zh-CN"/>
        </w:rPr>
      </w:pPr>
      <w:r>
        <w:rPr>
          <w:rFonts w:hint="default" w:ascii="宋体" w:hAnsi="宋体" w:cs="宋体"/>
          <w:b w:val="0"/>
          <w:bCs w:val="0"/>
          <w:szCs w:val="21"/>
          <w:lang w:val="en-US" w:eastAsia="zh-CN"/>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6694040F">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31.2本国产品标准的适用范围</w:t>
      </w:r>
    </w:p>
    <w:p w14:paraId="614B2696">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4109E780">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31.3对本国产品的支持政策</w:t>
      </w:r>
    </w:p>
    <w:p w14:paraId="291851B2">
      <w:pPr>
        <w:numPr>
          <w:ilvl w:val="0"/>
          <w:numId w:val="0"/>
        </w:numPr>
        <w:spacing w:line="360" w:lineRule="exact"/>
        <w:ind w:left="0" w:firstLine="420" w:firstLineChars="200"/>
        <w:jc w:val="left"/>
        <w:rPr>
          <w:rFonts w:hint="eastAsia" w:ascii="宋体" w:hAnsi="宋体" w:cs="宋体"/>
          <w:b w:val="0"/>
          <w:bCs w:val="0"/>
          <w:szCs w:val="21"/>
          <w:lang w:val="en-US" w:eastAsia="zh-CN"/>
        </w:rPr>
      </w:pPr>
      <w:r>
        <w:rPr>
          <w:rFonts w:hint="eastAsia" w:ascii="宋体" w:hAnsi="宋体" w:cs="宋体"/>
          <w:b w:val="0"/>
          <w:bCs w:val="0"/>
          <w:szCs w:val="21"/>
          <w:lang w:val="en-US" w:eastAsia="zh-CN"/>
        </w:rPr>
        <w:t>政府采购活动中既有本国产品又有非本国产品参与竞争的，依法对本国产品给予价格评审优惠，对本国产品的报价给予20%的价格扣除，用扣除后的价格参与评审。</w:t>
      </w:r>
    </w:p>
    <w:p w14:paraId="5FEAE315">
      <w:pPr>
        <w:numPr>
          <w:ilvl w:val="0"/>
          <w:numId w:val="0"/>
        </w:numPr>
        <w:spacing w:beforeLines="0" w:afterLines="0" w:line="360" w:lineRule="exact"/>
        <w:ind w:left="0" w:firstLine="420" w:firstLineChars="200"/>
        <w:jc w:val="left"/>
        <w:rPr>
          <w:rFonts w:hint="default" w:ascii="宋体" w:hAnsi="宋体" w:cs="宋体"/>
          <w:b w:val="0"/>
          <w:bCs w:val="0"/>
          <w:szCs w:val="21"/>
          <w:lang w:val="en-US" w:eastAsia="zh-CN"/>
        </w:rPr>
      </w:pPr>
      <w:r>
        <w:rPr>
          <w:rFonts w:hint="eastAsia" w:ascii="宋体" w:hAnsi="宋体" w:cs="宋体"/>
          <w:b w:val="0"/>
          <w:bCs w:val="0"/>
          <w:szCs w:val="21"/>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ECF816C">
      <w:pPr>
        <w:pStyle w:val="5"/>
        <w:spacing w:before="0" w:after="0" w:line="360" w:lineRule="exact"/>
        <w:ind w:firstLine="420" w:firstLineChars="200"/>
        <w:rPr>
          <w:rFonts w:hint="eastAsia" w:ascii="宋体" w:hAnsi="宋体" w:eastAsia="宋体" w:cs="宋体"/>
          <w:b/>
          <w:bCs w:val="0"/>
          <w:kern w:val="0"/>
          <w:sz w:val="21"/>
          <w:szCs w:val="21"/>
        </w:rPr>
      </w:pPr>
      <w:r>
        <w:rPr>
          <w:rFonts w:hint="eastAsia" w:ascii="宋体" w:hAnsi="宋体" w:eastAsia="宋体" w:cs="宋体"/>
          <w:b/>
          <w:bCs w:val="0"/>
          <w:kern w:val="0"/>
          <w:sz w:val="21"/>
          <w:szCs w:val="21"/>
          <w:lang w:val="en-US" w:eastAsia="zh-CN" w:bidi="ar-SA"/>
        </w:rPr>
        <w:t>32.</w:t>
      </w:r>
      <w:r>
        <w:rPr>
          <w:rFonts w:hint="eastAsia" w:ascii="宋体" w:hAnsi="宋体" w:eastAsia="宋体" w:cs="宋体"/>
          <w:b/>
          <w:bCs w:val="0"/>
          <w:kern w:val="0"/>
          <w:sz w:val="21"/>
          <w:szCs w:val="21"/>
          <w:lang w:eastAsia="zh-CN"/>
        </w:rPr>
        <w:t>编制依据</w:t>
      </w:r>
    </w:p>
    <w:p w14:paraId="59758A7D">
      <w:pPr>
        <w:numPr>
          <w:ilvl w:val="0"/>
          <w:numId w:val="0"/>
        </w:numPr>
        <w:spacing w:beforeLines="0" w:afterLines="0" w:line="360" w:lineRule="exact"/>
        <w:ind w:firstLine="420"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本竞争性谈判文件是根据《中华人民共和国政府采购法》《中华人民共和国政府采购法实施条例》《政府采购非招标采购方式管理办法》和政府采购管理有关规定编制。</w:t>
      </w:r>
    </w:p>
    <w:bookmarkEnd w:id="525"/>
    <w:bookmarkEnd w:id="526"/>
    <w:bookmarkEnd w:id="527"/>
    <w:bookmarkEnd w:id="528"/>
    <w:bookmarkEnd w:id="529"/>
    <w:bookmarkEnd w:id="530"/>
    <w:bookmarkEnd w:id="531"/>
    <w:bookmarkEnd w:id="532"/>
    <w:bookmarkEnd w:id="533"/>
    <w:bookmarkEnd w:id="534"/>
    <w:bookmarkEnd w:id="535"/>
    <w:bookmarkEnd w:id="536"/>
    <w:p w14:paraId="65B1BA88">
      <w:pPr>
        <w:pStyle w:val="5"/>
        <w:spacing w:before="0" w:after="0" w:line="360" w:lineRule="exact"/>
        <w:ind w:firstLine="420" w:firstLineChars="200"/>
        <w:rPr>
          <w:rFonts w:hint="eastAsia" w:ascii="宋体" w:hAnsi="宋体" w:eastAsia="宋体" w:cs="宋体"/>
          <w:b/>
          <w:bCs w:val="0"/>
          <w:kern w:val="0"/>
          <w:sz w:val="21"/>
          <w:szCs w:val="21"/>
        </w:rPr>
      </w:pPr>
      <w:bookmarkStart w:id="537" w:name="_Toc30022"/>
      <w:bookmarkStart w:id="538" w:name="_Toc23832"/>
      <w:bookmarkStart w:id="539" w:name="_Toc20007"/>
      <w:bookmarkStart w:id="540" w:name="_Toc13981"/>
      <w:bookmarkStart w:id="541" w:name="_Toc11535"/>
      <w:bookmarkStart w:id="542" w:name="_Toc10125"/>
      <w:bookmarkStart w:id="543" w:name="_Toc18121"/>
      <w:bookmarkStart w:id="544" w:name="_Toc7638"/>
      <w:bookmarkStart w:id="545" w:name="_Toc10995"/>
      <w:bookmarkStart w:id="546" w:name="_Toc27822"/>
      <w:bookmarkStart w:id="547" w:name="_Toc7388"/>
      <w:bookmarkStart w:id="548" w:name="_Toc2598"/>
      <w:r>
        <w:rPr>
          <w:rFonts w:hint="eastAsia" w:ascii="宋体" w:hAnsi="宋体" w:eastAsia="宋体" w:cs="宋体"/>
          <w:b/>
          <w:bCs w:val="0"/>
          <w:kern w:val="0"/>
          <w:sz w:val="21"/>
          <w:szCs w:val="21"/>
          <w:lang w:val="en-US" w:eastAsia="zh-CN" w:bidi="ar-SA"/>
        </w:rPr>
        <w:t>33.</w:t>
      </w:r>
      <w:r>
        <w:rPr>
          <w:rFonts w:hint="eastAsia" w:ascii="宋体" w:hAnsi="宋体" w:eastAsia="宋体" w:cs="宋体"/>
          <w:b/>
          <w:bCs w:val="0"/>
          <w:kern w:val="0"/>
          <w:sz w:val="21"/>
          <w:szCs w:val="21"/>
          <w:lang w:eastAsia="zh-CN"/>
        </w:rPr>
        <w:t>监督管理机构</w:t>
      </w:r>
    </w:p>
    <w:p w14:paraId="2668EAF8">
      <w:pPr>
        <w:spacing w:beforeLines="0" w:afterLines="0" w:line="360" w:lineRule="exact"/>
        <w:ind w:firstLine="420" w:firstLineChars="200"/>
        <w:rPr>
          <w:rFonts w:hint="eastAsia" w:ascii="宋体" w:hAnsi="宋体" w:eastAsia="宋体" w:cs="宋体"/>
          <w:szCs w:val="21"/>
          <w:lang w:eastAsia="zh-CN"/>
        </w:rPr>
      </w:pPr>
      <w:r>
        <w:rPr>
          <w:rFonts w:hint="eastAsia" w:ascii="宋体" w:hAnsi="宋体" w:cs="宋体"/>
          <w:szCs w:val="21"/>
          <w:lang w:val="en-US" w:eastAsia="zh-CN"/>
        </w:rPr>
        <w:t>资源县</w:t>
      </w:r>
      <w:r>
        <w:rPr>
          <w:rFonts w:hint="eastAsia" w:ascii="宋体" w:hAnsi="宋体" w:cs="宋体"/>
          <w:szCs w:val="21"/>
        </w:rPr>
        <w:t>财政局</w:t>
      </w:r>
      <w:r>
        <w:rPr>
          <w:rFonts w:hint="eastAsia" w:ascii="宋体" w:hAnsi="宋体" w:cs="宋体"/>
          <w:szCs w:val="21"/>
          <w:lang w:val="en-US" w:eastAsia="zh-CN"/>
        </w:rPr>
        <w:t xml:space="preserve">    </w:t>
      </w:r>
      <w:r>
        <w:rPr>
          <w:rFonts w:hint="eastAsia" w:ascii="宋体" w:hAnsi="宋体" w:cs="宋体"/>
          <w:szCs w:val="21"/>
        </w:rPr>
        <w:t>联系方式：</w:t>
      </w:r>
      <w:r>
        <w:rPr>
          <w:rFonts w:hint="eastAsia" w:ascii="宋体" w:hAnsi="宋体" w:cs="宋体"/>
          <w:szCs w:val="21"/>
          <w:lang w:eastAsia="zh-CN"/>
        </w:rPr>
        <w:t>0773-4315648</w:t>
      </w:r>
    </w:p>
    <w:bookmarkEnd w:id="537"/>
    <w:bookmarkEnd w:id="538"/>
    <w:bookmarkEnd w:id="539"/>
    <w:bookmarkEnd w:id="540"/>
    <w:bookmarkEnd w:id="541"/>
    <w:bookmarkEnd w:id="542"/>
    <w:bookmarkEnd w:id="543"/>
    <w:bookmarkEnd w:id="544"/>
    <w:bookmarkEnd w:id="545"/>
    <w:bookmarkEnd w:id="546"/>
    <w:bookmarkEnd w:id="547"/>
    <w:bookmarkEnd w:id="548"/>
    <w:p w14:paraId="73468AFB">
      <w:pPr>
        <w:spacing w:beforeLines="0" w:afterLines="0" w:line="360" w:lineRule="exact"/>
        <w:ind w:firstLine="420" w:firstLineChars="200"/>
        <w:rPr>
          <w:rFonts w:ascii="宋体" w:hAnsi="宋体" w:cs="宋体"/>
          <w:szCs w:val="21"/>
        </w:rPr>
      </w:pPr>
    </w:p>
    <w:p w14:paraId="7D4EEED5">
      <w:pPr>
        <w:pStyle w:val="8"/>
        <w:rPr>
          <w:rFonts w:hint="eastAsia"/>
        </w:rPr>
      </w:pPr>
    </w:p>
    <w:p w14:paraId="0C45A60E">
      <w:pPr>
        <w:pStyle w:val="8"/>
        <w:rPr>
          <w:rFonts w:hint="eastAsia"/>
        </w:rPr>
      </w:pPr>
    </w:p>
    <w:p w14:paraId="4FEC3234">
      <w:pPr>
        <w:pStyle w:val="8"/>
        <w:rPr>
          <w:rFonts w:hint="eastAsia"/>
        </w:rPr>
      </w:pPr>
    </w:p>
    <w:p w14:paraId="76869FF3">
      <w:pPr>
        <w:pStyle w:val="9"/>
        <w:rPr>
          <w:rFonts w:hint="eastAsia"/>
        </w:rPr>
      </w:pPr>
    </w:p>
    <w:p w14:paraId="61BAE029">
      <w:pPr>
        <w:pStyle w:val="3"/>
        <w:jc w:val="center"/>
        <w:rPr>
          <w:rFonts w:hint="eastAsia"/>
          <w:sz w:val="32"/>
          <w:szCs w:val="32"/>
        </w:rPr>
      </w:pPr>
      <w:bookmarkStart w:id="549" w:name="_Toc5383"/>
      <w:bookmarkStart w:id="550" w:name="_Toc11549"/>
      <w:bookmarkStart w:id="551" w:name="_Toc7875"/>
      <w:bookmarkStart w:id="552" w:name="_Toc2351"/>
      <w:bookmarkStart w:id="553" w:name="_Toc23082"/>
      <w:bookmarkStart w:id="554" w:name="_Toc6208"/>
      <w:bookmarkStart w:id="555" w:name="_Toc15558"/>
      <w:bookmarkStart w:id="556" w:name="_Toc10703"/>
      <w:bookmarkStart w:id="557" w:name="_Toc2583"/>
      <w:bookmarkStart w:id="558" w:name="_Toc7382"/>
      <w:bookmarkStart w:id="559" w:name="_Toc5642"/>
      <w:bookmarkStart w:id="560" w:name="_Toc2844"/>
      <w:bookmarkStart w:id="561" w:name="_Toc31989"/>
      <w:bookmarkStart w:id="562" w:name="_Toc22045"/>
      <w:bookmarkStart w:id="563" w:name="_Toc22005"/>
      <w:bookmarkStart w:id="564" w:name="_Toc20982"/>
      <w:bookmarkStart w:id="565" w:name="_Toc11914"/>
      <w:bookmarkStart w:id="566" w:name="_Toc18847"/>
      <w:bookmarkStart w:id="567" w:name="_Toc9674"/>
      <w:bookmarkStart w:id="568" w:name="_Toc10854"/>
      <w:bookmarkStart w:id="569" w:name="_Toc6061"/>
      <w:bookmarkStart w:id="570" w:name="_Toc819"/>
      <w:r>
        <w:rPr>
          <w:rFonts w:hint="eastAsia"/>
          <w:sz w:val="32"/>
          <w:szCs w:val="32"/>
        </w:rPr>
        <w:t>第三章　采购需求</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09508131">
      <w:pPr>
        <w:adjustRightInd w:val="0"/>
        <w:spacing w:line="400" w:lineRule="exact"/>
        <w:rPr>
          <w:rFonts w:ascii="宋体" w:hAnsi="宋体" w:cs="宋体"/>
          <w:b/>
          <w:color w:val="000000"/>
          <w:szCs w:val="21"/>
        </w:rPr>
      </w:pPr>
      <w:r>
        <w:rPr>
          <w:rFonts w:hint="eastAsia" w:ascii="宋体" w:hAnsi="宋体" w:cs="宋体"/>
          <w:b/>
          <w:color w:val="000000"/>
          <w:szCs w:val="21"/>
        </w:rPr>
        <w:t>说明：</w:t>
      </w:r>
    </w:p>
    <w:p w14:paraId="3B01B685">
      <w:pPr>
        <w:adjustRightInd w:val="0"/>
        <w:ind w:firstLine="431"/>
        <w:rPr>
          <w:rFonts w:hint="eastAsia" w:ascii="宋体" w:hAnsi="宋体" w:cs="宋体"/>
          <w:b/>
          <w:szCs w:val="21"/>
        </w:rPr>
      </w:pPr>
      <w:r>
        <w:rPr>
          <w:rFonts w:hint="eastAsia" w:ascii="宋体" w:hAnsi="宋体" w:cs="宋体"/>
          <w:b/>
          <w:szCs w:val="21"/>
        </w:rPr>
        <w:t>1、根据《关于调整优化节能产品、环境标志产品政府采购执行机制的通知》（财库〔2019〕9号）的规定，政府采购节能产品、环境标志产品实施品目清单管理，依据品目清单和认证证书实施政府优先采购。采购人拟采购的产品属于品目清单范围的，采购人及其委托的采购代理机构应当依据国家确定的认证机构出具的、处于有效期之内的节能产品、环境标志产品认证证书，对获得证书的产品实施政府优先采购。报价人投标时须提供投标产品的相关证明材料。</w:t>
      </w:r>
    </w:p>
    <w:p w14:paraId="5A84546C">
      <w:pPr>
        <w:adjustRightInd w:val="0"/>
        <w:ind w:firstLine="431"/>
        <w:rPr>
          <w:rFonts w:hint="eastAsia" w:ascii="宋体" w:hAnsi="宋体" w:cs="宋体"/>
          <w:b/>
          <w:szCs w:val="21"/>
        </w:rPr>
      </w:pPr>
      <w:r>
        <w:rPr>
          <w:rFonts w:hint="eastAsia" w:ascii="宋体" w:hAnsi="宋体" w:cs="宋体"/>
          <w:b/>
          <w:szCs w:val="21"/>
        </w:rPr>
        <w:t>《节能产品政府采购品目清单》中：</w:t>
      </w:r>
    </w:p>
    <w:p w14:paraId="2AA2E71E">
      <w:pPr>
        <w:numPr>
          <w:ilvl w:val="0"/>
          <w:numId w:val="4"/>
        </w:numPr>
        <w:adjustRightInd w:val="0"/>
        <w:ind w:left="845"/>
        <w:rPr>
          <w:rFonts w:hint="eastAsia" w:ascii="宋体" w:hAnsi="宋体" w:cs="宋体"/>
          <w:b/>
          <w:szCs w:val="21"/>
        </w:rPr>
      </w:pPr>
      <w:r>
        <w:rPr>
          <w:rFonts w:hint="eastAsia" w:ascii="宋体" w:hAnsi="宋体" w:cs="宋体"/>
          <w:b/>
          <w:szCs w:val="21"/>
        </w:rPr>
        <w:t>计算机设备（台式计算机、便携式计算机、平板式微型计算机）；</w:t>
      </w:r>
    </w:p>
    <w:p w14:paraId="70C159F2">
      <w:pPr>
        <w:numPr>
          <w:ilvl w:val="0"/>
          <w:numId w:val="4"/>
        </w:numPr>
        <w:adjustRightInd w:val="0"/>
        <w:ind w:left="845"/>
        <w:rPr>
          <w:rFonts w:hint="eastAsia" w:ascii="宋体" w:hAnsi="宋体" w:cs="宋体"/>
          <w:b/>
          <w:szCs w:val="21"/>
        </w:rPr>
      </w:pPr>
      <w:r>
        <w:rPr>
          <w:rFonts w:hint="eastAsia" w:ascii="宋体" w:hAnsi="宋体" w:cs="宋体"/>
          <w:b/>
          <w:szCs w:val="21"/>
        </w:rPr>
        <w:t>输入输出设备【打印设备（激光打印机、针式打印机）、显示设备（液晶显示器）】；</w:t>
      </w:r>
    </w:p>
    <w:p w14:paraId="699700A6">
      <w:pPr>
        <w:numPr>
          <w:ilvl w:val="0"/>
          <w:numId w:val="4"/>
        </w:numPr>
        <w:adjustRightInd w:val="0"/>
        <w:ind w:left="845"/>
        <w:rPr>
          <w:rFonts w:hint="eastAsia" w:ascii="宋体" w:hAnsi="宋体" w:cs="宋体"/>
          <w:b/>
          <w:szCs w:val="21"/>
        </w:rPr>
      </w:pPr>
      <w:r>
        <w:rPr>
          <w:rFonts w:hint="eastAsia" w:ascii="宋体" w:hAnsi="宋体" w:cs="宋体"/>
          <w:b/>
          <w:szCs w:val="21"/>
        </w:rPr>
        <w:t>制冷空调设备【制冷压缩机（冷水机组、水源热泵机组、溴化锂吸收式冷水机组）、空调机组（多联式空调（热泵）机组（制冷量＞14000W）、单元式空气调节机（制冷量＞14000W））、专用制冷、空调设备（机房空调）】；</w:t>
      </w:r>
    </w:p>
    <w:p w14:paraId="3BC4D3DD">
      <w:pPr>
        <w:numPr>
          <w:ilvl w:val="0"/>
          <w:numId w:val="4"/>
        </w:numPr>
        <w:adjustRightInd w:val="0"/>
        <w:ind w:left="845"/>
        <w:rPr>
          <w:rFonts w:hint="eastAsia" w:ascii="宋体" w:hAnsi="宋体" w:cs="宋体"/>
          <w:b/>
          <w:szCs w:val="21"/>
        </w:rPr>
      </w:pPr>
      <w:r>
        <w:rPr>
          <w:rFonts w:hint="eastAsia" w:ascii="宋体" w:hAnsi="宋体" w:cs="宋体"/>
          <w:b/>
          <w:szCs w:val="21"/>
        </w:rPr>
        <w:t>镇流器（管型荧光灯镇流器）；</w:t>
      </w:r>
    </w:p>
    <w:p w14:paraId="334B6F25">
      <w:pPr>
        <w:numPr>
          <w:ilvl w:val="0"/>
          <w:numId w:val="4"/>
        </w:numPr>
        <w:adjustRightInd w:val="0"/>
        <w:ind w:left="845"/>
        <w:rPr>
          <w:rFonts w:hint="eastAsia" w:ascii="宋体" w:hAnsi="宋体" w:cs="宋体"/>
          <w:b/>
          <w:szCs w:val="21"/>
        </w:rPr>
      </w:pPr>
      <w:r>
        <w:rPr>
          <w:rFonts w:hint="eastAsia" w:ascii="宋体" w:hAnsi="宋体" w:cs="宋体"/>
          <w:b/>
          <w:szCs w:val="21"/>
        </w:rPr>
        <w:t>生活用电器｛空调机【房间空气调节器、多联式空调（热泵）机组（制冷量≤14000W）、单元式空气调节机（制冷量≤14000W）】、热水器（电热水器）｝；</w:t>
      </w:r>
    </w:p>
    <w:p w14:paraId="20DB6BB8">
      <w:pPr>
        <w:numPr>
          <w:ilvl w:val="0"/>
          <w:numId w:val="4"/>
        </w:numPr>
        <w:adjustRightInd w:val="0"/>
        <w:ind w:left="845"/>
        <w:rPr>
          <w:rFonts w:hint="eastAsia" w:ascii="宋体" w:hAnsi="宋体" w:cs="宋体"/>
          <w:b/>
          <w:szCs w:val="21"/>
        </w:rPr>
      </w:pPr>
      <w:r>
        <w:rPr>
          <w:rFonts w:hint="eastAsia" w:ascii="宋体" w:hAnsi="宋体" w:cs="宋体"/>
          <w:b/>
          <w:szCs w:val="21"/>
        </w:rPr>
        <w:t>照明设备（普通照明用双端荧光灯）；</w:t>
      </w:r>
    </w:p>
    <w:p w14:paraId="0AA8EE46">
      <w:pPr>
        <w:numPr>
          <w:ilvl w:val="0"/>
          <w:numId w:val="4"/>
        </w:numPr>
        <w:adjustRightInd w:val="0"/>
        <w:ind w:left="845"/>
        <w:rPr>
          <w:rFonts w:hint="eastAsia" w:ascii="宋体" w:hAnsi="宋体" w:cs="宋体"/>
          <w:b/>
          <w:szCs w:val="21"/>
        </w:rPr>
      </w:pPr>
      <w:r>
        <w:rPr>
          <w:rFonts w:hint="eastAsia" w:ascii="宋体" w:hAnsi="宋体" w:cs="宋体"/>
          <w:b/>
          <w:szCs w:val="21"/>
        </w:rPr>
        <w:t>电视设备【普通电视设备（电视机）】；</w:t>
      </w:r>
    </w:p>
    <w:p w14:paraId="04E5A2E2">
      <w:pPr>
        <w:numPr>
          <w:ilvl w:val="0"/>
          <w:numId w:val="4"/>
        </w:numPr>
        <w:adjustRightInd w:val="0"/>
        <w:ind w:left="845"/>
        <w:rPr>
          <w:rFonts w:hint="eastAsia" w:ascii="宋体" w:hAnsi="宋体" w:cs="宋体"/>
          <w:b/>
          <w:szCs w:val="21"/>
        </w:rPr>
      </w:pPr>
      <w:r>
        <w:rPr>
          <w:rFonts w:hint="eastAsia" w:ascii="宋体" w:hAnsi="宋体" w:cs="宋体"/>
          <w:b/>
          <w:szCs w:val="21"/>
        </w:rPr>
        <w:t>视频设备【视频监控设备（监视器）】；</w:t>
      </w:r>
    </w:p>
    <w:p w14:paraId="127CD18D">
      <w:pPr>
        <w:numPr>
          <w:ilvl w:val="0"/>
          <w:numId w:val="4"/>
        </w:numPr>
        <w:adjustRightInd w:val="0"/>
        <w:ind w:left="845"/>
        <w:rPr>
          <w:rFonts w:hint="eastAsia" w:ascii="宋体" w:hAnsi="宋体" w:cs="宋体"/>
          <w:b/>
          <w:szCs w:val="21"/>
        </w:rPr>
      </w:pPr>
      <w:r>
        <w:rPr>
          <w:rFonts w:hint="eastAsia" w:ascii="宋体" w:hAnsi="宋体" w:cs="宋体"/>
          <w:b/>
          <w:szCs w:val="21"/>
        </w:rPr>
        <w:t>便器（坐便器、蹲便器、小便器）；</w:t>
      </w:r>
    </w:p>
    <w:p w14:paraId="79BDDF7E">
      <w:pPr>
        <w:numPr>
          <w:ilvl w:val="0"/>
          <w:numId w:val="4"/>
        </w:numPr>
        <w:adjustRightInd w:val="0"/>
        <w:ind w:left="845"/>
        <w:rPr>
          <w:rFonts w:hint="eastAsia" w:ascii="宋体" w:hAnsi="宋体" w:cs="宋体"/>
          <w:b/>
          <w:szCs w:val="21"/>
        </w:rPr>
      </w:pPr>
      <w:r>
        <w:rPr>
          <w:rFonts w:hint="eastAsia" w:ascii="宋体" w:hAnsi="宋体" w:cs="宋体"/>
          <w:b/>
          <w:szCs w:val="21"/>
        </w:rPr>
        <w:t>水嘴。</w:t>
      </w:r>
    </w:p>
    <w:p w14:paraId="04A8ADCE">
      <w:pPr>
        <w:adjustRightInd w:val="0"/>
        <w:ind w:firstLine="431"/>
        <w:rPr>
          <w:rFonts w:hint="eastAsia" w:ascii="宋体" w:hAnsi="宋体" w:cs="宋体"/>
          <w:b/>
          <w:szCs w:val="21"/>
        </w:rPr>
      </w:pPr>
      <w:r>
        <w:rPr>
          <w:rFonts w:hint="eastAsia" w:ascii="宋体" w:hAnsi="宋体" w:cs="宋体"/>
          <w:b/>
          <w:szCs w:val="21"/>
        </w:rPr>
        <w:t>以上所罗列的设备为《节能产品政府采购品目清单》中政府强制采购节能产品，采购人拟采购的产品属于政府强制采购产品的，报价人投标时必须针对该产品出具依据国家确定的认证机构出具的、处于有效期之内的节能产品认证证书扫描件，并加盖报价人CA签章，否则投标无效。</w:t>
      </w:r>
    </w:p>
    <w:p w14:paraId="0B25BB30">
      <w:pPr>
        <w:adjustRightInd w:val="0"/>
        <w:ind w:firstLine="431"/>
        <w:rPr>
          <w:rFonts w:hint="eastAsia" w:ascii="宋体" w:hAnsi="宋体" w:cs="宋体"/>
          <w:b/>
          <w:szCs w:val="21"/>
        </w:rPr>
      </w:pPr>
      <w:r>
        <w:rPr>
          <w:rFonts w:hint="eastAsia" w:ascii="宋体" w:hAnsi="宋体" w:cs="宋体"/>
          <w:b/>
          <w:szCs w:val="21"/>
        </w:rPr>
        <w:t>2、报价人应对投标内容所涉及的专利承担法律责任，并负责保护业主的利益不受任何损害。一切由于文字、商标、技术和软件专利授权引起的法律裁决、诉讼和赔偿费用均由成交供应商负责。同时，具有产品专利的报价人应在其投标文件中提供与其自有产品专利相关的有效证明材料，否则，不能就其产品的专利在本项目投标过程中被侵权问题而提出异议。</w:t>
      </w:r>
    </w:p>
    <w:p w14:paraId="71698FFC">
      <w:pPr>
        <w:adjustRightInd w:val="0"/>
        <w:ind w:firstLine="431"/>
        <w:rPr>
          <w:rFonts w:hint="eastAsia" w:ascii="宋体" w:hAnsi="宋体" w:cs="宋体"/>
          <w:b/>
          <w:bCs/>
        </w:rPr>
      </w:pPr>
      <w:r>
        <w:rPr>
          <w:rFonts w:hint="eastAsia" w:ascii="宋体" w:hAnsi="宋体" w:cs="宋体"/>
          <w:b/>
          <w:szCs w:val="21"/>
        </w:rPr>
        <w:t>3、</w:t>
      </w:r>
      <w:r>
        <w:rPr>
          <w:rFonts w:hint="eastAsia" w:ascii="宋体" w:hAnsi="宋体" w:cs="宋体"/>
          <w:b/>
          <w:bCs/>
        </w:rPr>
        <w:t>根据《关于调整网络安全专用产品安全管理有关事项的公告》(2023年1号)规定，列入《网络关键设备和网络安全专用产品目录》的网络安全专用产品应当按照《信息安全技术 网络安全专用产品安全技术要求》等相关国家标准的强制性要求，由具备资格的机构安全认证合格或者安全检测符合要求后，方可销售或者提供。本项目采购需求中的产品如果包括《网络关键设备和网络安全专用产品目录》的网络安全专用产品，供应商应在投标文件中提供国家互联网信息办公室会同工业和信息化部、公安部、国家认证认可监督管理委员会统一公布和更新符合要求的网络关键设备和网络安全专用产品清单的网页截图（同时提供该网页的详细网址），加盖CA签章。</w:t>
      </w:r>
    </w:p>
    <w:p w14:paraId="79BEB00F">
      <w:pPr>
        <w:adjustRightInd w:val="0"/>
        <w:spacing w:line="360" w:lineRule="exact"/>
        <w:ind w:firstLine="431"/>
        <w:rPr>
          <w:rFonts w:hint="default" w:ascii="宋体" w:hAnsi="宋体" w:eastAsia="宋体" w:cs="宋体"/>
          <w:b/>
          <w:bCs/>
          <w:highlight w:val="none"/>
          <w:lang w:val="en-US" w:eastAsia="zh-CN"/>
        </w:rPr>
      </w:pPr>
      <w:r>
        <w:rPr>
          <w:rFonts w:hint="eastAsia" w:ascii="宋体" w:hAnsi="宋体" w:eastAsia="宋体" w:cs="宋体"/>
          <w:b/>
          <w:bCs/>
          <w:highlight w:val="none"/>
          <w:lang w:val="en-US" w:eastAsia="zh-CN"/>
        </w:rPr>
        <w:t>4、</w:t>
      </w:r>
      <w:r>
        <w:rPr>
          <w:rFonts w:hint="eastAsia" w:ascii="宋体" w:hAnsi="宋体" w:eastAsia="宋体" w:cs="宋体"/>
          <w:b/>
          <w:bCs/>
          <w:color w:val="auto"/>
          <w:kern w:val="0"/>
          <w:sz w:val="21"/>
          <w:szCs w:val="21"/>
          <w:highlight w:val="none"/>
          <w:shd w:val="clear" w:color="auto" w:fill="auto"/>
          <w:lang w:val="en-US" w:eastAsia="zh-CN" w:bidi="ar-SA"/>
        </w:rPr>
        <w:t>根据《国务院办公厅关于在政府采购中实施本国产品标准及相关政策的通知》（国办发〔2025〕34号），在政府采购活动中既有本国产品又有非本国产品参与竞争的情况下，依法对本国产品给予价格评审优惠。本项目对本国产品给予价格扣除，扣除比例详见评标方法。投标人如申请享受此项价格扣除，必须按本文件“响应文件（格式）”要求，填写并提交《关于符合本国产品标准的声明函》。未提交或提交不符合要求的，不享受扣除，按其原报价计算价格分。</w:t>
      </w:r>
    </w:p>
    <w:p w14:paraId="553CCA47">
      <w:pPr>
        <w:adjustRightInd w:val="0"/>
        <w:ind w:firstLine="431"/>
        <w:rPr>
          <w:rFonts w:hint="eastAsia" w:ascii="宋体" w:hAnsi="宋体" w:cs="宋体"/>
          <w:b/>
          <w:bCs/>
        </w:rPr>
      </w:pPr>
    </w:p>
    <w:p w14:paraId="510DE175">
      <w:pPr>
        <w:adjustRightInd w:val="0"/>
        <w:ind w:firstLine="431"/>
        <w:rPr>
          <w:rFonts w:hint="eastAsia" w:ascii="宋体" w:hAnsi="宋体" w:cs="宋体"/>
          <w:b/>
          <w:szCs w:val="21"/>
        </w:rPr>
      </w:pPr>
      <w:r>
        <w:rPr>
          <w:rFonts w:hint="eastAsia" w:ascii="宋体" w:hAnsi="宋体" w:cs="宋体"/>
          <w:b/>
          <w:szCs w:val="21"/>
          <w:lang w:val="en-US" w:eastAsia="zh-CN"/>
        </w:rPr>
        <w:t>5</w:t>
      </w:r>
      <w:r>
        <w:rPr>
          <w:rFonts w:hint="eastAsia" w:ascii="宋体" w:hAnsi="宋体" w:cs="宋体"/>
          <w:b/>
          <w:szCs w:val="21"/>
        </w:rPr>
        <w:t>、报价人应注意下列内容：</w:t>
      </w:r>
    </w:p>
    <w:p w14:paraId="7BA089A0">
      <w:pPr>
        <w:ind w:firstLine="420" w:firstLineChars="200"/>
        <w:jc w:val="left"/>
        <w:textAlignment w:val="center"/>
        <w:rPr>
          <w:rFonts w:hint="eastAsia" w:ascii="宋体" w:hAnsi="宋体" w:cs="宋体"/>
          <w:b/>
          <w:szCs w:val="21"/>
        </w:rPr>
      </w:pPr>
      <w:r>
        <w:rPr>
          <w:rFonts w:hint="eastAsia" w:ascii="宋体" w:hAnsi="宋体" w:cs="宋体"/>
          <w:b/>
          <w:szCs w:val="21"/>
        </w:rPr>
        <w:t>1）本需求一览表中</w:t>
      </w:r>
      <w:r>
        <w:rPr>
          <w:rFonts w:hint="eastAsia" w:ascii="宋体" w:hAnsi="宋体" w:cs="宋体"/>
          <w:b/>
          <w:bCs/>
          <w:szCs w:val="21"/>
        </w:rPr>
        <w:t>所有要求均为实质性要求</w:t>
      </w:r>
      <w:r>
        <w:rPr>
          <w:rFonts w:hint="eastAsia" w:ascii="宋体" w:hAnsi="宋体" w:cs="宋体"/>
          <w:b/>
          <w:szCs w:val="21"/>
        </w:rPr>
        <w:t>，不允许负偏离，否则投标无效。报价人须满足或响应，若无法完全满足，将会被认定为无效报价。</w:t>
      </w:r>
    </w:p>
    <w:p w14:paraId="5F05C5C8">
      <w:pPr>
        <w:ind w:firstLine="420" w:firstLineChars="200"/>
        <w:jc w:val="left"/>
        <w:textAlignment w:val="center"/>
        <w:rPr>
          <w:rFonts w:hint="eastAsia" w:ascii="宋体" w:hAnsi="宋体" w:cs="宋体"/>
          <w:b/>
          <w:bCs/>
          <w:sz w:val="32"/>
          <w:szCs w:val="32"/>
        </w:rPr>
      </w:pPr>
      <w:r>
        <w:rPr>
          <w:rFonts w:hint="eastAsia" w:ascii="宋体" w:hAnsi="宋体" w:cs="宋体"/>
          <w:b/>
          <w:szCs w:val="21"/>
        </w:rPr>
        <w:t>2）报价人须在响应文件中填写/应答技术规格参数，当响应文件中技术参数与竞争性谈判文件中技术参数有偏离时，须在“偏离”栏内如实注明是“正偏离”或“负偏离”，“正偏离”指响应设备的技术参数优于竞争性谈判文件中要求，“负偏离”指投标设备的技术参数低于竞争性谈判文件中要求。响应文件中的技术参数、功能或其它内容有“正偏离”的，报价人须对“正偏离”的情况单独作出说明。</w:t>
      </w:r>
    </w:p>
    <w:p w14:paraId="67352E78">
      <w:pPr>
        <w:adjustRightInd w:val="0"/>
        <w:ind w:firstLine="431"/>
        <w:rPr>
          <w:rFonts w:hint="eastAsia" w:ascii="宋体" w:hAnsi="宋体" w:cs="宋体"/>
          <w:b/>
          <w:szCs w:val="21"/>
        </w:rPr>
      </w:pPr>
    </w:p>
    <w:p w14:paraId="4E46E29E">
      <w:pPr>
        <w:spacing w:line="360" w:lineRule="auto"/>
        <w:jc w:val="center"/>
        <w:textAlignment w:val="center"/>
        <w:rPr>
          <w:rFonts w:hint="eastAsia" w:ascii="宋体" w:hAnsi="宋体" w:cs="宋体"/>
          <w:b/>
          <w:bCs/>
          <w:szCs w:val="21"/>
        </w:rPr>
      </w:pPr>
      <w:r>
        <w:rPr>
          <w:rFonts w:hint="eastAsia" w:ascii="宋体" w:hAnsi="宋体" w:cs="宋体"/>
          <w:b/>
          <w:bCs/>
          <w:sz w:val="32"/>
          <w:szCs w:val="32"/>
        </w:rPr>
        <w:t>采购需求</w:t>
      </w:r>
    </w:p>
    <w:p w14:paraId="4994CA8F">
      <w:pPr>
        <w:jc w:val="left"/>
        <w:rPr>
          <w:rFonts w:hint="eastAsia" w:ascii="Calibri" w:hAnsi="Calibri" w:eastAsia="宋体" w:cs="Times New Roman"/>
          <w:kern w:val="2"/>
          <w:sz w:val="21"/>
          <w:szCs w:val="24"/>
          <w:lang w:val="en-US" w:eastAsia="zh-CN" w:bidi="ar-SA"/>
        </w:rPr>
      </w:pPr>
      <w:r>
        <w:rPr>
          <w:rFonts w:hint="eastAsia"/>
          <w:b/>
          <w:bCs/>
          <w:sz w:val="28"/>
          <w:szCs w:val="36"/>
          <w:lang w:val="en-US" w:eastAsia="zh-CN"/>
        </w:rPr>
        <w:t>一、技术规格需求</w:t>
      </w:r>
    </w:p>
    <w:tbl>
      <w:tblPr>
        <w:tblStyle w:val="26"/>
        <w:tblpPr w:leftFromText="180" w:rightFromText="180" w:vertAnchor="text" w:horzAnchor="page" w:tblpX="1307" w:tblpY="71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1003"/>
        <w:gridCol w:w="5820"/>
        <w:gridCol w:w="525"/>
        <w:gridCol w:w="427"/>
        <w:gridCol w:w="1043"/>
        <w:gridCol w:w="1043"/>
      </w:tblGrid>
      <w:tr w14:paraId="7120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4829FD">
            <w:pPr>
              <w:keepNext/>
              <w:widowControl/>
              <w:tabs>
                <w:tab w:val="left" w:pos="2835"/>
              </w:tabs>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序号</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1F3285">
            <w:pPr>
              <w:keepNext/>
              <w:widowControl/>
              <w:tabs>
                <w:tab w:val="left" w:pos="2835"/>
              </w:tabs>
              <w:jc w:val="center"/>
              <w:rPr>
                <w:rFonts w:hint="eastAsia" w:ascii="宋体" w:hAnsi="宋体" w:eastAsia="宋体" w:cs="宋体"/>
                <w:color w:val="000000"/>
                <w:szCs w:val="21"/>
                <w:highlight w:val="none"/>
              </w:rPr>
            </w:pPr>
            <w:r>
              <w:rPr>
                <w:rFonts w:hint="eastAsia" w:ascii="宋体" w:hAnsi="宋体"/>
                <w:b/>
                <w:bCs/>
              </w:rPr>
              <w:t>标的名称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B9F09A">
            <w:pPr>
              <w:keepNext/>
              <w:widowControl/>
              <w:tabs>
                <w:tab w:val="left" w:pos="2835"/>
              </w:tabs>
              <w:jc w:val="center"/>
              <w:rPr>
                <w:rFonts w:hint="eastAsia" w:ascii="宋体" w:hAnsi="宋体" w:eastAsia="宋体" w:cs="宋体"/>
                <w:color w:val="000000"/>
                <w:szCs w:val="21"/>
                <w:highlight w:val="none"/>
              </w:rPr>
            </w:pPr>
            <w:r>
              <w:rPr>
                <w:rFonts w:hint="eastAsia" w:ascii="宋体" w:hAnsi="宋体" w:cs="宋体"/>
                <w:b/>
                <w:bCs/>
                <w:color w:val="auto"/>
                <w:sz w:val="21"/>
                <w:szCs w:val="21"/>
                <w:lang w:eastAsia="zh-CN"/>
              </w:rPr>
              <w:t>项</w:t>
            </w:r>
            <w:r>
              <w:rPr>
                <w:rFonts w:hint="eastAsia" w:ascii="宋体" w:hAnsi="宋体" w:cs="宋体"/>
                <w:b/>
                <w:bCs/>
                <w:color w:val="auto"/>
                <w:sz w:val="21"/>
                <w:szCs w:val="21"/>
              </w:rPr>
              <w:t>目要求及技术需求</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F4BC56">
            <w:pPr>
              <w:keepNext/>
              <w:widowControl/>
              <w:tabs>
                <w:tab w:val="left" w:pos="2835"/>
              </w:tabs>
              <w:jc w:val="center"/>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数量</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0787E4">
            <w:pPr>
              <w:keepNext/>
              <w:widowControl/>
              <w:tabs>
                <w:tab w:val="left" w:pos="2835"/>
              </w:tabs>
              <w:jc w:val="center"/>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单位</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B04E97">
            <w:pPr>
              <w:keepNext/>
              <w:widowControl/>
              <w:tabs>
                <w:tab w:val="left" w:pos="2835"/>
              </w:tabs>
              <w:jc w:val="center"/>
              <w:rPr>
                <w:rFonts w:hint="eastAsia" w:ascii="宋体" w:hAnsi="宋体" w:eastAsia="宋体" w:cs="宋体"/>
                <w:b/>
                <w:bCs/>
                <w:color w:val="000000"/>
                <w:szCs w:val="21"/>
                <w:highlight w:val="none"/>
                <w:lang w:val="en-US" w:eastAsia="zh-CN"/>
              </w:rPr>
            </w:pPr>
            <w:r>
              <w:rPr>
                <w:rFonts w:hint="eastAsia" w:ascii="宋体" w:hAnsi="宋体" w:cs="宋体"/>
                <w:b/>
                <w:kern w:val="0"/>
                <w:szCs w:val="21"/>
              </w:rPr>
              <w:t>参考单价（元）</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AE2376">
            <w:pPr>
              <w:keepNext/>
              <w:widowControl/>
              <w:tabs>
                <w:tab w:val="left" w:pos="2835"/>
              </w:tabs>
              <w:jc w:val="center"/>
              <w:rPr>
                <w:rFonts w:hint="eastAsia" w:ascii="宋体" w:hAnsi="宋体" w:eastAsia="宋体" w:cs="宋体"/>
                <w:b/>
                <w:bCs/>
                <w:color w:val="000000"/>
                <w:szCs w:val="21"/>
                <w:highlight w:val="none"/>
                <w:lang w:val="en-US" w:eastAsia="zh-CN"/>
              </w:rPr>
            </w:pPr>
            <w:r>
              <w:rPr>
                <w:rFonts w:hint="eastAsia" w:ascii="宋体" w:hAnsi="宋体" w:cs="宋体"/>
                <w:b/>
                <w:kern w:val="0"/>
                <w:szCs w:val="21"/>
              </w:rPr>
              <w:t>参考合价（元）</w:t>
            </w:r>
          </w:p>
        </w:tc>
      </w:tr>
      <w:tr w14:paraId="2BFA8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97"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3623DB1F">
            <w:pPr>
              <w:keepNext/>
              <w:keepLines w:val="0"/>
              <w:widowControl/>
              <w:suppressLineNumbers w:val="0"/>
              <w:jc w:val="left"/>
              <w:rPr>
                <w:rFonts w:ascii="宋体" w:hAnsi="宋体" w:eastAsia="宋体" w:cs="宋体"/>
                <w:i w:val="0"/>
                <w:iCs w:val="0"/>
                <w:color w:val="000000"/>
                <w:sz w:val="22"/>
                <w:szCs w:val="22"/>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1783F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FC67B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p>
        </w:tc>
      </w:tr>
      <w:tr w14:paraId="5AA7D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DC73E8">
            <w:pPr>
              <w:keepNext/>
              <w:tabs>
                <w:tab w:val="left" w:pos="2835"/>
              </w:tabs>
              <w:spacing w:line="360" w:lineRule="exact"/>
              <w:jc w:val="center"/>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BDD2FC">
            <w:pPr>
              <w:keepNext/>
              <w:keepLines w:val="0"/>
              <w:widowControl/>
              <w:suppressLineNumbers w:val="0"/>
              <w:jc w:val="left"/>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智慧黑板</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295D90">
            <w:pPr>
              <w:spacing w:before="0" w:after="0" w:line="240" w:lineRule="auto"/>
              <w:ind w:left="0" w:right="0" w:firstLine="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1"/>
                <w:szCs w:val="21"/>
                <w:u w:val="none"/>
                <w:lang w:val="en-US" w:eastAsia="zh-CN" w:bidi="ar"/>
              </w:rPr>
              <w:t>机身与副屏</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1.整机两侧副屏可支持多种媒介进行板书书写，便于老师完整书写教学内容。整机主屏书写面板采用耐磨玻璃材质，长期书写情况下面板磨损导致的雾度不超过2%。</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2.整机书写面板采用防眩光全钢化防爆玻璃面板，面板的碎片状态、抗冲击性、霰弹袋冲击性能、耐热冲击性能均通过国家强制玻璃标准，表面应力≥100Mpa,适应学校复杂环境，保障教学安全。</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3.整机设备副屏甲醛释放限量符合GB 28231《书写板安全卫生要求》，甲醛释放限量不大于1.5mg/L。</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4.整机屏幕边缘采用金属圆角包边防护，整机背板采用金属材质，有效屏蔽内部电路器件辐射；防潮耐盐雾蚀锈，适应多种教学环境。</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5.整机屏幕采用≥86英寸液晶显示器；整机采用超高清LED液晶显示屏，显示比例16:9，分辨率不低于3840×2160。</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二、授课小工具</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1.支持智能书写功能，书写文字自动识别为标准印刷体，支持图形识别功能，可将多种手绘图形转化为矩形、三角形、圆形标准图形。</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2.整机支持提笔书写，在Windows系统下可实现无需点击任意功能入口，当检测到红外笔笔尖接触屏幕时，自动进入书写模式。</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3.整机支持手笔分离，通过提笔即写唤醒批注功能后，可进行手笔分离功能，使用笔正常书写，使用手指可以操作应用，进行点击操作。</w:t>
            </w:r>
            <w:r>
              <w:rPr>
                <w:rFonts w:hint="eastAsia" w:ascii="宋体" w:hAnsi="宋体" w:eastAsia="宋体" w:cs="宋体"/>
                <w:b/>
                <w:bCs/>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4.无 PC 模块状态下，嵌入式Android 系统内置白板软件支持十笔书写及手掌擦除（手掌擦除面积根据手掌与屏幕的接触面大小自动调整）， 白板书写内容可以 PDF 、IWB 和SVG 格式导出。支持 10 种以上平面图形工具。支持 8 种以上立体图形工具。</w:t>
            </w:r>
            <w:r>
              <w:rPr>
                <w:rFonts w:hint="eastAsia" w:ascii="宋体" w:hAnsi="宋体" w:eastAsia="宋体" w:cs="宋体"/>
                <w:b/>
                <w:bCs/>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5.整机全通道侧边栏支持倒计时、正计时功能；倒计时，输入某特定时间值，可精确到秒，点击开始进入倒计时；正计时，点击开始计时便自动开始，并实时显示时间。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6.整机全通道侧边栏支持倒计时、正计时功能；倒计时，输入某特定时间值，可精确到秒，点击开始进入倒计时；正计时，点击开始计时便自动开始，并实时显示时间。</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7.整机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8.整机侧边栏内置朗读工具，通过整机麦克风监测教室中学生的朗读情况，并以游戏化界面反馈学生朗读音量大小。</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b/>
                <w:bCs/>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三、教师使用助手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1.整机侧边栏内置自习工具，通过整机麦克风监测教室中学生音量大小，当学生音量大于阈值时，屏幕自动弹窗提醒进行自习纪律干预。</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2.整机支持在设备上通过摄像头获取教室内图像并自动识别图像内所有人员，并自动进行人数统计。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3.整机设备支持统一互通的用户身份认证服务，账号登录后，打开教学白板软件教学应用工具时无需再次输入账号密码重复登录。</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4.整机听力模式下具备AI人声语言增强功能，支持三挡强弱调节，通过AI算法提取视频/音频中的语言进行效果增强，在不增加音量的情况下提升语言清晰度，扩声系统语言传输指数（STIPA）≥0.75。</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5.整机设备教学桌面的教师登录账号后，可自动获取并在桌面显示最近使用的教学课件，点击课件可直接进入授课模式；并支持查看所有个人教学课件资源。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四、整机接口与无线功能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1.侧置输入接口具备≥2路HDMI、≥1路RS232、≥1路USB接口；侧置输出接口具备≥1路音频输出、≥1路触控USB输出；前置输入接口具备≥3路USB接口。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2.整机支持蓝牙Bluetooth 5.4标准，固件版本号HCI13.0/LMP13.0。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3.整机支持发出频率为18kHz-22kHz超声波信号，智能手机和笔记本电脑接收超声波信号后可以自动识别附近投屏设备，点击对应设备即可完成投屏操作。</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整机内置传屏接收模块，整机不需要连接任何附加设备，可实现外部电脑、手机设备的音视频信号实时传输到整机上；当使用外部电脑传屏时，支持触摸回传，在屏幕上部显示传屏工具栏，可以进行触摸回传控制、勿扰模式、暂停投屏功能；开启勿扰模式时，不允许其他人再进行传屏；投屏时可以选择过滤特定应用窗口，如邮件应用等窗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.支持通过Type-C接口U盘进行文件传输，兼容Type-C接口手机充电；type-C 支持最大充电功率15W。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五、音频拾扩与视频采集处理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1.整机可选择高级音效设置，支持在左右声道平衡显示范围中进行更改。中低频段可选择调节范围125Hz～1kHz,高频段可选择调节范围 2kHz～16kHz,分贝可选择调节范围-12dB～12dB。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2.整机内置2.2 声道扬声器，顶置朝前发声，≥12W高音扬声器≥2个，上朝向≥30W中低音扬声器≥2个，最大功率≥84W，单个扬声器容积≥0.62L，最低谐振频率≤85Hz。</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3.整机全部扬声器均采用模块化设计，无需打开背板即可单独拆卸，便于维护。</w:t>
            </w:r>
            <w:r>
              <w:rPr>
                <w:rFonts w:hint="eastAsia" w:ascii="宋体" w:hAnsi="宋体" w:eastAsia="宋体" w:cs="宋体"/>
                <w:b/>
                <w:bCs/>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4.整机可选择高级音效设置，支持在左右声道平衡显示范围中进行更改；中低频段显示调节范围125Hz～1KHz，高频段显示调节范围 2KHz～16KHz，分贝显示-12dB～12dB 调节范围。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5.整机扬声器在100%音量下，可做到1米处声压级≥90db，10米处声压级≥80dB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6.整机内置非独立外扩展的8阵列麦克风，拾音角度≥180°，可用于对教室环境音频进行采集，拾音距离≥12m。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7.支持标准、听力、观影和AI空间感知音效模式，AI空间感知音效模式可通过内置麦克风采集教室物理环境声音，自动生成符合当前教室物理环境的频段、音量、音效。</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8.整机内置非独立摄像头，可拍摄≥5000万像素数的照片。</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9.整机内置非独立广角高清摄像头，视场角≥135度且水平视场角≥120度，支持输出4:3、16:9比例的图片和视频；在清晰度为3840x2160（4K）分辨率下，支持30帧的视频输出，支持画面畸变矫正功能 。</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10.整机内置摄像头支持 3D 降噪算法和数字宽动态范围成像WDR 技术，支持输出 MJPG、 H.264 视频格式。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11.整机内置非独立的高清摄像头，可用于远程巡课，拍摄范围可以涵盖整机距离摄像头垂直法线左右水平距离各大于等于4米，左右最边缘深度大于等于2.3米范围内，并且可以AI识别人像。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六、触控性能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1.触摸分辨率32768×32768。</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2.整机系统支持书写触控延迟≤25ms。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3.整机触控书写功能集成预测算法，在书写速度≥50cm/s，支持笔迹距离笔的距离小于20mm。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4.触摸响应时间≤4ms；触摸最小识别物≤3mm。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5.整机采用红外触控技术，支持≥50点触控及书写划线。</w:t>
            </w:r>
          </w:p>
          <w:p w14:paraId="4F0C4FCF">
            <w:pPr>
              <w:keepNext/>
              <w:keepLines w:val="0"/>
              <w:widowControl/>
              <w:numPr>
                <w:ilvl w:val="0"/>
                <w:numId w:val="0"/>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七、核心配置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1.CPU：搭载Intel 酷睿系列，i5第十二代CPU同性能及以上配置；内存：≥16GB DDR4笔记本内存配置；硬盘：≥512GB SSD固态硬盘。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2.整机采用≥12核国产化嵌入式芯片，CPU≥8核，整机嵌入式系统版本≥</w:t>
            </w:r>
            <w:r>
              <w:rPr>
                <w:rFonts w:hint="eastAsia" w:ascii="宋体" w:hAnsi="宋体" w:eastAsia="宋体" w:cs="宋体"/>
                <w:i w:val="0"/>
                <w:iCs w:val="0"/>
                <w:color w:val="000000"/>
                <w:sz w:val="22"/>
                <w:szCs w:val="22"/>
                <w:highlight w:val="none"/>
                <w:u w:val="none"/>
                <w:lang w:val="en-US" w:eastAsia="zh-CN" w:bidi="ar"/>
              </w:rPr>
              <w:t>Android 15</w:t>
            </w:r>
            <w:r>
              <w:rPr>
                <w:rFonts w:hint="eastAsia" w:ascii="宋体" w:hAnsi="宋体" w:cs="宋体"/>
                <w:i w:val="0"/>
                <w:iCs w:val="0"/>
                <w:color w:val="000000"/>
                <w:sz w:val="22"/>
                <w:szCs w:val="22"/>
                <w:highlight w:val="none"/>
                <w:u w:val="none"/>
                <w:lang w:val="en-US" w:eastAsia="zh-CN" w:bidi="ar"/>
              </w:rPr>
              <w:t>或</w:t>
            </w:r>
            <w:r>
              <w:rPr>
                <w:highlight w:val="none"/>
              </w:rPr>
              <w:t>同等</w:t>
            </w:r>
            <w:r>
              <w:rPr>
                <w:rFonts w:hint="eastAsia"/>
                <w:highlight w:val="none"/>
                <w:lang w:val="en-US" w:eastAsia="zh-CN"/>
              </w:rPr>
              <w:t>配置</w:t>
            </w:r>
            <w:r>
              <w:rPr>
                <w:rFonts w:hint="eastAsia" w:ascii="宋体" w:hAnsi="宋体" w:eastAsia="宋体" w:cs="宋体"/>
                <w:i w:val="0"/>
                <w:iCs w:val="0"/>
                <w:color w:val="000000"/>
                <w:sz w:val="22"/>
                <w:szCs w:val="22"/>
                <w:u w:val="none"/>
                <w:lang w:val="en-US" w:eastAsia="zh-CN" w:bidi="ar"/>
              </w:rPr>
              <w:t>，主频≥1.6GHz，内存≥2GB，DDR最大速率≥2666MT/S，存储空间≥32GB。</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八、显示性能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1.整机内置全视角背光增光膜，通过增光膜对背光光源进行均光，整机屏幕中心亮度三分之一的亮度观看视角≥130°，满足GB40070关于亮度可视角≥120°要求。</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2.整机内置全视角背光增光膜，通过增光膜对背光光源进行均光，在屏幕中心亮度≥350cd/㎡下，增加屏幕两侧亮度，使得整机水平方向法线60度视角下，实际屏幕的观看有效亮度≥110cd/㎡。</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整机系统支持手势上滑调出人工智能画质调节模式（AI-PQ），在安卓通道下可根据屏幕内容自动调节画质参数，当屏幕出现人物、建筑、夜景等元素时，自动调整对比度、饱和度、锐利度、色调色相值、高光/阴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4.支持经典护眼模式，可通过前置面板物理功能按键一键启用经典护眼模式。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九、教学生态设计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1.为使用方全体教师配备个人账号，形成一体的信息化教学账号体系；根据教师账号信息将教师云空间匹配至对应学校、学科校本资源库。支持通过数字账号、微信二维码、硬件密钥方式登录教师个人账号。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2.采用备授课一体化框架设计，教师可根据教学场景自由切换类PPT界面的备课模式与触控交互教学模式，适用于教室、办公室等不同教学环境，便于教师教学使用。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空中课堂功能内置于交互式备授课软件中，无需额外安装部署直播软件，可实现语音直播、课件同步、互动工具等远程教学功能。教师可一键开课生成课程海报；学生扫描课程海报微信二维码即可加入直播课堂，无需额外安装APP；在直播课堂中，教师可指定授权学生远程互动，学生可在直播的课件画面进行书写、移动、擦除、参与互动活动等，学生操作过程实时同步至班级其他学生，可支持不少于5位学生同时参与远程互动；课程结束后自动生成直播回放，报名课程的学生可反复学习；回放课程自动保存在云端，支持人工删除。</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课件、教案、胶囊以文件夹的形式批量上传；支持树形结构目录，可进行资源分类及查找，支持全局资源搜索，按年级、学科筛选资源，支持查找资源后定位到当前资源文件夹；支持查看资源文件夹的创建者，资源的上传作者，更新时间数据。校本资源支持在线预览。支持切换列表模式/宫格模式查看资源；在交互式备授课软件中，支持获取校本多媒体资源到本地查看，也可选择插入校本资源库中的多媒体资源，实现校内资源的共建共享。</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支持实现信息化集体备课。支持选择教案、课件、胶囊资源上传发起集备研讨，支持设置多重访问权限，通过手机号搜索即可邀请外校老师，可用于跨校教研场景；参备人可通过评论区发表观点，可对他人评论的观点进行点赞，评论消息支持实时提醒，支持图片的上传；参备人在可在线对教案进行随文式批注，追加批注，回复以及查看实时批注消息。支持对课件进行打点式批注，可通过批注定位研讨内容，完成协同备课；完成本次研讨后，主备人可直接进入编辑页面编辑课件/教案，发布新稿件后，备课组进入下一轮研讨，更新稿件后会给参备老师同步教研动态；可对集备中多稿的课件/教案/胶囊进行内容的横向对比，支持批注研讨过程数据对比回溯；完成研讨后，可生成集体备课报告。集备终稿会自动上传到校本资源库，主备人可自定义上传目录，参备人可前往校本资源库获取集备终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支持实现电子化听评课。支持在授课模式中发起授课评价，根据课程和评课表生成二维码，可选择是否分享课件，若选择分享课件，评课人通过扫码即可参与评课并获取课件；支持在我的学校中查看我评的课、我讲的课的历史评价记录。</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创建教研组，在电脑端进入备课组空间实现组内备课资源共享，集体备课共研；支持选择教材和对应的章节目录，添加课件/教案/胶囊/多媒体文件/集体备课项目到组内一起研讨，支持同步到校本资源库；支持点击选择教材，通过教材章节目录找到对应的课程教学资料和集备项目，支持筛选老师查看其添加的备课资源；点击可预览资源内容，并获取到云课件中应用；点击章节下的集体备课项目可进入集体备课页面，参与研讨或回顾研讨内容；支持查看不同时间/教材下的小组成员的备课资源和集备数据，支持对数据进行排序查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十、备授课便捷性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1.提供互动式教学课件资源，包含学科教育各学段各地区教材版本不少于88个；包含学科教育各学段教材版本全部教学章节、专题教育多个主题教育、特殊教育三大分类不少于160000份的交互动课件。</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在备课场景中支持搜索课件库课件资源，具有不少于15万份的课件资源，支持整份课件或按照课件页插入课件中。支持按照教学环节筛选对应课件页一键插入课件中，可导入新课、作者简介。支持按照元素类型思维导图、课堂活动选取需要的部分补充课件缺失的部分。支持在查看部分课件的同时查看对应整份课件，了解作者整体教学思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3.支持PPT的原生解析，教师可将pptx课件转化为互动教学课件，支持单份导入和批量文件夹导入两种导入方式，保留pptx原文件中的文字、图片、表格等对象及动画的可编辑性，并可为课件增加互动教学元素。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提供拼音卡片、古诗词、汉字卡片、中文听写、数学画板、字母卡片、英汉词典、英文听写、化学实验、元素周期、化学方程、物理线图、星球、藏文卡片至少20种学科工具，可一键插入课件。学科工具支持教师自主设置在首页显示的功能，且该设置在备课和授课端之间可以同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具备交互表格功能，课件可自由插入表格，预置不少于5种表格样式，支持边框、底纹设置，自由合并单元格；表格支持自由输入文本，且根据文本内容可一键自动调整行列宽高；表格通过表格首行首列交接处的按键可一键精准增加行列；具备遮罩功能，表格中任一单元格可添加遮罩掩盖单元格内容，授课模式点击即可取消遮罩，便于教师交互式教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内嵌学科思维导图功能，提供思维导图、鱼骨图及组织结构图等知识结构化工具，提供不少于13种预设模板，可自由增删或拖拽编辑知识节点，并支持在节点上插入图片、音频、视频、网页链接、课件页面等教学知识内容，便于建构知识结构；学科思维导图知识点可逐级、逐个展开，导图工具具备归纳总结功能，可将相邻知识节点一键快速归纳，并添加文本、图片、音频、视频等辅助讲解，进行知识点关联发散。思维导图支持自定义连接线、节点样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提供至少30种应用于文本、形状、图片等课件元素的触发动画，可对动画的设置触发条件、动画声效、动画时长、动画延迟和动画方向进行自定义设置。支持对任意课件元素自定义路径动画，可自由绘制动画移动轨迹使课件元素沿轨迹路径进行移动。一个课件元素支持同时设置多组出现、消失、路径动画。</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8.课堂互动游戏支持云储存，编辑完成的活动可一键存储至教师云空间，便于在不同课件中直接调用，无需反复编辑。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9.具有课堂活动智能填写功能，支持选词填空、判断对错和趣味选择三大课堂活动。输入文本后可以一键解析，自动将文本内容结构化填充至题干和正确选项，完成课堂活动的制作。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提供涵盖小学、初中、高中的总知识点不少于9000个，试题数量不少于30万道试题，中学题库需包含语文、数学、英语、物理、化学、生物、政治、历史、地理等多个学科，包含选择、填空、判断、诗歌阅读、完形填空、阅读理解、辨析题、材料题、实验题、作图题等丰富题型。可批量选择试题以交互试题卡的形式插入课件。试题卡包含题干、答案和解析，并可一键展开收起答案和解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11.党建微课视频：提供</w:t>
            </w:r>
            <w:r>
              <w:rPr>
                <w:rFonts w:hint="eastAsia" w:ascii="宋体" w:hAnsi="宋体" w:cs="宋体"/>
                <w:i w:val="0"/>
                <w:iCs w:val="0"/>
                <w:color w:val="000000"/>
                <w:sz w:val="22"/>
                <w:szCs w:val="22"/>
                <w:u w:val="none"/>
                <w:lang w:val="en-US" w:eastAsia="zh-CN" w:bidi="ar"/>
              </w:rPr>
              <w:t>不少于</w:t>
            </w:r>
            <w:r>
              <w:rPr>
                <w:rFonts w:hint="eastAsia" w:ascii="宋体" w:hAnsi="宋体" w:eastAsia="宋体" w:cs="宋体"/>
                <w:i w:val="0"/>
                <w:iCs w:val="0"/>
                <w:color w:val="000000"/>
                <w:sz w:val="22"/>
                <w:szCs w:val="22"/>
                <w:u w:val="none"/>
                <w:lang w:val="en-US" w:eastAsia="zh-CN" w:bidi="ar"/>
              </w:rPr>
              <w:t>100节党建微课视频，包含革命篇、建设篇、改革篇、复兴篇4个篇章。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b/>
                <w:bCs/>
                <w:sz w:val="21"/>
                <w:szCs w:val="21"/>
              </w:rPr>
              <w:t>（投标时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12.免费备课素材：提供超过500个备课素材，</w:t>
            </w:r>
            <w:r>
              <w:rPr>
                <w:rFonts w:hint="eastAsia" w:ascii="宋体" w:hAnsi="宋体" w:cs="宋体"/>
                <w:i w:val="0"/>
                <w:iCs w:val="0"/>
                <w:color w:val="000000"/>
                <w:sz w:val="22"/>
                <w:szCs w:val="22"/>
                <w:u w:val="none"/>
                <w:lang w:val="en-US" w:eastAsia="zh-CN" w:bidi="ar"/>
              </w:rPr>
              <w:t>至少</w:t>
            </w:r>
            <w:r>
              <w:rPr>
                <w:rFonts w:hint="eastAsia" w:ascii="宋体" w:hAnsi="宋体" w:eastAsia="宋体" w:cs="宋体"/>
                <w:i w:val="0"/>
                <w:iCs w:val="0"/>
                <w:color w:val="000000"/>
                <w:sz w:val="22"/>
                <w:szCs w:val="22"/>
                <w:u w:val="none"/>
                <w:lang w:val="en-US" w:eastAsia="zh-CN" w:bidi="ar"/>
              </w:rPr>
              <w:t>包含人物形象、卡通动物、拟人动物、水果蔬菜13个分类，高清无版权图片，全免费，直接插入备课端进行使用即可。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提供覆盖初中、高中的古诗词、古文教学资源：包含原文、翻译、背景介绍、作者介绍、朗诵音频。内嵌诗词百科链接，一键跳转展示诗词及作者详细背景介绍；全部古诗词资源按照年级学段、朝代、诗人进行精细分类，教师仅需点击分类关键词即可快速跳转至对应诗词资源，无需输入诗词名称即可快速检索，支持教师直接搜索诗词、古文名称或作者名称进行查找；支持教师自由添加古诗词教学资源，教师可使用模板三步创建古诗词内容和翻译自主创建的古诗词，并自动保存至云端供教学复用。备课时可对原文进行注释、标重点等操作；提供原文朗读音频，全部诗词、古文均配备专业朗读配音，朗读音频支持关键帧打点标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支持中英文、数学公式的编辑输入，可快速输入方程组、脱式运算，提供不少于70个数学符号及模板；预置不少于40个常用数学公式，无需编辑一键插入，输入内容可用不同颜色标记及重复编辑；可快速生成包含一次函数一次函数、二次函数、幂函数、指数函数、对数函数、三角函数等图像，也可自定义输入函数表达式生成图像；在同一坐标轴上支持同时绘制6个及以上函数表达式，可显示函数与函数图像彼此相交、函数与坐标轴相交的交点坐标。可缩放函数图像与坐标轴，可显示坐标网格，函数图生成后可重新编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支持输入英文单词生成单词卡和详解页，包含单词的释义、读音、例句、词组、近义词等，可插入多个单词卡，同时支持教师自定义编辑单词释义、创建未收录的生僻单词供授课使用。可将插入的单词卡一键切换至详解页进入单词详解模式，支持教师自定义编辑单词释义、例句、词组和近义词，且提供不少于6种详解页背景模板供选择。</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提供三维立体星球模型，内含太阳系全览模型、行星模型、卫星模型，支持360°自由旋转、缩放。太阳系全览模型、行星、卫星使用模型嵌套设计，无需切换界面，可从太阳系逐层定位至卫星；提供丰富的地理教学图集，可查看行星的详细数据信息（包括名称、赤道直径、质量、自转周期、日心轨道周期、表面重力、温度等）和内部结构信息（地壳、地幔、外核、内核等），支持地球模型直接进行平面/立体转换，清晰展现地球表面的六大板块、降水分布、气温分布、气候分布、人口分布、表层洋流、陆地自然带、海平面等压线等内容，方便教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17.内置专用美术画板工具，提供铅笔、毛笔、油画笔等笔触，具备符合绘画调色教学需求的模拟调色盘，可选择不同颜色混合调色，便于学生理解调色合成过程。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提供涵盖小学、初中、高中超过2000个微课程视频，每个学段的微课视频内容应不少于三个主要学科。微课内容可在线点播，下载至课件播放。微课视频支持视频关键帧打点标记，播放过程中可一键跳转至标记位置，同时支持一键对视频内容进行截图插入课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十一、教学资源共享</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1.互动课件支持定向分享，分享者可将互动课件、课件组推送至指定接收方账号的云空间，接收方可在云空间接收并打开分享课件。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2.互动课件支持开放式云分享，分享者可将互动课件、课件组以公开或加密的web链接和二维码形式进行分享，分享链接可设置访问有效期。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3.云教案内容可自动同步至云空间。支持以链接方式进行定向式分享和开放式分享。接收者可直接在桌面浏览器、微信内打开预览，可将云教案转存至个人云空间。云教案支持导出为PDF格式。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4.提供教案模板以供老师撰写教案，预置模板包含表格式、提纲式、集备式、多课时式、单元设计式不少于7个。支持校本模板，管理员在教研管理后台设置校本模板后，老师可在云教案模板调用。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支持通过实时音视频将课堂教学现场进行实况直播，实现异地听课、评课，直播听评课结束后生成直播回放，使课堂教学研究与课堂教学同步进行，参与听课、评课教师。支持主动发布“开启了直播”、“关闭直播”课堂状态，及时同步课堂进度。支持远程观看课堂直播时同步在听课交流区发表文字、快捷表情和照片内容，记录与分享听课想法；支持查看课堂录影回放，回顾课堂内容，分析老师的课堂表现和教学情况；提供推流地址，支持网络推流输出，可实时推流给资源平台，实现平台直播。</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支持实现校本资源共建共享。支持上传课件、教案、胶囊及多媒体文件，其中多媒体资源类型与格式包括：文档：doc、docx、pdf、ppt、pptx、xlsx、xls；图片：bmp、jpg、png、jpeg、gif；视频：mp4、webm；音频：wav、mp3、og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7.支持校本资源获取/下载到本地，通过下载记录可查看历史下载列表，并支持设置下载路径。</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在线发起多人视频研讨，研讨过程中可邀请校内外老师共同参与，会议主持人可对会议进行参会人员的管理，包括邀请发言/开启禁言，共享屏幕等操作，系统自动录制视频研讨全过程，会议结束后可自动形成视频回放记录；支持语音及视频会议记录，为音视频回放自动生成字幕，对音视频研讨过程中的关键词和对话进行智能提炼，支持倍速播放，回溯研讨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十二、家校互通工具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1.学生行为评价系统集成学生评价、课堂管理、家校沟通功能，所有功能同一软件平台的同一账户实现。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2.支持对家长进行定向邀请，家长入班后可查看学生在校表现并实时接收教师通知。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3.支持对任课教师进行定向邀请，教师入班后可协同对班级学生进行管理评价。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4.系统内置一套点评模板，可直接使用，也可自定义设置点评内容，包含点评名称、分组标签、分值以及图标。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5.支持按周、月、年查看学生过程中的表现记录，包括学生在班级中的梯队、成长趋势以及评价明细。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6.系统根据学生日常行为评价情况，通过AI学生能力模型进行智能分析，为每个学生生成定制化评语，评语可支持教师二次编辑修改并推送至家长端。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7.AI助教功能，通过AI分析学生和班级评价情况，为老师智能提示班级管理决策信息，为学生智能分析成长建议。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8.系统内置评价内容不少于9种，支持老师自定义评价内容，可设置对应的图标、名称和分数。系统预置多种优秀点评量表模板供教师直接导入班级使用。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9.支持考勤功能，可对学生的出勤、迟到、缺勤、请假状态进行记录，并支持查看课堂考勤统计报表，可详细查看班级考勤概览数据。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10.支持教师发送奖状给家长，内置≥10个模板，教师填写学生姓名和奖状内容即可生成并以通知的形式发送。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11.支持家长反馈孩子在家表现，基于日常作息、家务、亲子关系维度进行打分。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12.支持发布通知，查看通知阅读情况；支持布置作业，查看阅读情况及家长提交后可直接点评。</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十三、售后保障服务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1.全国24小时电话保修、二维码扫描保修、区域化驻地技术工程师专线保修。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2.微信售后报修服务：快速输入相关问题及所在区域进行在线保修，贴心服务人员实时在线提供客服专线报修，更好更快的解决售后故障问题带来的使用不便。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3.微信问题查询服务：提供八大模块的问题查询及解决方案，现场完成简单故障的快速修复指导。</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十四、其他要求</w:t>
            </w:r>
          </w:p>
          <w:p w14:paraId="38019C0D">
            <w:pPr>
              <w:keepNext/>
              <w:keepLines w:val="0"/>
              <w:widowControl/>
              <w:numPr>
                <w:ilvl w:val="0"/>
                <w:numId w:val="0"/>
              </w:numPr>
              <w:suppressLineNumbers w:val="0"/>
              <w:jc w:val="left"/>
              <w:rPr>
                <w:rFonts w:hint="eastAsia" w:ascii="宋体" w:hAnsi="宋体" w:eastAsia="宋体" w:cs="宋体"/>
                <w:color w:val="000000"/>
                <w:sz w:val="24"/>
                <w:highlight w:val="none"/>
              </w:rPr>
            </w:pPr>
            <w:r>
              <w:rPr>
                <w:rFonts w:hint="eastAsia" w:ascii="宋体" w:hAnsi="宋体" w:eastAsia="宋体" w:cs="宋体"/>
                <w:b/>
                <w:bCs/>
                <w:i w:val="0"/>
                <w:iCs w:val="0"/>
                <w:color w:val="000000"/>
                <w:sz w:val="22"/>
                <w:szCs w:val="22"/>
                <w:u w:val="none"/>
                <w:lang w:val="en-US" w:eastAsia="zh-CN" w:bidi="ar"/>
              </w:rPr>
              <w:t>为确保货物质量及原厂品质，</w:t>
            </w:r>
            <w:r>
              <w:rPr>
                <w:rFonts w:hint="eastAsia" w:ascii="宋体" w:hAnsi="宋体" w:cs="宋体"/>
                <w:b/>
                <w:bCs/>
                <w:i w:val="0"/>
                <w:iCs w:val="0"/>
                <w:color w:val="000000"/>
                <w:sz w:val="22"/>
                <w:szCs w:val="22"/>
                <w:u w:val="none"/>
                <w:lang w:val="en-US" w:eastAsia="zh-CN" w:bidi="ar"/>
              </w:rPr>
              <w:t>成交</w:t>
            </w:r>
            <w:r>
              <w:rPr>
                <w:rFonts w:hint="eastAsia" w:ascii="宋体" w:hAnsi="宋体" w:eastAsia="宋体" w:cs="宋体"/>
                <w:b/>
                <w:bCs/>
                <w:i w:val="0"/>
                <w:iCs w:val="0"/>
                <w:color w:val="000000"/>
                <w:sz w:val="22"/>
                <w:szCs w:val="22"/>
                <w:u w:val="none"/>
                <w:lang w:val="en-US" w:eastAsia="zh-CN" w:bidi="ar"/>
              </w:rPr>
              <w:t>供应商在签订合同后，正式供货时必须提供生产厂家针对此项目的售后服务保证原件、供货证明原件，否则采购方将不予验收通过。</w:t>
            </w:r>
            <w:r>
              <w:rPr>
                <w:rFonts w:hint="eastAsia" w:ascii="宋体" w:hAnsi="宋体" w:eastAsia="宋体" w:cs="宋体"/>
                <w:i w:val="0"/>
                <w:iCs w:val="0"/>
                <w:color w:val="000000"/>
                <w:sz w:val="22"/>
                <w:szCs w:val="22"/>
                <w:u w:val="none"/>
                <w:lang w:val="en-US" w:eastAsia="zh-CN" w:bidi="ar"/>
              </w:rPr>
              <w:br w:type="textWrapping" w:clear="all"/>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CD181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2A256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2AD5C0">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27</w:t>
            </w:r>
            <w:r>
              <w:rPr>
                <w:rFonts w:hint="eastAsia" w:ascii="宋体" w:hAnsi="宋体" w:cs="宋体"/>
                <w:i w:val="0"/>
                <w:iCs w:val="0"/>
                <w:color w:val="000000"/>
                <w:sz w:val="22"/>
                <w:szCs w:val="22"/>
                <w:u w:val="none"/>
                <w:lang w:val="en-US" w:eastAsia="zh-CN" w:bidi="ar"/>
              </w:rPr>
              <w:t>190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CEFE5C">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54</w:t>
            </w:r>
            <w:r>
              <w:rPr>
                <w:rFonts w:hint="eastAsia" w:ascii="宋体" w:hAnsi="宋体" w:cs="宋体"/>
                <w:i w:val="0"/>
                <w:iCs w:val="0"/>
                <w:color w:val="000000"/>
                <w:sz w:val="22"/>
                <w:szCs w:val="22"/>
                <w:u w:val="none"/>
                <w:lang w:val="en-US" w:eastAsia="zh-CN" w:bidi="ar"/>
              </w:rPr>
              <w:t>3800</w:t>
            </w:r>
          </w:p>
        </w:tc>
      </w:tr>
      <w:tr w14:paraId="3B54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5E5583">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CE620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高清壁挂展台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19325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（一）硬件部分：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1、整机采用圆弧式设计，无锐角；同时托板采用磁吸吸附式机构，防止托板打落，方便打开及固定，避免机械式锁具故障率高的问题。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3、A4大小拍摄幅面，1080P动态视频预览达到30帧/秒；托板及挂墙部分采用金属加强，托板可承重3kg，整机壁挂式安装。</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4、支持展台成像画面实时批注，预设多种笔划粗细及颜色供选择，且支持对展台成像画面联同批注内容进行同步缩放、移动。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5、展示托板正上方具备LED补光灯，保证展示区域的亮度及展示效果，补光灯开关采用触摸按键设计，同时可通过交互智能平板中的软件直接控制开关。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6、带自动对焦摄像头；外壳在摄像头部分带保护镜片密封，防止灰尘沾染摄像头，防护等级达到IP4X级别。</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（二）软件部分：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1、支持对展台实时画面进行放大、缩小、旋转、自适应、冻结画面等操作。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3、支持展台画面拍照截图并进行多图预览，可对任一图片进行全屏显示。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4、老师可在一体机或电脑上选择延时拍照功能，支持5秒或10秒延时模式，预留充足时间以便调整拍摄内容。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5、可选择图像、文本或动态三种情景模式，适应不同展示内容。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6、具备图像增强功能，可自动裁剪背景并增强文字显示，使文档画面更清晰。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8、支持二维码扫码功能：打开扫一扫功能后，将书本上的二维码放入扫描框内即可自动扫描，并进入系统浏览器获取二维码的链接内容，帮助老师快速获取电子教学资源。</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B364C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BB101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49585B">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750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E4309F">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15000</w:t>
            </w:r>
          </w:p>
        </w:tc>
      </w:tr>
      <w:tr w14:paraId="30E7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77460C">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AD342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智能笔</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F9C46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1、采用笔型设计，具有三个遥控按键（上下翻页和功能键），既可用于触摸书写，也可用于远程操控。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2、采用2.4G无线连接技术，无线接收距离最大可达15米。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3、无线接收器采用微型nano设计，并能收纳在笔上，整洁美观。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4、使用单节7号电池驱动，并带自动休眠节电设计。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5、单接收器设计，android、windows双系统同时响应。只需安装一个接收器，双系统都能响应智能笔的操作指令。</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6、支持白板课件、PPT、PDF等多种格式的课件进行远程无线翻页。</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7、功能按键可通过长按/短按实现两种快捷功能，方便教师操作。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8、支持自定义按键功能，可选功能包括：一键启动任意通道批注、一键启动/退出PPT播放、一键启动PPT批注、一键启动任意通道冻结与放大屏幕内容。</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63222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4567E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2A07C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4"/>
                <w:szCs w:val="24"/>
                <w:u w:val="none"/>
                <w:lang w:val="en-US" w:eastAsia="zh-CN" w:bidi="ar"/>
              </w:rPr>
              <w:t xml:space="preserve">249 </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FECA9D">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4980</w:t>
            </w:r>
          </w:p>
        </w:tc>
      </w:tr>
      <w:tr w14:paraId="1D43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C8F21">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238971">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有源音箱</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9822A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1、采用功放与有源音箱一体化设计，内置麦克风无线接收模块，帮助教师实现多媒体扩音以及本地扩声功能。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2、双音箱有线连接，机箱采用塑胶材质，保护设备免受环境影响。</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3、输出额定功率: 2*15W，喇叭单元尺寸≥5寸。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4、端口：220V电源接口*1、Line in*1、USB*1。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5、专门为教室声学环境设计的合适扩声效果，距离音箱10米处声压级≥75dB。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6、麦克风和功放音箱之间采用数字U段传输技术，有效避免环境中2.4G信号干扰，例如蓝牙及</w:t>
            </w:r>
            <w:r>
              <w:rPr>
                <w:rFonts w:hint="eastAsia" w:ascii="宋体" w:hAnsi="宋体" w:cs="宋体"/>
                <w:i w:val="0"/>
                <w:iCs w:val="0"/>
                <w:color w:val="000000"/>
                <w:sz w:val="22"/>
                <w:szCs w:val="22"/>
                <w:u w:val="none"/>
                <w:lang w:val="en-US" w:eastAsia="zh-CN" w:bidi="ar"/>
              </w:rPr>
              <w:t>Wi-fi</w:t>
            </w:r>
            <w:r>
              <w:rPr>
                <w:rFonts w:hint="eastAsia" w:ascii="宋体" w:hAnsi="宋体" w:eastAsia="宋体" w:cs="宋体"/>
                <w:i w:val="0"/>
                <w:iCs w:val="0"/>
                <w:color w:val="000000"/>
                <w:sz w:val="22"/>
                <w:szCs w:val="22"/>
                <w:u w:val="none"/>
                <w:lang w:val="en-US" w:eastAsia="zh-CN" w:bidi="ar"/>
              </w:rPr>
              <w:t>设备。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7、配置独立音频数字信号处理芯片，支持啸叫抑制功能。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8、支持教师扩声和输入音源叠加输出，可对接录播系统实现教师扩声音频的纯净采集，避免环境杂音干扰采集效果。</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FE10A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23A95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1DDC3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1120F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4220</w:t>
            </w:r>
          </w:p>
        </w:tc>
      </w:tr>
      <w:tr w14:paraId="0972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FEC317">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4D21BC">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无线麦克风</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EB4D71">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2、麦克风和功放音箱之间采用数字U段传输技3术，有效避免环境中2.4G信号干扰，例如蓝牙及</w:t>
            </w:r>
            <w:r>
              <w:rPr>
                <w:rFonts w:hint="eastAsia" w:ascii="宋体" w:hAnsi="宋体" w:cs="宋体"/>
                <w:i w:val="0"/>
                <w:iCs w:val="0"/>
                <w:color w:val="000000"/>
                <w:sz w:val="22"/>
                <w:szCs w:val="22"/>
                <w:u w:val="none"/>
                <w:lang w:val="en-US" w:eastAsia="zh-CN" w:bidi="ar"/>
              </w:rPr>
              <w:t>Wi-fi</w:t>
            </w:r>
            <w:r>
              <w:rPr>
                <w:rFonts w:hint="eastAsia" w:ascii="宋体" w:hAnsi="宋体" w:eastAsia="宋体" w:cs="宋体"/>
                <w:i w:val="0"/>
                <w:iCs w:val="0"/>
                <w:color w:val="000000"/>
                <w:sz w:val="22"/>
                <w:szCs w:val="22"/>
                <w:u w:val="none"/>
                <w:lang w:val="en-US" w:eastAsia="zh-CN" w:bidi="ar"/>
              </w:rPr>
              <w:t>设备。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3、支持智能红外对码及UHF对码，可在2s内快速完成与教学扩声音箱对码，无需繁琐操作。可与移动音箱或录播主机对码连接。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4、采用触点磁吸式充电方式，支持快速充电与超低功耗工作模式，课间充电10分钟，实现80分钟续航。</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5、麦克风距离音箱最大有效工作距离≥10米，保证全教室覆盖。</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8F08A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CDA3A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63F9E2">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10AEE4">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4000</w:t>
            </w:r>
          </w:p>
        </w:tc>
      </w:tr>
      <w:tr w14:paraId="5666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E0D6CC">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C1330E">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集中管理控制软件系统</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6795E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一、整体设计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1、管理平台采用B/S混合云架构设计，无需本地额外部署服务器等设备，即可支持对教学信息化设备运行数据的监测。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2、支持在Windows、Linux、Android、IOS等多种操作系统通过网页浏览器登陆操作，提供多种智能身份识别方式：支持通过账号登录、手机扫码登录等方式。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3、管理平台提供管理员移动管理平台，免安装并支持Android、IOS等多种移动操作系统，便于远程管理及告警信息通知。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4、平台支持对全校智慧教室的教学信息化设备进行集中运维管理和策略部署。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5、支持多设备接入，与交互智能教学设备、学生智能终端等教学设备对。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二、智能教学设备管理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1、管理平台为学校提供专属识别代码，可支持交互智能设备在广域网环境下，输入专属代码接入管理平台即可在通过管理平台可开启或关闭指定交互智能设备的任意磁盘分区数据还原（冰点）保护。</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管理平台实时监控已连接的交互智能设备状态，支持多台设备的略缩预览和单设备全屏查看；可远程监控交互智能设备开关机状态、CPU温度、CPU使用率、硬盘空间、硬盘已使用状况、内存容量、内存使用率、管理软件版本、设备ID。</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3、支持不少于 10 台设备的略缩预览。</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4、管理平台可对局域网内的交互智能终端进行远程实时控制，能够监控设备当前运行界面，并远程对设备操作界面进行控制。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5、管理平台可控制连接广域网的交互智能设备整机关机、开机和重启；可批量设定智能设备开关机的执行时间，并支持自定义循环模式（循环操作、定时操作）。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6、管理平台可远程对选定的交互智能设备推送动态文字滚动公告，可对公告文字的颜色、粗体以及播放次数、推送时间进行设置。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7、管理平台可远程开启指定交互智能设备倒计日功能并设定倒计日截止日期。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8、管理平台提供巡课值守模式，自动轮循显示所有的交互智能设备使用界面。</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9、管理平台实时显示交互智能设备异常的告警提示，并同步将异常信息推送至管理员移动端工作平台。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10、管理平台根据设备日常运行 状况综合生成设备健康值， 可查看设备健康值排名并进 行正序、反序排列。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11、管理平台支持多路音视频直播，支持视频直播、桌面直播、桌面+视频直播等直播形式，直播过程中默认显示班级列表，点击查看班级摄像头，可以切换为各班级摄像头画面。</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12、管理平台支持后台锁定教室设备，用户可通过密码 在后台或者设备上进行解锁，支持即时锁定和多时间段锁定。</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B84DD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36415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9B5D47">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6FE9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6000</w:t>
            </w:r>
          </w:p>
        </w:tc>
      </w:tr>
      <w:tr w14:paraId="5819A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E6955C">
            <w:pPr>
              <w:keepNext/>
              <w:tabs>
                <w:tab w:val="left" w:pos="2835"/>
              </w:tabs>
              <w:spacing w:line="360" w:lineRule="exact"/>
              <w:jc w:val="center"/>
              <w:rPr>
                <w:rFonts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CFCF7C">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计算机</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E6180D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一、硬件部分：</w:t>
            </w:r>
          </w:p>
          <w:p w14:paraId="60C2CC4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1.国产自主品牌；</w:t>
            </w:r>
          </w:p>
          <w:p w14:paraId="01661C4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2.机箱：机箱≤14L，支持侧板挂环锁、Kensington锁和主板报警蜂鸣器；</w:t>
            </w:r>
          </w:p>
          <w:p w14:paraId="59057F0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3.处理器： 配置1颗国产X86架构CPU，每颗CPU物理核心数≥8核，每颗CPU主频≥2.7GHz，二级缓存≥8MB；</w:t>
            </w:r>
          </w:p>
          <w:p w14:paraId="6D84992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4.内存：配置≥8GB DDR4，内存插槽≥2个；</w:t>
            </w:r>
          </w:p>
          <w:p w14:paraId="622AFB8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5.显卡：标配集成显卡，支持VGA+HDMI视频输出显示；</w:t>
            </w:r>
          </w:p>
          <w:p w14:paraId="3C29BCD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6.网络：1个RJ45 10/100/1000自适应以太网口；</w:t>
            </w:r>
          </w:p>
          <w:p w14:paraId="521856B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 xml:space="preserve">7.硬盘：配置≥512GB M.2接口NVME协议SSD，最高可支持1TB SSD，支持1块3.5英寸机械硬盘扩展，单块容量最大2T </w:t>
            </w:r>
          </w:p>
          <w:p w14:paraId="0BE4DB7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8.机箱接口：≥1个PCIe x16，≥2个PCIe x1扩展槽；USB接口不少于8个（其中前置USB3.0 Type A数量≥4个，后置USB3.0接口≥2个，USB2.0接口≥2个；）；前置音频接口：麦克风1个，耳机1个；后端3个Audio音频接口；</w:t>
            </w:r>
          </w:p>
          <w:p w14:paraId="56EB69A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9.电源：电源功率≥180W；</w:t>
            </w:r>
          </w:p>
          <w:p w14:paraId="4171CA0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10.显示器：与主机同品牌≥23.8寸LED商用显示器，三年上门保修，分辨率≥1920*1080，刷新频率≥75Hz，对比度≥3000:1，视频接口VGA+HDMI。</w:t>
            </w:r>
          </w:p>
          <w:p w14:paraId="264ADB0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11.键鼠：配置1套同主机品牌防水键盘及抗菌鼠标。</w:t>
            </w:r>
          </w:p>
          <w:p w14:paraId="2303DB01">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二、软件部分：</w:t>
            </w:r>
          </w:p>
          <w:p w14:paraId="3793C16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1.操作系统：支持UOS操作系统、银河麒麟等操作系统，本次配置正版麒麟或统信国产操作系统；</w:t>
            </w:r>
          </w:p>
          <w:p w14:paraId="7588C3E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三</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质量及服务保证：</w:t>
            </w:r>
          </w:p>
          <w:p w14:paraId="22537186">
            <w:pPr>
              <w:keepNext/>
              <w:keepLines w:val="0"/>
              <w:widowControl/>
              <w:suppressLineNumbers w:val="0"/>
              <w:jc w:val="left"/>
              <w:rPr>
                <w:rFonts w:ascii="宋体" w:hAnsi="宋体" w:eastAsia="宋体" w:cs="宋体"/>
                <w:color w:val="000000"/>
                <w:sz w:val="24"/>
                <w:highlight w:val="none"/>
                <w:lang w:val="en-US"/>
              </w:rPr>
            </w:pPr>
            <w:r>
              <w:rPr>
                <w:rFonts w:hint="eastAsia" w:ascii="宋体" w:hAnsi="宋体" w:eastAsia="宋体" w:cs="宋体"/>
                <w:i w:val="0"/>
                <w:iCs w:val="0"/>
                <w:color w:val="000000"/>
                <w:sz w:val="22"/>
                <w:szCs w:val="22"/>
                <w:u w:val="none"/>
                <w:lang w:val="en-US" w:eastAsia="zh-CN" w:bidi="ar"/>
              </w:rPr>
              <w:t>为保证售后服务质量，提供原厂三年极速响应保修服务，生产厂商指定维修网点具备第二自然日快速修复服务能力；服务响应时间：提供7</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24小时电话支持服务，为确保参数及服务真实有效性，供货时提供设备生产厂商400/800售后服务电话对以上服务内容进行严格查验。</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E47EC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60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63AD8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4DA12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5900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42F5D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354000</w:t>
            </w:r>
          </w:p>
        </w:tc>
      </w:tr>
      <w:tr w14:paraId="0387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1AB7A1">
            <w:pPr>
              <w:keepNext/>
              <w:tabs>
                <w:tab w:val="left" w:pos="2835"/>
              </w:tabs>
              <w:spacing w:line="36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4A3151">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课桌椅</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881ECD">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1、桌子整体规格：长600×宽400×高750mm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；桌面尺寸：长600mm×宽400mm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×厚≥15mm；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2、桌斗尺寸：深300mm×长460mm×高150mm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尺寸允许偏差±</w:t>
            </w: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；椅子椅座面尺寸：宽365mm×深365mm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×厚≥15mm，椅靠背面尺寸：宽365×高150mm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×厚≥15mm，椅背高≥350mm（±5mm）；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3、桌架,椅架采用实木，桌面，挡板，下抖底板，椅面均采用橡木。上斗侧板，下斗侧板采用多层实木板。桌脚≥30×40</w:t>
            </w:r>
            <w:r>
              <w:rPr>
                <w:rFonts w:hint="eastAsia" w:ascii="宋体" w:hAnsi="宋体" w:cs="宋体"/>
                <w:i w:val="0"/>
                <w:iCs w:val="0"/>
                <w:color w:val="000000"/>
                <w:sz w:val="22"/>
                <w:szCs w:val="22"/>
                <w:u w:val="none"/>
                <w:lang w:val="en-US" w:eastAsia="zh-CN" w:bidi="ar"/>
              </w:rPr>
              <w:t>mm</w:t>
            </w:r>
            <w:r>
              <w:rPr>
                <w:rFonts w:hint="eastAsia" w:ascii="宋体" w:hAnsi="宋体" w:eastAsia="宋体" w:cs="宋体"/>
                <w:i w:val="0"/>
                <w:iCs w:val="0"/>
                <w:color w:val="000000"/>
                <w:sz w:val="22"/>
                <w:szCs w:val="22"/>
                <w:u w:val="none"/>
                <w:lang w:val="en-US" w:eastAsia="zh-CN" w:bidi="ar"/>
              </w:rPr>
              <w:t>方木；所用木材需进行防虫、除脂、干燥处理，不允许使用有边角缺陷、虫蛀、腐朽、霉变、开裂、变形等影响产品结构强度和外观的材料，材质坚硬钢性强；材质符合国家标准要求，</w:t>
            </w:r>
            <w:r>
              <w:rPr>
                <w:rFonts w:hint="eastAsia" w:ascii="宋体" w:hAnsi="宋体" w:eastAsia="宋体" w:cs="宋体"/>
                <w:b w:val="0"/>
                <w:bCs w:val="0"/>
                <w:color w:val="auto"/>
                <w:sz w:val="21"/>
                <w:szCs w:val="21"/>
                <w:highlight w:val="none"/>
                <w:vertAlign w:val="baseline"/>
              </w:rPr>
              <w:t>木材含水率</w:t>
            </w:r>
            <w:r>
              <w:rPr>
                <w:rFonts w:hint="eastAsia" w:ascii="宋体" w:hAnsi="宋体" w:eastAsia="宋体" w:cs="宋体"/>
                <w:color w:val="auto"/>
                <w:lang w:bidi="ar"/>
              </w:rPr>
              <w:t>8%~（产品所在地区年平均木材平衡含水率+1%）</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4、螺栓+榫卯结构，可见光面无朽木，</w:t>
            </w:r>
            <w:r>
              <w:rPr>
                <w:rFonts w:hint="eastAsia" w:ascii="宋体" w:hAnsi="宋体" w:eastAsia="宋体" w:cs="宋体"/>
                <w:b w:val="0"/>
                <w:bCs w:val="0"/>
                <w:color w:val="auto"/>
                <w:sz w:val="21"/>
                <w:szCs w:val="21"/>
                <w:highlight w:val="none"/>
                <w:vertAlign w:val="baseline"/>
              </w:rPr>
              <w:t>木材含水率</w:t>
            </w:r>
            <w:r>
              <w:rPr>
                <w:rFonts w:hint="eastAsia" w:ascii="宋体" w:hAnsi="宋体" w:eastAsia="宋体" w:cs="宋体"/>
                <w:color w:val="auto"/>
                <w:lang w:bidi="ar"/>
              </w:rPr>
              <w:t>8%~（产品所在地区年平均木材平衡含水率+1%）</w:t>
            </w:r>
            <w:r>
              <w:rPr>
                <w:rFonts w:hint="eastAsia" w:ascii="宋体" w:hAnsi="宋体" w:eastAsia="宋体" w:cs="宋体"/>
                <w:i w:val="0"/>
                <w:iCs w:val="0"/>
                <w:color w:val="000000"/>
                <w:sz w:val="22"/>
                <w:szCs w:val="22"/>
                <w:u w:val="none"/>
                <w:lang w:val="en-US" w:eastAsia="zh-CN" w:bidi="ar"/>
              </w:rPr>
              <w:t>，整体经过防潮，防腐，防虫，脱脂等化学处理，结构稳定，设计合理，美观大方，经久耐用，所有拐角处圆弧处理，无尖锐菱角。材料打磨：≥P180；抛光：≥P450加网砂320＃、450＃。三底两面，全部满刮透明腻子，表面纹理清晰无颗粒，无气泡，无渣点，颜色均匀。经UV滚涂、激光镭射处理，从而使漆面无颗粒、无气泡、平整细腻光滑，颜色均匀，遮盖力好。所有接合口须打胶粘合，所有拼板接口需沿径向使用环保粘合剂（无酫淀粉胶）强力拼合。</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6D806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800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F888E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1709D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2CBDA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256000</w:t>
            </w:r>
          </w:p>
        </w:tc>
      </w:tr>
      <w:tr w14:paraId="78780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FCD1FB">
            <w:pPr>
              <w:keepNext/>
              <w:tabs>
                <w:tab w:val="left" w:pos="2835"/>
              </w:tabs>
              <w:spacing w:line="360" w:lineRule="exact"/>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B1A15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学生床</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6E2373">
            <w:pPr>
              <w:pStyle w:val="11"/>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双层床的型号尺寸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双层床的型号规格及结构应符合国家标准GB/T3328-2016《家具床类主要尺寸》的规定要求。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中学双层床的尺寸：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2000 mm×900mm×1800mm（长×宽×高</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），上下床铺面间的层间净高为1000mm</w:t>
            </w:r>
            <w:r>
              <w:rPr>
                <w:rFonts w:hint="eastAsia"/>
                <w:lang w:eastAsia="zh-CN"/>
              </w:rPr>
              <w:t>（</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二、双层床的材料要求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（一）金属件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1、主体材料</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边主柱：方管约40mm×40mm，厚度不小于1.2mm。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主柱横担：矩形管约20mm×30mm，厚度不小于1.2mm。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床梃（床母）：矩形管约50mm×25mm，厚度不小于1.2mm。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床梃（床母）横担：矩形管约30mm×20mm，厚度不小于1.2mm，上床铺床梃（床母）横担不少于4根，下床铺床梃（床母）横担不少于4根。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上床铺面安全栏板及床两端护栏：双层床的安全栏板规格：1100mm×300mm（长×高</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），安全栏竖管不少于5根，钢管直径≥19mm，管壁厚：≥1.0mm。安全栏板与主柱距离（缺口长度）为不小于500mm。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主柱卡口规格：≤26mm×26mm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床梃（床母）卡梢部位钢材厚度不小于1.5mm，卡梢总宽度不小于20mm，卡梢进深不少于15mm，床梃（床母）扣件规格不小于200mm×50mm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床梯子：方管约25mm×25mm，厚度不小于1.2mm，床梯宽度约为300mm，脚踏数量不少于3根。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蚊帐架：上床铺蚊帐架采用不小于Φ16×δ1.0的圆管制成，床铺蚊帐圈孔径Φ30mm。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2、材料质量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双层床的金属件的技术要求和试验方法符合国家标准GB/T 3325-2024《金属家具通用技术条件》的规定。双层床所用钢材不低于高频焊接冷轧钢板，质量必须符合国家标准GB/T700-2006《碳素结构钢》要求，钢材表面粗糙度Ra的最大值为1.6μm，金属件材质不允许使用出现孔洞、缺口、开裂、尖角、裂缝、叠缝、腐蚀、离层、结疤、氧化皮等影响产品结构强度、外观和安全的材料。</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3、双层床结构</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床架钢件部分分为6个组件，具体为：1、床左拼，2、床右拼，3、上床架（含安全栏），4、下床架，5、蚊帐架1副，6、床梯子1套。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（二）木制件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1、床板：（中学）1915 mm×840 mm（</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），采用厚度不小于15mm的双面光杉木板；每块床板的拼装板料数量最多不得超过8块；固定横条不少于4条，规格为30mm×20mm（</w:t>
            </w:r>
            <w:r>
              <w:rPr>
                <w:rFonts w:hint="eastAsia" w:ascii="宋体" w:hAnsi="宋体" w:cs="宋体"/>
                <w:i w:val="0"/>
                <w:iCs w:val="0"/>
                <w:color w:val="000000"/>
                <w:sz w:val="22"/>
                <w:szCs w:val="22"/>
                <w:u w:val="none"/>
                <w:lang w:val="en-US" w:eastAsia="zh-CN" w:bidi="ar"/>
              </w:rPr>
              <w:t>±2mm</w:t>
            </w:r>
            <w:r>
              <w:rPr>
                <w:rFonts w:hint="eastAsia" w:ascii="宋体" w:hAnsi="宋体" w:eastAsia="宋体" w:cs="宋体"/>
                <w:i w:val="0"/>
                <w:iCs w:val="0"/>
                <w:color w:val="000000"/>
                <w:sz w:val="22"/>
                <w:szCs w:val="22"/>
                <w:u w:val="none"/>
                <w:lang w:val="en-US" w:eastAsia="zh-CN" w:bidi="ar"/>
              </w:rPr>
              <w:t>）的实木方料。</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2、双层床所用木材须进行防虫、除脂、干燥处理，不允许使用有边角缺陷、虫蛀、腐朽、霉变、开裂、变形等影响产品结构强度和外观的材料，材质符合国家标准要求。每张双层床配2块床板。</w:t>
            </w:r>
            <w:r>
              <w:rPr>
                <w:rFonts w:hint="eastAsia" w:ascii="宋体" w:hAnsi="宋体" w:eastAsia="宋体" w:cs="宋体"/>
                <w:i w:val="0"/>
                <w:iCs w:val="0"/>
                <w:color w:val="000000"/>
                <w:sz w:val="22"/>
                <w:szCs w:val="22"/>
                <w:u w:val="none"/>
                <w:lang w:val="en-US" w:eastAsia="zh-CN" w:bidi="ar"/>
              </w:rPr>
              <w:br w:type="textWrapping"/>
            </w:r>
            <w:r>
              <w:rPr>
                <w:rFonts w:hint="eastAsia" w:ascii="宋体" w:hAnsi="宋体" w:eastAsia="宋体" w:cs="宋体"/>
                <w:i w:val="0"/>
                <w:iCs w:val="0"/>
                <w:color w:val="000000"/>
                <w:sz w:val="22"/>
                <w:szCs w:val="22"/>
                <w:u w:val="none"/>
                <w:lang w:val="en-US" w:eastAsia="zh-CN" w:bidi="ar"/>
              </w:rPr>
              <w:t>3、含水率：木材含水率8%~（产品所在地区年平均木材平衡含水率+1%）；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（三）其它材料</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1、脚套。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床脚和床主柱顶端的脚套为内嵌式黑色脚套，采用超高分子量PE材料制作，壁厚不小于2mm,底厚不小于5mm，进深不小于30mm，加强筋不少于5圈, 加强筋厚度不小于1.2mm，底面规格不小于42mm×42mm,脚套与床脚（或主柱顶端）应结合紧密，牢靠，不脱落。建议：加强筋内径不小于36mm×36mm，加强筋外径不小于39mm×39mm。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三、双层床的加工要求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（一）金属件加工要求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1、金属件外观、加工要求按照QB/T 2741-2013《学生公寓多功能家具》中5.3的规定执行。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2、管材应无裂缝、叠缝，外露管口端面应封闭。</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焊接件焊接时采用二氧化碳保护焊接。焊接件之间的连接部分均应全部圈焊接（结构不需要时除外），不允许脱焊、虚焊、焊穿、错位现象；焊接处应无夹渣、气孔、焊瘤、焊丝头、咬边、飞溅；焊疤表面波纹应均匀、高低之差应不大于1mm。焊接后须经打磨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4、冲压件应无脱层、裂缝。</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（二）木制件加工要求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木制件外观、加工要求等按照QB/T 2741-2013《学生公寓多功能家具》中5.3的规定执行。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（三）金属件的连接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1、床梃（床母）与主柱连接方式必须为卡梢式，连接件需防锈处理。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2、其他金属零、部件的连接方式必须采用焊接连接，不允许采用铆钉连接（铆接）和螺钉连接。（除铭牌、床梯子与床梃（床母）、主柱与床梃（床母）连接外）。</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3、床梯子与床梃（床母）的</w:t>
            </w:r>
            <w:r>
              <w:rPr>
                <w:rFonts w:hint="eastAsia" w:ascii="宋体" w:hAnsi="宋体" w:cs="宋体"/>
                <w:i w:val="0"/>
                <w:iCs w:val="0"/>
                <w:color w:val="000000"/>
                <w:sz w:val="22"/>
                <w:szCs w:val="22"/>
                <w:u w:val="none"/>
                <w:lang w:val="en-US" w:eastAsia="zh-CN" w:bidi="ar"/>
              </w:rPr>
              <w:t>连</w:t>
            </w:r>
            <w:r>
              <w:rPr>
                <w:rFonts w:hint="eastAsia" w:ascii="宋体" w:hAnsi="宋体" w:eastAsia="宋体" w:cs="宋体"/>
                <w:i w:val="0"/>
                <w:iCs w:val="0"/>
                <w:color w:val="000000"/>
                <w:sz w:val="22"/>
                <w:szCs w:val="22"/>
                <w:u w:val="none"/>
                <w:lang w:val="en-US" w:eastAsia="zh-CN" w:bidi="ar"/>
              </w:rPr>
              <w:t>接采用与上下床梃（床母）垂直插入定位方。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4、床两端护栏及安全栏板与床梃（床母）连接必须圈焊，安全栏板两侧必须插孔焊接。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5、下床铺必须在合适位置设置固定蚊帐装置。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（四）双层床加工尺寸要求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双层床的外形尺寸，形状和位置公差分别按照QB/T 2741-2013《学生公寓多功能家具》中的5.1和5.2的规定执行。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（五）双层床的力学性能要求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双层床的力学性能要求按照QB/T 2741-2013《学生公寓多功能家具》中5.5的规定执行。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四、双层床的涂饰要求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（一）涂饰要求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1、涂饰前双层床零、部件的表面应光滑、平整，不得有飞边、尖角、毛刺等可能造成机械伤害的缺陷。金属件应无开裂、脱焊、漏焊、焊渣等缺陷。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2、涂饰前金属件零、部件表面必须进行预备处理，采用除锈、防锈处理工艺，除去锈迹等其他污迹后进行涂装打底磷化处理。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3、预备处理后表面不得有氧化皮、锈蚀、粘砂等其他杂质，磷化层达到工艺要求，预备处理后应及时使用热固性砂纹粉进行涂饰；</w:t>
            </w:r>
          </w:p>
          <w:p w14:paraId="616A493C">
            <w:pPr>
              <w:keepNext/>
              <w:keepLines w:val="0"/>
              <w:widowControl/>
              <w:numPr>
                <w:ilvl w:val="0"/>
                <w:numId w:val="0"/>
              </w:numPr>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（二）涂饰层外观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1、金属件涂层应无漏喷、锈蚀；应光滑均匀，色泽一致，应无流挂、疙瘩、皱皮、飞漆等缺陷。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2、每批产品（含双层床）不允许有明显色差。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3、产品上的五金配件应做防锈处理。</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876F4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400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B8E85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052230">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1085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797A47">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434000</w:t>
            </w:r>
          </w:p>
        </w:tc>
      </w:tr>
      <w:tr w14:paraId="69C9E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79DAB5">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1AEC5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办公桌椅</w:t>
            </w:r>
            <w:r>
              <w:rPr>
                <w:rFonts w:hint="eastAsia" w:ascii="宋体" w:hAnsi="宋体" w:cs="宋体"/>
                <w:i w:val="0"/>
                <w:iCs w:val="0"/>
                <w:color w:val="000000"/>
                <w:sz w:val="22"/>
                <w:szCs w:val="22"/>
                <w:u w:val="none"/>
                <w:lang w:val="en-US" w:eastAsia="zh-CN" w:bidi="ar"/>
              </w:rPr>
              <w:t>1</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B4E477">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办公桌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1、规格：1400</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700</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750mm</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2、材质：国标E1级OSB实木颗粒板，</w:t>
            </w:r>
            <w:r>
              <w:rPr>
                <w:rFonts w:hint="eastAsia" w:ascii="宋体" w:hAnsi="宋体" w:cs="宋体"/>
                <w:i w:val="0"/>
                <w:iCs w:val="0"/>
                <w:color w:val="000000"/>
                <w:sz w:val="22"/>
                <w:szCs w:val="22"/>
                <w:u w:val="none"/>
                <w:lang w:val="en-US" w:eastAsia="zh-CN" w:bidi="ar"/>
              </w:rPr>
              <w:t>桌面厚度≥</w:t>
            </w:r>
            <w:r>
              <w:rPr>
                <w:rFonts w:hint="eastAsia" w:ascii="宋体" w:hAnsi="宋体" w:eastAsia="宋体" w:cs="宋体"/>
                <w:i w:val="0"/>
                <w:iCs w:val="0"/>
                <w:color w:val="000000"/>
                <w:sz w:val="22"/>
                <w:szCs w:val="22"/>
                <w:u w:val="none"/>
                <w:lang w:val="en-US" w:eastAsia="zh-CN" w:bidi="ar"/>
              </w:rPr>
              <w:t>25</w:t>
            </w:r>
            <w:r>
              <w:rPr>
                <w:rFonts w:hint="eastAsia" w:ascii="宋体" w:hAnsi="宋体" w:cs="宋体"/>
                <w:i w:val="0"/>
                <w:iCs w:val="0"/>
                <w:color w:val="000000"/>
                <w:sz w:val="22"/>
                <w:szCs w:val="22"/>
                <w:u w:val="none"/>
                <w:lang w:val="en-US" w:eastAsia="zh-CN" w:bidi="ar"/>
              </w:rPr>
              <w:t>mm其余部分≥</w:t>
            </w:r>
            <w:r>
              <w:rPr>
                <w:rFonts w:hint="eastAsia" w:ascii="宋体" w:hAnsi="宋体" w:eastAsia="宋体" w:cs="宋体"/>
                <w:i w:val="0"/>
                <w:iCs w:val="0"/>
                <w:color w:val="000000"/>
                <w:sz w:val="22"/>
                <w:szCs w:val="22"/>
                <w:u w:val="none"/>
                <w:lang w:val="en-US" w:eastAsia="zh-CN" w:bidi="ar"/>
              </w:rPr>
              <w:t>15mm厚板材，表面三聚氰胺贴面，≥1.5mm厚PVC封边条封边，五金配件；PVC封边条</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耐磨性：磨30r后应无露底现象、耐干热性：无龟裂鼓泡、甲醛释放量。三聚氰胺饰面纸</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外观质量无尘埃点、无色差、无破损、无污斑、无异物、无死褶、无毛边、无皱褶、无硬质块、无掉毛、无掉粉、无缺边、无裂口、无孔洞、无卷芯变形、无收卷松紧边、PH值、甲醛释放量、浸胶量、浸胶量偏差、挥发物含量、耐磨转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3、颜色：可选。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办公椅</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1、面  料：一级网布覆面，厚度1.3-1.5mm；经液氨多道浸色及防潮、防腐等工艺处理；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2、海  绵：高弹性聚胺脂定型海</w:t>
            </w:r>
            <w:r>
              <w:rPr>
                <w:rFonts w:hint="eastAsia" w:ascii="宋体" w:hAnsi="宋体" w:cs="宋体"/>
                <w:i w:val="0"/>
                <w:iCs w:val="0"/>
                <w:color w:val="000000"/>
                <w:sz w:val="22"/>
                <w:szCs w:val="22"/>
                <w:u w:val="none"/>
                <w:lang w:val="en-US" w:eastAsia="zh-CN" w:bidi="ar"/>
              </w:rPr>
              <w:t>绵</w:t>
            </w:r>
            <w:r>
              <w:rPr>
                <w:rFonts w:hint="eastAsia" w:ascii="宋体" w:hAnsi="宋体" w:eastAsia="宋体" w:cs="宋体"/>
                <w:i w:val="0"/>
                <w:iCs w:val="0"/>
                <w:color w:val="000000"/>
                <w:sz w:val="22"/>
                <w:szCs w:val="22"/>
                <w:u w:val="none"/>
                <w:lang w:val="en-US" w:eastAsia="zh-CN" w:bidi="ar"/>
              </w:rPr>
              <w:t>(模具一次成型)，表面涂有防止老化变形的保护膜。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3、脚　架：五星式可旋转脚架，不锈钢材质，管壁厚2mm以上。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4、升降杆：液压升降杆。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5、颜色：可选。</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69552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50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591AA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EE8412">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1143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89B39F">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57150</w:t>
            </w:r>
          </w:p>
        </w:tc>
      </w:tr>
      <w:tr w14:paraId="0CAE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FCFAB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8152E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档案柜</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2841CF">
            <w:pPr>
              <w:keepNext/>
              <w:keepLines w:val="0"/>
              <w:widowControl/>
              <w:numPr>
                <w:ilvl w:val="0"/>
                <w:numId w:val="5"/>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尺寸要求：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1.产品外形尺寸：长850mm×深390mm×高1850mm（±5mm）；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2．整体采用≥0.6mm冷轧钢板，经激光切割，折弯，焊接，酸洗，磷化，烘干，喷塑，固化，组装，加工而成。</w:t>
            </w:r>
          </w:p>
          <w:p w14:paraId="6228117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二、结构要求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1.上面玻璃门，下面钢板门，上门内2个隔板分成3格，高度可以放3层档案盒，下门内1个隔板分成2格。</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2.上下门框左门板只有扣手，右门板扣手下面有锁具；每把锁具配2把钥匙；扣手为不锈钢边框。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3.隔板为活动式，可调节高度，以20mm左右为基数任意调节高度。隔板下面有加强筋。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三、喷塑要求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颜色：亚光灰白色；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①涂饰前所有部件的表面应光滑、平整，不得有飞边、尖角、毛刺等可能造成机械伤害的缺陷。金属件应无开裂、脱焊、漏焊、焊渣等缺陷。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②涂饰前所有部件表面必须进行预备处理，采用除锈、防锈处理工艺，除去锈迹等其他污迹后进行涂装打底磷化处理。预备处理后表面不得有氧化皮、锈蚀、粘砂等其他杂质，磷化层达到工艺要求，预备处理后应及时进行涂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③涂饰层外观：金属件涂层应无漏喷、锈蚀；应光滑均匀，色泽一致，应无流挂、疙瘩、皱皮、飞漆等缺陷。每批产品不允许有明显色差。产品上的五金配件应做防锈处理。</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0F9C2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50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3FC63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4D9050">
            <w:pPr>
              <w:keepNext/>
              <w:keepLines w:val="0"/>
              <w:widowControl/>
              <w:suppressLineNumbers w:val="0"/>
              <w:jc w:val="center"/>
              <w:rPr>
                <w:rFonts w:ascii="宋体" w:hAnsi="宋体" w:eastAsia="宋体" w:cs="宋体"/>
                <w:i w:val="0"/>
                <w:iCs w:val="0"/>
                <w:color w:val="000000"/>
                <w:sz w:val="21"/>
                <w:szCs w:val="21"/>
                <w:u w:val="none"/>
                <w:lang w:val="en-US" w:eastAsia="zh-CN" w:bidi="ar"/>
              </w:rPr>
            </w:pPr>
            <w:r>
              <w:rPr>
                <w:rFonts w:hint="eastAsia" w:ascii="宋体" w:hAnsi="宋体" w:eastAsia="宋体" w:cs="宋体"/>
                <w:i w:val="0"/>
                <w:iCs w:val="0"/>
                <w:color w:val="000000"/>
                <w:sz w:val="21"/>
                <w:szCs w:val="21"/>
                <w:u w:val="none"/>
                <w:lang w:val="en-US" w:eastAsia="zh-CN" w:bidi="ar"/>
              </w:rPr>
              <w:t>748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846B11">
            <w:pPr>
              <w:keepNext/>
              <w:keepLines w:val="0"/>
              <w:widowControl/>
              <w:suppressLineNumbers w:val="0"/>
              <w:jc w:val="center"/>
              <w:rPr>
                <w:rFonts w:hint="default" w:ascii="宋体" w:hAnsi="宋体" w:eastAsia="宋体" w:cs="宋体"/>
                <w:i w:val="0"/>
                <w:iCs w:val="0"/>
                <w:color w:val="000000"/>
                <w:sz w:val="21"/>
                <w:szCs w:val="21"/>
                <w:u w:val="none"/>
                <w:lang w:val="en-US" w:eastAsia="zh-CN" w:bidi="ar-SA"/>
              </w:rPr>
            </w:pPr>
            <w:r>
              <w:rPr>
                <w:rFonts w:hint="eastAsia" w:ascii="宋体" w:hAnsi="宋体" w:cs="宋体"/>
                <w:i w:val="0"/>
                <w:iCs w:val="0"/>
                <w:color w:val="000000"/>
                <w:sz w:val="21"/>
                <w:szCs w:val="21"/>
                <w:u w:val="none"/>
                <w:lang w:val="en-US" w:eastAsia="zh-CN" w:bidi="ar"/>
              </w:rPr>
              <w:t>37400</w:t>
            </w:r>
          </w:p>
        </w:tc>
      </w:tr>
      <w:tr w14:paraId="3CD39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EE995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r>
              <w:rPr>
                <w:rFonts w:hint="eastAsia" w:ascii="宋体" w:hAnsi="宋体" w:cs="宋体"/>
                <w:i w:val="0"/>
                <w:iCs w:val="0"/>
                <w:color w:val="000000"/>
                <w:sz w:val="22"/>
                <w:szCs w:val="22"/>
                <w:u w:val="none"/>
                <w:lang w:val="en-US" w:eastAsia="zh-CN" w:bidi="ar"/>
              </w:rPr>
              <w:t>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840A4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空调（立式）</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ECBB5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1、3 匹冷暖柜式空调</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2、能效等级:2级，能效比:≥3.9</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3、额定制冷量≥7210W</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4、额定制冷功率≤2180W</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5、额定制热量≥9800W</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6、额定制热功率≤3140W </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7、运行噪音(dB):室内≤46，室外&lt;57 </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8、循环风量(</w:t>
            </w:r>
            <w:r>
              <w:t>m³</w:t>
            </w:r>
            <w:r>
              <w:rPr>
                <w:rFonts w:hint="eastAsia" w:ascii="宋体" w:hAnsi="宋体" w:eastAsia="宋体" w:cs="宋体"/>
                <w:i w:val="0"/>
                <w:iCs w:val="0"/>
                <w:color w:val="000000"/>
                <w:sz w:val="22"/>
                <w:szCs w:val="22"/>
                <w:u w:val="none"/>
                <w:lang w:val="en-US" w:eastAsia="zh-CN" w:bidi="ar"/>
              </w:rPr>
              <w:t>/)≥1050</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9、电源规格: 220V/50HZ</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10、配置:配套 4米铜管、室内机1 台、室外机1台、遥控器1个、电池2个、说明书1份、保修卡1份。</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11、智能化霜</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12、省电模式</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13、高温自清洁</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14、智能独立除湿</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15、可控超强档急速制冷/制热</w:t>
            </w:r>
            <w:r>
              <w:rPr>
                <w:rFonts w:hint="eastAsia" w:ascii="宋体" w:hAnsi="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0BDE1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80304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855C0D">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6278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9FCA8A">
            <w:pPr>
              <w:keepNext/>
              <w:keepLines w:val="0"/>
              <w:widowControl/>
              <w:suppressLineNumbers w:val="0"/>
              <w:jc w:val="center"/>
              <w:rPr>
                <w:rFonts w:hint="default" w:ascii="宋体" w:hAnsi="宋体" w:eastAsia="宋体" w:cs="宋体"/>
                <w:i w:val="0"/>
                <w:iCs w:val="0"/>
                <w:color w:val="000000"/>
                <w:sz w:val="22"/>
                <w:szCs w:val="22"/>
                <w:u w:val="none"/>
                <w:lang w:val="en-US" w:eastAsia="zh-CN" w:bidi="ar-SA"/>
              </w:rPr>
            </w:pPr>
            <w:r>
              <w:rPr>
                <w:rFonts w:hint="eastAsia" w:ascii="宋体" w:hAnsi="宋体" w:cs="宋体"/>
                <w:i w:val="0"/>
                <w:iCs w:val="0"/>
                <w:color w:val="000000"/>
                <w:sz w:val="22"/>
                <w:szCs w:val="22"/>
                <w:u w:val="none"/>
                <w:lang w:val="en-US" w:eastAsia="zh-CN" w:bidi="ar"/>
              </w:rPr>
              <w:t>62780</w:t>
            </w:r>
          </w:p>
        </w:tc>
      </w:tr>
      <w:tr w14:paraId="1221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8A9AD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r>
              <w:rPr>
                <w:rFonts w:hint="eastAsia" w:ascii="宋体" w:hAnsi="宋体" w:cs="宋体"/>
                <w:i w:val="0"/>
                <w:iCs w:val="0"/>
                <w:color w:val="000000"/>
                <w:sz w:val="22"/>
                <w:szCs w:val="22"/>
                <w:u w:val="none"/>
                <w:lang w:val="en-US" w:eastAsia="zh-CN" w:bidi="ar"/>
              </w:rPr>
              <w:t>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51949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高速扫描仪（改卷用）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3C116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cs="宋体"/>
                <w:i w:val="0"/>
                <w:iCs w:val="0"/>
                <w:color w:val="000000"/>
                <w:sz w:val="22"/>
                <w:szCs w:val="22"/>
                <w:u w:val="none"/>
                <w:lang w:val="en-US" w:eastAsia="zh-CN" w:bidi="ar"/>
              </w:rPr>
              <w:t>1、</w:t>
            </w:r>
            <w:r>
              <w:rPr>
                <w:rFonts w:hint="eastAsia" w:ascii="宋体" w:hAnsi="宋体" w:eastAsia="宋体" w:cs="宋体"/>
                <w:i w:val="0"/>
                <w:iCs w:val="0"/>
                <w:color w:val="000000"/>
                <w:sz w:val="22"/>
                <w:szCs w:val="22"/>
                <w:u w:val="none"/>
                <w:lang w:val="en-US" w:eastAsia="zh-CN" w:bidi="ar"/>
              </w:rPr>
              <w:t>幅面：A3</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2、</w:t>
            </w:r>
            <w:r>
              <w:rPr>
                <w:rFonts w:hint="eastAsia" w:ascii="宋体" w:hAnsi="宋体" w:eastAsia="宋体" w:cs="宋体"/>
                <w:i w:val="0"/>
                <w:iCs w:val="0"/>
                <w:color w:val="000000"/>
                <w:sz w:val="22"/>
                <w:szCs w:val="22"/>
                <w:u w:val="none"/>
                <w:lang w:val="en-US" w:eastAsia="zh-CN" w:bidi="ar"/>
              </w:rPr>
              <w:t>扫描速度：67ppm/134ipm（200dpi模式下黑白彩色同速）</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图像传感器：CIS</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3、</w:t>
            </w:r>
            <w:r>
              <w:rPr>
                <w:rFonts w:hint="eastAsia" w:ascii="宋体" w:hAnsi="宋体" w:eastAsia="宋体" w:cs="宋体"/>
                <w:i w:val="0"/>
                <w:iCs w:val="0"/>
                <w:color w:val="000000"/>
                <w:sz w:val="22"/>
                <w:szCs w:val="22"/>
                <w:u w:val="none"/>
                <w:lang w:val="en-US" w:eastAsia="zh-CN" w:bidi="ar"/>
              </w:rPr>
              <w:t>光源：LED(R/G/B)</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4、</w:t>
            </w:r>
            <w:r>
              <w:rPr>
                <w:rFonts w:hint="eastAsia" w:ascii="宋体" w:hAnsi="宋体" w:eastAsia="宋体" w:cs="宋体"/>
                <w:i w:val="0"/>
                <w:iCs w:val="0"/>
                <w:color w:val="000000"/>
                <w:sz w:val="22"/>
                <w:szCs w:val="22"/>
                <w:u w:val="none"/>
                <w:lang w:val="en-US" w:eastAsia="zh-CN" w:bidi="ar"/>
              </w:rPr>
              <w:t>扫描分辨率：1-600dpi,1dpi步进可调</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光学分辨率：300dpi/600dpi</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6、</w:t>
            </w:r>
            <w:r>
              <w:rPr>
                <w:rFonts w:hint="eastAsia" w:ascii="宋体" w:hAnsi="宋体" w:eastAsia="宋体" w:cs="宋体"/>
                <w:i w:val="0"/>
                <w:iCs w:val="0"/>
                <w:color w:val="000000"/>
                <w:sz w:val="22"/>
                <w:szCs w:val="22"/>
                <w:u w:val="none"/>
                <w:lang w:val="en-US" w:eastAsia="zh-CN" w:bidi="ar"/>
              </w:rPr>
              <w:t>送稿器容纸量：≥100张（A4:70g/㎡）</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7、</w:t>
            </w:r>
            <w:r>
              <w:rPr>
                <w:rFonts w:hint="eastAsia" w:ascii="宋体" w:hAnsi="宋体" w:eastAsia="宋体" w:cs="宋体"/>
                <w:i w:val="0"/>
                <w:iCs w:val="0"/>
                <w:color w:val="000000"/>
                <w:sz w:val="22"/>
                <w:szCs w:val="22"/>
                <w:u w:val="none"/>
                <w:lang w:val="en-US" w:eastAsia="zh-CN" w:bidi="ar"/>
              </w:rPr>
              <w:t>进纸方式：自动进纸；直通道（上进纸，下出纸）</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8、</w:t>
            </w:r>
            <w:r>
              <w:rPr>
                <w:rFonts w:hint="eastAsia" w:ascii="宋体" w:hAnsi="宋体" w:eastAsia="宋体" w:cs="宋体"/>
                <w:i w:val="0"/>
                <w:iCs w:val="0"/>
                <w:color w:val="000000"/>
                <w:sz w:val="22"/>
                <w:szCs w:val="22"/>
                <w:u w:val="none"/>
                <w:lang w:val="en-US" w:eastAsia="zh-CN" w:bidi="ar"/>
              </w:rPr>
              <w:t>扫描页面：单面/双面</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9、</w:t>
            </w:r>
            <w:r>
              <w:rPr>
                <w:rFonts w:hint="eastAsia" w:ascii="宋体" w:hAnsi="宋体" w:eastAsia="宋体" w:cs="宋体"/>
                <w:i w:val="0"/>
                <w:iCs w:val="0"/>
                <w:color w:val="000000"/>
                <w:sz w:val="22"/>
                <w:szCs w:val="22"/>
                <w:u w:val="none"/>
                <w:lang w:val="en-US" w:eastAsia="zh-CN" w:bidi="ar"/>
              </w:rPr>
              <w:t>介质尺寸：宽度：54-305mm；</w:t>
            </w:r>
            <w:r>
              <w:rPr>
                <w:rFonts w:ascii="Arial Unicode MS" w:hAnsi="Arial Unicode MS" w:eastAsia="Arial Unicode MS" w:cs="Arial Unicode MS"/>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度：65-1000mm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10、</w:t>
            </w:r>
            <w:r>
              <w:rPr>
                <w:rFonts w:hint="eastAsia" w:ascii="宋体" w:hAnsi="宋体" w:eastAsia="宋体" w:cs="宋体"/>
                <w:i w:val="0"/>
                <w:iCs w:val="0"/>
                <w:color w:val="000000"/>
                <w:sz w:val="22"/>
                <w:szCs w:val="22"/>
                <w:u w:val="none"/>
                <w:lang w:val="en-US" w:eastAsia="zh-CN" w:bidi="ar"/>
              </w:rPr>
              <w:t>介质厚度或重量：0.06-0.15mm；40g-157g/㎡；≦1.4mm证卡</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11、</w:t>
            </w:r>
            <w:r>
              <w:rPr>
                <w:rFonts w:hint="eastAsia" w:ascii="宋体" w:hAnsi="宋体" w:eastAsia="宋体" w:cs="宋体"/>
                <w:i w:val="0"/>
                <w:iCs w:val="0"/>
                <w:color w:val="000000"/>
                <w:sz w:val="22"/>
                <w:szCs w:val="22"/>
                <w:u w:val="none"/>
                <w:lang w:val="en-US" w:eastAsia="zh-CN" w:bidi="ar"/>
              </w:rPr>
              <w:t>图像输出格式：JPEG/TIFF/BMP/PDF/PNG/双层PDF/OFD</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12、</w:t>
            </w:r>
            <w:r>
              <w:rPr>
                <w:rFonts w:hint="eastAsia" w:ascii="宋体" w:hAnsi="宋体" w:eastAsia="宋体" w:cs="宋体"/>
                <w:i w:val="0"/>
                <w:iCs w:val="0"/>
                <w:color w:val="000000"/>
                <w:sz w:val="22"/>
                <w:szCs w:val="22"/>
                <w:u w:val="none"/>
                <w:lang w:val="en-US" w:eastAsia="zh-CN" w:bidi="ar"/>
              </w:rPr>
              <w:t>图像处理器：GPU（片上图像处理单元）</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13、</w:t>
            </w:r>
            <w:r>
              <w:rPr>
                <w:rFonts w:hint="eastAsia" w:ascii="宋体" w:hAnsi="宋体" w:eastAsia="宋体" w:cs="宋体"/>
                <w:i w:val="0"/>
                <w:iCs w:val="0"/>
                <w:color w:val="000000"/>
                <w:sz w:val="22"/>
                <w:szCs w:val="22"/>
                <w:u w:val="none"/>
                <w:lang w:val="en-US" w:eastAsia="zh-CN" w:bidi="ar"/>
              </w:rPr>
              <w:t>支持接口：USB3.0*1；Type：B</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14、</w:t>
            </w:r>
            <w:r>
              <w:rPr>
                <w:rFonts w:hint="eastAsia" w:ascii="宋体" w:hAnsi="宋体" w:eastAsia="宋体" w:cs="宋体"/>
                <w:i w:val="0"/>
                <w:iCs w:val="0"/>
                <w:color w:val="000000"/>
                <w:sz w:val="22"/>
                <w:szCs w:val="22"/>
                <w:u w:val="none"/>
                <w:lang w:val="en-US" w:eastAsia="zh-CN" w:bidi="ar"/>
              </w:rPr>
              <w:t>支持操作系统：windows7、windows8、windows10、windows11、UOS、银河麒麟、中标麒麟等国产操作系统。</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36F5E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38356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D3C735">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26548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6037B9">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26548</w:t>
            </w:r>
          </w:p>
        </w:tc>
      </w:tr>
      <w:tr w14:paraId="78803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16F577">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r>
              <w:rPr>
                <w:rFonts w:hint="eastAsia" w:ascii="宋体" w:hAnsi="宋体" w:cs="宋体"/>
                <w:i w:val="0"/>
                <w:iCs w:val="0"/>
                <w:color w:val="000000"/>
                <w:sz w:val="22"/>
                <w:szCs w:val="22"/>
                <w:u w:val="none"/>
                <w:lang w:val="en-US" w:eastAsia="zh-CN" w:bidi="ar"/>
              </w:rPr>
              <w:t>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F6D168">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复印机（中型）</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739E86">
            <w:pPr>
              <w:keepNext/>
              <w:keepLines w:val="0"/>
              <w:widowControl/>
              <w:numPr>
                <w:ilvl w:val="0"/>
                <w:numId w:val="6"/>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标配10.1英寸彩色LCD触摸屏，50张双面自动进稿器+双面器，2个500张纸盒+100张手送纸盘、纸盒加热器、作业分离器，4GB内存+32G(SSD)硬盘、USB3.0*1、USB2.0*4、1000兆网络接口、NFC TGA*1+铁柜工作台</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2、</w:t>
            </w:r>
            <w:r>
              <w:rPr>
                <w:rFonts w:hint="eastAsia" w:ascii="宋体" w:hAnsi="宋体" w:eastAsia="宋体" w:cs="宋体"/>
                <w:i w:val="0"/>
                <w:iCs w:val="0"/>
                <w:color w:val="000000"/>
                <w:sz w:val="22"/>
                <w:szCs w:val="22"/>
                <w:u w:val="none"/>
                <w:lang w:val="en-US" w:eastAsia="zh-CN" w:bidi="ar"/>
              </w:rPr>
              <w:t>印刷速度： 32页/分钟（A4横向）；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3、</w:t>
            </w:r>
            <w:r>
              <w:rPr>
                <w:rFonts w:hint="eastAsia" w:ascii="宋体" w:hAnsi="宋体" w:eastAsia="宋体" w:cs="宋体"/>
                <w:i w:val="0"/>
                <w:iCs w:val="0"/>
                <w:color w:val="000000"/>
                <w:sz w:val="22"/>
                <w:szCs w:val="22"/>
                <w:u w:val="none"/>
                <w:lang w:val="en-US" w:eastAsia="zh-CN" w:bidi="ar"/>
              </w:rPr>
              <w:t>扫描速度（DP7140）：50ipm（单 黑/彩色）、16ipm（双 黑/彩色）</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4、</w:t>
            </w:r>
            <w:r>
              <w:rPr>
                <w:rFonts w:hint="eastAsia" w:ascii="宋体" w:hAnsi="宋体" w:eastAsia="宋体" w:cs="宋体"/>
                <w:i w:val="0"/>
                <w:iCs w:val="0"/>
                <w:color w:val="000000"/>
                <w:sz w:val="22"/>
                <w:szCs w:val="22"/>
                <w:u w:val="none"/>
                <w:lang w:val="en-US" w:eastAsia="zh-CN" w:bidi="ar"/>
              </w:rPr>
              <w:t>性能参数：最大A3幅面，复印、打印、彩色扫描、网络打印、网络彩色扫描、Airprint打印、Mopria打印、WiFI直接打印（选购无线网卡），NFC打印/扫描功能（选购认证组件），标配纸盒加热器、双面器、50张双面自动进稿器（DP7140）；4G内存，32GB(SSD)、2×500张纸盒（60-163g/㎡）、100张手送纸盒（45-256g/㎡） ，具备跳过空白页扫描/复印及一次扫描多次复印、多合一复印及一键身份证复印、防透印到背面及电子/十字分页、USB扫描/直接打印功能；预热时间：18秒，首张复印时间：4.3秒，幅面尺寸A6R-A3，复印分辨率600*600dpi，打印分辨率1200*1200dpi，25%-400%缩放倍率，多份复印1-999页，</w:t>
            </w:r>
          </w:p>
          <w:p w14:paraId="0095C486">
            <w:pPr>
              <w:keepNext/>
              <w:keepLines w:val="0"/>
              <w:widowControl/>
              <w:numPr>
                <w:ilvl w:val="0"/>
                <w:numId w:val="0"/>
              </w:numPr>
              <w:suppressLineNumbers w:val="0"/>
              <w:jc w:val="left"/>
              <w:rPr>
                <w:rFonts w:hint="eastAsia" w:ascii="宋体" w:hAnsi="宋体" w:eastAsia="宋体" w:cs="宋体"/>
                <w:color w:val="000000"/>
                <w:sz w:val="24"/>
                <w:highlight w:val="none"/>
              </w:rPr>
            </w:pP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支持银河麒麟系统、统信UOS系统；60万页印量非晶硅硒鼓组件。</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BE9E1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71EAA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41F7D5">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 xml:space="preserve">38000 </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A2ECE2">
            <w:pPr>
              <w:keepNext/>
              <w:keepLines w:val="0"/>
              <w:widowControl/>
              <w:suppressLineNumbers w:val="0"/>
              <w:jc w:val="center"/>
              <w:rPr>
                <w:rFonts w:hint="eastAsia" w:ascii="宋体" w:hAnsi="宋体" w:eastAsia="宋体" w:cs="宋体"/>
                <w:i w:val="0"/>
                <w:iCs w:val="0"/>
                <w:color w:val="000000"/>
                <w:sz w:val="22"/>
                <w:szCs w:val="22"/>
                <w:u w:val="none"/>
                <w:lang w:val="en-US" w:eastAsia="zh-CN" w:bidi="ar-SA"/>
              </w:rPr>
            </w:pPr>
            <w:r>
              <w:rPr>
                <w:rFonts w:hint="eastAsia" w:ascii="宋体" w:hAnsi="宋体" w:eastAsia="宋体" w:cs="宋体"/>
                <w:i w:val="0"/>
                <w:iCs w:val="0"/>
                <w:color w:val="000000"/>
                <w:sz w:val="22"/>
                <w:szCs w:val="22"/>
                <w:u w:val="none"/>
                <w:lang w:val="en-US" w:eastAsia="zh-CN" w:bidi="ar"/>
              </w:rPr>
              <w:t>38000</w:t>
            </w:r>
          </w:p>
        </w:tc>
      </w:tr>
      <w:tr w14:paraId="798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19AEF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F531D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复印机（小型）</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4DEB1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产品参数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A4黑白激光三合一，带输稿器，打印速度33ppm,USB接口、网络接口、无线WiFi</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1、标配自动双面打印</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2、打印分辨率1200*1200dpi</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3、最大月打印量：25000页</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4、纸盒容量：250页</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5、耗材：TO-400；鼓粉分离，粉盒3000页（5%覆盖率），不限制加粉</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产品功能</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6</w:t>
            </w:r>
            <w:r>
              <w:rPr>
                <w:rFonts w:hint="eastAsia" w:ascii="宋体" w:hAnsi="宋体" w:eastAsia="宋体" w:cs="宋体"/>
                <w:i w:val="0"/>
                <w:iCs w:val="0"/>
                <w:color w:val="000000"/>
                <w:sz w:val="22"/>
                <w:szCs w:val="22"/>
                <w:u w:val="none"/>
                <w:lang w:val="en-US" w:eastAsia="zh-CN" w:bidi="ar"/>
              </w:rPr>
              <w:t>、高速双面打印</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7</w:t>
            </w:r>
            <w:r>
              <w:rPr>
                <w:rFonts w:hint="eastAsia" w:ascii="宋体" w:hAnsi="宋体" w:eastAsia="宋体" w:cs="宋体"/>
                <w:i w:val="0"/>
                <w:iCs w:val="0"/>
                <w:color w:val="000000"/>
                <w:sz w:val="22"/>
                <w:szCs w:val="22"/>
                <w:u w:val="none"/>
                <w:lang w:val="en-US" w:eastAsia="zh-CN" w:bidi="ar"/>
              </w:rPr>
              <w:t>、移动NFC连接、无线WiFi打印（仅限带W的机型）</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8</w:t>
            </w:r>
            <w:r>
              <w:rPr>
                <w:rFonts w:hint="eastAsia" w:ascii="宋体" w:hAnsi="宋体" w:eastAsia="宋体" w:cs="宋体"/>
                <w:i w:val="0"/>
                <w:iCs w:val="0"/>
                <w:color w:val="000000"/>
                <w:sz w:val="22"/>
                <w:szCs w:val="22"/>
                <w:u w:val="none"/>
                <w:lang w:val="en-US" w:eastAsia="zh-CN" w:bidi="ar"/>
              </w:rPr>
              <w:t>、A5加速打印58页每分钟</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9</w:t>
            </w:r>
            <w:r>
              <w:rPr>
                <w:rFonts w:hint="eastAsia" w:ascii="宋体" w:hAnsi="宋体" w:eastAsia="宋体" w:cs="宋体"/>
                <w:i w:val="0"/>
                <w:iCs w:val="0"/>
                <w:color w:val="000000"/>
                <w:sz w:val="22"/>
                <w:szCs w:val="22"/>
                <w:u w:val="none"/>
                <w:lang w:val="en-US" w:eastAsia="zh-CN" w:bidi="ar"/>
              </w:rPr>
              <w:t>、静音打印、精细打印</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10</w:t>
            </w:r>
            <w:r>
              <w:rPr>
                <w:rFonts w:hint="eastAsia" w:ascii="宋体" w:hAnsi="宋体" w:eastAsia="宋体" w:cs="宋体"/>
                <w:i w:val="0"/>
                <w:iCs w:val="0"/>
                <w:color w:val="000000"/>
                <w:sz w:val="22"/>
                <w:szCs w:val="22"/>
                <w:u w:val="none"/>
                <w:lang w:val="en-US" w:eastAsia="zh-CN" w:bidi="ar"/>
              </w:rPr>
              <w:t>、U盘扫描（一体机支持）</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11</w:t>
            </w:r>
            <w:r>
              <w:rPr>
                <w:rFonts w:hint="eastAsia" w:ascii="宋体" w:hAnsi="宋体" w:eastAsia="宋体" w:cs="宋体"/>
                <w:i w:val="0"/>
                <w:iCs w:val="0"/>
                <w:color w:val="000000"/>
                <w:sz w:val="22"/>
                <w:szCs w:val="22"/>
                <w:u w:val="none"/>
                <w:lang w:val="en-US" w:eastAsia="zh-CN" w:bidi="ar"/>
              </w:rPr>
              <w:t>、身份证复印、票据复印</w:t>
            </w:r>
            <w:r>
              <w:rPr>
                <w:rFonts w:hint="eastAsia" w:ascii="宋体" w:hAnsi="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916A8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3</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DF569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7B6F3E">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3000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E2152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9000</w:t>
            </w:r>
          </w:p>
        </w:tc>
      </w:tr>
      <w:tr w14:paraId="108A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B411A0">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AC5400">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乒乓球台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EC53C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1、台面尺寸规格：2740mm-2745mm×1525mm,台高760mm，配置铁制球网，高150mm，长1530mm（</w:t>
            </w:r>
            <w:r>
              <w:rPr>
                <w:rFonts w:hint="eastAsia" w:ascii="宋体" w:hAnsi="宋体" w:cs="宋体"/>
                <w:i w:val="0"/>
                <w:iCs w:val="0"/>
                <w:color w:val="000000"/>
                <w:sz w:val="22"/>
                <w:szCs w:val="22"/>
                <w:u w:val="none"/>
                <w:lang w:val="en-US" w:eastAsia="zh-CN" w:bidi="ar"/>
              </w:rPr>
              <w:t>以上尺寸允许偏差</w:t>
            </w:r>
            <w:r>
              <w:rPr>
                <w:rFonts w:hint="eastAsia" w:ascii="宋体" w:hAnsi="宋体" w:eastAsia="宋体" w:cs="宋体"/>
                <w:i w:val="0"/>
                <w:iCs w:val="0"/>
                <w:color w:val="000000"/>
                <w:sz w:val="22"/>
                <w:szCs w:val="22"/>
                <w:u w:val="none"/>
                <w:lang w:val="en-US" w:eastAsia="zh-CN" w:bidi="ar"/>
              </w:rPr>
              <w:t>±5mm），符合标准要求；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2、球台台面采用SMC材料，厚</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15mm；台面四周采用方管加固处理，台面与彩虹支腿连接处用20×40mm的方管加固框连接；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3、能承受500N静载荷要求和冲击球冲击要求，稳定性好，耐气候性强、耐老化程度高，防腐、防晒、防雨、阻燃、不易变形等,底架采用彩虹腿设计结构，Φ60mm钢管，保证整体的稳定性；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4、底架采用彩虹腿设计结构，Φ60mm钢管，保证整体的稳定性；台腿外边距两端台边280mm，任何撑档离地大于230mm，保证使用者的运动安全；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5、球台网及网架防锈、防松、防损坏；焊接严密牢固、无漏焊、虚焊、包渣、裂纹等缺陷；</w:t>
            </w:r>
          </w:p>
          <w:p w14:paraId="3DD45F20">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6、器材不允许有钩挂、卡夹等潜在危险，表面处理采用抛光工艺，除锈彻底，增大工件表面面积，增强塑粉附着力，外表面环保静电粉末。</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600A0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6</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1E054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张</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EA9D25">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1600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F19F33">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9600</w:t>
            </w:r>
          </w:p>
        </w:tc>
      </w:tr>
      <w:tr w14:paraId="2F83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FE7BB5">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2AF48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气排球架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7F5A9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1、移动式移动排球柱，网高调节范围1550～2430mm，可满足羽毛球、气排球、排球多功能使用；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2、底座采用钢板折边焊接而成，底座带轮、移动方便；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3、立柱采用钢管制作，外管直径76mm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2.0mm</w:t>
            </w:r>
            <w:r>
              <w:rPr>
                <w:rFonts w:hint="eastAsia" w:ascii="宋体" w:hAnsi="宋体" w:cs="宋体"/>
                <w:i w:val="0"/>
                <w:iCs w:val="0"/>
                <w:color w:val="000000"/>
                <w:sz w:val="22"/>
                <w:szCs w:val="22"/>
                <w:u w:val="none"/>
                <w:lang w:val="en-US" w:eastAsia="zh-CN" w:bidi="ar"/>
              </w:rPr>
              <w:t>厚</w:t>
            </w:r>
            <w:r>
              <w:rPr>
                <w:rFonts w:hint="eastAsia" w:ascii="宋体" w:hAnsi="宋体" w:eastAsia="宋体" w:cs="宋体"/>
                <w:i w:val="0"/>
                <w:iCs w:val="0"/>
                <w:color w:val="000000"/>
                <w:sz w:val="22"/>
                <w:szCs w:val="22"/>
                <w:u w:val="none"/>
                <w:lang w:val="en-US" w:eastAsia="zh-CN" w:bidi="ar"/>
              </w:rPr>
              <w:t>，内管直径60mm，钢管内立柱上下移动；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4、紧线机构：一立柱上置有网钩，另一立柱上置有棘爪紧线锁紧机构，通过调节手柄调节钢丝绳的松紧，从而实现网的水平高度要求；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外观质量：内管电镀，外管及底座箱体经抛丸除锈、酸洗、磷化等初级处理后，采用高温静电喷塑，色彩靓丽，表面无皱纹、无漏镀、脱镀、无漏喷、脱漆及明显划痕等缺陷；焊接严密牢固，无漏焊、虚焊、包渣、裂纹等缺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6、配架网一付。</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5528C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3</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04FE1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付</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920A1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375BC8">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4200</w:t>
            </w:r>
          </w:p>
        </w:tc>
      </w:tr>
      <w:tr w14:paraId="0345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766419">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7895F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羽毛球网架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AC5391">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1、移动式羽毛球柱由底座、立柱、锁紧装置组成。（配网）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2、二立柱选用Φ42×3mm管制作，一根立柱置有一系绳柱，另一立柱置有棘轮、棘爪紧线机构装置，通过专用手柄转动，实现网的高度符合：1550mm（±5mm）。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3、羽毛球底座采用钢板折弯成型。</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4、羽毛球柱底座装有PU滚轮。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5、羽毛球立柱均经除锈、磷化等处理后在自动喷涂线上喷塑，底座经烤漆处理，漆层表面无皱纹，无漏喷、脱漆等缺陷。</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C9B10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F60C1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付</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638ED5">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1798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9732E5">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3596</w:t>
            </w:r>
          </w:p>
        </w:tc>
      </w:tr>
      <w:tr w14:paraId="58C6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A52C06">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A73CF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垒球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3FB0E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1、用强度较高的革，手感细腻，直径83mm。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2、圆周长：235mm,重量为130g±5g。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3、表面清洁，便于用后清洗消毒，清洗晾干后缩水率≤1%,且不起皮,不裂纹。</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8A5FD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48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6BDEE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751D6D">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B80CE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216</w:t>
            </w:r>
          </w:p>
        </w:tc>
      </w:tr>
      <w:tr w14:paraId="69CDE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B29909">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59E7E2">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实心球</w:t>
            </w:r>
            <w:r>
              <w:rPr>
                <w:rFonts w:hint="eastAsia"/>
                <w:lang w:val="en-US" w:eastAsia="zh-CN"/>
              </w:rPr>
              <w:t>1</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679AB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1、重量1Kg，常态状态下直径135mm，壁厚≥1.5mm；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2、材质为塑胶（PU）；表面手感有弹性，平滑、无毛刺</w:t>
            </w:r>
            <w:r>
              <w:rPr>
                <w:rFonts w:hint="eastAsia" w:ascii="宋体" w:hAnsi="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F557E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48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175F7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8ACD8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797B9D">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1056</w:t>
            </w:r>
          </w:p>
        </w:tc>
      </w:tr>
      <w:tr w14:paraId="6945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A59F6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9DB6DF">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实心球</w:t>
            </w:r>
            <w:r>
              <w:rPr>
                <w:rFonts w:hint="eastAsia"/>
                <w:lang w:val="en-US" w:eastAsia="zh-CN"/>
              </w:rPr>
              <w:t>2</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C3EFA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1、圆周长420mm～780mm,质量2000g±30g，圆球形，充气式橡胶实心球，有内胆，手感柔软无伤害，外摸无填充物感觉；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2、球面用3mm厚的天然橡胶整体成形，未使用再生胶，产品没有异味；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3、从10M高处自由落体试验后，无破裂。球表面防滑，球上有明显不易脱落的商标、标志；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4、外表面均匀分布乳头状小颗粒，半球结合处没有凹楞。</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29641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48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18059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EEE93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3339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1056</w:t>
            </w:r>
          </w:p>
        </w:tc>
      </w:tr>
      <w:tr w14:paraId="707C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F1BD2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82DCD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毽球(毽子）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A57C9C">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1、毽子高160-170mm，重13-15g；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2、毽垫直径32mm，厚度25mm；毽毛≥160mm；毽垫为金属材料，底部为橡胶制弹性底垫；</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3、毽毛为四根经处理的长鸭毛组成，羽毛宽32～35mm，插毛管高22mm。毽毛色彩鲜艳，符合学生心理特点。</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5AC72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24</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C830C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E55172">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BD803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144</w:t>
            </w:r>
          </w:p>
        </w:tc>
      </w:tr>
      <w:tr w14:paraId="1A83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72FF3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A7E71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短跳绳</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28EB3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1、绳的规格：长度2300mm，直径6mm；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2、握手柄的规格：长度110mm，直径24mm；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3、绳材质为棉绳材质制成，无毒、环保，柄材质为木质；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4、绳柔软，韧性好；旋转流畅、方便调节绳的长度，有锁紧绳装置；</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83667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24</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4797D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843857">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48A270">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264</w:t>
            </w:r>
          </w:p>
        </w:tc>
      </w:tr>
      <w:tr w14:paraId="349D6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8B9F8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D6135E">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长跳绳</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48489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1、手柄用杂木制成，尺寸为Φ26mm×130mm，表面光滑，无裂纹，无毛刺,手感舒适且与绳结合牢固；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2、手柄与绳的结合能承受20kg的力而不脱落；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3、手柄与绳连接处灵活转动，无缠绞现象。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413A6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24</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85569F">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9A486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169BB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720</w:t>
            </w:r>
          </w:p>
        </w:tc>
      </w:tr>
      <w:tr w14:paraId="0907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989DA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7C2F1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拔河绳</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0808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1、拔河绳应用麻绳多股绞合而成；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2、绳长30m，直径Φ30mm；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3、质量约10kg。</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38B44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7AC6F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7AD63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260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A4F497">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520</w:t>
            </w:r>
          </w:p>
        </w:tc>
      </w:tr>
      <w:tr w14:paraId="16B90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483B6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F9618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篮球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72C2F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天然革，7号，圆周长750～760mm，质量600 g～650g，圆周差≤5mm。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DFD8C7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335DA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6A0216">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F64EE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2125</w:t>
            </w:r>
          </w:p>
        </w:tc>
      </w:tr>
      <w:tr w14:paraId="14851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2D8E0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BF6F6E">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足球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CFFFC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5号，圆周长615～650mm，质量315g～405g，圆周差≤5mm。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CAA9B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E1BA7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D3234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38B15E">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2750</w:t>
            </w:r>
          </w:p>
        </w:tc>
      </w:tr>
      <w:tr w14:paraId="5AA8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0C1104">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0D4928">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排球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9486E7">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橡胶内胆，尼龙缠纱，加厚PU软皮，机器贴皮，拼缝整齐，手感舒适柔软，不伤手。</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E9F91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457C3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74A5F1">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126</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533A9C">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3150</w:t>
            </w:r>
          </w:p>
        </w:tc>
      </w:tr>
      <w:tr w14:paraId="6EAA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B002D8">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9A4CD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气排球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5B812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重量110-125g。圆周76-80CM。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51F2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57679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8E84B4">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85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5D06F0">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1275</w:t>
            </w:r>
          </w:p>
        </w:tc>
      </w:tr>
      <w:tr w14:paraId="18C0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49216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6F90E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乒乓球拍</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0DD21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双胶面直握拍。</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AD588A">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73401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付</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73642B">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34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7764C8">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850</w:t>
            </w:r>
          </w:p>
        </w:tc>
      </w:tr>
      <w:tr w14:paraId="04A1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6EEA56">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80E691">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乒乓球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2DBB91">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1、直径43.4mm～44.4mm；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2、圆度0.40mm；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3、重量2.20g～2.60g；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4、弹跳220mm～250mm；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5、牢度：受冲击不小于700次无破裂，外观接缝整齐，表面不反光。</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6A32C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5B2DB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276440">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89F5A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50</w:t>
            </w:r>
          </w:p>
        </w:tc>
      </w:tr>
      <w:tr w14:paraId="058BC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7D004F">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051488">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羽毛球</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80649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1、球口外径65mm～68mm；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2、球头直径25mm～27mm；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3、球头高度24mm～26mm；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4、毛片插长63mm～64mm；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5、质量4.50g～5.80g；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6、毛片数量16片。</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B7375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7AAB3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AB2DC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39B22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250</w:t>
            </w:r>
          </w:p>
        </w:tc>
      </w:tr>
      <w:tr w14:paraId="6DBCB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83D17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4A1944">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羽毛球拍</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23C1B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1、一副，框柄一体羽毛球拍，性能要求不小于：拍体长度650mm，球拍宽度200mm，球拍弦面长度240mm，拍弦直径0.9mm；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2、网线张力：20ibs，握柄直径约25mm，整体重量约100g。</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B5FD9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25</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44CC1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付</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804CC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5C505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2000</w:t>
            </w:r>
          </w:p>
        </w:tc>
      </w:tr>
      <w:tr w14:paraId="4B5CF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D318E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5B34D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400万红外定焦枪型网络摄像机</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70345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传感器类型：1/3英寸CMOS；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像素：400万；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最大分辨率：2560×1440；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最低照度：0.01lux（彩色模式）；0.001lux（黑白模式）；0lux（补光灯开启）；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最大补光距离：50m（红外）；</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补光灯：2颗（红外灯）；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镜头类型：定焦；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镜头焦距：6mm；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镜头光圈：F2.0；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视场角：水平：47°；垂直：26°；对角：54°；</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周界防范：绊线入侵；区域入侵；</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智能编码：H.264：支持；H.265：支持；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宽动态：支持；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内置麦克风：支持，内置1个麦克风；</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报警事件：网络断开；IP冲突；非法访问；动态检测；视频遮挡；音频异常侦测；智能动检（人）；安全异常；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接入标准：ONVIF（Profile S &amp; Profile T）；CGI；GB/T28181；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预览最大用户数：6个（总带宽：24M）；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供电方式：DC12V（±30%）；PoE（802.3af）；</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防护等级：IP67；</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防腐蚀等级：普通防护*该级别的产品适用于不需要特定防腐保护的区域。</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3724AA">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A8850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F84669">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B6871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20000</w:t>
            </w:r>
          </w:p>
        </w:tc>
      </w:tr>
      <w:tr w14:paraId="5068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234401">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C55EF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摄像机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支架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F3864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承重：≥5kg；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安装方式：面装；</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工作温度：-40℃~+60℃；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执行标准：Q/DXJ 064-2018；</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材质：铝合金；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适用机型：</w:t>
            </w:r>
            <w:r>
              <w:rPr>
                <w:rFonts w:hint="eastAsia" w:ascii="宋体" w:hAnsi="宋体" w:cs="宋体"/>
                <w:i w:val="0"/>
                <w:iCs w:val="0"/>
                <w:color w:val="000000"/>
                <w:sz w:val="22"/>
                <w:szCs w:val="22"/>
                <w:u w:val="none"/>
                <w:lang w:val="en-US" w:eastAsia="zh-CN" w:bidi="ar"/>
              </w:rPr>
              <w:t>全系列</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重量：0.5kg；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颜色：白</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B3AB1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05ECEA">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F5FED9">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DFE05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2500</w:t>
            </w:r>
          </w:p>
        </w:tc>
      </w:tr>
      <w:tr w14:paraId="180C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D23A61">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64C4EA">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12V2A直流电源适配器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AB70B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能效：V5；</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输入：180~264V；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输出：DC12V2A；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颜色：黑色</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CBB95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EE89B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C83939">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C771FC">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1000</w:t>
            </w:r>
          </w:p>
        </w:tc>
      </w:tr>
      <w:tr w14:paraId="4D1E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68D417">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97B05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256路24盘位NVR</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504FC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主处理器：工业级微控制器；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操作系统：嵌入式Linux操作系统；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前智能分析：支持前智能人脸检测、人脸识别、视频结构化、周界防范、智能动检、立体行为分析、工装检测、人群分布、人数统计、热度图、车牌识别、声音检测、车辆密度、物品监控；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周界前智能性能（路数）：全通道（最大处理64个事件/秒）；</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人脸识别前智能性能（路数）：全通道（最大处理64个事件/秒）；</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接入路数：256路；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分辨率：32MP；24MP；16MP；12MP；8MP；6MP；5MP；4MP；3MP；1080p；720p；960p；D1；CIF；QCIF；</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解码能力：3路32MP@25fps；4路24MP@25fps；6路16MP@25fps；8路12MP@25fps；12路8MP@25fps；16路6MP@25fps；19路5MP@25fps；24路4MP@25fps；48路1080P@25fps；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RAID：RAID0/1/5/6/10；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报警输入：16路；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报警输出：9路，其中8路继电器输出，1路12V1A ctrl输出；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硬盘接口：24个SATA，单盘最大20T；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RS-485接口：1个；</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网络接口：4个（10M/100M/1000M/2500M以太网口，RJ-45）；</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冗余电源：支持</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A4B5E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66B1C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C0A72B">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10400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4ED99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10400</w:t>
            </w:r>
          </w:p>
        </w:tc>
      </w:tr>
      <w:tr w14:paraId="78B66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946F8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 xml:space="preserve">38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E85F8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硬盘-监控级（16T）</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4CD9A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单盘容量：16TB；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缓存：512MB；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转速：7200RPM；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硬盘接口：SATA</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0AC22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24</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EB578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片</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BE656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1740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18F0E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41760</w:t>
            </w:r>
          </w:p>
        </w:tc>
      </w:tr>
      <w:tr w14:paraId="50F2D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C73B6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39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50602C">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55寸监视器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8FA28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屏幕尺寸：55英寸；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分辨率：1920×1080；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亮度：500cd/m²(max)；</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对比度：1200:1；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刷新率：60Hz；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面板技术：IPS；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背光类型：ELED；</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色彩范围：10bit；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色域：72% NTSC；</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响应时间：</w:t>
            </w:r>
            <w:r>
              <w:rPr>
                <w:rFonts w:hint="eastAsia" w:ascii="宋体" w:hAnsi="宋体" w:cs="宋体"/>
                <w:i w:val="0"/>
                <w:iCs w:val="0"/>
                <w:color w:val="000000"/>
                <w:sz w:val="22"/>
                <w:szCs w:val="22"/>
                <w:u w:val="none"/>
                <w:lang w:val="en-US" w:eastAsia="zh-CN" w:bidi="ar"/>
              </w:rPr>
              <w:t>不大于</w:t>
            </w:r>
            <w:r>
              <w:rPr>
                <w:rFonts w:hint="eastAsia" w:ascii="宋体" w:hAnsi="宋体" w:eastAsia="宋体" w:cs="宋体"/>
                <w:i w:val="0"/>
                <w:iCs w:val="0"/>
                <w:color w:val="000000"/>
                <w:sz w:val="22"/>
                <w:szCs w:val="22"/>
                <w:u w:val="none"/>
                <w:lang w:val="en-US" w:eastAsia="zh-CN" w:bidi="ar"/>
              </w:rPr>
              <w:t>8ms；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使用寿命：</w:t>
            </w:r>
            <w:r>
              <w:rPr>
                <w:rFonts w:hint="eastAsia" w:ascii="宋体" w:hAnsi="宋体" w:cs="宋体"/>
                <w:i w:val="0"/>
                <w:iCs w:val="0"/>
                <w:color w:val="000000"/>
                <w:sz w:val="22"/>
                <w:szCs w:val="22"/>
                <w:u w:val="none"/>
                <w:lang w:val="en-US" w:eastAsia="zh-CN" w:bidi="ar"/>
              </w:rPr>
              <w:t>不小于</w:t>
            </w:r>
            <w:r>
              <w:rPr>
                <w:rFonts w:hint="eastAsia" w:ascii="宋体" w:hAnsi="宋体" w:eastAsia="宋体" w:cs="宋体"/>
                <w:i w:val="0"/>
                <w:iCs w:val="0"/>
                <w:color w:val="000000"/>
                <w:sz w:val="22"/>
                <w:szCs w:val="22"/>
                <w:u w:val="none"/>
                <w:lang w:val="en-US" w:eastAsia="zh-CN" w:bidi="ar"/>
              </w:rPr>
              <w:t>30000小时；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输入接口：1个HDMI 2.0接口 (1920×1080@60Hz)、1个CVBS接口、1个VGA接口、1个DVI接口、1个RS-232（RJ45）接口、2个USB 2.0接口、1个IR接口、1个AUDIO in接口；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扬声器：5W×2；</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供电方式：AC100～240V（±10%），50/60Hz；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电源类型：内置电源；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功耗：69W（基本），133W（典型），145W（最大）；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待机功耗：≤0.5W；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工作温度：0℃～+40℃；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工作湿度：10%～85%RH（无凝结）；</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储存温度：–20℃～+60℃；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储存湿度：5%～90%RH（无凝结）；</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产品尺寸：1235.6mm×51.1mm×706.9mm（长×宽×高）（</w:t>
            </w:r>
            <w:r>
              <w:rPr>
                <w:rFonts w:hint="eastAsia" w:ascii="宋体" w:hAnsi="宋体" w:cs="宋体"/>
                <w:i w:val="0"/>
                <w:iCs w:val="0"/>
                <w:color w:val="000000"/>
                <w:sz w:val="22"/>
                <w:szCs w:val="22"/>
                <w:u w:val="none"/>
                <w:lang w:val="en-US" w:eastAsia="zh-CN" w:bidi="ar"/>
              </w:rPr>
              <w:t>以上尺寸允许偏差</w:t>
            </w:r>
            <w:r>
              <w:rPr>
                <w:rFonts w:hint="eastAsia" w:ascii="宋体" w:hAnsi="宋体" w:eastAsia="宋体" w:cs="宋体"/>
                <w:i w:val="0"/>
                <w:iCs w:val="0"/>
                <w:color w:val="000000"/>
                <w:sz w:val="22"/>
                <w:szCs w:val="22"/>
                <w:u w:val="none"/>
                <w:lang w:val="en-US" w:eastAsia="zh-CN" w:bidi="ar"/>
              </w:rPr>
              <w:t>±5mm）不含底座；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带包装尺寸：1311mm×150mm×817mm（长×宽×高）（</w:t>
            </w:r>
            <w:r>
              <w:rPr>
                <w:rFonts w:hint="eastAsia" w:ascii="宋体" w:hAnsi="宋体" w:cs="宋体"/>
                <w:i w:val="0"/>
                <w:iCs w:val="0"/>
                <w:color w:val="000000"/>
                <w:sz w:val="22"/>
                <w:szCs w:val="22"/>
                <w:u w:val="none"/>
                <w:lang w:val="en-US" w:eastAsia="zh-CN" w:bidi="ar"/>
              </w:rPr>
              <w:t>以上尺寸允许偏差</w:t>
            </w:r>
            <w:r>
              <w:rPr>
                <w:rFonts w:hint="eastAsia" w:ascii="宋体" w:hAnsi="宋体" w:eastAsia="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边框宽度：U/L/R/D：5.9mm/5.9mm/5.9mm/8.5mm；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净重：16.3kg；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毛重：19.8kg；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外壳颜色：黑色；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控制方式：遥控；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壁装VESA：400mm×300mm（</w:t>
            </w:r>
            <w:r>
              <w:rPr>
                <w:rFonts w:hint="eastAsia" w:ascii="宋体" w:hAnsi="宋体" w:cs="宋体"/>
                <w:i w:val="0"/>
                <w:iCs w:val="0"/>
                <w:color w:val="000000"/>
                <w:sz w:val="22"/>
                <w:szCs w:val="22"/>
                <w:u w:val="none"/>
                <w:lang w:val="en-US" w:eastAsia="zh-CN" w:bidi="ar"/>
              </w:rPr>
              <w:t>以上尺寸允许偏差</w:t>
            </w:r>
            <w:r>
              <w:rPr>
                <w:rFonts w:hint="eastAsia" w:ascii="宋体" w:hAnsi="宋体" w:eastAsia="宋体" w:cs="宋体"/>
                <w:i w:val="0"/>
                <w:iCs w:val="0"/>
                <w:color w:val="000000"/>
                <w:sz w:val="22"/>
                <w:szCs w:val="22"/>
                <w:u w:val="none"/>
                <w:lang w:val="en-US" w:eastAsia="zh-CN" w:bidi="ar"/>
              </w:rPr>
              <w:t>±5mm）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8B4E9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0409C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2294DB">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B893B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6000</w:t>
            </w:r>
          </w:p>
        </w:tc>
      </w:tr>
      <w:tr w14:paraId="574C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E19CA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06FE2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HDMI视频线</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51F1D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HDMI线缆，带锁扣；扎带、电源排插、拉杆等安装辅材</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7D49C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7E062F">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根</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DAC527">
            <w:pPr>
              <w:keepNext/>
              <w:keepLines w:val="0"/>
              <w:widowControl/>
              <w:suppressLineNumbers w:val="0"/>
              <w:jc w:val="right"/>
              <w:rPr>
                <w:rFonts w:hint="default" w:ascii="宋体" w:hAnsi="宋体" w:eastAsia="宋体" w:cs="宋体"/>
                <w:i w:val="0"/>
                <w:iCs w:val="0"/>
                <w:color w:val="0000FF"/>
                <w:sz w:val="22"/>
                <w:szCs w:val="22"/>
                <w:highlight w:val="none"/>
                <w:u w:val="none"/>
                <w:lang w:val="en-US" w:eastAsia="zh-CN" w:bidi="ar"/>
              </w:rPr>
            </w:pPr>
            <w:r>
              <w:rPr>
                <w:rFonts w:hint="eastAsia" w:ascii="宋体" w:hAnsi="宋体" w:cs="宋体"/>
                <w:i w:val="0"/>
                <w:iCs w:val="0"/>
                <w:color w:val="0000FF"/>
                <w:sz w:val="22"/>
                <w:szCs w:val="22"/>
                <w:highlight w:val="none"/>
                <w:u w:val="none"/>
                <w:lang w:val="en-US" w:eastAsia="zh-CN" w:bidi="ar"/>
              </w:rPr>
              <w:t>252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510D2E">
            <w:pPr>
              <w:keepNext/>
              <w:keepLines w:val="0"/>
              <w:widowControl/>
              <w:suppressLineNumbers w:val="0"/>
              <w:jc w:val="right"/>
              <w:rPr>
                <w:rFonts w:hint="default" w:ascii="宋体" w:hAnsi="宋体" w:eastAsia="宋体" w:cs="宋体"/>
                <w:i w:val="0"/>
                <w:iCs w:val="0"/>
                <w:color w:val="0000FF"/>
                <w:sz w:val="22"/>
                <w:szCs w:val="22"/>
                <w:highlight w:val="none"/>
                <w:u w:val="none"/>
                <w:lang w:val="en-US" w:eastAsia="zh-CN" w:bidi="ar"/>
              </w:rPr>
            </w:pPr>
            <w:r>
              <w:rPr>
                <w:rFonts w:hint="eastAsia" w:ascii="宋体" w:hAnsi="宋体" w:cs="宋体"/>
                <w:i w:val="0"/>
                <w:iCs w:val="0"/>
                <w:color w:val="0000FF"/>
                <w:sz w:val="22"/>
                <w:szCs w:val="22"/>
                <w:highlight w:val="none"/>
                <w:u w:val="none"/>
                <w:lang w:val="en-US" w:eastAsia="zh-CN" w:bidi="ar"/>
              </w:rPr>
              <w:t>252</w:t>
            </w:r>
          </w:p>
        </w:tc>
      </w:tr>
      <w:tr w14:paraId="0B4CB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D01F59">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FB972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液压式前维护安装支架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26EF7C">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黑色，55</w:t>
            </w:r>
            <w:r>
              <w:rPr>
                <w:rFonts w:hint="eastAsia" w:ascii="宋体" w:hAnsi="宋体" w:cs="宋体"/>
                <w:i w:val="0"/>
                <w:iCs w:val="0"/>
                <w:color w:val="000000"/>
                <w:sz w:val="22"/>
                <w:szCs w:val="22"/>
                <w:u w:val="none"/>
                <w:lang w:val="en-US" w:eastAsia="zh-CN" w:bidi="ar"/>
              </w:rPr>
              <w:t>英</w:t>
            </w:r>
            <w:r>
              <w:rPr>
                <w:rFonts w:hint="eastAsia" w:ascii="宋体" w:hAnsi="宋体" w:eastAsia="宋体" w:cs="宋体"/>
                <w:i w:val="0"/>
                <w:iCs w:val="0"/>
                <w:color w:val="000000"/>
                <w:sz w:val="22"/>
                <w:szCs w:val="22"/>
                <w:u w:val="none"/>
                <w:lang w:val="en-US" w:eastAsia="zh-CN" w:bidi="ar"/>
              </w:rPr>
              <w:t>寸液压式前维护安装支架</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A67A5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D538A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458E16">
            <w:pPr>
              <w:keepNext/>
              <w:keepLines w:val="0"/>
              <w:widowControl/>
              <w:suppressLineNumbers w:val="0"/>
              <w:jc w:val="right"/>
              <w:rPr>
                <w:rFonts w:hint="eastAsia" w:ascii="宋体" w:hAnsi="宋体" w:eastAsia="宋体" w:cs="宋体"/>
                <w:i w:val="0"/>
                <w:iCs w:val="0"/>
                <w:color w:val="0000FF"/>
                <w:sz w:val="22"/>
                <w:szCs w:val="22"/>
                <w:highlight w:val="none"/>
                <w:u w:val="none"/>
                <w:lang w:val="en-US" w:eastAsia="zh-CN" w:bidi="ar"/>
              </w:rPr>
            </w:pPr>
            <w:r>
              <w:rPr>
                <w:rFonts w:hint="eastAsia" w:ascii="宋体" w:hAnsi="宋体" w:eastAsia="宋体" w:cs="宋体"/>
                <w:i w:val="0"/>
                <w:iCs w:val="0"/>
                <w:color w:val="0000FF"/>
                <w:sz w:val="22"/>
                <w:szCs w:val="22"/>
                <w:highlight w:val="none"/>
                <w:u w:val="none"/>
                <w:lang w:val="en-US" w:eastAsia="zh-CN" w:bidi="ar"/>
              </w:rPr>
              <w:t>1665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D0F902">
            <w:pPr>
              <w:keepNext/>
              <w:keepLines w:val="0"/>
              <w:widowControl/>
              <w:suppressLineNumbers w:val="0"/>
              <w:jc w:val="right"/>
              <w:rPr>
                <w:rFonts w:hint="eastAsia" w:ascii="宋体" w:hAnsi="宋体" w:eastAsia="宋体" w:cs="宋体"/>
                <w:i w:val="0"/>
                <w:iCs w:val="0"/>
                <w:color w:val="0000FF"/>
                <w:sz w:val="22"/>
                <w:szCs w:val="22"/>
                <w:highlight w:val="none"/>
                <w:u w:val="none"/>
                <w:lang w:val="en-US" w:eastAsia="zh-CN" w:bidi="ar"/>
              </w:rPr>
            </w:pPr>
            <w:r>
              <w:rPr>
                <w:rFonts w:hint="eastAsia" w:ascii="宋体" w:hAnsi="宋体" w:eastAsia="宋体" w:cs="宋体"/>
                <w:i w:val="0"/>
                <w:iCs w:val="0"/>
                <w:color w:val="0000FF"/>
                <w:sz w:val="22"/>
                <w:szCs w:val="22"/>
                <w:highlight w:val="none"/>
                <w:u w:val="none"/>
                <w:lang w:val="en-US" w:eastAsia="zh-CN" w:bidi="ar"/>
              </w:rPr>
              <w:t>1665</w:t>
            </w:r>
          </w:p>
        </w:tc>
      </w:tr>
      <w:tr w14:paraId="30EC2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85EE3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6F0D54">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红外高清半球摄像机（巡考专用）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BAA2DC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1、支持≥400万像素1/3英寸CMOS图像传感器；</w:t>
            </w:r>
          </w:p>
          <w:p w14:paraId="5938B16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2、支持输出≥400万（2560×1440）@25fps；</w:t>
            </w:r>
          </w:p>
          <w:p w14:paraId="278B7B1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3、支持H.265编码，压缩比高，实现超低码流传输；</w:t>
            </w:r>
          </w:p>
          <w:p w14:paraId="1771E72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4、支持越界入侵，区域入侵；</w:t>
            </w:r>
          </w:p>
          <w:p w14:paraId="564D5C7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5、内置高效红外补光灯，最大红外监控距离≥30米；</w:t>
            </w:r>
          </w:p>
          <w:p w14:paraId="4CAA038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6、支持走廊模式，宽动态，3D降噪，强光抑制，背光补偿，数字水印，适用不同监控环境；</w:t>
            </w:r>
          </w:p>
          <w:p w14:paraId="43C664D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7、支持ROI，SMART H.264/H.265，灵活编码，适用不同带宽和存储环境；</w:t>
            </w:r>
          </w:p>
          <w:p w14:paraId="6CE0A13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8、支持报警≥2进2出，音频≥1进1出，≥256 GB Micro SD卡；</w:t>
            </w:r>
          </w:p>
          <w:p w14:paraId="1E366FE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9、支持MIC；</w:t>
            </w:r>
          </w:p>
          <w:p w14:paraId="6542D12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10、支持DC12V/POE供电方式，支持12V电源返送，最大电流165mA，方便工程安装；</w:t>
            </w:r>
          </w:p>
          <w:p w14:paraId="41C63A9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11、支持≥IP67、IK10防护等级；                                                                                                                                                                                               12、支持≥1个自适应RJ45网络接口、1个BNC接口、1个音频输入接口、1路音频输出接口、2路报警输入接口、2路报警输出接口、1个SD卡槽；</w:t>
            </w:r>
          </w:p>
          <w:p w14:paraId="5B57F80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13、最低照度：彩色≤0.03lx ，能分辨反射式视频矩阵测试卡中彩色色块，黑白≤0. 0005lx，能分辨反射式视频分辨率测试卡中圆形轮廓；</w:t>
            </w:r>
          </w:p>
          <w:p w14:paraId="775DFEB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14、具有区域遮盖功能，支持区域遮盖功能，可在监视画面上设置4块遮盖区域；</w:t>
            </w:r>
          </w:p>
          <w:p w14:paraId="2DDBB25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15、在IE浏览器下，具有感兴趣区域(ROI)设置选项，可设置1块感兴趣区域；</w:t>
            </w:r>
          </w:p>
          <w:p w14:paraId="564FD0C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16、支持人脸侦测功能,可对经过设定区域的行人进行人脸检测，当检测到人脸后，可通过IE浏览器或客户端软件给出相应提示信息。</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A4A8E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934EB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884FF6">
            <w:pPr>
              <w:keepNext/>
              <w:keepLines w:val="0"/>
              <w:widowControl/>
              <w:suppressLineNumbers w:val="0"/>
              <w:jc w:val="center"/>
              <w:rPr>
                <w:rFonts w:hint="default"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1000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7D2DA2">
            <w:pPr>
              <w:keepNext/>
              <w:keepLines w:val="0"/>
              <w:widowControl/>
              <w:suppressLineNumbers w:val="0"/>
              <w:jc w:val="center"/>
              <w:rPr>
                <w:rFonts w:hint="default"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18000</w:t>
            </w:r>
          </w:p>
        </w:tc>
      </w:tr>
      <w:tr w14:paraId="793AE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36E649">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4AC3D4">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摄像机电源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E1DCBE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1、额定输入电压范围：170-240VAC</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最大输入电压范围：162-264VAC</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2、输入频率范围：47-63Hz</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49D76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53756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b w:val="0"/>
                <w:bCs w:val="0"/>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601CCA">
            <w:pPr>
              <w:keepNext/>
              <w:keepLines w:val="0"/>
              <w:widowControl/>
              <w:suppressLineNumbers w:val="0"/>
              <w:jc w:val="center"/>
              <w:rPr>
                <w:rFonts w:hint="default"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43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2DBB05">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774</w:t>
            </w:r>
          </w:p>
        </w:tc>
      </w:tr>
      <w:tr w14:paraId="640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F1608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2F982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半球壁装支架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57AF4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壁装支架，根据现场实际使用情况选配</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4C4DB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B1D05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b w:val="0"/>
                <w:bCs w:val="0"/>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0B24CF">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70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50FD52">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1260</w:t>
            </w:r>
          </w:p>
        </w:tc>
      </w:tr>
      <w:tr w14:paraId="4F8F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D9CA14">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93086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拾音器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E17407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1、拾音范围：5-100m²；</w:t>
            </w:r>
          </w:p>
          <w:p w14:paraId="779D861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2、灵敏度:≥-35dB；</w:t>
            </w:r>
          </w:p>
          <w:p w14:paraId="0D51DFB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3、音频传输距离：≥3000 米；</w:t>
            </w:r>
          </w:p>
          <w:p w14:paraId="082F0AE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4、频率响应：100Hz-16kHz；</w:t>
            </w:r>
          </w:p>
          <w:p w14:paraId="0865A5F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5、信噪比：≥75dB（1m/40dB SPL）；≥30dB（10m/40dB SPL）；</w:t>
            </w:r>
          </w:p>
          <w:p w14:paraId="6313F3E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6、动态范围：≥104dB（1KHz Max）；</w:t>
            </w:r>
          </w:p>
          <w:p w14:paraId="1A6A694C">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7、最大音压：≥120dB SPL（1KHz，THD 1%）；</w:t>
            </w:r>
          </w:p>
          <w:p w14:paraId="6A53E74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8、输出阻抗：≤600Ω（非平衡）；</w:t>
            </w:r>
          </w:p>
          <w:p w14:paraId="68B4F61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9、输出信号：2.5Vpp/-25dB。</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3D424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3FB78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B1FDE2">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237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1F0EB9">
            <w:pPr>
              <w:keepNext/>
              <w:keepLines w:val="0"/>
              <w:widowControl/>
              <w:suppressLineNumbers w:val="0"/>
              <w:jc w:val="center"/>
              <w:rPr>
                <w:rFonts w:hint="default"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4266</w:t>
            </w:r>
          </w:p>
        </w:tc>
      </w:tr>
      <w:tr w14:paraId="03AE2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778F9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4A6F5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流媒体存储服务器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646A95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1、符合《国家教育考试网上巡查系统视频标准技术规范（2017版）》相关技术规范；</w:t>
            </w:r>
          </w:p>
          <w:p w14:paraId="4B2927E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2、支持≥32路网络视频接入，支持WEB、本地GUI界面操作；</w:t>
            </w:r>
          </w:p>
          <w:p w14:paraId="30CA22C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3、支持≥1280Mbps接入、≥1280Mbps储存、≥1024Mbps转发网络性能；</w:t>
            </w:r>
          </w:p>
          <w:p w14:paraId="37360DE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支持不开智能：≥2路32M@30fps；≥2路24M@30fps；≥4路16MP@30fps；≥5路12MP@30fps；≥8路8MP@30fps；≥12路5MP@30fps；≥16路4MP@30fps解码。或开智能：≥1路32MP@30fps；≥1路24MP@30fps；≥2路16MP@30fps；≥2路12MP@30fps；≥3路8MP@30fps；≥6路5MP@30fps；≥7路4MP@30fps解码；</w:t>
            </w:r>
          </w:p>
          <w:p w14:paraId="2C52725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5、支持≥16路视频回放；</w:t>
            </w:r>
          </w:p>
          <w:p w14:paraId="74745B0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支持≥2路VGA输出，≥4路HDMI输出。同源模式：VGA1和VGA2最大支持1080P显示，HDMI1和HDMI2最大支持4K显示，HDMI3最大支持8K显示，HDMI4最大支持1080P显示；异源模式：VGA1和HDMI1同源输出，VGA2和HDMI2同源输出，VGA1和VGA2最大支持1080P显示，HDMI1、HDMI2和HDMI3最大支持4K显示，HDMI4最大支持1080P显示；</w:t>
            </w:r>
          </w:p>
          <w:p w14:paraId="230F9C6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7、支持前智能：人脸检测比对、周界防范、视频结构化、通用行为分析、立体行为分析、人群分布、人数统计、热度图、智能动检；</w:t>
            </w:r>
          </w:p>
          <w:p w14:paraId="2014F54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8、每个通道可单独配置一种后智能应用；</w:t>
            </w:r>
          </w:p>
          <w:p w14:paraId="21DD2ED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9、支持后智能：人脸检测比对、视频结构化、周界防范、智能动检；</w:t>
            </w:r>
          </w:p>
          <w:p w14:paraId="1BB7B65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10、支持≥8路后智能人脸检测比对；或≥8路后智能视频结构化；或≥32路后智能周界防范；或≥32路后智能动检；</w:t>
            </w:r>
          </w:p>
          <w:p w14:paraId="5E3A448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11、支持≥32路报警输入、≥16路报警输出；</w:t>
            </w:r>
          </w:p>
          <w:p w14:paraId="04E7A86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12、支持Smart H.265/H.265/Smart H.264/H.264，支持一键添加IPC并自动切换到H.265；</w:t>
            </w:r>
          </w:p>
          <w:p w14:paraId="52C5B1C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13、支持IPv4、IPv6、HTTP、UPnP、NTP、RTSP、SADP、SNMP、PPPoE、DNS、FTP、ONVIF网络协议；</w:t>
            </w:r>
          </w:p>
          <w:p w14:paraId="373E7B1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14、支持≥4个USB接口（≥2个前置USB2.0接口、≥2个后置USB3.0接口）；</w:t>
            </w:r>
          </w:p>
          <w:p w14:paraId="3FC5347C">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15、支持≥4个2500Mbps以太网口，支持≥4个不同段IP地址的IPC设备接入，支持将多网口设置同一个IP地址，实现数据链路冗余；</w:t>
            </w:r>
          </w:p>
          <w:p w14:paraId="0941993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16、支持硬盘、外接USB存储设备、DVD刻录等存储方式，支持U盘，eSATA方式，DVD刻录备份方式；</w:t>
            </w:r>
          </w:p>
          <w:p w14:paraId="0BB6C93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在特定条件下，当接入的画面中发生绊线入侵、区域入侵、穿越围栏、移动侦测、人脸检测、物品遗留、物品搬移时，可给出报警提示，可对检测到的人脸图像进行预览，既可以支持SmartlPC，也可以支持第三方普通IPC；</w:t>
            </w:r>
          </w:p>
          <w:p w14:paraId="043C50C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支持热度图，可统计指定时间段区域内的运动频繁度:统计结果支持日报表、周报表、月报表方式进行展示。支持客流统计，可统计指定时间段不同区域的客流量大小;统计结果支持日报表、周报表、月报表、年报表方式进行展示；</w:t>
            </w:r>
          </w:p>
          <w:p w14:paraId="32161CB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19、可通过菜单添加前端网络摄像机对应协议;可接入具有RTSP 协议、GB/T28181 协议、ONVIF 协议的产品。可激活和添加局域网内网络摄像机。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483D6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C19D0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b/>
                <w:bCs/>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4752CD">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8000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91AFEC">
            <w:pPr>
              <w:keepNext/>
              <w:keepLines w:val="0"/>
              <w:widowControl/>
              <w:suppressLineNumbers w:val="0"/>
              <w:jc w:val="center"/>
              <w:rPr>
                <w:rFonts w:hint="eastAsia" w:ascii="宋体" w:hAnsi="宋体" w:eastAsia="宋体" w:cs="宋体"/>
                <w:i w:val="0"/>
                <w:iCs w:val="0"/>
                <w:color w:val="auto"/>
                <w:sz w:val="22"/>
                <w:szCs w:val="22"/>
                <w:highlight w:val="none"/>
                <w:u w:val="none"/>
                <w:shd w:val="clear" w:color="auto" w:fill="auto"/>
                <w:lang w:val="en-US" w:eastAsia="zh-CN" w:bidi="ar"/>
              </w:rPr>
            </w:pPr>
            <w:r>
              <w:rPr>
                <w:rFonts w:hint="eastAsia" w:ascii="宋体" w:hAnsi="宋体" w:eastAsia="宋体" w:cs="宋体"/>
                <w:i w:val="0"/>
                <w:iCs w:val="0"/>
                <w:color w:val="auto"/>
                <w:sz w:val="22"/>
                <w:szCs w:val="22"/>
                <w:highlight w:val="none"/>
                <w:u w:val="none"/>
                <w:shd w:val="clear" w:color="auto" w:fill="auto"/>
                <w:lang w:val="en-US" w:eastAsia="zh-CN" w:bidi="ar"/>
              </w:rPr>
              <w:t>8000</w:t>
            </w:r>
          </w:p>
        </w:tc>
      </w:tr>
      <w:tr w14:paraId="5971A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026DD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47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9CD4C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硬盘-监控级（10T）</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C3E08C">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单盘容量：10TB；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缓存：512MB；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转速：7200RPM；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硬盘接口：SATA</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A9CAA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A88B6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片</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A0C97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1740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DDD25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13920</w:t>
            </w:r>
          </w:p>
        </w:tc>
      </w:tr>
      <w:tr w14:paraId="31836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FFF6CE">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48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6D8DF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标考高清SIP转发管理三合一平台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C76EB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1、符合《国家教育考试网上巡查系统视频标准技术规范（2017版）》相关技术规范；</w:t>
            </w:r>
          </w:p>
          <w:p w14:paraId="30773AE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2、支持国产服务器操作系统UnionTech OS Server 20-1050a；</w:t>
            </w:r>
          </w:p>
          <w:p w14:paraId="529DF45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3、支持国产CPU芯片，满足功能及兼容性测试要求；</w:t>
            </w:r>
          </w:p>
          <w:p w14:paraId="09CB70E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4、支持标准SIP2.0；SIP URI统一命名规则、分级命名、联合定位；SIP URI组、用户、树形列表管理；SIP URI地址解析；支持TS（Transition Stream）、PS（Program Stream）流封装；</w:t>
            </w:r>
          </w:p>
          <w:p w14:paraId="5F2CB28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5、支持MPEG4、H.264、H.264H、H.264M、H.264B、H.265、MJPEG等视频格式；</w:t>
            </w:r>
          </w:p>
          <w:p w14:paraId="09BC1C2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6、支持G.722、G.711A、G.726、G.711U、MPEG2-L2、AAC等音频格式；</w:t>
            </w:r>
          </w:p>
          <w:p w14:paraId="7B5AA4E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7、支持SIP向上级主动注册与多级注册的管理，支持NAT穿越控制；</w:t>
            </w:r>
          </w:p>
          <w:p w14:paraId="7D7BF61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8、支持建立SIP网关间的信任关系；路由控制功能；视频访问呼叫过程控制；视频远程访问权限控制；</w:t>
            </w:r>
          </w:p>
          <w:p w14:paraId="280A579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9、支持客户端本级对讲、级联对讲以及与有音频输入输出设备的前端摄像机进行对讲；</w:t>
            </w:r>
          </w:p>
          <w:p w14:paraId="046FE50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10、支持设定管辖范围内用户、组、角色的权限。用户管理可包括用户注册、用户查询、用户增加删除、用户访问权限管理、用户锁定和解锁、用户分组管理、用户访问记录查看功能等功能；</w:t>
            </w:r>
          </w:p>
          <w:p w14:paraId="7CA2C82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支持管理员可添加、删除、修改组、用户、设备；可对远程用户设定视频浏览权限、前端设备控制权限和历史数据删除、复制、浏览等操作权限，也可收回权限；远程用户的权限支持每一个考场的图像访问、控制、历史数据播放；</w:t>
            </w:r>
          </w:p>
          <w:p w14:paraId="6130868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12、支持用户的接入认证以及安全锁定；用户、设备在线信息统计，下级设备数据同步到上级机构；</w:t>
            </w:r>
          </w:p>
          <w:p w14:paraId="602367B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13、支持图形化操作入口；图形化机构拓扑呈现、设备拓扑呈现以及跑马灯式呈现；上级平台支持电子地图呈现；支持机构拓扑显示网络通信流量；</w:t>
            </w:r>
          </w:p>
          <w:p w14:paraId="636419F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14、支持通过web端未安装任何播放插件的情况下直接播放实时音视频图像；</w:t>
            </w:r>
          </w:p>
          <w:p w14:paraId="7AFC561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15、支持巡查督导向导展示，支持故障诊断及定位分析，支持生成设备清单报表；</w:t>
            </w:r>
          </w:p>
          <w:p w14:paraId="2D29089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16、支持考场编排报表，并可打印考场编号；</w:t>
            </w:r>
          </w:p>
          <w:p w14:paraId="01E4EB6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17、支持日志管理查询，系统日志、告警日志、操作日志的搜索查看等；</w:t>
            </w:r>
          </w:p>
          <w:p w14:paraId="6E88062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18、支持机构拓扑显示网络通信流量；</w:t>
            </w:r>
          </w:p>
          <w:p w14:paraId="40DA8EA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19、支持设备主动注册到管理平台进行设备管理；</w:t>
            </w:r>
          </w:p>
          <w:p w14:paraId="5CD695DC">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20、支持巡查事务功能，包括考试计划管理、编排任务管理、考点巡检及统计、注册情况查看、摄像机启用等功能模块；</w:t>
            </w:r>
          </w:p>
          <w:p w14:paraId="7E277AB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21、支持NTP时钟同步、北斗卫星同步；</w:t>
            </w:r>
          </w:p>
          <w:p w14:paraId="2CCE62A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22、通过对同步中心参数设置，系统可自动将下级设备资源同步到上级机构进行资源数据更新。系统可自动将下级设备运行状态信息准实时同步到上级机构进行状态信息数据更新。</w:t>
            </w:r>
          </w:p>
          <w:p w14:paraId="2EBB10F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23、支持根据网络架构生成可视化的拓扑结构图，实时展示系统运行状态、网络状态、视频流状态、设备状态。拓扑结构图中能手工添加修改和自动更新存储设备、摄像头等。支持导入考生编排文件。</w:t>
            </w:r>
          </w:p>
          <w:p w14:paraId="7AC4E12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24、具备考场与考务数据的绑定，查看图像的同时可调取绑定的考务数据，通过考务数据可搜索对应的图像。</w:t>
            </w:r>
          </w:p>
          <w:p w14:paraId="024BB10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25、各级巡查客户端可通过语音对讲单元，点对点进行即时语音通话。支持将巡检截图自动筛选高清图像并提供二次人工优选高品质图像为截图优选列表，通过一键上墙快速显示到大屏。</w:t>
            </w:r>
          </w:p>
          <w:p w14:paraId="1EA0214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26、平台为学校级平台时：</w:t>
            </w:r>
          </w:p>
          <w:p w14:paraId="4CC02C3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实现在考前系统一键下发进行OSD标签，批量修改前，自动备份考前OSD标签。支持在考试结束后，根据系统自动备份的考前OSD标签进行一键批量自动恢复。</w:t>
            </w:r>
          </w:p>
          <w:p w14:paraId="05448DD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27、支持对本级服务运行状态检测，包括Tomcat、MySQL、SIP、TS（转发）、DMS（设备管理）、e2cctv-web（平台）、e2cctv-kwapi、e2cctv-sync（数据同步）、omss、httptms；</w:t>
            </w:r>
          </w:p>
          <w:p w14:paraId="464B145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28、具备统一指挥调度功能，在统一指挥调度可向全部或任意选中的应急指挥终端进行统一指挥调度，可通过音频文件或实时语音的进行通知或调度；系统记录统一指挥调度整个过程；</w:t>
            </w:r>
          </w:p>
          <w:p w14:paraId="6294EA5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29、对保密室相关设备管理，包括设备新增，编辑、删除操作；可总览设备、类型、名称、IP地址、在网状态、业务模块关联等。支持展示保密室内的温度、湿度、烟感、光照等信息；</w:t>
            </w:r>
          </w:p>
          <w:p w14:paraId="7C4C504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30、可查看保密室一天内的人数统计变化图，对变化时点进行查看。可配置人数报警规则上下限数值，查看报警信息；</w:t>
            </w:r>
          </w:p>
          <w:p w14:paraId="7EB0E65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31、可查看保密室人数变化时刻的数据列表，可查看相应时刻的录像；</w:t>
            </w:r>
          </w:p>
          <w:p w14:paraId="4D861ACC">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32、查看目标人员进入保密室的门禁数据，包括开门模式（单人开门、多人组合开门）、开门时间、开门结果。支持查看多种报警类型，包括环境监测、人员离岗、人数异常等；</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BD6041">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C80406">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55990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p>
          <w:p w14:paraId="4B68903E">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52520</w:t>
            </w:r>
          </w:p>
          <w:p w14:paraId="4975C471"/>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8ABDD8">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52520</w:t>
            </w:r>
          </w:p>
          <w:p w14:paraId="36401D8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p>
        </w:tc>
      </w:tr>
      <w:tr w14:paraId="112D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BFC8B">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49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7DE35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巡查客户端软件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D8299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1、符合《国家教育考试网上巡查系统视频标准技术规范（2017版）》相关技术规范；</w:t>
            </w:r>
          </w:p>
          <w:p w14:paraId="3194185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2、状态展示：实时码流信息、实时通道信息、实时录像状态、实时音频状态、系统时间、资源占用显示；</w:t>
            </w:r>
          </w:p>
          <w:p w14:paraId="64FA0E31">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3、常规列表：非考试期间查看所有监控点列表信息，考试期间自动切换到对应考试列表；</w:t>
            </w:r>
          </w:p>
          <w:p w14:paraId="4704210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4、订制列表：支持手动自定义列表，可更改已添加通道的OSD标签；</w:t>
            </w:r>
          </w:p>
          <w:p w14:paraId="5C58275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5、静态列表：支持显示本地静态列表、下级上传的静态列表显示及视频图像拉流；</w:t>
            </w:r>
          </w:p>
          <w:p w14:paraId="742CFDC1">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6、搜索功能：对其展开的节点列表可以进行模糊搜索、精准定位；</w:t>
            </w:r>
          </w:p>
          <w:p w14:paraId="6627E57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7、视频预览功能：支持本地多窗口实时预览，支持本地录像抓图；</w:t>
            </w:r>
          </w:p>
          <w:p w14:paraId="636DDB8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8、智能传输：根据前端与后端网络情况，智能选择最佳网络路径进行拉流传输；</w:t>
            </w:r>
          </w:p>
          <w:p w14:paraId="3D9A44C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9、窗口声音控制：支持窗口声音不随通道切换而关闭；</w:t>
            </w:r>
          </w:p>
          <w:p w14:paraId="651D656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10、考场快速筛选：支持根据关键字快速筛选考场视频通道列表；</w:t>
            </w:r>
          </w:p>
          <w:p w14:paraId="5867A79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11、列表操作：支持部分层级的树节点获取全部列表；列表框可调整；</w:t>
            </w:r>
          </w:p>
          <w:p w14:paraId="043CE8D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12、列表树快速展开：支持根据用户配置快速对指定列表树层级快速展开；</w:t>
            </w:r>
          </w:p>
          <w:p w14:paraId="1851AC4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13、本级中心可根据网络带宽条件，可主动选择调取主辅码流的音视频图像；</w:t>
            </w:r>
          </w:p>
          <w:p w14:paraId="49FC0A6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14、根据网络使用环境及解码性能，可自动切换为相应码率的音视频图像。</w:t>
            </w:r>
          </w:p>
          <w:p w14:paraId="0DC4416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 xml:space="preserve">15、场景预案：支持按分屏模式进行设置场景预案、保存预案，调用预案； </w:t>
            </w:r>
          </w:p>
          <w:p w14:paraId="3515CFF9">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16、超时锁屏：支持超时屏幕自动锁屏，以增加账号安全性和隐私性；</w:t>
            </w:r>
          </w:p>
          <w:p w14:paraId="5F44CC0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17、软件运行显示：支持系统时间及系统资源显示。</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81EB1C">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D66A16">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C472B6">
            <w:pPr>
              <w:keepNext/>
              <w:keepLines w:val="0"/>
              <w:widowControl/>
              <w:suppressLineNumbers w:val="0"/>
              <w:jc w:val="center"/>
              <w:rPr>
                <w:rFonts w:hint="eastAsia" w:ascii="宋体" w:hAnsi="宋体" w:cs="宋体"/>
                <w:i w:val="0"/>
                <w:iCs w:val="0"/>
                <w:color w:val="000000"/>
                <w:sz w:val="22"/>
                <w:szCs w:val="22"/>
                <w:u w:val="none"/>
                <w:lang w:val="en-US" w:eastAsia="zh-CN" w:bidi="ar"/>
              </w:rPr>
            </w:pPr>
          </w:p>
          <w:p w14:paraId="7EDD1FCA">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1800</w:t>
            </w:r>
          </w:p>
          <w:p w14:paraId="53CDCE83"/>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9C12A2">
            <w:pPr>
              <w:keepNext/>
              <w:keepLines w:val="0"/>
              <w:widowControl/>
              <w:suppressLineNumbers w:val="0"/>
              <w:jc w:val="both"/>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1800</w:t>
            </w:r>
          </w:p>
        </w:tc>
      </w:tr>
      <w:tr w14:paraId="0FD37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45386B">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50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FF027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同步电子时钟</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CBC55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1、外形尺寸：约550mm*220mm*25mm；铝合金型材，玻璃面板；单面显示。</w:t>
            </w:r>
          </w:p>
          <w:p w14:paraId="002BC9B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2、显示方式：高亮度 LED灯单面显示时、分秒、年、月、日、星期、农历、温度；</w:t>
            </w:r>
          </w:p>
          <w:p w14:paraId="2E5661B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3、动力类型：220V外接电源；外接2米长电源线；</w:t>
            </w:r>
          </w:p>
          <w:p w14:paraId="7D20E55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 xml:space="preserve">4、功耗：静态电流不大于10微安； </w:t>
            </w:r>
          </w:p>
          <w:p w14:paraId="7D25BFE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5、工作温度：-9℃/+50℃；</w:t>
            </w:r>
          </w:p>
          <w:p w14:paraId="560A941B">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6、闹铃设置：含4组闹铃设置和整点报时设置；</w:t>
            </w:r>
          </w:p>
          <w:p w14:paraId="390DD8C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7、可以手动调整，方式：后面有4个调整按键，可以手动调整；</w:t>
            </w:r>
          </w:p>
          <w:p w14:paraId="5CC5F197">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8、时间记忆：含有内置电池，保证电脑芯片储存时间记忆，当天如果接收不到信号，按记忆时间继续运行。</w:t>
            </w:r>
          </w:p>
          <w:p w14:paraId="4FD1A12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9、安装方式：壁挂式安装方式。</w:t>
            </w:r>
          </w:p>
          <w:p w14:paraId="52480B0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10、每天一次，在晚上22点整，钟表自动开启校时模式、接收卫星信号、调整走时误差。</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F89BB3">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2BC4E2">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2DFFF0">
            <w:pPr>
              <w:keepNext/>
              <w:keepLines w:val="0"/>
              <w:widowControl/>
              <w:suppressLineNumbers w:val="0"/>
              <w:jc w:val="center"/>
              <w:rPr>
                <w:rFonts w:hint="eastAsia" w:ascii="宋体" w:hAnsi="宋体" w:cs="宋体"/>
                <w:i w:val="0"/>
                <w:iCs w:val="0"/>
                <w:color w:val="000000"/>
                <w:sz w:val="22"/>
                <w:szCs w:val="22"/>
                <w:u w:val="none"/>
                <w:lang w:val="en-US" w:eastAsia="zh-CN" w:bidi="ar"/>
              </w:rPr>
            </w:pPr>
          </w:p>
          <w:p w14:paraId="2D8665F7">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200</w:t>
            </w:r>
          </w:p>
          <w:p w14:paraId="0B39F593"/>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513680">
            <w:pPr>
              <w:keepNext/>
              <w:keepLines w:val="0"/>
              <w:widowControl/>
              <w:suppressLineNumbers w:val="0"/>
              <w:ind w:firstLine="220" w:firstLineChars="100"/>
              <w:jc w:val="both"/>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3600</w:t>
            </w:r>
          </w:p>
        </w:tc>
      </w:tr>
      <w:tr w14:paraId="3B008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C9016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D9737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智慧广播主机</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EEE0FB3">
            <w:pPr>
              <w:pStyle w:val="11"/>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1、支持7*24小时不间断运行</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2、处理器：Core I3</w:t>
            </w:r>
            <w:r>
              <w:rPr>
                <w:rFonts w:hint="eastAsia"/>
                <w:lang w:val="en-US" w:eastAsia="zh-CN"/>
              </w:rPr>
              <w:t>同等级或以上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3、显示屏：≥15.6寸高分辨率触摸液晶显示屏1920×1080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4、触摸屏：工业电阻式触摸屏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5、内存：DDR3，≥8G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6、硬盘：板载≥128G SSD固态硬盘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7、操作系统：Linux操作系统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8、显示接口：≥1个VGA接口，≥1个HDMI</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9、网口：≥1个，支持10/100/1000Mbps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10、串口：≥1个，RS-232串口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11、USB口：3.0 USB*≥2个，2.0 USB*≥4个</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12、输入：≥1个3.5接口，≥1个6.35接口，≥4个莲花接头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13、电源接口:三位凤尾插接口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14、电源类型：专业工业电源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15、工作环境:-10℃~50℃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16、存储温度:-20℃~60℃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17、相对湿度:5%~95%，非凝结状态</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744A3E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7EAAA9">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6DCC8E">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39B0B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14200</w:t>
            </w:r>
          </w:p>
        </w:tc>
      </w:tr>
      <w:tr w14:paraId="6372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90E0F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7FFCA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智慧广播系统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管理软件</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8AF201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 xml:space="preserve">主要功能：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1、智慧广播系统基于国产Linux系统，安全可靠；具有对病毒的先天性免疫能力，支持7×24小时不间断工作，永不蓝屏；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2、智慧广播系统基于B/S架构设计，可通过网络浏览器远程访问服务器，无需安装任何客户端软件；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3、智慧广播系统支持局域网与广域网混合组网，兼容各种复杂的网络环境，终端通电自动联网；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4、支持后台web新建用户，可为设置用户优先级，并为用户授权管理终端，配置权限，用户角色：管理员/普通用户/SIP用户；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系统可根据用户需要制作节目源，具有定时、分区、寻呼、报警等功能；支持多个远程软件操作系统（或web登陆），通过软件设置，每个楼栋或每个楼层只能负责本区域的各个网络音频终端，不能控制其他区域，修改重新设置方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6、智慧广播系统支持标准SIP通讯协议，将SIP通讯协议与自有通讯协议完美结合；</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7、支持GPS和北斗自动校对北京时间精度1分钟到1n秒可设置功能；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8、支持实时广播，可以对任意单点、组群、分区或全部广播，或对任意指定的区域进行广播讲话，一键到位的实时广播，每个终端音量单独可调；</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9、支持文字广播，内置TTS文本转语音功能，可将编辑的内容或文本文件里的文字转成语音，支持后台设置男声或女声的语音类型，并且可调整音量、语速、音调、循环次数等功能，语音清晰自然；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10、智慧广播系统支持电话广播，通过IP网络电话接口，可接入外线电话或程控交换机，实现远程电话广播，随时随地发布广播通知；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支持手机APP，手机安装专用播放软件，通过手机可对任意一个终端或多个终端进行广播寻呼，将节目播放到任意一个终端或多个终端，远程操作节目播放暂停/恢复、停止、上一曲、下一曲、音量加、音量减，以及设置播放模式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12、系统自带录音功能，包括广播，对讲，实时采集，监听等录音，可以选择打开/关闭，录音列表一目了然，方便查看使用；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支持全双工回声消除，啸叫抑制技术(AEC)，对讲自动录音，支持智能DSS键，用户可自定义为速拨、对讲、接听、挂断等功能，支持后台web设置呼叫策略，支持多种类型呼叫转移策略：无响应转移、占线转移、关机转移等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14、智慧广播系统支持双向全双工高清可视对讲，支持全双工回声消除，啸叫抑制技术(AEC)，对讲时自动录音；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15、智慧广播系统支持定时巡更功能，设置定时巡更功能后，支持自定义巡更任务的执行时间及重复周期，可自定义指示灯闪烁间隔时间0-30s；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16、支持多种应急方案，支持消防信号接入及接收当地部门下发的预警信息；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17、支持终端播放监听，可设任意网络适配器作为监听器，监听其他网络适配器正在播放的节目内容；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18、智慧广播系统支持现场环境音，对可终端所处环境的现场进行监听，如：学生是否在安静听课等应用；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19、支持多定时方案可随时切换；可灵活设置重复周期（日/月）、播放模式，支持定时任务文件播放、终端采集，支持一键启用/停用所有方案，定时方案自动更换；</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20、具备丰富的媒体库管理，支持MP3/WMA/WAV/PCM格式，支持本地音源上传服务器、及服务器采集外部音源（CD/USB/蓝牙/FM），支持WEB远程管理歌曲库，支持新建/删除/重命名歌曲列表、上传/删除歌曲等操作；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21、智慧广播系统支持在线/离线电子地图功能，导入任意工程平面图，可将终端拖动添加至平面图，在平面图上可实时查看终端状态，并支持全屏显示；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22、智慧广播系统支持广播服务器双机热备功能，备服务器实时检测主服务器的工作状态，实现主/备服务器间故障自动切换，备服务器可完整代理主服务器的管理控制功能；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23、支持终端100V备份，当网络出现断网状态及电源出现断电现象时，信号立即切到模拟定压广播信号，当网络及电源回复时，自动切回网络广播信号，起到双重信号保障作用；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24、智慧广播系统支持自适应噪声检测功能，可以监测现场环境噪声，并将数据上传给PC主机对现场噪声及需要的声音进行音频算法后，可任意设置实时或延时对终端进行音量调整，保持现场的信噪比；</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25、智慧广播系统支持带载自动检测功能，支持4路线路实时检测和校准功能，每路线路阻抗检测范围为20欧到1600欧，设置有短路、开路、过载、轻载、正常5种状态，支持线路异常时告警；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26、智慧广播系统支持离线定时播报功能，内置4G内存，支持终端定时点备份功能，定时点的内容能自动备份到网络播放终端上，当服务器断网时，保证广播系统准时、定时点及内容正常的播报；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27、智慧广播系统支持离线寻呼功能，服务器断网后仍然能够进行广播寻呼功能；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28、支持无线远程遥控，遥控器支持12个功能按键，可在后台设置12个功能键，支持新建任务/切换任务、暂停/恢复、停止、上一曲、下一曲、音量加、音量减操作，无需在主控室进行播放控制，适合学校课间操或运动会时使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29、智慧广播系统支持对终端设置不同的灯光模式，可分别自定义设置红灯亮、红灯灭、绿灯亮、绿灯灭时间0.1S-10S；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30、支持配置终端冻结时间，在终端被冻结期间禁止终端执行任务，适用于考试或休息等场景；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31、支持配置终端优先级自定义设置，并支持终端开/关混音功能，调节混音音量；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32、系统内置数字音频通道自适应参量均衡算法，多频段动态范围调节，支持十段参量 DSP 音效处理，通过网页</w:t>
            </w:r>
            <w:r>
              <w:rPr>
                <w:rFonts w:hint="eastAsia" w:ascii="宋体" w:hAnsi="宋体" w:cs="宋体"/>
                <w:i w:val="0"/>
                <w:iCs w:val="0"/>
                <w:color w:val="000000"/>
                <w:sz w:val="22"/>
                <w:szCs w:val="22"/>
                <w:u w:val="none"/>
                <w:lang w:val="en-US" w:eastAsia="zh-CN" w:bidi="ar"/>
              </w:rPr>
              <w:t>登录</w:t>
            </w:r>
            <w:r>
              <w:rPr>
                <w:rFonts w:hint="eastAsia" w:ascii="宋体" w:hAnsi="宋体" w:eastAsia="宋体" w:cs="宋体"/>
                <w:i w:val="0"/>
                <w:iCs w:val="0"/>
                <w:color w:val="000000"/>
                <w:sz w:val="22"/>
                <w:szCs w:val="22"/>
                <w:u w:val="none"/>
                <w:lang w:val="en-US" w:eastAsia="zh-CN" w:bidi="ar"/>
              </w:rPr>
              <w:t>广播系统后台可调节终端音效，有默认.古典.俱乐部.舞曲.大厅.现场.派对.流行.摇滚.电音以及自定义十段均衡器调节：分别为100Hz.170Hz.370Hz.600Hz.1KHz.3KHz.6KHz.12KHz.14KHz.15KHz频点的±12dB调节，支持终端设备在现场使用环境不同而调节修饰音效；</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33、系统支持对智慧音频终端进行远程固件版本升级，支持同类型设备批量升级，支持单个设备升级；支持智慧广播系统管理软件远程升级，无需技术人员到本地机房升级，实现客户端零维护，减轻维护人员工作强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34、智慧广播系统支持终端明细导出功能，支持通过表格方式导出当前系统终端的配置详情，为系统管理带来方便；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35、智慧广播系统支持在设备管理界面智能实时检测查看终端设备网络延时；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36、智慧广播系统支持在设备管理界面智能实时检测查看终端设备主芯片温度；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37、智慧广播系统支持在界面对终端设备使用右键修改相关信息；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38、系统采用Ai智能识别技术，具备数字音频智能绑定功能，智慧终端在系统主页面自动显示状态，无需添加；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39、具备网络（音频）质量自适应QOS传输算法，智慧节目媒体库，为所有音频终端提供定时播放和实时点播媒体服务，为各智能终端设备提供数据媒体传输服务；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40、智慧广播系统支持日志查询，运行记录.音源播放.消防报警.寻呼日志.定时播放.高级操作.巡更日志.对讲日志；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41、智慧广播具备系统任务列表查看，轻松管理执行的所有定时任务信息和执行状态，支持显示当日执行任务数量.执行中任务.已执行任务，未执行任务.且下一个未执行任务会在系统终端设备上显示定时点功能；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42、智慧广播系统支持多级任务强切后自动恢复功能，正进行手动播放任务时，系统有定时音乐要执行，系统会强切当前手动播放任务，结束后自动恢复，系统正在执行定时任务需要寻呼时，则会暂停当前定时任务，寻呼结束后自动恢复当前定时任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43、系统支持全区.分区消防联动，支持消防N±N模式，支持人工报警与数字报警，支持配置报警器触发终端响应播报任务；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44、系统支持终端登陆用户名和</w:t>
            </w:r>
            <w:r>
              <w:rPr>
                <w:rFonts w:hint="eastAsia" w:ascii="宋体" w:hAnsi="宋体" w:cs="宋体"/>
                <w:i w:val="0"/>
                <w:iCs w:val="0"/>
                <w:color w:val="000000"/>
                <w:sz w:val="22"/>
                <w:szCs w:val="22"/>
                <w:u w:val="none"/>
                <w:lang w:val="en-US" w:eastAsia="zh-CN" w:bidi="ar"/>
              </w:rPr>
              <w:t>登录</w:t>
            </w:r>
            <w:r>
              <w:rPr>
                <w:rFonts w:hint="eastAsia" w:ascii="宋体" w:hAnsi="宋体" w:eastAsia="宋体" w:cs="宋体"/>
                <w:i w:val="0"/>
                <w:iCs w:val="0"/>
                <w:color w:val="000000"/>
                <w:sz w:val="22"/>
                <w:szCs w:val="22"/>
                <w:u w:val="none"/>
                <w:lang w:val="en-US" w:eastAsia="zh-CN" w:bidi="ar"/>
              </w:rPr>
              <w:t>密码与智慧广播系统平台管理软件统一管理，支持多用户同时登录.支持分控管理，实现远程节目播放管理；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45、支持智能蓝牙终端远程加密设置，以及监控摄像头绑定功能；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46、支持设备在线分区设置，通过web页面后台或分控客户端均可轻松操控广播系统；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47、智慧广播系统支持所有控制界面均具备灵活的分区设备检索功能，支持分区/分组独立管理；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48、支持移动手机网络4G.5G.WIFI点播.广播.喊话功能，兼容Android系统；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49、智慧广播系统支持数据备份/重置，备份文件导入.导出，以及恢复出厂设置；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50、智慧广播系统支持设备分组展开功能；选择分组即可查找组内成员设备。</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7FD4C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7083F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47F0B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45321B">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1059</w:t>
            </w:r>
          </w:p>
        </w:tc>
      </w:tr>
      <w:tr w14:paraId="004C6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71E4C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2E17C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智慧广播系统语音控台(7英寸)</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37A17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1、桌面式网络寻呼话筒设计，坚固耐用，铝合金面板，全金属机身；</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2、高保真鹅颈式软管话筒直接输入，话筒打开时红色指示灯自动点亮；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3、高清显示屏≥7”IPS，170°宽视角，全方位无障碍显示；</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4、采用电容触摸技术，操作灵敏、交互方便；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5、支持分区广播、分组广播、全区广播；</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6、支持SIP协议，支持VOIP 网络电话相互对讲，支持VOIP 网络电话寻呼播放终端；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7、支持多选歌曲播放模式，并可开、关此功能；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8、支持U盘音乐文件读取点播模式；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9、支持对呼台做为分区终端使用，可设置为监听音箱；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10、内置3W全频高保真扬声器，用于监听和对讲；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11、支持RS485通讯协议；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12、系统采用Ai智能识别技术，具备数字音频智能绑定功能，智慧终端在系统主页面自动显示状态，无需添加；</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13、智慧广播系统语音控台自动跟随主服务器平台，图形化界面.状态信息显示一目了然，操作简单便捷，具有一键全区广播，一键紧急广播；支持直接操作呼叫任意智能音频终端；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14、系统支持用户名和</w:t>
            </w:r>
            <w:r>
              <w:rPr>
                <w:rFonts w:hint="eastAsia" w:ascii="宋体" w:hAnsi="宋体" w:cs="宋体"/>
                <w:i w:val="0"/>
                <w:iCs w:val="0"/>
                <w:color w:val="000000"/>
                <w:sz w:val="22"/>
                <w:szCs w:val="22"/>
                <w:u w:val="none"/>
                <w:lang w:val="en-US" w:eastAsia="zh-CN" w:bidi="ar"/>
              </w:rPr>
              <w:t>登录</w:t>
            </w:r>
            <w:r>
              <w:rPr>
                <w:rFonts w:hint="eastAsia" w:ascii="宋体" w:hAnsi="宋体" w:eastAsia="宋体" w:cs="宋体"/>
                <w:i w:val="0"/>
                <w:iCs w:val="0"/>
                <w:color w:val="000000"/>
                <w:sz w:val="22"/>
                <w:szCs w:val="22"/>
                <w:u w:val="none"/>
                <w:lang w:val="en-US" w:eastAsia="zh-CN" w:bidi="ar"/>
              </w:rPr>
              <w:t>密码与智慧广播系统平台管理软件统一管理，支持系统用户同时登录.支持分控管理账号登录，实现远程节目播放管理；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15、支持服务器媒体库音乐点播功能，支持分区广播.分组广播.全区广播，支持点播任意终端，可单曲播放；单曲循环；顺序播放；列表循环以及随机播放；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16、具有全双工双向功能，根据网络环境自动调整动态网络延时，支持直接操作，可呼叫.点播歌曲给任意终端；具有对分区/分组/全区节目源点播控制功能；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17、具有紧急时一键紧急广播，支持一键模拟音源混音功能；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18、具有无声音输入时自动关闭功能，并可设定自动关闭时间；具有手动打开/关闭静音功能；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19、一键紧急功能；LED自然跟随，紧急时一键触发告警，带防护盖，防止误操作；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20、自带回声消除模块,内置数字音频通道自适应参量均衡算法(QOS)，多频段动态范围调节，且具有回声啸叫抑制功能；</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21、支持背景音讲话，有效解决IP数字系统定时程序播音时由于数字信号无法与话筒讲话等模拟信号进行混音的难题；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22、具有脱机运行功能，可直接接入校园局域网使用，寻呼时无需服务器的支撑，语音控台具备服务器断网后仍然能够进行广播（校园局域网），支持音频混音功能，可将外部音频输入采集并播放到指定网络终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23、具备标准RJ45网络接口.支持DHCP.兼容路由器.交换机.Intelnet.4G.5G.组播.单播等任意网络结构.支持互联网和本地局域网；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24、具备一路报警触发短路输出，一路报警触发短路输入，级联外扩警示设备或控制门禁；可触发预置语音提示（或报警），亦可用于控制门禁联动输入短路信号；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25、支持话筒开启默认音量输入调节；支持线路输入开启/关闭功能；具有系统监听音量独立调节；具备寻呼自动停止功能，分别为 关闭/30秒/1分钟/5分钟/10分钟/30分钟；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26、支持节能环保模式设计，可手动调节自动息屏时间，分别为 关闭/30秒/1分钟/5分钟/10分钟/30分钟。                                                               </w:t>
            </w:r>
            <w:r>
              <w:rPr>
                <w:rFonts w:hint="eastAsia" w:ascii="宋体" w:hAnsi="宋体" w:eastAsia="宋体" w:cs="宋体"/>
                <w:i w:val="0"/>
                <w:iCs w:val="0"/>
                <w:color w:val="000000"/>
                <w:sz w:val="22"/>
                <w:szCs w:val="22"/>
                <w:u w:val="none"/>
                <w:lang w:val="en-US" w:eastAsia="zh-CN" w:bidi="ar"/>
              </w:rPr>
              <w:br w:type="textWrapping" w:clear="all"/>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E3C5B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FBD29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6366ED">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58AC10">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3000</w:t>
            </w:r>
          </w:p>
        </w:tc>
      </w:tr>
      <w:tr w14:paraId="200A2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2AAD1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12EA3A">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电源时序器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EE526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1、≥3.2"彩色触控屏，实时显示当前电压.日期（含星期）时间，通道开关状态；</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2、定时开关机功能，内置时钟芯片，可根据日期（含星期）时间设定（精确到秒），无需人为操作，让设备管理更简单；</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3、8路可控通道输出，每路设滤波器，过滤电流杂质。每路延时开启和关闭时间可自由设置（范围0~999S）；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4、2路单独不可控交流直通输出（前面板），可接常开电源设备，避免误操作；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5、10组设备开关场景数据保存/调用，场景管理应用简单便捷；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6、宽电压(~90V-250V) 开关电源设计，特设欠压.超压检测及报警功能，为您的设备提供了可靠的保障，总电流达60A，单路电流可达20A；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7、支持多台设备级联控制（出厂可达20台级联），级联状态可自动检测及设置；</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8、配置RS232串口，485接口，TCP/IP网口，开关控制口，支持外部中央控制设备控制，波特率可选择；</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p>
          <w:p w14:paraId="1959F10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9、可实现远程集中控制，每台设备自带设备编码ID检测和设置；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10、可外接智能人机交互界面（控制设备开关机）；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11、支持面板Lock锁定功能，防止误操作。</w:t>
            </w:r>
            <w:r>
              <w:rPr>
                <w:rFonts w:hint="eastAsia" w:ascii="宋体" w:hAnsi="宋体" w:eastAsia="宋体" w:cs="宋体"/>
                <w:i w:val="0"/>
                <w:iCs w:val="0"/>
                <w:color w:val="000000"/>
                <w:sz w:val="22"/>
                <w:szCs w:val="22"/>
                <w:u w:val="none"/>
                <w:lang w:val="en-US" w:eastAsia="zh-CN" w:bidi="ar"/>
              </w:rPr>
              <w:br w:type="textWrapping" w:clear="all"/>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A55A1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8653D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B1A75B">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1115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0FF739">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1115</w:t>
            </w:r>
          </w:p>
        </w:tc>
      </w:tr>
      <w:tr w14:paraId="3AED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1BE602">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1BB6E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网络壁挂音箱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（20W)</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169ED39">
            <w:pPr>
              <w:keepNext/>
              <w:keepLines w:val="0"/>
              <w:widowControl/>
              <w:numPr>
                <w:ilvl w:val="0"/>
                <w:numId w:val="7"/>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智慧广播系统音频终端基于TCP/IP传输协议，由主控系统智能控制，可播放来自主控系统的背景节目、紧急寻呼、告警信号等；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2、全数字化设计，高保真、语音传输指数高；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3、内置2*20W高品质数字功放，可外接副箱，低功耗设置；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4、高可靠性设计寿命长</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5、具有过压、过热、短路等保护功能；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6、支持DHCP、静态IP网络模式；支持AUTO IP功能，DHCP模式下如果没有获取到IP地址，自动切换到临时IP；</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7、支持无音乐信号（包括本地音频信号）自动待机节能工作模式；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8、支持MP3/WMA/WAV/PCM音频流数据解码。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9、系统采用Ai智能识别技术，具备数字音频智能绑定功能，智慧终端在系统主页面自动显示状态，无需添加；</w:t>
            </w:r>
          </w:p>
          <w:p w14:paraId="13024A91">
            <w:pPr>
              <w:keepNext/>
              <w:keepLines w:val="0"/>
              <w:widowControl/>
              <w:numPr>
                <w:ilvl w:val="0"/>
                <w:numId w:val="0"/>
              </w:numPr>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10、具备标准RJ45网络接口，支持DHCP，兼容路由器.交换机.Intelnet.4G.5G.组播.单播等任意网络结构；支持互联网和本地局域网；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11、支持移动手机网络4G.5G.WIFI点播.广播.喊话功能，兼容Android系统；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12、局域网内可脱离服务器接受寻呼广播.紧急报警，音量自动调节到呼叫设备设定值；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13、可支持关联摄像头，通过主机软件实时查看摄像头内容；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14、支持设备在线分区设置，通过web页面后台或分控客户端均可轻松设置分区；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15、系统支持文字广播，内置TTS文本转语音功能，可将编辑的内容或文本文件里的文字转成语音，支持后台设置男声或女声的语音类型，并且可调整音量、语速、音调、循环次数等功能，语音清晰自然；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16、支持接受系统在线分组，按系统分组定时，只需添加分组名称即可。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1、标准RJ45网络接口≥1路；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2、传输速率：10/100Mbps；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3、网络协议：TCP、UDP、IGMP、ICMP等；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4、LINE IN输入≥1路；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5、音频输入灵敏度：500mV；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6、LINE OUT输出≥1路；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7、音频输出灵敏度：1V；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8、本地MIC输入≥1路；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9、MIC输入灵敏度：10mV；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10、副箱接口≥1路SPK 8Ω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11、喇叭单元：4.5"*1，2.5"*1；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12、灵敏度(1m,1W)：88±2dB；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13、最大声压级(1m)：103±2dB；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14、频率响应：100-18kHz；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15、功放输出功率（RMS）：2*20W 8Ω；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16、频率响应：80Hz-16kHz；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17、信噪比：≥81dB；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18、失真度：≤1%；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19、声道分离度：≥60dB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1F4E0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5998C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579536">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328AB9">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211</w:t>
            </w:r>
          </w:p>
        </w:tc>
      </w:tr>
      <w:tr w14:paraId="43C3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76363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96B784">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落地机柜</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BD8BF60">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1、名称：42U落地机柜；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2、颜色:机柜采用黑色(RAL9004)</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3、尺寸：600*600*2000mm</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4、厚度：门侧≥0.8mm，立柱≥1.8mm；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5、高品质风机 1部（一个风扇）；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6、层板：3块；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7、六位PDU：1个；</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8、前门为带锁玻璃门，后门为单开高密度平板网孔门；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9、机柜底部配置地平调整支架脚及万向活动轮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10、接地: 每套机柜的门下方设有6M未端接地螺栓；</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F2DA0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7A180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7819D8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9C25F8">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r>
      <w:tr w14:paraId="2B7F5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E25015">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AFD4C6">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广播话筒(桌面电容式)</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E1DC25">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1、频率响应：100-18000HZ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2、灵敏度：≥-30dB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3、输出阻抗：≥200Ω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4、信噪比：≥65dB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5、参考拾音距离：10-100cm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6、连线：不少于8M专用电缆，带不少于1个卡侬母-6.35mm转接头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7、供电电压：DC3V（电池供电）/48V（幻像电源）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8、鹅颈咪管：≥420mm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4A6042">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78B15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32E829">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48697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r>
      <w:tr w14:paraId="738D2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CCEE9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58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BF8AA0">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智能节目播控主机</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C7C61C4">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1、触摸液晶屏≥5</w:t>
            </w:r>
            <w:r>
              <w:rPr>
                <w:rFonts w:hint="eastAsia" w:ascii="宋体" w:hAnsi="宋体" w:cs="宋体"/>
                <w:i w:val="0"/>
                <w:iCs w:val="0"/>
                <w:color w:val="000000"/>
                <w:sz w:val="22"/>
                <w:szCs w:val="22"/>
                <w:u w:val="none"/>
                <w:lang w:val="en-US" w:eastAsia="zh-CN" w:bidi="ar"/>
              </w:rPr>
              <w:t>英</w:t>
            </w:r>
            <w:r>
              <w:rPr>
                <w:rFonts w:hint="eastAsia" w:ascii="宋体" w:hAnsi="宋体" w:eastAsia="宋体" w:cs="宋体"/>
                <w:i w:val="0"/>
                <w:iCs w:val="0"/>
                <w:color w:val="000000"/>
                <w:sz w:val="22"/>
                <w:szCs w:val="22"/>
                <w:u w:val="none"/>
                <w:lang w:val="en-US" w:eastAsia="zh-CN" w:bidi="ar"/>
              </w:rPr>
              <w:t>寸，全中文与图形结合的导航菜单，操作简单方便；</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2、主机可通过电脑软件，实现远程TCP/IP网络播放文件功能、电脑声卡采集播放功能；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3、主机可通过电脑软件，实现电脑TCP/IP的网络编程，分区控制，电源控制，以及查看TF卡的定时MP3文件和主机程序的下载/读取；</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4、支持音乐歌曲列表浏览、播放，多种播放模式选择；</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5、内置FM调频功能，全频段自动搜台，手动搜台，自动保存；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6、内置6路可编程电源，10路可编程分区。可自定义设置电源/分区提前打开时间；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7、支持本机添加、编辑、预览定时任务等功能，方便快捷设定各种运行任务；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8、支持电脑编程，主机手动编程，每条编程可编10首曲目，可单选或多选。可编8套程序，每套可编程120条，时间精准到秒；</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9、可编程本地MP3/FM收音/外接线路的音源；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10、支持触摸调音功能，可直观调节话筒、收音、线路、MP3、监听等每路音量大小；</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11、内置监听功能，音量可调；</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12、支持话筒默音等级设置，话筒分区电源触发开启设置；</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13、支持用户密码登录管理，用户可自行设定密码；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14、具备高速USB接口，可外置U盘播放；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15、强大的解码能力，支持MP3、WAV等多种音频编码格式；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16、具备一路本地话筒输入接口，两路线路输入接口，四路音频输出接口；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17、本地话筒支持混音、自动默音回避，自动减小音量回避，自动触发功放分区，讲话结束后自动恢复等功能；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18、内置TF卡4G容量，最大支持32G容量；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19、主机自带使用帮助和接线指南，快速入门；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20、支持外控串口通信，可与外接分区器，电源时序器，等外围设备进行联控；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21、支持消防功能，短路或DC12-24V信号输入自动报警，消防短路输出。支持报警音频修改。</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D84CD4">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D4C33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7414CD">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4500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6BB76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4500</w:t>
            </w:r>
          </w:p>
        </w:tc>
      </w:tr>
      <w:tr w14:paraId="181D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874EE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59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DDBF36">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四合一音源播放器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7CA8F1">
            <w:pPr>
              <w:keepNext/>
              <w:keepLines w:val="0"/>
              <w:widowControl/>
              <w:suppressLineNumbers w:val="0"/>
              <w:jc w:val="left"/>
              <w:rPr>
                <w:rFonts w:hint="eastAsia" w:ascii="宋体" w:hAnsi="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1、逐行扫描和隔行扫描输出，托盘式机芯、超强抗震；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2、兼容DVD/CD/VCD/MP3/CD-ROM；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3、支持U盘播放，MP3可实现多种播放模式,随机/单曲循环/全曲循环；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4、带高对比度128X64中文点阵屏可现实播放歌曲名称；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5、内置高品质蓝牙解码芯片</w:t>
            </w:r>
            <w:r>
              <w:rPr>
                <w:rFonts w:hint="eastAsia" w:ascii="宋体" w:hAnsi="宋体" w:cs="宋体"/>
                <w:i w:val="0"/>
                <w:iCs w:val="0"/>
                <w:color w:val="000000"/>
                <w:sz w:val="22"/>
                <w:szCs w:val="22"/>
                <w:u w:val="none"/>
                <w:lang w:val="en-US" w:eastAsia="zh-CN" w:bidi="ar"/>
              </w:rPr>
              <w:t>；</w:t>
            </w:r>
          </w:p>
          <w:p w14:paraId="39CE24F1">
            <w:pPr>
              <w:keepNext/>
              <w:keepLines w:val="0"/>
              <w:widowControl/>
              <w:suppressLineNumbers w:val="0"/>
              <w:jc w:val="left"/>
              <w:rPr>
                <w:rFonts w:hint="eastAsia" w:ascii="宋体" w:hAnsi="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6、内置高灵敏度收音解码芯片</w:t>
            </w:r>
            <w:r>
              <w:rPr>
                <w:rFonts w:hint="eastAsia" w:ascii="宋体" w:hAnsi="宋体" w:cs="宋体"/>
                <w:i w:val="0"/>
                <w:iCs w:val="0"/>
                <w:color w:val="000000"/>
                <w:sz w:val="22"/>
                <w:szCs w:val="22"/>
                <w:u w:val="none"/>
                <w:lang w:val="en-US" w:eastAsia="zh-CN" w:bidi="ar"/>
              </w:rPr>
              <w:t>；</w:t>
            </w:r>
          </w:p>
          <w:p w14:paraId="37F6044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7、支持不少于4个文件夹快捷播放；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8、音频输出：≥2组DVD立体声输出、≥1组MP3辅出、≥1组同轴输出 、≥2组混合输出；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9、支持视频输出。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1、音频格式：MP3,WAV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2、输出：≥1路线路输出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3、音频模式： CD音质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4、频率响应：20Hz～16KHz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5、谐波失真：≤0.3%</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6、信噪比：≥76dB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7、工作温度：-20℃～+60℃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8、工作湿度：10%～90%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9、输入电源：AC～220V/50/30A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10、消耗功率：≤20W</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5D19C9">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5A5BE6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D7ED3E">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9008C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1000</w:t>
            </w:r>
          </w:p>
        </w:tc>
      </w:tr>
      <w:tr w14:paraId="0D8B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D3954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BA40A0">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前置放大器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D905B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cs="宋体"/>
                <w:i w:val="0"/>
                <w:iCs w:val="0"/>
                <w:color w:val="000000"/>
                <w:sz w:val="22"/>
                <w:szCs w:val="22"/>
                <w:u w:val="none"/>
                <w:lang w:val="en-US" w:eastAsia="zh-CN" w:bidi="ar"/>
              </w:rPr>
              <w:t>功能要求</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1、不少于10路输入（6路6.3话筒，3路RCA莲花线路,1路6.3紧急）；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2、输入通道音量可以独立调节；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3、不少于6路RCA莲花混合输出（可单接6台功放）；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4、具有音调高低音调节；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5、具有三级优先功能，分别为：MIC1为最高；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6、优先级，紧急音频信号（EMC1.2）为第二级；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7、MIC2.3.4.5和线路（AUX1.2.3）为第三级。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1、总谐波失真：≤0.01% at 1KHz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2、频率响应：20Hz-20KHz（±2dB）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3、音调：低音：±10dB at 100Hz，高音：±10dBB at 10KHz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4、话筒输入灵敏度&amp;阻抗：≤8mV/600Ω不平衡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5、线路输入灵敏度&amp;阻抗：≤250mV/10KΩ不平衡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6、线路输出灵敏度&amp;阻抗：≤1.5V/360Ω不平衡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7、噪声比：话筒：≥68dB ；线路：≥89dB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8、电源功耗：8-10W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9、默音功能：MIC1输入覆盖其他输入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10、输入电源：AC220V/50Hz</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C085AB">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E4809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E0DDF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E32446">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r>
      <w:tr w14:paraId="6817F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C98D84">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F4E80">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智慧广播系统音频采集器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F14718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1、智慧广播系统音频采集器基于TCP/IP传输协议，可实时采集本地所需音源；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2、高档铝合金磨砂面板，全金属化机箱设计；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3、全数字化设计，高保真、语音传输指数高；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4、支持Web配置，操作方便、简单；</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5、带显示屏，可显示IP地址、时间和显示各通道工作状态等；</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6、按键设计，可设置IP地址、时间和息屏时间等；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7、输出音频≥6路；CH IN与MIC1及MIC2智能混音同步输出；</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8、带USB，集成MP3播放模块，支持采集USB内容播放功能，支持全格式音频流数据解码；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9、系统采用Ai智能识别技术，具备数字音频智能绑定功能，智慧终端在系统主页面自动显示状态，无需添加；</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10、具有音频编码采集功能，内置硬件编码模块，可将模拟音频采集到智慧广播系统任意终端；实现本地实时信号采集编码功能；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11、设备采用嵌入式计算机技术和 DSP高保真音频处理技术设计；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12、具有指定通道以及所有通道输入信号自动触发采集功能，并且可自定义通道开/关；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13、支持指定通道以及所有通道输入信号增益配置功能；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14、具有定时任务配置定时采集外部音源功能；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15、可实现外部音频采集与定时播放、网络点播、网络寻呼等混音功能，并支持音源音量与混音音量单独调整；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16、具备接收系统指令和音频信号采集，支持系统对本机进行设置与管理；支持系统对本机远程升级功能；支持系统远程控制设备固件版本升级；设备重置；设备重启；设备IP 地址设置；网络模式设置；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17、支持系统采集音频分区广播.分组广播功能；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18、具备标准RJ45网络接口.支持DHCP.兼容路由器.交换机.Intelnet.4G.5G.组播.单播等任意网络结构.支持互联网和本地局域网；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主显示屏与服务器状态显示同步，设备名称/IP地址，当前任务状态显示，有播放任务显示音频频谱，采集音频信号时，屏幕随音乐节奏而跳跃频谱，炫酷的效果让界面变得生动起来；通过频谱.音高线等实时变化的视图，可以更直观的判断声音的音调，借助频谱图，可以让声音可视化，音频频谱效果，让声音不仅听得见还能看得见；面板集成网络连接状态显示，信号状态显示；</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20、支持节能环保模式设计，可手动调节自动息屏时间，分别为 关闭/30秒/1分钟/5分钟/10分钟/30分钟。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78684E">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C5BE6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D6235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D0AB8A">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2200</w:t>
            </w:r>
          </w:p>
        </w:tc>
      </w:tr>
      <w:tr w14:paraId="0F119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8ADC7F">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904E7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纯后级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定压功放</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1BE58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主要功能特点：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1、设有RCA插口输入/输出；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2、设有不少于1音频输入，音量调节；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3、具备短路、过流、过载保护及LED警示，自激、过热、开关机防冲击保护及LED警示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4、饱和失真及LED警示，信号电平指示LED</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5、内置智能温度检测驱动风冷，采用低噪声风扇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6、RCA莲花&amp;6.3话筒插口输入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7、RCA莲花辅助音源输出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8、设备设有工作保护警告功能，当输入信号过大、负载过重、温度过高、线路短路时，对应的指示灯提示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主要技术参数：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1、额定输出功率：≥1500W；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2、音频输入：1V/600Ω不平衡；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3、频率响应：60Hz-18KHz（±2dB）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4、信噪比：≥90dB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5、输出方式：定阻4-16Ω，定压70V，100V；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6、保护：开机保护，过压保护，直流保护，短路保护，过热保护；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7、电压：AC220V/50Hz；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8、消耗功率：≤2200W；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63CBD9">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10F5A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2846B">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4100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1513B8">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4100</w:t>
            </w:r>
          </w:p>
        </w:tc>
      </w:tr>
      <w:tr w14:paraId="2FAB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2E9BD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4DFE9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网络壁挂音箱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（20W)</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01A4A5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1、智慧广播系统音频终端基于TCP/IP传输协议，由主控系统智能控制，可播放来自主控系统的背景节目、紧急寻呼、告警信号等；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2、全数字化设计，高保真、语音传输指数高；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3、内置2*20W数字功放，可外接副箱，低功耗设置；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4、高可靠性设计寿命长</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5、具有过压、过热、短路等保护功能；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6、具备模拟100V定压备份断网、断电备份，切换时间小于0.03秒；支持网络优先功能，100V自动优先切换；</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7、支持DHCP、静态IP网络模式；支持AUTO IP功能，DHCP模式下如果没有获取到IP地址，自动切换到临时IP；</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8、支持无音乐信号（包括本地音频信号）自动待机节能工作模式；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9、支持MP3/WMA/WAV/PCM音频流数据解码。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10、系统采用Ai智能识别技术，具备数字音频智能绑定功能，智慧终端在系统主页面自动显示状态，无需添加；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11、具备标准RJ45网络接口，支持DHCP，兼容路由器.交换机.Intelnet.4G.5G.组播.单播等任意网络结构；支持互联网和本地局域网；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12、支持移动手机网络4G.5G.WIFI点播.广播.喊话功能，兼容Android系统；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13、局域网内可脱离服务器接受寻呼广播.紧急报警，音量自动调节到呼叫设备设定值；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14、可支持关联摄像头，通过主机软件实时查看摄像头内容；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15、支持设备在线分区设置，通过web页面后台或分控客户端均可轻松设置分区；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16、系统支持文字广播，内置TTS文本转语音功能，可将编辑的内容或文本文件里的文字转成语音，支持后台设置男声或女声的语音类型，并且可调整音量、语速、音调、循环次数等功能，语音清晰自然；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17、支持接受系统在线分组，按系统分组定时，只需添加分组名称即可。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1、标准RJ45网络接口≥1路；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2、传输速率：10/100Mbps；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3、网络协议：TCP、UDP、IGMP、ICMP等；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4、LINE IN输入≥1路；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5、音频输入灵敏度：500mV；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6、LINE OUT输出≥1路；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7、音频输出灵敏度：1V；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8、本地MIC输入≥1路；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9、MIC输入灵敏度：10mV；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10、副箱接口≥1路SPK 8Ω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11、喇叭单元：4.5"*1，2.5"*1；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12、灵敏度(1m,1W)：88±2dB；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13、最大声压级(1m)：103±2dB；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14、频率响应：100-18kHz；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15、功放输出功率（RMS）：2*20W 8Ω；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16、频率响应：80Hz-16kHz；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17、信噪比：≥81dB；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18、失真度：≤1%；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19、声道分离度：≥60dB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0556B5">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607A51">
            <w:pPr>
              <w:keepNext/>
              <w:tabs>
                <w:tab w:val="left" w:pos="2835"/>
              </w:tabs>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BFF3EC">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700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0BDED6">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12600</w:t>
            </w:r>
          </w:p>
        </w:tc>
      </w:tr>
      <w:tr w14:paraId="76E38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040655">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38A82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网络副音箱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(20W）</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C14ECA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1、喇叭单元：4.5"*1，2.5"*1；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2、额定功率：≥20W；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3、额定阻抗：4-8欧；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4、灵敏度(1m,1W)：88±2dB；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5、最大声压级(1m)：103±2dB；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6、频率响应：100-18kHz；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7、工作环境：温度-20℃~60℃；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8、相对湿度：20%~85%；</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0DB5F4">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06008A">
            <w:pPr>
              <w:keepNext/>
              <w:tabs>
                <w:tab w:val="left" w:pos="2835"/>
              </w:tabs>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BA1247B">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150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007B0F">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2700</w:t>
            </w:r>
          </w:p>
        </w:tc>
      </w:tr>
      <w:tr w14:paraId="3A261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12D0A7">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624EB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室内喇叭线材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B25F06C">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EVJV 2*1.5mm²</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19F78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 xml:space="preserve">300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B5341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D0ACFDB">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A12D26">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r>
      <w:tr w14:paraId="23978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2A9B4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9C50F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室外喇叭线材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81AB70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EVJV 2*2.5mm²</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3EFB6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 xml:space="preserve">300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694F7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CBDE58">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F8C2ED">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r>
      <w:tr w14:paraId="1E656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16F8C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A06CA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网线</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4D308470">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超5类/六类双绞线</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D3604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 xml:space="preserve">600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5B24A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67DEC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EACFB7">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1200</w:t>
            </w:r>
          </w:p>
        </w:tc>
      </w:tr>
      <w:tr w14:paraId="6AA9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205285">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318DA1">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RJ45水晶头</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371CBA82">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100个/盒</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070FA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0BC9D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盒</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FE20180">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941A24">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200</w:t>
            </w:r>
          </w:p>
        </w:tc>
      </w:tr>
      <w:tr w14:paraId="2F9DC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94AA1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69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4C2D30">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PVC管材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8213147">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敷设线材所需的各类管材：Φ25</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302E3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 xml:space="preserve">600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F503C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3F3F1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ED12B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2400</w:t>
            </w:r>
          </w:p>
        </w:tc>
      </w:tr>
      <w:tr w14:paraId="5CA27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9C2774">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70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937FF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智能节目播控主机</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1A3A2D">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1、触摸液晶屏≥5寸，全中文与图形结合的导航菜单，操作简单方便；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2、主机可通过电脑软件，实现远程TCP/IP网络播放文件功能、电脑声卡采集播放功能；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3、主机可通过电脑软件，实现电脑TCP/IP的网络编程，分区控制，电源控制，以及查看TF卡的定时MP3文件和主机程序的下载/读取；</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4、支持音乐歌曲列表浏览、播放，多种播放模式选择；</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5、内置FM调频功能，全频段自动搜台，手动搜台，自动保存；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6、内置6路可编程电源，10路可编程分区。可自定义设置电源/分区提前打开时间；</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7、支持本机添加、编辑、预览定时任务等功能，快捷设定各种运行任务；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8、支持电脑编程，主机手动编程，每条编程可编10首曲目，可单选或多选。可编8套程序，每套可编程120条，时间精准到秒；</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9、可编程本地MP3/FM收音/外接线路的音源；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10、支持触摸调音功能，可直观调节话筒、收音、线路、MP3、监听等每路音量大小；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11、内置监听功能，音量可调；12、支持话筒默音等级设置，话筒分区电源触发开启设置；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13、支持用户密码登录管理，用户可自行设定密码；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14、具备高速USB接口，可外置U盘播放；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15、强大的解码能力，支持MP3、WAV等多种音频编码格式；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16、具备一路本地话筒输入接口，两路线路输入接口，四路音频输出接口；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17、本地话筒支持混音、自动默音回避，自动减小音量回避，自动触发功放分区，讲话结束后自动恢复等功能；</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18、内置TF卡4G容量，</w:t>
            </w:r>
            <w:r>
              <w:rPr>
                <w:rFonts w:hint="eastAsia" w:ascii="宋体" w:hAnsi="宋体" w:cs="宋体"/>
                <w:i w:val="0"/>
                <w:iCs w:val="0"/>
                <w:color w:val="000000"/>
                <w:sz w:val="22"/>
                <w:szCs w:val="22"/>
                <w:u w:val="none"/>
                <w:lang w:val="en-US" w:eastAsia="zh-CN" w:bidi="ar"/>
              </w:rPr>
              <w:t>支持</w:t>
            </w:r>
            <w:r>
              <w:rPr>
                <w:rFonts w:hint="eastAsia" w:ascii="宋体" w:hAnsi="宋体" w:eastAsia="宋体" w:cs="宋体"/>
                <w:i w:val="0"/>
                <w:iCs w:val="0"/>
                <w:color w:val="000000"/>
                <w:sz w:val="22"/>
                <w:szCs w:val="22"/>
                <w:u w:val="none"/>
                <w:lang w:val="en-US" w:eastAsia="zh-CN" w:bidi="ar"/>
              </w:rPr>
              <w:t>32G容量；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19、主机自带使用帮助和接线指南，快速入门；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20、支持外控串口通信，可与外接分区器，电源时序器，等外围设备进行联控；</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21、支持消防功能，短路或DC12-24V信号输入自动报警，消防短路输出。支持报警音频修改。</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B1F68E">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DAA92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4EEABC">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4757</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472D97">
            <w:pPr>
              <w:keepNext/>
              <w:keepLines w:val="0"/>
              <w:widowControl/>
              <w:suppressLineNumbers w:val="0"/>
              <w:jc w:val="center"/>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4754</w:t>
            </w:r>
          </w:p>
        </w:tc>
      </w:tr>
      <w:tr w14:paraId="6FBF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783B6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884A94">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前置放大器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6D5BF7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cs="宋体"/>
                <w:i w:val="0"/>
                <w:iCs w:val="0"/>
                <w:color w:val="000000"/>
                <w:sz w:val="22"/>
                <w:szCs w:val="22"/>
                <w:u w:val="none"/>
                <w:lang w:val="en-US" w:eastAsia="zh-CN" w:bidi="ar"/>
              </w:rPr>
              <w:t>主要</w:t>
            </w:r>
            <w:r>
              <w:rPr>
                <w:rFonts w:hint="eastAsia" w:ascii="宋体" w:hAnsi="宋体" w:eastAsia="宋体" w:cs="宋体"/>
                <w:i w:val="0"/>
                <w:iCs w:val="0"/>
                <w:color w:val="000000"/>
                <w:sz w:val="22"/>
                <w:szCs w:val="22"/>
                <w:u w:val="none"/>
                <w:lang w:val="en-US" w:eastAsia="zh-CN" w:bidi="ar"/>
              </w:rPr>
              <w:t>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1、不少于10路输入（6路6.3话筒，3路RCA莲花线路,1路6.3紧急）；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2、输入通道音量可以独立调节；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3、不少于6路RCA莲花混合输出（可单接6台功放）；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4、具有音调高低音调节；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5、具有三级优先功能，分别为：MIC1为最高；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6、优先级，紧急音频信号（EMC1.2）为第二级；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7、MIC2.3.4.5和线路（AUX1.2.3）为第三级。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1、总谐波失真：≤0.01% at 1KHz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2、频率响应：20Hz-20KHz（±2dB）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3、音调：低音：±10dB at 100Hz，高音：±10dBB at 10KHz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4、话筒输入灵敏度&amp;阻抗：≤8mV/600Ω不平衡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5、线路输入灵敏度&amp;阻抗：≤250mV/10KΩ不平衡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6、线路输出灵敏度&amp;阻抗：≤1.5V/360Ω不平衡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7、噪声比：话筒：≥68dB ；线路：≥89dB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8、电源功耗：8-10W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9、默音功能：MIC1输入覆盖其他输入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10、输入电源：AC220V/50Hz</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DE0D2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8A5AEF">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9F18D7F">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1274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902BE3">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1274</w:t>
            </w:r>
          </w:p>
        </w:tc>
      </w:tr>
      <w:tr w14:paraId="1E37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276BE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5DA158">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广播话筒</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(桌面电容式)</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55DFC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1、频率响应：100-18000HZ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2、灵敏度：≥-30dB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3、输出阻抗：≥200Ω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4、信噪比：≥65dB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5、参考拾音距离：10-100cm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6、连线：不少于8M专用电缆，带不少于1个卡侬母-6.35mm转接头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7、供电电压：DC3V（电池供电）/48V（幻像电源）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8、鹅颈咪管：≥420mm</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150AAA">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90A47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支</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17EA9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412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D3D60F">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412</w:t>
            </w:r>
          </w:p>
        </w:tc>
      </w:tr>
      <w:tr w14:paraId="6EB2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7EE6C2">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94C5A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四合一音源播放器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F5B0">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1、逐行扫描和隔行扫描输出，托盘式机芯、抗震；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2、兼容DVD/CD/VCD/MP3/CD-ROM；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3、支持U盘播放，MP3可实现多种播放模式,随机/单曲循环/全曲循环；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4、带高对比度128X64中文点阵屏可现实播放歌曲名称；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5、内置蓝牙解码芯片</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6、内置高灵敏度收音解码芯片</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7、支持不少于4个文件夹快捷播放；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8、音频输出：≥2组DVD立体声输出、≥1组MP3辅出、≥1组同轴输出 、≥2组混合输出；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9、支持视频输出。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1、音频格式：MP3,WAV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2、输出：≥1路线路输出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3、音频模式： CD音质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4、频率响应：20Hz～16KHz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5、谐波失真：≤0.3%</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6、信噪比：≥76dB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7、工作温度：-20℃～+60℃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8、工作湿度：10%～90%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9、输入电源：AC～220V/50/30A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10、消耗功率：≤20W</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5F317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69275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EEC3C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10F35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1000</w:t>
            </w:r>
          </w:p>
        </w:tc>
      </w:tr>
      <w:tr w14:paraId="49ED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7F17FE">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7D937A">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十六路电源控制器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74C880">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1</w:t>
            </w:r>
            <w:r>
              <w:rPr>
                <w:rFonts w:hint="eastAsia" w:ascii="宋体" w:hAnsi="宋体" w:eastAsia="宋体" w:cs="宋体"/>
                <w:i w:val="0"/>
                <w:iCs w:val="0"/>
                <w:color w:val="000000"/>
                <w:sz w:val="22"/>
                <w:szCs w:val="22"/>
                <w:u w:val="none"/>
                <w:lang w:val="en-US" w:eastAsia="zh-CN" w:bidi="ar"/>
              </w:rPr>
              <w:t>、按顺序开启/关闭不少于16路设备电源，保护电网不受冲击；</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2</w:t>
            </w:r>
            <w:r>
              <w:rPr>
                <w:rFonts w:hint="eastAsia" w:ascii="宋体" w:hAnsi="宋体" w:eastAsia="宋体" w:cs="宋体"/>
                <w:i w:val="0"/>
                <w:iCs w:val="0"/>
                <w:color w:val="000000"/>
                <w:sz w:val="22"/>
                <w:szCs w:val="22"/>
                <w:u w:val="none"/>
                <w:lang w:val="en-US" w:eastAsia="zh-CN" w:bidi="ar"/>
              </w:rPr>
              <w:t>、每路插座最大容量≥3KVA,总容量≥6KVA；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3</w:t>
            </w:r>
            <w:r>
              <w:rPr>
                <w:rFonts w:hint="eastAsia" w:ascii="宋体" w:hAnsi="宋体" w:eastAsia="宋体" w:cs="宋体"/>
                <w:i w:val="0"/>
                <w:iCs w:val="0"/>
                <w:color w:val="000000"/>
                <w:sz w:val="22"/>
                <w:szCs w:val="22"/>
                <w:u w:val="none"/>
                <w:lang w:val="en-US" w:eastAsia="zh-CN" w:bidi="ar"/>
              </w:rPr>
              <w:t>、设有安全锁，供手动紧急控制；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4</w:t>
            </w:r>
            <w:r>
              <w:rPr>
                <w:rFonts w:hint="eastAsia" w:ascii="宋体" w:hAnsi="宋体" w:eastAsia="宋体" w:cs="宋体"/>
                <w:i w:val="0"/>
                <w:iCs w:val="0"/>
                <w:color w:val="000000"/>
                <w:sz w:val="22"/>
                <w:szCs w:val="22"/>
                <w:u w:val="none"/>
                <w:lang w:val="en-US" w:eastAsia="zh-CN" w:bidi="ar"/>
              </w:rPr>
              <w:t>、此机电源输入电缆线直接与工业用电器开关连接；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、带紧急触发接口（当本机检测到短路激活信号时，自动顺序打开各路电源，短路信号消除后，自动按顺序关闭电源）。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1、输入电源：AC220V/50Hz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2、受控电源数量:≥16路</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3、动作间隔时间：300ms-400ms</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4、控制方式: 手动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5、电源功耗:≤40W</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E2950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666CBB">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7FABB3">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7F3A6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2100</w:t>
            </w:r>
          </w:p>
        </w:tc>
      </w:tr>
      <w:tr w14:paraId="30434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3092C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7537E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十六路分区器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B1317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1、不少于4路信号输入；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2、不少于16路独立分区选择开关，分区随意切换，互不干扰；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3、具有分区工作状态显示；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4、特设全开/全关按键</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1、输入电源：AC220V/50Hz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2、可控分区: ≥16分区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3、A组输入: CH1～CH4</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4、B组输入: CH6～CH8</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5、C组输入: CH9～CH12</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6、B组输入: CH13～CH16</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7、控制方式: 手动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8、电源功耗: ≤30W</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66496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1249A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CBAFF5">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1534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77E188">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1534</w:t>
            </w:r>
          </w:p>
        </w:tc>
      </w:tr>
      <w:tr w14:paraId="461E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BA62A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C9C7A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纯后级</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定压功放</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1385C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1、设有RCA插口输入/输出；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2、设有不少于1路音频输入，音量调节；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3、具备短路、过流、过载保护及LED警示，自激、过热、开关机防冲击保护及LED警示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4、饱和失真及LED警示，信号电平指示LED</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5、内置智能温度检测驱动风冷，采用低噪声风扇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6、RCA莲花&amp;6.3话筒插口输入</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7、RCA莲花辅助音源输出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8、设备设有工作保护警告功能，当输入信号过大、负载过重、温度过高、线路短路时，对应的指示灯提示；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主要技术参数：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1、额定输出功率：≥1000W；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2、音频输入：1V/600Ω不平衡；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3、频率响应：60Hz-18KHz（±2dB）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4、信噪比：≥90dB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5、输出方式：定阻4-16Ω，定压70V，100V；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6、保护：开机保护，过压保护，直流保护，短路保护，过热保护；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7、电压：AC220V/50Hz；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8、消耗功率：≤1500W；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AC3C9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2D2797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73A96D">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BF409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1600</w:t>
            </w:r>
          </w:p>
        </w:tc>
      </w:tr>
      <w:tr w14:paraId="2764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E4C451">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4F660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室外音柱</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B8B69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1、材质：铝合金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2、喇叭单元：≥6.5＂×3；≥2.5＂×1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3、额定功率：≥60W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4、最大功率：≥120W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5、输入电压：70-100V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6、灵敏度（1m,1W)：≥98dB±2 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7、最大声压级(1m)：≥112dB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8、频率响应：100-20000Hz</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02A85D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C3E26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E312B8">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1008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370C00">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8064</w:t>
            </w:r>
          </w:p>
        </w:tc>
      </w:tr>
      <w:tr w14:paraId="7E12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684B4A">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78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763F4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壁挂音箱</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8D46EF">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1、材质：ABS塑料外壳，铁质网罩；</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2、喇叭单元：≥6.5＂×1， ≥2＂×1；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3、额定功率：≥10W；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4、最大功率：≥20W；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5、输入电压：70-100V；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6、灵敏度（1m,1W)：≥92dB；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7、最大声压级(1m)：≥102dB；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8、频率响应：110-16000Hz；</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679E20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20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6D2155">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B4DA91">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211</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CFBE1E">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w:t>
            </w:r>
            <w:r>
              <w:rPr>
                <w:rFonts w:hint="eastAsia" w:ascii="宋体" w:hAnsi="宋体" w:cs="宋体"/>
                <w:i w:val="0"/>
                <w:iCs w:val="0"/>
                <w:color w:val="000000"/>
                <w:sz w:val="22"/>
                <w:szCs w:val="22"/>
                <w:u w:val="none"/>
                <w:lang w:val="en-US" w:eastAsia="zh-CN" w:bidi="ar"/>
              </w:rPr>
              <w:t>220</w:t>
            </w:r>
          </w:p>
        </w:tc>
      </w:tr>
      <w:tr w14:paraId="38C5B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4078FD">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79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D14E27">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室内喇叭线材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5211A5F">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EVJV 2*1.5mm²</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35CEDF">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 xml:space="preserve">300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974403">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BE449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87E48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r>
      <w:tr w14:paraId="1BF4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5722C7">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80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676DD">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室外喇叭线材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9E1FADE">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EVJV 2*2.5mm²</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11C466">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 xml:space="preserve">300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530D284">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67307F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466CD1">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r>
      <w:tr w14:paraId="6CBF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FF838FF">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81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CFA9BCE">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网线</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12599E80">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超5类/六类双绞线</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A88855">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 xml:space="preserve">600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0C9537">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00DDAC">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BEE425">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1200</w:t>
            </w:r>
          </w:p>
        </w:tc>
      </w:tr>
      <w:tr w14:paraId="2000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798354">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82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69F13A">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RJ45水晶头</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8465AFC">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100个/盒</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FD4A73">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6D7807">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盒</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B54ED9">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C883E1">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200</w:t>
            </w:r>
          </w:p>
        </w:tc>
      </w:tr>
      <w:tr w14:paraId="79150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467E7D">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83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A4EE23">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PVC管材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2641D7CA">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敷设线材所需的各类管材：Φ25</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0AF1B5">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 xml:space="preserve">600 </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C1D6BB">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F5A28E">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63895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2400</w:t>
            </w:r>
          </w:p>
        </w:tc>
      </w:tr>
      <w:tr w14:paraId="3D46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1A8250">
            <w:pPr>
              <w:keepNext/>
              <w:keepLines w:val="0"/>
              <w:widowControl/>
              <w:suppressLineNumbers w:val="0"/>
              <w:jc w:val="center"/>
              <w:rPr>
                <w:rFonts w:hint="default" w:ascii="宋体" w:hAnsi="宋体" w:eastAsia="宋体" w:cs="宋体"/>
                <w:color w:val="000000"/>
                <w:sz w:val="21"/>
                <w:szCs w:val="21"/>
                <w:highlight w:val="none"/>
                <w:lang w:val="en-US" w:eastAsia="zh-CN" w:bidi="ar-SA"/>
              </w:rPr>
            </w:pPr>
            <w:r>
              <w:rPr>
                <w:rFonts w:hint="eastAsia" w:ascii="宋体" w:hAnsi="宋体" w:cs="宋体"/>
                <w:i w:val="0"/>
                <w:iCs w:val="0"/>
                <w:color w:val="000000"/>
                <w:sz w:val="22"/>
                <w:szCs w:val="22"/>
                <w:u w:val="none"/>
                <w:lang w:val="en-US" w:eastAsia="zh-CN" w:bidi="ar"/>
              </w:rPr>
              <w:t>84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A610F8">
            <w:pPr>
              <w:keepNext/>
              <w:keepLines w:val="0"/>
              <w:widowControl/>
              <w:suppressLineNumbers w:val="0"/>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音频跳线</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284BCD">
            <w:pPr>
              <w:keepNext/>
              <w:keepLines w:val="0"/>
              <w:widowControl/>
              <w:suppressLineNumbers w:val="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i w:val="0"/>
                <w:iCs w:val="0"/>
                <w:color w:val="000000"/>
                <w:sz w:val="22"/>
                <w:szCs w:val="22"/>
                <w:u w:val="none"/>
                <w:lang w:val="en-US" w:eastAsia="zh-CN" w:bidi="ar"/>
              </w:rPr>
              <w:t>设备过机线、设备跳线</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58DDE08">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color w:val="000000"/>
                <w:szCs w:val="21"/>
                <w:highlight w:val="none"/>
                <w:lang w:val="en-US" w:eastAsia="zh-CN"/>
              </w:rPr>
              <w:t>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45D138">
            <w:pPr>
              <w:keepNext/>
              <w:keepLines w:val="0"/>
              <w:widowControl/>
              <w:suppressLineNumbers w:val="0"/>
              <w:jc w:val="center"/>
              <w:rPr>
                <w:rFonts w:ascii="宋体" w:hAnsi="宋体" w:eastAsia="宋体" w:cs="宋体"/>
                <w:color w:val="000000"/>
                <w:sz w:val="21"/>
                <w:szCs w:val="21"/>
                <w:highlight w:val="none"/>
                <w:lang w:val="en-US" w:eastAsia="zh-CN" w:bidi="ar-SA"/>
              </w:rPr>
            </w:pPr>
            <w:r>
              <w:rPr>
                <w:rFonts w:hint="eastAsia" w:ascii="宋体" w:hAnsi="宋体" w:eastAsia="宋体" w:cs="宋体"/>
                <w:i w:val="0"/>
                <w:iCs w:val="0"/>
                <w:color w:val="000000"/>
                <w:sz w:val="22"/>
                <w:szCs w:val="22"/>
                <w:u w:val="none"/>
                <w:lang w:val="en-US" w:eastAsia="zh-CN" w:bidi="ar"/>
              </w:rPr>
              <w:t>条</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2A023A">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15</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79EAF9">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120</w:t>
            </w:r>
          </w:p>
        </w:tc>
      </w:tr>
      <w:tr w14:paraId="2F9F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0FB291">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85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9A3BE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心理云平台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00C50E7D">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功能要求：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1、包含但不限于：创建测评、预警处理、添加人员、预约咨询四个快捷键。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2、数据包含但不限于用户统计、测评活动趋势、预警信息统计、科普浏览统计、预约统计、心理健康与行为问题监控数据。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3、可以管理学校信息包含但不限于：学校信息、第三方机构管理、移动端设置。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4、可进行角色管理、分配多角色、管理部门、查看多账号信息；可以对学生、教职工等用户搜索、导出、转移、删除、重置密码，可查看用户信息、测评任务报告、自主测评报告。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5、可以管理测评活动，包含但不限于：创建、搜索、停用、延长、提前结束、查看；可对进行补测；可导出列表、原始数据、选项统计；可对自主测评报告进行搜索、查看；可以显示自主测评报告的来源。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6、可以搜索、查看、导出用户档案。档案内容包含但不限于：姓名、账号、性别、出生日期、民族、类型、健康状况、所属部门与通过</w:t>
            </w:r>
            <w:r>
              <w:t>模板</w:t>
            </w:r>
            <w:r>
              <w:rPr>
                <w:rFonts w:hint="eastAsia" w:ascii="宋体" w:hAnsi="宋体" w:eastAsia="宋体" w:cs="宋体"/>
                <w:i w:val="0"/>
                <w:iCs w:val="0"/>
                <w:color w:val="000000"/>
                <w:sz w:val="22"/>
                <w:szCs w:val="22"/>
                <w:u w:val="none"/>
                <w:lang w:val="en-US" w:eastAsia="zh-CN" w:bidi="ar"/>
              </w:rPr>
              <w:t>收集到的用户信息；显示不同时间段个体心理测评、心理记录、心理工作、心理咨询的记录，可以下载记录；可以查看测评记录、干预记录、咨询记录、谈心谈话、评价记录、危机事件处理记录。</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测评报告包含但不限于：量表介绍、量表说明、测评结果、答题情况、所有题目选项统计、测评信息、基本信息、活动引导、阳性检测状况统计表、统计分析、建议说明、因子分析、因子名称、因子题目、因子定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8、可以隐藏或显示自主量表，可以添加、修改量表。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可分析、生成测评数据检验报告，报告可以查看、下载。报告内容包含但不限于：测评时间、报告生成时间、每组各样本差异检验统计分析、各因子差异检验统计分析，分析维度包含：样本数、平均值、标准差、方差、α显著性水平、F值、P值、t值、正态分布值。</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10、可以对科普资源、心理训练资源进行查看、搜索、置顶、可以对本学校的科普资源进行添加、删除。</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11、可以对谈心谈话、周报月报进行添加、搜索、导出操作；可以对危机事件记录进行搜索、添加、查看，危机事件记录可以上传附件。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12、可以添加、搜索、查看咨询记录，咨询记录来源包含但不限于：服务站咨询、线下咨询、预约咨询。可查看、搜索、管理评级审核。</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13、可以搜索、查看、导出、批量处理、转介心理预警人员，预警信息的来源包含但不限于：咨询记录、谈心谈话记录、自主测评。可以对转介人员进行搜索、查看、转介撤销、数据导出等操作。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14、可以对数据统计进行管理，包括综合统计、测评活动、人员数据、预警干预、咨询预约、谈心谈话、科普内容。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15、可以搜索、查看物联设备；可以查看物联设备生成的测评报告、生理检测报告，可以导出报告；可以搜索、查看通话记录；可以搜索、查看、回复心理信件，信件的来源包含但不限于移动端、物联设备。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16、可以对咨询师与功能室进行预约管理，包含但不限于：搜索、添加、查看、</w:t>
            </w:r>
            <w:r>
              <w:t>模板</w:t>
            </w:r>
            <w:r>
              <w:rPr>
                <w:rFonts w:hint="eastAsia" w:ascii="宋体" w:hAnsi="宋体" w:eastAsia="宋体" w:cs="宋体"/>
                <w:i w:val="0"/>
                <w:iCs w:val="0"/>
                <w:color w:val="000000"/>
                <w:sz w:val="22"/>
                <w:szCs w:val="22"/>
                <w:u w:val="none"/>
                <w:lang w:val="en-US" w:eastAsia="zh-CN" w:bidi="ar"/>
              </w:rPr>
              <w:t>添加、设置管理；可以编辑咨询师、功能室预约须知；可以移除失约人员。</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1D52B1">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012A79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16A4E8">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223ABF">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21000</w:t>
            </w:r>
          </w:p>
        </w:tc>
      </w:tr>
      <w:tr w14:paraId="5BC0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E737F9">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86</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8DCD82">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心理挂图</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F7083E">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1、心理学挂图包含制度、人物、宣泄、格言、积极心理、心理效应、心理实验七大类。</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2、边框采用实木材质，常规尺寸40cm*60cm，其他尺寸/材质应可支持定制。</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DD2BB7">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C97C2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幅</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1F33AF">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941030">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200</w:t>
            </w:r>
          </w:p>
        </w:tc>
      </w:tr>
      <w:tr w14:paraId="0062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DC1A9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87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456E2D">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心形助眠公仔</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E2F4E5">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1、采用卡通吉祥物造型设计，可帮助来访者快速放松、舒缓情绪。</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内置专业的心理音乐资源，具有催眠、学习、放松、冥想作用，能使来访者快速进入一个专注而平静的空间，在音乐中静静感受放松的心情，包含但不限于爱自己、聆听内心、自我修复、缓解焦虑等多种调节程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3、配备锂电池，支持Type-C接口充电。</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4、支持外放与耳机接入销换，耳机接入，外放自动静音功能。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5、设计开关机提示功能。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6、可通过左右手分别控制音量大小与功能切换</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51601B">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6A874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8FC351">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6E614F">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900</w:t>
            </w:r>
          </w:p>
        </w:tc>
      </w:tr>
      <w:tr w14:paraId="3010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EC49D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88</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71FEAE">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文件柜</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419CC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尺寸不小于850*390*1850</w:t>
            </w:r>
            <w:r>
              <w:rPr>
                <w:rFonts w:hint="eastAsia" w:ascii="宋体" w:hAnsi="宋体" w:cs="宋体"/>
                <w:i w:val="0"/>
                <w:iCs w:val="0"/>
                <w:color w:val="000000"/>
                <w:sz w:val="22"/>
                <w:szCs w:val="22"/>
                <w:u w:val="none"/>
                <w:lang w:val="en-US" w:eastAsia="zh-CN" w:bidi="ar"/>
              </w:rPr>
              <w:t>mm</w:t>
            </w:r>
            <w:r>
              <w:rPr>
                <w:rFonts w:hint="eastAsia" w:ascii="宋体" w:hAnsi="宋体" w:eastAsia="宋体" w:cs="宋体"/>
                <w:i w:val="0"/>
                <w:iCs w:val="0"/>
                <w:color w:val="000000"/>
                <w:sz w:val="22"/>
                <w:szCs w:val="22"/>
                <w:u w:val="none"/>
                <w:lang w:val="en-US" w:eastAsia="zh-CN" w:bidi="ar"/>
              </w:rPr>
              <w:t xml:space="preserve">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材质：板材采用</w:t>
            </w:r>
            <w:r>
              <w:rPr>
                <w:rFonts w:hint="eastAsia" w:ascii="宋体" w:hAnsi="宋体" w:cs="宋体"/>
                <w:i w:val="0"/>
                <w:iCs w:val="0"/>
                <w:color w:val="000000"/>
                <w:sz w:val="22"/>
                <w:szCs w:val="22"/>
                <w:u w:val="none"/>
                <w:lang w:val="en-US" w:eastAsia="zh-CN" w:bidi="ar"/>
              </w:rPr>
              <w:t>不小于</w:t>
            </w:r>
            <w:r>
              <w:rPr>
                <w:rFonts w:hint="eastAsia" w:ascii="宋体" w:hAnsi="宋体" w:eastAsia="宋体" w:cs="宋体"/>
                <w:i w:val="0"/>
                <w:iCs w:val="0"/>
                <w:color w:val="000000"/>
                <w:sz w:val="22"/>
                <w:szCs w:val="22"/>
                <w:u w:val="none"/>
                <w:lang w:val="en-US" w:eastAsia="zh-CN" w:bidi="ar"/>
              </w:rPr>
              <w:t>0.5</w:t>
            </w:r>
            <w:r>
              <w:rPr>
                <w:rFonts w:hint="eastAsia" w:ascii="宋体" w:hAnsi="宋体" w:cs="宋体"/>
                <w:i w:val="0"/>
                <w:iCs w:val="0"/>
                <w:color w:val="000000"/>
                <w:sz w:val="22"/>
                <w:szCs w:val="22"/>
                <w:u w:val="none"/>
                <w:lang w:val="en-US" w:eastAsia="zh-CN" w:bidi="ar"/>
              </w:rPr>
              <w:t>mm厚</w:t>
            </w:r>
            <w:r>
              <w:rPr>
                <w:rFonts w:hint="eastAsia" w:ascii="宋体" w:hAnsi="宋体" w:eastAsia="宋体" w:cs="宋体"/>
                <w:i w:val="0"/>
                <w:iCs w:val="0"/>
                <w:color w:val="000000"/>
                <w:sz w:val="22"/>
                <w:szCs w:val="22"/>
                <w:u w:val="none"/>
                <w:lang w:val="en-US" w:eastAsia="zh-CN" w:bidi="ar"/>
              </w:rPr>
              <w:t>冷轧钢板及五金配件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表层：柜体表面为静电喷塑，经高温烘烤，不易脱落。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DC12DAC">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839C946">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70E41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748</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A6E976">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748</w:t>
            </w:r>
          </w:p>
        </w:tc>
      </w:tr>
      <w:tr w14:paraId="692E7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EB07E3F">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89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20E601">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办公桌椅</w:t>
            </w:r>
            <w:r>
              <w:rPr>
                <w:rFonts w:hint="eastAsia"/>
                <w:lang w:val="en-US" w:eastAsia="zh-CN"/>
              </w:rPr>
              <w:t>2</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B7B275">
            <w:pPr>
              <w:keepNext/>
              <w:keepLines w:val="0"/>
              <w:widowControl/>
              <w:numPr>
                <w:ilvl w:val="0"/>
                <w:numId w:val="8"/>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尺寸：1400*700*750</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基材采用E1级环保型中密度纤维板，所有板材均经防虫防腐化学处理。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2、饰面采用厚度</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0.6mmAAA级胡桃木皮，选料是无腐、无裂痕、无虫眼和死节、不起球、防静电、阻燃、纹理自然，并经过烘干、防虫、防污、防腐处理。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3、油漆：采用环保型聚脂漆，采用封闭式油漆工艺，表面光亮平整，颜色均匀，色泽持久，漆膜饱满，手感光滑。油漆无颗粒、气泡、渣点、附着性强，涂膜强韧，封边线条均匀，间隙细小且均等。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4、导轨需耐腐蚀、无锈点。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三合一连接件表面应无锈蚀、毛刺刃口、露底，应光滑平整，应无起泡、泛黄、花斑、烧焦、裂纹、划痕、磕碰伤等缺陷；焊接部位应牢固，应无脱焊、虚焊、焊穿，焊缝均匀，应无毛刺、锐楞、飞溅、裂纹等缺陷；塑料部位表面应光洁，不应有裂纹、划伤、沙粒、疙瘩、麻点等缺陷，色泽应一致。</w:t>
            </w:r>
          </w:p>
          <w:p w14:paraId="5AD2D8C3">
            <w:pPr>
              <w:keepNext/>
              <w:keepLines w:val="0"/>
              <w:widowControl/>
              <w:numPr>
                <w:ilvl w:val="0"/>
                <w:numId w:val="0"/>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椅子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1、面  料：一级网布覆面，厚度1.3-1.5mm；经液氨多道浸色及防潮、防腐等工艺处理；</w:t>
            </w:r>
          </w:p>
          <w:p w14:paraId="56E17245">
            <w:pPr>
              <w:keepNext/>
              <w:keepLines w:val="0"/>
              <w:widowControl/>
              <w:numPr>
                <w:ilvl w:val="0"/>
                <w:numId w:val="0"/>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2、海  绵：聚胺脂定型海</w:t>
            </w:r>
            <w:r>
              <w:rPr>
                <w:rFonts w:hint="eastAsia" w:ascii="宋体" w:hAnsi="宋体" w:cs="宋体"/>
                <w:i w:val="0"/>
                <w:iCs w:val="0"/>
                <w:color w:val="000000"/>
                <w:sz w:val="22"/>
                <w:szCs w:val="22"/>
                <w:u w:val="none"/>
                <w:lang w:val="en-US" w:eastAsia="zh-CN" w:bidi="ar"/>
              </w:rPr>
              <w:t>绵</w:t>
            </w:r>
            <w:r>
              <w:rPr>
                <w:rFonts w:hint="eastAsia" w:ascii="宋体" w:hAnsi="宋体" w:eastAsia="宋体" w:cs="宋体"/>
                <w:i w:val="0"/>
                <w:iCs w:val="0"/>
                <w:color w:val="000000"/>
                <w:sz w:val="22"/>
                <w:szCs w:val="22"/>
                <w:u w:val="none"/>
                <w:lang w:val="en-US" w:eastAsia="zh-CN" w:bidi="ar"/>
              </w:rPr>
              <w:t>(模具一次成型)，泡棉密度≥35kg/m³，回弹率≥41%，不含氟氨化合物，表面涂有防止老化变形的保护膜。</w:t>
            </w:r>
          </w:p>
          <w:p w14:paraId="5F639F3D">
            <w:pPr>
              <w:keepNext/>
              <w:keepLines w:val="0"/>
              <w:widowControl/>
              <w:numPr>
                <w:ilvl w:val="0"/>
                <w:numId w:val="0"/>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3、脚　架：五星式可旋转脚架，不锈钢材质，管壁厚2mm以上。</w:t>
            </w:r>
          </w:p>
          <w:p w14:paraId="06A3B47F">
            <w:pPr>
              <w:keepNext/>
              <w:keepLines w:val="0"/>
              <w:widowControl/>
              <w:numPr>
                <w:ilvl w:val="0"/>
                <w:numId w:val="0"/>
              </w:numPr>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4、升降杆：液压升降杆。</w:t>
            </w:r>
          </w:p>
          <w:p w14:paraId="499598BE">
            <w:pPr>
              <w:keepNext/>
              <w:keepLines w:val="0"/>
              <w:widowControl/>
              <w:numPr>
                <w:ilvl w:val="0"/>
                <w:numId w:val="0"/>
              </w:numPr>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5、颜色：可选。</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EC7664">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49DE9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3EB0C6">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4B5D38">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1200</w:t>
            </w:r>
          </w:p>
        </w:tc>
      </w:tr>
      <w:tr w14:paraId="0B85E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4CFD023">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90</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38F85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办公电脑</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417BF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一、硬件部分：</w:t>
            </w:r>
          </w:p>
          <w:p w14:paraId="3AD80FF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1.国产自主品牌；</w:t>
            </w:r>
          </w:p>
          <w:p w14:paraId="0ADF988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2.机箱：机箱≤14L，支持侧板挂环锁和主板报警蜂鸣器；</w:t>
            </w:r>
          </w:p>
          <w:p w14:paraId="2C83969E">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3.处理器： 配置1颗国产X86架构CPU，每颗CPU物理核心数≥8核，每颗CPU主频≥2.7GHz，二级缓存≥8MB；</w:t>
            </w:r>
          </w:p>
          <w:p w14:paraId="5B3BFA05">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4.内存：配置≥8GB DDR4，内存插槽≥2个；</w:t>
            </w:r>
          </w:p>
          <w:p w14:paraId="37C8B5B2">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5.显卡：标配集成显卡，支持VGA+HDMI视频输出显示；</w:t>
            </w:r>
          </w:p>
          <w:p w14:paraId="52FB4A6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6.网络：1个RJ45 10/100/1000自适应以太网口；</w:t>
            </w:r>
          </w:p>
          <w:p w14:paraId="3B9E8E0D">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 xml:space="preserve">7.硬盘：配置≥512GB M.2接口NVME协议SSD，最高可支持1TB SSD，支持1块3.5英寸机械硬盘扩展，单块容量最大2T </w:t>
            </w:r>
          </w:p>
          <w:p w14:paraId="48514223">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8.机箱接口：≥1个PCIe x16，2个PCIe x1扩展槽；USB接口不少于8个（其中前置USB3.0 Type A数量≥4个，后置USB3.0接口≥2个，USB2.0接口≥2个；）；前置音频接口：麦克风1个，耳机1个；后端3个Audio音频接口；</w:t>
            </w:r>
          </w:p>
          <w:p w14:paraId="474153CF">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9.电源：电源功率≥180W；</w:t>
            </w:r>
          </w:p>
          <w:p w14:paraId="5B0A6E54">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10.显示器：与主机同品牌≥23.8寸LED商用显示器，三年上门保修，分辨率≥1920*1080，刷新频率≥75Hz，对比度≥3000:1，视频接口VGA+HDMI。</w:t>
            </w:r>
          </w:p>
          <w:p w14:paraId="1B4018B8">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11.键鼠：配置1套同主机品牌防水键盘及抗菌鼠标。</w:t>
            </w:r>
          </w:p>
          <w:p w14:paraId="7307D956">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二、软件部分：</w:t>
            </w:r>
          </w:p>
          <w:p w14:paraId="2D2CDFBA">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1.操作系统：支持UOS操作系统、银河麒麟操作系统，本次配置正版麒麟或统信国产操作系统；</w:t>
            </w:r>
          </w:p>
          <w:p w14:paraId="4AC48BF1">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三</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质量及服务保证：</w:t>
            </w:r>
          </w:p>
          <w:p w14:paraId="2F311E4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为保证售后服务质量，提供原厂三年保修服务，生产厂商指定维修网点具备第二自然日快速修复服务能力；服务响应时间：提供7</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24小时电话支持服务。</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B7FC75">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579C3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8BB858">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5900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E8B833">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5900</w:t>
            </w:r>
          </w:p>
        </w:tc>
      </w:tr>
      <w:tr w14:paraId="3A848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7FB867">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FCB64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沙发+茶几</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E29D516">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cs="宋体"/>
                <w:i w:val="0"/>
                <w:iCs w:val="0"/>
                <w:color w:val="000000"/>
                <w:sz w:val="22"/>
                <w:szCs w:val="22"/>
                <w:u w:val="none"/>
                <w:lang w:val="en-US" w:eastAsia="zh-CN" w:bidi="ar"/>
              </w:rPr>
              <w:t>2人位</w:t>
            </w:r>
            <w:r>
              <w:rPr>
                <w:rFonts w:hint="eastAsia" w:ascii="宋体" w:hAnsi="宋体" w:eastAsia="宋体" w:cs="宋体"/>
                <w:i w:val="0"/>
                <w:iCs w:val="0"/>
                <w:color w:val="000000"/>
                <w:sz w:val="22"/>
                <w:szCs w:val="22"/>
                <w:u w:val="none"/>
                <w:lang w:val="en-US" w:eastAsia="zh-CN" w:bidi="ar"/>
              </w:rPr>
              <w:t>沙发</w:t>
            </w:r>
            <w:r>
              <w:rPr>
                <w:rFonts w:hint="eastAsia" w:ascii="宋体" w:hAnsi="宋体" w:cs="宋体"/>
                <w:i w:val="0"/>
                <w:iCs w:val="0"/>
                <w:color w:val="000000"/>
                <w:sz w:val="22"/>
                <w:szCs w:val="22"/>
                <w:u w:val="none"/>
                <w:lang w:val="en-US" w:eastAsia="zh-CN" w:bidi="ar"/>
              </w:rPr>
              <w:t>一套，长度不小于1800mm；</w:t>
            </w:r>
            <w:r>
              <w:rPr>
                <w:rFonts w:hint="eastAsia" w:ascii="宋体" w:hAnsi="宋体" w:eastAsia="宋体" w:cs="宋体"/>
                <w:i w:val="0"/>
                <w:iCs w:val="0"/>
                <w:color w:val="000000"/>
                <w:sz w:val="22"/>
                <w:szCs w:val="22"/>
                <w:u w:val="none"/>
                <w:lang w:val="en-US" w:eastAsia="zh-CN" w:bidi="ar"/>
              </w:rPr>
              <w:t>茶几</w:t>
            </w:r>
            <w:r>
              <w:rPr>
                <w:rFonts w:hint="eastAsia" w:ascii="宋体" w:hAnsi="宋体" w:cs="宋体"/>
                <w:i w:val="0"/>
                <w:iCs w:val="0"/>
                <w:color w:val="000000"/>
                <w:sz w:val="22"/>
                <w:szCs w:val="22"/>
                <w:u w:val="none"/>
                <w:lang w:val="en-US" w:eastAsia="zh-CN" w:bidi="ar"/>
              </w:rPr>
              <w:t>1个，长度不小于1200mm</w:t>
            </w:r>
            <w:r>
              <w:rPr>
                <w:rFonts w:hint="eastAsia" w:ascii="宋体" w:hAnsi="宋体" w:eastAsia="宋体" w:cs="宋体"/>
                <w:i w:val="0"/>
                <w:iCs w:val="0"/>
                <w:color w:val="000000"/>
                <w:sz w:val="22"/>
                <w:szCs w:val="22"/>
                <w:u w:val="none"/>
                <w:lang w:val="en-US" w:eastAsia="zh-CN" w:bidi="ar"/>
              </w:rPr>
              <w:t>,面料: 绒布，实木框架。布艺沙发、颜色：军绿色、灰色、蓝色等。实木框架 海绵填充。</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茶几适合整体风格</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0CA1D3">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FD19B0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0E7F35">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FAB568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6000</w:t>
            </w:r>
          </w:p>
        </w:tc>
      </w:tr>
      <w:tr w14:paraId="6FC2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E66B8D">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92</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C84FEE">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心理沙盘</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E27E6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产品配置：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1、标准沙盘1套：内侧尺寸≥720×570×70mm，边厚≥17mm，采用全实木材质，内侧海蓝色设计，表面光滑不伤手，耐磨不掉色，底部安装防滑处理，上下分体式安装，便于移动和搬运。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2、沙具摆放柜1套：尺寸≥1600×1200×300mm，5层9阶设计，充分满足不同类别沙具按不同阶层分类摆放的要求，便于来访者清晰地看到全部沙具，采用全实木材质，结构稳定，天然木纹色。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3、沙具≥600个：包括人物、动物、植物、建筑物、食品果实、家具生活用品、交通工具、自然景观、宗教等18大类及若干次类别，材质采用树脂、陶瓷、ABS工程塑料等。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4、沙子≥25kg：天然专用海沙。</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5、沙盘辅助工具1套：包括沙耙、沙刷、沙铲、沙桶、水壶，可用于选取沙具，盛放、移动沙子或清水；心理学挂图不少于4幅，标准皮蹲不少于4个。</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CF2512A">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C684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14C78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5600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70680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5600</w:t>
            </w:r>
          </w:p>
        </w:tc>
      </w:tr>
      <w:tr w14:paraId="045A8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EBDF90">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93</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186E57">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心理健康多为精灵</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6E029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一、功能要求：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1、含趣味测试、专业测试。</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2、阅读材料包含但不限于人际交往、励志、情绪调节、自我成长四大类主题资源。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3、含电影赏析、科普动画、认识心理等视频资源。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4、包含但不限于古今中外专家、专有名词、心理学实验、心理效应等资源。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5、包含但不限于不可能图、养生调理、多视图片、情感交往类、视觉后像、错觉图片、似动图片、双关图片、家庭教育类、社会公德类、认知提升类等心理图库。</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6、包含但不限于心灵电台、放松音乐、正念冥想等功能模块。</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7、可通过单一指夹传感器实时采集脉搏（包含实时波形、心跳频率、灌注指数）、血氧指数、呼吸频率三通道的生理指标，生理指标采集完成后可自动分析，生成健康检测报告。</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8、含趣味互动游戏，击打、弹奏音乐等。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9、包含但不限于爱心类、欢乐类、激励类、家庭类、建筑类、美景类、幽默类、友善类等绘画交互练习。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10、包含但不限于唤醒激发、自助平衡、整合统一等绘画练习。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11、含意向绘画练习。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12、包含但不限于人物、交通、建筑、动物、植物、自然、军事、家居等类别沙具。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13、可进行沙具呈现、换沙标记、画水清除、文本标记、沙具缩放、沙具扭转、天气转换（包含雨、雪、阴、晴）、记录、说明、分析（生成报告）等沙盘操作。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14、可以不断清除代表负面情绪的自由落体情绪头像（包含紧张、猜疑、愤怒、嘲讽、失落、悲伤、疲惫、欺辱等），达到宣泄、释放的目的。</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二、配置要求：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1、电容触摸终端：显示尺寸≥10英寸电，分辨率≥1920×1200，运行内存≥4G，存储内存≥128G。</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2、指夹式健康检测传感器一个。</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B2FEBD">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0B415B2">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468B41">
            <w:pPr>
              <w:keepNext/>
              <w:keepLines w:val="0"/>
              <w:widowControl/>
              <w:suppressLineNumbers w:val="0"/>
              <w:jc w:val="center"/>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11000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DAE933">
            <w:pPr>
              <w:keepNext/>
              <w:keepLines w:val="0"/>
              <w:widowControl/>
              <w:suppressLineNumbers w:val="0"/>
              <w:jc w:val="right"/>
              <w:rPr>
                <w:rFonts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11000</w:t>
            </w:r>
          </w:p>
        </w:tc>
      </w:tr>
      <w:tr w14:paraId="0EB8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F8188F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C96B45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呐喊宣泄仪</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0591E8">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1、通过正性引导，采用呐喊方式，帮助来访者释放负面情绪、发泄内心怨气，并针对性地进行情绪疏导与鼓励。</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2、机身具有采用软包设计。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3、包含但不限于疏导学习工作压力、缓解人际关系社交障碍、克服紧张情绪交流、释放为其情绪心理郁闷、战胜自卑情绪激发咨询等宣泄主题，宣泄过程中引导语智能反馈引导宣泄时间和强度。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4、引导语能切换男、女声，并自动记忆音量大小，男女声选择后，自动设定为下次开机的默认值。</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5、采用麦克风传感器，不低于500Hz采样频率，能准确记录呐喊音量数值，分析呐喊分贝值、持续时间、频率及变化。</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音乐放松：可以通过音乐疗法、潜意识疏导、心理投射等多种心理疏导技巧进行心理健康调节、稳定个体情绪、协调自我生理状态的疏导系统。为用户提供适宜的减压途径，以达到心理放松和身心健康的目的。</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7、≥7英寸触摸面板，用于宣泄主题选择。</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4B0CC7">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5F9E4C">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BC68DE">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18984</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744764">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18984</w:t>
            </w:r>
          </w:p>
        </w:tc>
      </w:tr>
      <w:tr w14:paraId="4F3F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D386E0">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51311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宣泄套装</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0309C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仿真宣泄人：采用成人男性全身仿真造型，模具一体成型，高回弹缓冲内芯，弹性可以模拟人体肌肉，击打手感且不易造成伤害，整体高度不低于180cm，手臂与手指可以任意调节，手指采用五指分开设计，可握拳，可出掌，摆出不同的姿势，从而的引导宣泄欲望。反馈发声系统采用薄膜振动感应技术，可检测到振动，内置七种不同的求饶声，适合青少年与成人使用，底座可选择注沙或注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2、硅胶宣泄人：采用十字人造型，高弹硅胶材质，质感，弹性可以模拟人体肌肉，击打手感且不易造成伤害，整体高度不低于170cm，适合青少年与成人使用，底座可选择注沙或注水。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速度宣泄球：击打部分内胆采用PVC塑胶材质，外层采用PU皮包裹，柔软、防滑、抗裂，与底座之间使用高弹回力连接簧，整体高度可在120cm至150cm之间灵活调整，可适应不同身高，击打部分需充气使用，底座可选择注沙或注水。</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4、充气宣泄棒：内胆采用PVC塑胶材质，外层材质柔软、防滑、抗裂，需充气使用，长度不低于70cm。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5、宣泄手套不少于2副。</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2D87878">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912F5DF">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E478E4">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7800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3E9FA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7800</w:t>
            </w:r>
          </w:p>
        </w:tc>
      </w:tr>
      <w:tr w14:paraId="00074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C886FAE">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96</w:t>
            </w:r>
            <w:r>
              <w:rPr>
                <w:rFonts w:hint="eastAsia" w:ascii="宋体" w:hAnsi="宋体" w:eastAsia="宋体" w:cs="宋体"/>
                <w:i w:val="0"/>
                <w:iCs w:val="0"/>
                <w:color w:val="000000"/>
                <w:sz w:val="22"/>
                <w:szCs w:val="22"/>
                <w:u w:val="none"/>
                <w:lang w:val="en-US" w:eastAsia="zh-CN" w:bidi="ar"/>
              </w:rPr>
              <w:t xml:space="preserve">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5CC21CF">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音箱</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6957E3">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1、额定功率：≥250W；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2、频率响应：45Hz - 18000Hz；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3、灵敏度：≥96dB；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4、低音单元：10"× 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5、高音单元：3"× 4；</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6、峰值功率：≥800W；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7、额定阻抗：4-8Ω</w:t>
            </w:r>
            <w:r>
              <w:rPr>
                <w:rFonts w:hint="eastAsia" w:ascii="宋体" w:hAnsi="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A96BA0">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4</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86F7D01">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41DB12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2150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AC31A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8600</w:t>
            </w:r>
          </w:p>
        </w:tc>
      </w:tr>
      <w:tr w14:paraId="0097D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2DD517">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97</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06B7A0B">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功放</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683B345">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1、独立的左右静音功能，能瞬间控制现场节奏和气氛</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2、超静音温控风扇设计散热系统能自动调节风扇速度，小信号时低速运转，大功率时风扇自动调节提高 风扇转速，保证了设备的安全可靠；</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3、面板支持8Ω/4Ω一键切换功能；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4、面板能显示功放工作状态（即时温度/故障点），工作模式（桥接/立体声音）；</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5、机器背板支持卡侬(XLR)全平衡输入，6.35双接口输入，莲花座立体声插口输入，降低噪声，带卡侬 （XLR）平衡输出插座，多台功率放大器可同时并联使用；</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6、预留RJ45-8P及D-SUB控制接口，后续按需配置后可控制和升级设备；</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t>7、内置完美的智能保护电路,有效延长了机器的使用寿命；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8、立体声,桥接,二种工作方式可供选择；</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9、内置削波限制器；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10、根据温度变化调整输出功率的温度控制系统.无论是短路,长时间满载连续工作,或正常范围,机器都能处于正常的工作状态。</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主要技术参数：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1、立体声功率≥8Ω（450W*2）, 4Ω（700W*2）；</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2、桥接功率≥8Ω（1200W）；</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3、频率响应：20Hz-20KHz（-0.25dB)；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4、输入灵敏度：0.775V/1.2V；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5、总谐波失真THD（1KHZ，正常工作条件）：≤0.09%；</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6、输入阻抗：20KΩ；</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7、信号信噪比（A计权）：≥102dB；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8、信道分离度：≥70dB；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9、阻尼系数：≥350；</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10、转换速率：40V/μS；</w:t>
            </w:r>
            <w:r>
              <w:rPr>
                <w:rFonts w:hint="eastAsia" w:ascii="宋体" w:hAnsi="宋体" w:eastAsia="宋体" w:cs="宋体"/>
                <w:i w:val="0"/>
                <w:iCs w:val="0"/>
                <w:color w:val="000000"/>
                <w:sz w:val="22"/>
                <w:szCs w:val="22"/>
                <w:u w:val="none"/>
                <w:lang w:val="en-US" w:eastAsia="zh-CN" w:bidi="ar"/>
              </w:rPr>
              <w:br w:type="textWrapping" w:clear="all"/>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2764E6D">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509A2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9F2DDB9">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4250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00A70A">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8500</w:t>
            </w:r>
          </w:p>
        </w:tc>
      </w:tr>
      <w:tr w14:paraId="1FA0A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B6FF3D">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98</w:t>
            </w:r>
            <w:r>
              <w:rPr>
                <w:rFonts w:hint="eastAsia" w:ascii="宋体" w:hAnsi="宋体" w:eastAsia="宋体" w:cs="宋体"/>
                <w:i w:val="0"/>
                <w:iCs w:val="0"/>
                <w:color w:val="000000"/>
                <w:sz w:val="22"/>
                <w:szCs w:val="22"/>
                <w:u w:val="none"/>
                <w:lang w:val="en-US" w:eastAsia="zh-CN" w:bidi="ar"/>
              </w:rPr>
              <w:t xml:space="preserve">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177993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1"/>
                <w:szCs w:val="21"/>
                <w:u w:val="none"/>
                <w:lang w:val="en-US" w:eastAsia="zh-CN" w:bidi="ar"/>
              </w:rPr>
              <w:t>话筒</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B02D7A">
            <w:pPr>
              <w:keepNext/>
              <w:keepLines w:val="0"/>
              <w:widowControl/>
              <w:suppressLineNumbers w:val="0"/>
              <w:jc w:val="left"/>
              <w:rPr>
                <w:rFonts w:hint="eastAsia" w:ascii="宋体" w:hAnsi="宋体" w:eastAsia="宋体" w:cs="宋体"/>
                <w:color w:val="000000"/>
                <w:sz w:val="21"/>
                <w:szCs w:val="21"/>
                <w:highlight w:val="none"/>
              </w:rPr>
            </w:pPr>
            <w:r>
              <w:rPr>
                <w:rFonts w:hint="eastAsia" w:ascii="宋体" w:hAnsi="宋体" w:eastAsia="宋体" w:cs="宋体"/>
                <w:i w:val="0"/>
                <w:iCs w:val="0"/>
                <w:color w:val="000000"/>
                <w:sz w:val="21"/>
                <w:szCs w:val="21"/>
                <w:u w:val="none"/>
                <w:lang w:val="en-US" w:eastAsia="zh-CN" w:bidi="ar"/>
              </w:rPr>
              <w:t>主要功能：</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1、UHF超高频段；</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2、DDS直接数字频率合成技术，提供更多频道使用，提供2*100个频道选择 更容易多套机器同时使用，避开干扰；</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3、全新数字导频技术，抗干扰性能更好；</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4、IR红外对频技术，AUTO SCAN功能，自动搜索无干扰信道；</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5、发射器高低发射功率调整功能，按键锁功能，防止误操作；</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6、液晶显示屏，使接收机和发射机的工作状态；</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7、主机双屏显示；</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8、多功能飞梭旋钮控制，数字音量按键；</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9、红外对频可手持任意互换使用；</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10、手持具备1.2.3级灵敏度调节；</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11、手持具备自动感应功能，离手3秒自动静音，15分钟自动关机，此功能可自由开启或者关闭(出厂默认开启)；</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12、天线接口：BNC，</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13、标配5号镍氢充电电池，3300mAh，可连续使用8小时(标配4节充电电池，一个四充充电器)。</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主要技术参数：</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1、频率范围：630MHZ-690MHZ；</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2、频率稳定度：±10ppm；</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3、动态范围：≥100dB(A)；</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4、综合信噪比：≥103dB；</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5、综合频率响应范围：40HZ-18KHZ(3dB)；</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6、综合失真度：≤0.3%；</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7、信道数目：2*100；</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8、信道间距：250KHZ；</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9、使用距离：约80米(开阔工作环境)；</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10、接收灵敏度：-103dBm --- -98dBm；</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11、接收天线接口：BNC(50Ω)；</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12、接收音频输出：平衡输出和混合输出；</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13、接收机电源：12V500mA；</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14、发射调制模式：FM调制(最大±75KHZ)；</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15、发射功率：≤20mW；</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16、发射谐波抑制：≥60dB；</w:t>
            </w:r>
            <w:r>
              <w:rPr>
                <w:rFonts w:hint="eastAsia" w:ascii="宋体" w:hAnsi="宋体" w:eastAsia="宋体" w:cs="宋体"/>
                <w:i w:val="0"/>
                <w:iCs w:val="0"/>
                <w:color w:val="000000"/>
                <w:sz w:val="21"/>
                <w:szCs w:val="21"/>
                <w:u w:val="none"/>
                <w:lang w:val="en-US" w:eastAsia="zh-CN" w:bidi="ar"/>
              </w:rPr>
              <w:br w:type="textWrapping" w:clear="all"/>
            </w:r>
            <w:r>
              <w:rPr>
                <w:rFonts w:hint="eastAsia" w:ascii="宋体" w:hAnsi="宋体" w:eastAsia="宋体" w:cs="宋体"/>
                <w:i w:val="0"/>
                <w:iCs w:val="0"/>
                <w:color w:val="000000"/>
                <w:sz w:val="21"/>
                <w:szCs w:val="21"/>
                <w:u w:val="none"/>
                <w:lang w:val="en-US" w:eastAsia="zh-CN" w:bidi="ar"/>
              </w:rPr>
              <w:t>17、发射天线：内置或外置1/4波长天线；</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B27AA4">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1FE858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005EA7">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1963</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9970D32">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1963</w:t>
            </w:r>
          </w:p>
        </w:tc>
      </w:tr>
      <w:tr w14:paraId="6635D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722F9EB">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99</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8D0C7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调音台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5EE12E5">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 xml:space="preserve">1、八路话筒输入，4路（2组）立体声输入；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2、单声道输入具备对应DIRECT OUTPUT直接输出接口；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3、每路输入通道具备单独的输入信号GAIN增益调节控制旋钮</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4、单声道输入具备单独的PAD衰减开关，以及NOISE GATE噪声门开关以禁止通道的无用信号(底噪)通过</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5、每路输入通道具备单独的+48V幻象电源开关；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6、每路输入通道具备单独的高中低3段EQ均衡器；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7、每路输入通道具备单独的AUX1、AUX2/FX发送旋钮；</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8、每路输入通道具备单独的PAN声像定位调节控制旋钮，可调节此路声源在空间的分布图像</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9、每路输入通道具备单独的RGB通道开关指示；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10、60mm推子，高分析，寿命长，手感平滑；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11、每路输入/FX各单独一个推子控制；左右主输出，两个推子独立控制；两编组输出，两个推子独立控制；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12、每路输入通道具备单独的ST/G1-G2总线分配开关，可将信号输出到对应总线</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13、每路输入通道具备单独的PFL监听开关，方便监听此通道信号；</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14、具备1组2TR立体声输入，1组REC OUT录音输出，2路AUX1/AUX2发送接口，1路PHONES耳机监听输出，1组RETURN返回接收接口，2路MAIN OUTPUT主输出，2路G1/G2编组输出；</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15、话筒输入可选择卡龙或6.35接口，立体声输入可选择RCA或6.35接口；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16、带恒流源的分布式 A 类麦克风放大器；</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17、支持USB音乐播放器，包含常用的录音、蓝牙功能，可播放无损格式音乐；</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18、USB与一路立体声切换，USB可独立调节；MP3与一路立体声切换，MP3可独立调节；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19、支持高级DSP效果器：24种预置效果，效果可加入主输出，也可加入编组输出；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20、LED显示24-bit/192KHz 2进/2出 USB音频；</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21、双列电平指示标，准确显示电平大小；</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设备参数：</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1、音频输入：至大输入电平：+10dBu/至小输入电平-58dBu；</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2、PAD定值衰减：衰减值15dB；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3、音频输出：至大输出电平：+20dBu/标准输出电平+4dBu；</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4、信噪比S/N：90dB；</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5、均衡：±15dB，高频10KHz/中频250Hz-8KHz/低频60Hz；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6、频率响应：20Hz-20KHz；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7、总谐波失真：0.015% 0dB 1KHz；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8、幻象电压：48V；</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9、消耗功率：25W； </w:t>
            </w:r>
            <w:r>
              <w:rPr>
                <w:rFonts w:hint="eastAsia" w:ascii="宋体" w:hAnsi="宋体" w:eastAsia="宋体" w:cs="宋体"/>
                <w:i w:val="0"/>
                <w:iCs w:val="0"/>
                <w:color w:val="000000"/>
                <w:sz w:val="22"/>
                <w:szCs w:val="22"/>
                <w:u w:val="none"/>
                <w:lang w:val="en-US" w:eastAsia="zh-CN" w:bidi="ar"/>
              </w:rPr>
              <w:br w:type="textWrapping" w:clear="all"/>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5FE162D">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870647">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C41C90">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3260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46707C">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3260</w:t>
            </w:r>
          </w:p>
        </w:tc>
      </w:tr>
      <w:tr w14:paraId="1C4A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419EC01">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100</w:t>
            </w:r>
            <w:r>
              <w:rPr>
                <w:rFonts w:hint="eastAsia" w:ascii="宋体" w:hAnsi="宋体" w:eastAsia="宋体" w:cs="宋体"/>
                <w:i w:val="0"/>
                <w:iCs w:val="0"/>
                <w:color w:val="000000"/>
                <w:sz w:val="22"/>
                <w:szCs w:val="22"/>
                <w:u w:val="none"/>
                <w:lang w:val="en-US" w:eastAsia="zh-CN" w:bidi="ar"/>
              </w:rPr>
              <w:t xml:space="preserve">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FF732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音频处理器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B2CBEB">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主要功能：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1、不低于96k24 Bit采样率；</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2、输入≥15段PEQ，输出≥10段PEQ可调，带高低架和全通滤波器，输入输出都带48阶高低通分频器；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3、扩声系统调试高级DSP算法：全通滤波器ALLpass，调节喇叭或音箱的分频点相位耦合，解决音箱的声相位干涉问题；</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4、有限脉冲响应滤波器FIR，实现调试EQ和分频不影响相位，更可以实现相位校正功能；</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可以通过第三方软件设置音箱的相位曲线参数，导入到处理器后实现音箱系统的声相位优化，获得更准确的声音还原效果；输入配置256-1024阶FIR滤波器，输出配置256-512阶FIR滤波器，同时提供11种不同特性的窗函数滤波器应用；</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6、Dynamic EQ动态均衡，可以针对音频某段频率达到某个阈值，进行0-12dB的提升或衰减操作，可以弥补音箱系统的缺陷(中高频刺耳或者低频不足等)，也可以实现扩音系统的自动均衡功能，可以发挥一致的效果；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7、USB免驱自动连接软件，另外支持RS232中控控制，支持TCPIP局域网远程控制；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8、可通过USB/RS232/TCPIP多个接口连接控制设备，TCPIP控制口还可以实现局域网远程、多台设备控制，多台设备同步参数，联调参数等强大功能；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9、支持存档加锁，避免误操作或人为扰乱处理器参数，维持系统稳定，也可以保密音箱调试的参数；存档支持开机档设置，可设置自动保存所有即时调试的参数，也可设置唯一的开机状态参数，满足不同的系统维护需求；                                          </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10、支持安卓系统APP TCON无线控制。</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DB3EFB2">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B243EF">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8CDAD3">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3890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661F29">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3890</w:t>
            </w:r>
          </w:p>
        </w:tc>
      </w:tr>
      <w:tr w14:paraId="3862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E22F8DF">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101</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F89859">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机柜</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CDBF01">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22U，尺寸：600*600*1200mm</w:t>
            </w:r>
            <w:r>
              <w:rPr>
                <w:rFonts w:hint="eastAsia" w:ascii="宋体" w:hAnsi="宋体" w:cs="宋体"/>
                <w:i w:val="0"/>
                <w:iCs w:val="0"/>
                <w:color w:val="000000"/>
                <w:sz w:val="22"/>
                <w:szCs w:val="22"/>
                <w:u w:val="none"/>
                <w:lang w:val="en-US" w:eastAsia="zh-CN" w:bidi="ar"/>
              </w:rPr>
              <w:t>（±5mm）</w:t>
            </w:r>
            <w:r>
              <w:rPr>
                <w:rFonts w:hint="eastAsia" w:ascii="宋体" w:hAnsi="宋体" w:eastAsia="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76CB9C">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22CBF3D">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套</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A79EB7">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738E1AC">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800</w:t>
            </w:r>
          </w:p>
        </w:tc>
      </w:tr>
      <w:tr w14:paraId="745D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23D7CF">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102</w:t>
            </w:r>
            <w:r>
              <w:rPr>
                <w:rFonts w:hint="eastAsia" w:ascii="宋体" w:hAnsi="宋体" w:eastAsia="宋体" w:cs="宋体"/>
                <w:i w:val="0"/>
                <w:iCs w:val="0"/>
                <w:color w:val="000000"/>
                <w:sz w:val="22"/>
                <w:szCs w:val="22"/>
                <w:u w:val="none"/>
                <w:lang w:val="en-US" w:eastAsia="zh-CN" w:bidi="ar"/>
              </w:rPr>
              <w:t xml:space="preserve">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C3885A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电源管理器</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BADD06">
            <w:pPr>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1、8路可控、1路直通电源时序器，实时监控电源电压的LED显示窗口；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2、可选的旁路单通道，并带有USB灯光接口；</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3、内含微控制器，从1路到8路顺序开机和从8路到1路逆序关机，</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4、1路单独不可控交流直通输出（前面板），可接常开电源设备，避免误操作；</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5、8路自锁开关；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6、单路最大输出电流13A；</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7、R232开放控制协议，可满足中央控制器与PC机控制要求；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 xml:space="preserve">8、可实现远程集中控制。 </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90E505">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7014880">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台</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D7B841">
            <w:pPr>
              <w:keepNext/>
              <w:keepLines w:val="0"/>
              <w:widowControl/>
              <w:suppressLineNumbers w:val="0"/>
              <w:jc w:val="center"/>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1440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9A99460">
            <w:pPr>
              <w:keepNext/>
              <w:keepLines w:val="0"/>
              <w:widowControl/>
              <w:suppressLineNumbers w:val="0"/>
              <w:jc w:val="righ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1440</w:t>
            </w:r>
          </w:p>
        </w:tc>
      </w:tr>
      <w:tr w14:paraId="3A635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DF7EC2">
            <w:pPr>
              <w:keepNext/>
              <w:keepLines w:val="0"/>
              <w:widowControl/>
              <w:suppressLineNumbers w:val="0"/>
              <w:jc w:val="center"/>
              <w:rPr>
                <w:rFonts w:hint="eastAsia" w:ascii="宋体" w:hAnsi="宋体" w:eastAsia="宋体" w:cs="宋体"/>
                <w:color w:val="000000"/>
                <w:szCs w:val="21"/>
                <w:highlight w:val="none"/>
                <w:lang w:val="en-US" w:eastAsia="zh-CN"/>
              </w:rPr>
            </w:pPr>
            <w:r>
              <w:rPr>
                <w:rFonts w:hint="eastAsia" w:ascii="宋体" w:hAnsi="宋体" w:cs="宋体"/>
                <w:i w:val="0"/>
                <w:iCs w:val="0"/>
                <w:color w:val="000000"/>
                <w:sz w:val="22"/>
                <w:szCs w:val="22"/>
                <w:u w:val="none"/>
                <w:lang w:val="en-US" w:eastAsia="zh-CN" w:bidi="ar"/>
              </w:rPr>
              <w:t>103</w:t>
            </w:r>
            <w:r>
              <w:rPr>
                <w:rFonts w:hint="eastAsia" w:ascii="宋体" w:hAnsi="宋体" w:eastAsia="宋体" w:cs="宋体"/>
                <w:i w:val="0"/>
                <w:iCs w:val="0"/>
                <w:color w:val="000000"/>
                <w:sz w:val="22"/>
                <w:szCs w:val="22"/>
                <w:u w:val="none"/>
                <w:lang w:val="en-US" w:eastAsia="zh-CN" w:bidi="ar"/>
              </w:rPr>
              <w:t xml:space="preserve"> </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564D25">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主持台</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67CEFDA">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11.规格：≥60*40*105cm；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2.基材：采用高密度板，环保符合囯家安全标准，按不同的功能用途可选择不同的厚度；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3.油漆：采用环保漆，经过三底两面喷涂，温烤环节终成型：可按油漆色板，要求选择有同的色彩搭配，无味，甲醛达到囯家标准。（油漆颜色可选）</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B6C5C29">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28D7A18">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个</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A48F582">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r>
              <w:rPr>
                <w:rFonts w:hint="eastAsia" w:ascii="宋体" w:hAnsi="宋体" w:cs="宋体"/>
                <w:i w:val="0"/>
                <w:iCs w:val="0"/>
                <w:color w:val="000000"/>
                <w:sz w:val="22"/>
                <w:szCs w:val="22"/>
                <w:u w:val="none"/>
                <w:lang w:val="en-US" w:eastAsia="zh-CN" w:bidi="ar"/>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AE56E7">
            <w:pPr>
              <w:keepNext/>
              <w:keepLines w:val="0"/>
              <w:widowControl/>
              <w:suppressLineNumbers w:val="0"/>
              <w:jc w:val="right"/>
              <w:rPr>
                <w:rFonts w:hint="default" w:ascii="宋体" w:hAnsi="宋体" w:eastAsia="宋体" w:cs="宋体"/>
                <w:i w:val="0"/>
                <w:iCs w:val="0"/>
                <w:color w:val="000000"/>
                <w:sz w:val="22"/>
                <w:szCs w:val="22"/>
                <w:u w:val="none"/>
                <w:lang w:val="en-US" w:eastAsia="zh-CN" w:bidi="ar"/>
              </w:rPr>
            </w:pPr>
          </w:p>
        </w:tc>
      </w:tr>
      <w:tr w14:paraId="21EE4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37F811F">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104</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0D4139A">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会议椅子</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7EBB30D">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产品规格：座中心距（扶手中对中）：530mm，椅深788mm，椅高：812mm，座高：443mm，座深：440mm。排距：900mm。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材质参数说明</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1、椅背：前排背板高750</w:t>
            </w:r>
            <w:r>
              <w:rPr>
                <w:rFonts w:hint="eastAsia" w:ascii="宋体" w:hAnsi="宋体" w:cs="宋体"/>
                <w:i w:val="0"/>
                <w:iCs w:val="0"/>
                <w:color w:val="000000"/>
                <w:sz w:val="22"/>
                <w:szCs w:val="22"/>
                <w:u w:val="none"/>
                <w:lang w:val="en-US" w:eastAsia="zh-CN" w:bidi="ar"/>
              </w:rPr>
              <w:t>mm×</w:t>
            </w:r>
            <w:r>
              <w:rPr>
                <w:rFonts w:hint="eastAsia" w:ascii="宋体" w:hAnsi="宋体" w:eastAsia="宋体" w:cs="宋体"/>
                <w:i w:val="0"/>
                <w:iCs w:val="0"/>
                <w:color w:val="000000"/>
                <w:sz w:val="22"/>
                <w:szCs w:val="22"/>
                <w:u w:val="none"/>
                <w:lang w:val="en-US" w:eastAsia="zh-CN" w:bidi="ar"/>
              </w:rPr>
              <w:t>宽530</w:t>
            </w:r>
            <w:r>
              <w:rPr>
                <w:rFonts w:hint="eastAsia" w:ascii="宋体" w:hAnsi="宋体" w:cs="宋体"/>
                <w:i w:val="0"/>
                <w:iCs w:val="0"/>
                <w:color w:val="000000"/>
                <w:sz w:val="22"/>
                <w:szCs w:val="22"/>
                <w:u w:val="none"/>
                <w:lang w:val="en-US" w:eastAsia="zh-CN" w:bidi="ar"/>
              </w:rPr>
              <w:t>mm</w:t>
            </w:r>
            <w:r>
              <w:rPr>
                <w:rFonts w:hint="eastAsia" w:ascii="宋体" w:hAnsi="宋体" w:eastAsia="宋体" w:cs="宋体"/>
                <w:i w:val="0"/>
                <w:iCs w:val="0"/>
                <w:color w:val="000000"/>
                <w:sz w:val="22"/>
                <w:szCs w:val="22"/>
                <w:u w:val="none"/>
                <w:lang w:val="en-US" w:eastAsia="zh-CN" w:bidi="ar"/>
              </w:rPr>
              <w:t>（</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厚≥12mm，中排背板高540mm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宽530mm（</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厚≥12mm，背板采用厚≥12mm多层板经模具热压成型并双面压防火板，封边采用PVC热熔封边处理，自然环保，耐磨、防污、具有很强的抗击力和承载能力。</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2、椅座：深383mm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宽450</w:t>
            </w:r>
            <w:r>
              <w:rPr>
                <w:rFonts w:hint="eastAsia" w:ascii="宋体" w:hAnsi="宋体" w:cs="宋体"/>
                <w:i w:val="0"/>
                <w:iCs w:val="0"/>
                <w:color w:val="000000"/>
                <w:sz w:val="22"/>
                <w:szCs w:val="22"/>
                <w:u w:val="none"/>
                <w:lang w:val="en-US" w:eastAsia="zh-CN" w:bidi="ar"/>
              </w:rPr>
              <w:t>mm</w:t>
            </w:r>
            <w:r>
              <w:rPr>
                <w:rFonts w:hint="eastAsia" w:ascii="宋体" w:hAnsi="宋体" w:eastAsia="宋体" w:cs="宋体"/>
                <w:i w:val="0"/>
                <w:iCs w:val="0"/>
                <w:color w:val="000000"/>
                <w:sz w:val="22"/>
                <w:szCs w:val="22"/>
                <w:u w:val="none"/>
                <w:lang w:val="en-US" w:eastAsia="zh-CN" w:bidi="ar"/>
              </w:rPr>
              <w:t>（</w:t>
            </w:r>
            <w:r>
              <w:rPr>
                <w:rFonts w:hint="eastAsia" w:ascii="宋体" w:hAnsi="宋体" w:cs="宋体"/>
                <w:i w:val="0"/>
                <w:iCs w:val="0"/>
                <w:color w:val="000000"/>
                <w:sz w:val="22"/>
                <w:szCs w:val="22"/>
                <w:u w:val="none"/>
                <w:lang w:val="en-US" w:eastAsia="zh-CN" w:bidi="ar"/>
              </w:rPr>
              <w:t>以上尺寸允许偏差±5mm）×</w:t>
            </w:r>
            <w:r>
              <w:rPr>
                <w:rFonts w:hint="eastAsia" w:ascii="宋体" w:hAnsi="宋体" w:eastAsia="宋体" w:cs="宋体"/>
                <w:i w:val="0"/>
                <w:iCs w:val="0"/>
                <w:color w:val="000000"/>
                <w:sz w:val="22"/>
                <w:szCs w:val="22"/>
                <w:u w:val="none"/>
                <w:lang w:val="en-US" w:eastAsia="zh-CN" w:bidi="ar"/>
              </w:rPr>
              <w:t>厚≥1</w:t>
            </w:r>
            <w:r>
              <w:rPr>
                <w:rFonts w:hint="eastAsia" w:ascii="宋体" w:hAnsi="宋体" w:cs="宋体"/>
                <w:i w:val="0"/>
                <w:iCs w:val="0"/>
                <w:color w:val="000000"/>
                <w:sz w:val="22"/>
                <w:szCs w:val="22"/>
                <w:u w:val="none"/>
                <w:lang w:val="en-US" w:eastAsia="zh-CN" w:bidi="ar"/>
              </w:rPr>
              <w:t>5</w:t>
            </w:r>
            <w:r>
              <w:rPr>
                <w:rFonts w:hint="eastAsia" w:ascii="宋体" w:hAnsi="宋体" w:eastAsia="宋体" w:cs="宋体"/>
                <w:i w:val="0"/>
                <w:iCs w:val="0"/>
                <w:color w:val="000000"/>
                <w:sz w:val="22"/>
                <w:szCs w:val="22"/>
                <w:u w:val="none"/>
                <w:lang w:val="en-US" w:eastAsia="zh-CN" w:bidi="ar"/>
              </w:rPr>
              <w:t>mm，采用厚≥15mm多层实木板经模具热压成型并双面压防火板，封边采用油漆封边，自然环保，耐磨、防污、具有很强的抗击力和承载能力。</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3、桌面板：采用内芯厚度≥25mm刨花板，宽度</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300mm，经模具热压成型并双面压防火板。封边采用≥1.5mm厚PVC热熔封边处理。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4、桌面支撑件：采用≥1.5mm厚冷轧钢板冲压成型，无毛刺，无焊接；表面经喷涂处理，防锈蚀；</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5、横梁：采用60mm</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t>30mm</w:t>
            </w:r>
            <w:r>
              <w:rPr>
                <w:rFonts w:hint="eastAsia" w:ascii="宋体" w:hAnsi="宋体" w:cs="宋体"/>
                <w:i w:val="0"/>
                <w:iCs w:val="0"/>
                <w:color w:val="000000"/>
                <w:sz w:val="22"/>
                <w:szCs w:val="22"/>
                <w:u w:val="none"/>
                <w:lang w:val="en-US" w:eastAsia="zh-CN" w:bidi="ar"/>
              </w:rPr>
              <w:t>（以上尺寸允许偏差±2mm）</w:t>
            </w:r>
            <w:r>
              <w:rPr>
                <w:rFonts w:hint="eastAsia" w:ascii="宋体" w:hAnsi="宋体" w:eastAsia="宋体" w:cs="宋体"/>
                <w:i w:val="0"/>
                <w:iCs w:val="0"/>
                <w:color w:val="000000"/>
                <w:sz w:val="22"/>
                <w:szCs w:val="22"/>
                <w:u w:val="none"/>
                <w:lang w:val="en-US" w:eastAsia="zh-CN" w:bidi="ar"/>
              </w:rPr>
              <w:t>，厚度为</w:t>
            </w:r>
            <w:r>
              <w:rPr>
                <w:rFonts w:hint="eastAsia"/>
                <w:lang w:val="en-US" w:eastAsia="zh-CN"/>
              </w:rPr>
              <w:t>≥</w:t>
            </w:r>
            <w:r>
              <w:rPr>
                <w:rFonts w:hint="eastAsia" w:ascii="宋体" w:hAnsi="宋体" w:eastAsia="宋体" w:cs="宋体"/>
                <w:i w:val="0"/>
                <w:iCs w:val="0"/>
                <w:color w:val="000000"/>
                <w:sz w:val="22"/>
                <w:szCs w:val="22"/>
                <w:u w:val="none"/>
                <w:lang w:val="en-US" w:eastAsia="zh-CN" w:bidi="ar"/>
              </w:rPr>
              <w:t>2.0mm热轧方管经激光切割而成，表面表面经防锈、防污、淋化、静电喷涂处理。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6、椅脚：脚管采用异形钢管激光开料焊接而型，脚管截面长72±0.3mm，宽32±0.3mm，壁厚</w:t>
            </w:r>
            <w:r>
              <w:rPr>
                <w:rFonts w:hint="eastAsia"/>
                <w:lang w:val="en-US" w:eastAsia="zh-CN"/>
              </w:rPr>
              <w:t>≥</w:t>
            </w:r>
            <w:r>
              <w:rPr>
                <w:rFonts w:hint="eastAsia" w:ascii="宋体" w:hAnsi="宋体" w:eastAsia="宋体" w:cs="宋体"/>
                <w:i w:val="0"/>
                <w:iCs w:val="0"/>
                <w:color w:val="000000"/>
                <w:sz w:val="22"/>
                <w:szCs w:val="22"/>
                <w:u w:val="none"/>
                <w:lang w:val="en-US" w:eastAsia="zh-CN" w:bidi="ar"/>
              </w:rPr>
              <w:t>1.5mm。脚板采用厚度</w:t>
            </w:r>
            <w:r>
              <w:rPr>
                <w:rFonts w:hint="eastAsia"/>
                <w:lang w:val="en-US" w:eastAsia="zh-CN"/>
              </w:rPr>
              <w:t>≥</w:t>
            </w:r>
            <w:r>
              <w:rPr>
                <w:rFonts w:hint="eastAsia" w:ascii="宋体" w:hAnsi="宋体" w:eastAsia="宋体" w:cs="宋体"/>
                <w:i w:val="0"/>
                <w:iCs w:val="0"/>
                <w:color w:val="000000"/>
                <w:sz w:val="22"/>
                <w:szCs w:val="22"/>
                <w:u w:val="none"/>
                <w:lang w:val="en-US" w:eastAsia="zh-CN" w:bidi="ar"/>
              </w:rPr>
              <w:t>2.0mm冷轧板经模具冲压与脚管焊接而成，横梁支撑件采用厚度≥4.0mm热轧板经模具冲压成形，桌面和下层板支撑件采用厚度≥1.5mm冷轧板经模具冲压成形，表面表面经防锈、防污、淋化、静电喷涂处理。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7、脚盖：采用全新一次新料PP材料，经模具注塑成型，无活加任何有毒物质及重金属,可以循环回收。</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8、座装饰盖：采用灰色ABS材料，经模具一次成型，座装饰盖成一个扇形，上宽面设计R440±2mm弧形,上宽220mm ，下宽150mm，长218mm，高61mm</w:t>
            </w:r>
            <w:r>
              <w:rPr>
                <w:rFonts w:hint="eastAsia" w:ascii="宋体" w:hAnsi="宋体" w:cs="宋体"/>
                <w:i w:val="0"/>
                <w:iCs w:val="0"/>
                <w:color w:val="000000"/>
                <w:sz w:val="22"/>
                <w:szCs w:val="22"/>
                <w:u w:val="none"/>
                <w:lang w:val="en-US" w:eastAsia="zh-CN" w:bidi="ar"/>
              </w:rPr>
              <w:t>（以上尺寸允许偏差±2mm）</w:t>
            </w:r>
            <w:r>
              <w:rPr>
                <w:rFonts w:hint="eastAsia" w:ascii="宋体" w:hAnsi="宋体" w:eastAsia="宋体" w:cs="宋体"/>
                <w:i w:val="0"/>
                <w:iCs w:val="0"/>
                <w:color w:val="000000"/>
                <w:sz w:val="22"/>
                <w:szCs w:val="22"/>
                <w:u w:val="none"/>
                <w:lang w:val="en-US" w:eastAsia="zh-CN" w:bidi="ar"/>
              </w:rPr>
              <w:t>，壁厚</w:t>
            </w:r>
            <w:r>
              <w:rPr>
                <w:rFonts w:hint="eastAsia"/>
                <w:lang w:val="en-US" w:eastAsia="zh-CN"/>
              </w:rPr>
              <w:t>≥</w:t>
            </w:r>
            <w:r>
              <w:rPr>
                <w:rFonts w:hint="eastAsia" w:ascii="宋体" w:hAnsi="宋体" w:eastAsia="宋体" w:cs="宋体"/>
                <w:i w:val="0"/>
                <w:iCs w:val="0"/>
                <w:color w:val="000000"/>
                <w:sz w:val="22"/>
                <w:szCs w:val="22"/>
                <w:u w:val="none"/>
                <w:lang w:val="en-US" w:eastAsia="zh-CN" w:bidi="ar"/>
              </w:rPr>
              <w:t>2.0mm。座装饰盖侧面设计上高15±2mm，下高60±2mm,中间R518±2mm向内凹弧形线。</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9、座组件：座固定件组件采用热轧钢板经模具成型、焊接精制而成，壁厚为</w:t>
            </w:r>
            <w:r>
              <w:rPr>
                <w:rFonts w:hint="eastAsia"/>
                <w:lang w:val="en-US" w:eastAsia="zh-CN"/>
              </w:rPr>
              <w:t>≥</w:t>
            </w:r>
            <w:r>
              <w:rPr>
                <w:rFonts w:hint="eastAsia" w:ascii="宋体" w:hAnsi="宋体" w:eastAsia="宋体" w:cs="宋体"/>
                <w:i w:val="0"/>
                <w:iCs w:val="0"/>
                <w:color w:val="000000"/>
                <w:sz w:val="22"/>
                <w:szCs w:val="22"/>
                <w:u w:val="none"/>
                <w:lang w:val="en-US" w:eastAsia="zh-CN" w:bidi="ar"/>
              </w:rPr>
              <w:t>4.0mm；座支撑件组件采用热轧钢板经模具成型、焊接精制而成，壁厚为</w:t>
            </w:r>
            <w:r>
              <w:rPr>
                <w:rFonts w:hint="eastAsia"/>
                <w:lang w:val="en-US" w:eastAsia="zh-CN"/>
              </w:rPr>
              <w:t>≥</w:t>
            </w:r>
            <w:r>
              <w:rPr>
                <w:rFonts w:hint="eastAsia" w:ascii="宋体" w:hAnsi="宋体" w:eastAsia="宋体" w:cs="宋体"/>
                <w:i w:val="0"/>
                <w:iCs w:val="0"/>
                <w:color w:val="000000"/>
                <w:sz w:val="22"/>
                <w:szCs w:val="22"/>
                <w:u w:val="none"/>
                <w:lang w:val="en-US" w:eastAsia="zh-CN" w:bidi="ar"/>
              </w:rPr>
              <w:t>3.0mm，表面经防锈、防污、淋化、静电喷涂处理。</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10、座回位装置：座内采用扭簧+阻尼回位装置，无明显噪音。</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11、地面固定：采用隐藏式防锈静电喷涂的六角膨胀螺丝固定地面，牢固、美观。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12、制作工艺及质量要求：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按照国家标准QB/T 4071-2021《课桌椅》、GB/T35607-2017《绿色产品评价家具》生产，各种钢制骨架表面经酸洗除锈，碱洗除油，磷化烘干等工艺，采用静电粉末喷涂；全部焊接口平直、牢固、无焊疵，焊接处打磨平整，各构件部分平直，横竖条搭接垂直，插口吻合，装配平整稳定。</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6E31C3">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200</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A251154">
            <w:pPr>
              <w:keepNext/>
              <w:keepLines w:val="0"/>
              <w:widowControl/>
              <w:suppressLineNumbers w:val="0"/>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位</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A9E0704">
            <w:pPr>
              <w:keepNext/>
              <w:keepLines w:val="0"/>
              <w:widowControl/>
              <w:suppressLineNumbers w:val="0"/>
              <w:jc w:val="center"/>
              <w:rPr>
                <w:rFonts w:hint="default" w:ascii="宋体" w:hAnsi="宋体" w:eastAsia="宋体" w:cs="宋体"/>
                <w:color w:val="000000"/>
                <w:szCs w:val="21"/>
                <w:highlight w:val="none"/>
                <w:lang w:val="en-US" w:eastAsia="zh-CN"/>
              </w:rPr>
            </w:pPr>
            <w:r>
              <w:rPr>
                <w:rFonts w:hint="default" w:ascii="宋体" w:hAnsi="宋体" w:eastAsia="宋体" w:cs="宋体"/>
                <w:i w:val="0"/>
                <w:iCs w:val="0"/>
                <w:color w:val="000000"/>
                <w:sz w:val="22"/>
                <w:szCs w:val="22"/>
                <w:u w:val="none"/>
                <w:lang w:val="en-US" w:eastAsia="zh-CN" w:bidi="ar"/>
              </w:rPr>
              <w:t>400</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FBE9E6">
            <w:pPr>
              <w:keepNext/>
              <w:keepLines w:val="0"/>
              <w:widowControl/>
              <w:suppressLineNumbers w:val="0"/>
              <w:jc w:val="center"/>
              <w:rPr>
                <w:rFonts w:hint="default" w:ascii="宋体" w:hAnsi="宋体" w:eastAsia="宋体" w:cs="宋体"/>
                <w:color w:val="000000"/>
                <w:szCs w:val="21"/>
                <w:highlight w:val="none"/>
                <w:lang w:val="en-US" w:eastAsia="zh-CN"/>
              </w:rPr>
            </w:pPr>
            <w:r>
              <w:rPr>
                <w:rFonts w:hint="default" w:ascii="宋体" w:hAnsi="宋体" w:eastAsia="宋体" w:cs="宋体"/>
                <w:i w:val="0"/>
                <w:iCs w:val="0"/>
                <w:color w:val="000000"/>
                <w:sz w:val="22"/>
                <w:szCs w:val="22"/>
                <w:u w:val="none"/>
                <w:lang w:val="en-US" w:eastAsia="zh-CN" w:bidi="ar"/>
              </w:rPr>
              <w:t>80000</w:t>
            </w:r>
          </w:p>
        </w:tc>
      </w:tr>
      <w:tr w14:paraId="0BF0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A7B0ABC">
            <w:pPr>
              <w:keepNext/>
              <w:keepLines w:val="0"/>
              <w:widowControl/>
              <w:suppressLineNumbers w:val="0"/>
              <w:jc w:val="center"/>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105</w:t>
            </w:r>
          </w:p>
        </w:tc>
        <w:tc>
          <w:tcPr>
            <w:tcW w:w="4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B1B27B3">
            <w:pPr>
              <w:keepNext/>
              <w:keepLines w:val="0"/>
              <w:widowControl/>
              <w:suppressLineNumbers w:val="0"/>
              <w:jc w:val="center"/>
              <w:rPr>
                <w:rFonts w:hint="eastAsia" w:ascii="宋体" w:hAnsi="宋体" w:eastAsia="宋体" w:cs="宋体"/>
                <w:color w:val="000000"/>
                <w:szCs w:val="21"/>
                <w:highlight w:val="none"/>
                <w:lang w:eastAsia="zh-CN"/>
              </w:rPr>
            </w:pPr>
            <w:r>
              <w:rPr>
                <w:rFonts w:hint="eastAsia" w:ascii="宋体" w:hAnsi="宋体" w:eastAsia="宋体" w:cs="宋体"/>
                <w:i w:val="0"/>
                <w:iCs w:val="0"/>
                <w:color w:val="000000"/>
                <w:sz w:val="22"/>
                <w:szCs w:val="22"/>
                <w:u w:val="none"/>
                <w:lang w:val="en-US" w:eastAsia="zh-CN" w:bidi="ar"/>
              </w:rPr>
              <w:t>LED彩屏</w:t>
            </w:r>
          </w:p>
        </w:tc>
        <w:tc>
          <w:tcPr>
            <w:tcW w:w="279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8C4BD0">
            <w:pPr>
              <w:keepNext/>
              <w:keepLines w:val="0"/>
              <w:widowControl/>
              <w:suppressLineNumbers w:val="0"/>
              <w:jc w:val="left"/>
              <w:rPr>
                <w:rFonts w:hint="eastAsia" w:ascii="宋体" w:hAnsi="宋体" w:eastAsia="宋体" w:cs="宋体"/>
                <w:i w:val="0"/>
                <w:iCs w:val="0"/>
                <w:color w:val="000000"/>
                <w:sz w:val="22"/>
                <w:szCs w:val="22"/>
                <w:u w:val="none"/>
                <w:lang w:val="en-US" w:eastAsia="zh-CN" w:bidi="ar"/>
              </w:rPr>
            </w:pPr>
            <w:r>
              <w:rPr>
                <w:rFonts w:hint="eastAsia" w:ascii="宋体" w:hAnsi="宋体" w:eastAsia="宋体" w:cs="宋体"/>
                <w:i w:val="0"/>
                <w:iCs w:val="0"/>
                <w:color w:val="000000"/>
                <w:sz w:val="22"/>
                <w:szCs w:val="22"/>
                <w:u w:val="none"/>
                <w:lang w:val="en-US" w:eastAsia="zh-CN" w:bidi="ar"/>
              </w:rPr>
              <w:t>1、像素点间距≤1.87mm</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t>；</w:t>
            </w:r>
          </w:p>
          <w:p w14:paraId="3EDB0B49">
            <w:pPr>
              <w:keepNext/>
              <w:keepLines w:val="0"/>
              <w:widowControl/>
              <w:suppressLineNumbers w:val="0"/>
              <w:jc w:val="left"/>
              <w:rPr>
                <w:rFonts w:hint="eastAsia" w:ascii="宋体" w:hAnsi="宋体" w:eastAsia="宋体" w:cs="宋体"/>
                <w:color w:val="000000"/>
                <w:sz w:val="24"/>
                <w:highlight w:val="none"/>
              </w:rPr>
            </w:pPr>
            <w:r>
              <w:rPr>
                <w:rFonts w:hint="eastAsia" w:ascii="宋体" w:hAnsi="宋体" w:eastAsia="宋体" w:cs="宋体"/>
                <w:i w:val="0"/>
                <w:iCs w:val="0"/>
                <w:color w:val="000000"/>
                <w:sz w:val="22"/>
                <w:szCs w:val="22"/>
                <w:u w:val="none"/>
                <w:lang w:val="en-US" w:eastAsia="zh-CN" w:bidi="ar"/>
              </w:rPr>
              <w:t>2、刷新频率≥3840HZ；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3、显示单元亮度800cd/㎡，亮度调节0~100%无极可调；</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4、亮度均匀性≥99%；</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5、盲点率为0，无常亮点；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6、时空点/失控率为0，无连续失控点；</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7、屏体色温：800K~11000K可调，对比度≥10000:1；</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8、灯芯的波长误差值在±2nm之内，每个灯芯的亮度误差在3%以内；平均修复时间≤1分钟</w:t>
            </w:r>
            <w:r>
              <w:rPr>
                <w:rFonts w:hint="eastAsia" w:ascii="宋体" w:hAnsi="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9、显示屏具备低亮高灰功能，亮度调节至500cd/㎡，灰度等级为16bit；刷新率不低于3200Hz；</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10、灰度等级：16bit，且支持在不同亮度情况下8~16bit任意设置，红绿蓝各16bit；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11、发光点中心距偏差≤0.5%；</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12、LED显示屏正常使用达到热平衡后，屏体结构金属部分温升不超过25℃,绝缘材料温升不超过20℃；LED显示屏所使用的各种材料和元器件，都应满足《电子信息产品中有毒有害物质的限量要求》,铅、汞、六价铬、多溴联苯、多溴二苯醚(十溴二苯醚除外)的含量不应超过0.1%,镉的含量不应超过0.01%；</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13、峰值功率≤380W/m²，平均功率≤140W/m²；</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14、电源插头或电源引入段与外壳裸露金属部件之间，能承受2KV交流电压，历时1min的抗电强度试验，应无击穿和飞弧现象；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15、通过盐雾试验，试验结束后，样品表面无起泡、裂纹、毛刺、锈蚀现象，符合10级要求；</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16、LED显示屏具备防蓝光护眼模式，并通过光生物安全监测，属无害类；</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17、平均使用寿命≥100000</w:t>
            </w:r>
            <w:r>
              <w:rPr>
                <w:rFonts w:hint="eastAsia" w:ascii="宋体" w:hAnsi="宋体" w:cs="宋体"/>
                <w:i w:val="0"/>
                <w:iCs w:val="0"/>
                <w:color w:val="000000"/>
                <w:sz w:val="22"/>
                <w:szCs w:val="22"/>
                <w:u w:val="none"/>
                <w:lang w:val="en-US" w:eastAsia="zh-CN" w:bidi="ar"/>
              </w:rPr>
              <w:t>小时</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18、平均失效间隔时间≥100000</w:t>
            </w:r>
            <w:r>
              <w:rPr>
                <w:rFonts w:hint="eastAsia" w:ascii="宋体" w:hAnsi="宋体" w:cs="宋体"/>
                <w:i w:val="0"/>
                <w:iCs w:val="0"/>
                <w:color w:val="000000"/>
                <w:sz w:val="22"/>
                <w:szCs w:val="22"/>
                <w:u w:val="none"/>
                <w:lang w:val="en-US" w:eastAsia="zh-CN" w:bidi="ar"/>
              </w:rPr>
              <w:t>小时</w:t>
            </w:r>
            <w:r>
              <w:rPr>
                <w:rFonts w:hint="eastAsia" w:ascii="宋体" w:hAnsi="宋体" w:eastAsia="宋体" w:cs="宋体"/>
                <w:i w:val="0"/>
                <w:iCs w:val="0"/>
                <w:color w:val="000000"/>
                <w:sz w:val="22"/>
                <w:szCs w:val="22"/>
                <w:u w:val="none"/>
                <w:lang w:val="en-US" w:eastAsia="zh-CN" w:bidi="ar"/>
              </w:rPr>
              <w:t>；</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19、支持γ校正曲线≥20条；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20、PCB 采用 FR-4 四层板同等级或更高材料，表面沉金处理，板厚≥1.6mm，铜厚≥1 盎司，TG≥150，PCB 板表面具备防潮/防尘/防静电/抗氧化，防霉等级≤1 级。采用抗消隐设计，无“毛毛虫”“鬼影”跟随现象，模组与HUB板采用排线连接，无级联，可直接插拔和热插拔</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21、采用完全静音设计，屏体无风 扇自然散热；</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22、具备拼缝微调节机构，支持上下左右前后微调，提高拼接精度；</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23、故障平均修复时间 MTTR不超过10分钟；</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24、屏幕具备单独调教伽马设计；</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25、支持HDR信号显示，支持HDR光照渲染技米。支持范围(HDR，Higi-Dynamic Range)检测项目峰值亮度1000-1500、黑色亮度≤0.05cd/</w:t>
            </w:r>
            <w:r>
              <w:t>㎡</w:t>
            </w:r>
            <w:r>
              <w:rPr>
                <w:rFonts w:hint="eastAsia" w:ascii="宋体" w:hAnsi="宋体" w:eastAsia="宋体" w:cs="宋体"/>
                <w:i w:val="0"/>
                <w:iCs w:val="0"/>
                <w:color w:val="000000"/>
                <w:sz w:val="22"/>
                <w:szCs w:val="22"/>
                <w:u w:val="none"/>
                <w:lang w:val="en-US" w:eastAsia="zh-CN" w:bidi="ar"/>
              </w:rPr>
              <w:t>、EOTF 曲线拟合度0.7-1.3、色域覆盖率≥90（相对DCILP3色空间）、色域重合度≥60%.达到HDR3.0标准。</w:t>
            </w:r>
            <w:r>
              <w:rPr>
                <w:rFonts w:hint="eastAsia" w:ascii="宋体" w:hAnsi="宋体" w:eastAsia="宋体" w:cs="宋体"/>
                <w:sz w:val="21"/>
                <w:szCs w:val="21"/>
                <w:lang w:eastAsia="zh-CN"/>
              </w:rPr>
              <w:t>（</w:t>
            </w:r>
            <w:r>
              <w:rPr>
                <w:rStyle w:val="66"/>
                <w:rFonts w:hint="eastAsia"/>
                <w:b/>
                <w:bCs/>
                <w:sz w:val="21"/>
                <w:szCs w:val="21"/>
                <w:lang w:val="en-US" w:eastAsia="zh-CN" w:bidi="ar"/>
              </w:rPr>
              <w:t>投标时</w:t>
            </w:r>
            <w:r>
              <w:rPr>
                <w:rStyle w:val="66"/>
                <w:b/>
                <w:bCs/>
                <w:sz w:val="21"/>
                <w:szCs w:val="21"/>
                <w:lang w:val="en-US" w:eastAsia="zh-CN" w:bidi="ar"/>
              </w:rPr>
              <w:t>提供包括但不限于以下证明材料：第三方检测机构出具的带（CMA或CNAS）标识的检测报告扫描件，或者产品说明书相关功能页面及封面扫描件，或者官网相关功能页面截图（提供完整网页网址），或者产品功能截图）</w:t>
            </w:r>
            <w:r>
              <w:rPr>
                <w:rFonts w:hint="eastAsia" w:ascii="宋体" w:hAnsi="宋体" w:eastAsia="宋体" w:cs="宋体"/>
                <w:i w:val="0"/>
                <w:iCs w:val="0"/>
                <w:color w:val="000000"/>
                <w:sz w:val="22"/>
                <w:szCs w:val="22"/>
                <w:u w:val="none"/>
                <w:lang w:val="en-US" w:eastAsia="zh-CN" w:bidi="ar"/>
              </w:rPr>
              <w:br w:type="textWrapping" w:clear="all"/>
            </w:r>
            <w:r>
              <w:rPr>
                <w:rFonts w:hint="eastAsia" w:ascii="宋体" w:hAnsi="宋体" w:eastAsia="宋体" w:cs="宋体"/>
                <w:i w:val="0"/>
                <w:iCs w:val="0"/>
                <w:color w:val="000000"/>
                <w:sz w:val="22"/>
                <w:szCs w:val="22"/>
                <w:u w:val="none"/>
                <w:lang w:val="en-US" w:eastAsia="zh-CN" w:bidi="ar"/>
              </w:rPr>
              <w:t>26、LED显示屏通过高温试验：将样品放置60℃环境试验箱，通电工作8H后恢复常温1h，试验前、中、后样品工作无异常</w:t>
            </w:r>
            <w:r>
              <w:rPr>
                <w:rFonts w:hint="eastAsia" w:ascii="宋体" w:hAnsi="宋体" w:cs="宋体"/>
                <w:i w:val="0"/>
                <w:iCs w:val="0"/>
                <w:color w:val="000000"/>
                <w:sz w:val="22"/>
                <w:szCs w:val="22"/>
                <w:u w:val="none"/>
                <w:lang w:val="en-US" w:eastAsia="zh-CN" w:bidi="ar"/>
              </w:rPr>
              <w:t>。</w:t>
            </w:r>
          </w:p>
        </w:tc>
        <w:tc>
          <w:tcPr>
            <w:tcW w:w="2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2B19079">
            <w:pPr>
              <w:keepNext/>
              <w:tabs>
                <w:tab w:val="left" w:pos="2835"/>
              </w:tabs>
              <w:spacing w:line="400" w:lineRule="exact"/>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18</w:t>
            </w:r>
          </w:p>
        </w:tc>
        <w:tc>
          <w:tcPr>
            <w:tcW w:w="20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F78BB3C">
            <w:pPr>
              <w:keepNext/>
              <w:tabs>
                <w:tab w:val="left" w:pos="2835"/>
              </w:tabs>
              <w:jc w:val="center"/>
              <w:rPr>
                <w:rFonts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平方米</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55B77A">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7079</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8C3B8C9">
            <w:pPr>
              <w:keepNext/>
              <w:keepLines w:val="0"/>
              <w:widowControl/>
              <w:suppressLineNumbers w:val="0"/>
              <w:jc w:val="right"/>
              <w:rPr>
                <w:rFonts w:hint="eastAsia" w:ascii="宋体" w:hAnsi="宋体" w:eastAsia="宋体" w:cs="宋体"/>
                <w:color w:val="000000"/>
                <w:szCs w:val="21"/>
                <w:highlight w:val="none"/>
                <w:lang w:val="en-US" w:eastAsia="zh-CN"/>
              </w:rPr>
            </w:pPr>
            <w:r>
              <w:rPr>
                <w:rFonts w:hint="eastAsia" w:ascii="宋体" w:hAnsi="宋体" w:eastAsia="宋体" w:cs="宋体"/>
                <w:i w:val="0"/>
                <w:iCs w:val="0"/>
                <w:color w:val="000000"/>
                <w:sz w:val="22"/>
                <w:szCs w:val="22"/>
                <w:u w:val="none"/>
                <w:lang w:val="en-US" w:eastAsia="zh-CN" w:bidi="ar"/>
              </w:rPr>
              <w:t>1274</w:t>
            </w:r>
            <w:r>
              <w:rPr>
                <w:rFonts w:hint="eastAsia" w:ascii="宋体" w:hAnsi="宋体" w:cs="宋体"/>
                <w:i w:val="0"/>
                <w:iCs w:val="0"/>
                <w:color w:val="000000"/>
                <w:sz w:val="22"/>
                <w:szCs w:val="22"/>
                <w:u w:val="none"/>
                <w:lang w:val="en-US" w:eastAsia="zh-CN" w:bidi="ar"/>
              </w:rPr>
              <w:t>22</w:t>
            </w:r>
          </w:p>
        </w:tc>
      </w:tr>
      <w:tr w14:paraId="59B4A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3997" w:type="pct"/>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14:paraId="74D2332F">
            <w:pPr>
              <w:keepNext/>
              <w:widowControl/>
              <w:tabs>
                <w:tab w:val="left" w:pos="2835"/>
              </w:tabs>
              <w:jc w:val="left"/>
              <w:rPr>
                <w:rFonts w:hint="eastAsia" w:ascii="宋体" w:hAnsi="宋体" w:eastAsia="宋体" w:cs="宋体"/>
                <w:b/>
                <w:bCs/>
                <w:color w:val="000000"/>
                <w:sz w:val="24"/>
                <w:szCs w:val="24"/>
                <w:highlight w:val="none"/>
              </w:rPr>
            </w:pPr>
          </w:p>
          <w:p w14:paraId="47DCA6A8">
            <w:pPr>
              <w:keepNext/>
              <w:widowControl/>
              <w:tabs>
                <w:tab w:val="left" w:pos="2835"/>
              </w:tabs>
              <w:jc w:val="left"/>
              <w:rPr>
                <w:rFonts w:hint="eastAsia" w:ascii="宋体" w:hAnsi="宋体" w:eastAsia="宋体" w:cs="宋体"/>
                <w:b/>
                <w:bCs/>
                <w:color w:val="000000"/>
                <w:sz w:val="24"/>
                <w:szCs w:val="24"/>
                <w:highlight w:val="yellow"/>
              </w:rPr>
            </w:pPr>
            <w:r>
              <w:rPr>
                <w:rFonts w:hint="eastAsia" w:ascii="宋体" w:hAnsi="宋体" w:cs="宋体"/>
                <w:b/>
                <w:bCs/>
                <w:color w:val="000000"/>
                <w:sz w:val="24"/>
                <w:szCs w:val="24"/>
                <w:highlight w:val="yellow"/>
                <w:lang w:eastAsia="zh-CN"/>
              </w:rPr>
              <w:t>二、</w:t>
            </w:r>
            <w:r>
              <w:rPr>
                <w:rFonts w:hint="eastAsia" w:ascii="宋体" w:hAnsi="宋体" w:eastAsia="宋体" w:cs="宋体"/>
                <w:b/>
                <w:bCs/>
                <w:color w:val="000000"/>
                <w:sz w:val="24"/>
                <w:szCs w:val="24"/>
                <w:highlight w:val="yellow"/>
              </w:rPr>
              <w:t>商务要求</w:t>
            </w:r>
          </w:p>
          <w:p w14:paraId="0FAD1AC6">
            <w:pPr>
              <w:keepNext/>
              <w:widowControl/>
              <w:tabs>
                <w:tab w:val="left" w:pos="2835"/>
              </w:tabs>
              <w:jc w:val="left"/>
              <w:rPr>
                <w:rFonts w:hint="eastAsia" w:ascii="宋体" w:hAnsi="宋体" w:eastAsia="宋体" w:cs="宋体"/>
                <w:b/>
                <w:bCs/>
                <w:color w:val="000000"/>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98884B">
            <w:pPr>
              <w:keepNext/>
              <w:widowControl/>
              <w:tabs>
                <w:tab w:val="left" w:pos="2835"/>
              </w:tabs>
              <w:jc w:val="left"/>
              <w:rPr>
                <w:rFonts w:hint="eastAsia" w:ascii="宋体" w:hAnsi="宋体" w:eastAsia="宋体" w:cs="宋体"/>
                <w:b/>
                <w:bCs/>
                <w:color w:val="000000"/>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756CA0">
            <w:pPr>
              <w:keepNext/>
              <w:widowControl/>
              <w:tabs>
                <w:tab w:val="left" w:pos="2835"/>
              </w:tabs>
              <w:jc w:val="left"/>
              <w:rPr>
                <w:rFonts w:hint="eastAsia" w:ascii="宋体" w:hAnsi="宋体" w:eastAsia="宋体" w:cs="宋体"/>
                <w:b/>
                <w:bCs/>
                <w:color w:val="000000"/>
                <w:szCs w:val="21"/>
                <w:highlight w:val="none"/>
              </w:rPr>
            </w:pPr>
          </w:p>
        </w:tc>
      </w:tr>
      <w:tr w14:paraId="5ADA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00E009B0">
            <w:pPr>
              <w:keepNext/>
              <w:jc w:val="center"/>
              <w:rPr>
                <w:rFonts w:hint="eastAsia" w:ascii="宋体" w:hAnsi="宋体" w:eastAsia="宋体" w:cs="宋体"/>
                <w:color w:val="000000"/>
                <w:sz w:val="21"/>
                <w:szCs w:val="21"/>
                <w:highlight w:val="none"/>
                <w:lang w:val="en-US" w:eastAsia="zh-CN" w:bidi="ar-SA"/>
              </w:rPr>
            </w:pPr>
            <w:r>
              <w:rPr>
                <w:rFonts w:hint="eastAsia" w:ascii="宋体" w:hAnsi="宋体" w:eastAsia="宋体" w:cs="宋体"/>
                <w:color w:val="000000"/>
                <w:szCs w:val="21"/>
                <w:highlight w:val="none"/>
              </w:rPr>
              <w:t>质保期及售后服务要求</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top"/>
          </w:tcPr>
          <w:p w14:paraId="3E2C90A4">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一、</w:t>
            </w:r>
            <w:r>
              <w:rPr>
                <w:rFonts w:hint="eastAsia" w:ascii="宋体" w:hAnsi="宋体" w:eastAsia="宋体" w:cs="宋体"/>
                <w:color w:val="000000"/>
                <w:szCs w:val="21"/>
                <w:highlight w:val="none"/>
                <w:lang w:eastAsia="zh-CN"/>
              </w:rPr>
              <w:t>质保期</w:t>
            </w:r>
            <w:r>
              <w:rPr>
                <w:rFonts w:hint="eastAsia" w:ascii="宋体" w:hAnsi="宋体" w:eastAsia="宋体" w:cs="宋体"/>
                <w:color w:val="000000"/>
                <w:szCs w:val="21"/>
                <w:highlight w:val="none"/>
              </w:rPr>
              <w:t>：按国家有关产品“三包”规定执行“三包”，</w:t>
            </w:r>
            <w:r>
              <w:rPr>
                <w:rFonts w:hint="eastAsia" w:ascii="宋体" w:hAnsi="宋体" w:eastAsia="宋体" w:cs="宋体"/>
                <w:color w:val="000000"/>
                <w:szCs w:val="21"/>
              </w:rPr>
              <w:t>免费</w:t>
            </w:r>
            <w:r>
              <w:rPr>
                <w:rFonts w:hint="eastAsia" w:ascii="宋体" w:hAnsi="宋体" w:eastAsia="宋体" w:cs="宋体"/>
                <w:color w:val="000000"/>
                <w:szCs w:val="21"/>
                <w:highlight w:val="none"/>
              </w:rPr>
              <w:t>保修期自验收合格之日起不得少于</w:t>
            </w:r>
            <w:r>
              <w:rPr>
                <w:rFonts w:hint="eastAsia" w:ascii="宋体" w:hAnsi="宋体" w:eastAsia="宋体" w:cs="宋体"/>
                <w:color w:val="000000"/>
                <w:szCs w:val="21"/>
                <w:highlight w:val="none"/>
                <w:lang w:val="en-US" w:eastAsia="zh-CN"/>
              </w:rPr>
              <w:t>一</w:t>
            </w:r>
            <w:r>
              <w:rPr>
                <w:rFonts w:hint="eastAsia" w:ascii="宋体" w:hAnsi="宋体" w:eastAsia="宋体" w:cs="宋体"/>
                <w:color w:val="000000"/>
                <w:szCs w:val="21"/>
                <w:highlight w:val="none"/>
              </w:rPr>
              <w:t>年</w:t>
            </w:r>
            <w:r>
              <w:rPr>
                <w:rFonts w:hint="eastAsia"/>
                <w:lang w:eastAsia="zh-CN"/>
              </w:rPr>
              <w:t>，</w:t>
            </w:r>
            <w:r>
              <w:rPr>
                <w:rFonts w:hint="eastAsia"/>
                <w:lang w:val="en-US" w:eastAsia="zh-CN"/>
              </w:rPr>
              <w:t>技术规格需求中有要求的按照其要求执行</w:t>
            </w:r>
            <w:r>
              <w:rPr>
                <w:rFonts w:hint="eastAsia" w:ascii="宋体" w:hAnsi="宋体" w:eastAsia="宋体" w:cs="宋体"/>
                <w:color w:val="000000"/>
                <w:szCs w:val="21"/>
                <w:highlight w:val="none"/>
                <w:lang w:eastAsia="zh-CN"/>
              </w:rPr>
              <w:t>。</w:t>
            </w:r>
          </w:p>
          <w:p w14:paraId="5DA1C155">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二、售后服务的内容和措施： </w:t>
            </w:r>
          </w:p>
          <w:p w14:paraId="4A22DEF0">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1、采购的货物</w:t>
            </w:r>
            <w:r>
              <w:rPr>
                <w:rFonts w:hint="eastAsia" w:ascii="宋体" w:hAnsi="宋体" w:eastAsia="宋体" w:cs="宋体"/>
                <w:color w:val="000000"/>
                <w:szCs w:val="21"/>
              </w:rPr>
              <w:t>免费</w:t>
            </w:r>
            <w:r>
              <w:rPr>
                <w:rFonts w:hint="eastAsia" w:ascii="宋体" w:hAnsi="宋体" w:eastAsia="宋体" w:cs="宋体"/>
                <w:color w:val="000000"/>
                <w:szCs w:val="21"/>
                <w:highlight w:val="none"/>
              </w:rPr>
              <w:t>送货上门、</w:t>
            </w:r>
            <w:r>
              <w:rPr>
                <w:rFonts w:hint="eastAsia" w:ascii="宋体" w:hAnsi="宋体" w:eastAsia="宋体" w:cs="宋体"/>
                <w:color w:val="000000"/>
                <w:szCs w:val="21"/>
              </w:rPr>
              <w:t>免费</w:t>
            </w:r>
            <w:r>
              <w:rPr>
                <w:rFonts w:hint="eastAsia" w:ascii="宋体" w:hAnsi="宋体" w:eastAsia="宋体" w:cs="宋体"/>
                <w:color w:val="000000"/>
                <w:szCs w:val="21"/>
                <w:highlight w:val="none"/>
              </w:rPr>
              <w:t>安装调试合格。</w:t>
            </w:r>
          </w:p>
          <w:p w14:paraId="594C1844">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2、维修响应：若</w:t>
            </w:r>
            <w:r>
              <w:rPr>
                <w:rFonts w:hint="eastAsia" w:ascii="宋体" w:hAnsi="宋体" w:eastAsia="宋体" w:cs="宋体"/>
                <w:color w:val="000000"/>
                <w:szCs w:val="21"/>
                <w:highlight w:val="none"/>
                <w:lang w:val="en-US" w:eastAsia="zh-CN"/>
              </w:rPr>
              <w:t>设备</w:t>
            </w:r>
            <w:r>
              <w:rPr>
                <w:rFonts w:hint="eastAsia" w:ascii="宋体" w:hAnsi="宋体" w:eastAsia="宋体" w:cs="宋体"/>
                <w:color w:val="000000"/>
                <w:szCs w:val="21"/>
                <w:highlight w:val="none"/>
              </w:rPr>
              <w:t>出现故障问题，供应商在接到故障通知后 1 小时内响应、</w:t>
            </w:r>
            <w:r>
              <w:rPr>
                <w:rFonts w:hint="eastAsia" w:ascii="宋体" w:hAnsi="宋体" w:eastAsia="宋体" w:cs="宋体"/>
                <w:color w:val="000000"/>
                <w:szCs w:val="21"/>
                <w:highlight w:val="none"/>
                <w:lang w:val="en-US" w:eastAsia="zh-CN"/>
              </w:rPr>
              <w:t>24</w:t>
            </w:r>
            <w:r>
              <w:rPr>
                <w:rFonts w:hint="eastAsia" w:ascii="宋体" w:hAnsi="宋体" w:eastAsia="宋体" w:cs="宋体"/>
                <w:color w:val="000000"/>
                <w:szCs w:val="21"/>
                <w:highlight w:val="none"/>
              </w:rPr>
              <w:t>小时内到达现场、</w:t>
            </w:r>
            <w:r>
              <w:rPr>
                <w:rFonts w:hint="eastAsia" w:ascii="宋体" w:hAnsi="宋体" w:eastAsia="宋体" w:cs="宋体"/>
                <w:color w:val="000000"/>
                <w:szCs w:val="21"/>
                <w:highlight w:val="none"/>
                <w:lang w:val="en-US" w:eastAsia="zh-CN"/>
              </w:rPr>
              <w:t>48小时内处理好故障</w:t>
            </w:r>
            <w:r>
              <w:rPr>
                <w:rFonts w:hint="eastAsia" w:ascii="宋体" w:hAnsi="宋体" w:eastAsia="宋体" w:cs="宋体"/>
                <w:color w:val="000000"/>
                <w:szCs w:val="21"/>
                <w:highlight w:val="none"/>
              </w:rPr>
              <w:t xml:space="preserve">。 </w:t>
            </w:r>
          </w:p>
          <w:p w14:paraId="41754AAD">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3、在质保期内发生的质量问题，由成交供应商负责</w:t>
            </w:r>
            <w:r>
              <w:rPr>
                <w:rFonts w:hint="eastAsia" w:ascii="宋体" w:hAnsi="宋体" w:eastAsia="宋体" w:cs="宋体"/>
                <w:color w:val="000000"/>
                <w:szCs w:val="21"/>
              </w:rPr>
              <w:t>免费</w:t>
            </w:r>
            <w:r>
              <w:rPr>
                <w:rFonts w:hint="eastAsia" w:ascii="宋体" w:hAnsi="宋体" w:eastAsia="宋体" w:cs="宋体"/>
                <w:color w:val="000000"/>
                <w:szCs w:val="21"/>
                <w:highlight w:val="none"/>
              </w:rPr>
              <w:t xml:space="preserve">解决，包退包换（因采购人使用不当或其他人为因素造成的故障除外）。所有保修服务方式均为成交供应商或厂家上门保修，即由成交供应商或制造商派技术人员到使用现场维修。由此产生的一切费用均由成交供应商承担。 </w:t>
            </w:r>
          </w:p>
          <w:p w14:paraId="2A14CF5E">
            <w:pPr>
              <w:keepNext/>
              <w:jc w:val="left"/>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4、在质保期外发生的质量问题，由成交供应商负责解决，只收取更换零部件的成本费，不得收取任何工时费及技术人员差旅费等其他费用</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要保证长期良好的售后服务和零配件供应。</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5C65E8E3">
            <w:pPr>
              <w:keepNext/>
              <w:jc w:val="left"/>
              <w:rPr>
                <w:rFonts w:hint="eastAsia" w:ascii="宋体" w:hAnsi="宋体" w:eastAsia="宋体" w:cs="宋体"/>
                <w:color w:val="000000"/>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6CECEB06">
            <w:pPr>
              <w:keepNext/>
              <w:jc w:val="left"/>
              <w:rPr>
                <w:rFonts w:hint="eastAsia" w:ascii="宋体" w:hAnsi="宋体" w:eastAsia="宋体" w:cs="宋体"/>
                <w:color w:val="000000"/>
                <w:szCs w:val="21"/>
                <w:highlight w:val="none"/>
              </w:rPr>
            </w:pPr>
          </w:p>
        </w:tc>
      </w:tr>
      <w:tr w14:paraId="462A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8C34317">
            <w:pPr>
              <w:keepNext/>
              <w:widowControl/>
              <w:tabs>
                <w:tab w:val="left" w:pos="2835"/>
              </w:tabs>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交付使用时间及地点</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88DCD5E">
            <w:pPr>
              <w:keepNex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1.交货时间：</w:t>
            </w:r>
            <w:r>
              <w:rPr>
                <w:rFonts w:hint="eastAsia"/>
                <w:lang w:val="en-US" w:eastAsia="zh-CN"/>
              </w:rPr>
              <w:t>签订合同后30日内，</w:t>
            </w:r>
            <w:r>
              <w:rPr>
                <w:rFonts w:hint="eastAsia" w:ascii="宋体" w:hAnsi="宋体" w:eastAsia="宋体" w:cs="宋体"/>
                <w:color w:val="000000"/>
                <w:szCs w:val="21"/>
                <w:highlight w:val="none"/>
              </w:rPr>
              <w:t>按采购人要求安装调试完毕</w:t>
            </w:r>
            <w:r>
              <w:rPr>
                <w:rFonts w:hint="eastAsia" w:ascii="宋体" w:hAnsi="宋体" w:eastAsia="宋体" w:cs="宋体"/>
                <w:color w:val="000000"/>
                <w:szCs w:val="21"/>
                <w:highlight w:val="none"/>
                <w:lang w:eastAsia="zh-CN"/>
              </w:rPr>
              <w:t>并</w:t>
            </w:r>
            <w:r>
              <w:rPr>
                <w:rFonts w:hint="eastAsia" w:ascii="宋体" w:hAnsi="宋体" w:eastAsia="宋体" w:cs="宋体"/>
                <w:color w:val="000000"/>
                <w:szCs w:val="21"/>
                <w:highlight w:val="none"/>
              </w:rPr>
              <w:t>交付使用。</w:t>
            </w:r>
          </w:p>
          <w:p w14:paraId="1CDD483A">
            <w:pPr>
              <w:keepNext/>
              <w:widowControl/>
              <w:tabs>
                <w:tab w:val="left" w:pos="2835"/>
              </w:tabs>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2.交货地点：</w:t>
            </w:r>
            <w:r>
              <w:rPr>
                <w:rFonts w:hint="eastAsia" w:ascii="宋体" w:hAnsi="宋体" w:eastAsia="宋体" w:cs="宋体"/>
                <w:color w:val="000000"/>
                <w:szCs w:val="21"/>
                <w:highlight w:val="none"/>
                <w:lang w:eastAsia="zh-CN"/>
              </w:rPr>
              <w:t>广西桂林资源县</w:t>
            </w:r>
            <w:r>
              <w:rPr>
                <w:rFonts w:hint="eastAsia" w:ascii="宋体" w:hAnsi="宋体" w:eastAsia="宋体" w:cs="宋体"/>
                <w:color w:val="000000"/>
                <w:szCs w:val="21"/>
                <w:highlight w:val="none"/>
              </w:rPr>
              <w:t>采购人指定地点</w:t>
            </w:r>
            <w:r>
              <w:rPr>
                <w:rFonts w:hint="eastAsia" w:ascii="宋体" w:hAnsi="宋体" w:eastAsia="宋体" w:cs="宋体"/>
                <w:color w:val="000000"/>
                <w:szCs w:val="21"/>
                <w:highlight w:val="none"/>
                <w:lang w:eastAsia="zh-CN"/>
              </w:rPr>
              <w:t>。</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C0B6FB">
            <w:pPr>
              <w:keepNext/>
              <w:widowControl/>
              <w:tabs>
                <w:tab w:val="left" w:pos="2835"/>
              </w:tabs>
              <w:rPr>
                <w:rFonts w:hint="eastAsia" w:ascii="宋体" w:hAnsi="宋体" w:eastAsia="宋体" w:cs="宋体"/>
                <w:color w:val="000000"/>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41376E2">
            <w:pPr>
              <w:keepNext/>
              <w:widowControl/>
              <w:tabs>
                <w:tab w:val="left" w:pos="2835"/>
              </w:tabs>
              <w:rPr>
                <w:rFonts w:hint="eastAsia" w:ascii="宋体" w:hAnsi="宋体" w:eastAsia="宋体" w:cs="宋体"/>
                <w:color w:val="000000"/>
                <w:szCs w:val="21"/>
                <w:highlight w:val="none"/>
              </w:rPr>
            </w:pPr>
          </w:p>
        </w:tc>
      </w:tr>
      <w:tr w14:paraId="4F5E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31955424">
            <w:pPr>
              <w:keepNext/>
              <w:widowControl/>
              <w:tabs>
                <w:tab w:val="left" w:pos="2835"/>
              </w:tabs>
              <w:jc w:val="center"/>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eastAsia="zh-CN"/>
              </w:rPr>
              <w:t>核心产品</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E3EFD6A">
            <w:pPr>
              <w:keepNext/>
              <w:widowControl/>
              <w:tabs>
                <w:tab w:val="left" w:pos="2835"/>
              </w:tabs>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eastAsia="zh-CN"/>
              </w:rPr>
              <w:t>第</w:t>
            </w:r>
            <w:r>
              <w:rPr>
                <w:rFonts w:hint="eastAsia" w:ascii="宋体" w:hAnsi="宋体" w:cs="宋体"/>
                <w:color w:val="000000"/>
                <w:szCs w:val="21"/>
                <w:highlight w:val="none"/>
                <w:lang w:val="en-US" w:eastAsia="zh-CN"/>
              </w:rPr>
              <w:t>1项货物“智慧黑板”</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B3D7058">
            <w:pPr>
              <w:keepNext/>
              <w:widowControl/>
              <w:tabs>
                <w:tab w:val="left" w:pos="2835"/>
              </w:tabs>
              <w:rPr>
                <w:rFonts w:hint="eastAsia" w:ascii="宋体" w:hAnsi="宋体" w:eastAsia="宋体" w:cs="宋体"/>
                <w:color w:val="000000"/>
                <w:szCs w:val="21"/>
                <w:highlight w:val="none"/>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D54BBA">
            <w:pPr>
              <w:keepNext/>
              <w:widowControl/>
              <w:tabs>
                <w:tab w:val="left" w:pos="2835"/>
              </w:tabs>
              <w:rPr>
                <w:rFonts w:hint="eastAsia" w:ascii="宋体" w:hAnsi="宋体" w:eastAsia="宋体" w:cs="宋体"/>
                <w:color w:val="000000"/>
                <w:szCs w:val="21"/>
                <w:highlight w:val="none"/>
              </w:rPr>
            </w:pPr>
          </w:p>
        </w:tc>
      </w:tr>
      <w:tr w14:paraId="1EB47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42643FB8">
            <w:pPr>
              <w:keepNext/>
              <w:widowControl/>
              <w:jc w:val="center"/>
              <w:rPr>
                <w:rFonts w:hint="eastAsia" w:ascii="宋体" w:hAnsi="宋体" w:eastAsia="宋体" w:cs="宋体"/>
                <w:color w:val="000000"/>
                <w:sz w:val="21"/>
                <w:szCs w:val="21"/>
                <w:highlight w:val="none"/>
                <w:lang w:val="en-US" w:eastAsia="zh-CN" w:bidi="ar-SA"/>
              </w:rPr>
            </w:pPr>
            <w:r>
              <w:rPr>
                <w:rFonts w:hint="eastAsia" w:ascii="宋体" w:hAnsi="宋体" w:cs="宋体"/>
                <w:color w:val="000000"/>
                <w:szCs w:val="21"/>
                <w:highlight w:val="none"/>
              </w:rPr>
              <w:t>验收</w:t>
            </w:r>
            <w:r>
              <w:rPr>
                <w:rFonts w:hint="eastAsia" w:ascii="宋体" w:hAnsi="宋体" w:cs="宋体"/>
                <w:color w:val="000000"/>
                <w:szCs w:val="21"/>
                <w:highlight w:val="none"/>
                <w:lang w:val="en-US" w:eastAsia="zh-CN"/>
              </w:rPr>
              <w:t>方式</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F6F2454">
            <w:pPr>
              <w:keepNext/>
              <w:spacing w:line="400" w:lineRule="exact"/>
              <w:rPr>
                <w:rFonts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ascii="宋体" w:hAnsi="宋体"/>
                <w:color w:val="000000"/>
                <w:szCs w:val="21"/>
                <w:highlight w:val="none"/>
              </w:rPr>
              <w:t>符合我国国家有关技术规范和技术标准。</w:t>
            </w:r>
          </w:p>
          <w:p w14:paraId="360C3FF1">
            <w:pPr>
              <w:keepNext/>
              <w:spacing w:line="400" w:lineRule="exact"/>
              <w:jc w:val="left"/>
              <w:rPr>
                <w:rFonts w:hint="eastAsia" w:ascii="宋体" w:hAnsi="宋体" w:eastAsia="宋体" w:cs="宋体"/>
                <w:color w:val="000000"/>
                <w:sz w:val="21"/>
                <w:szCs w:val="21"/>
                <w:highlight w:val="none"/>
                <w:lang w:val="en-US" w:eastAsia="zh-CN" w:bidi="ar-SA"/>
              </w:rPr>
            </w:pP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eastAsia="宋体" w:cs="Times New Roman"/>
                <w:color w:val="000000"/>
                <w:szCs w:val="21"/>
                <w:highlight w:val="none"/>
              </w:rPr>
              <w:t>成交人在</w:t>
            </w:r>
            <w:r>
              <w:rPr>
                <w:rFonts w:hint="eastAsia" w:ascii="宋体" w:hAnsi="宋体" w:eastAsia="宋体" w:cs="Times New Roman"/>
                <w:color w:val="000000"/>
                <w:szCs w:val="21"/>
                <w:highlight w:val="none"/>
                <w:lang w:eastAsia="zh-CN"/>
              </w:rPr>
              <w:t>竞争性谈判文件</w:t>
            </w:r>
            <w:r>
              <w:rPr>
                <w:rFonts w:hint="eastAsia" w:ascii="宋体" w:hAnsi="宋体" w:eastAsia="宋体" w:cs="Times New Roman"/>
                <w:color w:val="000000"/>
                <w:szCs w:val="21"/>
                <w:highlight w:val="none"/>
              </w:rPr>
              <w:t>规定的交付使用期内完成所有设备的安装、调试。验收时，采购人将现场根据</w:t>
            </w:r>
            <w:r>
              <w:rPr>
                <w:rFonts w:hint="eastAsia" w:ascii="宋体" w:hAnsi="宋体" w:eastAsia="宋体" w:cs="Times New Roman"/>
                <w:color w:val="000000"/>
                <w:szCs w:val="21"/>
                <w:highlight w:val="none"/>
                <w:lang w:eastAsia="zh-CN"/>
              </w:rPr>
              <w:t>竞争性谈判文件</w:t>
            </w:r>
            <w:r>
              <w:rPr>
                <w:rFonts w:hint="eastAsia" w:ascii="宋体" w:hAnsi="宋体" w:eastAsia="宋体" w:cs="Times New Roman"/>
                <w:color w:val="000000"/>
                <w:szCs w:val="21"/>
                <w:highlight w:val="none"/>
              </w:rPr>
              <w:t>要求、响应文件承诺及国家有关质量标准进行核验，核验不合格的，采购人</w:t>
            </w:r>
            <w:r>
              <w:rPr>
                <w:rFonts w:hint="eastAsia" w:ascii="宋体" w:hAnsi="宋体" w:eastAsia="宋体" w:cs="Times New Roman"/>
                <w:color w:val="000000"/>
                <w:szCs w:val="21"/>
              </w:rPr>
              <w:t>有权终止合同</w:t>
            </w:r>
            <w:r>
              <w:rPr>
                <w:rFonts w:hint="eastAsia" w:ascii="宋体" w:hAnsi="宋体" w:eastAsia="宋体" w:cs="Times New Roman"/>
                <w:color w:val="000000"/>
                <w:szCs w:val="21"/>
                <w:highlight w:val="none"/>
              </w:rPr>
              <w:t>执行并全部退货，同时报相关监督管理部门处理，由此造成</w:t>
            </w:r>
            <w:r>
              <w:rPr>
                <w:rFonts w:hint="eastAsia" w:ascii="宋体" w:hAnsi="宋体" w:eastAsia="宋体" w:cs="Times New Roman"/>
                <w:color w:val="000000"/>
                <w:szCs w:val="21"/>
                <w:highlight w:val="none"/>
                <w:lang w:val="en-US" w:eastAsia="zh-CN"/>
              </w:rPr>
              <w:t>采购人</w:t>
            </w:r>
            <w:r>
              <w:rPr>
                <w:rFonts w:hint="eastAsia" w:ascii="宋体" w:hAnsi="宋体" w:eastAsia="宋体" w:cs="Times New Roman"/>
                <w:color w:val="000000"/>
                <w:szCs w:val="21"/>
                <w:highlight w:val="none"/>
              </w:rPr>
              <w:t>经济损失的由成交人负责承担全部赔偿责任。</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21E6">
            <w:pPr>
              <w:keepNext/>
              <w:spacing w:line="400" w:lineRule="exact"/>
              <w:jc w:val="left"/>
              <w:rPr>
                <w:rFonts w:hint="eastAsia" w:ascii="宋体" w:hAnsi="宋体"/>
                <w:color w:val="000000"/>
                <w:szCs w:val="21"/>
                <w:highlight w:val="none"/>
                <w:lang w:val="en-US" w:eastAsia="zh-CN"/>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981C50">
            <w:pPr>
              <w:keepNext/>
              <w:spacing w:line="400" w:lineRule="exact"/>
              <w:jc w:val="left"/>
              <w:rPr>
                <w:rFonts w:hint="eastAsia" w:ascii="宋体" w:hAnsi="宋体"/>
                <w:color w:val="000000"/>
                <w:szCs w:val="21"/>
                <w:highlight w:val="none"/>
                <w:lang w:val="en-US" w:eastAsia="zh-CN"/>
              </w:rPr>
            </w:pPr>
          </w:p>
        </w:tc>
      </w:tr>
      <w:tr w14:paraId="4FA7D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520434A3">
            <w:pPr>
              <w:keepNext/>
              <w:widowControl/>
              <w:tabs>
                <w:tab w:val="left" w:pos="2835"/>
              </w:tabs>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付款方式</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50E2FC58">
            <w:pPr>
              <w:spacing w:line="400" w:lineRule="exact"/>
              <w:ind w:firstLine="411"/>
              <w:rPr>
                <w:rFonts w:hint="eastAsia" w:ascii="宋体" w:hAnsi="宋体" w:eastAsia="宋体" w:cs="宋体"/>
                <w:color w:val="000000"/>
                <w:szCs w:val="21"/>
                <w:highlight w:val="none"/>
              </w:rPr>
            </w:pP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在</w:t>
            </w:r>
            <w:r>
              <w:rPr>
                <w:rFonts w:hint="eastAsia" w:ascii="宋体" w:hAnsi="宋体"/>
                <w:color w:val="000000" w:themeColor="text1"/>
                <w:sz w:val="21"/>
                <w:szCs w:val="21"/>
                <w:highlight w:val="none"/>
                <w:shd w:val="clear" w:color="auto" w:fill="auto"/>
                <w14:textFill>
                  <w14:solidFill>
                    <w14:schemeClr w14:val="tx1"/>
                  </w14:solidFill>
                </w14:textFill>
              </w:rPr>
              <w:t>中标供应商</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签订合同后，</w:t>
            </w:r>
            <w:r>
              <w:rPr>
                <w:rFonts w:hint="eastAsia" w:ascii="宋体" w:hAnsi="宋体"/>
                <w:color w:val="000000" w:themeColor="text1"/>
                <w:sz w:val="21"/>
                <w:szCs w:val="21"/>
                <w:highlight w:val="none"/>
                <w:shd w:val="clear" w:color="auto" w:fill="auto"/>
                <w14:textFill>
                  <w14:solidFill>
                    <w14:schemeClr w14:val="tx1"/>
                  </w14:solidFill>
                </w14:textFill>
              </w:rPr>
              <w:t>采购人自收到供应商开具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中标总金额50%</w:t>
            </w:r>
            <w:r>
              <w:rPr>
                <w:rFonts w:hint="eastAsia" w:ascii="宋体" w:hAnsi="宋体"/>
                <w:color w:val="000000" w:themeColor="text1"/>
                <w:sz w:val="21"/>
                <w:szCs w:val="21"/>
                <w:highlight w:val="none"/>
                <w:shd w:val="clear" w:color="auto" w:fill="auto"/>
                <w14:textFill>
                  <w14:solidFill>
                    <w14:schemeClr w14:val="tx1"/>
                  </w14:solidFill>
                </w14:textFill>
              </w:rPr>
              <w:t>正式发票和相关材料之日起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7个工作日内支付合同总金额的50%预付款；货物全部送货完毕，</w:t>
            </w:r>
            <w:r>
              <w:rPr>
                <w:rFonts w:hint="eastAsia" w:ascii="宋体" w:hAnsi="宋体"/>
                <w:color w:val="000000" w:themeColor="text1"/>
                <w:sz w:val="21"/>
                <w:szCs w:val="21"/>
                <w:highlight w:val="none"/>
                <w:shd w:val="clear" w:color="auto" w:fill="auto"/>
                <w14:textFill>
                  <w14:solidFill>
                    <w14:schemeClr w14:val="tx1"/>
                  </w14:solidFill>
                </w14:textFill>
              </w:rPr>
              <w:t>采购人自收到供应商开具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中标总金额40%</w:t>
            </w:r>
            <w:r>
              <w:rPr>
                <w:rFonts w:hint="eastAsia" w:ascii="宋体" w:hAnsi="宋体"/>
                <w:color w:val="000000" w:themeColor="text1"/>
                <w:sz w:val="21"/>
                <w:szCs w:val="21"/>
                <w:highlight w:val="none"/>
                <w:shd w:val="clear" w:color="auto" w:fill="auto"/>
                <w14:textFill>
                  <w14:solidFill>
                    <w14:schemeClr w14:val="tx1"/>
                  </w14:solidFill>
                </w14:textFill>
              </w:rPr>
              <w:t>正式发票和相关</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签收</w:t>
            </w:r>
            <w:r>
              <w:rPr>
                <w:rFonts w:hint="eastAsia" w:ascii="宋体" w:hAnsi="宋体"/>
                <w:color w:val="000000" w:themeColor="text1"/>
                <w:sz w:val="21"/>
                <w:szCs w:val="21"/>
                <w:highlight w:val="none"/>
                <w:shd w:val="clear" w:color="auto" w:fill="auto"/>
                <w14:textFill>
                  <w14:solidFill>
                    <w14:schemeClr w14:val="tx1"/>
                  </w14:solidFill>
                </w14:textFill>
              </w:rPr>
              <w:t>材料之日起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7个工作日内支付合同总金额的40%进度款；在</w:t>
            </w:r>
            <w:r>
              <w:rPr>
                <w:rFonts w:hint="eastAsia" w:ascii="宋体" w:hAnsi="宋体"/>
                <w:color w:val="000000" w:themeColor="text1"/>
                <w:sz w:val="21"/>
                <w:szCs w:val="21"/>
                <w:highlight w:val="none"/>
                <w:shd w:val="clear" w:color="auto" w:fill="auto"/>
                <w14:textFill>
                  <w14:solidFill>
                    <w14:schemeClr w14:val="tx1"/>
                  </w14:solidFill>
                </w14:textFill>
              </w:rPr>
              <w:t>安装完毕、培训相关人员并双方验收合格后，中标供应商开具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10%</w:t>
            </w:r>
            <w:r>
              <w:rPr>
                <w:rFonts w:hint="eastAsia" w:ascii="宋体" w:hAnsi="宋体"/>
                <w:color w:val="000000" w:themeColor="text1"/>
                <w:sz w:val="21"/>
                <w:szCs w:val="21"/>
                <w:highlight w:val="none"/>
                <w:shd w:val="clear" w:color="auto" w:fill="auto"/>
                <w14:textFill>
                  <w14:solidFill>
                    <w14:schemeClr w14:val="tx1"/>
                  </w14:solidFill>
                </w14:textFill>
              </w:rPr>
              <w:t>正式发票，并提供</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相关</w:t>
            </w:r>
            <w:r>
              <w:rPr>
                <w:rFonts w:hint="eastAsia" w:ascii="宋体" w:hAnsi="宋体"/>
                <w:color w:val="000000" w:themeColor="text1"/>
                <w:sz w:val="21"/>
                <w:szCs w:val="21"/>
                <w:highlight w:val="none"/>
                <w:shd w:val="clear" w:color="auto" w:fill="auto"/>
                <w14:textFill>
                  <w14:solidFill>
                    <w14:schemeClr w14:val="tx1"/>
                  </w14:solidFill>
                </w14:textFill>
              </w:rPr>
              <w:t>材料，采购人自收到发票和相关材料之日起</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7个工作日内</w:t>
            </w:r>
            <w:r>
              <w:rPr>
                <w:rFonts w:hint="eastAsia" w:ascii="宋体" w:hAnsi="宋体"/>
                <w:color w:val="000000" w:themeColor="text1"/>
                <w:sz w:val="21"/>
                <w:szCs w:val="21"/>
                <w:highlight w:val="none"/>
                <w:shd w:val="clear" w:color="auto" w:fill="auto"/>
                <w14:textFill>
                  <w14:solidFill>
                    <w14:schemeClr w14:val="tx1"/>
                  </w14:solidFill>
                </w14:textFill>
              </w:rPr>
              <w:t>一次性支付</w:t>
            </w:r>
            <w:r>
              <w:rPr>
                <w:rFonts w:hint="eastAsia" w:ascii="宋体" w:hAnsi="宋体"/>
                <w:color w:val="000000" w:themeColor="text1"/>
                <w:sz w:val="21"/>
                <w:szCs w:val="21"/>
                <w:highlight w:val="none"/>
                <w:shd w:val="clear" w:color="auto" w:fill="auto"/>
                <w:lang w:val="en-US" w:eastAsia="zh-CN"/>
                <w14:textFill>
                  <w14:solidFill>
                    <w14:schemeClr w14:val="tx1"/>
                  </w14:solidFill>
                </w14:textFill>
              </w:rPr>
              <w:t>合同总金额的10%货款</w:t>
            </w:r>
            <w:r>
              <w:rPr>
                <w:rFonts w:hint="eastAsia" w:ascii="宋体" w:hAnsi="宋体"/>
                <w:color w:val="000000" w:themeColor="text1"/>
                <w:sz w:val="21"/>
                <w:szCs w:val="21"/>
                <w:highlight w:val="none"/>
                <w:shd w:val="clear" w:color="auto" w:fill="auto"/>
                <w14:textFill>
                  <w14:solidFill>
                    <w14:schemeClr w14:val="tx1"/>
                  </w14:solidFill>
                </w14:textFill>
              </w:rPr>
              <w:t>（无息）</w:t>
            </w:r>
            <w:r>
              <w:rPr>
                <w:rFonts w:hint="eastAsia" w:ascii="宋体" w:hAnsi="宋体"/>
                <w:color w:val="000000" w:themeColor="text1"/>
                <w:sz w:val="21"/>
                <w:szCs w:val="21"/>
                <w:highlight w:val="none"/>
                <w:shd w:val="clear" w:color="auto" w:fill="auto"/>
                <w:lang w:eastAsia="zh-CN"/>
                <w14:textFill>
                  <w14:solidFill>
                    <w14:schemeClr w14:val="tx1"/>
                  </w14:solidFill>
                </w14:textFill>
              </w:rPr>
              <w:t>。</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132DE99">
            <w:pPr>
              <w:keepNext/>
              <w:tabs>
                <w:tab w:val="left" w:pos="2835"/>
              </w:tabs>
              <w:jc w:val="left"/>
              <w:rPr>
                <w:rFonts w:hint="eastAsia" w:ascii="宋体" w:hAnsi="宋体"/>
                <w:sz w:val="21"/>
                <w:szCs w:val="21"/>
                <w:shd w:val="clear" w:color="auto" w:fill="FFFF00"/>
                <w:lang w:val="en-US" w:eastAsia="zh-CN"/>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6DCEFB">
            <w:pPr>
              <w:keepNext/>
              <w:tabs>
                <w:tab w:val="left" w:pos="2835"/>
              </w:tabs>
              <w:jc w:val="left"/>
              <w:rPr>
                <w:rFonts w:hint="eastAsia" w:ascii="宋体" w:hAnsi="宋体"/>
                <w:sz w:val="21"/>
                <w:szCs w:val="21"/>
                <w:shd w:val="clear" w:color="auto" w:fill="FFFF00"/>
                <w:lang w:val="en-US" w:eastAsia="zh-CN"/>
              </w:rPr>
            </w:pPr>
          </w:p>
        </w:tc>
      </w:tr>
      <w:tr w14:paraId="6D46B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pct"/>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14:paraId="1913A188">
            <w:pPr>
              <w:keepNext/>
              <w:widowControl/>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其它要求</w:t>
            </w:r>
          </w:p>
        </w:tc>
        <w:tc>
          <w:tcPr>
            <w:tcW w:w="3253" w:type="pct"/>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F16812C">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eastAsia="zh-CN"/>
              </w:rPr>
              <w:t>1、谈判供应商于响应文件中对所投本项目产品的技术参数要求作出真实、有效的响应和承诺。所提供的产品必须为原装正品的、全新的、完好无破损、符合有关质量标准的产品；到货安装前，采购人现场根据采购文件要求及响应文件承诺逐条对应进行核验，核验不合格的，采购人</w:t>
            </w:r>
            <w:r>
              <w:rPr>
                <w:rFonts w:hint="eastAsia" w:ascii="宋体" w:hAnsi="宋体" w:eastAsia="宋体" w:cs="Times New Roman"/>
                <w:color w:val="000000"/>
                <w:szCs w:val="21"/>
                <w:lang w:eastAsia="zh-CN"/>
              </w:rPr>
              <w:t>有权终止合同</w:t>
            </w:r>
            <w:r>
              <w:rPr>
                <w:rFonts w:hint="eastAsia" w:ascii="宋体" w:hAnsi="宋体" w:eastAsia="宋体" w:cs="Times New Roman"/>
                <w:color w:val="000000"/>
                <w:szCs w:val="21"/>
                <w:highlight w:val="none"/>
                <w:lang w:eastAsia="zh-CN"/>
              </w:rPr>
              <w:t>执行并退货，同时报相关监督管理部门处理，由此造成采购人经济损失的由成交供应商负责承担全部赔偿责任。</w:t>
            </w:r>
          </w:p>
          <w:p w14:paraId="0016B450">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2</w:t>
            </w:r>
            <w:r>
              <w:rPr>
                <w:rFonts w:hint="eastAsia" w:ascii="宋体" w:hAnsi="宋体" w:eastAsia="宋体" w:cs="Times New Roman"/>
                <w:color w:val="000000"/>
                <w:szCs w:val="21"/>
                <w:highlight w:val="none"/>
                <w:lang w:eastAsia="zh-CN"/>
              </w:rPr>
              <w:t>、谈判供应商的</w:t>
            </w:r>
            <w:r>
              <w:rPr>
                <w:rFonts w:hint="eastAsia" w:ascii="宋体" w:hAnsi="宋体" w:eastAsia="宋体" w:cs="Times New Roman"/>
                <w:color w:val="000000"/>
                <w:szCs w:val="21"/>
                <w:lang w:eastAsia="zh-CN"/>
              </w:rPr>
              <w:t>投标报价</w:t>
            </w:r>
            <w:r>
              <w:rPr>
                <w:rFonts w:hint="eastAsia" w:ascii="宋体" w:hAnsi="宋体" w:eastAsia="宋体" w:cs="Times New Roman"/>
                <w:color w:val="000000"/>
                <w:szCs w:val="21"/>
                <w:highlight w:val="none"/>
                <w:lang w:eastAsia="zh-CN"/>
              </w:rPr>
              <w:t>包括本次采购范围内货物价款、货物随配标准附件、包装、运输、装卸、保险、税金、货到位以及安装、调试、检验、售后服务、培训、保修及其他所有成本费用的总和；谈判供应商综合考虑在报价中。</w:t>
            </w:r>
          </w:p>
          <w:p w14:paraId="275CDE83">
            <w:pPr>
              <w:pStyle w:val="90"/>
              <w:keepNext/>
              <w:spacing w:line="400" w:lineRule="exact"/>
              <w:ind w:left="0" w:firstLine="0"/>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3</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 w:val="21"/>
                <w:szCs w:val="21"/>
                <w:highlight w:val="none"/>
                <w:lang w:val="en-US" w:eastAsia="zh-CN" w:bidi="ar-SA"/>
              </w:rPr>
              <w:t>供应商应遵守国家和自治区、市、县人民政府有关安全交明施工的有关规定。如果由于供应商未能对安全交明生产采取必要的措施而导致发生与此有关的人员伤亡、罚款、索赔、损失补偿、诉讼及其他责任，本单位不承担任何责任。</w:t>
            </w:r>
          </w:p>
          <w:p w14:paraId="5579E816">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4、</w:t>
            </w:r>
            <w:r>
              <w:rPr>
                <w:rFonts w:hint="eastAsia" w:ascii="宋体" w:hAnsi="宋体" w:eastAsia="宋体" w:cs="Times New Roman"/>
                <w:color w:val="000000"/>
                <w:szCs w:val="21"/>
                <w:highlight w:val="none"/>
                <w:lang w:eastAsia="zh-CN"/>
              </w:rPr>
              <w:t>本项目货物不接受进口产品（即通过中国海关报关验放进入中国境内且产自关境外的产品）参与竞标，如有此类产品参与竞标的作无效响应处理。</w:t>
            </w:r>
          </w:p>
          <w:p w14:paraId="3A2C1F37">
            <w:pPr>
              <w:keepNext/>
              <w:spacing w:line="400" w:lineRule="exact"/>
              <w:jc w:val="left"/>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val="en-US" w:eastAsia="zh-CN"/>
              </w:rPr>
              <w:t>5、</w:t>
            </w:r>
            <w:r>
              <w:rPr>
                <w:color w:val="auto"/>
                <w:highlight w:val="none"/>
              </w:rPr>
              <w:t>成交供应商</w:t>
            </w:r>
            <w:r>
              <w:rPr>
                <w:rFonts w:hint="eastAsia" w:ascii="宋体" w:hAnsi="宋体" w:eastAsia="宋体" w:cs="Times New Roman"/>
                <w:color w:val="auto"/>
                <w:szCs w:val="21"/>
                <w:highlight w:val="none"/>
                <w:lang w:eastAsia="zh-CN"/>
              </w:rPr>
              <w:t>在</w:t>
            </w:r>
            <w:r>
              <w:rPr>
                <w:rFonts w:hint="eastAsia" w:ascii="宋体" w:hAnsi="宋体" w:cs="Times New Roman"/>
                <w:color w:val="auto"/>
                <w:szCs w:val="21"/>
                <w:highlight w:val="none"/>
                <w:lang w:val="en-US" w:eastAsia="zh-CN"/>
              </w:rPr>
              <w:t>签订合同后，</w:t>
            </w:r>
            <w:r>
              <w:rPr>
                <w:rFonts w:hint="eastAsia" w:ascii="宋体" w:hAnsi="宋体" w:eastAsia="宋体" w:cs="Times New Roman"/>
                <w:color w:val="auto"/>
                <w:szCs w:val="21"/>
                <w:highlight w:val="none"/>
                <w:lang w:eastAsia="zh-CN"/>
              </w:rPr>
              <w:t>正式供货时必须提供第</w:t>
            </w:r>
            <w:r>
              <w:rPr>
                <w:rFonts w:hint="eastAsia" w:ascii="宋体" w:hAnsi="宋体" w:eastAsia="宋体" w:cs="Times New Roman"/>
                <w:color w:val="auto"/>
                <w:szCs w:val="21"/>
                <w:highlight w:val="none"/>
                <w:lang w:val="en-US" w:eastAsia="zh-CN"/>
              </w:rPr>
              <w:t>1项货物“智慧黑板”的</w:t>
            </w:r>
            <w:r>
              <w:rPr>
                <w:rFonts w:hint="eastAsia" w:ascii="宋体" w:hAnsi="宋体" w:eastAsia="宋体" w:cs="Times New Roman"/>
                <w:color w:val="auto"/>
                <w:szCs w:val="21"/>
                <w:highlight w:val="none"/>
                <w:lang w:eastAsia="zh-CN"/>
              </w:rPr>
              <w:t>生产厂家针对此项目的售后服务承诺书</w:t>
            </w:r>
            <w:r>
              <w:rPr>
                <w:rFonts w:hint="eastAsia" w:ascii="宋体" w:hAnsi="宋体" w:eastAsia="宋体" w:cs="Times New Roman"/>
                <w:color w:val="auto"/>
                <w:szCs w:val="21"/>
                <w:highlight w:val="none"/>
                <w:lang w:val="en-US" w:eastAsia="zh-CN"/>
              </w:rPr>
              <w:t>原件</w:t>
            </w:r>
            <w:r>
              <w:rPr>
                <w:rFonts w:hint="eastAsia" w:ascii="宋体" w:hAnsi="宋体" w:eastAsia="宋体" w:cs="Times New Roman"/>
                <w:color w:val="auto"/>
                <w:szCs w:val="21"/>
                <w:highlight w:val="none"/>
                <w:lang w:eastAsia="zh-CN"/>
              </w:rPr>
              <w:t xml:space="preserve">、供货证明原件；否则不予验收。 </w:t>
            </w:r>
          </w:p>
          <w:p w14:paraId="12DA9D9F">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6</w:t>
            </w:r>
            <w:r>
              <w:rPr>
                <w:rFonts w:hint="eastAsia" w:ascii="宋体" w:hAnsi="宋体" w:eastAsia="宋体" w:cs="Times New Roman"/>
                <w:color w:val="000000"/>
                <w:szCs w:val="21"/>
                <w:highlight w:val="none"/>
                <w:lang w:eastAsia="zh-CN"/>
              </w:rPr>
              <w:t xml:space="preserve">、货物在运输过程中的包装破损或货物丢失造成的损失由成交供应商负责。 </w:t>
            </w:r>
          </w:p>
          <w:p w14:paraId="346D1A8D">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7</w:t>
            </w:r>
            <w:r>
              <w:rPr>
                <w:rFonts w:hint="eastAsia" w:ascii="宋体" w:hAnsi="宋体" w:eastAsia="宋体" w:cs="Times New Roman"/>
                <w:color w:val="000000"/>
                <w:szCs w:val="21"/>
                <w:highlight w:val="none"/>
                <w:lang w:eastAsia="zh-CN"/>
              </w:rPr>
              <w:t>、所提供</w:t>
            </w:r>
            <w:r>
              <w:rPr>
                <w:rFonts w:hint="eastAsia" w:ascii="宋体" w:hAnsi="宋体" w:eastAsia="宋体" w:cs="Times New Roman"/>
                <w:color w:val="000000"/>
                <w:szCs w:val="21"/>
                <w:highlight w:val="none"/>
                <w:lang w:val="en-US" w:eastAsia="zh-CN"/>
              </w:rPr>
              <w:t>货物</w:t>
            </w:r>
            <w:r>
              <w:rPr>
                <w:rFonts w:hint="eastAsia" w:ascii="宋体" w:hAnsi="宋体" w:eastAsia="宋体" w:cs="Times New Roman"/>
                <w:color w:val="000000"/>
                <w:szCs w:val="21"/>
                <w:highlight w:val="none"/>
                <w:lang w:eastAsia="zh-CN"/>
              </w:rPr>
              <w:t>必须是未经拆封全新的、符合国家有关认证标准及安全规定的产品，如出现质量问题按国内同类产品国家行业规定全</w:t>
            </w:r>
            <w:r>
              <w:rPr>
                <w:rFonts w:hint="eastAsia" w:ascii="宋体" w:hAnsi="宋体" w:eastAsia="宋体" w:cs="Times New Roman"/>
                <w:color w:val="000000"/>
                <w:szCs w:val="21"/>
                <w:lang w:eastAsia="zh-CN"/>
              </w:rPr>
              <w:t>免费</w:t>
            </w:r>
            <w:r>
              <w:rPr>
                <w:rFonts w:hint="eastAsia" w:ascii="宋体" w:hAnsi="宋体" w:eastAsia="宋体" w:cs="Times New Roman"/>
                <w:color w:val="000000"/>
                <w:szCs w:val="21"/>
                <w:highlight w:val="none"/>
                <w:lang w:eastAsia="zh-CN"/>
              </w:rPr>
              <w:t>上门包换或作退货处理，给采购人造成损失的按实际损失赔偿。若供应商提供的</w:t>
            </w:r>
            <w:r>
              <w:rPr>
                <w:rFonts w:hint="eastAsia" w:ascii="宋体" w:hAnsi="宋体" w:eastAsia="宋体" w:cs="Times New Roman"/>
                <w:color w:val="000000"/>
                <w:szCs w:val="21"/>
                <w:highlight w:val="none"/>
                <w:lang w:val="en-US" w:eastAsia="zh-CN"/>
              </w:rPr>
              <w:t>货物</w:t>
            </w:r>
            <w:r>
              <w:rPr>
                <w:rFonts w:hint="eastAsia" w:ascii="宋体" w:hAnsi="宋体" w:eastAsia="宋体" w:cs="Times New Roman"/>
                <w:color w:val="000000"/>
                <w:szCs w:val="21"/>
                <w:highlight w:val="none"/>
                <w:lang w:eastAsia="zh-CN"/>
              </w:rPr>
              <w:t xml:space="preserve">参数与响应文件不一致的视为虚假应标，采购人有权拒绝接收并保留追究相关责任的权利，由此造成的所有损失及责任由供应商自行承担。 </w:t>
            </w:r>
          </w:p>
          <w:p w14:paraId="206D2141">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8</w:t>
            </w:r>
            <w:r>
              <w:rPr>
                <w:rFonts w:hint="eastAsia" w:ascii="宋体" w:hAnsi="宋体" w:eastAsia="宋体" w:cs="Times New Roman"/>
                <w:color w:val="000000"/>
                <w:szCs w:val="21"/>
                <w:highlight w:val="none"/>
                <w:lang w:eastAsia="zh-CN"/>
              </w:rPr>
              <w:t xml:space="preserve">、采购人对成交产品按采购需求及供应商的响应文件逐条核验，如响应文件技术规格偏离表中承诺的参数与产品实际参数不一致，采购人不予验收，由此造成的损失由成交供应商负责。 </w:t>
            </w:r>
          </w:p>
          <w:p w14:paraId="03CDA128">
            <w:pPr>
              <w:keepNext/>
              <w:spacing w:line="400" w:lineRule="exact"/>
              <w:jc w:val="left"/>
              <w:rPr>
                <w:rFonts w:hint="eastAsia" w:ascii="宋体" w:hAnsi="宋体" w:eastAsia="宋体" w:cs="Times New Roman"/>
                <w:color w:val="000000"/>
                <w:szCs w:val="21"/>
                <w:highlight w:val="none"/>
                <w:lang w:eastAsia="zh-CN"/>
              </w:rPr>
            </w:pPr>
            <w:r>
              <w:rPr>
                <w:rFonts w:hint="eastAsia" w:ascii="宋体" w:hAnsi="宋体" w:eastAsia="宋体" w:cs="Times New Roman"/>
                <w:color w:val="000000"/>
                <w:szCs w:val="21"/>
                <w:highlight w:val="none"/>
                <w:lang w:val="en-US" w:eastAsia="zh-CN"/>
              </w:rPr>
              <w:t>9</w:t>
            </w:r>
            <w:r>
              <w:rPr>
                <w:rFonts w:hint="eastAsia" w:ascii="宋体" w:hAnsi="宋体" w:eastAsia="宋体" w:cs="Times New Roman"/>
                <w:color w:val="000000"/>
                <w:szCs w:val="21"/>
                <w:highlight w:val="none"/>
                <w:lang w:eastAsia="zh-CN"/>
              </w:rPr>
              <w:t>、供应商应保证响应文件中所提供的第三方检测（验）报告均应是通过正规合法程序取得，</w:t>
            </w:r>
            <w:r>
              <w:rPr>
                <w:rFonts w:hint="eastAsia" w:ascii="宋体" w:hAnsi="宋体" w:eastAsia="宋体" w:cs="Times New Roman"/>
                <w:color w:val="000000"/>
                <w:szCs w:val="21"/>
                <w:lang w:val="en-US" w:eastAsia="zh-CN"/>
              </w:rPr>
              <w:t>采购</w:t>
            </w:r>
            <w:r>
              <w:rPr>
                <w:rFonts w:hint="eastAsia" w:ascii="宋体" w:hAnsi="宋体" w:cs="Times New Roman"/>
                <w:color w:val="000000"/>
                <w:szCs w:val="21"/>
                <w:lang w:val="en-US" w:eastAsia="zh-CN"/>
              </w:rPr>
              <w:t>人</w:t>
            </w:r>
            <w:r>
              <w:rPr>
                <w:rFonts w:hint="eastAsia" w:ascii="宋体" w:hAnsi="宋体" w:eastAsia="宋体" w:cs="Times New Roman"/>
                <w:color w:val="000000"/>
                <w:szCs w:val="21"/>
                <w:highlight w:val="none"/>
                <w:lang w:val="en-US" w:eastAsia="zh-CN"/>
              </w:rPr>
              <w:t>有权要求</w:t>
            </w:r>
            <w:r>
              <w:rPr>
                <w:rFonts w:hint="eastAsia" w:ascii="宋体" w:hAnsi="宋体" w:eastAsia="宋体" w:cs="Times New Roman"/>
                <w:color w:val="000000"/>
                <w:szCs w:val="21"/>
                <w:highlight w:val="none"/>
                <w:lang w:eastAsia="zh-CN"/>
              </w:rPr>
              <w:t>成交供应商提供检测机构开具的检测费发票</w:t>
            </w:r>
            <w:r>
              <w:rPr>
                <w:rFonts w:hint="eastAsia" w:ascii="宋体" w:hAnsi="宋体" w:eastAsia="宋体" w:cs="Times New Roman"/>
                <w:color w:val="000000"/>
                <w:szCs w:val="21"/>
                <w:highlight w:val="none"/>
                <w:lang w:val="en-US" w:eastAsia="zh-CN"/>
              </w:rPr>
              <w:t>复印件</w:t>
            </w:r>
            <w:r>
              <w:rPr>
                <w:rFonts w:hint="eastAsia" w:ascii="宋体" w:hAnsi="宋体" w:eastAsia="宋体" w:cs="Times New Roman"/>
                <w:color w:val="000000"/>
                <w:szCs w:val="21"/>
                <w:highlight w:val="none"/>
                <w:lang w:eastAsia="zh-CN"/>
              </w:rPr>
              <w:t>及检测机构的联系方式供采购单位核查，核查未通过或不能提供</w:t>
            </w:r>
            <w:r>
              <w:rPr>
                <w:rFonts w:hint="eastAsia" w:ascii="宋体" w:hAnsi="宋体" w:eastAsia="宋体" w:cs="Times New Roman"/>
                <w:color w:val="000000"/>
                <w:szCs w:val="21"/>
                <w:lang w:eastAsia="zh-CN"/>
              </w:rPr>
              <w:t>原件</w:t>
            </w:r>
            <w:r>
              <w:rPr>
                <w:rFonts w:hint="eastAsia" w:ascii="宋体" w:hAnsi="宋体" w:eastAsia="宋体" w:cs="Times New Roman"/>
                <w:color w:val="000000"/>
                <w:szCs w:val="21"/>
                <w:highlight w:val="none"/>
                <w:lang w:eastAsia="zh-CN"/>
              </w:rPr>
              <w:t>的，采购人将按虚假应标上报相关监督管理部门进行处理，采购单位保留追究成交供应商的相关法律责任的权利。</w:t>
            </w:r>
          </w:p>
          <w:p w14:paraId="2D29E4CC">
            <w:pPr>
              <w:keepNext/>
              <w:spacing w:line="400" w:lineRule="exact"/>
              <w:jc w:val="left"/>
              <w:rPr>
                <w:rFonts w:hint="eastAsia"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10</w:t>
            </w:r>
            <w:r>
              <w:rPr>
                <w:rFonts w:hint="eastAsia" w:ascii="宋体" w:hAnsi="宋体" w:eastAsia="宋体" w:cs="Times New Roman"/>
                <w:color w:val="000000"/>
                <w:szCs w:val="21"/>
                <w:highlight w:val="none"/>
                <w:lang w:eastAsia="zh-CN"/>
              </w:rPr>
              <w:t>、</w:t>
            </w:r>
            <w:r>
              <w:rPr>
                <w:rFonts w:hint="eastAsia" w:ascii="宋体" w:hAnsi="宋体" w:eastAsia="宋体" w:cs="Times New Roman"/>
                <w:color w:val="000000"/>
                <w:szCs w:val="21"/>
                <w:highlight w:val="none"/>
                <w:lang w:val="en-US" w:eastAsia="zh-CN"/>
              </w:rPr>
              <w:t>本项目采购预算金额为人民币</w:t>
            </w:r>
            <w:r>
              <w:rPr>
                <w:rFonts w:hint="eastAsia" w:ascii="宋体" w:hAnsi="宋体" w:cs="宋体"/>
                <w:b/>
                <w:bCs/>
                <w:szCs w:val="21"/>
                <w:lang w:eastAsia="zh-CN"/>
              </w:rPr>
              <w:t>人民币贰佰肆拾柒万肆仟捌佰柒拾元伍角玖分（¥2474870.59元）</w:t>
            </w:r>
            <w:r>
              <w:rPr>
                <w:rFonts w:hint="eastAsia" w:ascii="宋体" w:hAnsi="宋体" w:eastAsia="宋体" w:cs="Times New Roman"/>
                <w:color w:val="000000"/>
                <w:szCs w:val="21"/>
                <w:highlight w:val="none"/>
                <w:lang w:val="en-US" w:eastAsia="zh-CN"/>
              </w:rPr>
              <w:t>，报价超出采购预算金额的，其响应文件按无效处理。</w:t>
            </w:r>
          </w:p>
          <w:p w14:paraId="445D62AA">
            <w:pPr>
              <w:keepNext/>
              <w:spacing w:line="400" w:lineRule="exact"/>
              <w:jc w:val="left"/>
              <w:rPr>
                <w:rFonts w:hint="eastAsia" w:ascii="宋体" w:hAnsi="宋体" w:eastAsia="宋体" w:cs="Times New Roman"/>
                <w:b/>
                <w:bCs/>
                <w:color w:val="000000"/>
                <w:szCs w:val="21"/>
                <w:highlight w:val="none"/>
                <w:lang w:eastAsia="zh-CN"/>
              </w:rPr>
            </w:pPr>
            <w:r>
              <w:rPr>
                <w:rFonts w:hint="eastAsia" w:ascii="宋体" w:hAnsi="宋体" w:eastAsia="宋体" w:cs="Times New Roman"/>
                <w:color w:val="000000"/>
                <w:szCs w:val="21"/>
                <w:highlight w:val="none"/>
                <w:lang w:val="en-US" w:eastAsia="zh-CN"/>
              </w:rPr>
              <w:t>11、</w:t>
            </w:r>
            <w:r>
              <w:rPr>
                <w:rFonts w:hint="eastAsia" w:ascii="宋体" w:hAnsi="宋体" w:eastAsia="宋体" w:cs="Times New Roman"/>
                <w:b/>
                <w:bCs/>
                <w:color w:val="000000"/>
                <w:szCs w:val="21"/>
                <w:highlight w:val="none"/>
                <w:lang w:eastAsia="zh-CN"/>
              </w:rPr>
              <w:t>本采购需求中所有条款为实质性要求和条件，投标人须满足或优于，若无法完全满足，将会被认定为</w:t>
            </w:r>
            <w:r>
              <w:rPr>
                <w:rFonts w:hint="eastAsia" w:ascii="宋体" w:hAnsi="宋体" w:eastAsia="宋体" w:cs="Times New Roman"/>
                <w:b/>
                <w:bCs/>
                <w:color w:val="000000"/>
                <w:szCs w:val="21"/>
                <w:lang w:eastAsia="zh-CN"/>
              </w:rPr>
              <w:t>无效</w:t>
            </w:r>
            <w:r>
              <w:rPr>
                <w:rFonts w:hint="eastAsia" w:ascii="宋体" w:hAnsi="宋体" w:cs="Times New Roman"/>
                <w:b/>
                <w:bCs/>
                <w:color w:val="000000"/>
                <w:szCs w:val="21"/>
                <w:lang w:val="en-US" w:eastAsia="zh-CN"/>
              </w:rPr>
              <w:t>响应</w:t>
            </w:r>
            <w:r>
              <w:rPr>
                <w:rFonts w:hint="eastAsia" w:ascii="宋体" w:hAnsi="宋体" w:eastAsia="宋体" w:cs="Times New Roman"/>
                <w:b/>
                <w:bCs/>
                <w:color w:val="000000"/>
                <w:szCs w:val="21"/>
                <w:highlight w:val="none"/>
                <w:lang w:eastAsia="zh-CN"/>
              </w:rPr>
              <w:t>。</w:t>
            </w:r>
          </w:p>
          <w:p w14:paraId="61BE0A29">
            <w:pPr>
              <w:keepNext/>
              <w:spacing w:line="400" w:lineRule="exact"/>
              <w:jc w:val="left"/>
              <w:rPr>
                <w:rFonts w:ascii="宋体" w:hAnsi="宋体" w:eastAsia="宋体" w:cs="Times New Roman"/>
                <w:b/>
                <w:bCs/>
                <w:color w:val="000000"/>
                <w:szCs w:val="21"/>
                <w:highlight w:val="none"/>
                <w:lang w:val="en-US" w:eastAsia="zh-CN"/>
              </w:rPr>
            </w:pPr>
            <w:r>
              <w:rPr>
                <w:rFonts w:hint="eastAsia" w:ascii="宋体" w:hAnsi="宋体" w:eastAsia="宋体" w:cs="Times New Roman"/>
                <w:b/>
                <w:bCs/>
                <w:color w:val="000000"/>
                <w:szCs w:val="21"/>
                <w:highlight w:val="none"/>
                <w:lang w:val="en-US" w:eastAsia="zh-CN"/>
              </w:rPr>
              <w:t>12、</w:t>
            </w:r>
            <w:r>
              <w:rPr>
                <w:rFonts w:hint="eastAsia" w:ascii="宋体" w:hAnsi="宋体" w:eastAsia="宋体" w:cs="Times New Roman"/>
                <w:b/>
                <w:bCs/>
                <w:color w:val="000000"/>
                <w:szCs w:val="21"/>
                <w:lang w:val="en-US" w:eastAsia="zh-CN"/>
              </w:rPr>
              <w:t>本项目所属行业</w:t>
            </w:r>
            <w:r>
              <w:rPr>
                <w:rFonts w:hint="eastAsia" w:ascii="宋体" w:hAnsi="宋体" w:eastAsia="宋体" w:cs="Times New Roman"/>
                <w:b/>
                <w:bCs/>
                <w:color w:val="000000"/>
                <w:szCs w:val="21"/>
                <w:highlight w:val="none"/>
                <w:lang w:val="en-US" w:eastAsia="zh-CN"/>
              </w:rPr>
              <w:t>为工业。</w:t>
            </w: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33E4F6">
            <w:pPr>
              <w:keepNext/>
              <w:spacing w:line="400" w:lineRule="exact"/>
              <w:jc w:val="left"/>
              <w:rPr>
                <w:rFonts w:hint="eastAsia" w:ascii="宋体" w:hAnsi="宋体" w:eastAsia="宋体" w:cs="Times New Roman"/>
                <w:color w:val="000000"/>
                <w:szCs w:val="21"/>
                <w:highlight w:val="none"/>
                <w:lang w:val="en-US" w:eastAsia="zh-CN"/>
              </w:rPr>
            </w:pPr>
          </w:p>
        </w:tc>
        <w:tc>
          <w:tcPr>
            <w:tcW w:w="50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82653D8">
            <w:pPr>
              <w:keepNext/>
              <w:spacing w:line="400" w:lineRule="exact"/>
              <w:jc w:val="left"/>
              <w:rPr>
                <w:rFonts w:hint="eastAsia" w:ascii="宋体" w:hAnsi="宋体" w:eastAsia="宋体" w:cs="Times New Roman"/>
                <w:color w:val="000000"/>
                <w:szCs w:val="21"/>
                <w:highlight w:val="none"/>
                <w:lang w:val="en-US" w:eastAsia="zh-CN"/>
              </w:rPr>
            </w:pPr>
          </w:p>
        </w:tc>
      </w:tr>
    </w:tbl>
    <w:p w14:paraId="4AF255F6">
      <w:pPr>
        <w:spacing w:line="360" w:lineRule="auto"/>
        <w:jc w:val="center"/>
        <w:textAlignment w:val="center"/>
        <w:rPr>
          <w:rFonts w:hint="eastAsia" w:ascii="宋体" w:hAnsi="宋体" w:cs="宋体"/>
          <w:b/>
          <w:bCs/>
          <w:sz w:val="32"/>
          <w:szCs w:val="32"/>
        </w:rPr>
      </w:pPr>
    </w:p>
    <w:p w14:paraId="48A419D4">
      <w:pPr>
        <w:adjustRightInd w:val="0"/>
        <w:rPr>
          <w:rFonts w:hint="eastAsia" w:ascii="宋体" w:hAnsi="宋体" w:cs="宋体"/>
          <w:b/>
          <w:szCs w:val="21"/>
        </w:rPr>
      </w:pPr>
    </w:p>
    <w:p w14:paraId="52F447EC">
      <w:pPr>
        <w:pStyle w:val="3"/>
        <w:spacing w:line="360" w:lineRule="auto"/>
        <w:jc w:val="both"/>
        <w:rPr>
          <w:rFonts w:hint="eastAsia"/>
          <w:sz w:val="32"/>
          <w:szCs w:val="32"/>
        </w:rPr>
      </w:pPr>
      <w:bookmarkStart w:id="571" w:name="_Toc2465"/>
      <w:bookmarkStart w:id="572" w:name="_Toc7414"/>
      <w:bookmarkStart w:id="573" w:name="_Toc26443"/>
      <w:bookmarkStart w:id="574" w:name="_Toc14654"/>
      <w:bookmarkStart w:id="575" w:name="_Toc25576"/>
      <w:bookmarkStart w:id="576" w:name="_Toc32593"/>
      <w:bookmarkStart w:id="577" w:name="_Toc7819"/>
      <w:bookmarkStart w:id="578" w:name="_Toc6632"/>
      <w:bookmarkStart w:id="579" w:name="_Toc29717"/>
      <w:bookmarkStart w:id="580" w:name="_Toc21572"/>
      <w:bookmarkStart w:id="581" w:name="_Toc13874"/>
      <w:bookmarkStart w:id="582" w:name="bookmark1"/>
      <w:bookmarkStart w:id="583" w:name="_Toc3679_WPSOffice_Level1"/>
    </w:p>
    <w:p w14:paraId="3F695499">
      <w:pPr>
        <w:rPr>
          <w:rFonts w:hint="eastAsia" w:eastAsia="宋体"/>
          <w:sz w:val="32"/>
          <w:szCs w:val="32"/>
          <w:lang w:val="en-US" w:eastAsia="zh-CN"/>
        </w:rPr>
      </w:pPr>
    </w:p>
    <w:p w14:paraId="23BD9008">
      <w:pPr>
        <w:rPr>
          <w:rFonts w:hint="eastAsia"/>
          <w:sz w:val="32"/>
          <w:szCs w:val="32"/>
        </w:rPr>
      </w:pPr>
    </w:p>
    <w:p w14:paraId="3F636DB7">
      <w:pPr>
        <w:rPr>
          <w:rFonts w:hint="eastAsia"/>
          <w:sz w:val="32"/>
          <w:szCs w:val="32"/>
        </w:rPr>
      </w:pPr>
    </w:p>
    <w:p w14:paraId="29CE6340">
      <w:pPr>
        <w:rPr>
          <w:rFonts w:hint="eastAsia"/>
          <w:sz w:val="32"/>
          <w:szCs w:val="32"/>
        </w:rPr>
      </w:pPr>
    </w:p>
    <w:p w14:paraId="20523011">
      <w:pPr>
        <w:rPr>
          <w:rFonts w:hint="eastAsia"/>
          <w:sz w:val="32"/>
          <w:szCs w:val="32"/>
        </w:rPr>
      </w:pPr>
    </w:p>
    <w:p w14:paraId="2A43E7F7">
      <w:pPr>
        <w:rPr>
          <w:rFonts w:hint="eastAsia"/>
          <w:sz w:val="32"/>
          <w:szCs w:val="32"/>
        </w:rPr>
      </w:pPr>
    </w:p>
    <w:p w14:paraId="496C9EB4">
      <w:pPr>
        <w:rPr>
          <w:rFonts w:hint="eastAsia"/>
          <w:sz w:val="32"/>
          <w:szCs w:val="32"/>
        </w:rPr>
      </w:pPr>
    </w:p>
    <w:p w14:paraId="0D073EE7">
      <w:pPr>
        <w:rPr>
          <w:rFonts w:hint="eastAsia"/>
          <w:sz w:val="32"/>
          <w:szCs w:val="32"/>
        </w:rPr>
      </w:pPr>
    </w:p>
    <w:p w14:paraId="1B1B6545">
      <w:pPr>
        <w:rPr>
          <w:rFonts w:hint="eastAsia"/>
          <w:sz w:val="32"/>
          <w:szCs w:val="32"/>
        </w:rPr>
      </w:pPr>
    </w:p>
    <w:p w14:paraId="4DF9B497">
      <w:pPr>
        <w:rPr>
          <w:rFonts w:hint="eastAsia"/>
          <w:sz w:val="32"/>
          <w:szCs w:val="32"/>
        </w:rPr>
      </w:pPr>
    </w:p>
    <w:p w14:paraId="074EF6E6">
      <w:pPr>
        <w:rPr>
          <w:rFonts w:hint="eastAsia"/>
          <w:sz w:val="32"/>
          <w:szCs w:val="32"/>
        </w:rPr>
      </w:pPr>
    </w:p>
    <w:p w14:paraId="3266E0E5">
      <w:pPr>
        <w:rPr>
          <w:rFonts w:hint="eastAsia"/>
          <w:sz w:val="32"/>
          <w:szCs w:val="32"/>
        </w:rPr>
      </w:pPr>
    </w:p>
    <w:p w14:paraId="05CF8062">
      <w:pPr>
        <w:rPr>
          <w:rFonts w:hint="eastAsia"/>
          <w:sz w:val="32"/>
          <w:szCs w:val="32"/>
        </w:rPr>
      </w:pPr>
    </w:p>
    <w:p w14:paraId="47709957">
      <w:pPr>
        <w:rPr>
          <w:rFonts w:hint="eastAsia"/>
          <w:sz w:val="32"/>
          <w:szCs w:val="32"/>
        </w:rPr>
      </w:pPr>
    </w:p>
    <w:p w14:paraId="610AF575">
      <w:pPr>
        <w:pStyle w:val="3"/>
        <w:spacing w:line="360" w:lineRule="auto"/>
        <w:ind w:firstLine="3840" w:firstLineChars="1200"/>
        <w:jc w:val="both"/>
        <w:rPr>
          <w:rFonts w:hint="eastAsia"/>
        </w:rPr>
      </w:pPr>
      <w:r>
        <w:rPr>
          <w:rFonts w:hint="eastAsia"/>
          <w:sz w:val="32"/>
          <w:szCs w:val="32"/>
        </w:rPr>
        <w:t>第四章 评审办法</w:t>
      </w:r>
      <w:bookmarkEnd w:id="571"/>
      <w:bookmarkEnd w:id="572"/>
      <w:bookmarkEnd w:id="573"/>
      <w:bookmarkEnd w:id="574"/>
      <w:bookmarkEnd w:id="575"/>
      <w:bookmarkEnd w:id="576"/>
      <w:bookmarkEnd w:id="577"/>
      <w:bookmarkEnd w:id="578"/>
      <w:bookmarkEnd w:id="579"/>
      <w:bookmarkEnd w:id="580"/>
      <w:bookmarkEnd w:id="581"/>
    </w:p>
    <w:bookmarkEnd w:id="582"/>
    <w:p w14:paraId="0DF9A806">
      <w:pPr>
        <w:spacing w:line="360" w:lineRule="auto"/>
        <w:ind w:firstLine="420" w:firstLineChars="200"/>
        <w:rPr>
          <w:b/>
          <w:bCs/>
        </w:rPr>
      </w:pPr>
      <w:r>
        <w:rPr>
          <w:rFonts w:hint="eastAsia"/>
          <w:b/>
          <w:bCs/>
        </w:rPr>
        <w:t>一、评审依据</w:t>
      </w:r>
    </w:p>
    <w:p w14:paraId="63010314">
      <w:pPr>
        <w:spacing w:line="360" w:lineRule="auto"/>
        <w:ind w:firstLine="420" w:firstLineChars="200"/>
        <w:rPr>
          <w:rFonts w:ascii="宋体" w:cs="宋体"/>
          <w:szCs w:val="21"/>
        </w:rPr>
      </w:pPr>
      <w:r>
        <w:rPr>
          <w:rFonts w:ascii="宋体" w:hAnsi="宋体" w:cs="宋体"/>
          <w:szCs w:val="21"/>
        </w:rPr>
        <w:t xml:space="preserve">1. </w:t>
      </w:r>
      <w:r>
        <w:rPr>
          <w:rFonts w:hint="eastAsia" w:ascii="宋体" w:hAnsi="宋体" w:cs="宋体"/>
          <w:szCs w:val="21"/>
        </w:rPr>
        <w:t>评审依据：谈判小组以谈判文件和响应文件为评审依据。</w:t>
      </w:r>
    </w:p>
    <w:p w14:paraId="4F14773C">
      <w:pPr>
        <w:spacing w:line="360" w:lineRule="auto"/>
        <w:ind w:firstLine="420" w:firstLineChars="200"/>
        <w:rPr>
          <w:rFonts w:ascii="宋体" w:cs="宋体"/>
          <w:szCs w:val="21"/>
        </w:rPr>
      </w:pPr>
      <w:r>
        <w:rPr>
          <w:rFonts w:ascii="宋体" w:hAnsi="宋体" w:cs="宋体"/>
          <w:szCs w:val="21"/>
        </w:rPr>
        <w:t xml:space="preserve">2. </w:t>
      </w:r>
      <w:r>
        <w:rPr>
          <w:rFonts w:hint="eastAsia" w:ascii="宋体" w:hAnsi="宋体" w:cs="宋体"/>
          <w:szCs w:val="21"/>
        </w:rPr>
        <w:t>采购人和采购代理机构、竞争性谈判小组成员要严格遵守政府采购相关法律制度，依法履行各自职责，公正、客观、审慎地组织和参与评审工作。</w:t>
      </w:r>
    </w:p>
    <w:p w14:paraId="19E91288">
      <w:pPr>
        <w:ind w:firstLine="420" w:firstLineChars="200"/>
        <w:rPr>
          <w:b/>
          <w:bCs/>
        </w:rPr>
      </w:pPr>
      <w:r>
        <w:rPr>
          <w:rFonts w:hint="eastAsia"/>
          <w:b/>
          <w:bCs/>
        </w:rPr>
        <w:t>二、评审办法</w:t>
      </w:r>
    </w:p>
    <w:p w14:paraId="52308950">
      <w:pPr>
        <w:spacing w:line="360" w:lineRule="auto"/>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lang w:val="en-US" w:eastAsia="zh-CN"/>
        </w:rPr>
        <w:t>一</w:t>
      </w:r>
      <w:r>
        <w:rPr>
          <w:rFonts w:hint="eastAsia" w:ascii="宋体" w:hAnsi="宋体" w:cs="宋体"/>
          <w:szCs w:val="21"/>
          <w:lang w:eastAsia="zh-CN"/>
        </w:rPr>
        <w:t>）</w:t>
      </w:r>
      <w:r>
        <w:rPr>
          <w:rFonts w:ascii="宋体" w:hAnsi="宋体" w:cs="宋体"/>
          <w:szCs w:val="21"/>
        </w:rPr>
        <w:t xml:space="preserve"> </w:t>
      </w:r>
      <w:r>
        <w:rPr>
          <w:rFonts w:hint="eastAsia" w:ascii="宋体" w:hAnsi="宋体" w:cs="宋体"/>
          <w:szCs w:val="21"/>
        </w:rPr>
        <w:t>谈判小组应当从质量和服务均能满足竞争性谈判文件全部实质性响应要求的供应商中，按照评审报价由低到高顺序提出</w:t>
      </w:r>
      <w:r>
        <w:rPr>
          <w:rFonts w:ascii="宋体" w:hAnsi="宋体" w:cs="宋体"/>
          <w:szCs w:val="21"/>
        </w:rPr>
        <w:t>3</w:t>
      </w:r>
      <w:r>
        <w:rPr>
          <w:rFonts w:hint="eastAsia" w:ascii="宋体" w:hAnsi="宋体" w:cs="宋体"/>
          <w:szCs w:val="21"/>
        </w:rPr>
        <w:t>名以上（含</w:t>
      </w:r>
      <w:r>
        <w:rPr>
          <w:rFonts w:ascii="宋体" w:hAnsi="宋体" w:cs="宋体"/>
          <w:szCs w:val="21"/>
        </w:rPr>
        <w:t>3</w:t>
      </w:r>
      <w:r>
        <w:rPr>
          <w:rFonts w:hint="eastAsia" w:ascii="宋体" w:hAnsi="宋体" w:cs="宋体"/>
          <w:szCs w:val="21"/>
        </w:rPr>
        <w:t>名）成交候选供应商。</w:t>
      </w:r>
    </w:p>
    <w:p w14:paraId="4C3623A4">
      <w:pPr>
        <w:spacing w:line="360" w:lineRule="auto"/>
        <w:ind w:firstLine="420" w:firstLineChars="200"/>
        <w:rPr>
          <w:rFonts w:hint="eastAsia" w:ascii="宋体" w:hAnsi="宋体" w:eastAsia="宋体" w:cs="宋体"/>
          <w:szCs w:val="21"/>
          <w:lang w:eastAsia="zh-CN"/>
        </w:rPr>
      </w:pPr>
      <w:r>
        <w:rPr>
          <w:rFonts w:hint="eastAsia" w:ascii="宋体" w:hAnsi="宋体" w:cs="宋体"/>
          <w:szCs w:val="21"/>
          <w:lang w:eastAsia="zh-CN"/>
        </w:rPr>
        <w:t>（二）政策性扣除</w:t>
      </w:r>
    </w:p>
    <w:p w14:paraId="2B04643F">
      <w:pPr>
        <w:spacing w:line="360" w:lineRule="auto"/>
        <w:ind w:firstLine="420" w:firstLineChars="200"/>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根据</w:t>
      </w:r>
      <w:r>
        <w:rPr>
          <w:rFonts w:hint="default" w:ascii="宋体" w:hAnsi="宋体" w:eastAsia="宋体" w:cs="宋体"/>
          <w:bCs w:val="0"/>
          <w:szCs w:val="21"/>
          <w:lang w:eastAsia="zh-CN"/>
        </w:rPr>
        <w:t>《广西壮族自治区财政厅关于持续优化政府采购营商环境推动高质量发展的通知》（桂财采〔2024〕55号）</w:t>
      </w:r>
      <w:r>
        <w:rPr>
          <w:rFonts w:hint="eastAsia" w:ascii="宋体" w:hAnsi="宋体" w:eastAsia="宋体" w:cs="宋体"/>
          <w:bCs/>
          <w:color w:val="auto"/>
          <w:szCs w:val="21"/>
          <w:highlight w:val="none"/>
        </w:rPr>
        <w:t>的规定</w:t>
      </w:r>
      <w:r>
        <w:rPr>
          <w:rFonts w:hint="eastAsia" w:ascii="宋体" w:hAnsi="宋体" w:cs="宋体"/>
          <w:szCs w:val="21"/>
        </w:rPr>
        <w:t>，凡符合《政府采购促进中小企业发展管理办法》（财库〔2020〕46号）规定条件且按该办法中规定的格式提供了《中小企业声明函》的小型和微型企业，对其最后报价给予20%的扣除，扣除后的价格为评审报价，即评审报价=最后报价</w:t>
      </w:r>
      <w:r>
        <w:rPr>
          <w:rFonts w:hint="eastAsia" w:ascii="宋体" w:hAnsi="宋体" w:cs="宋体"/>
          <w:szCs w:val="21"/>
          <w:lang w:eastAsia="zh-CN"/>
        </w:rPr>
        <w:t>×</w:t>
      </w:r>
      <w:r>
        <w:rPr>
          <w:rFonts w:hint="eastAsia" w:ascii="宋体" w:hAnsi="宋体" w:cs="宋体"/>
          <w:szCs w:val="21"/>
        </w:rPr>
        <w:t>（1-20%）。</w:t>
      </w:r>
    </w:p>
    <w:p w14:paraId="4040AAED">
      <w:pPr>
        <w:spacing w:line="360" w:lineRule="auto"/>
        <w:ind w:firstLine="420" w:firstLineChars="200"/>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根据《关于政府采购支持监狱企业发展有关问题的通知》(财库〔2014〕68号)和《关于促进残疾人就业政府采购政策的通知》（财库〔2017〕141 号）</w:t>
      </w:r>
      <w:r>
        <w:rPr>
          <w:rFonts w:hint="eastAsia" w:ascii="宋体" w:hAnsi="宋体" w:eastAsia="宋体" w:cs="宋体"/>
          <w:bCs/>
          <w:color w:val="auto"/>
          <w:szCs w:val="21"/>
          <w:highlight w:val="none"/>
        </w:rPr>
        <w:t>的规定</w:t>
      </w:r>
      <w:r>
        <w:rPr>
          <w:rFonts w:hint="eastAsia" w:ascii="宋体" w:hAnsi="宋体" w:cs="宋体"/>
          <w:szCs w:val="21"/>
          <w:lang w:eastAsia="zh-CN"/>
        </w:rPr>
        <w:t>，</w:t>
      </w:r>
      <w:r>
        <w:rPr>
          <w:rFonts w:hint="eastAsia" w:ascii="宋体" w:hAnsi="宋体" w:cs="宋体"/>
          <w:szCs w:val="21"/>
        </w:rPr>
        <w:t>监狱企业和符合条件的残疾人福利性单位视同小型、微型企业，享受小型、微型企业评审中价格扣除的政府采购政策，不重复享受政策。监狱企业参加政府采购活动时，应当提供由省级以上监狱管理局、戒毒管理局(含新疆生产建设兵团)出具的属于监狱企业的证明文件；符合条件的残疾人福利性单位在参加政府采购活动时，应当提供本通知规定的《残疾人福利性单位声明函》，并对声明的真实性负责。</w:t>
      </w:r>
    </w:p>
    <w:p w14:paraId="6BD0209A">
      <w:pPr>
        <w:pStyle w:val="14"/>
        <w:spacing w:line="360" w:lineRule="auto"/>
        <w:ind w:firstLine="420" w:firstLineChars="200"/>
        <w:rPr>
          <w:rFonts w:hint="eastAsia" w:ascii="宋体" w:hAnsi="宋体" w:eastAsia="宋体" w:cs="宋体"/>
          <w:b/>
          <w:bCs/>
          <w:sz w:val="21"/>
          <w:szCs w:val="21"/>
          <w:lang w:val="en-US" w:eastAsia="zh-CN"/>
        </w:rPr>
      </w:pPr>
      <w:r>
        <w:rPr>
          <w:rFonts w:hint="eastAsia" w:ascii="宋体" w:hAnsi="宋体" w:eastAsia="宋体" w:cs="宋体"/>
          <w:b/>
          <w:bCs/>
          <w:sz w:val="21"/>
          <w:szCs w:val="21"/>
          <w:highlight w:val="none"/>
          <w:lang w:val="en-US" w:eastAsia="zh-CN"/>
        </w:rPr>
        <w:t>3.根据《</w:t>
      </w:r>
      <w:r>
        <w:rPr>
          <w:rFonts w:hint="eastAsia" w:ascii="宋体" w:hAnsi="宋体" w:eastAsia="宋体" w:cs="宋体"/>
          <w:b/>
          <w:bCs/>
          <w:i w:val="0"/>
          <w:iCs w:val="0"/>
          <w:caps w:val="0"/>
          <w:spacing w:val="0"/>
          <w:sz w:val="21"/>
          <w:szCs w:val="21"/>
          <w:highlight w:val="none"/>
          <w:shd w:val="clear" w:color="auto" w:fill="auto"/>
        </w:rPr>
        <w:t>国务院办公厅关于在政府采购中实施本国产品标准及相关政策的通知</w:t>
      </w:r>
      <w:r>
        <w:rPr>
          <w:rFonts w:hint="eastAsia" w:ascii="宋体" w:hAnsi="宋体" w:eastAsia="宋体" w:cs="宋体"/>
          <w:b/>
          <w:bCs/>
          <w:sz w:val="21"/>
          <w:szCs w:val="21"/>
          <w:highlight w:val="none"/>
          <w:lang w:val="en-US" w:eastAsia="zh-CN"/>
        </w:rPr>
        <w:t>》（国办发〔2025〕34号）</w:t>
      </w:r>
      <w:r>
        <w:rPr>
          <w:rFonts w:hint="eastAsia" w:ascii="宋体" w:hAnsi="宋体" w:eastAsia="宋体" w:cs="宋体"/>
          <w:b/>
          <w:bCs/>
          <w:sz w:val="21"/>
          <w:szCs w:val="21"/>
          <w:lang w:val="en-US" w:eastAsia="zh-CN"/>
        </w:rPr>
        <w:t>的规定，供应商在其响应文件中提供</w:t>
      </w:r>
      <w:r>
        <w:rPr>
          <w:rFonts w:hint="eastAsia" w:ascii="宋体" w:hAnsi="宋体" w:cs="宋体"/>
          <w:b/>
          <w:bCs/>
          <w:sz w:val="21"/>
          <w:szCs w:val="21"/>
          <w:lang w:val="en-US" w:eastAsia="zh-CN"/>
        </w:rPr>
        <w:t>符合要求的</w:t>
      </w:r>
      <w:r>
        <w:rPr>
          <w:rFonts w:hint="eastAsia" w:ascii="宋体" w:hAnsi="宋体" w:eastAsia="宋体" w:cs="宋体"/>
          <w:b/>
          <w:bCs/>
          <w:sz w:val="21"/>
          <w:szCs w:val="21"/>
          <w:lang w:val="en-US" w:eastAsia="zh-CN"/>
        </w:rPr>
        <w:t>《关于符合本国产品标准的声明函》或财政部会同有关部门规定的有关证明文件的，对其竞标报价给予20%的扣除，扣除后的价格为评审价，即评审报价=最后报价×（1-20 %）。（注：如所有参与投标竞争的供应商提供的都是本国产品，则不再执行该项价格评审优惠的扶持政策。）</w:t>
      </w:r>
    </w:p>
    <w:p w14:paraId="70AE97DF">
      <w:pPr>
        <w:spacing w:line="360" w:lineRule="auto"/>
        <w:ind w:firstLine="420" w:firstLineChars="200"/>
        <w:rPr>
          <w:rFonts w:hint="eastAsia" w:ascii="宋体" w:hAnsi="宋体" w:cs="宋体"/>
          <w:b/>
          <w:bCs/>
          <w:szCs w:val="21"/>
          <w:highlight w:val="none"/>
          <w:lang w:eastAsia="zh-CN"/>
        </w:rPr>
      </w:pPr>
      <w:r>
        <w:rPr>
          <w:rFonts w:hint="eastAsia" w:ascii="宋体" w:hAnsi="宋体" w:cs="宋体"/>
          <w:b/>
          <w:bCs/>
          <w:color w:val="000000"/>
          <w:szCs w:val="21"/>
          <w:highlight w:val="none"/>
        </w:rPr>
        <w:t>如供应商同时满足小微企业（含监狱企业和符合条件的残疾人福利性单位）和符合本国产品标准的企业，</w:t>
      </w:r>
      <w:r>
        <w:rPr>
          <w:rFonts w:hint="eastAsia" w:ascii="宋体" w:hAnsi="宋体" w:cs="宋体"/>
          <w:b/>
          <w:bCs/>
          <w:color w:val="000000"/>
          <w:szCs w:val="21"/>
          <w:highlight w:val="none"/>
          <w:lang w:eastAsia="zh-CN"/>
        </w:rPr>
        <w:t>其</w:t>
      </w:r>
      <w:r>
        <w:rPr>
          <w:rFonts w:hint="eastAsia" w:ascii="宋体" w:hAnsi="宋体" w:cs="宋体"/>
          <w:b/>
          <w:bCs/>
          <w:szCs w:val="21"/>
          <w:highlight w:val="none"/>
        </w:rPr>
        <w:t>报价</w:t>
      </w:r>
      <w:r>
        <w:rPr>
          <w:rFonts w:hint="eastAsia" w:ascii="宋体" w:hAnsi="宋体" w:cs="宋体"/>
          <w:b/>
          <w:bCs/>
          <w:szCs w:val="21"/>
          <w:highlight w:val="none"/>
          <w:lang w:eastAsia="zh-CN"/>
        </w:rPr>
        <w:t>可以同时进行扣除，</w:t>
      </w:r>
      <w:r>
        <w:rPr>
          <w:rFonts w:hint="eastAsia" w:ascii="宋体" w:hAnsi="宋体" w:cs="宋体"/>
          <w:b/>
          <w:bCs/>
          <w:color w:val="000000"/>
          <w:szCs w:val="21"/>
          <w:highlight w:val="none"/>
        </w:rPr>
        <w:t>扣除后的价格为评审</w:t>
      </w:r>
      <w:r>
        <w:rPr>
          <w:rFonts w:hint="eastAsia" w:ascii="宋体" w:hAnsi="宋体" w:cs="宋体"/>
          <w:b/>
          <w:bCs/>
          <w:color w:val="000000"/>
          <w:szCs w:val="21"/>
          <w:highlight w:val="none"/>
          <w:lang w:eastAsia="zh-CN"/>
        </w:rPr>
        <w:t>报</w:t>
      </w:r>
      <w:r>
        <w:rPr>
          <w:rFonts w:hint="eastAsia" w:ascii="宋体" w:hAnsi="宋体" w:cs="宋体"/>
          <w:b/>
          <w:bCs/>
          <w:color w:val="000000"/>
          <w:szCs w:val="21"/>
          <w:highlight w:val="none"/>
        </w:rPr>
        <w:t>价，即</w:t>
      </w:r>
      <w:r>
        <w:rPr>
          <w:rFonts w:hint="eastAsia" w:ascii="宋体" w:hAnsi="宋体" w:cs="宋体"/>
          <w:b/>
          <w:bCs/>
          <w:szCs w:val="21"/>
          <w:highlight w:val="none"/>
        </w:rPr>
        <w:t>评审报价=最后报价</w:t>
      </w:r>
      <w:r>
        <w:rPr>
          <w:rFonts w:hint="eastAsia" w:ascii="宋体" w:hAnsi="宋体" w:cs="宋体"/>
          <w:b/>
          <w:bCs/>
          <w:szCs w:val="21"/>
          <w:highlight w:val="none"/>
          <w:lang w:eastAsia="zh-CN"/>
        </w:rPr>
        <w:t>×</w:t>
      </w:r>
      <w:r>
        <w:rPr>
          <w:rFonts w:hint="eastAsia" w:ascii="宋体" w:hAnsi="宋体" w:cs="宋体"/>
          <w:b/>
          <w:bCs/>
          <w:szCs w:val="21"/>
          <w:highlight w:val="none"/>
        </w:rPr>
        <w:t>（1-20%-20%）</w:t>
      </w:r>
      <w:r>
        <w:rPr>
          <w:rFonts w:hint="eastAsia" w:ascii="宋体" w:hAnsi="宋体" w:cs="宋体"/>
          <w:b/>
          <w:bCs/>
          <w:szCs w:val="21"/>
          <w:highlight w:val="none"/>
          <w:lang w:eastAsia="zh-CN"/>
        </w:rPr>
        <w:t>。</w:t>
      </w:r>
    </w:p>
    <w:p w14:paraId="6A3144F8">
      <w:pPr>
        <w:spacing w:line="360" w:lineRule="auto"/>
        <w:ind w:firstLine="420" w:firstLineChars="200"/>
        <w:rPr>
          <w:rFonts w:ascii="宋体" w:cs="宋体"/>
          <w:szCs w:val="21"/>
        </w:rPr>
      </w:pPr>
      <w:r>
        <w:rPr>
          <w:rFonts w:hint="eastAsia" w:ascii="宋体" w:hAnsi="宋体" w:cs="宋体"/>
          <w:szCs w:val="21"/>
        </w:rPr>
        <w:t>除上述情况外，评审报价</w:t>
      </w:r>
      <w:r>
        <w:rPr>
          <w:rFonts w:ascii="宋体" w:hAnsi="宋体" w:cs="宋体"/>
          <w:szCs w:val="21"/>
        </w:rPr>
        <w:t>=</w:t>
      </w:r>
      <w:r>
        <w:rPr>
          <w:rFonts w:hint="eastAsia" w:ascii="宋体" w:hAnsi="宋体" w:cs="宋体"/>
          <w:szCs w:val="21"/>
        </w:rPr>
        <w:t>最后报价。</w:t>
      </w:r>
    </w:p>
    <w:p w14:paraId="171A88CD">
      <w:pPr>
        <w:pStyle w:val="13"/>
        <w:spacing w:line="400" w:lineRule="exact"/>
        <w:rPr>
          <w:rFonts w:hint="eastAsia" w:hAnsi="宋体" w:cs="宋体"/>
          <w:b/>
          <w:bCs/>
          <w:kern w:val="2"/>
          <w:sz w:val="21"/>
        </w:rPr>
      </w:pPr>
      <w:r>
        <w:rPr>
          <w:rFonts w:hint="eastAsia" w:hAnsi="宋体" w:cs="宋体"/>
          <w:b/>
          <w:bCs/>
          <w:kern w:val="2"/>
          <w:sz w:val="21"/>
        </w:rPr>
        <w:t>注：①谈判小组应当按扣除后的报价由低到高进行排序，该扣除后报价仅作为评审报价排序，不作为合同签订报价，合同将按实际最后报价签订。</w:t>
      </w:r>
    </w:p>
    <w:p w14:paraId="3B121279">
      <w:pPr>
        <w:pStyle w:val="13"/>
        <w:spacing w:line="400" w:lineRule="exact"/>
        <w:ind w:firstLine="420" w:firstLineChars="200"/>
        <w:rPr>
          <w:rFonts w:hint="eastAsia" w:hAnsi="宋体" w:cs="宋体"/>
          <w:b/>
          <w:bCs/>
          <w:kern w:val="2"/>
          <w:sz w:val="21"/>
        </w:rPr>
      </w:pPr>
      <w:r>
        <w:rPr>
          <w:rFonts w:hint="eastAsia" w:hAnsi="宋体" w:cs="宋体"/>
          <w:b/>
          <w:bCs/>
          <w:kern w:val="2"/>
          <w:sz w:val="21"/>
        </w:rPr>
        <w:t>②中小微型企业划分标准按照《国家统计局关于印发&lt;统计上大中小微型企业划分办法〔2017〕&gt;的通知》（国统字〔2017〕213号）执行，具体划分标准见附表《统计上大中小微型企业划分标准》。</w:t>
      </w:r>
    </w:p>
    <w:p w14:paraId="1DE17F07">
      <w:pPr>
        <w:spacing w:line="360" w:lineRule="auto"/>
        <w:ind w:firstLine="420" w:firstLineChars="200"/>
        <w:rPr>
          <w:rFonts w:hint="eastAsia" w:ascii="宋体" w:hAnsi="宋体" w:cs="宋体"/>
          <w:b/>
          <w:bCs/>
          <w:szCs w:val="21"/>
        </w:rPr>
      </w:pPr>
      <w:r>
        <w:rPr>
          <w:rFonts w:hint="eastAsia" w:ascii="宋体" w:hAnsi="宋体" w:cs="宋体"/>
          <w:szCs w:val="21"/>
          <w:lang w:eastAsia="zh-CN"/>
        </w:rPr>
        <w:t>（</w:t>
      </w:r>
      <w:r>
        <w:rPr>
          <w:rFonts w:hint="eastAsia" w:ascii="宋体" w:hAnsi="宋体" w:cs="宋体"/>
          <w:szCs w:val="21"/>
          <w:lang w:val="en-US" w:eastAsia="zh-CN"/>
        </w:rPr>
        <w:t>三</w:t>
      </w:r>
      <w:r>
        <w:rPr>
          <w:rFonts w:hint="eastAsia" w:ascii="宋体" w:hAnsi="宋体" w:cs="宋体"/>
          <w:szCs w:val="21"/>
          <w:lang w:eastAsia="zh-CN"/>
        </w:rPr>
        <w:t>）</w:t>
      </w:r>
      <w:r>
        <w:rPr>
          <w:rFonts w:hint="eastAsia" w:ascii="宋体" w:hAnsi="宋体" w:cs="宋体"/>
          <w:szCs w:val="21"/>
        </w:rPr>
        <w:t>评审时，应当将通过资格性审查和符合性审查各供应商的评审报价，按照由低到高顺序排序，当评审报价相同时，以最后报价低的优先排序；当最后报价相同时，则依次按技术指标高优先、售后服务优先原则排序。</w:t>
      </w:r>
    </w:p>
    <w:p w14:paraId="3A7A2A9F">
      <w:pPr>
        <w:ind w:firstLine="420" w:firstLineChars="200"/>
        <w:rPr>
          <w:rFonts w:hint="eastAsia"/>
          <w:b/>
          <w:bCs/>
        </w:rPr>
      </w:pPr>
      <w:r>
        <w:rPr>
          <w:rFonts w:hint="eastAsia"/>
          <w:b/>
          <w:bCs/>
        </w:rPr>
        <w:t>三、成交候选人推荐原则</w:t>
      </w:r>
    </w:p>
    <w:p w14:paraId="36124869">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）采购单位应当确定谈判小组推荐排名第一的成交候选人为成交供应商。</w:t>
      </w:r>
    </w:p>
    <w:p w14:paraId="0C300B87">
      <w:pPr>
        <w:spacing w:line="360" w:lineRule="auto"/>
        <w:ind w:firstLine="420" w:firstLineChars="200"/>
        <w:rPr>
          <w:rFonts w:asci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排名第一的成交候选人放弃成交、因不可抗力提出不能履行合同，或者竞争性谈判文件规定应当提交履约保证金而在规定的期限内未能提交的，或因失信行为被取消成交候选人资格的，采购单位可以确定排名第二的成交候选人为成交供应商。</w:t>
      </w:r>
    </w:p>
    <w:p w14:paraId="15227E83">
      <w:pPr>
        <w:spacing w:line="360" w:lineRule="auto"/>
        <w:ind w:firstLine="420" w:firstLineChars="200"/>
        <w:rPr>
          <w:rFonts w:hint="eastAsia"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）排名第二的成交候选人因前款规定的同样原因不能签订合同的，采购单位可以确定排名第三的成交候选人为成交供应商。</w:t>
      </w:r>
    </w:p>
    <w:p w14:paraId="71757B84">
      <w:pPr>
        <w:spacing w:line="360" w:lineRule="auto"/>
        <w:ind w:firstLine="420" w:firstLineChars="200"/>
        <w:jc w:val="left"/>
        <w:rPr>
          <w:rFonts w:ascii="宋体" w:hAnsi="宋体" w:cs="宋体"/>
          <w:b/>
          <w:szCs w:val="21"/>
        </w:rPr>
      </w:pPr>
      <w:r>
        <w:rPr>
          <w:rFonts w:hint="eastAsia" w:ascii="宋体" w:hAnsi="宋体" w:cs="宋体"/>
          <w:b/>
          <w:szCs w:val="21"/>
        </w:rPr>
        <w:t>四、特别说明</w:t>
      </w:r>
    </w:p>
    <w:p w14:paraId="460A5842">
      <w:pPr>
        <w:spacing w:line="360" w:lineRule="auto"/>
        <w:ind w:firstLine="420" w:firstLineChars="200"/>
        <w:rPr>
          <w:rFonts w:hint="eastAsia"/>
          <w:b/>
          <w:bCs/>
          <w:color w:val="auto"/>
          <w:szCs w:val="21"/>
          <w:highlight w:val="none"/>
          <w:lang w:eastAsia="zh-CN"/>
        </w:rPr>
      </w:pPr>
      <w:r>
        <w:rPr>
          <w:rFonts w:hint="eastAsia" w:ascii="宋体" w:hAnsi="宋体" w:eastAsia="宋体" w:cs="宋体"/>
          <w:b/>
          <w:bCs/>
          <w:color w:val="auto"/>
          <w:kern w:val="2"/>
          <w:sz w:val="21"/>
          <w:szCs w:val="21"/>
          <w:lang w:val="en-US"/>
        </w:rPr>
        <w:t>评审时，谈判小组根据《关于推动解决政府采购异常低价问题的通知》</w:t>
      </w:r>
      <w:r>
        <w:rPr>
          <w:rFonts w:hint="eastAsia" w:ascii="宋体" w:hAnsi="宋体" w:eastAsia="宋体" w:cs="宋体"/>
          <w:b/>
          <w:bCs/>
          <w:color w:val="auto"/>
          <w:kern w:val="2"/>
          <w:sz w:val="21"/>
          <w:szCs w:val="21"/>
          <w:lang w:val="en-US" w:eastAsia="zh-CN"/>
        </w:rPr>
        <w:t>（</w:t>
      </w:r>
      <w:r>
        <w:rPr>
          <w:rFonts w:hint="eastAsia" w:ascii="宋体" w:hAnsi="宋体" w:eastAsia="宋体" w:cs="宋体"/>
          <w:b/>
          <w:bCs/>
          <w:color w:val="auto"/>
          <w:kern w:val="2"/>
          <w:sz w:val="21"/>
          <w:szCs w:val="21"/>
          <w:lang w:val="en-US"/>
        </w:rPr>
        <w:t>财库〔2026〕2号</w:t>
      </w:r>
      <w:r>
        <w:rPr>
          <w:rFonts w:hint="eastAsia" w:ascii="宋体" w:hAnsi="宋体" w:eastAsia="宋体" w:cs="宋体"/>
          <w:b/>
          <w:bCs/>
          <w:color w:val="auto"/>
          <w:kern w:val="2"/>
          <w:sz w:val="21"/>
          <w:szCs w:val="21"/>
          <w:lang w:val="en-US" w:eastAsia="zh-CN"/>
        </w:rPr>
        <w:t>）相关规定</w:t>
      </w:r>
      <w:r>
        <w:rPr>
          <w:rFonts w:hint="eastAsia" w:ascii="宋体" w:hAnsi="宋体" w:eastAsia="宋体" w:cs="宋体"/>
          <w:b/>
          <w:bCs/>
          <w:color w:val="auto"/>
          <w:kern w:val="2"/>
          <w:sz w:val="21"/>
          <w:szCs w:val="21"/>
          <w:lang w:val="en-US"/>
        </w:rPr>
        <w:t>启动异常低价投标（响应）审查程序</w:t>
      </w:r>
      <w:r>
        <w:rPr>
          <w:rFonts w:hint="eastAsia" w:ascii="宋体" w:hAnsi="宋体" w:eastAsia="宋体" w:cs="宋体"/>
          <w:b/>
          <w:bCs/>
          <w:color w:val="auto"/>
          <w:kern w:val="2"/>
          <w:sz w:val="21"/>
          <w:szCs w:val="21"/>
          <w:lang w:val="en-US" w:eastAsia="zh-CN"/>
        </w:rPr>
        <w:t>。</w:t>
      </w:r>
      <w:r>
        <w:rPr>
          <w:rFonts w:hint="eastAsia"/>
          <w:b/>
          <w:bCs/>
          <w:color w:val="auto"/>
          <w:szCs w:val="21"/>
          <w:highlight w:val="none"/>
        </w:rPr>
        <w:t>启动异常低价投标（响应）审查后，</w:t>
      </w:r>
      <w:r>
        <w:rPr>
          <w:rStyle w:val="85"/>
          <w:rFonts w:ascii="宋体" w:hAnsi="宋体"/>
          <w:b/>
          <w:bCs/>
          <w:color w:val="auto"/>
          <w:szCs w:val="21"/>
          <w:highlight w:val="none"/>
        </w:rPr>
        <w:t>应当要求</w:t>
      </w:r>
      <w:r>
        <w:rPr>
          <w:rStyle w:val="85"/>
          <w:rFonts w:hint="eastAsia" w:ascii="宋体" w:hAnsi="宋体"/>
          <w:b/>
          <w:bCs/>
          <w:color w:val="auto"/>
          <w:szCs w:val="21"/>
          <w:highlight w:val="none"/>
        </w:rPr>
        <w:t>供应商</w:t>
      </w:r>
      <w:r>
        <w:rPr>
          <w:rStyle w:val="85"/>
          <w:rFonts w:ascii="宋体" w:hAnsi="宋体"/>
          <w:b/>
          <w:bCs/>
          <w:color w:val="auto"/>
          <w:szCs w:val="21"/>
          <w:highlight w:val="none"/>
        </w:rPr>
        <w:t>在</w:t>
      </w:r>
      <w:r>
        <w:rPr>
          <w:rStyle w:val="85"/>
          <w:rFonts w:hint="eastAsia" w:ascii="宋体" w:hAnsi="宋体"/>
          <w:b/>
          <w:bCs/>
          <w:color w:val="auto"/>
          <w:szCs w:val="21"/>
          <w:highlight w:val="none"/>
          <w:lang w:val="en-US"/>
        </w:rPr>
        <w:t>谈判小组要求的时间内</w:t>
      </w:r>
      <w:r>
        <w:rPr>
          <w:rFonts w:hint="eastAsia"/>
          <w:b/>
          <w:bCs/>
          <w:color w:val="auto"/>
          <w:szCs w:val="21"/>
          <w:highlight w:val="none"/>
        </w:rPr>
        <w:t>对投标（响应）价格作出解释，</w:t>
      </w:r>
      <w:r>
        <w:rPr>
          <w:rFonts w:hint="eastAsia"/>
          <w:b/>
          <w:bCs/>
          <w:color w:val="auto"/>
          <w:szCs w:val="21"/>
          <w:highlight w:val="none"/>
          <w:shd w:val="clear" w:color="auto" w:fill="FFFFFF"/>
        </w:rPr>
        <w:t>提供项目具体成本测算等与报价合理性相关的书面说明及必要的证明材料（包括但不限于原材料成本、人工成本、制造费用等）。</w:t>
      </w:r>
      <w:r>
        <w:rPr>
          <w:rFonts w:hint="eastAsia"/>
          <w:b/>
          <w:bCs/>
          <w:color w:val="auto"/>
          <w:szCs w:val="21"/>
          <w:highlight w:val="none"/>
        </w:rPr>
        <w:t>投标（响应）供应商不能提供书面说明、证明材料，或者提供的书面说明、证明材料不能证明其报价合理性的，</w:t>
      </w:r>
      <w:r>
        <w:rPr>
          <w:rFonts w:hint="eastAsia"/>
          <w:b/>
          <w:bCs/>
          <w:color w:val="auto"/>
          <w:szCs w:val="21"/>
          <w:highlight w:val="none"/>
          <w:lang w:val="en-US"/>
        </w:rPr>
        <w:t>谈判小组</w:t>
      </w:r>
      <w:r>
        <w:rPr>
          <w:rFonts w:hint="eastAsia"/>
          <w:b/>
          <w:bCs/>
          <w:color w:val="auto"/>
          <w:szCs w:val="21"/>
          <w:highlight w:val="none"/>
        </w:rPr>
        <w:t>应当将其作为无效投标（响应）处理。 异常低价投标（响应）审查的启动原因、审查意见和审查结果应当在评审报告中记录</w:t>
      </w:r>
      <w:r>
        <w:rPr>
          <w:rFonts w:hint="eastAsia"/>
          <w:b/>
          <w:bCs/>
          <w:color w:val="auto"/>
          <w:szCs w:val="21"/>
          <w:highlight w:val="none"/>
          <w:lang w:eastAsia="zh-CN"/>
        </w:rPr>
        <w:t>。</w:t>
      </w:r>
    </w:p>
    <w:p w14:paraId="1CEB7B16">
      <w:pPr>
        <w:spacing w:line="360" w:lineRule="auto"/>
        <w:ind w:firstLine="420" w:firstLineChars="200"/>
        <w:rPr>
          <w:rFonts w:hint="default" w:eastAsia="宋体"/>
          <w:b/>
          <w:bCs/>
          <w:color w:val="000000" w:themeColor="text1"/>
          <w:sz w:val="21"/>
          <w:szCs w:val="2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为避免因未能及时提供说明而导致被评审委员会作为无效投标情形，</w:t>
      </w:r>
      <w:r>
        <w:rPr>
          <w:rFonts w:hint="eastAsia"/>
          <w:b/>
          <w:bCs/>
          <w:color w:val="000000" w:themeColor="text1"/>
          <w:szCs w:val="21"/>
          <w:highlight w:val="none"/>
          <w:shd w:val="clear" w:color="auto" w:fill="FFFFFF"/>
          <w14:textFill>
            <w14:solidFill>
              <w14:schemeClr w14:val="tx1"/>
            </w14:solidFill>
          </w14:textFill>
        </w:rPr>
        <w:t>供应商可提前准备或随投标（响应）文件一并提交相关书面说明及必要的证明材料。</w:t>
      </w:r>
    </w:p>
    <w:p w14:paraId="21986D87">
      <w:pPr>
        <w:spacing w:line="340" w:lineRule="exact"/>
        <w:ind w:firstLine="420" w:firstLineChars="200"/>
        <w:rPr>
          <w:rFonts w:hint="eastAsia" w:ascii="宋体" w:hAnsi="宋体" w:cs="宋体"/>
          <w:b/>
          <w:bCs/>
          <w:szCs w:val="21"/>
          <w:u w:val="double"/>
        </w:rPr>
      </w:pPr>
    </w:p>
    <w:p w14:paraId="54970694">
      <w:pPr>
        <w:spacing w:line="340" w:lineRule="exact"/>
        <w:ind w:firstLine="420" w:firstLineChars="200"/>
        <w:rPr>
          <w:rFonts w:hint="eastAsia" w:ascii="宋体" w:hAnsi="宋体" w:cs="宋体"/>
          <w:b/>
          <w:bCs/>
          <w:szCs w:val="21"/>
          <w:u w:val="double"/>
        </w:rPr>
      </w:pPr>
    </w:p>
    <w:p w14:paraId="1E8855EB">
      <w:pPr>
        <w:spacing w:line="340" w:lineRule="exact"/>
        <w:ind w:firstLine="420" w:firstLineChars="200"/>
        <w:rPr>
          <w:rFonts w:hint="eastAsia" w:ascii="宋体" w:hAnsi="宋体" w:cs="宋体"/>
          <w:b/>
          <w:bCs/>
          <w:szCs w:val="21"/>
          <w:u w:val="double"/>
        </w:rPr>
      </w:pPr>
    </w:p>
    <w:p w14:paraId="7F19D6CC">
      <w:pPr>
        <w:spacing w:line="340" w:lineRule="exact"/>
        <w:ind w:firstLine="420" w:firstLineChars="200"/>
        <w:rPr>
          <w:rFonts w:hint="eastAsia" w:ascii="宋体" w:hAnsi="宋体" w:cs="宋体"/>
          <w:b/>
          <w:bCs/>
          <w:szCs w:val="21"/>
          <w:u w:val="double"/>
        </w:rPr>
      </w:pPr>
    </w:p>
    <w:p w14:paraId="3E494A64">
      <w:pPr>
        <w:spacing w:line="340" w:lineRule="exact"/>
        <w:ind w:firstLine="420" w:firstLineChars="200"/>
        <w:rPr>
          <w:rFonts w:hint="eastAsia" w:ascii="宋体" w:hAnsi="宋体" w:cs="宋体"/>
          <w:b/>
          <w:bCs/>
          <w:szCs w:val="21"/>
          <w:u w:val="double"/>
        </w:rPr>
      </w:pPr>
    </w:p>
    <w:p w14:paraId="0626F8C7">
      <w:pPr>
        <w:spacing w:line="340" w:lineRule="exact"/>
        <w:ind w:firstLine="420" w:firstLineChars="200"/>
        <w:rPr>
          <w:rFonts w:hint="eastAsia" w:ascii="宋体" w:hAnsi="宋体" w:cs="宋体"/>
          <w:b/>
          <w:bCs/>
          <w:szCs w:val="21"/>
          <w:u w:val="double"/>
        </w:rPr>
      </w:pPr>
    </w:p>
    <w:p w14:paraId="5FFA61E7">
      <w:pPr>
        <w:spacing w:line="340" w:lineRule="exact"/>
        <w:ind w:firstLine="420" w:firstLineChars="200"/>
        <w:rPr>
          <w:rFonts w:hint="eastAsia" w:ascii="宋体" w:hAnsi="宋体" w:cs="宋体"/>
          <w:b/>
          <w:bCs/>
          <w:szCs w:val="21"/>
          <w:u w:val="double"/>
        </w:rPr>
      </w:pPr>
    </w:p>
    <w:p w14:paraId="2F05D905">
      <w:pPr>
        <w:spacing w:line="340" w:lineRule="exact"/>
        <w:ind w:firstLine="420" w:firstLineChars="200"/>
        <w:rPr>
          <w:rFonts w:hint="eastAsia" w:ascii="宋体" w:hAnsi="宋体" w:cs="宋体"/>
          <w:b/>
          <w:bCs/>
          <w:szCs w:val="21"/>
          <w:u w:val="double"/>
        </w:rPr>
      </w:pPr>
    </w:p>
    <w:p w14:paraId="47B7E592">
      <w:pPr>
        <w:spacing w:line="340" w:lineRule="exact"/>
        <w:ind w:firstLine="420" w:firstLineChars="200"/>
        <w:rPr>
          <w:rFonts w:hint="eastAsia" w:ascii="宋体" w:hAnsi="宋体" w:cs="宋体"/>
          <w:b/>
          <w:bCs/>
          <w:szCs w:val="21"/>
          <w:u w:val="double"/>
        </w:rPr>
      </w:pPr>
    </w:p>
    <w:p w14:paraId="194A80CA">
      <w:pPr>
        <w:spacing w:line="340" w:lineRule="exact"/>
        <w:ind w:firstLine="420" w:firstLineChars="200"/>
        <w:rPr>
          <w:rFonts w:hint="eastAsia" w:ascii="宋体" w:hAnsi="宋体" w:cs="宋体"/>
          <w:b/>
          <w:bCs/>
          <w:szCs w:val="21"/>
          <w:u w:val="double"/>
        </w:rPr>
      </w:pPr>
    </w:p>
    <w:p w14:paraId="0F2C43A9">
      <w:pPr>
        <w:spacing w:line="340" w:lineRule="exact"/>
        <w:rPr>
          <w:rFonts w:hint="eastAsia" w:ascii="宋体" w:hAnsi="宋体" w:cs="宋体"/>
          <w:b/>
          <w:bCs/>
          <w:szCs w:val="21"/>
          <w:u w:val="double"/>
        </w:rPr>
      </w:pPr>
    </w:p>
    <w:p w14:paraId="36F4FB69">
      <w:pPr>
        <w:spacing w:line="340" w:lineRule="exact"/>
        <w:ind w:firstLine="420" w:firstLineChars="200"/>
        <w:rPr>
          <w:rFonts w:hint="eastAsia" w:ascii="宋体" w:hAnsi="宋体" w:cs="宋体"/>
          <w:b/>
          <w:bCs/>
          <w:szCs w:val="21"/>
          <w:u w:val="double"/>
        </w:rPr>
      </w:pPr>
    </w:p>
    <w:p w14:paraId="1C777EC4">
      <w:pPr>
        <w:rPr>
          <w:rFonts w:hint="eastAsia"/>
          <w:b/>
          <w:bCs/>
          <w:sz w:val="24"/>
        </w:rPr>
      </w:pPr>
      <w:bookmarkStart w:id="584" w:name="_Toc3132"/>
      <w:bookmarkStart w:id="585" w:name="_Toc9683"/>
      <w:bookmarkStart w:id="586" w:name="_Toc26491"/>
      <w:bookmarkStart w:id="587" w:name="_Toc21526"/>
      <w:bookmarkStart w:id="588" w:name="_Toc13442"/>
      <w:r>
        <w:rPr>
          <w:rFonts w:hint="eastAsia"/>
          <w:b/>
          <w:bCs/>
          <w:sz w:val="24"/>
        </w:rPr>
        <w:t>附件</w:t>
      </w:r>
      <w:bookmarkEnd w:id="584"/>
      <w:bookmarkEnd w:id="585"/>
      <w:bookmarkEnd w:id="586"/>
      <w:bookmarkEnd w:id="587"/>
      <w:bookmarkEnd w:id="588"/>
    </w:p>
    <w:p w14:paraId="4BD82B40">
      <w:pPr>
        <w:widowControl/>
        <w:spacing w:before="156" w:beforeLines="50" w:after="156" w:afterLines="50" w:line="400" w:lineRule="exact"/>
        <w:jc w:val="center"/>
        <w:rPr>
          <w:rFonts w:hint="eastAsia" w:ascii="宋体" w:hAnsi="宋体" w:cs="宋体"/>
          <w:b/>
          <w:bCs/>
          <w:kern w:val="0"/>
          <w:sz w:val="30"/>
          <w:szCs w:val="30"/>
        </w:rPr>
      </w:pPr>
      <w:bookmarkStart w:id="589" w:name="_Toc28361_WPSOffice_Level2"/>
      <w:r>
        <w:rPr>
          <w:rFonts w:hint="eastAsia" w:ascii="宋体" w:hAnsi="宋体" w:cs="宋体"/>
          <w:b/>
          <w:bCs/>
          <w:kern w:val="0"/>
          <w:sz w:val="30"/>
          <w:szCs w:val="30"/>
        </w:rPr>
        <w:t>统计上大中小微型企业划分标准</w:t>
      </w:r>
      <w:bookmarkEnd w:id="58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04C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FFFFFF"/>
            <w:vAlign w:val="center"/>
          </w:tcPr>
          <w:p w14:paraId="4C1DB896">
            <w:pPr>
              <w:widowControl/>
              <w:spacing w:line="240" w:lineRule="exact"/>
              <w:jc w:val="center"/>
              <w:rPr>
                <w:b/>
                <w:bCs/>
                <w:kern w:val="0"/>
                <w:sz w:val="18"/>
                <w:szCs w:val="21"/>
              </w:rPr>
            </w:pPr>
            <w:r>
              <w:rPr>
                <w:b/>
                <w:bCs/>
                <w:kern w:val="0"/>
                <w:sz w:val="18"/>
                <w:szCs w:val="21"/>
              </w:rPr>
              <w:t>行业名称</w:t>
            </w:r>
          </w:p>
        </w:tc>
        <w:tc>
          <w:tcPr>
            <w:tcW w:w="1369" w:type="dxa"/>
            <w:shd w:val="clear" w:color="auto" w:fill="FFFFFF"/>
            <w:vAlign w:val="center"/>
          </w:tcPr>
          <w:p w14:paraId="7B781EC9">
            <w:pPr>
              <w:widowControl/>
              <w:jc w:val="center"/>
              <w:rPr>
                <w:b/>
                <w:bCs/>
                <w:kern w:val="0"/>
                <w:sz w:val="18"/>
                <w:szCs w:val="18"/>
              </w:rPr>
            </w:pPr>
            <w:r>
              <w:rPr>
                <w:b/>
                <w:bCs/>
                <w:kern w:val="0"/>
                <w:sz w:val="18"/>
                <w:szCs w:val="18"/>
              </w:rPr>
              <w:t>指标名称</w:t>
            </w:r>
          </w:p>
        </w:tc>
        <w:tc>
          <w:tcPr>
            <w:tcW w:w="709" w:type="dxa"/>
            <w:shd w:val="clear" w:color="auto" w:fill="FFFFFF"/>
            <w:vAlign w:val="center"/>
          </w:tcPr>
          <w:p w14:paraId="60CF1B12">
            <w:pPr>
              <w:widowControl/>
              <w:jc w:val="center"/>
              <w:rPr>
                <w:rFonts w:hint="eastAsia"/>
                <w:b/>
                <w:bCs/>
                <w:kern w:val="0"/>
                <w:sz w:val="18"/>
                <w:szCs w:val="18"/>
              </w:rPr>
            </w:pPr>
            <w:r>
              <w:rPr>
                <w:b/>
                <w:bCs/>
                <w:kern w:val="0"/>
                <w:sz w:val="18"/>
                <w:szCs w:val="18"/>
              </w:rPr>
              <w:t>计量</w:t>
            </w:r>
          </w:p>
          <w:p w14:paraId="5E623362">
            <w:pPr>
              <w:widowControl/>
              <w:jc w:val="center"/>
              <w:rPr>
                <w:b/>
                <w:bCs/>
                <w:kern w:val="0"/>
                <w:sz w:val="18"/>
                <w:szCs w:val="18"/>
              </w:rPr>
            </w:pPr>
            <w:r>
              <w:rPr>
                <w:b/>
                <w:bCs/>
                <w:kern w:val="0"/>
                <w:sz w:val="18"/>
                <w:szCs w:val="18"/>
              </w:rPr>
              <w:t>单位</w:t>
            </w:r>
          </w:p>
        </w:tc>
        <w:tc>
          <w:tcPr>
            <w:tcW w:w="1125" w:type="dxa"/>
            <w:shd w:val="clear" w:color="auto" w:fill="FFFFFF"/>
            <w:vAlign w:val="center"/>
          </w:tcPr>
          <w:p w14:paraId="4DD39937">
            <w:pPr>
              <w:widowControl/>
              <w:jc w:val="center"/>
              <w:rPr>
                <w:b/>
                <w:bCs/>
                <w:kern w:val="0"/>
                <w:sz w:val="18"/>
                <w:szCs w:val="18"/>
              </w:rPr>
            </w:pPr>
            <w:r>
              <w:rPr>
                <w:b/>
                <w:bCs/>
                <w:kern w:val="0"/>
                <w:sz w:val="18"/>
                <w:szCs w:val="18"/>
              </w:rPr>
              <w:t>大型</w:t>
            </w:r>
          </w:p>
        </w:tc>
        <w:tc>
          <w:tcPr>
            <w:tcW w:w="1701" w:type="dxa"/>
            <w:shd w:val="clear" w:color="auto" w:fill="FFFFFF"/>
            <w:vAlign w:val="center"/>
          </w:tcPr>
          <w:p w14:paraId="100915B6">
            <w:pPr>
              <w:widowControl/>
              <w:jc w:val="center"/>
              <w:rPr>
                <w:b/>
                <w:bCs/>
                <w:kern w:val="0"/>
                <w:sz w:val="18"/>
                <w:szCs w:val="18"/>
              </w:rPr>
            </w:pPr>
            <w:r>
              <w:rPr>
                <w:b/>
                <w:bCs/>
                <w:kern w:val="0"/>
                <w:sz w:val="18"/>
                <w:szCs w:val="18"/>
              </w:rPr>
              <w:t>中型</w:t>
            </w:r>
          </w:p>
        </w:tc>
        <w:tc>
          <w:tcPr>
            <w:tcW w:w="1426" w:type="dxa"/>
            <w:shd w:val="clear" w:color="auto" w:fill="FFFFFF"/>
            <w:vAlign w:val="center"/>
          </w:tcPr>
          <w:p w14:paraId="055A53B0">
            <w:pPr>
              <w:widowControl/>
              <w:jc w:val="center"/>
              <w:rPr>
                <w:b/>
                <w:bCs/>
                <w:kern w:val="0"/>
                <w:sz w:val="18"/>
                <w:szCs w:val="18"/>
              </w:rPr>
            </w:pPr>
            <w:r>
              <w:rPr>
                <w:b/>
                <w:bCs/>
                <w:kern w:val="0"/>
                <w:sz w:val="18"/>
                <w:szCs w:val="18"/>
              </w:rPr>
              <w:t>小型</w:t>
            </w:r>
          </w:p>
        </w:tc>
        <w:tc>
          <w:tcPr>
            <w:tcW w:w="992" w:type="dxa"/>
            <w:shd w:val="clear" w:color="auto" w:fill="FFFFFF"/>
            <w:vAlign w:val="center"/>
          </w:tcPr>
          <w:p w14:paraId="42BB8EA7">
            <w:pPr>
              <w:widowControl/>
              <w:jc w:val="center"/>
              <w:rPr>
                <w:b/>
                <w:bCs/>
                <w:kern w:val="0"/>
                <w:sz w:val="18"/>
                <w:szCs w:val="18"/>
              </w:rPr>
            </w:pPr>
            <w:r>
              <w:rPr>
                <w:b/>
                <w:bCs/>
                <w:kern w:val="0"/>
                <w:sz w:val="18"/>
                <w:szCs w:val="18"/>
              </w:rPr>
              <w:t>微型</w:t>
            </w:r>
          </w:p>
        </w:tc>
      </w:tr>
      <w:tr w14:paraId="7A465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7169F456">
            <w:pPr>
              <w:widowControl/>
              <w:spacing w:line="240" w:lineRule="exact"/>
              <w:jc w:val="left"/>
              <w:rPr>
                <w:kern w:val="0"/>
                <w:sz w:val="18"/>
                <w:szCs w:val="18"/>
              </w:rPr>
            </w:pPr>
            <w:r>
              <w:rPr>
                <w:kern w:val="0"/>
                <w:sz w:val="18"/>
                <w:szCs w:val="18"/>
              </w:rPr>
              <w:t>农、林、牧、渔业</w:t>
            </w:r>
          </w:p>
        </w:tc>
        <w:tc>
          <w:tcPr>
            <w:tcW w:w="1369" w:type="dxa"/>
            <w:vAlign w:val="center"/>
          </w:tcPr>
          <w:p w14:paraId="3C34ED6A">
            <w:pPr>
              <w:widowControl/>
              <w:jc w:val="center"/>
              <w:rPr>
                <w:kern w:val="0"/>
                <w:sz w:val="18"/>
                <w:szCs w:val="18"/>
              </w:rPr>
            </w:pPr>
            <w:r>
              <w:rPr>
                <w:kern w:val="0"/>
                <w:sz w:val="18"/>
                <w:szCs w:val="18"/>
              </w:rPr>
              <w:t>营业收入(Y)</w:t>
            </w:r>
          </w:p>
        </w:tc>
        <w:tc>
          <w:tcPr>
            <w:tcW w:w="709" w:type="dxa"/>
            <w:vAlign w:val="center"/>
          </w:tcPr>
          <w:p w14:paraId="2C215FAB">
            <w:pPr>
              <w:widowControl/>
              <w:jc w:val="center"/>
              <w:rPr>
                <w:kern w:val="0"/>
                <w:sz w:val="18"/>
                <w:szCs w:val="18"/>
              </w:rPr>
            </w:pPr>
            <w:r>
              <w:rPr>
                <w:kern w:val="0"/>
                <w:sz w:val="18"/>
                <w:szCs w:val="18"/>
              </w:rPr>
              <w:t>万元</w:t>
            </w:r>
          </w:p>
        </w:tc>
        <w:tc>
          <w:tcPr>
            <w:tcW w:w="1125" w:type="dxa"/>
            <w:vAlign w:val="center"/>
          </w:tcPr>
          <w:p w14:paraId="0F6E2A40">
            <w:pPr>
              <w:widowControl/>
              <w:jc w:val="center"/>
              <w:rPr>
                <w:kern w:val="0"/>
                <w:sz w:val="18"/>
                <w:szCs w:val="18"/>
              </w:rPr>
            </w:pPr>
            <w:r>
              <w:rPr>
                <w:kern w:val="0"/>
                <w:sz w:val="18"/>
                <w:szCs w:val="18"/>
              </w:rPr>
              <w:t>Y≥20000</w:t>
            </w:r>
          </w:p>
        </w:tc>
        <w:tc>
          <w:tcPr>
            <w:tcW w:w="1701" w:type="dxa"/>
            <w:vAlign w:val="center"/>
          </w:tcPr>
          <w:p w14:paraId="5F1BCBD0">
            <w:pPr>
              <w:widowControl/>
              <w:jc w:val="center"/>
              <w:rPr>
                <w:kern w:val="0"/>
                <w:sz w:val="18"/>
                <w:szCs w:val="18"/>
              </w:rPr>
            </w:pPr>
            <w:r>
              <w:rPr>
                <w:kern w:val="0"/>
                <w:sz w:val="18"/>
                <w:szCs w:val="18"/>
              </w:rPr>
              <w:t>500≤Y＜20000</w:t>
            </w:r>
          </w:p>
        </w:tc>
        <w:tc>
          <w:tcPr>
            <w:tcW w:w="1426" w:type="dxa"/>
            <w:vAlign w:val="center"/>
          </w:tcPr>
          <w:p w14:paraId="29C392E0">
            <w:pPr>
              <w:widowControl/>
              <w:jc w:val="center"/>
              <w:rPr>
                <w:kern w:val="0"/>
                <w:sz w:val="18"/>
                <w:szCs w:val="18"/>
              </w:rPr>
            </w:pPr>
            <w:r>
              <w:rPr>
                <w:kern w:val="0"/>
                <w:sz w:val="18"/>
                <w:szCs w:val="18"/>
              </w:rPr>
              <w:t>50≤Y＜500</w:t>
            </w:r>
          </w:p>
        </w:tc>
        <w:tc>
          <w:tcPr>
            <w:tcW w:w="992" w:type="dxa"/>
            <w:vAlign w:val="center"/>
          </w:tcPr>
          <w:p w14:paraId="3E588416">
            <w:pPr>
              <w:widowControl/>
              <w:jc w:val="center"/>
              <w:rPr>
                <w:kern w:val="0"/>
                <w:sz w:val="18"/>
                <w:szCs w:val="18"/>
              </w:rPr>
            </w:pPr>
            <w:r>
              <w:rPr>
                <w:kern w:val="0"/>
                <w:sz w:val="18"/>
                <w:szCs w:val="18"/>
              </w:rPr>
              <w:t>Y＜50</w:t>
            </w:r>
          </w:p>
        </w:tc>
      </w:tr>
      <w:tr w14:paraId="06C8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E9158E0">
            <w:pPr>
              <w:widowControl/>
              <w:spacing w:line="240" w:lineRule="exact"/>
              <w:jc w:val="left"/>
              <w:rPr>
                <w:rFonts w:hint="eastAsia"/>
                <w:kern w:val="0"/>
                <w:sz w:val="18"/>
                <w:szCs w:val="18"/>
              </w:rPr>
            </w:pPr>
            <w:r>
              <w:rPr>
                <w:kern w:val="0"/>
                <w:sz w:val="18"/>
                <w:szCs w:val="18"/>
              </w:rPr>
              <w:t>工业</w:t>
            </w:r>
            <w:r>
              <w:rPr>
                <w:rFonts w:hint="eastAsia" w:ascii="宋体" w:hAnsi="宋体" w:cs="宋体"/>
                <w:kern w:val="0"/>
                <w:sz w:val="18"/>
                <w:szCs w:val="18"/>
              </w:rPr>
              <w:t>※</w:t>
            </w:r>
          </w:p>
        </w:tc>
        <w:tc>
          <w:tcPr>
            <w:tcW w:w="1369" w:type="dxa"/>
            <w:vAlign w:val="center"/>
          </w:tcPr>
          <w:p w14:paraId="0B4B1381">
            <w:pPr>
              <w:widowControl/>
              <w:jc w:val="center"/>
              <w:rPr>
                <w:kern w:val="0"/>
                <w:sz w:val="18"/>
                <w:szCs w:val="18"/>
              </w:rPr>
            </w:pPr>
            <w:r>
              <w:rPr>
                <w:kern w:val="0"/>
                <w:sz w:val="18"/>
                <w:szCs w:val="18"/>
              </w:rPr>
              <w:t>从业人员(X)</w:t>
            </w:r>
          </w:p>
        </w:tc>
        <w:tc>
          <w:tcPr>
            <w:tcW w:w="709" w:type="dxa"/>
            <w:vAlign w:val="center"/>
          </w:tcPr>
          <w:p w14:paraId="79A7BB68">
            <w:pPr>
              <w:widowControl/>
              <w:jc w:val="center"/>
              <w:rPr>
                <w:kern w:val="0"/>
                <w:sz w:val="18"/>
                <w:szCs w:val="18"/>
              </w:rPr>
            </w:pPr>
            <w:r>
              <w:rPr>
                <w:kern w:val="0"/>
                <w:sz w:val="18"/>
                <w:szCs w:val="18"/>
              </w:rPr>
              <w:t>人</w:t>
            </w:r>
          </w:p>
        </w:tc>
        <w:tc>
          <w:tcPr>
            <w:tcW w:w="1125" w:type="dxa"/>
            <w:vAlign w:val="center"/>
          </w:tcPr>
          <w:p w14:paraId="5EDC266F">
            <w:pPr>
              <w:widowControl/>
              <w:jc w:val="center"/>
              <w:rPr>
                <w:kern w:val="0"/>
                <w:sz w:val="18"/>
                <w:szCs w:val="18"/>
              </w:rPr>
            </w:pPr>
            <w:r>
              <w:rPr>
                <w:kern w:val="0"/>
                <w:sz w:val="18"/>
                <w:szCs w:val="18"/>
              </w:rPr>
              <w:t>X≥1000</w:t>
            </w:r>
          </w:p>
        </w:tc>
        <w:tc>
          <w:tcPr>
            <w:tcW w:w="1701" w:type="dxa"/>
            <w:vAlign w:val="center"/>
          </w:tcPr>
          <w:p w14:paraId="2F6EC2EC">
            <w:pPr>
              <w:widowControl/>
              <w:jc w:val="center"/>
              <w:rPr>
                <w:kern w:val="0"/>
                <w:sz w:val="18"/>
                <w:szCs w:val="18"/>
              </w:rPr>
            </w:pPr>
            <w:r>
              <w:rPr>
                <w:kern w:val="0"/>
                <w:sz w:val="18"/>
                <w:szCs w:val="18"/>
              </w:rPr>
              <w:t>300≤X＜1000</w:t>
            </w:r>
          </w:p>
        </w:tc>
        <w:tc>
          <w:tcPr>
            <w:tcW w:w="1426" w:type="dxa"/>
            <w:vAlign w:val="center"/>
          </w:tcPr>
          <w:p w14:paraId="08F9F340">
            <w:pPr>
              <w:widowControl/>
              <w:jc w:val="center"/>
              <w:rPr>
                <w:kern w:val="0"/>
                <w:sz w:val="18"/>
                <w:szCs w:val="18"/>
              </w:rPr>
            </w:pPr>
            <w:r>
              <w:rPr>
                <w:kern w:val="0"/>
                <w:sz w:val="18"/>
                <w:szCs w:val="18"/>
              </w:rPr>
              <w:t>20≤X＜300</w:t>
            </w:r>
          </w:p>
        </w:tc>
        <w:tc>
          <w:tcPr>
            <w:tcW w:w="992" w:type="dxa"/>
            <w:vAlign w:val="center"/>
          </w:tcPr>
          <w:p w14:paraId="4ABBA66A">
            <w:pPr>
              <w:widowControl/>
              <w:jc w:val="center"/>
              <w:rPr>
                <w:kern w:val="0"/>
                <w:sz w:val="18"/>
                <w:szCs w:val="18"/>
              </w:rPr>
            </w:pPr>
            <w:r>
              <w:rPr>
                <w:kern w:val="0"/>
                <w:sz w:val="18"/>
                <w:szCs w:val="18"/>
              </w:rPr>
              <w:t>X＜20</w:t>
            </w:r>
          </w:p>
        </w:tc>
      </w:tr>
      <w:tr w14:paraId="1810B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EBEDACC">
            <w:pPr>
              <w:widowControl/>
              <w:jc w:val="left"/>
              <w:rPr>
                <w:kern w:val="0"/>
                <w:sz w:val="18"/>
                <w:szCs w:val="18"/>
              </w:rPr>
            </w:pPr>
          </w:p>
        </w:tc>
        <w:tc>
          <w:tcPr>
            <w:tcW w:w="1369" w:type="dxa"/>
            <w:vAlign w:val="center"/>
          </w:tcPr>
          <w:p w14:paraId="70577D4A">
            <w:pPr>
              <w:widowControl/>
              <w:spacing w:line="240" w:lineRule="exact"/>
              <w:jc w:val="center"/>
              <w:rPr>
                <w:kern w:val="0"/>
                <w:sz w:val="18"/>
                <w:szCs w:val="18"/>
              </w:rPr>
            </w:pPr>
            <w:r>
              <w:rPr>
                <w:kern w:val="0"/>
                <w:sz w:val="18"/>
                <w:szCs w:val="18"/>
              </w:rPr>
              <w:t>营业收入(Y)</w:t>
            </w:r>
          </w:p>
        </w:tc>
        <w:tc>
          <w:tcPr>
            <w:tcW w:w="709" w:type="dxa"/>
            <w:vAlign w:val="center"/>
          </w:tcPr>
          <w:p w14:paraId="6D8781D9">
            <w:pPr>
              <w:widowControl/>
              <w:jc w:val="center"/>
              <w:rPr>
                <w:kern w:val="0"/>
                <w:sz w:val="18"/>
                <w:szCs w:val="18"/>
              </w:rPr>
            </w:pPr>
            <w:r>
              <w:rPr>
                <w:kern w:val="0"/>
                <w:sz w:val="18"/>
                <w:szCs w:val="18"/>
              </w:rPr>
              <w:t>万元</w:t>
            </w:r>
          </w:p>
        </w:tc>
        <w:tc>
          <w:tcPr>
            <w:tcW w:w="1125" w:type="dxa"/>
            <w:vAlign w:val="center"/>
          </w:tcPr>
          <w:p w14:paraId="11EBF589">
            <w:pPr>
              <w:widowControl/>
              <w:jc w:val="center"/>
              <w:rPr>
                <w:kern w:val="0"/>
                <w:sz w:val="18"/>
                <w:szCs w:val="18"/>
              </w:rPr>
            </w:pPr>
            <w:r>
              <w:rPr>
                <w:kern w:val="0"/>
                <w:sz w:val="18"/>
                <w:szCs w:val="18"/>
              </w:rPr>
              <w:t>Y≥40000</w:t>
            </w:r>
          </w:p>
        </w:tc>
        <w:tc>
          <w:tcPr>
            <w:tcW w:w="1701" w:type="dxa"/>
            <w:vAlign w:val="center"/>
          </w:tcPr>
          <w:p w14:paraId="3A0FBD60">
            <w:pPr>
              <w:widowControl/>
              <w:jc w:val="center"/>
              <w:rPr>
                <w:kern w:val="0"/>
                <w:sz w:val="18"/>
                <w:szCs w:val="18"/>
              </w:rPr>
            </w:pPr>
            <w:r>
              <w:rPr>
                <w:kern w:val="0"/>
                <w:sz w:val="18"/>
                <w:szCs w:val="18"/>
              </w:rPr>
              <w:t>2000≤Y＜40000</w:t>
            </w:r>
          </w:p>
        </w:tc>
        <w:tc>
          <w:tcPr>
            <w:tcW w:w="1426" w:type="dxa"/>
            <w:vAlign w:val="center"/>
          </w:tcPr>
          <w:p w14:paraId="0F7EBB03">
            <w:pPr>
              <w:widowControl/>
              <w:jc w:val="center"/>
              <w:rPr>
                <w:kern w:val="0"/>
                <w:sz w:val="18"/>
                <w:szCs w:val="18"/>
              </w:rPr>
            </w:pPr>
            <w:r>
              <w:rPr>
                <w:kern w:val="0"/>
                <w:sz w:val="18"/>
                <w:szCs w:val="18"/>
              </w:rPr>
              <w:t>300≤Y＜2000</w:t>
            </w:r>
          </w:p>
        </w:tc>
        <w:tc>
          <w:tcPr>
            <w:tcW w:w="992" w:type="dxa"/>
            <w:vAlign w:val="center"/>
          </w:tcPr>
          <w:p w14:paraId="39CE8604">
            <w:pPr>
              <w:widowControl/>
              <w:jc w:val="center"/>
              <w:rPr>
                <w:kern w:val="0"/>
                <w:sz w:val="18"/>
                <w:szCs w:val="18"/>
              </w:rPr>
            </w:pPr>
            <w:r>
              <w:rPr>
                <w:kern w:val="0"/>
                <w:sz w:val="18"/>
                <w:szCs w:val="18"/>
              </w:rPr>
              <w:t>Y＜300</w:t>
            </w:r>
          </w:p>
        </w:tc>
      </w:tr>
      <w:tr w14:paraId="7FB5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0C39DD7">
            <w:pPr>
              <w:widowControl/>
              <w:spacing w:line="240" w:lineRule="exact"/>
              <w:jc w:val="left"/>
              <w:rPr>
                <w:kern w:val="0"/>
                <w:sz w:val="18"/>
                <w:szCs w:val="18"/>
              </w:rPr>
            </w:pPr>
            <w:r>
              <w:rPr>
                <w:kern w:val="0"/>
                <w:sz w:val="18"/>
                <w:szCs w:val="18"/>
              </w:rPr>
              <w:t>建筑业</w:t>
            </w:r>
          </w:p>
        </w:tc>
        <w:tc>
          <w:tcPr>
            <w:tcW w:w="1369" w:type="dxa"/>
            <w:vAlign w:val="center"/>
          </w:tcPr>
          <w:p w14:paraId="1C478D23">
            <w:pPr>
              <w:widowControl/>
              <w:jc w:val="center"/>
              <w:rPr>
                <w:kern w:val="0"/>
                <w:sz w:val="18"/>
                <w:szCs w:val="18"/>
              </w:rPr>
            </w:pPr>
            <w:r>
              <w:rPr>
                <w:kern w:val="0"/>
                <w:sz w:val="18"/>
                <w:szCs w:val="18"/>
              </w:rPr>
              <w:t>营业收入(Y)</w:t>
            </w:r>
          </w:p>
        </w:tc>
        <w:tc>
          <w:tcPr>
            <w:tcW w:w="709" w:type="dxa"/>
            <w:vAlign w:val="center"/>
          </w:tcPr>
          <w:p w14:paraId="60D28D66">
            <w:pPr>
              <w:widowControl/>
              <w:jc w:val="center"/>
              <w:rPr>
                <w:kern w:val="0"/>
                <w:sz w:val="18"/>
                <w:szCs w:val="18"/>
              </w:rPr>
            </w:pPr>
            <w:r>
              <w:rPr>
                <w:kern w:val="0"/>
                <w:sz w:val="18"/>
                <w:szCs w:val="18"/>
              </w:rPr>
              <w:t>万元</w:t>
            </w:r>
          </w:p>
        </w:tc>
        <w:tc>
          <w:tcPr>
            <w:tcW w:w="1125" w:type="dxa"/>
            <w:vAlign w:val="center"/>
          </w:tcPr>
          <w:p w14:paraId="4DA45123">
            <w:pPr>
              <w:widowControl/>
              <w:jc w:val="center"/>
              <w:rPr>
                <w:kern w:val="0"/>
                <w:sz w:val="18"/>
                <w:szCs w:val="18"/>
              </w:rPr>
            </w:pPr>
            <w:r>
              <w:rPr>
                <w:kern w:val="0"/>
                <w:sz w:val="18"/>
                <w:szCs w:val="18"/>
              </w:rPr>
              <w:t>Y≥80000</w:t>
            </w:r>
          </w:p>
        </w:tc>
        <w:tc>
          <w:tcPr>
            <w:tcW w:w="1701" w:type="dxa"/>
            <w:vAlign w:val="center"/>
          </w:tcPr>
          <w:p w14:paraId="66C30C52">
            <w:pPr>
              <w:widowControl/>
              <w:jc w:val="center"/>
              <w:rPr>
                <w:kern w:val="0"/>
                <w:sz w:val="18"/>
                <w:szCs w:val="18"/>
              </w:rPr>
            </w:pPr>
            <w:r>
              <w:rPr>
                <w:kern w:val="0"/>
                <w:sz w:val="18"/>
                <w:szCs w:val="18"/>
              </w:rPr>
              <w:t>6000≤Y＜80000</w:t>
            </w:r>
          </w:p>
        </w:tc>
        <w:tc>
          <w:tcPr>
            <w:tcW w:w="1426" w:type="dxa"/>
            <w:vAlign w:val="center"/>
          </w:tcPr>
          <w:p w14:paraId="63949B33">
            <w:pPr>
              <w:widowControl/>
              <w:jc w:val="center"/>
              <w:rPr>
                <w:kern w:val="0"/>
                <w:sz w:val="18"/>
                <w:szCs w:val="18"/>
              </w:rPr>
            </w:pPr>
            <w:r>
              <w:rPr>
                <w:kern w:val="0"/>
                <w:sz w:val="18"/>
                <w:szCs w:val="18"/>
              </w:rPr>
              <w:t>300≤Y＜6000</w:t>
            </w:r>
          </w:p>
        </w:tc>
        <w:tc>
          <w:tcPr>
            <w:tcW w:w="992" w:type="dxa"/>
            <w:vAlign w:val="center"/>
          </w:tcPr>
          <w:p w14:paraId="67EFB90E">
            <w:pPr>
              <w:widowControl/>
              <w:jc w:val="center"/>
              <w:rPr>
                <w:kern w:val="0"/>
                <w:sz w:val="18"/>
                <w:szCs w:val="18"/>
              </w:rPr>
            </w:pPr>
            <w:r>
              <w:rPr>
                <w:kern w:val="0"/>
                <w:sz w:val="18"/>
                <w:szCs w:val="18"/>
              </w:rPr>
              <w:t>Y＜300</w:t>
            </w:r>
          </w:p>
        </w:tc>
      </w:tr>
      <w:tr w14:paraId="1E3DF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4B8C246">
            <w:pPr>
              <w:widowControl/>
              <w:jc w:val="left"/>
              <w:rPr>
                <w:kern w:val="0"/>
                <w:sz w:val="18"/>
                <w:szCs w:val="18"/>
              </w:rPr>
            </w:pPr>
          </w:p>
        </w:tc>
        <w:tc>
          <w:tcPr>
            <w:tcW w:w="1369" w:type="dxa"/>
            <w:vAlign w:val="center"/>
          </w:tcPr>
          <w:p w14:paraId="3BC8F7AA">
            <w:pPr>
              <w:widowControl/>
              <w:spacing w:line="240" w:lineRule="exact"/>
              <w:jc w:val="center"/>
              <w:rPr>
                <w:kern w:val="0"/>
                <w:sz w:val="18"/>
                <w:szCs w:val="18"/>
              </w:rPr>
            </w:pPr>
            <w:r>
              <w:rPr>
                <w:kern w:val="0"/>
                <w:sz w:val="18"/>
                <w:szCs w:val="18"/>
              </w:rPr>
              <w:t>资产总额(Z)</w:t>
            </w:r>
          </w:p>
        </w:tc>
        <w:tc>
          <w:tcPr>
            <w:tcW w:w="709" w:type="dxa"/>
            <w:vAlign w:val="center"/>
          </w:tcPr>
          <w:p w14:paraId="23E2FB7D">
            <w:pPr>
              <w:widowControl/>
              <w:jc w:val="center"/>
              <w:rPr>
                <w:kern w:val="0"/>
                <w:sz w:val="18"/>
                <w:szCs w:val="18"/>
              </w:rPr>
            </w:pPr>
            <w:r>
              <w:rPr>
                <w:kern w:val="0"/>
                <w:sz w:val="18"/>
                <w:szCs w:val="18"/>
              </w:rPr>
              <w:t>万元</w:t>
            </w:r>
          </w:p>
        </w:tc>
        <w:tc>
          <w:tcPr>
            <w:tcW w:w="1125" w:type="dxa"/>
            <w:vAlign w:val="center"/>
          </w:tcPr>
          <w:p w14:paraId="5106909C">
            <w:pPr>
              <w:widowControl/>
              <w:jc w:val="center"/>
              <w:rPr>
                <w:kern w:val="0"/>
                <w:sz w:val="18"/>
                <w:szCs w:val="18"/>
              </w:rPr>
            </w:pPr>
            <w:r>
              <w:rPr>
                <w:kern w:val="0"/>
                <w:sz w:val="18"/>
                <w:szCs w:val="18"/>
              </w:rPr>
              <w:t>Z≥80000</w:t>
            </w:r>
          </w:p>
        </w:tc>
        <w:tc>
          <w:tcPr>
            <w:tcW w:w="1701" w:type="dxa"/>
            <w:vAlign w:val="center"/>
          </w:tcPr>
          <w:p w14:paraId="2AD2FE11">
            <w:pPr>
              <w:widowControl/>
              <w:jc w:val="center"/>
              <w:rPr>
                <w:kern w:val="0"/>
                <w:sz w:val="18"/>
                <w:szCs w:val="18"/>
              </w:rPr>
            </w:pPr>
            <w:r>
              <w:rPr>
                <w:kern w:val="0"/>
                <w:sz w:val="18"/>
                <w:szCs w:val="18"/>
              </w:rPr>
              <w:t>5000≤Z＜80000</w:t>
            </w:r>
          </w:p>
        </w:tc>
        <w:tc>
          <w:tcPr>
            <w:tcW w:w="1426" w:type="dxa"/>
            <w:vAlign w:val="center"/>
          </w:tcPr>
          <w:p w14:paraId="37913382">
            <w:pPr>
              <w:widowControl/>
              <w:jc w:val="center"/>
              <w:rPr>
                <w:kern w:val="0"/>
                <w:sz w:val="18"/>
                <w:szCs w:val="18"/>
              </w:rPr>
            </w:pPr>
            <w:r>
              <w:rPr>
                <w:kern w:val="0"/>
                <w:sz w:val="18"/>
                <w:szCs w:val="18"/>
              </w:rPr>
              <w:t>300≤Z＜5000</w:t>
            </w:r>
          </w:p>
        </w:tc>
        <w:tc>
          <w:tcPr>
            <w:tcW w:w="992" w:type="dxa"/>
            <w:vAlign w:val="center"/>
          </w:tcPr>
          <w:p w14:paraId="38AACABA">
            <w:pPr>
              <w:widowControl/>
              <w:jc w:val="center"/>
              <w:rPr>
                <w:kern w:val="0"/>
                <w:sz w:val="18"/>
                <w:szCs w:val="18"/>
              </w:rPr>
            </w:pPr>
            <w:r>
              <w:rPr>
                <w:kern w:val="0"/>
                <w:sz w:val="18"/>
                <w:szCs w:val="18"/>
              </w:rPr>
              <w:t>Z＜300</w:t>
            </w:r>
          </w:p>
        </w:tc>
      </w:tr>
      <w:tr w14:paraId="446D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D5939D9">
            <w:pPr>
              <w:widowControl/>
              <w:spacing w:line="240" w:lineRule="exact"/>
              <w:jc w:val="left"/>
              <w:rPr>
                <w:kern w:val="0"/>
                <w:sz w:val="18"/>
                <w:szCs w:val="18"/>
              </w:rPr>
            </w:pPr>
            <w:r>
              <w:rPr>
                <w:kern w:val="0"/>
                <w:sz w:val="18"/>
                <w:szCs w:val="18"/>
              </w:rPr>
              <w:t>批发业</w:t>
            </w:r>
          </w:p>
        </w:tc>
        <w:tc>
          <w:tcPr>
            <w:tcW w:w="1369" w:type="dxa"/>
            <w:vAlign w:val="center"/>
          </w:tcPr>
          <w:p w14:paraId="1847EF28">
            <w:pPr>
              <w:widowControl/>
              <w:jc w:val="center"/>
              <w:rPr>
                <w:kern w:val="0"/>
                <w:sz w:val="18"/>
                <w:szCs w:val="18"/>
              </w:rPr>
            </w:pPr>
            <w:r>
              <w:rPr>
                <w:kern w:val="0"/>
                <w:sz w:val="18"/>
                <w:szCs w:val="18"/>
              </w:rPr>
              <w:t>从业人员(X)</w:t>
            </w:r>
          </w:p>
        </w:tc>
        <w:tc>
          <w:tcPr>
            <w:tcW w:w="709" w:type="dxa"/>
            <w:vAlign w:val="center"/>
          </w:tcPr>
          <w:p w14:paraId="6C97B302">
            <w:pPr>
              <w:widowControl/>
              <w:jc w:val="center"/>
              <w:rPr>
                <w:kern w:val="0"/>
                <w:sz w:val="18"/>
                <w:szCs w:val="18"/>
              </w:rPr>
            </w:pPr>
            <w:r>
              <w:rPr>
                <w:kern w:val="0"/>
                <w:sz w:val="18"/>
                <w:szCs w:val="18"/>
              </w:rPr>
              <w:t>人</w:t>
            </w:r>
          </w:p>
        </w:tc>
        <w:tc>
          <w:tcPr>
            <w:tcW w:w="1125" w:type="dxa"/>
            <w:vAlign w:val="center"/>
          </w:tcPr>
          <w:p w14:paraId="4CD9E6C5">
            <w:pPr>
              <w:widowControl/>
              <w:jc w:val="center"/>
              <w:rPr>
                <w:kern w:val="0"/>
                <w:sz w:val="18"/>
                <w:szCs w:val="18"/>
              </w:rPr>
            </w:pPr>
            <w:r>
              <w:rPr>
                <w:kern w:val="0"/>
                <w:sz w:val="18"/>
                <w:szCs w:val="18"/>
              </w:rPr>
              <w:t>X≥200</w:t>
            </w:r>
          </w:p>
        </w:tc>
        <w:tc>
          <w:tcPr>
            <w:tcW w:w="1701" w:type="dxa"/>
            <w:vAlign w:val="center"/>
          </w:tcPr>
          <w:p w14:paraId="63286863">
            <w:pPr>
              <w:widowControl/>
              <w:jc w:val="center"/>
              <w:rPr>
                <w:kern w:val="0"/>
                <w:sz w:val="18"/>
                <w:szCs w:val="18"/>
              </w:rPr>
            </w:pPr>
            <w:r>
              <w:rPr>
                <w:kern w:val="0"/>
                <w:sz w:val="18"/>
                <w:szCs w:val="18"/>
              </w:rPr>
              <w:t>20≤X＜200</w:t>
            </w:r>
          </w:p>
        </w:tc>
        <w:tc>
          <w:tcPr>
            <w:tcW w:w="1426" w:type="dxa"/>
            <w:vAlign w:val="center"/>
          </w:tcPr>
          <w:p w14:paraId="5B39F361">
            <w:pPr>
              <w:widowControl/>
              <w:jc w:val="center"/>
              <w:rPr>
                <w:kern w:val="0"/>
                <w:sz w:val="18"/>
                <w:szCs w:val="18"/>
              </w:rPr>
            </w:pPr>
            <w:r>
              <w:rPr>
                <w:kern w:val="0"/>
                <w:sz w:val="18"/>
                <w:szCs w:val="18"/>
              </w:rPr>
              <w:t>5≤X＜20</w:t>
            </w:r>
          </w:p>
        </w:tc>
        <w:tc>
          <w:tcPr>
            <w:tcW w:w="992" w:type="dxa"/>
            <w:vAlign w:val="center"/>
          </w:tcPr>
          <w:p w14:paraId="1AC2BC4D">
            <w:pPr>
              <w:widowControl/>
              <w:jc w:val="center"/>
              <w:rPr>
                <w:kern w:val="0"/>
                <w:sz w:val="18"/>
                <w:szCs w:val="18"/>
              </w:rPr>
            </w:pPr>
            <w:r>
              <w:rPr>
                <w:kern w:val="0"/>
                <w:sz w:val="18"/>
                <w:szCs w:val="18"/>
              </w:rPr>
              <w:t>X＜5</w:t>
            </w:r>
          </w:p>
        </w:tc>
      </w:tr>
      <w:tr w14:paraId="146E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37A07E7B">
            <w:pPr>
              <w:widowControl/>
              <w:jc w:val="left"/>
              <w:rPr>
                <w:kern w:val="0"/>
                <w:sz w:val="18"/>
                <w:szCs w:val="18"/>
              </w:rPr>
            </w:pPr>
          </w:p>
        </w:tc>
        <w:tc>
          <w:tcPr>
            <w:tcW w:w="1369" w:type="dxa"/>
            <w:vAlign w:val="center"/>
          </w:tcPr>
          <w:p w14:paraId="5D9AD0D5">
            <w:pPr>
              <w:widowControl/>
              <w:spacing w:line="240" w:lineRule="exact"/>
              <w:jc w:val="center"/>
              <w:rPr>
                <w:kern w:val="0"/>
                <w:sz w:val="18"/>
                <w:szCs w:val="18"/>
              </w:rPr>
            </w:pPr>
            <w:r>
              <w:rPr>
                <w:kern w:val="0"/>
                <w:sz w:val="18"/>
                <w:szCs w:val="18"/>
              </w:rPr>
              <w:t>营业收入(Y)</w:t>
            </w:r>
          </w:p>
        </w:tc>
        <w:tc>
          <w:tcPr>
            <w:tcW w:w="709" w:type="dxa"/>
            <w:vAlign w:val="center"/>
          </w:tcPr>
          <w:p w14:paraId="6CE7B8B4">
            <w:pPr>
              <w:widowControl/>
              <w:jc w:val="center"/>
              <w:rPr>
                <w:kern w:val="0"/>
                <w:sz w:val="18"/>
                <w:szCs w:val="18"/>
              </w:rPr>
            </w:pPr>
            <w:r>
              <w:rPr>
                <w:kern w:val="0"/>
                <w:sz w:val="18"/>
                <w:szCs w:val="18"/>
              </w:rPr>
              <w:t>万元</w:t>
            </w:r>
          </w:p>
        </w:tc>
        <w:tc>
          <w:tcPr>
            <w:tcW w:w="1125" w:type="dxa"/>
            <w:vAlign w:val="center"/>
          </w:tcPr>
          <w:p w14:paraId="312C3DBB">
            <w:pPr>
              <w:widowControl/>
              <w:jc w:val="center"/>
              <w:rPr>
                <w:kern w:val="0"/>
                <w:sz w:val="18"/>
                <w:szCs w:val="18"/>
              </w:rPr>
            </w:pPr>
            <w:r>
              <w:rPr>
                <w:kern w:val="0"/>
                <w:sz w:val="18"/>
                <w:szCs w:val="18"/>
              </w:rPr>
              <w:t>Y≥40000</w:t>
            </w:r>
          </w:p>
        </w:tc>
        <w:tc>
          <w:tcPr>
            <w:tcW w:w="1701" w:type="dxa"/>
            <w:vAlign w:val="center"/>
          </w:tcPr>
          <w:p w14:paraId="2B7F86BD">
            <w:pPr>
              <w:widowControl/>
              <w:jc w:val="center"/>
              <w:rPr>
                <w:kern w:val="0"/>
                <w:sz w:val="18"/>
                <w:szCs w:val="18"/>
              </w:rPr>
            </w:pPr>
            <w:r>
              <w:rPr>
                <w:kern w:val="0"/>
                <w:sz w:val="18"/>
                <w:szCs w:val="18"/>
              </w:rPr>
              <w:t>5000≤Y＜40000</w:t>
            </w:r>
          </w:p>
        </w:tc>
        <w:tc>
          <w:tcPr>
            <w:tcW w:w="1426" w:type="dxa"/>
            <w:vAlign w:val="center"/>
          </w:tcPr>
          <w:p w14:paraId="75AF347A">
            <w:pPr>
              <w:widowControl/>
              <w:ind w:left="-1" w:leftChars="-1" w:hanging="1"/>
              <w:jc w:val="center"/>
              <w:rPr>
                <w:kern w:val="0"/>
                <w:sz w:val="18"/>
                <w:szCs w:val="18"/>
              </w:rPr>
            </w:pPr>
            <w:r>
              <w:rPr>
                <w:kern w:val="0"/>
                <w:sz w:val="18"/>
                <w:szCs w:val="18"/>
              </w:rPr>
              <w:t>1000≤Y＜5000</w:t>
            </w:r>
          </w:p>
        </w:tc>
        <w:tc>
          <w:tcPr>
            <w:tcW w:w="992" w:type="dxa"/>
            <w:vAlign w:val="center"/>
          </w:tcPr>
          <w:p w14:paraId="53CEEF5F">
            <w:pPr>
              <w:widowControl/>
              <w:jc w:val="center"/>
              <w:rPr>
                <w:kern w:val="0"/>
                <w:sz w:val="18"/>
                <w:szCs w:val="18"/>
              </w:rPr>
            </w:pPr>
            <w:r>
              <w:rPr>
                <w:kern w:val="0"/>
                <w:sz w:val="18"/>
                <w:szCs w:val="18"/>
              </w:rPr>
              <w:t>Y＜1000</w:t>
            </w:r>
          </w:p>
        </w:tc>
      </w:tr>
      <w:tr w14:paraId="2877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5B32DCA3">
            <w:pPr>
              <w:widowControl/>
              <w:spacing w:line="240" w:lineRule="exact"/>
              <w:jc w:val="left"/>
              <w:rPr>
                <w:kern w:val="0"/>
                <w:sz w:val="18"/>
                <w:szCs w:val="18"/>
              </w:rPr>
            </w:pPr>
            <w:r>
              <w:rPr>
                <w:kern w:val="0"/>
                <w:sz w:val="18"/>
                <w:szCs w:val="18"/>
              </w:rPr>
              <w:t>零售业</w:t>
            </w:r>
          </w:p>
        </w:tc>
        <w:tc>
          <w:tcPr>
            <w:tcW w:w="1369" w:type="dxa"/>
            <w:vAlign w:val="center"/>
          </w:tcPr>
          <w:p w14:paraId="46DBDB57">
            <w:pPr>
              <w:widowControl/>
              <w:jc w:val="center"/>
              <w:rPr>
                <w:kern w:val="0"/>
                <w:sz w:val="18"/>
                <w:szCs w:val="18"/>
              </w:rPr>
            </w:pPr>
            <w:r>
              <w:rPr>
                <w:kern w:val="0"/>
                <w:sz w:val="18"/>
                <w:szCs w:val="18"/>
              </w:rPr>
              <w:t>从业人员(X)</w:t>
            </w:r>
          </w:p>
        </w:tc>
        <w:tc>
          <w:tcPr>
            <w:tcW w:w="709" w:type="dxa"/>
            <w:vAlign w:val="center"/>
          </w:tcPr>
          <w:p w14:paraId="40FBD5D2">
            <w:pPr>
              <w:widowControl/>
              <w:jc w:val="center"/>
              <w:rPr>
                <w:kern w:val="0"/>
                <w:sz w:val="18"/>
                <w:szCs w:val="18"/>
              </w:rPr>
            </w:pPr>
            <w:r>
              <w:rPr>
                <w:kern w:val="0"/>
                <w:sz w:val="18"/>
                <w:szCs w:val="18"/>
              </w:rPr>
              <w:t>人</w:t>
            </w:r>
          </w:p>
        </w:tc>
        <w:tc>
          <w:tcPr>
            <w:tcW w:w="1125" w:type="dxa"/>
            <w:vAlign w:val="center"/>
          </w:tcPr>
          <w:p w14:paraId="7F18718A">
            <w:pPr>
              <w:widowControl/>
              <w:jc w:val="center"/>
              <w:rPr>
                <w:kern w:val="0"/>
                <w:sz w:val="18"/>
                <w:szCs w:val="18"/>
              </w:rPr>
            </w:pPr>
            <w:r>
              <w:rPr>
                <w:kern w:val="0"/>
                <w:sz w:val="18"/>
                <w:szCs w:val="18"/>
              </w:rPr>
              <w:t>X≥300</w:t>
            </w:r>
          </w:p>
        </w:tc>
        <w:tc>
          <w:tcPr>
            <w:tcW w:w="1701" w:type="dxa"/>
            <w:vAlign w:val="center"/>
          </w:tcPr>
          <w:p w14:paraId="5705B77B">
            <w:pPr>
              <w:widowControl/>
              <w:jc w:val="center"/>
              <w:rPr>
                <w:kern w:val="0"/>
                <w:sz w:val="18"/>
                <w:szCs w:val="18"/>
              </w:rPr>
            </w:pPr>
            <w:r>
              <w:rPr>
                <w:kern w:val="0"/>
                <w:sz w:val="18"/>
                <w:szCs w:val="18"/>
              </w:rPr>
              <w:t>50≤X＜300</w:t>
            </w:r>
          </w:p>
        </w:tc>
        <w:tc>
          <w:tcPr>
            <w:tcW w:w="1426" w:type="dxa"/>
            <w:vAlign w:val="center"/>
          </w:tcPr>
          <w:p w14:paraId="0A8AC52B">
            <w:pPr>
              <w:widowControl/>
              <w:ind w:left="-1" w:leftChars="-1" w:hanging="1"/>
              <w:jc w:val="center"/>
              <w:rPr>
                <w:kern w:val="0"/>
                <w:sz w:val="18"/>
                <w:szCs w:val="18"/>
              </w:rPr>
            </w:pPr>
            <w:r>
              <w:rPr>
                <w:kern w:val="0"/>
                <w:sz w:val="18"/>
                <w:szCs w:val="18"/>
              </w:rPr>
              <w:t xml:space="preserve">10≤X＜50 </w:t>
            </w:r>
          </w:p>
        </w:tc>
        <w:tc>
          <w:tcPr>
            <w:tcW w:w="992" w:type="dxa"/>
            <w:vAlign w:val="center"/>
          </w:tcPr>
          <w:p w14:paraId="57D20DB1">
            <w:pPr>
              <w:widowControl/>
              <w:jc w:val="center"/>
              <w:rPr>
                <w:kern w:val="0"/>
                <w:sz w:val="18"/>
                <w:szCs w:val="18"/>
              </w:rPr>
            </w:pPr>
            <w:r>
              <w:rPr>
                <w:kern w:val="0"/>
                <w:sz w:val="18"/>
                <w:szCs w:val="18"/>
              </w:rPr>
              <w:t>X＜10</w:t>
            </w:r>
          </w:p>
        </w:tc>
      </w:tr>
      <w:tr w14:paraId="6C22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36E771C">
            <w:pPr>
              <w:widowControl/>
              <w:jc w:val="left"/>
              <w:rPr>
                <w:kern w:val="0"/>
                <w:sz w:val="18"/>
                <w:szCs w:val="18"/>
              </w:rPr>
            </w:pPr>
          </w:p>
        </w:tc>
        <w:tc>
          <w:tcPr>
            <w:tcW w:w="1369" w:type="dxa"/>
            <w:vAlign w:val="center"/>
          </w:tcPr>
          <w:p w14:paraId="62BAF46C">
            <w:pPr>
              <w:widowControl/>
              <w:spacing w:line="240" w:lineRule="exact"/>
              <w:jc w:val="center"/>
              <w:rPr>
                <w:kern w:val="0"/>
                <w:sz w:val="18"/>
                <w:szCs w:val="18"/>
              </w:rPr>
            </w:pPr>
            <w:r>
              <w:rPr>
                <w:kern w:val="0"/>
                <w:sz w:val="18"/>
                <w:szCs w:val="18"/>
              </w:rPr>
              <w:t>营业收入(Y)</w:t>
            </w:r>
          </w:p>
        </w:tc>
        <w:tc>
          <w:tcPr>
            <w:tcW w:w="709" w:type="dxa"/>
            <w:vAlign w:val="center"/>
          </w:tcPr>
          <w:p w14:paraId="0A179B90">
            <w:pPr>
              <w:widowControl/>
              <w:jc w:val="center"/>
              <w:rPr>
                <w:kern w:val="0"/>
                <w:sz w:val="18"/>
                <w:szCs w:val="18"/>
              </w:rPr>
            </w:pPr>
            <w:r>
              <w:rPr>
                <w:kern w:val="0"/>
                <w:sz w:val="18"/>
                <w:szCs w:val="18"/>
              </w:rPr>
              <w:t>万元</w:t>
            </w:r>
          </w:p>
        </w:tc>
        <w:tc>
          <w:tcPr>
            <w:tcW w:w="1125" w:type="dxa"/>
            <w:vAlign w:val="center"/>
          </w:tcPr>
          <w:p w14:paraId="7AA0613B">
            <w:pPr>
              <w:widowControl/>
              <w:jc w:val="center"/>
              <w:rPr>
                <w:kern w:val="0"/>
                <w:sz w:val="18"/>
                <w:szCs w:val="18"/>
              </w:rPr>
            </w:pPr>
            <w:r>
              <w:rPr>
                <w:kern w:val="0"/>
                <w:sz w:val="18"/>
                <w:szCs w:val="18"/>
              </w:rPr>
              <w:t>Y≥20000</w:t>
            </w:r>
          </w:p>
        </w:tc>
        <w:tc>
          <w:tcPr>
            <w:tcW w:w="1701" w:type="dxa"/>
            <w:vAlign w:val="center"/>
          </w:tcPr>
          <w:p w14:paraId="2FD7A332">
            <w:pPr>
              <w:widowControl/>
              <w:jc w:val="center"/>
              <w:rPr>
                <w:kern w:val="0"/>
                <w:sz w:val="18"/>
                <w:szCs w:val="18"/>
              </w:rPr>
            </w:pPr>
            <w:r>
              <w:rPr>
                <w:kern w:val="0"/>
                <w:sz w:val="18"/>
                <w:szCs w:val="18"/>
              </w:rPr>
              <w:t>500≤Y＜20000</w:t>
            </w:r>
          </w:p>
        </w:tc>
        <w:tc>
          <w:tcPr>
            <w:tcW w:w="1426" w:type="dxa"/>
            <w:vAlign w:val="center"/>
          </w:tcPr>
          <w:p w14:paraId="243C44C9">
            <w:pPr>
              <w:widowControl/>
              <w:ind w:left="-1" w:leftChars="-1" w:hanging="1"/>
              <w:jc w:val="center"/>
              <w:rPr>
                <w:kern w:val="0"/>
                <w:sz w:val="18"/>
                <w:szCs w:val="18"/>
              </w:rPr>
            </w:pPr>
            <w:r>
              <w:rPr>
                <w:kern w:val="0"/>
                <w:sz w:val="18"/>
                <w:szCs w:val="18"/>
              </w:rPr>
              <w:t>100≤Y＜500</w:t>
            </w:r>
          </w:p>
        </w:tc>
        <w:tc>
          <w:tcPr>
            <w:tcW w:w="992" w:type="dxa"/>
            <w:vAlign w:val="center"/>
          </w:tcPr>
          <w:p w14:paraId="0C7FB10E">
            <w:pPr>
              <w:widowControl/>
              <w:jc w:val="center"/>
              <w:rPr>
                <w:kern w:val="0"/>
                <w:sz w:val="18"/>
                <w:szCs w:val="18"/>
              </w:rPr>
            </w:pPr>
            <w:r>
              <w:rPr>
                <w:kern w:val="0"/>
                <w:sz w:val="18"/>
                <w:szCs w:val="18"/>
              </w:rPr>
              <w:t>Y＜100</w:t>
            </w:r>
          </w:p>
        </w:tc>
      </w:tr>
      <w:tr w14:paraId="4F4A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4F6DC1AE">
            <w:pPr>
              <w:widowControl/>
              <w:spacing w:line="240" w:lineRule="exact"/>
              <w:jc w:val="left"/>
              <w:rPr>
                <w:rFonts w:hint="eastAsia"/>
                <w:kern w:val="0"/>
                <w:sz w:val="18"/>
                <w:szCs w:val="18"/>
              </w:rPr>
            </w:pPr>
            <w:r>
              <w:rPr>
                <w:kern w:val="0"/>
                <w:sz w:val="18"/>
                <w:szCs w:val="18"/>
              </w:rPr>
              <w:t>交通运输业</w:t>
            </w:r>
            <w:r>
              <w:rPr>
                <w:rFonts w:hint="eastAsia" w:ascii="宋体" w:hAnsi="宋体" w:cs="宋体"/>
                <w:kern w:val="0"/>
                <w:sz w:val="18"/>
                <w:szCs w:val="18"/>
              </w:rPr>
              <w:t>※</w:t>
            </w:r>
          </w:p>
        </w:tc>
        <w:tc>
          <w:tcPr>
            <w:tcW w:w="1369" w:type="dxa"/>
            <w:vAlign w:val="center"/>
          </w:tcPr>
          <w:p w14:paraId="5D860132">
            <w:pPr>
              <w:widowControl/>
              <w:jc w:val="center"/>
              <w:rPr>
                <w:kern w:val="0"/>
                <w:sz w:val="18"/>
                <w:szCs w:val="18"/>
              </w:rPr>
            </w:pPr>
            <w:r>
              <w:rPr>
                <w:kern w:val="0"/>
                <w:sz w:val="18"/>
                <w:szCs w:val="18"/>
              </w:rPr>
              <w:t>从业人员(X)</w:t>
            </w:r>
          </w:p>
        </w:tc>
        <w:tc>
          <w:tcPr>
            <w:tcW w:w="709" w:type="dxa"/>
            <w:vAlign w:val="center"/>
          </w:tcPr>
          <w:p w14:paraId="2E5744DE">
            <w:pPr>
              <w:widowControl/>
              <w:jc w:val="center"/>
              <w:rPr>
                <w:kern w:val="0"/>
                <w:sz w:val="18"/>
                <w:szCs w:val="18"/>
              </w:rPr>
            </w:pPr>
            <w:r>
              <w:rPr>
                <w:kern w:val="0"/>
                <w:sz w:val="18"/>
                <w:szCs w:val="18"/>
              </w:rPr>
              <w:t>人</w:t>
            </w:r>
          </w:p>
        </w:tc>
        <w:tc>
          <w:tcPr>
            <w:tcW w:w="1125" w:type="dxa"/>
            <w:vAlign w:val="center"/>
          </w:tcPr>
          <w:p w14:paraId="13361F98">
            <w:pPr>
              <w:widowControl/>
              <w:jc w:val="center"/>
              <w:rPr>
                <w:kern w:val="0"/>
                <w:sz w:val="18"/>
                <w:szCs w:val="18"/>
              </w:rPr>
            </w:pPr>
            <w:r>
              <w:rPr>
                <w:kern w:val="0"/>
                <w:sz w:val="18"/>
                <w:szCs w:val="18"/>
              </w:rPr>
              <w:t>X≥1000</w:t>
            </w:r>
          </w:p>
        </w:tc>
        <w:tc>
          <w:tcPr>
            <w:tcW w:w="1701" w:type="dxa"/>
            <w:vAlign w:val="center"/>
          </w:tcPr>
          <w:p w14:paraId="75BF4C05">
            <w:pPr>
              <w:widowControl/>
              <w:jc w:val="center"/>
              <w:rPr>
                <w:kern w:val="0"/>
                <w:sz w:val="18"/>
                <w:szCs w:val="18"/>
              </w:rPr>
            </w:pPr>
            <w:r>
              <w:rPr>
                <w:kern w:val="0"/>
                <w:sz w:val="18"/>
                <w:szCs w:val="18"/>
              </w:rPr>
              <w:t>300≤X＜1000</w:t>
            </w:r>
          </w:p>
        </w:tc>
        <w:tc>
          <w:tcPr>
            <w:tcW w:w="1426" w:type="dxa"/>
            <w:vAlign w:val="center"/>
          </w:tcPr>
          <w:p w14:paraId="690C2926">
            <w:pPr>
              <w:widowControl/>
              <w:jc w:val="center"/>
              <w:rPr>
                <w:kern w:val="0"/>
                <w:sz w:val="18"/>
                <w:szCs w:val="18"/>
              </w:rPr>
            </w:pPr>
            <w:r>
              <w:rPr>
                <w:kern w:val="0"/>
                <w:sz w:val="18"/>
                <w:szCs w:val="18"/>
              </w:rPr>
              <w:t>20≤X＜300</w:t>
            </w:r>
          </w:p>
        </w:tc>
        <w:tc>
          <w:tcPr>
            <w:tcW w:w="992" w:type="dxa"/>
            <w:vAlign w:val="center"/>
          </w:tcPr>
          <w:p w14:paraId="30BACF74">
            <w:pPr>
              <w:widowControl/>
              <w:jc w:val="center"/>
              <w:rPr>
                <w:kern w:val="0"/>
                <w:sz w:val="18"/>
                <w:szCs w:val="18"/>
              </w:rPr>
            </w:pPr>
            <w:r>
              <w:rPr>
                <w:kern w:val="0"/>
                <w:sz w:val="18"/>
                <w:szCs w:val="18"/>
              </w:rPr>
              <w:t>X＜20</w:t>
            </w:r>
          </w:p>
        </w:tc>
      </w:tr>
      <w:tr w14:paraId="1E46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A6FDA5C">
            <w:pPr>
              <w:widowControl/>
              <w:jc w:val="left"/>
              <w:rPr>
                <w:kern w:val="0"/>
                <w:sz w:val="18"/>
                <w:szCs w:val="18"/>
              </w:rPr>
            </w:pPr>
          </w:p>
        </w:tc>
        <w:tc>
          <w:tcPr>
            <w:tcW w:w="1369" w:type="dxa"/>
            <w:vAlign w:val="center"/>
          </w:tcPr>
          <w:p w14:paraId="25720174">
            <w:pPr>
              <w:widowControl/>
              <w:spacing w:line="240" w:lineRule="exact"/>
              <w:jc w:val="center"/>
              <w:rPr>
                <w:kern w:val="0"/>
                <w:sz w:val="18"/>
                <w:szCs w:val="18"/>
              </w:rPr>
            </w:pPr>
            <w:r>
              <w:rPr>
                <w:kern w:val="0"/>
                <w:sz w:val="18"/>
                <w:szCs w:val="18"/>
              </w:rPr>
              <w:t>营业收入(Y)</w:t>
            </w:r>
          </w:p>
        </w:tc>
        <w:tc>
          <w:tcPr>
            <w:tcW w:w="709" w:type="dxa"/>
            <w:vAlign w:val="center"/>
          </w:tcPr>
          <w:p w14:paraId="2E7C1114">
            <w:pPr>
              <w:widowControl/>
              <w:jc w:val="center"/>
              <w:rPr>
                <w:kern w:val="0"/>
                <w:sz w:val="18"/>
                <w:szCs w:val="18"/>
              </w:rPr>
            </w:pPr>
            <w:r>
              <w:rPr>
                <w:kern w:val="0"/>
                <w:sz w:val="18"/>
                <w:szCs w:val="18"/>
              </w:rPr>
              <w:t>万元</w:t>
            </w:r>
          </w:p>
        </w:tc>
        <w:tc>
          <w:tcPr>
            <w:tcW w:w="1125" w:type="dxa"/>
            <w:vAlign w:val="center"/>
          </w:tcPr>
          <w:p w14:paraId="433A309C">
            <w:pPr>
              <w:widowControl/>
              <w:jc w:val="center"/>
              <w:rPr>
                <w:kern w:val="0"/>
                <w:sz w:val="18"/>
                <w:szCs w:val="18"/>
              </w:rPr>
            </w:pPr>
            <w:r>
              <w:rPr>
                <w:kern w:val="0"/>
                <w:sz w:val="18"/>
                <w:szCs w:val="18"/>
              </w:rPr>
              <w:t>Y≥30000</w:t>
            </w:r>
          </w:p>
        </w:tc>
        <w:tc>
          <w:tcPr>
            <w:tcW w:w="1701" w:type="dxa"/>
            <w:vAlign w:val="center"/>
          </w:tcPr>
          <w:p w14:paraId="0B2BBC11">
            <w:pPr>
              <w:widowControl/>
              <w:jc w:val="center"/>
              <w:rPr>
                <w:kern w:val="0"/>
                <w:sz w:val="18"/>
                <w:szCs w:val="18"/>
              </w:rPr>
            </w:pPr>
            <w:r>
              <w:rPr>
                <w:kern w:val="0"/>
                <w:sz w:val="18"/>
                <w:szCs w:val="18"/>
              </w:rPr>
              <w:t>3000≤Y＜30000</w:t>
            </w:r>
          </w:p>
        </w:tc>
        <w:tc>
          <w:tcPr>
            <w:tcW w:w="1426" w:type="dxa"/>
            <w:vAlign w:val="center"/>
          </w:tcPr>
          <w:p w14:paraId="2375A764">
            <w:pPr>
              <w:widowControl/>
              <w:jc w:val="center"/>
              <w:rPr>
                <w:kern w:val="0"/>
                <w:sz w:val="18"/>
                <w:szCs w:val="18"/>
              </w:rPr>
            </w:pPr>
            <w:r>
              <w:rPr>
                <w:kern w:val="0"/>
                <w:sz w:val="18"/>
                <w:szCs w:val="18"/>
              </w:rPr>
              <w:t>200≤Y＜3000</w:t>
            </w:r>
          </w:p>
        </w:tc>
        <w:tc>
          <w:tcPr>
            <w:tcW w:w="992" w:type="dxa"/>
            <w:vAlign w:val="center"/>
          </w:tcPr>
          <w:p w14:paraId="6B836458">
            <w:pPr>
              <w:widowControl/>
              <w:jc w:val="center"/>
              <w:rPr>
                <w:kern w:val="0"/>
                <w:sz w:val="18"/>
                <w:szCs w:val="18"/>
              </w:rPr>
            </w:pPr>
            <w:r>
              <w:rPr>
                <w:kern w:val="0"/>
                <w:sz w:val="18"/>
                <w:szCs w:val="18"/>
              </w:rPr>
              <w:t>Y＜200</w:t>
            </w:r>
          </w:p>
        </w:tc>
      </w:tr>
      <w:tr w14:paraId="098A0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049AB201">
            <w:pPr>
              <w:widowControl/>
              <w:spacing w:line="240" w:lineRule="exact"/>
              <w:jc w:val="left"/>
              <w:rPr>
                <w:rFonts w:hint="eastAsia"/>
                <w:kern w:val="0"/>
                <w:sz w:val="18"/>
                <w:szCs w:val="18"/>
              </w:rPr>
            </w:pPr>
            <w:r>
              <w:rPr>
                <w:kern w:val="0"/>
                <w:sz w:val="18"/>
                <w:szCs w:val="18"/>
              </w:rPr>
              <w:t>仓储业</w:t>
            </w:r>
            <w:r>
              <w:rPr>
                <w:rFonts w:hint="eastAsia" w:ascii="宋体" w:hAnsi="宋体" w:cs="宋体"/>
                <w:kern w:val="0"/>
                <w:sz w:val="18"/>
                <w:szCs w:val="18"/>
              </w:rPr>
              <w:t>※</w:t>
            </w:r>
          </w:p>
        </w:tc>
        <w:tc>
          <w:tcPr>
            <w:tcW w:w="1369" w:type="dxa"/>
            <w:vAlign w:val="center"/>
          </w:tcPr>
          <w:p w14:paraId="57A698FC">
            <w:pPr>
              <w:widowControl/>
              <w:jc w:val="center"/>
              <w:rPr>
                <w:kern w:val="0"/>
                <w:sz w:val="18"/>
                <w:szCs w:val="18"/>
              </w:rPr>
            </w:pPr>
            <w:r>
              <w:rPr>
                <w:kern w:val="0"/>
                <w:sz w:val="18"/>
                <w:szCs w:val="18"/>
              </w:rPr>
              <w:t>从业人员(X)</w:t>
            </w:r>
          </w:p>
        </w:tc>
        <w:tc>
          <w:tcPr>
            <w:tcW w:w="709" w:type="dxa"/>
            <w:vAlign w:val="center"/>
          </w:tcPr>
          <w:p w14:paraId="3074C15A">
            <w:pPr>
              <w:widowControl/>
              <w:jc w:val="center"/>
              <w:rPr>
                <w:kern w:val="0"/>
                <w:sz w:val="18"/>
                <w:szCs w:val="18"/>
              </w:rPr>
            </w:pPr>
            <w:r>
              <w:rPr>
                <w:kern w:val="0"/>
                <w:sz w:val="18"/>
                <w:szCs w:val="18"/>
              </w:rPr>
              <w:t>人</w:t>
            </w:r>
          </w:p>
        </w:tc>
        <w:tc>
          <w:tcPr>
            <w:tcW w:w="1125" w:type="dxa"/>
            <w:vAlign w:val="center"/>
          </w:tcPr>
          <w:p w14:paraId="669A964D">
            <w:pPr>
              <w:widowControl/>
              <w:jc w:val="center"/>
              <w:rPr>
                <w:kern w:val="0"/>
                <w:sz w:val="18"/>
                <w:szCs w:val="18"/>
              </w:rPr>
            </w:pPr>
            <w:r>
              <w:rPr>
                <w:kern w:val="0"/>
                <w:sz w:val="18"/>
                <w:szCs w:val="18"/>
              </w:rPr>
              <w:t>X≥200</w:t>
            </w:r>
          </w:p>
        </w:tc>
        <w:tc>
          <w:tcPr>
            <w:tcW w:w="1701" w:type="dxa"/>
            <w:vAlign w:val="center"/>
          </w:tcPr>
          <w:p w14:paraId="347B059E">
            <w:pPr>
              <w:widowControl/>
              <w:ind w:left="1" w:leftChars="-51" w:hanging="108" w:hangingChars="60"/>
              <w:jc w:val="center"/>
              <w:rPr>
                <w:kern w:val="0"/>
                <w:sz w:val="18"/>
                <w:szCs w:val="18"/>
              </w:rPr>
            </w:pPr>
            <w:r>
              <w:rPr>
                <w:kern w:val="0"/>
                <w:sz w:val="18"/>
                <w:szCs w:val="18"/>
              </w:rPr>
              <w:t>100≤X＜200</w:t>
            </w:r>
          </w:p>
        </w:tc>
        <w:tc>
          <w:tcPr>
            <w:tcW w:w="1426" w:type="dxa"/>
            <w:vAlign w:val="center"/>
          </w:tcPr>
          <w:p w14:paraId="070C9DC7">
            <w:pPr>
              <w:widowControl/>
              <w:jc w:val="center"/>
              <w:rPr>
                <w:kern w:val="0"/>
                <w:sz w:val="18"/>
                <w:szCs w:val="18"/>
              </w:rPr>
            </w:pPr>
            <w:r>
              <w:rPr>
                <w:kern w:val="0"/>
                <w:sz w:val="18"/>
                <w:szCs w:val="18"/>
              </w:rPr>
              <w:t>20≤X＜100</w:t>
            </w:r>
          </w:p>
        </w:tc>
        <w:tc>
          <w:tcPr>
            <w:tcW w:w="992" w:type="dxa"/>
            <w:vAlign w:val="center"/>
          </w:tcPr>
          <w:p w14:paraId="628F1A3D">
            <w:pPr>
              <w:widowControl/>
              <w:jc w:val="center"/>
              <w:rPr>
                <w:kern w:val="0"/>
                <w:sz w:val="18"/>
                <w:szCs w:val="18"/>
              </w:rPr>
            </w:pPr>
            <w:r>
              <w:rPr>
                <w:kern w:val="0"/>
                <w:sz w:val="18"/>
                <w:szCs w:val="18"/>
              </w:rPr>
              <w:t>X＜20</w:t>
            </w:r>
          </w:p>
        </w:tc>
      </w:tr>
      <w:tr w14:paraId="532F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7387C3">
            <w:pPr>
              <w:widowControl/>
              <w:jc w:val="left"/>
              <w:rPr>
                <w:kern w:val="0"/>
                <w:sz w:val="18"/>
                <w:szCs w:val="18"/>
              </w:rPr>
            </w:pPr>
          </w:p>
        </w:tc>
        <w:tc>
          <w:tcPr>
            <w:tcW w:w="1369" w:type="dxa"/>
            <w:vAlign w:val="center"/>
          </w:tcPr>
          <w:p w14:paraId="6B0A9413">
            <w:pPr>
              <w:widowControl/>
              <w:spacing w:line="240" w:lineRule="exact"/>
              <w:jc w:val="center"/>
              <w:rPr>
                <w:kern w:val="0"/>
                <w:sz w:val="18"/>
                <w:szCs w:val="18"/>
              </w:rPr>
            </w:pPr>
            <w:r>
              <w:rPr>
                <w:kern w:val="0"/>
                <w:sz w:val="18"/>
                <w:szCs w:val="18"/>
              </w:rPr>
              <w:t>营业收入(Y)</w:t>
            </w:r>
          </w:p>
        </w:tc>
        <w:tc>
          <w:tcPr>
            <w:tcW w:w="709" w:type="dxa"/>
            <w:vAlign w:val="center"/>
          </w:tcPr>
          <w:p w14:paraId="482A53DE">
            <w:pPr>
              <w:widowControl/>
              <w:jc w:val="center"/>
              <w:rPr>
                <w:kern w:val="0"/>
                <w:sz w:val="18"/>
                <w:szCs w:val="18"/>
              </w:rPr>
            </w:pPr>
            <w:r>
              <w:rPr>
                <w:kern w:val="0"/>
                <w:sz w:val="18"/>
                <w:szCs w:val="18"/>
              </w:rPr>
              <w:t>万元</w:t>
            </w:r>
          </w:p>
        </w:tc>
        <w:tc>
          <w:tcPr>
            <w:tcW w:w="1125" w:type="dxa"/>
            <w:vAlign w:val="center"/>
          </w:tcPr>
          <w:p w14:paraId="1215B665">
            <w:pPr>
              <w:widowControl/>
              <w:jc w:val="center"/>
              <w:rPr>
                <w:kern w:val="0"/>
                <w:sz w:val="18"/>
                <w:szCs w:val="18"/>
              </w:rPr>
            </w:pPr>
            <w:r>
              <w:rPr>
                <w:kern w:val="0"/>
                <w:sz w:val="18"/>
                <w:szCs w:val="18"/>
              </w:rPr>
              <w:t>Y≥30000</w:t>
            </w:r>
          </w:p>
        </w:tc>
        <w:tc>
          <w:tcPr>
            <w:tcW w:w="1701" w:type="dxa"/>
            <w:vAlign w:val="center"/>
          </w:tcPr>
          <w:p w14:paraId="641B8E47">
            <w:pPr>
              <w:widowControl/>
              <w:jc w:val="center"/>
              <w:rPr>
                <w:kern w:val="0"/>
                <w:sz w:val="18"/>
                <w:szCs w:val="18"/>
              </w:rPr>
            </w:pPr>
            <w:r>
              <w:rPr>
                <w:kern w:val="0"/>
                <w:sz w:val="18"/>
                <w:szCs w:val="18"/>
              </w:rPr>
              <w:t>1000≤Y＜30000</w:t>
            </w:r>
          </w:p>
        </w:tc>
        <w:tc>
          <w:tcPr>
            <w:tcW w:w="1426" w:type="dxa"/>
            <w:vAlign w:val="center"/>
          </w:tcPr>
          <w:p w14:paraId="6C5AAE1E">
            <w:pPr>
              <w:widowControl/>
              <w:jc w:val="center"/>
              <w:rPr>
                <w:kern w:val="0"/>
                <w:sz w:val="18"/>
                <w:szCs w:val="18"/>
              </w:rPr>
            </w:pPr>
            <w:r>
              <w:rPr>
                <w:kern w:val="0"/>
                <w:sz w:val="18"/>
                <w:szCs w:val="18"/>
              </w:rPr>
              <w:t>100≤Y＜1000</w:t>
            </w:r>
          </w:p>
        </w:tc>
        <w:tc>
          <w:tcPr>
            <w:tcW w:w="992" w:type="dxa"/>
            <w:vAlign w:val="center"/>
          </w:tcPr>
          <w:p w14:paraId="7AEC3565">
            <w:pPr>
              <w:widowControl/>
              <w:jc w:val="center"/>
              <w:rPr>
                <w:kern w:val="0"/>
                <w:sz w:val="18"/>
                <w:szCs w:val="18"/>
              </w:rPr>
            </w:pPr>
            <w:r>
              <w:rPr>
                <w:kern w:val="0"/>
                <w:sz w:val="18"/>
                <w:szCs w:val="18"/>
              </w:rPr>
              <w:t>Y＜100</w:t>
            </w:r>
          </w:p>
        </w:tc>
      </w:tr>
      <w:tr w14:paraId="567E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6B92E393">
            <w:pPr>
              <w:widowControl/>
              <w:spacing w:line="240" w:lineRule="exact"/>
              <w:jc w:val="left"/>
              <w:rPr>
                <w:kern w:val="0"/>
                <w:sz w:val="18"/>
                <w:szCs w:val="18"/>
              </w:rPr>
            </w:pPr>
            <w:r>
              <w:rPr>
                <w:kern w:val="0"/>
                <w:sz w:val="18"/>
                <w:szCs w:val="18"/>
              </w:rPr>
              <w:t>邮政业</w:t>
            </w:r>
          </w:p>
        </w:tc>
        <w:tc>
          <w:tcPr>
            <w:tcW w:w="1369" w:type="dxa"/>
            <w:vAlign w:val="center"/>
          </w:tcPr>
          <w:p w14:paraId="60AFE7FF">
            <w:pPr>
              <w:widowControl/>
              <w:jc w:val="center"/>
              <w:rPr>
                <w:kern w:val="0"/>
                <w:sz w:val="18"/>
                <w:szCs w:val="18"/>
              </w:rPr>
            </w:pPr>
            <w:r>
              <w:rPr>
                <w:kern w:val="0"/>
                <w:sz w:val="18"/>
                <w:szCs w:val="18"/>
              </w:rPr>
              <w:t>从业人员(X)</w:t>
            </w:r>
          </w:p>
        </w:tc>
        <w:tc>
          <w:tcPr>
            <w:tcW w:w="709" w:type="dxa"/>
            <w:vAlign w:val="center"/>
          </w:tcPr>
          <w:p w14:paraId="377B01CC">
            <w:pPr>
              <w:widowControl/>
              <w:jc w:val="center"/>
              <w:rPr>
                <w:kern w:val="0"/>
                <w:sz w:val="18"/>
                <w:szCs w:val="18"/>
              </w:rPr>
            </w:pPr>
            <w:r>
              <w:rPr>
                <w:kern w:val="0"/>
                <w:sz w:val="18"/>
                <w:szCs w:val="18"/>
              </w:rPr>
              <w:t>人</w:t>
            </w:r>
          </w:p>
        </w:tc>
        <w:tc>
          <w:tcPr>
            <w:tcW w:w="1125" w:type="dxa"/>
            <w:vAlign w:val="center"/>
          </w:tcPr>
          <w:p w14:paraId="07A1DA0D">
            <w:pPr>
              <w:widowControl/>
              <w:jc w:val="center"/>
              <w:rPr>
                <w:kern w:val="0"/>
                <w:sz w:val="18"/>
                <w:szCs w:val="18"/>
              </w:rPr>
            </w:pPr>
            <w:r>
              <w:rPr>
                <w:kern w:val="0"/>
                <w:sz w:val="18"/>
                <w:szCs w:val="18"/>
              </w:rPr>
              <w:t>X≥1000</w:t>
            </w:r>
          </w:p>
        </w:tc>
        <w:tc>
          <w:tcPr>
            <w:tcW w:w="1701" w:type="dxa"/>
            <w:vAlign w:val="center"/>
          </w:tcPr>
          <w:p w14:paraId="23739FD7">
            <w:pPr>
              <w:widowControl/>
              <w:jc w:val="center"/>
              <w:rPr>
                <w:kern w:val="0"/>
                <w:sz w:val="18"/>
                <w:szCs w:val="18"/>
              </w:rPr>
            </w:pPr>
            <w:r>
              <w:rPr>
                <w:kern w:val="0"/>
                <w:sz w:val="18"/>
                <w:szCs w:val="18"/>
              </w:rPr>
              <w:t>300≤X＜1000</w:t>
            </w:r>
          </w:p>
        </w:tc>
        <w:tc>
          <w:tcPr>
            <w:tcW w:w="1426" w:type="dxa"/>
            <w:vAlign w:val="center"/>
          </w:tcPr>
          <w:p w14:paraId="0B9D5E1B">
            <w:pPr>
              <w:widowControl/>
              <w:jc w:val="center"/>
              <w:rPr>
                <w:kern w:val="0"/>
                <w:sz w:val="18"/>
                <w:szCs w:val="18"/>
              </w:rPr>
            </w:pPr>
            <w:r>
              <w:rPr>
                <w:kern w:val="0"/>
                <w:sz w:val="18"/>
                <w:szCs w:val="18"/>
              </w:rPr>
              <w:t>20≤X＜300</w:t>
            </w:r>
          </w:p>
        </w:tc>
        <w:tc>
          <w:tcPr>
            <w:tcW w:w="992" w:type="dxa"/>
            <w:vAlign w:val="center"/>
          </w:tcPr>
          <w:p w14:paraId="66E8E09C">
            <w:pPr>
              <w:widowControl/>
              <w:jc w:val="center"/>
              <w:rPr>
                <w:kern w:val="0"/>
                <w:sz w:val="18"/>
                <w:szCs w:val="18"/>
              </w:rPr>
            </w:pPr>
            <w:r>
              <w:rPr>
                <w:kern w:val="0"/>
                <w:sz w:val="18"/>
                <w:szCs w:val="18"/>
              </w:rPr>
              <w:t>X＜20</w:t>
            </w:r>
          </w:p>
        </w:tc>
      </w:tr>
      <w:tr w14:paraId="1B42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2B1B326D">
            <w:pPr>
              <w:widowControl/>
              <w:jc w:val="left"/>
              <w:rPr>
                <w:kern w:val="0"/>
                <w:sz w:val="18"/>
                <w:szCs w:val="18"/>
              </w:rPr>
            </w:pPr>
          </w:p>
        </w:tc>
        <w:tc>
          <w:tcPr>
            <w:tcW w:w="1369" w:type="dxa"/>
            <w:vAlign w:val="center"/>
          </w:tcPr>
          <w:p w14:paraId="254B3761">
            <w:pPr>
              <w:widowControl/>
              <w:spacing w:line="240" w:lineRule="exact"/>
              <w:jc w:val="center"/>
              <w:rPr>
                <w:kern w:val="0"/>
                <w:sz w:val="18"/>
                <w:szCs w:val="18"/>
              </w:rPr>
            </w:pPr>
            <w:r>
              <w:rPr>
                <w:kern w:val="0"/>
                <w:sz w:val="18"/>
                <w:szCs w:val="18"/>
              </w:rPr>
              <w:t>营业收入(Y)</w:t>
            </w:r>
          </w:p>
        </w:tc>
        <w:tc>
          <w:tcPr>
            <w:tcW w:w="709" w:type="dxa"/>
            <w:vAlign w:val="center"/>
          </w:tcPr>
          <w:p w14:paraId="43FCDB4A">
            <w:pPr>
              <w:widowControl/>
              <w:jc w:val="center"/>
              <w:rPr>
                <w:kern w:val="0"/>
                <w:sz w:val="18"/>
                <w:szCs w:val="18"/>
              </w:rPr>
            </w:pPr>
            <w:r>
              <w:rPr>
                <w:kern w:val="0"/>
                <w:sz w:val="18"/>
                <w:szCs w:val="18"/>
              </w:rPr>
              <w:t>万元</w:t>
            </w:r>
          </w:p>
        </w:tc>
        <w:tc>
          <w:tcPr>
            <w:tcW w:w="1125" w:type="dxa"/>
            <w:vAlign w:val="center"/>
          </w:tcPr>
          <w:p w14:paraId="5E809B8E">
            <w:pPr>
              <w:widowControl/>
              <w:jc w:val="center"/>
              <w:rPr>
                <w:kern w:val="0"/>
                <w:sz w:val="18"/>
                <w:szCs w:val="18"/>
              </w:rPr>
            </w:pPr>
            <w:r>
              <w:rPr>
                <w:kern w:val="0"/>
                <w:sz w:val="18"/>
                <w:szCs w:val="18"/>
              </w:rPr>
              <w:t>Y≥30000</w:t>
            </w:r>
          </w:p>
        </w:tc>
        <w:tc>
          <w:tcPr>
            <w:tcW w:w="1701" w:type="dxa"/>
            <w:vAlign w:val="center"/>
          </w:tcPr>
          <w:p w14:paraId="3719CA07">
            <w:pPr>
              <w:widowControl/>
              <w:jc w:val="center"/>
              <w:rPr>
                <w:kern w:val="0"/>
                <w:sz w:val="18"/>
                <w:szCs w:val="18"/>
              </w:rPr>
            </w:pPr>
            <w:r>
              <w:rPr>
                <w:kern w:val="0"/>
                <w:sz w:val="18"/>
                <w:szCs w:val="18"/>
              </w:rPr>
              <w:t>2000≤Y＜30000</w:t>
            </w:r>
          </w:p>
        </w:tc>
        <w:tc>
          <w:tcPr>
            <w:tcW w:w="1426" w:type="dxa"/>
            <w:vAlign w:val="center"/>
          </w:tcPr>
          <w:p w14:paraId="6596C008">
            <w:pPr>
              <w:widowControl/>
              <w:jc w:val="center"/>
              <w:rPr>
                <w:kern w:val="0"/>
                <w:sz w:val="18"/>
                <w:szCs w:val="18"/>
              </w:rPr>
            </w:pPr>
            <w:r>
              <w:rPr>
                <w:kern w:val="0"/>
                <w:sz w:val="18"/>
                <w:szCs w:val="18"/>
              </w:rPr>
              <w:t>100≤Y＜2000</w:t>
            </w:r>
          </w:p>
        </w:tc>
        <w:tc>
          <w:tcPr>
            <w:tcW w:w="992" w:type="dxa"/>
            <w:vAlign w:val="center"/>
          </w:tcPr>
          <w:p w14:paraId="7B73DE4D">
            <w:pPr>
              <w:widowControl/>
              <w:jc w:val="center"/>
              <w:rPr>
                <w:kern w:val="0"/>
                <w:sz w:val="18"/>
                <w:szCs w:val="18"/>
              </w:rPr>
            </w:pPr>
            <w:r>
              <w:rPr>
                <w:kern w:val="0"/>
                <w:sz w:val="18"/>
                <w:szCs w:val="18"/>
              </w:rPr>
              <w:t>Y＜100</w:t>
            </w:r>
          </w:p>
        </w:tc>
      </w:tr>
      <w:tr w14:paraId="609C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1EF1768E">
            <w:pPr>
              <w:widowControl/>
              <w:spacing w:line="240" w:lineRule="exact"/>
              <w:jc w:val="left"/>
              <w:rPr>
                <w:kern w:val="0"/>
                <w:sz w:val="18"/>
                <w:szCs w:val="18"/>
              </w:rPr>
            </w:pPr>
            <w:r>
              <w:rPr>
                <w:kern w:val="0"/>
                <w:sz w:val="18"/>
                <w:szCs w:val="18"/>
              </w:rPr>
              <w:t>住宿业</w:t>
            </w:r>
          </w:p>
        </w:tc>
        <w:tc>
          <w:tcPr>
            <w:tcW w:w="1369" w:type="dxa"/>
            <w:vAlign w:val="center"/>
          </w:tcPr>
          <w:p w14:paraId="2890E6CD">
            <w:pPr>
              <w:widowControl/>
              <w:jc w:val="center"/>
              <w:rPr>
                <w:kern w:val="0"/>
                <w:sz w:val="18"/>
                <w:szCs w:val="18"/>
              </w:rPr>
            </w:pPr>
            <w:r>
              <w:rPr>
                <w:kern w:val="0"/>
                <w:sz w:val="18"/>
                <w:szCs w:val="18"/>
              </w:rPr>
              <w:t>从业人员(X)</w:t>
            </w:r>
          </w:p>
        </w:tc>
        <w:tc>
          <w:tcPr>
            <w:tcW w:w="709" w:type="dxa"/>
            <w:vAlign w:val="center"/>
          </w:tcPr>
          <w:p w14:paraId="767AEE94">
            <w:pPr>
              <w:widowControl/>
              <w:jc w:val="center"/>
              <w:rPr>
                <w:kern w:val="0"/>
                <w:sz w:val="18"/>
                <w:szCs w:val="18"/>
              </w:rPr>
            </w:pPr>
            <w:r>
              <w:rPr>
                <w:kern w:val="0"/>
                <w:sz w:val="18"/>
                <w:szCs w:val="18"/>
              </w:rPr>
              <w:t>人</w:t>
            </w:r>
          </w:p>
        </w:tc>
        <w:tc>
          <w:tcPr>
            <w:tcW w:w="1125" w:type="dxa"/>
            <w:vAlign w:val="center"/>
          </w:tcPr>
          <w:p w14:paraId="7E2496BE">
            <w:pPr>
              <w:widowControl/>
              <w:jc w:val="center"/>
              <w:rPr>
                <w:kern w:val="0"/>
                <w:sz w:val="18"/>
                <w:szCs w:val="18"/>
              </w:rPr>
            </w:pPr>
            <w:r>
              <w:rPr>
                <w:kern w:val="0"/>
                <w:sz w:val="18"/>
                <w:szCs w:val="18"/>
              </w:rPr>
              <w:t>X≥300</w:t>
            </w:r>
          </w:p>
        </w:tc>
        <w:tc>
          <w:tcPr>
            <w:tcW w:w="1701" w:type="dxa"/>
            <w:vAlign w:val="center"/>
          </w:tcPr>
          <w:p w14:paraId="64DB8DB1">
            <w:pPr>
              <w:widowControl/>
              <w:ind w:left="1" w:leftChars="-51" w:hanging="108" w:hangingChars="60"/>
              <w:jc w:val="center"/>
              <w:rPr>
                <w:kern w:val="0"/>
                <w:sz w:val="18"/>
                <w:szCs w:val="18"/>
              </w:rPr>
            </w:pPr>
            <w:r>
              <w:rPr>
                <w:kern w:val="0"/>
                <w:sz w:val="18"/>
                <w:szCs w:val="18"/>
              </w:rPr>
              <w:t>100≤X＜300</w:t>
            </w:r>
          </w:p>
        </w:tc>
        <w:tc>
          <w:tcPr>
            <w:tcW w:w="1426" w:type="dxa"/>
            <w:vAlign w:val="center"/>
          </w:tcPr>
          <w:p w14:paraId="362F83FA">
            <w:pPr>
              <w:widowControl/>
              <w:jc w:val="center"/>
              <w:rPr>
                <w:kern w:val="0"/>
                <w:sz w:val="18"/>
                <w:szCs w:val="18"/>
              </w:rPr>
            </w:pPr>
            <w:r>
              <w:rPr>
                <w:kern w:val="0"/>
                <w:sz w:val="18"/>
                <w:szCs w:val="18"/>
              </w:rPr>
              <w:t>10≤X＜100</w:t>
            </w:r>
          </w:p>
        </w:tc>
        <w:tc>
          <w:tcPr>
            <w:tcW w:w="992" w:type="dxa"/>
            <w:vAlign w:val="center"/>
          </w:tcPr>
          <w:p w14:paraId="3226FF9C">
            <w:pPr>
              <w:widowControl/>
              <w:jc w:val="center"/>
              <w:rPr>
                <w:kern w:val="0"/>
                <w:sz w:val="18"/>
                <w:szCs w:val="18"/>
              </w:rPr>
            </w:pPr>
            <w:r>
              <w:rPr>
                <w:kern w:val="0"/>
                <w:sz w:val="18"/>
                <w:szCs w:val="18"/>
              </w:rPr>
              <w:t>X＜10</w:t>
            </w:r>
          </w:p>
        </w:tc>
      </w:tr>
      <w:tr w14:paraId="4273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6E332F43">
            <w:pPr>
              <w:widowControl/>
              <w:jc w:val="left"/>
              <w:rPr>
                <w:kern w:val="0"/>
                <w:sz w:val="18"/>
                <w:szCs w:val="18"/>
              </w:rPr>
            </w:pPr>
          </w:p>
        </w:tc>
        <w:tc>
          <w:tcPr>
            <w:tcW w:w="1369" w:type="dxa"/>
            <w:vAlign w:val="center"/>
          </w:tcPr>
          <w:p w14:paraId="6D656E74">
            <w:pPr>
              <w:widowControl/>
              <w:spacing w:line="240" w:lineRule="exact"/>
              <w:jc w:val="center"/>
              <w:rPr>
                <w:kern w:val="0"/>
                <w:sz w:val="18"/>
                <w:szCs w:val="18"/>
              </w:rPr>
            </w:pPr>
            <w:r>
              <w:rPr>
                <w:kern w:val="0"/>
                <w:sz w:val="18"/>
                <w:szCs w:val="18"/>
              </w:rPr>
              <w:t>营业收入(Y)</w:t>
            </w:r>
          </w:p>
        </w:tc>
        <w:tc>
          <w:tcPr>
            <w:tcW w:w="709" w:type="dxa"/>
            <w:vAlign w:val="center"/>
          </w:tcPr>
          <w:p w14:paraId="15295D14">
            <w:pPr>
              <w:widowControl/>
              <w:jc w:val="center"/>
              <w:rPr>
                <w:kern w:val="0"/>
                <w:sz w:val="18"/>
                <w:szCs w:val="18"/>
              </w:rPr>
            </w:pPr>
            <w:r>
              <w:rPr>
                <w:kern w:val="0"/>
                <w:sz w:val="18"/>
                <w:szCs w:val="18"/>
              </w:rPr>
              <w:t>万元</w:t>
            </w:r>
          </w:p>
        </w:tc>
        <w:tc>
          <w:tcPr>
            <w:tcW w:w="1125" w:type="dxa"/>
            <w:vAlign w:val="center"/>
          </w:tcPr>
          <w:p w14:paraId="72E443ED">
            <w:pPr>
              <w:widowControl/>
              <w:jc w:val="center"/>
              <w:rPr>
                <w:kern w:val="0"/>
                <w:sz w:val="18"/>
                <w:szCs w:val="18"/>
              </w:rPr>
            </w:pPr>
            <w:r>
              <w:rPr>
                <w:kern w:val="0"/>
                <w:sz w:val="18"/>
                <w:szCs w:val="18"/>
              </w:rPr>
              <w:t>Y≥10000</w:t>
            </w:r>
          </w:p>
        </w:tc>
        <w:tc>
          <w:tcPr>
            <w:tcW w:w="1701" w:type="dxa"/>
            <w:vAlign w:val="center"/>
          </w:tcPr>
          <w:p w14:paraId="64CD4A8B">
            <w:pPr>
              <w:widowControl/>
              <w:jc w:val="center"/>
              <w:rPr>
                <w:kern w:val="0"/>
                <w:sz w:val="18"/>
                <w:szCs w:val="18"/>
              </w:rPr>
            </w:pPr>
            <w:r>
              <w:rPr>
                <w:kern w:val="0"/>
                <w:sz w:val="18"/>
                <w:szCs w:val="18"/>
              </w:rPr>
              <w:t>2000≤Y＜10000</w:t>
            </w:r>
          </w:p>
        </w:tc>
        <w:tc>
          <w:tcPr>
            <w:tcW w:w="1426" w:type="dxa"/>
            <w:vAlign w:val="center"/>
          </w:tcPr>
          <w:p w14:paraId="62C1FB12">
            <w:pPr>
              <w:widowControl/>
              <w:jc w:val="center"/>
              <w:rPr>
                <w:kern w:val="0"/>
                <w:sz w:val="18"/>
                <w:szCs w:val="18"/>
              </w:rPr>
            </w:pPr>
            <w:r>
              <w:rPr>
                <w:kern w:val="0"/>
                <w:sz w:val="18"/>
                <w:szCs w:val="18"/>
              </w:rPr>
              <w:t>100≤Y＜2000</w:t>
            </w:r>
          </w:p>
        </w:tc>
        <w:tc>
          <w:tcPr>
            <w:tcW w:w="992" w:type="dxa"/>
            <w:vAlign w:val="center"/>
          </w:tcPr>
          <w:p w14:paraId="440EC45C">
            <w:pPr>
              <w:widowControl/>
              <w:jc w:val="center"/>
              <w:rPr>
                <w:kern w:val="0"/>
                <w:sz w:val="18"/>
                <w:szCs w:val="18"/>
              </w:rPr>
            </w:pPr>
            <w:r>
              <w:rPr>
                <w:kern w:val="0"/>
                <w:sz w:val="18"/>
                <w:szCs w:val="18"/>
              </w:rPr>
              <w:t>Y＜100</w:t>
            </w:r>
          </w:p>
        </w:tc>
      </w:tr>
      <w:tr w14:paraId="5005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700975D8">
            <w:pPr>
              <w:widowControl/>
              <w:spacing w:line="240" w:lineRule="exact"/>
              <w:jc w:val="left"/>
              <w:rPr>
                <w:kern w:val="0"/>
                <w:sz w:val="18"/>
                <w:szCs w:val="18"/>
              </w:rPr>
            </w:pPr>
            <w:r>
              <w:rPr>
                <w:kern w:val="0"/>
                <w:sz w:val="18"/>
                <w:szCs w:val="18"/>
              </w:rPr>
              <w:t>餐饮业</w:t>
            </w:r>
          </w:p>
        </w:tc>
        <w:tc>
          <w:tcPr>
            <w:tcW w:w="1369" w:type="dxa"/>
            <w:vAlign w:val="center"/>
          </w:tcPr>
          <w:p w14:paraId="524905CB">
            <w:pPr>
              <w:widowControl/>
              <w:jc w:val="center"/>
              <w:rPr>
                <w:kern w:val="0"/>
                <w:sz w:val="18"/>
                <w:szCs w:val="18"/>
              </w:rPr>
            </w:pPr>
            <w:r>
              <w:rPr>
                <w:kern w:val="0"/>
                <w:sz w:val="18"/>
                <w:szCs w:val="18"/>
              </w:rPr>
              <w:t>从业人员(X)</w:t>
            </w:r>
          </w:p>
        </w:tc>
        <w:tc>
          <w:tcPr>
            <w:tcW w:w="709" w:type="dxa"/>
            <w:vAlign w:val="center"/>
          </w:tcPr>
          <w:p w14:paraId="300D4C1A">
            <w:pPr>
              <w:widowControl/>
              <w:jc w:val="center"/>
              <w:rPr>
                <w:kern w:val="0"/>
                <w:sz w:val="18"/>
                <w:szCs w:val="18"/>
              </w:rPr>
            </w:pPr>
            <w:r>
              <w:rPr>
                <w:kern w:val="0"/>
                <w:sz w:val="18"/>
                <w:szCs w:val="18"/>
              </w:rPr>
              <w:t>人</w:t>
            </w:r>
          </w:p>
        </w:tc>
        <w:tc>
          <w:tcPr>
            <w:tcW w:w="1125" w:type="dxa"/>
            <w:vAlign w:val="center"/>
          </w:tcPr>
          <w:p w14:paraId="2C846FB5">
            <w:pPr>
              <w:widowControl/>
              <w:jc w:val="center"/>
              <w:rPr>
                <w:kern w:val="0"/>
                <w:sz w:val="18"/>
                <w:szCs w:val="18"/>
              </w:rPr>
            </w:pPr>
            <w:r>
              <w:rPr>
                <w:kern w:val="0"/>
                <w:sz w:val="18"/>
                <w:szCs w:val="18"/>
              </w:rPr>
              <w:t>X≥300</w:t>
            </w:r>
          </w:p>
        </w:tc>
        <w:tc>
          <w:tcPr>
            <w:tcW w:w="1701" w:type="dxa"/>
            <w:vAlign w:val="center"/>
          </w:tcPr>
          <w:p w14:paraId="5C88679E">
            <w:pPr>
              <w:widowControl/>
              <w:ind w:left="1" w:leftChars="-51" w:hanging="108" w:hangingChars="60"/>
              <w:jc w:val="center"/>
              <w:rPr>
                <w:kern w:val="0"/>
                <w:sz w:val="18"/>
                <w:szCs w:val="18"/>
              </w:rPr>
            </w:pPr>
            <w:r>
              <w:rPr>
                <w:kern w:val="0"/>
                <w:sz w:val="18"/>
                <w:szCs w:val="18"/>
              </w:rPr>
              <w:t xml:space="preserve">100≤X＜300 </w:t>
            </w:r>
          </w:p>
        </w:tc>
        <w:tc>
          <w:tcPr>
            <w:tcW w:w="1426" w:type="dxa"/>
            <w:vAlign w:val="center"/>
          </w:tcPr>
          <w:p w14:paraId="3AD8F9E5">
            <w:pPr>
              <w:widowControl/>
              <w:jc w:val="center"/>
              <w:rPr>
                <w:kern w:val="0"/>
                <w:sz w:val="18"/>
                <w:szCs w:val="18"/>
              </w:rPr>
            </w:pPr>
            <w:r>
              <w:rPr>
                <w:kern w:val="0"/>
                <w:sz w:val="18"/>
                <w:szCs w:val="18"/>
              </w:rPr>
              <w:t>10≤X＜100</w:t>
            </w:r>
          </w:p>
        </w:tc>
        <w:tc>
          <w:tcPr>
            <w:tcW w:w="992" w:type="dxa"/>
            <w:vAlign w:val="center"/>
          </w:tcPr>
          <w:p w14:paraId="2954C9EE">
            <w:pPr>
              <w:widowControl/>
              <w:jc w:val="center"/>
              <w:rPr>
                <w:kern w:val="0"/>
                <w:sz w:val="18"/>
                <w:szCs w:val="18"/>
              </w:rPr>
            </w:pPr>
            <w:r>
              <w:rPr>
                <w:kern w:val="0"/>
                <w:sz w:val="18"/>
                <w:szCs w:val="18"/>
              </w:rPr>
              <w:t>X＜10</w:t>
            </w:r>
          </w:p>
        </w:tc>
      </w:tr>
      <w:tr w14:paraId="5EF08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787AE2E6">
            <w:pPr>
              <w:widowControl/>
              <w:jc w:val="left"/>
              <w:rPr>
                <w:kern w:val="0"/>
                <w:sz w:val="18"/>
                <w:szCs w:val="18"/>
              </w:rPr>
            </w:pPr>
          </w:p>
        </w:tc>
        <w:tc>
          <w:tcPr>
            <w:tcW w:w="1369" w:type="dxa"/>
            <w:vAlign w:val="center"/>
          </w:tcPr>
          <w:p w14:paraId="20A8A922">
            <w:pPr>
              <w:widowControl/>
              <w:spacing w:line="240" w:lineRule="exact"/>
              <w:jc w:val="center"/>
              <w:rPr>
                <w:kern w:val="0"/>
                <w:sz w:val="18"/>
                <w:szCs w:val="18"/>
              </w:rPr>
            </w:pPr>
            <w:r>
              <w:rPr>
                <w:kern w:val="0"/>
                <w:sz w:val="18"/>
                <w:szCs w:val="18"/>
              </w:rPr>
              <w:t>营业收入(Y)</w:t>
            </w:r>
          </w:p>
        </w:tc>
        <w:tc>
          <w:tcPr>
            <w:tcW w:w="709" w:type="dxa"/>
            <w:vAlign w:val="center"/>
          </w:tcPr>
          <w:p w14:paraId="7042596B">
            <w:pPr>
              <w:widowControl/>
              <w:jc w:val="center"/>
              <w:rPr>
                <w:kern w:val="0"/>
                <w:sz w:val="18"/>
                <w:szCs w:val="18"/>
              </w:rPr>
            </w:pPr>
            <w:r>
              <w:rPr>
                <w:kern w:val="0"/>
                <w:sz w:val="18"/>
                <w:szCs w:val="18"/>
              </w:rPr>
              <w:t>万元</w:t>
            </w:r>
          </w:p>
        </w:tc>
        <w:tc>
          <w:tcPr>
            <w:tcW w:w="1125" w:type="dxa"/>
            <w:vAlign w:val="center"/>
          </w:tcPr>
          <w:p w14:paraId="61D588AB">
            <w:pPr>
              <w:widowControl/>
              <w:jc w:val="center"/>
              <w:rPr>
                <w:kern w:val="0"/>
                <w:sz w:val="18"/>
                <w:szCs w:val="18"/>
              </w:rPr>
            </w:pPr>
            <w:r>
              <w:rPr>
                <w:kern w:val="0"/>
                <w:sz w:val="18"/>
                <w:szCs w:val="18"/>
              </w:rPr>
              <w:t>Y≥10000</w:t>
            </w:r>
          </w:p>
        </w:tc>
        <w:tc>
          <w:tcPr>
            <w:tcW w:w="1701" w:type="dxa"/>
            <w:vAlign w:val="center"/>
          </w:tcPr>
          <w:p w14:paraId="36669026">
            <w:pPr>
              <w:widowControl/>
              <w:jc w:val="center"/>
              <w:rPr>
                <w:kern w:val="0"/>
                <w:sz w:val="18"/>
                <w:szCs w:val="18"/>
              </w:rPr>
            </w:pPr>
            <w:r>
              <w:rPr>
                <w:kern w:val="0"/>
                <w:sz w:val="18"/>
                <w:szCs w:val="18"/>
              </w:rPr>
              <w:t>2000≤Y＜10000</w:t>
            </w:r>
          </w:p>
        </w:tc>
        <w:tc>
          <w:tcPr>
            <w:tcW w:w="1426" w:type="dxa"/>
            <w:vAlign w:val="center"/>
          </w:tcPr>
          <w:p w14:paraId="7FEF0FE8">
            <w:pPr>
              <w:widowControl/>
              <w:jc w:val="center"/>
              <w:rPr>
                <w:kern w:val="0"/>
                <w:sz w:val="18"/>
                <w:szCs w:val="18"/>
              </w:rPr>
            </w:pPr>
            <w:r>
              <w:rPr>
                <w:kern w:val="0"/>
                <w:sz w:val="18"/>
                <w:szCs w:val="18"/>
              </w:rPr>
              <w:t>100≤Y＜2000</w:t>
            </w:r>
          </w:p>
        </w:tc>
        <w:tc>
          <w:tcPr>
            <w:tcW w:w="992" w:type="dxa"/>
            <w:vAlign w:val="center"/>
          </w:tcPr>
          <w:p w14:paraId="22C25E1E">
            <w:pPr>
              <w:widowControl/>
              <w:jc w:val="center"/>
              <w:rPr>
                <w:kern w:val="0"/>
                <w:sz w:val="18"/>
                <w:szCs w:val="18"/>
              </w:rPr>
            </w:pPr>
            <w:r>
              <w:rPr>
                <w:kern w:val="0"/>
                <w:sz w:val="18"/>
                <w:szCs w:val="18"/>
              </w:rPr>
              <w:t>Y＜100</w:t>
            </w:r>
          </w:p>
        </w:tc>
      </w:tr>
      <w:tr w14:paraId="54157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14:paraId="225650FE">
            <w:pPr>
              <w:widowControl/>
              <w:spacing w:line="240" w:lineRule="exact"/>
              <w:jc w:val="left"/>
              <w:rPr>
                <w:rFonts w:hint="eastAsia"/>
                <w:kern w:val="0"/>
                <w:sz w:val="18"/>
                <w:szCs w:val="18"/>
              </w:rPr>
            </w:pPr>
            <w:r>
              <w:rPr>
                <w:kern w:val="0"/>
                <w:sz w:val="18"/>
                <w:szCs w:val="18"/>
              </w:rPr>
              <w:t>信息传输业</w:t>
            </w:r>
            <w:r>
              <w:rPr>
                <w:rFonts w:hint="eastAsia" w:ascii="宋体" w:hAnsi="宋体" w:cs="宋体"/>
                <w:kern w:val="0"/>
                <w:sz w:val="18"/>
                <w:szCs w:val="18"/>
              </w:rPr>
              <w:t>※</w:t>
            </w:r>
          </w:p>
        </w:tc>
        <w:tc>
          <w:tcPr>
            <w:tcW w:w="1369" w:type="dxa"/>
            <w:vAlign w:val="center"/>
          </w:tcPr>
          <w:p w14:paraId="502AF228">
            <w:pPr>
              <w:widowControl/>
              <w:jc w:val="center"/>
              <w:rPr>
                <w:kern w:val="0"/>
                <w:sz w:val="18"/>
                <w:szCs w:val="18"/>
              </w:rPr>
            </w:pPr>
            <w:r>
              <w:rPr>
                <w:kern w:val="0"/>
                <w:sz w:val="18"/>
                <w:szCs w:val="18"/>
              </w:rPr>
              <w:t>从业人员(X)</w:t>
            </w:r>
          </w:p>
        </w:tc>
        <w:tc>
          <w:tcPr>
            <w:tcW w:w="709" w:type="dxa"/>
            <w:vAlign w:val="center"/>
          </w:tcPr>
          <w:p w14:paraId="3C8D0FAF">
            <w:pPr>
              <w:widowControl/>
              <w:jc w:val="center"/>
              <w:rPr>
                <w:kern w:val="0"/>
                <w:sz w:val="18"/>
                <w:szCs w:val="18"/>
              </w:rPr>
            </w:pPr>
            <w:r>
              <w:rPr>
                <w:kern w:val="0"/>
                <w:sz w:val="18"/>
                <w:szCs w:val="18"/>
              </w:rPr>
              <w:t>人</w:t>
            </w:r>
          </w:p>
        </w:tc>
        <w:tc>
          <w:tcPr>
            <w:tcW w:w="1125" w:type="dxa"/>
            <w:vAlign w:val="center"/>
          </w:tcPr>
          <w:p w14:paraId="08ECAB10">
            <w:pPr>
              <w:widowControl/>
              <w:jc w:val="center"/>
              <w:rPr>
                <w:kern w:val="0"/>
                <w:sz w:val="18"/>
                <w:szCs w:val="18"/>
              </w:rPr>
            </w:pPr>
            <w:r>
              <w:rPr>
                <w:kern w:val="0"/>
                <w:sz w:val="18"/>
                <w:szCs w:val="18"/>
              </w:rPr>
              <w:t>X≥2000</w:t>
            </w:r>
          </w:p>
        </w:tc>
        <w:tc>
          <w:tcPr>
            <w:tcW w:w="1701" w:type="dxa"/>
            <w:vAlign w:val="center"/>
          </w:tcPr>
          <w:p w14:paraId="5E902AD4">
            <w:pPr>
              <w:widowControl/>
              <w:jc w:val="center"/>
              <w:rPr>
                <w:kern w:val="0"/>
                <w:sz w:val="18"/>
                <w:szCs w:val="18"/>
              </w:rPr>
            </w:pPr>
            <w:r>
              <w:rPr>
                <w:kern w:val="0"/>
                <w:sz w:val="18"/>
                <w:szCs w:val="18"/>
              </w:rPr>
              <w:t>100≤X＜2000</w:t>
            </w:r>
          </w:p>
        </w:tc>
        <w:tc>
          <w:tcPr>
            <w:tcW w:w="1426" w:type="dxa"/>
            <w:vAlign w:val="center"/>
          </w:tcPr>
          <w:p w14:paraId="0E03B943">
            <w:pPr>
              <w:widowControl/>
              <w:jc w:val="center"/>
              <w:rPr>
                <w:kern w:val="0"/>
                <w:sz w:val="18"/>
                <w:szCs w:val="18"/>
              </w:rPr>
            </w:pPr>
            <w:r>
              <w:rPr>
                <w:kern w:val="0"/>
                <w:sz w:val="18"/>
                <w:szCs w:val="18"/>
              </w:rPr>
              <w:t>10≤X＜100</w:t>
            </w:r>
          </w:p>
        </w:tc>
        <w:tc>
          <w:tcPr>
            <w:tcW w:w="992" w:type="dxa"/>
            <w:vAlign w:val="center"/>
          </w:tcPr>
          <w:p w14:paraId="443B2AA7">
            <w:pPr>
              <w:widowControl/>
              <w:jc w:val="center"/>
              <w:rPr>
                <w:kern w:val="0"/>
                <w:sz w:val="18"/>
                <w:szCs w:val="18"/>
              </w:rPr>
            </w:pPr>
            <w:r>
              <w:rPr>
                <w:kern w:val="0"/>
                <w:sz w:val="18"/>
                <w:szCs w:val="18"/>
              </w:rPr>
              <w:t>X＜10</w:t>
            </w:r>
          </w:p>
        </w:tc>
      </w:tr>
      <w:tr w14:paraId="5DF4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14:paraId="10CE9F32">
            <w:pPr>
              <w:widowControl/>
              <w:jc w:val="left"/>
              <w:rPr>
                <w:kern w:val="0"/>
                <w:sz w:val="18"/>
                <w:szCs w:val="18"/>
              </w:rPr>
            </w:pPr>
          </w:p>
        </w:tc>
        <w:tc>
          <w:tcPr>
            <w:tcW w:w="1369" w:type="dxa"/>
            <w:vAlign w:val="center"/>
          </w:tcPr>
          <w:p w14:paraId="42E4C2D0">
            <w:pPr>
              <w:widowControl/>
              <w:spacing w:line="240" w:lineRule="exact"/>
              <w:jc w:val="center"/>
              <w:rPr>
                <w:kern w:val="0"/>
                <w:sz w:val="18"/>
                <w:szCs w:val="18"/>
              </w:rPr>
            </w:pPr>
            <w:r>
              <w:rPr>
                <w:kern w:val="0"/>
                <w:sz w:val="18"/>
                <w:szCs w:val="18"/>
              </w:rPr>
              <w:t>营业收入(Y)</w:t>
            </w:r>
          </w:p>
        </w:tc>
        <w:tc>
          <w:tcPr>
            <w:tcW w:w="709" w:type="dxa"/>
            <w:vAlign w:val="center"/>
          </w:tcPr>
          <w:p w14:paraId="74121E88">
            <w:pPr>
              <w:widowControl/>
              <w:jc w:val="center"/>
              <w:rPr>
                <w:kern w:val="0"/>
                <w:sz w:val="18"/>
                <w:szCs w:val="18"/>
              </w:rPr>
            </w:pPr>
            <w:r>
              <w:rPr>
                <w:kern w:val="0"/>
                <w:sz w:val="18"/>
                <w:szCs w:val="18"/>
              </w:rPr>
              <w:t>万元</w:t>
            </w:r>
          </w:p>
        </w:tc>
        <w:tc>
          <w:tcPr>
            <w:tcW w:w="1125" w:type="dxa"/>
            <w:vAlign w:val="center"/>
          </w:tcPr>
          <w:p w14:paraId="6F0B2975">
            <w:pPr>
              <w:widowControl/>
              <w:jc w:val="center"/>
              <w:rPr>
                <w:kern w:val="0"/>
                <w:sz w:val="18"/>
                <w:szCs w:val="18"/>
              </w:rPr>
            </w:pPr>
            <w:r>
              <w:rPr>
                <w:kern w:val="0"/>
                <w:sz w:val="18"/>
                <w:szCs w:val="18"/>
              </w:rPr>
              <w:t>Y≥100000</w:t>
            </w:r>
          </w:p>
        </w:tc>
        <w:tc>
          <w:tcPr>
            <w:tcW w:w="1701" w:type="dxa"/>
            <w:vAlign w:val="center"/>
          </w:tcPr>
          <w:p w14:paraId="52AB70E0">
            <w:pPr>
              <w:widowControl/>
              <w:jc w:val="center"/>
              <w:rPr>
                <w:kern w:val="0"/>
                <w:sz w:val="18"/>
                <w:szCs w:val="18"/>
              </w:rPr>
            </w:pPr>
            <w:r>
              <w:rPr>
                <w:kern w:val="0"/>
                <w:sz w:val="18"/>
                <w:szCs w:val="18"/>
              </w:rPr>
              <w:t>1000≤Y＜100000</w:t>
            </w:r>
          </w:p>
        </w:tc>
        <w:tc>
          <w:tcPr>
            <w:tcW w:w="1426" w:type="dxa"/>
            <w:vAlign w:val="center"/>
          </w:tcPr>
          <w:p w14:paraId="0B639D41">
            <w:pPr>
              <w:widowControl/>
              <w:jc w:val="center"/>
              <w:rPr>
                <w:kern w:val="0"/>
                <w:sz w:val="18"/>
                <w:szCs w:val="18"/>
              </w:rPr>
            </w:pPr>
            <w:r>
              <w:rPr>
                <w:kern w:val="0"/>
                <w:sz w:val="18"/>
                <w:szCs w:val="18"/>
              </w:rPr>
              <w:t>100≤Y＜1000</w:t>
            </w:r>
          </w:p>
        </w:tc>
        <w:tc>
          <w:tcPr>
            <w:tcW w:w="992" w:type="dxa"/>
            <w:vAlign w:val="center"/>
          </w:tcPr>
          <w:p w14:paraId="6E6338B9">
            <w:pPr>
              <w:widowControl/>
              <w:jc w:val="center"/>
              <w:rPr>
                <w:kern w:val="0"/>
                <w:sz w:val="18"/>
                <w:szCs w:val="18"/>
              </w:rPr>
            </w:pPr>
            <w:r>
              <w:rPr>
                <w:kern w:val="0"/>
                <w:sz w:val="18"/>
                <w:szCs w:val="18"/>
              </w:rPr>
              <w:t>Y＜100</w:t>
            </w:r>
          </w:p>
        </w:tc>
      </w:tr>
      <w:tr w14:paraId="145D8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4D469F7">
            <w:pPr>
              <w:widowControl/>
              <w:spacing w:line="240" w:lineRule="exact"/>
              <w:jc w:val="left"/>
              <w:rPr>
                <w:spacing w:val="-12"/>
                <w:kern w:val="0"/>
                <w:sz w:val="18"/>
                <w:szCs w:val="18"/>
              </w:rPr>
            </w:pPr>
            <w:r>
              <w:rPr>
                <w:spacing w:val="-12"/>
                <w:kern w:val="0"/>
                <w:sz w:val="18"/>
                <w:szCs w:val="18"/>
              </w:rPr>
              <w:t>软件和信息技术服</w:t>
            </w:r>
            <w:r>
              <w:rPr>
                <w:kern w:val="0"/>
                <w:sz w:val="18"/>
                <w:szCs w:val="18"/>
              </w:rPr>
              <w:t>务业</w:t>
            </w:r>
          </w:p>
        </w:tc>
        <w:tc>
          <w:tcPr>
            <w:tcW w:w="1369" w:type="dxa"/>
            <w:vAlign w:val="center"/>
          </w:tcPr>
          <w:p w14:paraId="27236BE6">
            <w:pPr>
              <w:widowControl/>
              <w:jc w:val="center"/>
              <w:rPr>
                <w:kern w:val="0"/>
                <w:sz w:val="18"/>
                <w:szCs w:val="18"/>
              </w:rPr>
            </w:pPr>
            <w:r>
              <w:rPr>
                <w:kern w:val="0"/>
                <w:sz w:val="18"/>
                <w:szCs w:val="18"/>
              </w:rPr>
              <w:t>从业人员(X)</w:t>
            </w:r>
          </w:p>
        </w:tc>
        <w:tc>
          <w:tcPr>
            <w:tcW w:w="709" w:type="dxa"/>
            <w:vAlign w:val="center"/>
          </w:tcPr>
          <w:p w14:paraId="5D432CC4">
            <w:pPr>
              <w:widowControl/>
              <w:jc w:val="center"/>
              <w:rPr>
                <w:kern w:val="0"/>
                <w:sz w:val="18"/>
                <w:szCs w:val="18"/>
              </w:rPr>
            </w:pPr>
            <w:r>
              <w:rPr>
                <w:kern w:val="0"/>
                <w:sz w:val="18"/>
                <w:szCs w:val="18"/>
              </w:rPr>
              <w:t>人</w:t>
            </w:r>
          </w:p>
        </w:tc>
        <w:tc>
          <w:tcPr>
            <w:tcW w:w="1125" w:type="dxa"/>
            <w:vAlign w:val="center"/>
          </w:tcPr>
          <w:p w14:paraId="2B8A255F">
            <w:pPr>
              <w:widowControl/>
              <w:jc w:val="center"/>
              <w:rPr>
                <w:kern w:val="0"/>
                <w:sz w:val="18"/>
                <w:szCs w:val="18"/>
              </w:rPr>
            </w:pPr>
            <w:r>
              <w:rPr>
                <w:kern w:val="0"/>
                <w:sz w:val="18"/>
                <w:szCs w:val="18"/>
              </w:rPr>
              <w:t>X≥300</w:t>
            </w:r>
          </w:p>
        </w:tc>
        <w:tc>
          <w:tcPr>
            <w:tcW w:w="1701" w:type="dxa"/>
            <w:vAlign w:val="center"/>
          </w:tcPr>
          <w:p w14:paraId="041ED7F6">
            <w:pPr>
              <w:widowControl/>
              <w:ind w:left="1" w:leftChars="-51" w:hanging="108" w:hangingChars="60"/>
              <w:jc w:val="center"/>
              <w:rPr>
                <w:kern w:val="0"/>
                <w:sz w:val="18"/>
                <w:szCs w:val="18"/>
              </w:rPr>
            </w:pPr>
            <w:r>
              <w:rPr>
                <w:kern w:val="0"/>
                <w:sz w:val="18"/>
                <w:szCs w:val="18"/>
              </w:rPr>
              <w:t xml:space="preserve">100≤X＜300 </w:t>
            </w:r>
          </w:p>
        </w:tc>
        <w:tc>
          <w:tcPr>
            <w:tcW w:w="1426" w:type="dxa"/>
            <w:vAlign w:val="center"/>
          </w:tcPr>
          <w:p w14:paraId="3B9A56B8">
            <w:pPr>
              <w:widowControl/>
              <w:jc w:val="center"/>
              <w:rPr>
                <w:kern w:val="0"/>
                <w:sz w:val="18"/>
                <w:szCs w:val="18"/>
              </w:rPr>
            </w:pPr>
            <w:r>
              <w:rPr>
                <w:kern w:val="0"/>
                <w:sz w:val="18"/>
                <w:szCs w:val="18"/>
              </w:rPr>
              <w:t>10≤X＜100</w:t>
            </w:r>
          </w:p>
        </w:tc>
        <w:tc>
          <w:tcPr>
            <w:tcW w:w="992" w:type="dxa"/>
            <w:vAlign w:val="center"/>
          </w:tcPr>
          <w:p w14:paraId="54E5985A">
            <w:pPr>
              <w:widowControl/>
              <w:jc w:val="center"/>
              <w:rPr>
                <w:kern w:val="0"/>
                <w:sz w:val="18"/>
                <w:szCs w:val="18"/>
              </w:rPr>
            </w:pPr>
            <w:r>
              <w:rPr>
                <w:kern w:val="0"/>
                <w:sz w:val="18"/>
                <w:szCs w:val="18"/>
              </w:rPr>
              <w:t>X＜10</w:t>
            </w:r>
          </w:p>
        </w:tc>
      </w:tr>
      <w:tr w14:paraId="649A1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50D07590">
            <w:pPr>
              <w:widowControl/>
              <w:jc w:val="left"/>
              <w:rPr>
                <w:spacing w:val="-12"/>
                <w:kern w:val="0"/>
                <w:sz w:val="18"/>
                <w:szCs w:val="18"/>
              </w:rPr>
            </w:pPr>
          </w:p>
        </w:tc>
        <w:tc>
          <w:tcPr>
            <w:tcW w:w="1369" w:type="dxa"/>
            <w:vAlign w:val="center"/>
          </w:tcPr>
          <w:p w14:paraId="7452BA3D">
            <w:pPr>
              <w:widowControl/>
              <w:jc w:val="center"/>
              <w:rPr>
                <w:kern w:val="0"/>
                <w:sz w:val="18"/>
                <w:szCs w:val="18"/>
              </w:rPr>
            </w:pPr>
            <w:r>
              <w:rPr>
                <w:kern w:val="0"/>
                <w:sz w:val="18"/>
                <w:szCs w:val="18"/>
              </w:rPr>
              <w:t>营业收入(Y)</w:t>
            </w:r>
          </w:p>
        </w:tc>
        <w:tc>
          <w:tcPr>
            <w:tcW w:w="709" w:type="dxa"/>
            <w:vAlign w:val="center"/>
          </w:tcPr>
          <w:p w14:paraId="461A593C">
            <w:pPr>
              <w:widowControl/>
              <w:jc w:val="center"/>
              <w:rPr>
                <w:kern w:val="0"/>
                <w:sz w:val="18"/>
                <w:szCs w:val="18"/>
              </w:rPr>
            </w:pPr>
            <w:r>
              <w:rPr>
                <w:kern w:val="0"/>
                <w:sz w:val="18"/>
                <w:szCs w:val="18"/>
              </w:rPr>
              <w:t>万元</w:t>
            </w:r>
          </w:p>
        </w:tc>
        <w:tc>
          <w:tcPr>
            <w:tcW w:w="1125" w:type="dxa"/>
            <w:vAlign w:val="center"/>
          </w:tcPr>
          <w:p w14:paraId="2BEF8506">
            <w:pPr>
              <w:widowControl/>
              <w:jc w:val="center"/>
              <w:rPr>
                <w:kern w:val="0"/>
                <w:sz w:val="18"/>
                <w:szCs w:val="18"/>
              </w:rPr>
            </w:pPr>
            <w:r>
              <w:rPr>
                <w:kern w:val="0"/>
                <w:sz w:val="18"/>
                <w:szCs w:val="18"/>
              </w:rPr>
              <w:t>Y≥10000</w:t>
            </w:r>
          </w:p>
        </w:tc>
        <w:tc>
          <w:tcPr>
            <w:tcW w:w="1701" w:type="dxa"/>
            <w:vAlign w:val="center"/>
          </w:tcPr>
          <w:p w14:paraId="54E6F353">
            <w:pPr>
              <w:widowControl/>
              <w:jc w:val="center"/>
              <w:rPr>
                <w:kern w:val="0"/>
                <w:sz w:val="18"/>
                <w:szCs w:val="18"/>
              </w:rPr>
            </w:pPr>
            <w:r>
              <w:rPr>
                <w:kern w:val="0"/>
                <w:sz w:val="18"/>
                <w:szCs w:val="18"/>
              </w:rPr>
              <w:t>1000≤Y＜10000</w:t>
            </w:r>
          </w:p>
        </w:tc>
        <w:tc>
          <w:tcPr>
            <w:tcW w:w="1426" w:type="dxa"/>
            <w:vAlign w:val="center"/>
          </w:tcPr>
          <w:p w14:paraId="17DD20FE">
            <w:pPr>
              <w:widowControl/>
              <w:jc w:val="center"/>
              <w:rPr>
                <w:kern w:val="0"/>
                <w:sz w:val="18"/>
                <w:szCs w:val="18"/>
              </w:rPr>
            </w:pPr>
            <w:r>
              <w:rPr>
                <w:kern w:val="0"/>
                <w:sz w:val="18"/>
                <w:szCs w:val="18"/>
              </w:rPr>
              <w:t>50≤Y＜1000</w:t>
            </w:r>
          </w:p>
        </w:tc>
        <w:tc>
          <w:tcPr>
            <w:tcW w:w="992" w:type="dxa"/>
            <w:vAlign w:val="center"/>
          </w:tcPr>
          <w:p w14:paraId="277B4FCB">
            <w:pPr>
              <w:widowControl/>
              <w:jc w:val="center"/>
              <w:rPr>
                <w:kern w:val="0"/>
                <w:sz w:val="18"/>
                <w:szCs w:val="18"/>
              </w:rPr>
            </w:pPr>
            <w:r>
              <w:rPr>
                <w:kern w:val="0"/>
                <w:sz w:val="18"/>
                <w:szCs w:val="18"/>
              </w:rPr>
              <w:t>Y＜50</w:t>
            </w:r>
          </w:p>
        </w:tc>
      </w:tr>
      <w:tr w14:paraId="024F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6D70F129">
            <w:pPr>
              <w:widowControl/>
              <w:spacing w:line="240" w:lineRule="exact"/>
              <w:jc w:val="left"/>
              <w:rPr>
                <w:kern w:val="0"/>
                <w:sz w:val="18"/>
                <w:szCs w:val="18"/>
              </w:rPr>
            </w:pPr>
            <w:r>
              <w:rPr>
                <w:kern w:val="0"/>
                <w:sz w:val="18"/>
                <w:szCs w:val="18"/>
              </w:rPr>
              <w:t>房地产开发经营</w:t>
            </w:r>
          </w:p>
        </w:tc>
        <w:tc>
          <w:tcPr>
            <w:tcW w:w="1369" w:type="dxa"/>
            <w:vAlign w:val="center"/>
          </w:tcPr>
          <w:p w14:paraId="698EDA13">
            <w:pPr>
              <w:widowControl/>
              <w:jc w:val="center"/>
              <w:rPr>
                <w:kern w:val="0"/>
                <w:sz w:val="18"/>
                <w:szCs w:val="18"/>
              </w:rPr>
            </w:pPr>
            <w:r>
              <w:rPr>
                <w:kern w:val="0"/>
                <w:sz w:val="18"/>
                <w:szCs w:val="18"/>
              </w:rPr>
              <w:t>营业收入(Y)</w:t>
            </w:r>
          </w:p>
        </w:tc>
        <w:tc>
          <w:tcPr>
            <w:tcW w:w="709" w:type="dxa"/>
            <w:vAlign w:val="center"/>
          </w:tcPr>
          <w:p w14:paraId="2C17386E">
            <w:pPr>
              <w:widowControl/>
              <w:jc w:val="center"/>
              <w:rPr>
                <w:kern w:val="0"/>
                <w:sz w:val="18"/>
                <w:szCs w:val="18"/>
              </w:rPr>
            </w:pPr>
            <w:r>
              <w:rPr>
                <w:kern w:val="0"/>
                <w:sz w:val="18"/>
                <w:szCs w:val="18"/>
              </w:rPr>
              <w:t>万元</w:t>
            </w:r>
          </w:p>
        </w:tc>
        <w:tc>
          <w:tcPr>
            <w:tcW w:w="1125" w:type="dxa"/>
            <w:vAlign w:val="center"/>
          </w:tcPr>
          <w:p w14:paraId="4796B708">
            <w:pPr>
              <w:widowControl/>
              <w:jc w:val="center"/>
              <w:rPr>
                <w:kern w:val="0"/>
                <w:sz w:val="18"/>
                <w:szCs w:val="18"/>
              </w:rPr>
            </w:pPr>
            <w:r>
              <w:rPr>
                <w:kern w:val="0"/>
                <w:sz w:val="18"/>
                <w:szCs w:val="18"/>
              </w:rPr>
              <w:t>Y≥200000</w:t>
            </w:r>
          </w:p>
        </w:tc>
        <w:tc>
          <w:tcPr>
            <w:tcW w:w="1701" w:type="dxa"/>
            <w:vAlign w:val="center"/>
          </w:tcPr>
          <w:p w14:paraId="49901833">
            <w:pPr>
              <w:widowControl/>
              <w:jc w:val="center"/>
              <w:rPr>
                <w:kern w:val="0"/>
                <w:sz w:val="18"/>
                <w:szCs w:val="18"/>
              </w:rPr>
            </w:pPr>
            <w:r>
              <w:rPr>
                <w:kern w:val="0"/>
                <w:sz w:val="18"/>
                <w:szCs w:val="18"/>
              </w:rPr>
              <w:t>1000≤Y＜200000</w:t>
            </w:r>
          </w:p>
        </w:tc>
        <w:tc>
          <w:tcPr>
            <w:tcW w:w="1426" w:type="dxa"/>
            <w:vAlign w:val="center"/>
          </w:tcPr>
          <w:p w14:paraId="25464559">
            <w:pPr>
              <w:widowControl/>
              <w:jc w:val="center"/>
              <w:rPr>
                <w:kern w:val="0"/>
                <w:sz w:val="18"/>
                <w:szCs w:val="18"/>
              </w:rPr>
            </w:pPr>
            <w:r>
              <w:rPr>
                <w:kern w:val="0"/>
                <w:sz w:val="18"/>
                <w:szCs w:val="18"/>
              </w:rPr>
              <w:t>100≤Y＜1000</w:t>
            </w:r>
          </w:p>
        </w:tc>
        <w:tc>
          <w:tcPr>
            <w:tcW w:w="992" w:type="dxa"/>
            <w:vAlign w:val="center"/>
          </w:tcPr>
          <w:p w14:paraId="50107355">
            <w:pPr>
              <w:widowControl/>
              <w:jc w:val="center"/>
              <w:rPr>
                <w:kern w:val="0"/>
                <w:sz w:val="18"/>
                <w:szCs w:val="18"/>
              </w:rPr>
            </w:pPr>
            <w:r>
              <w:rPr>
                <w:kern w:val="0"/>
                <w:sz w:val="18"/>
                <w:szCs w:val="18"/>
              </w:rPr>
              <w:t>Y＜100</w:t>
            </w:r>
          </w:p>
        </w:tc>
      </w:tr>
      <w:tr w14:paraId="6E31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4342DAD0">
            <w:pPr>
              <w:widowControl/>
              <w:jc w:val="left"/>
              <w:rPr>
                <w:kern w:val="0"/>
                <w:sz w:val="18"/>
                <w:szCs w:val="18"/>
              </w:rPr>
            </w:pPr>
          </w:p>
        </w:tc>
        <w:tc>
          <w:tcPr>
            <w:tcW w:w="1369" w:type="dxa"/>
            <w:vAlign w:val="center"/>
          </w:tcPr>
          <w:p w14:paraId="244DC0B9">
            <w:pPr>
              <w:widowControl/>
              <w:spacing w:line="240" w:lineRule="exact"/>
              <w:jc w:val="center"/>
              <w:rPr>
                <w:kern w:val="0"/>
                <w:sz w:val="18"/>
                <w:szCs w:val="18"/>
              </w:rPr>
            </w:pPr>
            <w:r>
              <w:rPr>
                <w:kern w:val="0"/>
                <w:sz w:val="18"/>
                <w:szCs w:val="18"/>
              </w:rPr>
              <w:t>资产总额(Z)</w:t>
            </w:r>
          </w:p>
        </w:tc>
        <w:tc>
          <w:tcPr>
            <w:tcW w:w="709" w:type="dxa"/>
            <w:vAlign w:val="center"/>
          </w:tcPr>
          <w:p w14:paraId="500AC5D0">
            <w:pPr>
              <w:widowControl/>
              <w:jc w:val="center"/>
              <w:rPr>
                <w:kern w:val="0"/>
                <w:sz w:val="18"/>
                <w:szCs w:val="18"/>
              </w:rPr>
            </w:pPr>
            <w:r>
              <w:rPr>
                <w:kern w:val="0"/>
                <w:sz w:val="18"/>
                <w:szCs w:val="18"/>
              </w:rPr>
              <w:t>万元</w:t>
            </w:r>
          </w:p>
        </w:tc>
        <w:tc>
          <w:tcPr>
            <w:tcW w:w="1125" w:type="dxa"/>
            <w:vAlign w:val="center"/>
          </w:tcPr>
          <w:p w14:paraId="0076EC6E">
            <w:pPr>
              <w:widowControl/>
              <w:jc w:val="center"/>
              <w:rPr>
                <w:kern w:val="0"/>
                <w:sz w:val="18"/>
                <w:szCs w:val="18"/>
              </w:rPr>
            </w:pPr>
            <w:r>
              <w:rPr>
                <w:kern w:val="0"/>
                <w:sz w:val="18"/>
                <w:szCs w:val="18"/>
              </w:rPr>
              <w:t>Z≥10000</w:t>
            </w:r>
          </w:p>
        </w:tc>
        <w:tc>
          <w:tcPr>
            <w:tcW w:w="1701" w:type="dxa"/>
            <w:vAlign w:val="center"/>
          </w:tcPr>
          <w:p w14:paraId="43CAB708">
            <w:pPr>
              <w:widowControl/>
              <w:jc w:val="center"/>
              <w:rPr>
                <w:kern w:val="0"/>
                <w:sz w:val="18"/>
                <w:szCs w:val="18"/>
              </w:rPr>
            </w:pPr>
            <w:r>
              <w:rPr>
                <w:kern w:val="0"/>
                <w:sz w:val="18"/>
                <w:szCs w:val="18"/>
              </w:rPr>
              <w:t>5000≤Z＜10000</w:t>
            </w:r>
          </w:p>
        </w:tc>
        <w:tc>
          <w:tcPr>
            <w:tcW w:w="1426" w:type="dxa"/>
            <w:vAlign w:val="center"/>
          </w:tcPr>
          <w:p w14:paraId="4A83DA11">
            <w:pPr>
              <w:widowControl/>
              <w:jc w:val="center"/>
              <w:rPr>
                <w:kern w:val="0"/>
                <w:sz w:val="18"/>
                <w:szCs w:val="18"/>
              </w:rPr>
            </w:pPr>
            <w:r>
              <w:rPr>
                <w:kern w:val="0"/>
                <w:sz w:val="18"/>
                <w:szCs w:val="18"/>
              </w:rPr>
              <w:t>2000≤Z＜5000</w:t>
            </w:r>
          </w:p>
        </w:tc>
        <w:tc>
          <w:tcPr>
            <w:tcW w:w="992" w:type="dxa"/>
            <w:vAlign w:val="center"/>
          </w:tcPr>
          <w:p w14:paraId="5AD8374A">
            <w:pPr>
              <w:widowControl/>
              <w:jc w:val="center"/>
              <w:rPr>
                <w:kern w:val="0"/>
                <w:sz w:val="18"/>
                <w:szCs w:val="18"/>
              </w:rPr>
            </w:pPr>
            <w:r>
              <w:rPr>
                <w:kern w:val="0"/>
                <w:sz w:val="18"/>
                <w:szCs w:val="18"/>
              </w:rPr>
              <w:t>Z＜2000</w:t>
            </w:r>
          </w:p>
        </w:tc>
      </w:tr>
      <w:tr w14:paraId="76DA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52287F59">
            <w:pPr>
              <w:widowControl/>
              <w:spacing w:line="240" w:lineRule="exact"/>
              <w:jc w:val="left"/>
              <w:rPr>
                <w:kern w:val="0"/>
                <w:sz w:val="18"/>
                <w:szCs w:val="18"/>
              </w:rPr>
            </w:pPr>
            <w:r>
              <w:rPr>
                <w:kern w:val="0"/>
                <w:sz w:val="18"/>
                <w:szCs w:val="18"/>
              </w:rPr>
              <w:t>物业管理</w:t>
            </w:r>
          </w:p>
        </w:tc>
        <w:tc>
          <w:tcPr>
            <w:tcW w:w="1369" w:type="dxa"/>
            <w:vAlign w:val="center"/>
          </w:tcPr>
          <w:p w14:paraId="30AC47E8">
            <w:pPr>
              <w:widowControl/>
              <w:jc w:val="center"/>
              <w:rPr>
                <w:kern w:val="0"/>
                <w:sz w:val="18"/>
                <w:szCs w:val="18"/>
              </w:rPr>
            </w:pPr>
            <w:r>
              <w:rPr>
                <w:kern w:val="0"/>
                <w:sz w:val="18"/>
                <w:szCs w:val="18"/>
              </w:rPr>
              <w:t>从业人员(X)</w:t>
            </w:r>
          </w:p>
        </w:tc>
        <w:tc>
          <w:tcPr>
            <w:tcW w:w="709" w:type="dxa"/>
            <w:vAlign w:val="center"/>
          </w:tcPr>
          <w:p w14:paraId="7F453E61">
            <w:pPr>
              <w:widowControl/>
              <w:jc w:val="center"/>
              <w:rPr>
                <w:kern w:val="0"/>
                <w:sz w:val="18"/>
                <w:szCs w:val="18"/>
              </w:rPr>
            </w:pPr>
            <w:r>
              <w:rPr>
                <w:kern w:val="0"/>
                <w:sz w:val="18"/>
                <w:szCs w:val="18"/>
              </w:rPr>
              <w:t>人</w:t>
            </w:r>
          </w:p>
        </w:tc>
        <w:tc>
          <w:tcPr>
            <w:tcW w:w="1125" w:type="dxa"/>
            <w:vAlign w:val="center"/>
          </w:tcPr>
          <w:p w14:paraId="2E0D4344">
            <w:pPr>
              <w:widowControl/>
              <w:jc w:val="center"/>
              <w:rPr>
                <w:kern w:val="0"/>
                <w:sz w:val="18"/>
                <w:szCs w:val="18"/>
              </w:rPr>
            </w:pPr>
            <w:r>
              <w:rPr>
                <w:kern w:val="0"/>
                <w:sz w:val="18"/>
                <w:szCs w:val="18"/>
              </w:rPr>
              <w:t>X≥1000</w:t>
            </w:r>
          </w:p>
        </w:tc>
        <w:tc>
          <w:tcPr>
            <w:tcW w:w="1701" w:type="dxa"/>
            <w:vAlign w:val="center"/>
          </w:tcPr>
          <w:p w14:paraId="4CF0DFF4">
            <w:pPr>
              <w:widowControl/>
              <w:jc w:val="center"/>
              <w:rPr>
                <w:kern w:val="0"/>
                <w:sz w:val="18"/>
                <w:szCs w:val="18"/>
              </w:rPr>
            </w:pPr>
            <w:r>
              <w:rPr>
                <w:kern w:val="0"/>
                <w:sz w:val="18"/>
                <w:szCs w:val="18"/>
              </w:rPr>
              <w:t>300≤X＜1000</w:t>
            </w:r>
          </w:p>
        </w:tc>
        <w:tc>
          <w:tcPr>
            <w:tcW w:w="1426" w:type="dxa"/>
            <w:vAlign w:val="center"/>
          </w:tcPr>
          <w:p w14:paraId="7A835A0E">
            <w:pPr>
              <w:widowControl/>
              <w:jc w:val="center"/>
              <w:rPr>
                <w:kern w:val="0"/>
                <w:sz w:val="18"/>
                <w:szCs w:val="18"/>
              </w:rPr>
            </w:pPr>
            <w:r>
              <w:rPr>
                <w:kern w:val="0"/>
                <w:sz w:val="18"/>
                <w:szCs w:val="18"/>
              </w:rPr>
              <w:t>100≤X＜300</w:t>
            </w:r>
          </w:p>
        </w:tc>
        <w:tc>
          <w:tcPr>
            <w:tcW w:w="992" w:type="dxa"/>
            <w:vAlign w:val="center"/>
          </w:tcPr>
          <w:p w14:paraId="2DF44D34">
            <w:pPr>
              <w:widowControl/>
              <w:jc w:val="center"/>
              <w:rPr>
                <w:kern w:val="0"/>
                <w:sz w:val="18"/>
                <w:szCs w:val="18"/>
              </w:rPr>
            </w:pPr>
            <w:r>
              <w:rPr>
                <w:kern w:val="0"/>
                <w:sz w:val="18"/>
                <w:szCs w:val="18"/>
              </w:rPr>
              <w:t>X＜100</w:t>
            </w:r>
          </w:p>
        </w:tc>
      </w:tr>
      <w:tr w14:paraId="7256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2D4DB3C1">
            <w:pPr>
              <w:widowControl/>
              <w:jc w:val="left"/>
              <w:rPr>
                <w:kern w:val="0"/>
                <w:sz w:val="18"/>
                <w:szCs w:val="18"/>
              </w:rPr>
            </w:pPr>
          </w:p>
        </w:tc>
        <w:tc>
          <w:tcPr>
            <w:tcW w:w="1369" w:type="dxa"/>
            <w:vAlign w:val="center"/>
          </w:tcPr>
          <w:p w14:paraId="68FB4A69">
            <w:pPr>
              <w:widowControl/>
              <w:spacing w:line="240" w:lineRule="exact"/>
              <w:jc w:val="center"/>
              <w:rPr>
                <w:kern w:val="0"/>
                <w:sz w:val="18"/>
                <w:szCs w:val="18"/>
              </w:rPr>
            </w:pPr>
            <w:r>
              <w:rPr>
                <w:kern w:val="0"/>
                <w:sz w:val="18"/>
                <w:szCs w:val="18"/>
              </w:rPr>
              <w:t>营业收入(Y)</w:t>
            </w:r>
          </w:p>
        </w:tc>
        <w:tc>
          <w:tcPr>
            <w:tcW w:w="709" w:type="dxa"/>
            <w:vAlign w:val="center"/>
          </w:tcPr>
          <w:p w14:paraId="42CE3A1C">
            <w:pPr>
              <w:widowControl/>
              <w:jc w:val="center"/>
              <w:rPr>
                <w:kern w:val="0"/>
                <w:sz w:val="18"/>
                <w:szCs w:val="18"/>
              </w:rPr>
            </w:pPr>
            <w:r>
              <w:rPr>
                <w:kern w:val="0"/>
                <w:sz w:val="18"/>
                <w:szCs w:val="18"/>
              </w:rPr>
              <w:t>万元</w:t>
            </w:r>
          </w:p>
        </w:tc>
        <w:tc>
          <w:tcPr>
            <w:tcW w:w="1125" w:type="dxa"/>
            <w:vAlign w:val="center"/>
          </w:tcPr>
          <w:p w14:paraId="70FD8E1A">
            <w:pPr>
              <w:widowControl/>
              <w:jc w:val="center"/>
              <w:rPr>
                <w:kern w:val="0"/>
                <w:sz w:val="18"/>
                <w:szCs w:val="18"/>
              </w:rPr>
            </w:pPr>
            <w:r>
              <w:rPr>
                <w:kern w:val="0"/>
                <w:sz w:val="18"/>
                <w:szCs w:val="18"/>
              </w:rPr>
              <w:t>Y≥5000</w:t>
            </w:r>
          </w:p>
        </w:tc>
        <w:tc>
          <w:tcPr>
            <w:tcW w:w="1701" w:type="dxa"/>
            <w:vAlign w:val="center"/>
          </w:tcPr>
          <w:p w14:paraId="250547A0">
            <w:pPr>
              <w:widowControl/>
              <w:ind w:left="1" w:leftChars="-51" w:hanging="108" w:hangingChars="60"/>
              <w:jc w:val="center"/>
              <w:rPr>
                <w:kern w:val="0"/>
                <w:sz w:val="18"/>
                <w:szCs w:val="18"/>
              </w:rPr>
            </w:pPr>
            <w:r>
              <w:rPr>
                <w:kern w:val="0"/>
                <w:sz w:val="18"/>
                <w:szCs w:val="18"/>
              </w:rPr>
              <w:t>1000≤Y＜5000</w:t>
            </w:r>
          </w:p>
        </w:tc>
        <w:tc>
          <w:tcPr>
            <w:tcW w:w="1426" w:type="dxa"/>
            <w:vAlign w:val="center"/>
          </w:tcPr>
          <w:p w14:paraId="4D5103E6">
            <w:pPr>
              <w:widowControl/>
              <w:jc w:val="center"/>
              <w:rPr>
                <w:kern w:val="0"/>
                <w:sz w:val="18"/>
                <w:szCs w:val="18"/>
              </w:rPr>
            </w:pPr>
            <w:r>
              <w:rPr>
                <w:kern w:val="0"/>
                <w:sz w:val="18"/>
                <w:szCs w:val="18"/>
              </w:rPr>
              <w:t>500≤Y＜1000</w:t>
            </w:r>
          </w:p>
        </w:tc>
        <w:tc>
          <w:tcPr>
            <w:tcW w:w="992" w:type="dxa"/>
            <w:vAlign w:val="center"/>
          </w:tcPr>
          <w:p w14:paraId="50AD421C">
            <w:pPr>
              <w:widowControl/>
              <w:jc w:val="center"/>
              <w:rPr>
                <w:kern w:val="0"/>
                <w:sz w:val="18"/>
                <w:szCs w:val="18"/>
              </w:rPr>
            </w:pPr>
            <w:r>
              <w:rPr>
                <w:kern w:val="0"/>
                <w:sz w:val="18"/>
                <w:szCs w:val="18"/>
              </w:rPr>
              <w:t>Y＜500</w:t>
            </w:r>
          </w:p>
        </w:tc>
      </w:tr>
      <w:tr w14:paraId="4ED7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14:paraId="12F8C348">
            <w:pPr>
              <w:widowControl/>
              <w:spacing w:line="240" w:lineRule="exact"/>
              <w:jc w:val="left"/>
              <w:rPr>
                <w:kern w:val="0"/>
                <w:sz w:val="18"/>
                <w:szCs w:val="18"/>
              </w:rPr>
            </w:pPr>
            <w:r>
              <w:rPr>
                <w:kern w:val="0"/>
                <w:sz w:val="18"/>
                <w:szCs w:val="18"/>
              </w:rPr>
              <w:t>租赁和商务服务业</w:t>
            </w:r>
          </w:p>
        </w:tc>
        <w:tc>
          <w:tcPr>
            <w:tcW w:w="1369" w:type="dxa"/>
            <w:vAlign w:val="center"/>
          </w:tcPr>
          <w:p w14:paraId="3322B862">
            <w:pPr>
              <w:widowControl/>
              <w:jc w:val="center"/>
              <w:rPr>
                <w:kern w:val="0"/>
                <w:sz w:val="18"/>
                <w:szCs w:val="18"/>
              </w:rPr>
            </w:pPr>
            <w:r>
              <w:rPr>
                <w:kern w:val="0"/>
                <w:sz w:val="18"/>
                <w:szCs w:val="18"/>
              </w:rPr>
              <w:t>从业人员(X)</w:t>
            </w:r>
          </w:p>
        </w:tc>
        <w:tc>
          <w:tcPr>
            <w:tcW w:w="709" w:type="dxa"/>
            <w:vAlign w:val="center"/>
          </w:tcPr>
          <w:p w14:paraId="07A24464">
            <w:pPr>
              <w:widowControl/>
              <w:jc w:val="center"/>
              <w:rPr>
                <w:kern w:val="0"/>
                <w:sz w:val="18"/>
                <w:szCs w:val="18"/>
              </w:rPr>
            </w:pPr>
            <w:r>
              <w:rPr>
                <w:kern w:val="0"/>
                <w:sz w:val="18"/>
                <w:szCs w:val="18"/>
              </w:rPr>
              <w:t>人</w:t>
            </w:r>
          </w:p>
        </w:tc>
        <w:tc>
          <w:tcPr>
            <w:tcW w:w="1125" w:type="dxa"/>
            <w:vAlign w:val="center"/>
          </w:tcPr>
          <w:p w14:paraId="66F4EE12">
            <w:pPr>
              <w:widowControl/>
              <w:jc w:val="center"/>
              <w:rPr>
                <w:kern w:val="0"/>
                <w:sz w:val="18"/>
                <w:szCs w:val="18"/>
              </w:rPr>
            </w:pPr>
            <w:r>
              <w:rPr>
                <w:kern w:val="0"/>
                <w:sz w:val="18"/>
                <w:szCs w:val="18"/>
              </w:rPr>
              <w:t>X≥300</w:t>
            </w:r>
          </w:p>
        </w:tc>
        <w:tc>
          <w:tcPr>
            <w:tcW w:w="1701" w:type="dxa"/>
            <w:vAlign w:val="center"/>
          </w:tcPr>
          <w:p w14:paraId="2112209B">
            <w:pPr>
              <w:widowControl/>
              <w:ind w:left="1" w:leftChars="-51" w:hanging="108" w:hangingChars="60"/>
              <w:jc w:val="center"/>
              <w:rPr>
                <w:kern w:val="0"/>
                <w:sz w:val="18"/>
                <w:szCs w:val="18"/>
              </w:rPr>
            </w:pPr>
            <w:r>
              <w:rPr>
                <w:kern w:val="0"/>
                <w:sz w:val="18"/>
                <w:szCs w:val="18"/>
              </w:rPr>
              <w:t>100≤X＜300</w:t>
            </w:r>
          </w:p>
        </w:tc>
        <w:tc>
          <w:tcPr>
            <w:tcW w:w="1426" w:type="dxa"/>
            <w:vAlign w:val="center"/>
          </w:tcPr>
          <w:p w14:paraId="310A7F1F">
            <w:pPr>
              <w:widowControl/>
              <w:jc w:val="center"/>
              <w:rPr>
                <w:kern w:val="0"/>
                <w:sz w:val="18"/>
                <w:szCs w:val="18"/>
              </w:rPr>
            </w:pPr>
            <w:r>
              <w:rPr>
                <w:kern w:val="0"/>
                <w:sz w:val="18"/>
                <w:szCs w:val="18"/>
              </w:rPr>
              <w:t>10≤X＜100</w:t>
            </w:r>
          </w:p>
        </w:tc>
        <w:tc>
          <w:tcPr>
            <w:tcW w:w="992" w:type="dxa"/>
            <w:vAlign w:val="center"/>
          </w:tcPr>
          <w:p w14:paraId="213AE680">
            <w:pPr>
              <w:widowControl/>
              <w:jc w:val="center"/>
              <w:rPr>
                <w:kern w:val="0"/>
                <w:sz w:val="18"/>
                <w:szCs w:val="18"/>
              </w:rPr>
            </w:pPr>
            <w:r>
              <w:rPr>
                <w:kern w:val="0"/>
                <w:sz w:val="18"/>
                <w:szCs w:val="18"/>
              </w:rPr>
              <w:t>X＜10</w:t>
            </w:r>
          </w:p>
        </w:tc>
      </w:tr>
      <w:tr w14:paraId="623C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14:paraId="3BFC90BD">
            <w:pPr>
              <w:widowControl/>
              <w:jc w:val="left"/>
              <w:rPr>
                <w:kern w:val="0"/>
                <w:sz w:val="18"/>
                <w:szCs w:val="18"/>
              </w:rPr>
            </w:pPr>
          </w:p>
        </w:tc>
        <w:tc>
          <w:tcPr>
            <w:tcW w:w="1369" w:type="dxa"/>
            <w:vAlign w:val="center"/>
          </w:tcPr>
          <w:p w14:paraId="44724297">
            <w:pPr>
              <w:widowControl/>
              <w:spacing w:line="240" w:lineRule="exact"/>
              <w:jc w:val="center"/>
              <w:rPr>
                <w:kern w:val="0"/>
                <w:sz w:val="18"/>
                <w:szCs w:val="18"/>
              </w:rPr>
            </w:pPr>
            <w:r>
              <w:rPr>
                <w:kern w:val="0"/>
                <w:sz w:val="18"/>
                <w:szCs w:val="18"/>
              </w:rPr>
              <w:t>资产总额(Z)</w:t>
            </w:r>
          </w:p>
        </w:tc>
        <w:tc>
          <w:tcPr>
            <w:tcW w:w="709" w:type="dxa"/>
            <w:vAlign w:val="center"/>
          </w:tcPr>
          <w:p w14:paraId="69FB0FA1">
            <w:pPr>
              <w:widowControl/>
              <w:jc w:val="center"/>
              <w:rPr>
                <w:kern w:val="0"/>
                <w:sz w:val="18"/>
                <w:szCs w:val="18"/>
              </w:rPr>
            </w:pPr>
            <w:r>
              <w:rPr>
                <w:kern w:val="0"/>
                <w:sz w:val="18"/>
                <w:szCs w:val="18"/>
              </w:rPr>
              <w:t>万元</w:t>
            </w:r>
          </w:p>
        </w:tc>
        <w:tc>
          <w:tcPr>
            <w:tcW w:w="1125" w:type="dxa"/>
            <w:vAlign w:val="center"/>
          </w:tcPr>
          <w:p w14:paraId="13BB0D46">
            <w:pPr>
              <w:widowControl/>
              <w:jc w:val="center"/>
              <w:rPr>
                <w:kern w:val="0"/>
                <w:sz w:val="18"/>
                <w:szCs w:val="18"/>
              </w:rPr>
            </w:pPr>
            <w:r>
              <w:rPr>
                <w:kern w:val="0"/>
                <w:sz w:val="18"/>
                <w:szCs w:val="18"/>
              </w:rPr>
              <w:t>Z≥120000</w:t>
            </w:r>
          </w:p>
        </w:tc>
        <w:tc>
          <w:tcPr>
            <w:tcW w:w="1701" w:type="dxa"/>
            <w:vAlign w:val="center"/>
          </w:tcPr>
          <w:p w14:paraId="0C22E0E7">
            <w:pPr>
              <w:widowControl/>
              <w:jc w:val="center"/>
              <w:rPr>
                <w:kern w:val="0"/>
                <w:sz w:val="18"/>
                <w:szCs w:val="18"/>
              </w:rPr>
            </w:pPr>
            <w:r>
              <w:rPr>
                <w:kern w:val="0"/>
                <w:sz w:val="18"/>
                <w:szCs w:val="18"/>
              </w:rPr>
              <w:t>8000≤Z＜120000</w:t>
            </w:r>
          </w:p>
        </w:tc>
        <w:tc>
          <w:tcPr>
            <w:tcW w:w="1426" w:type="dxa"/>
            <w:vAlign w:val="center"/>
          </w:tcPr>
          <w:p w14:paraId="51BAA509">
            <w:pPr>
              <w:widowControl/>
              <w:jc w:val="center"/>
              <w:rPr>
                <w:kern w:val="0"/>
                <w:sz w:val="18"/>
                <w:szCs w:val="18"/>
              </w:rPr>
            </w:pPr>
            <w:r>
              <w:rPr>
                <w:kern w:val="0"/>
                <w:sz w:val="18"/>
                <w:szCs w:val="18"/>
              </w:rPr>
              <w:t>100≤Z＜8000</w:t>
            </w:r>
          </w:p>
        </w:tc>
        <w:tc>
          <w:tcPr>
            <w:tcW w:w="992" w:type="dxa"/>
            <w:vAlign w:val="center"/>
          </w:tcPr>
          <w:p w14:paraId="709F2367">
            <w:pPr>
              <w:widowControl/>
              <w:jc w:val="center"/>
              <w:rPr>
                <w:kern w:val="0"/>
                <w:sz w:val="18"/>
                <w:szCs w:val="18"/>
              </w:rPr>
            </w:pPr>
            <w:r>
              <w:rPr>
                <w:kern w:val="0"/>
                <w:sz w:val="18"/>
                <w:szCs w:val="18"/>
              </w:rPr>
              <w:t>Z＜100</w:t>
            </w:r>
          </w:p>
        </w:tc>
      </w:tr>
      <w:tr w14:paraId="6243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14:paraId="5D5EB6E6">
            <w:pPr>
              <w:widowControl/>
              <w:spacing w:line="240" w:lineRule="exact"/>
              <w:jc w:val="left"/>
              <w:rPr>
                <w:rFonts w:hint="eastAsia"/>
                <w:kern w:val="0"/>
                <w:sz w:val="18"/>
                <w:szCs w:val="18"/>
              </w:rPr>
            </w:pPr>
            <w:r>
              <w:rPr>
                <w:kern w:val="0"/>
                <w:sz w:val="18"/>
                <w:szCs w:val="18"/>
              </w:rPr>
              <w:t>其他未列明行业</w:t>
            </w:r>
            <w:r>
              <w:rPr>
                <w:rFonts w:hint="eastAsia" w:ascii="宋体" w:hAnsi="宋体" w:cs="宋体"/>
                <w:kern w:val="0"/>
                <w:sz w:val="18"/>
                <w:szCs w:val="18"/>
              </w:rPr>
              <w:t>※</w:t>
            </w:r>
          </w:p>
        </w:tc>
        <w:tc>
          <w:tcPr>
            <w:tcW w:w="1369" w:type="dxa"/>
            <w:vAlign w:val="center"/>
          </w:tcPr>
          <w:p w14:paraId="2184C6DA">
            <w:pPr>
              <w:widowControl/>
              <w:jc w:val="center"/>
              <w:rPr>
                <w:kern w:val="0"/>
                <w:sz w:val="18"/>
                <w:szCs w:val="18"/>
              </w:rPr>
            </w:pPr>
            <w:r>
              <w:rPr>
                <w:kern w:val="0"/>
                <w:sz w:val="18"/>
                <w:szCs w:val="18"/>
              </w:rPr>
              <w:t>从业人员(X)</w:t>
            </w:r>
          </w:p>
        </w:tc>
        <w:tc>
          <w:tcPr>
            <w:tcW w:w="709" w:type="dxa"/>
            <w:vAlign w:val="center"/>
          </w:tcPr>
          <w:p w14:paraId="739B782D">
            <w:pPr>
              <w:widowControl/>
              <w:jc w:val="center"/>
              <w:rPr>
                <w:kern w:val="0"/>
                <w:sz w:val="18"/>
                <w:szCs w:val="18"/>
              </w:rPr>
            </w:pPr>
            <w:r>
              <w:rPr>
                <w:kern w:val="0"/>
                <w:sz w:val="18"/>
                <w:szCs w:val="18"/>
              </w:rPr>
              <w:t>人</w:t>
            </w:r>
          </w:p>
        </w:tc>
        <w:tc>
          <w:tcPr>
            <w:tcW w:w="1125" w:type="dxa"/>
            <w:vAlign w:val="center"/>
          </w:tcPr>
          <w:p w14:paraId="6A374E9B">
            <w:pPr>
              <w:widowControl/>
              <w:jc w:val="center"/>
              <w:rPr>
                <w:kern w:val="0"/>
                <w:sz w:val="18"/>
                <w:szCs w:val="18"/>
              </w:rPr>
            </w:pPr>
            <w:r>
              <w:rPr>
                <w:kern w:val="0"/>
                <w:sz w:val="18"/>
                <w:szCs w:val="18"/>
              </w:rPr>
              <w:t>X≥300</w:t>
            </w:r>
          </w:p>
        </w:tc>
        <w:tc>
          <w:tcPr>
            <w:tcW w:w="1701" w:type="dxa"/>
            <w:vAlign w:val="center"/>
          </w:tcPr>
          <w:p w14:paraId="3C89E22C">
            <w:pPr>
              <w:widowControl/>
              <w:ind w:left="1" w:leftChars="-51" w:hanging="108" w:hangingChars="60"/>
              <w:jc w:val="center"/>
              <w:rPr>
                <w:kern w:val="0"/>
                <w:sz w:val="18"/>
                <w:szCs w:val="18"/>
              </w:rPr>
            </w:pPr>
            <w:r>
              <w:rPr>
                <w:kern w:val="0"/>
                <w:sz w:val="18"/>
                <w:szCs w:val="18"/>
              </w:rPr>
              <w:t>100≤X＜300</w:t>
            </w:r>
          </w:p>
        </w:tc>
        <w:tc>
          <w:tcPr>
            <w:tcW w:w="1426" w:type="dxa"/>
            <w:vAlign w:val="center"/>
          </w:tcPr>
          <w:p w14:paraId="47C5211E">
            <w:pPr>
              <w:widowControl/>
              <w:jc w:val="center"/>
              <w:rPr>
                <w:kern w:val="0"/>
                <w:sz w:val="18"/>
                <w:szCs w:val="18"/>
              </w:rPr>
            </w:pPr>
            <w:r>
              <w:rPr>
                <w:kern w:val="0"/>
                <w:sz w:val="18"/>
                <w:szCs w:val="18"/>
              </w:rPr>
              <w:t>10≤X＜100</w:t>
            </w:r>
          </w:p>
        </w:tc>
        <w:tc>
          <w:tcPr>
            <w:tcW w:w="992" w:type="dxa"/>
            <w:vAlign w:val="center"/>
          </w:tcPr>
          <w:p w14:paraId="166EB53E">
            <w:pPr>
              <w:widowControl/>
              <w:jc w:val="center"/>
              <w:rPr>
                <w:kern w:val="0"/>
                <w:sz w:val="18"/>
                <w:szCs w:val="18"/>
              </w:rPr>
            </w:pPr>
            <w:r>
              <w:rPr>
                <w:kern w:val="0"/>
                <w:sz w:val="18"/>
                <w:szCs w:val="18"/>
              </w:rPr>
              <w:t>X＜10</w:t>
            </w:r>
          </w:p>
        </w:tc>
      </w:tr>
    </w:tbl>
    <w:p w14:paraId="033DF1FA">
      <w:pPr>
        <w:widowControl/>
        <w:spacing w:line="540" w:lineRule="exact"/>
        <w:rPr>
          <w:rFonts w:hint="eastAsia" w:ascii="宋体" w:hAnsi="宋体" w:cs="宋体"/>
          <w:spacing w:val="8"/>
          <w:kern w:val="0"/>
          <w:sz w:val="24"/>
        </w:rPr>
      </w:pPr>
    </w:p>
    <w:p w14:paraId="3E70140B">
      <w:pPr>
        <w:widowControl/>
        <w:spacing w:line="540" w:lineRule="exact"/>
        <w:rPr>
          <w:rFonts w:hint="eastAsia" w:ascii="宋体" w:hAnsi="宋体" w:cs="宋体"/>
          <w:spacing w:val="8"/>
          <w:kern w:val="0"/>
          <w:sz w:val="24"/>
        </w:rPr>
      </w:pPr>
      <w:r>
        <w:rPr>
          <w:rFonts w:hint="eastAsia" w:ascii="宋体" w:hAnsi="宋体" w:cs="宋体"/>
          <w:spacing w:val="8"/>
          <w:kern w:val="0"/>
          <w:sz w:val="24"/>
        </w:rPr>
        <w:t>说明：</w:t>
      </w:r>
    </w:p>
    <w:p w14:paraId="6B540CA4">
      <w:pPr>
        <w:pStyle w:val="13"/>
        <w:adjustRightInd w:val="0"/>
        <w:spacing w:line="380" w:lineRule="exact"/>
        <w:ind w:firstLine="512" w:firstLineChars="200"/>
        <w:contextualSpacing/>
        <w:rPr>
          <w:rFonts w:hint="eastAsia" w:hAnsi="宋体" w:cs="宋体"/>
          <w:spacing w:val="8"/>
          <w:sz w:val="24"/>
          <w:szCs w:val="24"/>
        </w:rPr>
      </w:pPr>
      <w:r>
        <w:rPr>
          <w:rFonts w:hint="eastAsia" w:hAnsi="宋体" w:cs="宋体"/>
          <w:spacing w:val="8"/>
          <w:sz w:val="24"/>
          <w:szCs w:val="24"/>
        </w:rPr>
        <w:t>1.大型、中型和小型企业须同时满足所列指标的下限，否则下划一档；微型企业只须满足所列指标中的一项即可。</w:t>
      </w:r>
    </w:p>
    <w:p w14:paraId="4EFF4B08">
      <w:pPr>
        <w:pStyle w:val="13"/>
        <w:adjustRightInd w:val="0"/>
        <w:spacing w:line="380" w:lineRule="exact"/>
        <w:ind w:firstLine="512" w:firstLineChars="200"/>
        <w:contextualSpacing/>
        <w:rPr>
          <w:rFonts w:hint="eastAsia" w:hAnsi="宋体" w:cs="宋体"/>
          <w:spacing w:val="8"/>
          <w:sz w:val="24"/>
          <w:szCs w:val="24"/>
        </w:rPr>
      </w:pPr>
      <w:r>
        <w:rPr>
          <w:rFonts w:hint="eastAsia" w:hAnsi="宋体" w:cs="宋体"/>
          <w:spacing w:val="8"/>
          <w:sz w:val="24"/>
          <w:szCs w:val="24"/>
        </w:rPr>
        <w:t>2.附表中各行业的范围以《国民经济行业分类》（GB/T4754-2017）为准。带</w:t>
      </w:r>
      <w:r>
        <w:rPr>
          <w:rFonts w:hint="eastAsia" w:hAnsi="宋体" w:cs="宋体"/>
          <w:sz w:val="18"/>
          <w:szCs w:val="18"/>
        </w:rPr>
        <w:t>※</w:t>
      </w:r>
      <w:r>
        <w:rPr>
          <w:rFonts w:hint="eastAsia" w:hAnsi="宋体" w:cs="宋体"/>
          <w:spacing w:val="8"/>
          <w:sz w:val="24"/>
          <w:szCs w:val="24"/>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A18E0C5">
      <w:pPr>
        <w:pStyle w:val="13"/>
        <w:spacing w:line="380" w:lineRule="exact"/>
        <w:ind w:firstLine="512" w:firstLineChars="200"/>
        <w:rPr>
          <w:rFonts w:hint="eastAsia" w:hAnsi="宋体" w:cs="宋体"/>
          <w:spacing w:val="8"/>
          <w:sz w:val="24"/>
          <w:szCs w:val="24"/>
        </w:rPr>
      </w:pPr>
      <w:r>
        <w:rPr>
          <w:rFonts w:hint="eastAsia" w:hAnsi="宋体" w:cs="宋体"/>
          <w:spacing w:val="8"/>
          <w:sz w:val="24"/>
          <w:szCs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ACCD1EF">
      <w:pPr>
        <w:pStyle w:val="7"/>
        <w:rPr>
          <w:rFonts w:hint="eastAsia" w:ascii="仿宋_GB2312" w:hAnsi="Times New Roman" w:eastAsia="仿宋_GB2312" w:cs="宋体"/>
          <w:spacing w:val="8"/>
          <w:kern w:val="0"/>
          <w:sz w:val="24"/>
        </w:rPr>
      </w:pPr>
    </w:p>
    <w:p w14:paraId="337F1EA2">
      <w:pPr>
        <w:rPr>
          <w:rFonts w:hint="eastAsia" w:ascii="仿宋_GB2312" w:hAnsi="Times New Roman" w:eastAsia="仿宋_GB2312" w:cs="宋体"/>
          <w:spacing w:val="8"/>
          <w:kern w:val="0"/>
          <w:sz w:val="24"/>
        </w:rPr>
      </w:pPr>
    </w:p>
    <w:p w14:paraId="51CD1D76">
      <w:pPr>
        <w:pStyle w:val="2"/>
        <w:rPr>
          <w:rFonts w:hint="eastAsia" w:ascii="仿宋_GB2312" w:hAnsi="Times New Roman" w:eastAsia="仿宋_GB2312" w:cs="宋体"/>
          <w:spacing w:val="8"/>
          <w:kern w:val="0"/>
          <w:sz w:val="24"/>
        </w:rPr>
      </w:pPr>
    </w:p>
    <w:p w14:paraId="5886290A">
      <w:pPr>
        <w:rPr>
          <w:rFonts w:hint="eastAsia" w:ascii="仿宋_GB2312" w:hAnsi="Times New Roman" w:eastAsia="仿宋_GB2312" w:cs="宋体"/>
          <w:spacing w:val="8"/>
          <w:kern w:val="0"/>
          <w:sz w:val="24"/>
        </w:rPr>
      </w:pPr>
    </w:p>
    <w:p w14:paraId="6DD754A0">
      <w:pPr>
        <w:pStyle w:val="2"/>
        <w:rPr>
          <w:rFonts w:hint="eastAsia" w:ascii="仿宋_GB2312" w:hAnsi="Times New Roman" w:eastAsia="仿宋_GB2312" w:cs="宋体"/>
          <w:spacing w:val="8"/>
          <w:kern w:val="0"/>
          <w:sz w:val="24"/>
        </w:rPr>
      </w:pPr>
    </w:p>
    <w:p w14:paraId="4EA9FB05">
      <w:pPr>
        <w:rPr>
          <w:rFonts w:hint="eastAsia" w:ascii="仿宋_GB2312" w:hAnsi="Times New Roman" w:eastAsia="仿宋_GB2312" w:cs="宋体"/>
          <w:spacing w:val="8"/>
          <w:kern w:val="0"/>
          <w:sz w:val="24"/>
        </w:rPr>
      </w:pPr>
    </w:p>
    <w:p w14:paraId="650FAEA2">
      <w:pPr>
        <w:pStyle w:val="2"/>
        <w:rPr>
          <w:rFonts w:hint="eastAsia" w:ascii="仿宋_GB2312" w:hAnsi="Times New Roman" w:eastAsia="仿宋_GB2312" w:cs="宋体"/>
          <w:spacing w:val="8"/>
          <w:kern w:val="0"/>
          <w:sz w:val="24"/>
        </w:rPr>
      </w:pPr>
    </w:p>
    <w:p w14:paraId="6834DA27">
      <w:pPr>
        <w:rPr>
          <w:rFonts w:hint="eastAsia" w:ascii="仿宋_GB2312" w:hAnsi="Times New Roman" w:eastAsia="仿宋_GB2312" w:cs="宋体"/>
          <w:spacing w:val="8"/>
          <w:kern w:val="0"/>
          <w:sz w:val="24"/>
        </w:rPr>
      </w:pPr>
    </w:p>
    <w:p w14:paraId="30D2D1F8">
      <w:pPr>
        <w:rPr>
          <w:rFonts w:hint="eastAsia" w:ascii="仿宋_GB2312" w:hAnsi="Times New Roman" w:eastAsia="仿宋_GB2312" w:cs="宋体"/>
          <w:spacing w:val="8"/>
          <w:kern w:val="0"/>
          <w:sz w:val="24"/>
        </w:rPr>
      </w:pPr>
    </w:p>
    <w:p w14:paraId="19183181">
      <w:pPr>
        <w:rPr>
          <w:rFonts w:hint="eastAsia" w:ascii="仿宋_GB2312" w:hAnsi="Times New Roman" w:eastAsia="仿宋_GB2312" w:cs="宋体"/>
          <w:spacing w:val="8"/>
          <w:kern w:val="0"/>
          <w:sz w:val="24"/>
        </w:rPr>
      </w:pPr>
    </w:p>
    <w:p w14:paraId="69E2AA45">
      <w:pPr>
        <w:rPr>
          <w:rFonts w:hint="eastAsia" w:ascii="仿宋_GB2312" w:hAnsi="Times New Roman" w:eastAsia="仿宋_GB2312" w:cs="宋体"/>
          <w:spacing w:val="8"/>
          <w:kern w:val="0"/>
          <w:sz w:val="24"/>
        </w:rPr>
      </w:pPr>
    </w:p>
    <w:p w14:paraId="6E11EBA3">
      <w:pPr>
        <w:rPr>
          <w:rFonts w:hint="eastAsia" w:ascii="仿宋_GB2312" w:hAnsi="Times New Roman" w:eastAsia="仿宋_GB2312" w:cs="宋体"/>
          <w:spacing w:val="8"/>
          <w:kern w:val="0"/>
          <w:sz w:val="24"/>
        </w:rPr>
      </w:pPr>
    </w:p>
    <w:p w14:paraId="7000E6ED">
      <w:pPr>
        <w:rPr>
          <w:rFonts w:hint="eastAsia" w:ascii="仿宋_GB2312" w:hAnsi="Times New Roman" w:eastAsia="仿宋_GB2312" w:cs="宋体"/>
          <w:spacing w:val="8"/>
          <w:kern w:val="0"/>
          <w:sz w:val="24"/>
        </w:rPr>
      </w:pPr>
    </w:p>
    <w:p w14:paraId="39438287">
      <w:pPr>
        <w:rPr>
          <w:rFonts w:hint="eastAsia" w:ascii="仿宋_GB2312" w:hAnsi="Times New Roman" w:eastAsia="仿宋_GB2312" w:cs="宋体"/>
          <w:spacing w:val="8"/>
          <w:kern w:val="0"/>
          <w:sz w:val="24"/>
        </w:rPr>
      </w:pPr>
    </w:p>
    <w:p w14:paraId="2A4B71BA">
      <w:pPr>
        <w:rPr>
          <w:rFonts w:hint="eastAsia" w:ascii="仿宋_GB2312" w:hAnsi="Times New Roman" w:eastAsia="仿宋_GB2312" w:cs="宋体"/>
          <w:spacing w:val="8"/>
          <w:kern w:val="0"/>
          <w:sz w:val="24"/>
        </w:rPr>
      </w:pPr>
    </w:p>
    <w:p w14:paraId="5361E049">
      <w:pPr>
        <w:rPr>
          <w:rFonts w:hint="eastAsia" w:ascii="仿宋_GB2312" w:hAnsi="Times New Roman" w:eastAsia="仿宋_GB2312" w:cs="宋体"/>
          <w:spacing w:val="8"/>
          <w:kern w:val="0"/>
          <w:sz w:val="24"/>
        </w:rPr>
      </w:pPr>
    </w:p>
    <w:p w14:paraId="74DB25DC">
      <w:pPr>
        <w:pStyle w:val="2"/>
        <w:rPr>
          <w:rFonts w:hint="eastAsia" w:ascii="仿宋_GB2312" w:hAnsi="Times New Roman" w:eastAsia="仿宋_GB2312" w:cs="宋体"/>
          <w:spacing w:val="8"/>
          <w:kern w:val="0"/>
          <w:sz w:val="24"/>
        </w:rPr>
      </w:pPr>
    </w:p>
    <w:p w14:paraId="567C4D17">
      <w:pPr>
        <w:rPr>
          <w:rFonts w:hint="eastAsia" w:ascii="仿宋_GB2312" w:hAnsi="Times New Roman" w:eastAsia="仿宋_GB2312" w:cs="宋体"/>
          <w:spacing w:val="8"/>
          <w:kern w:val="0"/>
          <w:sz w:val="24"/>
        </w:rPr>
      </w:pPr>
    </w:p>
    <w:p w14:paraId="7223B9E6">
      <w:pPr>
        <w:pStyle w:val="2"/>
        <w:rPr>
          <w:rFonts w:hint="eastAsia"/>
        </w:rPr>
      </w:pPr>
    </w:p>
    <w:p w14:paraId="19095BB7">
      <w:pPr>
        <w:rPr>
          <w:rFonts w:hint="eastAsia" w:ascii="仿宋_GB2312" w:hAnsi="Times New Roman" w:eastAsia="仿宋_GB2312" w:cs="宋体"/>
          <w:spacing w:val="8"/>
          <w:kern w:val="0"/>
          <w:sz w:val="24"/>
        </w:rPr>
      </w:pPr>
    </w:p>
    <w:p w14:paraId="16DF28F7">
      <w:pPr>
        <w:rPr>
          <w:rFonts w:hint="eastAsia"/>
        </w:rPr>
      </w:pPr>
    </w:p>
    <w:p w14:paraId="60296C98">
      <w:pPr>
        <w:jc w:val="center"/>
        <w:rPr>
          <w:rFonts w:hint="eastAsia" w:ascii="宋体" w:hAnsi="宋体" w:cs="宋体"/>
          <w:b/>
          <w:bCs/>
          <w:sz w:val="32"/>
          <w:szCs w:val="32"/>
        </w:rPr>
      </w:pPr>
      <w:bookmarkStart w:id="590" w:name="_Toc12573"/>
      <w:bookmarkStart w:id="591" w:name="_Toc18722"/>
      <w:bookmarkStart w:id="592" w:name="_Toc9140"/>
      <w:bookmarkStart w:id="593" w:name="_Toc15823"/>
      <w:bookmarkStart w:id="594" w:name="_Toc24417"/>
      <w:bookmarkStart w:id="595" w:name="_Toc22269"/>
      <w:bookmarkStart w:id="596" w:name="_Toc1199"/>
      <w:bookmarkStart w:id="597" w:name="_Toc19630"/>
      <w:bookmarkStart w:id="598" w:name="_Toc22007"/>
      <w:bookmarkStart w:id="599" w:name="_Toc27271"/>
      <w:bookmarkStart w:id="600" w:name="_Toc21513"/>
      <w:bookmarkStart w:id="601" w:name="_Toc23805"/>
      <w:r>
        <w:rPr>
          <w:rFonts w:hint="eastAsia" w:ascii="宋体" w:hAnsi="宋体" w:cs="宋体"/>
          <w:b/>
          <w:bCs/>
          <w:sz w:val="32"/>
          <w:szCs w:val="32"/>
        </w:rPr>
        <w:t>第五章  采购合同（合同主要条款及格式）</w:t>
      </w:r>
      <w:bookmarkEnd w:id="583"/>
      <w:bookmarkEnd w:id="590"/>
      <w:bookmarkEnd w:id="591"/>
      <w:bookmarkEnd w:id="592"/>
      <w:bookmarkEnd w:id="593"/>
      <w:bookmarkEnd w:id="594"/>
      <w:bookmarkEnd w:id="595"/>
      <w:bookmarkEnd w:id="596"/>
      <w:bookmarkEnd w:id="597"/>
      <w:bookmarkEnd w:id="598"/>
      <w:bookmarkEnd w:id="599"/>
      <w:bookmarkEnd w:id="600"/>
      <w:bookmarkEnd w:id="601"/>
    </w:p>
    <w:p w14:paraId="04CA3CA7">
      <w:pPr>
        <w:spacing w:line="380" w:lineRule="exact"/>
        <w:rPr>
          <w:rFonts w:hint="eastAsia" w:ascii="宋体" w:hAnsi="宋体" w:eastAsia="宋体" w:cs="宋体"/>
          <w:szCs w:val="21"/>
          <w:lang w:eastAsia="zh-CN"/>
        </w:rPr>
      </w:pPr>
      <w:r>
        <w:rPr>
          <w:rFonts w:hint="eastAsia" w:ascii="宋体" w:hAnsi="宋体" w:cs="宋体"/>
          <w:szCs w:val="21"/>
        </w:rPr>
        <w:t>项目名称：</w:t>
      </w:r>
      <w:r>
        <w:rPr>
          <w:rFonts w:hint="eastAsia" w:ascii="宋体" w:hAnsi="宋体" w:cs="宋体"/>
          <w:szCs w:val="21"/>
          <w:lang w:eastAsia="zh-CN"/>
        </w:rPr>
        <w:t>资源县教育局教学设备采购</w:t>
      </w:r>
    </w:p>
    <w:p w14:paraId="0C414802">
      <w:pPr>
        <w:spacing w:line="380" w:lineRule="exact"/>
        <w:rPr>
          <w:rFonts w:hint="eastAsia" w:ascii="宋体" w:hAnsi="宋体" w:eastAsia="宋体" w:cs="宋体"/>
          <w:szCs w:val="21"/>
          <w:lang w:eastAsia="zh-CN"/>
        </w:rPr>
      </w:pPr>
      <w:r>
        <w:rPr>
          <w:rFonts w:hint="eastAsia" w:ascii="宋体" w:hAnsi="宋体" w:cs="宋体"/>
          <w:szCs w:val="21"/>
        </w:rPr>
        <w:t>项目编号：</w:t>
      </w:r>
      <w:r>
        <w:rPr>
          <w:rFonts w:hint="eastAsia" w:ascii="宋体" w:hAnsi="宋体" w:cs="宋体"/>
          <w:szCs w:val="21"/>
          <w:lang w:eastAsia="zh-CN"/>
        </w:rPr>
        <w:t>GLZC2026-J1-290019-GLSZ</w:t>
      </w:r>
    </w:p>
    <w:p w14:paraId="4F17767B">
      <w:pPr>
        <w:tabs>
          <w:tab w:val="left" w:pos="8767"/>
        </w:tabs>
        <w:spacing w:line="380" w:lineRule="exact"/>
        <w:rPr>
          <w:rFonts w:hint="eastAsia" w:ascii="宋体" w:hAnsi="宋体" w:cs="宋体"/>
        </w:rPr>
      </w:pPr>
      <w:r>
        <w:rPr>
          <w:rFonts w:hint="eastAsia" w:ascii="宋体" w:hAnsi="宋体" w:cs="宋体"/>
        </w:rPr>
        <w:t>甲方：</w:t>
      </w:r>
      <w:r>
        <w:rPr>
          <w:rFonts w:hint="eastAsia" w:ascii="宋体" w:hAnsi="宋体" w:cs="宋体"/>
          <w:u w:val="single"/>
        </w:rPr>
        <w:t xml:space="preserve">                                     </w:t>
      </w:r>
      <w:r>
        <w:rPr>
          <w:rFonts w:hint="eastAsia" w:ascii="宋体" w:hAnsi="宋体" w:cs="宋体"/>
          <w:color w:val="000000"/>
          <w:u w:val="single"/>
        </w:rPr>
        <w:t xml:space="preserve"> </w:t>
      </w:r>
      <w:r>
        <w:rPr>
          <w:rFonts w:hint="eastAsia" w:ascii="宋体" w:hAnsi="宋体" w:cs="宋体"/>
          <w:u w:val="single"/>
        </w:rPr>
        <w:t xml:space="preserve">  </w:t>
      </w:r>
      <w:r>
        <w:rPr>
          <w:rFonts w:hint="eastAsia" w:ascii="宋体" w:hAnsi="宋体" w:cs="宋体"/>
        </w:rPr>
        <w:t>（采购人）</w:t>
      </w:r>
      <w:r>
        <w:rPr>
          <w:rFonts w:hint="eastAsia" w:ascii="宋体" w:hAnsi="宋体" w:cs="宋体"/>
        </w:rPr>
        <w:tab/>
      </w:r>
    </w:p>
    <w:p w14:paraId="0F3A08AF">
      <w:pPr>
        <w:spacing w:line="380" w:lineRule="exact"/>
        <w:rPr>
          <w:rFonts w:hint="eastAsia" w:ascii="宋体" w:hAnsi="宋体" w:cs="宋体"/>
        </w:rPr>
      </w:pPr>
      <w:r>
        <w:rPr>
          <w:rFonts w:hint="eastAsia" w:ascii="宋体" w:hAnsi="宋体" w:cs="宋体"/>
        </w:rPr>
        <w:t>乙方：</w:t>
      </w:r>
      <w:r>
        <w:rPr>
          <w:rFonts w:hint="eastAsia" w:ascii="宋体" w:hAnsi="宋体" w:cs="宋体"/>
          <w:u w:val="single"/>
        </w:rPr>
        <w:t xml:space="preserve">                                     </w:t>
      </w:r>
      <w:r>
        <w:rPr>
          <w:rFonts w:hint="eastAsia" w:ascii="宋体" w:hAnsi="宋体" w:cs="宋体"/>
        </w:rPr>
        <w:t>（成交供应商）</w:t>
      </w:r>
    </w:p>
    <w:p w14:paraId="208E8FB8">
      <w:pPr>
        <w:spacing w:line="380" w:lineRule="exact"/>
        <w:ind w:firstLine="420" w:firstLineChars="200"/>
        <w:rPr>
          <w:rFonts w:hint="eastAsia" w:ascii="宋体" w:hAnsi="宋体" w:cs="宋体"/>
        </w:rPr>
      </w:pPr>
      <w:r>
        <w:rPr>
          <w:rFonts w:hint="eastAsia" w:ascii="宋体" w:hAnsi="宋体" w:cs="宋体"/>
        </w:rPr>
        <w:t>根据《中华人民共和国政府采购法》《中华人民共和国政府采购法实施条例》《中华人民共和国民法典》等法律、法规规定，按照竞争性谈判文件（以下简称谈判文件）、响应文件规定条款和成交供应商的承诺、甲乙双方签订本采购合同。</w:t>
      </w:r>
    </w:p>
    <w:p w14:paraId="487B4236">
      <w:pPr>
        <w:pStyle w:val="4"/>
        <w:spacing w:line="380" w:lineRule="exact"/>
        <w:ind w:left="554" w:leftChars="194" w:hanging="147" w:hangingChars="70"/>
        <w:rPr>
          <w:rFonts w:hint="eastAsia" w:ascii="宋体" w:hAnsi="宋体" w:cs="宋体"/>
          <w:b/>
          <w:bCs w:val="0"/>
          <w:color w:val="auto"/>
          <w:sz w:val="21"/>
          <w:szCs w:val="21"/>
        </w:rPr>
      </w:pPr>
      <w:bookmarkStart w:id="602" w:name="_Toc10614"/>
      <w:bookmarkStart w:id="603" w:name="_Toc16019"/>
      <w:bookmarkStart w:id="604" w:name="_Toc12151"/>
      <w:bookmarkStart w:id="605" w:name="_Toc21389"/>
      <w:bookmarkStart w:id="606" w:name="_Toc21587"/>
      <w:bookmarkStart w:id="607" w:name="_Toc31695"/>
      <w:bookmarkStart w:id="608" w:name="_Toc13049"/>
      <w:bookmarkStart w:id="609" w:name="_Toc28049"/>
      <w:bookmarkStart w:id="610" w:name="_Toc13393"/>
      <w:bookmarkStart w:id="611" w:name="_Toc29742"/>
      <w:bookmarkStart w:id="612" w:name="_Toc5085"/>
      <w:bookmarkStart w:id="613" w:name="_Toc28931"/>
      <w:r>
        <w:rPr>
          <w:rFonts w:hint="eastAsia" w:ascii="宋体" w:hAnsi="宋体" w:cs="宋体"/>
          <w:b/>
          <w:bCs w:val="0"/>
          <w:color w:val="auto"/>
          <w:sz w:val="21"/>
          <w:szCs w:val="21"/>
        </w:rPr>
        <w:t>第一条</w:t>
      </w:r>
      <w:r>
        <w:rPr>
          <w:rFonts w:hint="eastAsia" w:ascii="宋体" w:hAnsi="宋体" w:cs="宋体"/>
          <w:b/>
          <w:bCs w:val="0"/>
          <w:color w:val="auto"/>
          <w:sz w:val="21"/>
          <w:szCs w:val="21"/>
          <w:lang w:val="en-US"/>
        </w:rPr>
        <w:t xml:space="preserve"> </w:t>
      </w:r>
      <w:r>
        <w:rPr>
          <w:rFonts w:hint="eastAsia" w:ascii="宋体" w:hAnsi="宋体" w:cs="宋体"/>
          <w:b/>
          <w:bCs w:val="0"/>
          <w:color w:val="auto"/>
          <w:sz w:val="21"/>
          <w:szCs w:val="21"/>
        </w:rPr>
        <w:t>合同标的及合同金额</w:t>
      </w:r>
      <w:bookmarkEnd w:id="602"/>
      <w:bookmarkEnd w:id="603"/>
      <w:bookmarkEnd w:id="604"/>
      <w:bookmarkEnd w:id="605"/>
      <w:bookmarkEnd w:id="606"/>
      <w:bookmarkEnd w:id="607"/>
      <w:bookmarkEnd w:id="608"/>
      <w:bookmarkEnd w:id="609"/>
      <w:bookmarkEnd w:id="610"/>
      <w:bookmarkEnd w:id="611"/>
      <w:bookmarkEnd w:id="612"/>
      <w:bookmarkEnd w:id="61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2"/>
        <w:gridCol w:w="1445"/>
        <w:gridCol w:w="1483"/>
        <w:gridCol w:w="1073"/>
        <w:gridCol w:w="714"/>
        <w:gridCol w:w="1545"/>
        <w:gridCol w:w="1575"/>
      </w:tblGrid>
      <w:tr w14:paraId="1C995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709" w:type="dxa"/>
            <w:shd w:val="clear" w:color="auto" w:fill="8DB3E2"/>
            <w:vAlign w:val="center"/>
          </w:tcPr>
          <w:p w14:paraId="1123357B">
            <w:pPr>
              <w:snapToGrid w:val="0"/>
              <w:spacing w:line="280" w:lineRule="exact"/>
              <w:jc w:val="center"/>
              <w:rPr>
                <w:rFonts w:ascii="宋体" w:hAnsi="宋体" w:cs="宋体"/>
                <w:b/>
                <w:szCs w:val="21"/>
              </w:rPr>
            </w:pPr>
            <w:r>
              <w:rPr>
                <w:rFonts w:hint="eastAsia" w:ascii="宋体" w:hAnsi="宋体" w:cs="宋体"/>
                <w:b/>
                <w:szCs w:val="21"/>
              </w:rPr>
              <w:t>项号</w:t>
            </w:r>
          </w:p>
        </w:tc>
        <w:tc>
          <w:tcPr>
            <w:tcW w:w="1232" w:type="dxa"/>
            <w:shd w:val="clear" w:color="auto" w:fill="8DB3E2"/>
            <w:vAlign w:val="center"/>
          </w:tcPr>
          <w:p w14:paraId="2B377F18">
            <w:pPr>
              <w:snapToGrid w:val="0"/>
              <w:spacing w:line="280" w:lineRule="exact"/>
              <w:jc w:val="center"/>
              <w:rPr>
                <w:rFonts w:ascii="宋体" w:hAnsi="宋体" w:cs="宋体"/>
                <w:b/>
                <w:szCs w:val="21"/>
              </w:rPr>
            </w:pPr>
            <w:r>
              <w:rPr>
                <w:rFonts w:hint="eastAsia" w:ascii="宋体" w:hAnsi="宋体" w:cs="宋体"/>
                <w:b/>
                <w:szCs w:val="21"/>
              </w:rPr>
              <w:t>标的名称</w:t>
            </w:r>
          </w:p>
        </w:tc>
        <w:tc>
          <w:tcPr>
            <w:tcW w:w="1445" w:type="dxa"/>
            <w:shd w:val="clear" w:color="auto" w:fill="8DB3E2"/>
            <w:vAlign w:val="center"/>
          </w:tcPr>
          <w:p w14:paraId="4149F580">
            <w:pPr>
              <w:snapToGrid w:val="0"/>
              <w:spacing w:line="280" w:lineRule="exact"/>
              <w:jc w:val="center"/>
              <w:rPr>
                <w:rFonts w:ascii="宋体" w:hAnsi="宋体" w:cs="宋体"/>
                <w:b/>
                <w:szCs w:val="21"/>
              </w:rPr>
            </w:pPr>
            <w:r>
              <w:rPr>
                <w:rFonts w:hint="eastAsia" w:ascii="宋体" w:hAnsi="宋体" w:cs="宋体"/>
                <w:b/>
                <w:szCs w:val="30"/>
              </w:rPr>
              <w:t>生产厂家、品牌、规格型号</w:t>
            </w:r>
          </w:p>
        </w:tc>
        <w:tc>
          <w:tcPr>
            <w:tcW w:w="1483" w:type="dxa"/>
            <w:shd w:val="clear" w:color="auto" w:fill="8DB3E2"/>
            <w:vAlign w:val="center"/>
          </w:tcPr>
          <w:p w14:paraId="61A1B420">
            <w:pPr>
              <w:snapToGrid w:val="0"/>
              <w:spacing w:line="280" w:lineRule="exact"/>
              <w:jc w:val="center"/>
              <w:rPr>
                <w:rFonts w:ascii="宋体" w:hAnsi="宋体" w:cs="宋体"/>
                <w:b/>
                <w:szCs w:val="21"/>
              </w:rPr>
            </w:pPr>
            <w:r>
              <w:rPr>
                <w:rFonts w:hint="eastAsia" w:ascii="宋体" w:hAnsi="宋体" w:cs="宋体"/>
                <w:b/>
                <w:szCs w:val="21"/>
              </w:rPr>
              <w:t>技术参数</w:t>
            </w:r>
          </w:p>
        </w:tc>
        <w:tc>
          <w:tcPr>
            <w:tcW w:w="1073" w:type="dxa"/>
            <w:shd w:val="clear" w:color="auto" w:fill="8DB3E2"/>
            <w:vAlign w:val="center"/>
          </w:tcPr>
          <w:p w14:paraId="5F00BFAF">
            <w:pPr>
              <w:snapToGrid w:val="0"/>
              <w:spacing w:line="280" w:lineRule="exact"/>
              <w:jc w:val="center"/>
              <w:rPr>
                <w:rFonts w:ascii="宋体" w:hAnsi="宋体" w:cs="宋体"/>
                <w:b/>
                <w:szCs w:val="21"/>
              </w:rPr>
            </w:pPr>
            <w:r>
              <w:rPr>
                <w:rFonts w:hint="eastAsia" w:ascii="宋体" w:hAnsi="宋体" w:cs="宋体"/>
                <w:b/>
                <w:szCs w:val="21"/>
              </w:rPr>
              <w:t>数量</w:t>
            </w:r>
          </w:p>
          <w:p w14:paraId="4C42504E">
            <w:pPr>
              <w:snapToGrid w:val="0"/>
              <w:spacing w:line="280" w:lineRule="exact"/>
              <w:jc w:val="center"/>
              <w:rPr>
                <w:rFonts w:ascii="宋体" w:hAnsi="宋体" w:cs="宋体"/>
                <w:b/>
                <w:szCs w:val="21"/>
              </w:rPr>
            </w:pPr>
            <w:r>
              <w:rPr>
                <w:rFonts w:hint="eastAsia" w:ascii="宋体" w:hAnsi="宋体" w:cs="宋体"/>
                <w:b/>
                <w:szCs w:val="21"/>
              </w:rPr>
              <w:t>①</w:t>
            </w:r>
          </w:p>
        </w:tc>
        <w:tc>
          <w:tcPr>
            <w:tcW w:w="714" w:type="dxa"/>
            <w:shd w:val="clear" w:color="auto" w:fill="8DB3E2"/>
            <w:vAlign w:val="center"/>
          </w:tcPr>
          <w:p w14:paraId="5316F06A">
            <w:pPr>
              <w:snapToGrid w:val="0"/>
              <w:spacing w:line="280" w:lineRule="exact"/>
              <w:jc w:val="center"/>
              <w:rPr>
                <w:rFonts w:ascii="宋体" w:hAnsi="宋体" w:cs="宋体"/>
                <w:b/>
                <w:szCs w:val="21"/>
              </w:rPr>
            </w:pPr>
            <w:r>
              <w:rPr>
                <w:rFonts w:hint="eastAsia" w:ascii="宋体" w:hAnsi="宋体" w:cs="宋体"/>
                <w:b/>
                <w:szCs w:val="21"/>
              </w:rPr>
              <w:t>单位</w:t>
            </w:r>
          </w:p>
        </w:tc>
        <w:tc>
          <w:tcPr>
            <w:tcW w:w="1545" w:type="dxa"/>
            <w:shd w:val="clear" w:color="auto" w:fill="8DB3E2"/>
            <w:vAlign w:val="center"/>
          </w:tcPr>
          <w:p w14:paraId="00CE0F74">
            <w:pPr>
              <w:snapToGrid w:val="0"/>
              <w:spacing w:line="280" w:lineRule="exact"/>
              <w:jc w:val="center"/>
              <w:rPr>
                <w:rFonts w:ascii="宋体" w:hAnsi="宋体" w:cs="宋体"/>
                <w:b/>
                <w:szCs w:val="21"/>
              </w:rPr>
            </w:pPr>
            <w:r>
              <w:rPr>
                <w:rFonts w:hint="eastAsia" w:ascii="宋体" w:hAnsi="宋体" w:cs="宋体"/>
                <w:b/>
                <w:szCs w:val="21"/>
              </w:rPr>
              <w:t>单价（元）</w:t>
            </w:r>
          </w:p>
          <w:p w14:paraId="26E62780">
            <w:pPr>
              <w:snapToGrid w:val="0"/>
              <w:spacing w:line="280" w:lineRule="exact"/>
              <w:jc w:val="center"/>
              <w:rPr>
                <w:rFonts w:ascii="宋体" w:hAnsi="宋体" w:cs="宋体"/>
                <w:b/>
                <w:szCs w:val="21"/>
              </w:rPr>
            </w:pPr>
            <w:r>
              <w:rPr>
                <w:rFonts w:hint="eastAsia" w:ascii="宋体" w:hAnsi="宋体" w:cs="宋体"/>
                <w:b/>
                <w:szCs w:val="21"/>
              </w:rPr>
              <w:t>②</w:t>
            </w:r>
          </w:p>
        </w:tc>
        <w:tc>
          <w:tcPr>
            <w:tcW w:w="1575" w:type="dxa"/>
            <w:shd w:val="clear" w:color="auto" w:fill="8DB3E2"/>
            <w:vAlign w:val="center"/>
          </w:tcPr>
          <w:p w14:paraId="38D81B20">
            <w:pPr>
              <w:snapToGrid w:val="0"/>
              <w:spacing w:line="280" w:lineRule="exact"/>
              <w:jc w:val="center"/>
              <w:rPr>
                <w:rFonts w:ascii="宋体" w:hAnsi="宋体" w:cs="宋体"/>
                <w:b/>
                <w:szCs w:val="21"/>
              </w:rPr>
            </w:pPr>
            <w:r>
              <w:rPr>
                <w:rFonts w:hint="eastAsia" w:ascii="宋体" w:hAnsi="宋体" w:cs="宋体"/>
                <w:b/>
                <w:szCs w:val="21"/>
              </w:rPr>
              <w:t>单项合计金额（元）</w:t>
            </w:r>
          </w:p>
          <w:p w14:paraId="7C4F4A58">
            <w:pPr>
              <w:snapToGrid w:val="0"/>
              <w:spacing w:line="280" w:lineRule="exact"/>
              <w:jc w:val="center"/>
              <w:rPr>
                <w:rFonts w:ascii="宋体" w:hAnsi="宋体" w:cs="宋体"/>
                <w:b/>
                <w:szCs w:val="21"/>
              </w:rPr>
            </w:pPr>
            <w:r>
              <w:rPr>
                <w:rFonts w:hint="eastAsia" w:ascii="宋体" w:hAnsi="宋体" w:cs="宋体"/>
                <w:b/>
                <w:szCs w:val="21"/>
              </w:rPr>
              <w:t>③＝①</w:t>
            </w:r>
            <w:r>
              <w:rPr>
                <w:rFonts w:hint="eastAsia" w:ascii="宋体" w:hAnsi="宋体" w:cs="宋体"/>
                <w:b/>
                <w:szCs w:val="21"/>
                <w:lang w:eastAsia="zh-CN"/>
              </w:rPr>
              <w:t>×</w:t>
            </w:r>
            <w:r>
              <w:rPr>
                <w:rFonts w:hint="eastAsia" w:ascii="宋体" w:hAnsi="宋体" w:cs="宋体"/>
                <w:b/>
                <w:szCs w:val="21"/>
              </w:rPr>
              <w:t>②</w:t>
            </w:r>
          </w:p>
        </w:tc>
      </w:tr>
      <w:tr w14:paraId="59068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48B68A02">
            <w:pPr>
              <w:snapToGrid w:val="0"/>
              <w:spacing w:line="400" w:lineRule="exact"/>
              <w:jc w:val="center"/>
              <w:rPr>
                <w:rFonts w:ascii="宋体" w:hAnsi="宋体" w:cs="宋体"/>
                <w:szCs w:val="21"/>
              </w:rPr>
            </w:pPr>
            <w:r>
              <w:rPr>
                <w:rFonts w:hint="eastAsia" w:ascii="宋体" w:hAnsi="宋体" w:cs="宋体"/>
                <w:szCs w:val="21"/>
              </w:rPr>
              <w:t>1</w:t>
            </w:r>
          </w:p>
        </w:tc>
        <w:tc>
          <w:tcPr>
            <w:tcW w:w="1232" w:type="dxa"/>
            <w:vAlign w:val="center"/>
          </w:tcPr>
          <w:p w14:paraId="6EEDBB6A">
            <w:pPr>
              <w:snapToGrid w:val="0"/>
              <w:spacing w:line="400" w:lineRule="exact"/>
              <w:jc w:val="center"/>
              <w:rPr>
                <w:rFonts w:ascii="宋体" w:hAnsi="宋体" w:cs="宋体"/>
                <w:szCs w:val="21"/>
              </w:rPr>
            </w:pPr>
          </w:p>
        </w:tc>
        <w:tc>
          <w:tcPr>
            <w:tcW w:w="1445" w:type="dxa"/>
            <w:vAlign w:val="center"/>
          </w:tcPr>
          <w:p w14:paraId="1BFD7564">
            <w:pPr>
              <w:snapToGrid w:val="0"/>
              <w:spacing w:line="400" w:lineRule="exact"/>
              <w:jc w:val="center"/>
              <w:rPr>
                <w:rFonts w:ascii="宋体" w:hAnsi="宋体" w:cs="宋体"/>
                <w:szCs w:val="21"/>
              </w:rPr>
            </w:pPr>
          </w:p>
        </w:tc>
        <w:tc>
          <w:tcPr>
            <w:tcW w:w="1483" w:type="dxa"/>
            <w:vAlign w:val="center"/>
          </w:tcPr>
          <w:p w14:paraId="7C81890C">
            <w:pPr>
              <w:snapToGrid w:val="0"/>
              <w:spacing w:line="400" w:lineRule="exact"/>
              <w:jc w:val="center"/>
              <w:rPr>
                <w:rFonts w:ascii="宋体" w:hAnsi="宋体" w:cs="宋体"/>
                <w:szCs w:val="21"/>
              </w:rPr>
            </w:pPr>
          </w:p>
        </w:tc>
        <w:tc>
          <w:tcPr>
            <w:tcW w:w="1073" w:type="dxa"/>
            <w:vAlign w:val="center"/>
          </w:tcPr>
          <w:p w14:paraId="7C088202">
            <w:pPr>
              <w:snapToGrid w:val="0"/>
              <w:spacing w:line="400" w:lineRule="exact"/>
              <w:jc w:val="center"/>
              <w:rPr>
                <w:rFonts w:ascii="宋体" w:hAnsi="宋体" w:cs="宋体"/>
                <w:szCs w:val="21"/>
              </w:rPr>
            </w:pPr>
          </w:p>
        </w:tc>
        <w:tc>
          <w:tcPr>
            <w:tcW w:w="714" w:type="dxa"/>
            <w:vAlign w:val="center"/>
          </w:tcPr>
          <w:p w14:paraId="6C4594D3">
            <w:pPr>
              <w:snapToGrid w:val="0"/>
              <w:spacing w:line="400" w:lineRule="exact"/>
              <w:jc w:val="center"/>
              <w:rPr>
                <w:rFonts w:ascii="宋体" w:hAnsi="宋体" w:cs="宋体"/>
                <w:szCs w:val="21"/>
              </w:rPr>
            </w:pPr>
          </w:p>
        </w:tc>
        <w:tc>
          <w:tcPr>
            <w:tcW w:w="1545" w:type="dxa"/>
            <w:vAlign w:val="center"/>
          </w:tcPr>
          <w:p w14:paraId="07553FD6">
            <w:pPr>
              <w:snapToGrid w:val="0"/>
              <w:spacing w:line="400" w:lineRule="exact"/>
              <w:jc w:val="center"/>
              <w:rPr>
                <w:rFonts w:ascii="宋体" w:hAnsi="宋体" w:cs="宋体"/>
                <w:szCs w:val="21"/>
              </w:rPr>
            </w:pPr>
          </w:p>
        </w:tc>
        <w:tc>
          <w:tcPr>
            <w:tcW w:w="1575" w:type="dxa"/>
            <w:vAlign w:val="center"/>
          </w:tcPr>
          <w:p w14:paraId="581F0949">
            <w:pPr>
              <w:snapToGrid w:val="0"/>
              <w:spacing w:line="400" w:lineRule="exact"/>
              <w:jc w:val="center"/>
              <w:rPr>
                <w:rFonts w:ascii="宋体" w:hAnsi="宋体" w:cs="宋体"/>
                <w:szCs w:val="21"/>
              </w:rPr>
            </w:pPr>
          </w:p>
        </w:tc>
      </w:tr>
      <w:tr w14:paraId="66CB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65B746FA">
            <w:pPr>
              <w:snapToGrid w:val="0"/>
              <w:spacing w:line="400" w:lineRule="exact"/>
              <w:jc w:val="center"/>
              <w:rPr>
                <w:rFonts w:ascii="宋体" w:hAnsi="宋体" w:cs="宋体"/>
                <w:szCs w:val="21"/>
              </w:rPr>
            </w:pPr>
            <w:r>
              <w:rPr>
                <w:rFonts w:hint="eastAsia" w:ascii="宋体" w:hAnsi="宋体" w:cs="宋体"/>
                <w:szCs w:val="21"/>
              </w:rPr>
              <w:t>2</w:t>
            </w:r>
          </w:p>
        </w:tc>
        <w:tc>
          <w:tcPr>
            <w:tcW w:w="1232" w:type="dxa"/>
            <w:vAlign w:val="center"/>
          </w:tcPr>
          <w:p w14:paraId="358E34D5">
            <w:pPr>
              <w:snapToGrid w:val="0"/>
              <w:spacing w:line="400" w:lineRule="exact"/>
              <w:jc w:val="center"/>
              <w:rPr>
                <w:rFonts w:ascii="宋体" w:hAnsi="宋体" w:cs="宋体"/>
                <w:szCs w:val="21"/>
              </w:rPr>
            </w:pPr>
          </w:p>
        </w:tc>
        <w:tc>
          <w:tcPr>
            <w:tcW w:w="1445" w:type="dxa"/>
            <w:vAlign w:val="center"/>
          </w:tcPr>
          <w:p w14:paraId="66D9B2B6">
            <w:pPr>
              <w:snapToGrid w:val="0"/>
              <w:spacing w:line="400" w:lineRule="exact"/>
              <w:jc w:val="center"/>
              <w:rPr>
                <w:rFonts w:ascii="宋体" w:hAnsi="宋体" w:cs="宋体"/>
                <w:szCs w:val="21"/>
              </w:rPr>
            </w:pPr>
          </w:p>
        </w:tc>
        <w:tc>
          <w:tcPr>
            <w:tcW w:w="1483" w:type="dxa"/>
            <w:vAlign w:val="center"/>
          </w:tcPr>
          <w:p w14:paraId="5B1792DF">
            <w:pPr>
              <w:snapToGrid w:val="0"/>
              <w:spacing w:line="400" w:lineRule="exact"/>
              <w:jc w:val="center"/>
              <w:rPr>
                <w:rFonts w:ascii="宋体" w:hAnsi="宋体" w:cs="宋体"/>
                <w:szCs w:val="21"/>
              </w:rPr>
            </w:pPr>
          </w:p>
        </w:tc>
        <w:tc>
          <w:tcPr>
            <w:tcW w:w="1073" w:type="dxa"/>
            <w:vAlign w:val="center"/>
          </w:tcPr>
          <w:p w14:paraId="4A26EB08">
            <w:pPr>
              <w:snapToGrid w:val="0"/>
              <w:spacing w:line="400" w:lineRule="exact"/>
              <w:jc w:val="center"/>
              <w:rPr>
                <w:rFonts w:ascii="宋体" w:hAnsi="宋体" w:cs="宋体"/>
                <w:szCs w:val="21"/>
              </w:rPr>
            </w:pPr>
          </w:p>
        </w:tc>
        <w:tc>
          <w:tcPr>
            <w:tcW w:w="714" w:type="dxa"/>
            <w:vAlign w:val="center"/>
          </w:tcPr>
          <w:p w14:paraId="337028CB">
            <w:pPr>
              <w:snapToGrid w:val="0"/>
              <w:spacing w:line="400" w:lineRule="exact"/>
              <w:jc w:val="center"/>
              <w:rPr>
                <w:rFonts w:ascii="宋体" w:hAnsi="宋体" w:cs="宋体"/>
                <w:szCs w:val="21"/>
              </w:rPr>
            </w:pPr>
          </w:p>
        </w:tc>
        <w:tc>
          <w:tcPr>
            <w:tcW w:w="1545" w:type="dxa"/>
            <w:vAlign w:val="center"/>
          </w:tcPr>
          <w:p w14:paraId="69D08846">
            <w:pPr>
              <w:snapToGrid w:val="0"/>
              <w:spacing w:line="400" w:lineRule="exact"/>
              <w:jc w:val="center"/>
              <w:rPr>
                <w:rFonts w:ascii="宋体" w:hAnsi="宋体" w:cs="宋体"/>
                <w:szCs w:val="21"/>
              </w:rPr>
            </w:pPr>
          </w:p>
        </w:tc>
        <w:tc>
          <w:tcPr>
            <w:tcW w:w="1575" w:type="dxa"/>
            <w:vAlign w:val="center"/>
          </w:tcPr>
          <w:p w14:paraId="348E2037">
            <w:pPr>
              <w:snapToGrid w:val="0"/>
              <w:spacing w:line="400" w:lineRule="exact"/>
              <w:jc w:val="center"/>
              <w:rPr>
                <w:rFonts w:ascii="宋体" w:hAnsi="宋体" w:cs="宋体"/>
                <w:szCs w:val="21"/>
              </w:rPr>
            </w:pPr>
          </w:p>
        </w:tc>
      </w:tr>
      <w:tr w14:paraId="5F98F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09" w:type="dxa"/>
            <w:vAlign w:val="center"/>
          </w:tcPr>
          <w:p w14:paraId="5F252938">
            <w:pPr>
              <w:snapToGrid w:val="0"/>
              <w:spacing w:line="400" w:lineRule="exact"/>
              <w:jc w:val="center"/>
              <w:rPr>
                <w:rFonts w:ascii="宋体" w:hAnsi="宋体" w:cs="宋体"/>
                <w:szCs w:val="21"/>
              </w:rPr>
            </w:pPr>
            <w:r>
              <w:rPr>
                <w:rFonts w:hint="eastAsia" w:ascii="宋体" w:hAnsi="宋体" w:cs="宋体"/>
                <w:szCs w:val="21"/>
              </w:rPr>
              <w:t>…</w:t>
            </w:r>
          </w:p>
        </w:tc>
        <w:tc>
          <w:tcPr>
            <w:tcW w:w="1232" w:type="dxa"/>
            <w:vAlign w:val="center"/>
          </w:tcPr>
          <w:p w14:paraId="37D47CAE">
            <w:pPr>
              <w:snapToGrid w:val="0"/>
              <w:spacing w:line="400" w:lineRule="exact"/>
              <w:jc w:val="center"/>
              <w:rPr>
                <w:rFonts w:ascii="宋体" w:hAnsi="宋体" w:cs="宋体"/>
                <w:szCs w:val="21"/>
              </w:rPr>
            </w:pPr>
          </w:p>
        </w:tc>
        <w:tc>
          <w:tcPr>
            <w:tcW w:w="1445" w:type="dxa"/>
            <w:vAlign w:val="center"/>
          </w:tcPr>
          <w:p w14:paraId="0FC9001A">
            <w:pPr>
              <w:snapToGrid w:val="0"/>
              <w:spacing w:line="400" w:lineRule="exact"/>
              <w:jc w:val="center"/>
              <w:rPr>
                <w:rFonts w:ascii="宋体" w:hAnsi="宋体" w:cs="宋体"/>
                <w:szCs w:val="21"/>
              </w:rPr>
            </w:pPr>
          </w:p>
        </w:tc>
        <w:tc>
          <w:tcPr>
            <w:tcW w:w="1483" w:type="dxa"/>
            <w:vAlign w:val="center"/>
          </w:tcPr>
          <w:p w14:paraId="5FBBC32A">
            <w:pPr>
              <w:snapToGrid w:val="0"/>
              <w:spacing w:line="400" w:lineRule="exact"/>
              <w:jc w:val="center"/>
              <w:rPr>
                <w:rFonts w:ascii="宋体" w:hAnsi="宋体" w:cs="宋体"/>
                <w:szCs w:val="21"/>
              </w:rPr>
            </w:pPr>
          </w:p>
        </w:tc>
        <w:tc>
          <w:tcPr>
            <w:tcW w:w="1073" w:type="dxa"/>
            <w:vAlign w:val="center"/>
          </w:tcPr>
          <w:p w14:paraId="14F0CED8">
            <w:pPr>
              <w:snapToGrid w:val="0"/>
              <w:spacing w:line="400" w:lineRule="exact"/>
              <w:jc w:val="center"/>
              <w:rPr>
                <w:rFonts w:ascii="宋体" w:hAnsi="宋体" w:cs="宋体"/>
                <w:szCs w:val="21"/>
              </w:rPr>
            </w:pPr>
          </w:p>
        </w:tc>
        <w:tc>
          <w:tcPr>
            <w:tcW w:w="714" w:type="dxa"/>
            <w:vAlign w:val="center"/>
          </w:tcPr>
          <w:p w14:paraId="2FCA767E">
            <w:pPr>
              <w:snapToGrid w:val="0"/>
              <w:spacing w:line="400" w:lineRule="exact"/>
              <w:jc w:val="center"/>
              <w:rPr>
                <w:rFonts w:ascii="宋体" w:hAnsi="宋体" w:cs="宋体"/>
                <w:szCs w:val="21"/>
              </w:rPr>
            </w:pPr>
          </w:p>
        </w:tc>
        <w:tc>
          <w:tcPr>
            <w:tcW w:w="1545" w:type="dxa"/>
            <w:vAlign w:val="center"/>
          </w:tcPr>
          <w:p w14:paraId="02DEF601">
            <w:pPr>
              <w:snapToGrid w:val="0"/>
              <w:spacing w:line="400" w:lineRule="exact"/>
              <w:jc w:val="center"/>
              <w:rPr>
                <w:rFonts w:ascii="宋体" w:hAnsi="宋体" w:cs="宋体"/>
                <w:szCs w:val="21"/>
              </w:rPr>
            </w:pPr>
          </w:p>
        </w:tc>
        <w:tc>
          <w:tcPr>
            <w:tcW w:w="1575" w:type="dxa"/>
            <w:vAlign w:val="center"/>
          </w:tcPr>
          <w:p w14:paraId="1D480B47">
            <w:pPr>
              <w:snapToGrid w:val="0"/>
              <w:spacing w:line="400" w:lineRule="exact"/>
              <w:jc w:val="center"/>
              <w:rPr>
                <w:rFonts w:ascii="宋体" w:hAnsi="宋体" w:cs="宋体"/>
                <w:szCs w:val="21"/>
              </w:rPr>
            </w:pPr>
          </w:p>
        </w:tc>
      </w:tr>
      <w:tr w14:paraId="4A9C5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8201" w:type="dxa"/>
            <w:gridSpan w:val="7"/>
            <w:vAlign w:val="center"/>
          </w:tcPr>
          <w:p w14:paraId="52F973CE">
            <w:pPr>
              <w:snapToGrid w:val="0"/>
              <w:spacing w:line="400" w:lineRule="exact"/>
              <w:rPr>
                <w:rFonts w:ascii="宋体" w:hAnsi="宋体" w:cs="宋体"/>
                <w:szCs w:val="21"/>
              </w:rPr>
            </w:pPr>
            <w:r>
              <w:rPr>
                <w:rFonts w:hint="eastAsia" w:ascii="宋体" w:hAnsi="宋体" w:cs="宋体"/>
                <w:szCs w:val="21"/>
              </w:rPr>
              <w:t xml:space="preserve">                                                               合     计</w:t>
            </w:r>
          </w:p>
        </w:tc>
        <w:tc>
          <w:tcPr>
            <w:tcW w:w="1575" w:type="dxa"/>
            <w:vAlign w:val="center"/>
          </w:tcPr>
          <w:p w14:paraId="2F380E51">
            <w:pPr>
              <w:snapToGrid w:val="0"/>
              <w:spacing w:line="400" w:lineRule="exact"/>
              <w:rPr>
                <w:rFonts w:ascii="宋体" w:hAnsi="宋体" w:cs="宋体"/>
                <w:szCs w:val="21"/>
              </w:rPr>
            </w:pPr>
          </w:p>
        </w:tc>
      </w:tr>
    </w:tbl>
    <w:p w14:paraId="08DBF734">
      <w:pPr>
        <w:spacing w:line="380" w:lineRule="exact"/>
        <w:ind w:firstLine="411" w:firstLineChars="196"/>
        <w:rPr>
          <w:rFonts w:hint="eastAsia" w:ascii="宋体" w:hAnsi="宋体" w:cs="宋体"/>
          <w:szCs w:val="21"/>
        </w:rPr>
      </w:pPr>
      <w:r>
        <w:rPr>
          <w:rFonts w:hint="eastAsia" w:ascii="宋体" w:hAnsi="宋体" w:cs="宋体"/>
          <w:szCs w:val="21"/>
        </w:rPr>
        <w:t>根据《成交通知书》的成交内容，合同的总金额为：</w:t>
      </w:r>
      <w:r>
        <w:rPr>
          <w:rFonts w:hint="eastAsia" w:ascii="宋体" w:hAnsi="宋体" w:cs="宋体"/>
          <w:szCs w:val="21"/>
          <w:u w:val="single"/>
        </w:rPr>
        <w:t xml:space="preserve">人民币 （大写）       </w:t>
      </w:r>
      <w:r>
        <w:rPr>
          <w:rFonts w:hint="eastAsia" w:ascii="宋体" w:hAnsi="宋体" w:cs="宋体"/>
          <w:szCs w:val="21"/>
        </w:rPr>
        <w:t>（¥：</w:t>
      </w:r>
      <w:r>
        <w:rPr>
          <w:rFonts w:hint="eastAsia" w:ascii="宋体" w:hAnsi="宋体" w:cs="宋体"/>
          <w:szCs w:val="21"/>
          <w:u w:val="single"/>
        </w:rPr>
        <w:t>（小写）       元</w:t>
      </w:r>
      <w:r>
        <w:rPr>
          <w:rFonts w:hint="eastAsia" w:ascii="宋体" w:hAnsi="宋体" w:cs="宋体"/>
          <w:szCs w:val="21"/>
        </w:rPr>
        <w:t>）。</w:t>
      </w:r>
    </w:p>
    <w:p w14:paraId="59A0AFB8">
      <w:pPr>
        <w:spacing w:line="400" w:lineRule="exact"/>
        <w:ind w:firstLine="411" w:firstLineChars="196"/>
        <w:outlineLvl w:val="1"/>
        <w:rPr>
          <w:rFonts w:ascii="宋体" w:hAnsi="宋体" w:cs="宋体"/>
          <w:b/>
          <w:szCs w:val="21"/>
        </w:rPr>
      </w:pPr>
      <w:bookmarkStart w:id="614" w:name="_Toc6841"/>
      <w:bookmarkStart w:id="615" w:name="_Toc15939"/>
      <w:bookmarkStart w:id="616" w:name="_Toc12330"/>
      <w:bookmarkStart w:id="617" w:name="_Toc19435"/>
      <w:bookmarkStart w:id="618" w:name="_Toc31851"/>
      <w:bookmarkStart w:id="619" w:name="_Toc15874"/>
      <w:bookmarkStart w:id="620" w:name="_Toc32426"/>
      <w:bookmarkStart w:id="621" w:name="_Toc1690"/>
      <w:bookmarkStart w:id="622" w:name="_Toc14635"/>
      <w:bookmarkStart w:id="623" w:name="_Toc13560"/>
      <w:bookmarkStart w:id="624" w:name="_Toc495841769"/>
      <w:bookmarkStart w:id="625" w:name="_Toc27091"/>
      <w:bookmarkStart w:id="626" w:name="_Toc18423"/>
      <w:bookmarkStart w:id="627" w:name="_Toc30418"/>
      <w:bookmarkStart w:id="628" w:name="_Toc31579"/>
      <w:bookmarkStart w:id="629" w:name="_Toc23870"/>
      <w:bookmarkStart w:id="630" w:name="_Toc6786"/>
      <w:bookmarkStart w:id="631" w:name="_Toc20835"/>
      <w:bookmarkStart w:id="632" w:name="_Toc15249"/>
      <w:bookmarkStart w:id="633" w:name="_Toc4692"/>
      <w:bookmarkStart w:id="634" w:name="_Toc23348"/>
      <w:bookmarkStart w:id="635" w:name="_Toc11773"/>
      <w:bookmarkStart w:id="636" w:name="_Toc15633"/>
      <w:bookmarkStart w:id="637" w:name="_Toc23736"/>
      <w:bookmarkStart w:id="638" w:name="_Toc13833"/>
      <w:bookmarkStart w:id="639" w:name="_Toc27721"/>
      <w:bookmarkStart w:id="640" w:name="_Toc23816"/>
      <w:bookmarkStart w:id="641" w:name="_Toc11830"/>
      <w:bookmarkStart w:id="642" w:name="_Toc20020"/>
      <w:bookmarkStart w:id="643" w:name="_Toc495841772"/>
      <w:r>
        <w:rPr>
          <w:rFonts w:hint="eastAsia" w:ascii="宋体" w:hAnsi="宋体" w:cs="宋体"/>
          <w:b/>
          <w:szCs w:val="21"/>
        </w:rPr>
        <w:t>第二条  质量保证</w:t>
      </w:r>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p>
    <w:p w14:paraId="3EE5E183">
      <w:pPr>
        <w:spacing w:line="400" w:lineRule="exact"/>
        <w:ind w:firstLine="411" w:firstLineChars="196"/>
        <w:rPr>
          <w:rFonts w:ascii="宋体" w:hAnsi="宋体" w:cs="宋体"/>
          <w:szCs w:val="21"/>
        </w:rPr>
      </w:pPr>
      <w:r>
        <w:rPr>
          <w:rFonts w:hint="eastAsia" w:ascii="宋体" w:hAnsi="宋体" w:cs="宋体"/>
          <w:szCs w:val="21"/>
        </w:rPr>
        <w:t>1.乙方应按投标文件承诺的货物规格型号、技术参数、质量标准等向甲方提供未经使用的全新原装产品，且在正常安装使用和保养条件下，其使用寿命期内各项指标均达到质量标准。</w:t>
      </w:r>
    </w:p>
    <w:p w14:paraId="2FCCE274">
      <w:pPr>
        <w:spacing w:line="400" w:lineRule="exact"/>
        <w:ind w:firstLine="435"/>
        <w:rPr>
          <w:rFonts w:ascii="宋体" w:hAnsi="宋体" w:cs="宋体"/>
          <w:szCs w:val="21"/>
        </w:rPr>
      </w:pPr>
      <w:r>
        <w:rPr>
          <w:rFonts w:hint="eastAsia" w:ascii="宋体" w:hAnsi="宋体" w:cs="宋体"/>
          <w:szCs w:val="21"/>
        </w:rPr>
        <w:t>2.乙方提供货物的质量保证期为</w:t>
      </w:r>
      <w:r>
        <w:rPr>
          <w:rFonts w:hint="eastAsia" w:ascii="宋体" w:hAnsi="宋体" w:cs="宋体"/>
          <w:szCs w:val="21"/>
          <w:u w:val="single"/>
        </w:rPr>
        <w:t xml:space="preserve">     </w:t>
      </w:r>
      <w:r>
        <w:rPr>
          <w:rFonts w:hint="eastAsia" w:ascii="宋体" w:hAnsi="宋体" w:cs="宋体"/>
          <w:szCs w:val="21"/>
        </w:rPr>
        <w:t>（厂家规定质保期超过一年的，按厂家规定，“采购需求”有规定的，按规定执行）。在质保期内因货物本身的质量问题发生故障，乙方应负责免费修理和更换零部件。对达不到技术要求者，根据实际情况，经双方协商，可按以下第（1）款办法处理：</w:t>
      </w:r>
    </w:p>
    <w:p w14:paraId="0701A1D6">
      <w:pPr>
        <w:spacing w:line="400" w:lineRule="exact"/>
        <w:ind w:firstLine="435"/>
        <w:rPr>
          <w:rFonts w:ascii="宋体" w:hAnsi="宋体" w:cs="宋体"/>
          <w:szCs w:val="21"/>
        </w:rPr>
      </w:pPr>
      <w:r>
        <w:rPr>
          <w:rFonts w:hint="eastAsia" w:ascii="宋体" w:hAnsi="宋体" w:cs="宋体"/>
          <w:szCs w:val="21"/>
        </w:rPr>
        <w:t>（1）更换：由乙方承担所有发生的全部费用。</w:t>
      </w:r>
    </w:p>
    <w:p w14:paraId="37DCDBD3">
      <w:pPr>
        <w:spacing w:line="400" w:lineRule="exact"/>
        <w:ind w:firstLine="420" w:firstLineChars="200"/>
        <w:rPr>
          <w:rFonts w:ascii="宋体" w:hAnsi="宋体" w:cs="宋体"/>
          <w:szCs w:val="21"/>
        </w:rPr>
      </w:pPr>
      <w:r>
        <w:rPr>
          <w:rFonts w:hint="eastAsia" w:ascii="宋体" w:hAnsi="宋体" w:cs="宋体"/>
          <w:szCs w:val="21"/>
        </w:rPr>
        <w:t>（2）贬值处理：由甲乙双方合议定价。</w:t>
      </w:r>
    </w:p>
    <w:p w14:paraId="40F47269">
      <w:pPr>
        <w:spacing w:line="400" w:lineRule="exact"/>
        <w:ind w:firstLine="420" w:firstLineChars="200"/>
        <w:rPr>
          <w:rFonts w:ascii="宋体" w:hAnsi="宋体" w:cs="宋体"/>
          <w:szCs w:val="21"/>
        </w:rPr>
      </w:pPr>
      <w:r>
        <w:rPr>
          <w:rFonts w:hint="eastAsia" w:ascii="宋体" w:hAnsi="宋体" w:cs="宋体"/>
          <w:szCs w:val="21"/>
        </w:rPr>
        <w:t>（3）退货处理：乙方应退还甲方支付的合同款，同时应承担该货物的直接费用（运输、保险、检验、贷款利息及银行手续费等）。</w:t>
      </w:r>
    </w:p>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14:paraId="448690E4">
      <w:pPr>
        <w:spacing w:line="400" w:lineRule="exact"/>
        <w:ind w:firstLine="411" w:firstLineChars="196"/>
        <w:outlineLvl w:val="1"/>
        <w:rPr>
          <w:rFonts w:ascii="宋体" w:hAnsi="宋体" w:cs="宋体"/>
          <w:b/>
          <w:szCs w:val="21"/>
        </w:rPr>
      </w:pPr>
      <w:bookmarkStart w:id="644" w:name="_Toc16341"/>
      <w:bookmarkStart w:id="645" w:name="_Toc13729"/>
      <w:bookmarkStart w:id="646" w:name="_Toc26784"/>
      <w:bookmarkStart w:id="647" w:name="_Toc495841770"/>
      <w:bookmarkStart w:id="648" w:name="_Toc18076"/>
      <w:bookmarkStart w:id="649" w:name="_Toc28469"/>
      <w:bookmarkStart w:id="650" w:name="_Toc28745"/>
      <w:bookmarkStart w:id="651" w:name="_Toc12962"/>
      <w:bookmarkStart w:id="652" w:name="_Toc8883"/>
      <w:bookmarkStart w:id="653" w:name="_Toc8191"/>
      <w:bookmarkStart w:id="654" w:name="_Toc19396"/>
      <w:bookmarkStart w:id="655" w:name="_Toc4456"/>
      <w:bookmarkStart w:id="656" w:name="_Toc26643"/>
      <w:bookmarkStart w:id="657" w:name="_Toc5104"/>
      <w:bookmarkStart w:id="658" w:name="_Toc17443"/>
      <w:bookmarkStart w:id="659" w:name="_Toc22527"/>
      <w:bookmarkStart w:id="660" w:name="_Toc24161"/>
      <w:bookmarkStart w:id="661" w:name="_Toc9270"/>
      <w:bookmarkStart w:id="662" w:name="_Toc29168"/>
      <w:bookmarkStart w:id="663" w:name="_Toc19392"/>
      <w:bookmarkStart w:id="664" w:name="_Toc1104"/>
      <w:bookmarkStart w:id="665" w:name="_Toc19042"/>
      <w:bookmarkStart w:id="666" w:name="_Toc495841778"/>
      <w:bookmarkStart w:id="667" w:name="_Toc31045"/>
      <w:bookmarkStart w:id="668" w:name="_Toc2830"/>
      <w:bookmarkStart w:id="669" w:name="_Toc9369"/>
      <w:bookmarkStart w:id="670" w:name="_Toc16945"/>
      <w:bookmarkStart w:id="671" w:name="_Toc9311"/>
      <w:bookmarkStart w:id="672" w:name="_Toc23778"/>
      <w:bookmarkStart w:id="673" w:name="_Toc20654"/>
      <w:bookmarkStart w:id="674" w:name="_Toc18880"/>
      <w:r>
        <w:rPr>
          <w:rFonts w:hint="eastAsia" w:ascii="宋体" w:hAnsi="宋体" w:cs="宋体"/>
          <w:b/>
          <w:szCs w:val="21"/>
        </w:rPr>
        <w:t>第三条  权利保证</w:t>
      </w:r>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4D3E471E">
      <w:pPr>
        <w:spacing w:line="400" w:lineRule="exact"/>
        <w:ind w:firstLine="411" w:firstLineChars="196"/>
        <w:rPr>
          <w:rFonts w:ascii="宋体" w:hAnsi="宋体" w:cs="宋体"/>
          <w:szCs w:val="21"/>
        </w:rPr>
      </w:pPr>
      <w:r>
        <w:rPr>
          <w:rFonts w:hint="eastAsia" w:ascii="宋体" w:hAnsi="宋体" w:cs="宋体"/>
          <w:szCs w:val="21"/>
        </w:rPr>
        <w:t>1.乙方应保证所提供货物在使用时不会侵犯任何第三方的专利权、商标权、工业设计权或其他权利。</w:t>
      </w:r>
    </w:p>
    <w:p w14:paraId="1DEB569B">
      <w:pPr>
        <w:spacing w:line="400" w:lineRule="exact"/>
        <w:ind w:firstLine="420" w:firstLineChars="200"/>
        <w:rPr>
          <w:rFonts w:ascii="宋体" w:hAnsi="宋体" w:cs="宋体"/>
          <w:szCs w:val="21"/>
        </w:rPr>
      </w:pPr>
      <w:r>
        <w:rPr>
          <w:rFonts w:hint="eastAsia" w:ascii="宋体" w:hAnsi="宋体" w:cs="宋体"/>
          <w:szCs w:val="21"/>
        </w:rPr>
        <w:t>2.乙方应按招标文件规定的时间向甲方提供使用货物的有关技术资料。</w:t>
      </w:r>
    </w:p>
    <w:p w14:paraId="350F965E">
      <w:pPr>
        <w:spacing w:line="400" w:lineRule="exact"/>
        <w:ind w:firstLine="420" w:firstLineChars="200"/>
        <w:rPr>
          <w:rFonts w:ascii="宋体" w:hAnsi="宋体" w:cs="宋体"/>
          <w:szCs w:val="21"/>
        </w:rPr>
      </w:pPr>
      <w:r>
        <w:rPr>
          <w:rFonts w:hint="eastAsia" w:ascii="宋体" w:hAnsi="宋体" w:cs="宋体"/>
          <w:szCs w:val="21"/>
        </w:rPr>
        <w:t>3.乙方保证所交付的货物的所有权完全属于乙方且无任何抵押、质押、查封等产权瑕疵。</w:t>
      </w:r>
    </w:p>
    <w:p w14:paraId="1665064F">
      <w:pPr>
        <w:spacing w:line="400" w:lineRule="exact"/>
        <w:ind w:firstLine="411" w:firstLineChars="196"/>
        <w:outlineLvl w:val="1"/>
        <w:rPr>
          <w:rFonts w:ascii="宋体" w:hAnsi="宋体" w:cs="宋体"/>
          <w:b/>
          <w:szCs w:val="21"/>
        </w:rPr>
      </w:pPr>
      <w:bookmarkStart w:id="675" w:name="_Toc23367"/>
      <w:bookmarkStart w:id="676" w:name="_Toc26938"/>
      <w:bookmarkStart w:id="677" w:name="_Toc17138"/>
      <w:bookmarkStart w:id="678" w:name="_Toc32209"/>
      <w:bookmarkStart w:id="679" w:name="_Toc29457"/>
      <w:bookmarkStart w:id="680" w:name="_Toc7189"/>
      <w:bookmarkStart w:id="681" w:name="_Toc7468"/>
      <w:bookmarkStart w:id="682" w:name="_Toc21712"/>
      <w:bookmarkStart w:id="683" w:name="_Toc11016"/>
      <w:bookmarkStart w:id="684" w:name="_Toc495841771"/>
      <w:bookmarkStart w:id="685" w:name="_Toc7985"/>
      <w:bookmarkStart w:id="686" w:name="_Toc4219"/>
      <w:bookmarkStart w:id="687" w:name="_Toc3865"/>
      <w:bookmarkStart w:id="688" w:name="_Toc21407"/>
      <w:bookmarkStart w:id="689" w:name="_Toc24662"/>
      <w:bookmarkStart w:id="690" w:name="_Toc1643"/>
      <w:r>
        <w:rPr>
          <w:rFonts w:hint="eastAsia" w:ascii="宋体" w:hAnsi="宋体" w:cs="宋体"/>
          <w:b/>
          <w:szCs w:val="21"/>
        </w:rPr>
        <w:t>第四条  货物包装、运输</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p>
    <w:p w14:paraId="6906A6B0">
      <w:pPr>
        <w:spacing w:line="400" w:lineRule="exact"/>
        <w:ind w:firstLine="420" w:firstLineChars="200"/>
        <w:rPr>
          <w:rFonts w:ascii="宋体" w:hAnsi="宋体" w:cs="宋体"/>
          <w:color w:val="auto"/>
          <w:szCs w:val="21"/>
        </w:rPr>
      </w:pPr>
      <w:r>
        <w:rPr>
          <w:rFonts w:hint="eastAsia" w:ascii="宋体" w:hAnsi="宋体" w:cs="宋体"/>
          <w:color w:val="auto"/>
          <w:szCs w:val="21"/>
        </w:rPr>
        <w:t>1.乙方应在货物发运前对其进行满足运输距离、防潮、防震、防锈和防破损装卸等要求包装，以保证货物安全运达甲方指定地点。</w:t>
      </w:r>
    </w:p>
    <w:p w14:paraId="04D8373E">
      <w:pPr>
        <w:spacing w:line="400" w:lineRule="exact"/>
        <w:ind w:left="420"/>
        <w:rPr>
          <w:rFonts w:ascii="宋体" w:hAnsi="宋体" w:cs="宋体"/>
          <w:color w:val="auto"/>
          <w:szCs w:val="21"/>
        </w:rPr>
      </w:pPr>
      <w:r>
        <w:rPr>
          <w:rFonts w:hint="eastAsia" w:ascii="宋体" w:hAnsi="宋体" w:cs="宋体"/>
          <w:color w:val="auto"/>
          <w:szCs w:val="21"/>
        </w:rPr>
        <w:t>2.使用中文说明书（货物属于进口产品的，供货时应同时附上中文使用说明书）、质量检验证明书、</w:t>
      </w:r>
    </w:p>
    <w:p w14:paraId="3B27316D">
      <w:pPr>
        <w:spacing w:line="400" w:lineRule="exact"/>
        <w:rPr>
          <w:rFonts w:hint="eastAsia" w:ascii="宋体" w:hAnsi="宋体" w:cs="宋体"/>
          <w:color w:val="auto"/>
          <w:szCs w:val="21"/>
        </w:rPr>
      </w:pPr>
      <w:r>
        <w:rPr>
          <w:rFonts w:hint="eastAsia" w:ascii="宋体" w:hAnsi="宋体" w:cs="宋体"/>
          <w:color w:val="auto"/>
          <w:szCs w:val="21"/>
        </w:rPr>
        <w:t>随配附件和工具以及清单一并附于货物内。</w:t>
      </w:r>
    </w:p>
    <w:p w14:paraId="5B39C268">
      <w:pPr>
        <w:pStyle w:val="2"/>
      </w:pPr>
      <w:r>
        <w:rPr>
          <w:rFonts w:hint="eastAsia" w:ascii="宋体" w:hAnsi="宋体" w:cs="宋体"/>
          <w:szCs w:val="21"/>
        </w:rPr>
        <w:t xml:space="preserve">    </w:t>
      </w:r>
      <w:r>
        <w:rPr>
          <w:rFonts w:hint="eastAsia" w:ascii="宋体" w:hAnsi="宋体" w:cs="宋体"/>
          <w:b/>
          <w:bCs/>
          <w:szCs w:val="21"/>
        </w:rPr>
        <w:t>本项目货物不接受进口产品（即通过中国海关报关验放进入中国境内且产自关境外的产品）。</w:t>
      </w:r>
    </w:p>
    <w:p w14:paraId="2348AF72">
      <w:pPr>
        <w:spacing w:line="400" w:lineRule="exact"/>
        <w:ind w:firstLine="420" w:firstLineChars="200"/>
        <w:rPr>
          <w:rFonts w:ascii="宋体" w:hAnsi="宋体" w:cs="宋体"/>
          <w:szCs w:val="21"/>
        </w:rPr>
      </w:pPr>
      <w:r>
        <w:rPr>
          <w:rFonts w:hint="eastAsia" w:ascii="宋体" w:hAnsi="宋体" w:cs="宋体"/>
          <w:szCs w:val="21"/>
        </w:rPr>
        <w:t>3.乙方在货物发运手续办理完毕后二十四小时内或货到甲方四十八小时前通知甲方，以准备接货。</w:t>
      </w:r>
    </w:p>
    <w:p w14:paraId="19961010">
      <w:pPr>
        <w:spacing w:line="400" w:lineRule="exact"/>
        <w:ind w:left="420" w:firstLine="0" w:firstLineChars="0"/>
        <w:outlineLvl w:val="2"/>
        <w:rPr>
          <w:rFonts w:hint="eastAsia" w:ascii="宋体" w:hAnsi="宋体" w:cs="宋体"/>
          <w:b/>
          <w:szCs w:val="21"/>
        </w:rPr>
      </w:pPr>
      <w:bookmarkStart w:id="691" w:name="_Toc9813"/>
      <w:bookmarkStart w:id="692" w:name="_Toc26281"/>
      <w:bookmarkStart w:id="693" w:name="_Toc28940"/>
      <w:bookmarkStart w:id="694" w:name="_Toc12843"/>
      <w:bookmarkStart w:id="695" w:name="_Toc29389"/>
      <w:r>
        <w:rPr>
          <w:rFonts w:hint="eastAsia" w:ascii="宋体" w:hAnsi="宋体" w:cs="宋体"/>
          <w:szCs w:val="21"/>
        </w:rPr>
        <w:t>4.货物在交付甲方前发生的风险均由乙方负责。</w:t>
      </w:r>
      <w:bookmarkEnd w:id="691"/>
      <w:bookmarkEnd w:id="692"/>
      <w:bookmarkEnd w:id="693"/>
      <w:bookmarkEnd w:id="694"/>
      <w:bookmarkEnd w:id="695"/>
      <w:r>
        <w:rPr>
          <w:rFonts w:hint="eastAsia" w:ascii="宋体" w:hAnsi="宋体" w:cs="宋体"/>
          <w:szCs w:val="21"/>
        </w:rPr>
        <w:t xml:space="preserve"> </w:t>
      </w:r>
      <w:bookmarkStart w:id="696" w:name="_Toc11141"/>
      <w:bookmarkStart w:id="697" w:name="_Toc23280"/>
      <w:bookmarkStart w:id="698" w:name="_Toc21814"/>
      <w:bookmarkStart w:id="699" w:name="_Toc21631"/>
      <w:bookmarkStart w:id="700" w:name="_Toc28926"/>
      <w:bookmarkStart w:id="701" w:name="_Toc2705"/>
      <w:bookmarkStart w:id="702" w:name="_Toc11718"/>
      <w:bookmarkStart w:id="703" w:name="_Toc9226"/>
      <w:bookmarkStart w:id="704" w:name="_Toc25828"/>
      <w:bookmarkStart w:id="705" w:name="_Toc10470"/>
      <w:bookmarkStart w:id="706" w:name="_Toc7050"/>
      <w:bookmarkStart w:id="707" w:name="_Toc581"/>
      <w:bookmarkStart w:id="708" w:name="_Toc26071"/>
      <w:bookmarkStart w:id="709" w:name="_Toc14038"/>
    </w:p>
    <w:p w14:paraId="1AEABD0C">
      <w:pPr>
        <w:spacing w:line="400" w:lineRule="exact"/>
        <w:ind w:firstLine="420" w:firstLineChars="200"/>
        <w:outlineLvl w:val="1"/>
        <w:rPr>
          <w:rFonts w:hint="eastAsia" w:ascii="宋体" w:hAnsi="宋体" w:cs="宋体"/>
          <w:b/>
          <w:szCs w:val="21"/>
        </w:rPr>
      </w:pPr>
      <w:r>
        <w:rPr>
          <w:rFonts w:hint="eastAsia" w:ascii="宋体" w:hAnsi="宋体" w:cs="宋体"/>
          <w:b/>
          <w:szCs w:val="21"/>
        </w:rPr>
        <w:t>第五条  交付</w:t>
      </w:r>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1F4090E0">
      <w:pPr>
        <w:keepNext/>
        <w:ind w:firstLine="420" w:firstLineChars="200"/>
        <w:jc w:val="left"/>
        <w:rPr>
          <w:rFonts w:hint="eastAsia" w:ascii="宋体" w:hAnsi="宋体" w:eastAsia="宋体" w:cs="宋体"/>
          <w:color w:val="000000"/>
          <w:szCs w:val="21"/>
          <w:highlight w:val="none"/>
        </w:rPr>
      </w:pPr>
      <w:bookmarkStart w:id="710" w:name="_Toc15755"/>
      <w:bookmarkStart w:id="711" w:name="_Toc14073"/>
      <w:bookmarkStart w:id="712" w:name="_Toc30287"/>
      <w:bookmarkStart w:id="713" w:name="_Toc2045"/>
      <w:bookmarkStart w:id="714" w:name="_Toc495841773"/>
      <w:bookmarkStart w:id="715" w:name="_Toc26488"/>
      <w:bookmarkStart w:id="716" w:name="_Toc9705"/>
      <w:bookmarkStart w:id="717" w:name="_Toc100"/>
      <w:bookmarkStart w:id="718" w:name="_Toc28826"/>
      <w:bookmarkStart w:id="719" w:name="_Toc8876"/>
      <w:bookmarkStart w:id="720" w:name="_Toc4833"/>
      <w:bookmarkStart w:id="721" w:name="_Toc14427"/>
      <w:bookmarkStart w:id="722" w:name="_Toc13380"/>
      <w:bookmarkStart w:id="723" w:name="_Toc10335"/>
      <w:bookmarkStart w:id="724" w:name="_Toc4383"/>
      <w:bookmarkStart w:id="725" w:name="_Toc17672"/>
      <w:r>
        <w:rPr>
          <w:rFonts w:hint="eastAsia" w:ascii="宋体" w:hAnsi="宋体" w:eastAsia="宋体" w:cs="宋体"/>
          <w:color w:val="000000"/>
          <w:szCs w:val="21"/>
          <w:highlight w:val="none"/>
        </w:rPr>
        <w:t>1.交货时间：</w:t>
      </w:r>
      <w:r>
        <w:rPr>
          <w:rFonts w:hint="eastAsia"/>
          <w:lang w:val="en-US" w:eastAsia="zh-CN"/>
        </w:rPr>
        <w:t>签订合同后30日内，</w:t>
      </w:r>
      <w:r>
        <w:rPr>
          <w:rFonts w:hint="eastAsia" w:ascii="宋体" w:hAnsi="宋体" w:eastAsia="宋体" w:cs="宋体"/>
          <w:color w:val="000000"/>
          <w:szCs w:val="21"/>
          <w:highlight w:val="none"/>
        </w:rPr>
        <w:t>按采购人要求安装调试完毕</w:t>
      </w:r>
      <w:r>
        <w:rPr>
          <w:rFonts w:hint="eastAsia" w:ascii="宋体" w:hAnsi="宋体" w:eastAsia="宋体" w:cs="宋体"/>
          <w:color w:val="000000"/>
          <w:szCs w:val="21"/>
          <w:highlight w:val="none"/>
          <w:lang w:eastAsia="zh-CN"/>
        </w:rPr>
        <w:t>并</w:t>
      </w:r>
      <w:r>
        <w:rPr>
          <w:rFonts w:hint="eastAsia" w:ascii="宋体" w:hAnsi="宋体" w:eastAsia="宋体" w:cs="宋体"/>
          <w:color w:val="000000"/>
          <w:szCs w:val="21"/>
          <w:highlight w:val="none"/>
        </w:rPr>
        <w:t>交付使用。</w:t>
      </w:r>
    </w:p>
    <w:p w14:paraId="6988AFF8">
      <w:pPr>
        <w:spacing w:line="400" w:lineRule="exact"/>
        <w:ind w:firstLine="420" w:firstLineChars="200"/>
        <w:outlineLvl w:val="1"/>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2.交货地点：</w:t>
      </w:r>
      <w:r>
        <w:rPr>
          <w:rFonts w:hint="eastAsia" w:ascii="宋体" w:hAnsi="宋体" w:eastAsia="宋体" w:cs="宋体"/>
          <w:color w:val="000000"/>
          <w:szCs w:val="21"/>
          <w:highlight w:val="none"/>
          <w:lang w:eastAsia="zh-CN"/>
        </w:rPr>
        <w:t>广西桂林资源县</w:t>
      </w:r>
      <w:r>
        <w:rPr>
          <w:rFonts w:hint="eastAsia" w:ascii="宋体" w:hAnsi="宋体" w:eastAsia="宋体" w:cs="宋体"/>
          <w:color w:val="000000"/>
          <w:szCs w:val="21"/>
          <w:highlight w:val="none"/>
        </w:rPr>
        <w:t>采购人指定地点</w:t>
      </w:r>
      <w:r>
        <w:rPr>
          <w:rFonts w:hint="eastAsia" w:ascii="宋体" w:hAnsi="宋体" w:eastAsia="宋体" w:cs="宋体"/>
          <w:color w:val="000000"/>
          <w:szCs w:val="21"/>
          <w:highlight w:val="none"/>
          <w:lang w:eastAsia="zh-CN"/>
        </w:rPr>
        <w:t>。</w:t>
      </w:r>
    </w:p>
    <w:p w14:paraId="1DE6BB9C">
      <w:pPr>
        <w:spacing w:line="400" w:lineRule="exact"/>
        <w:ind w:firstLine="420" w:firstLineChars="200"/>
        <w:outlineLvl w:val="1"/>
        <w:rPr>
          <w:rFonts w:hint="eastAsia" w:ascii="宋体" w:hAnsi="宋体" w:cs="宋体"/>
          <w:b/>
          <w:szCs w:val="21"/>
        </w:rPr>
      </w:pPr>
      <w:r>
        <w:rPr>
          <w:rFonts w:hint="eastAsia" w:ascii="宋体" w:hAnsi="宋体" w:cs="宋体"/>
          <w:b/>
          <w:szCs w:val="21"/>
        </w:rPr>
        <w:t>第六条  验收</w:t>
      </w:r>
      <w:bookmarkEnd w:id="710"/>
      <w:bookmarkEnd w:id="711"/>
      <w:bookmarkEnd w:id="712"/>
      <w:bookmarkEnd w:id="713"/>
      <w:bookmarkEnd w:id="714"/>
      <w:r>
        <w:rPr>
          <w:rFonts w:hint="eastAsia" w:ascii="宋体" w:hAnsi="宋体" w:cs="宋体"/>
          <w:b/>
          <w:szCs w:val="21"/>
        </w:rPr>
        <w:t>方式</w:t>
      </w:r>
      <w:bookmarkEnd w:id="715"/>
      <w:bookmarkEnd w:id="716"/>
      <w:bookmarkEnd w:id="717"/>
      <w:bookmarkEnd w:id="718"/>
      <w:bookmarkEnd w:id="719"/>
      <w:bookmarkEnd w:id="720"/>
      <w:bookmarkEnd w:id="721"/>
      <w:bookmarkEnd w:id="722"/>
      <w:bookmarkEnd w:id="723"/>
      <w:bookmarkEnd w:id="724"/>
      <w:bookmarkEnd w:id="725"/>
    </w:p>
    <w:p w14:paraId="788D4399">
      <w:pPr>
        <w:spacing w:line="360" w:lineRule="exact"/>
        <w:ind w:firstLine="420"/>
        <w:jc w:val="left"/>
        <w:outlineLvl w:val="2"/>
        <w:rPr>
          <w:rFonts w:hint="eastAsia" w:ascii="宋体" w:hAnsi="宋体" w:cs="宋体"/>
          <w:color w:val="000000"/>
          <w:szCs w:val="21"/>
          <w:highlight w:val="none"/>
        </w:rPr>
      </w:pPr>
      <w:bookmarkStart w:id="726" w:name="_Toc14852"/>
      <w:bookmarkStart w:id="727" w:name="_Toc6163"/>
      <w:bookmarkStart w:id="728" w:name="_Toc21836"/>
      <w:bookmarkStart w:id="729" w:name="_Toc724"/>
      <w:bookmarkStart w:id="730" w:name="_Toc13484"/>
      <w:bookmarkStart w:id="731" w:name="_Toc11427"/>
      <w:bookmarkStart w:id="732" w:name="_Toc495841774"/>
      <w:bookmarkStart w:id="733" w:name="_Toc11054"/>
      <w:bookmarkStart w:id="734" w:name="_Toc25541"/>
      <w:bookmarkStart w:id="735" w:name="_Toc8109"/>
      <w:bookmarkStart w:id="736" w:name="_Toc24752"/>
      <w:bookmarkStart w:id="737" w:name="_Toc15721"/>
      <w:bookmarkStart w:id="738" w:name="_Toc32587"/>
      <w:bookmarkStart w:id="739" w:name="_Toc17861"/>
      <w:bookmarkStart w:id="740" w:name="_Toc30431"/>
      <w:bookmarkStart w:id="741" w:name="_Toc32229"/>
      <w:bookmarkStart w:id="742" w:name="_Toc29074"/>
      <w:bookmarkStart w:id="743" w:name="_Toc5747"/>
      <w:r>
        <w:rPr>
          <w:rFonts w:hint="eastAsia" w:ascii="宋体" w:hAnsi="宋体" w:cs="宋体"/>
          <w:color w:val="000000"/>
          <w:szCs w:val="21"/>
          <w:highlight w:val="none"/>
        </w:rPr>
        <w:t>验收流程：</w:t>
      </w:r>
      <w:bookmarkEnd w:id="726"/>
    </w:p>
    <w:bookmarkEnd w:id="727"/>
    <w:p w14:paraId="05DE43FC">
      <w:pPr>
        <w:keepNext/>
        <w:spacing w:line="400" w:lineRule="exact"/>
        <w:ind w:firstLine="420"/>
        <w:rPr>
          <w:rFonts w:ascii="宋体" w:hAnsi="宋体"/>
          <w:color w:val="000000"/>
          <w:szCs w:val="21"/>
          <w:highlight w:val="none"/>
        </w:rPr>
      </w:pPr>
      <w:r>
        <w:rPr>
          <w:rFonts w:hint="eastAsia" w:ascii="宋体" w:hAnsi="宋体"/>
          <w:color w:val="000000"/>
          <w:szCs w:val="21"/>
          <w:highlight w:val="none"/>
          <w:lang w:val="en-US" w:eastAsia="zh-CN"/>
        </w:rPr>
        <w:t>1</w:t>
      </w:r>
      <w:r>
        <w:rPr>
          <w:rFonts w:hint="eastAsia" w:ascii="宋体" w:hAnsi="宋体"/>
          <w:color w:val="000000"/>
          <w:szCs w:val="21"/>
          <w:highlight w:val="none"/>
        </w:rPr>
        <w:t>、</w:t>
      </w:r>
      <w:r>
        <w:rPr>
          <w:rFonts w:ascii="宋体" w:hAnsi="宋体"/>
          <w:color w:val="000000"/>
          <w:szCs w:val="21"/>
          <w:highlight w:val="none"/>
        </w:rPr>
        <w:t>符合我国国家有关技术规范和技术标准。</w:t>
      </w:r>
    </w:p>
    <w:p w14:paraId="24248C02">
      <w:pPr>
        <w:spacing w:line="400" w:lineRule="exact"/>
        <w:ind w:firstLine="411"/>
        <w:outlineLvl w:val="1"/>
        <w:rPr>
          <w:rFonts w:hint="eastAsia" w:ascii="宋体" w:hAnsi="宋体" w:eastAsia="宋体" w:cs="Times New Roman"/>
          <w:color w:val="000000"/>
          <w:szCs w:val="21"/>
          <w:highlight w:val="none"/>
        </w:rPr>
      </w:pPr>
      <w:r>
        <w:rPr>
          <w:rFonts w:hint="eastAsia" w:ascii="宋体" w:hAnsi="宋体"/>
          <w:color w:val="000000"/>
          <w:szCs w:val="21"/>
          <w:highlight w:val="none"/>
          <w:lang w:val="en-US" w:eastAsia="zh-CN"/>
        </w:rPr>
        <w:t>2</w:t>
      </w:r>
      <w:r>
        <w:rPr>
          <w:rFonts w:hint="eastAsia" w:ascii="宋体" w:hAnsi="宋体"/>
          <w:color w:val="000000"/>
          <w:szCs w:val="21"/>
          <w:highlight w:val="none"/>
        </w:rPr>
        <w:t>、</w:t>
      </w:r>
      <w:r>
        <w:rPr>
          <w:rFonts w:hint="eastAsia" w:ascii="宋体" w:hAnsi="宋体" w:eastAsia="宋体" w:cs="Times New Roman"/>
          <w:color w:val="000000"/>
          <w:szCs w:val="21"/>
          <w:highlight w:val="none"/>
        </w:rPr>
        <w:t>成交人在</w:t>
      </w:r>
      <w:r>
        <w:rPr>
          <w:rFonts w:hint="eastAsia" w:ascii="宋体" w:hAnsi="宋体" w:eastAsia="宋体" w:cs="Times New Roman"/>
          <w:color w:val="000000"/>
          <w:szCs w:val="21"/>
          <w:highlight w:val="none"/>
          <w:lang w:eastAsia="zh-CN"/>
        </w:rPr>
        <w:t>竞争性谈判文件</w:t>
      </w:r>
      <w:r>
        <w:rPr>
          <w:rFonts w:hint="eastAsia" w:ascii="宋体" w:hAnsi="宋体" w:eastAsia="宋体" w:cs="Times New Roman"/>
          <w:color w:val="000000"/>
          <w:szCs w:val="21"/>
          <w:highlight w:val="none"/>
        </w:rPr>
        <w:t>规定的交付使用期内完成所有设备的安装、调试。验收时，采购人将现场根据</w:t>
      </w:r>
      <w:r>
        <w:rPr>
          <w:rFonts w:hint="eastAsia" w:ascii="宋体" w:hAnsi="宋体" w:eastAsia="宋体" w:cs="Times New Roman"/>
          <w:color w:val="000000"/>
          <w:szCs w:val="21"/>
          <w:highlight w:val="none"/>
          <w:lang w:eastAsia="zh-CN"/>
        </w:rPr>
        <w:t>竞争性谈判文件</w:t>
      </w:r>
      <w:r>
        <w:rPr>
          <w:rFonts w:hint="eastAsia" w:ascii="宋体" w:hAnsi="宋体" w:eastAsia="宋体" w:cs="Times New Roman"/>
          <w:color w:val="000000"/>
          <w:szCs w:val="21"/>
          <w:highlight w:val="none"/>
        </w:rPr>
        <w:t>要求、响应文件承诺及国家有关质量标准进行核验，核验不合格的，采购人有权终止合同执行并全部退货，同时报相关监督管理部门处理，由此造成</w:t>
      </w:r>
      <w:r>
        <w:rPr>
          <w:rFonts w:hint="eastAsia" w:ascii="宋体" w:hAnsi="宋体" w:eastAsia="宋体" w:cs="Times New Roman"/>
          <w:color w:val="000000"/>
          <w:szCs w:val="21"/>
          <w:highlight w:val="none"/>
          <w:lang w:val="en-US" w:eastAsia="zh-CN"/>
        </w:rPr>
        <w:t>采购人</w:t>
      </w:r>
      <w:r>
        <w:rPr>
          <w:rFonts w:hint="eastAsia" w:ascii="宋体" w:hAnsi="宋体" w:eastAsia="宋体" w:cs="Times New Roman"/>
          <w:color w:val="000000"/>
          <w:szCs w:val="21"/>
          <w:highlight w:val="none"/>
        </w:rPr>
        <w:t>经济损失的由成交人负责承担全部赔偿责任。</w:t>
      </w:r>
    </w:p>
    <w:p w14:paraId="33FE2145">
      <w:pPr>
        <w:spacing w:line="400" w:lineRule="exact"/>
        <w:ind w:firstLine="420" w:firstLineChars="200"/>
        <w:outlineLvl w:val="1"/>
        <w:rPr>
          <w:rFonts w:ascii="宋体" w:hAnsi="宋体" w:cs="宋体"/>
          <w:b/>
          <w:color w:val="000000"/>
          <w:szCs w:val="21"/>
        </w:rPr>
      </w:pPr>
      <w:r>
        <w:rPr>
          <w:rFonts w:hint="eastAsia" w:ascii="宋体" w:hAnsi="宋体" w:cs="宋体"/>
          <w:b/>
          <w:color w:val="000000"/>
          <w:szCs w:val="21"/>
        </w:rPr>
        <w:t>第七条  安装和培训</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p>
    <w:p w14:paraId="3330CC17">
      <w:pPr>
        <w:tabs>
          <w:tab w:val="left" w:pos="0"/>
        </w:tabs>
        <w:spacing w:line="400" w:lineRule="exact"/>
        <w:ind w:firstLine="420" w:firstLineChars="200"/>
        <w:rPr>
          <w:rFonts w:ascii="宋体" w:hAnsi="宋体" w:cs="宋体"/>
          <w:color w:val="000000"/>
          <w:szCs w:val="21"/>
        </w:rPr>
      </w:pPr>
      <w:r>
        <w:rPr>
          <w:rFonts w:hint="eastAsia" w:ascii="宋体" w:hAnsi="宋体" w:cs="宋体"/>
          <w:color w:val="000000"/>
          <w:szCs w:val="21"/>
        </w:rPr>
        <w:t>1.甲方应提供必要安装条件（如场地、电源、水源等）。</w:t>
      </w:r>
    </w:p>
    <w:p w14:paraId="127FA283">
      <w:pPr>
        <w:tabs>
          <w:tab w:val="left" w:pos="0"/>
        </w:tabs>
        <w:spacing w:line="400" w:lineRule="exact"/>
        <w:ind w:firstLine="420" w:firstLineChars="200"/>
        <w:rPr>
          <w:rFonts w:ascii="宋体" w:hAnsi="宋体" w:cs="宋体"/>
          <w:color w:val="000000"/>
          <w:szCs w:val="21"/>
        </w:rPr>
      </w:pPr>
      <w:r>
        <w:rPr>
          <w:rFonts w:hint="eastAsia" w:ascii="宋体" w:hAnsi="宋体" w:cs="宋体"/>
          <w:color w:val="000000"/>
          <w:szCs w:val="21"/>
        </w:rPr>
        <w:t>2.乙方负责甲方有关人员的培训。培训时间、地点：</w:t>
      </w:r>
      <w:r>
        <w:rPr>
          <w:rFonts w:hint="eastAsia" w:ascii="宋体" w:hAnsi="宋体" w:cs="宋体"/>
          <w:bCs/>
          <w:color w:val="000000"/>
          <w:kern w:val="0"/>
          <w:szCs w:val="21"/>
        </w:rPr>
        <w:t>采购人指定地点。</w:t>
      </w:r>
    </w:p>
    <w:p w14:paraId="068786F4">
      <w:pPr>
        <w:spacing w:line="400" w:lineRule="exact"/>
        <w:ind w:firstLine="420" w:firstLineChars="200"/>
        <w:outlineLvl w:val="1"/>
        <w:rPr>
          <w:rFonts w:ascii="宋体" w:hAnsi="宋体" w:cs="宋体"/>
          <w:b/>
          <w:color w:val="000000"/>
          <w:szCs w:val="21"/>
        </w:rPr>
      </w:pPr>
      <w:bookmarkStart w:id="744" w:name="_Toc29939"/>
      <w:bookmarkStart w:id="745" w:name="_Toc29406"/>
      <w:bookmarkStart w:id="746" w:name="_Toc13642"/>
      <w:bookmarkStart w:id="747" w:name="_Toc23366"/>
      <w:bookmarkStart w:id="748" w:name="_Toc495841775"/>
      <w:bookmarkStart w:id="749" w:name="_Toc14816"/>
      <w:bookmarkStart w:id="750" w:name="_Toc14415"/>
      <w:bookmarkStart w:id="751" w:name="_Toc7422"/>
      <w:bookmarkStart w:id="752" w:name="_Toc1691"/>
      <w:bookmarkStart w:id="753" w:name="_Toc21827"/>
      <w:bookmarkStart w:id="754" w:name="_Toc27580"/>
      <w:bookmarkStart w:id="755" w:name="_Toc15"/>
      <w:bookmarkStart w:id="756" w:name="_Toc27949"/>
      <w:bookmarkStart w:id="757" w:name="_Toc18456"/>
      <w:bookmarkStart w:id="758" w:name="_Toc29236"/>
      <w:bookmarkStart w:id="759" w:name="_Toc13114"/>
      <w:r>
        <w:rPr>
          <w:rFonts w:hint="eastAsia" w:ascii="宋体" w:hAnsi="宋体" w:cs="宋体"/>
          <w:b/>
          <w:color w:val="000000"/>
          <w:szCs w:val="21"/>
        </w:rPr>
        <w:t>第八条  服务要求及免费保修期</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56F3C82B">
      <w:pPr>
        <w:numPr>
          <w:ilvl w:val="0"/>
          <w:numId w:val="0"/>
        </w:numPr>
        <w:snapToGrid w:val="0"/>
        <w:spacing w:line="240" w:lineRule="auto"/>
        <w:ind w:left="0" w:leftChars="0" w:right="0" w:rightChars="0" w:firstLine="420" w:firstLineChars="200"/>
        <w:jc w:val="left"/>
        <w:rPr>
          <w:rFonts w:hint="eastAsia" w:ascii="宋体" w:hAnsi="宋体" w:eastAsia="宋体" w:cs="宋体"/>
          <w:b/>
          <w:bCs/>
          <w:color w:val="auto"/>
          <w:sz w:val="21"/>
          <w:szCs w:val="21"/>
          <w:highlight w:val="none"/>
          <w:u w:val="none"/>
          <w:vertAlign w:val="baseline"/>
          <w:lang w:val="en-US" w:eastAsia="zh-CN"/>
        </w:rPr>
      </w:pPr>
      <w:bookmarkStart w:id="760" w:name="_Toc18235"/>
      <w:bookmarkStart w:id="761" w:name="_Toc12595"/>
      <w:bookmarkStart w:id="762" w:name="_Toc9412"/>
      <w:bookmarkStart w:id="763" w:name="_Toc29143"/>
      <w:bookmarkStart w:id="764" w:name="_Toc495841776"/>
      <w:bookmarkStart w:id="765" w:name="_Toc3729"/>
      <w:bookmarkStart w:id="766" w:name="_Toc29956"/>
      <w:bookmarkStart w:id="767" w:name="_Toc30961"/>
      <w:bookmarkStart w:id="768" w:name="_Toc13287"/>
      <w:bookmarkStart w:id="769" w:name="_Toc7762"/>
      <w:bookmarkStart w:id="770" w:name="_Toc31479"/>
      <w:bookmarkStart w:id="771" w:name="_Toc15324"/>
      <w:bookmarkStart w:id="772" w:name="_Toc20967"/>
      <w:bookmarkStart w:id="773" w:name="_Toc6967"/>
      <w:bookmarkStart w:id="774" w:name="_Toc19807"/>
      <w:bookmarkStart w:id="775" w:name="_Toc30799"/>
      <w:r>
        <w:rPr>
          <w:rFonts w:hint="eastAsia" w:ascii="宋体" w:hAnsi="宋体" w:eastAsia="宋体" w:cs="宋体"/>
          <w:b w:val="0"/>
          <w:bCs w:val="0"/>
          <w:color w:val="auto"/>
          <w:sz w:val="21"/>
          <w:szCs w:val="21"/>
          <w:highlight w:val="none"/>
          <w:u w:val="none"/>
          <w:vertAlign w:val="baseline"/>
          <w:lang w:val="en-US" w:eastAsia="zh-CN"/>
        </w:rPr>
        <w:t>（1）</w:t>
      </w:r>
      <w:r>
        <w:rPr>
          <w:rFonts w:hint="eastAsia" w:ascii="宋体" w:hAnsi="宋体" w:cs="宋体"/>
          <w:b w:val="0"/>
          <w:bCs w:val="0"/>
          <w:color w:val="auto"/>
          <w:sz w:val="21"/>
          <w:szCs w:val="21"/>
          <w:highlight w:val="none"/>
          <w:u w:val="none"/>
          <w:vertAlign w:val="baseline"/>
          <w:lang w:val="en-US" w:eastAsia="zh-CN"/>
        </w:rPr>
        <w:t>成交</w:t>
      </w:r>
      <w:r>
        <w:rPr>
          <w:rFonts w:hint="eastAsia" w:ascii="宋体" w:hAnsi="宋体" w:eastAsia="宋体" w:cs="宋体"/>
          <w:b w:val="0"/>
          <w:bCs w:val="0"/>
          <w:color w:val="auto"/>
          <w:sz w:val="21"/>
          <w:szCs w:val="21"/>
          <w:highlight w:val="none"/>
          <w:u w:val="none"/>
          <w:vertAlign w:val="baseline"/>
          <w:lang w:val="en-US" w:eastAsia="zh-CN"/>
        </w:rPr>
        <w:t xml:space="preserve">供应商提供的所有产品（含部件）必须是全新的原厂原装正品，负责免费送货上门、免费安装调试至合格。 </w:t>
      </w:r>
    </w:p>
    <w:p w14:paraId="556976A7">
      <w:pPr>
        <w:numPr>
          <w:ilvl w:val="0"/>
          <w:numId w:val="0"/>
        </w:numPr>
        <w:snapToGrid w:val="0"/>
        <w:spacing w:line="240" w:lineRule="auto"/>
        <w:ind w:left="0" w:leftChars="0" w:right="0" w:rightChars="0" w:firstLine="420" w:firstLineChars="200"/>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（2）按国家有关产品“三包”规定执行“三包”。质保期1年(自交货并验收合格之日起计)，在质保期内设备运行发生故障，</w:t>
      </w:r>
      <w:r>
        <w:rPr>
          <w:rFonts w:hint="eastAsia" w:ascii="宋体" w:hAnsi="宋体" w:cs="宋体"/>
          <w:b w:val="0"/>
          <w:bCs w:val="0"/>
          <w:color w:val="auto"/>
          <w:sz w:val="21"/>
          <w:szCs w:val="21"/>
          <w:highlight w:val="none"/>
          <w:u w:val="none"/>
          <w:vertAlign w:val="baseline"/>
          <w:lang w:val="en-US" w:eastAsia="zh-CN"/>
        </w:rPr>
        <w:t>成交供应商</w:t>
      </w:r>
      <w:r>
        <w:rPr>
          <w:rFonts w:hint="eastAsia" w:ascii="宋体" w:hAnsi="宋体" w:eastAsia="宋体" w:cs="宋体"/>
          <w:b w:val="0"/>
          <w:bCs w:val="0"/>
          <w:color w:val="auto"/>
          <w:sz w:val="21"/>
          <w:szCs w:val="21"/>
          <w:highlight w:val="none"/>
          <w:u w:val="none"/>
          <w:vertAlign w:val="baseline"/>
          <w:lang w:val="en-US" w:eastAsia="zh-CN"/>
        </w:rPr>
        <w:t>免费提供维修服务，免费提供系统软件升级。</w:t>
      </w:r>
    </w:p>
    <w:p w14:paraId="6C20B968">
      <w:pPr>
        <w:numPr>
          <w:ilvl w:val="0"/>
          <w:numId w:val="0"/>
        </w:numPr>
        <w:tabs>
          <w:tab w:val="left" w:pos="8400"/>
        </w:tabs>
        <w:snapToGrid w:val="0"/>
        <w:spacing w:line="240" w:lineRule="auto"/>
        <w:ind w:left="0" w:leftChars="0" w:right="0" w:rightChars="0" w:firstLine="420" w:firstLineChars="200"/>
        <w:jc w:val="left"/>
        <w:rPr>
          <w:rFonts w:hint="eastAsia" w:ascii="宋体" w:hAnsi="宋体" w:eastAsia="宋体" w:cs="宋体"/>
          <w:b w:val="0"/>
          <w:bCs w:val="0"/>
          <w:color w:val="auto"/>
          <w:sz w:val="21"/>
          <w:szCs w:val="21"/>
          <w:highlight w:val="none"/>
          <w:u w:val="none"/>
          <w:vertAlign w:val="baseline"/>
          <w:lang w:val="en-US" w:eastAsia="zh-CN"/>
        </w:rPr>
      </w:pPr>
      <w:r>
        <w:rPr>
          <w:rFonts w:hint="eastAsia" w:ascii="宋体" w:hAnsi="宋体" w:eastAsia="宋体" w:cs="宋体"/>
          <w:b w:val="0"/>
          <w:bCs w:val="0"/>
          <w:color w:val="auto"/>
          <w:sz w:val="21"/>
          <w:szCs w:val="21"/>
          <w:highlight w:val="none"/>
          <w:u w:val="none"/>
          <w:vertAlign w:val="baseline"/>
          <w:lang w:val="en-US" w:eastAsia="zh-CN"/>
        </w:rPr>
        <w:t>（3）故障响应时间：成交供应商接到故障通知后需在1小时内做出响应（电话），同时在2小时内派工程师到现场进行故障解除。如果修复不了的，用同等备用设备替换。如未按时相应，甲方有权利找第三方解决故障，所产生的费用从履约保证金扣除，不足部分甲方有权向</w:t>
      </w:r>
      <w:r>
        <w:rPr>
          <w:rFonts w:hint="eastAsia" w:ascii="宋体" w:hAnsi="宋体" w:cs="宋体"/>
          <w:b w:val="0"/>
          <w:bCs w:val="0"/>
          <w:color w:val="auto"/>
          <w:sz w:val="21"/>
          <w:szCs w:val="21"/>
          <w:highlight w:val="none"/>
          <w:u w:val="none"/>
          <w:vertAlign w:val="baseline"/>
          <w:lang w:val="en-US" w:eastAsia="zh-CN"/>
        </w:rPr>
        <w:t>成交</w:t>
      </w:r>
      <w:r>
        <w:rPr>
          <w:rFonts w:hint="eastAsia" w:ascii="宋体" w:hAnsi="宋体" w:eastAsia="宋体" w:cs="宋体"/>
          <w:b w:val="0"/>
          <w:bCs w:val="0"/>
          <w:color w:val="auto"/>
          <w:sz w:val="21"/>
          <w:szCs w:val="21"/>
          <w:highlight w:val="none"/>
          <w:u w:val="none"/>
          <w:vertAlign w:val="baseline"/>
          <w:lang w:val="en-US" w:eastAsia="zh-CN"/>
        </w:rPr>
        <w:t xml:space="preserve">供应商索赔。 </w:t>
      </w:r>
    </w:p>
    <w:p w14:paraId="74D9C41E">
      <w:pPr>
        <w:spacing w:line="400" w:lineRule="exact"/>
        <w:ind w:firstLine="420" w:firstLineChars="200"/>
        <w:outlineLvl w:val="1"/>
        <w:rPr>
          <w:rFonts w:hint="eastAsia" w:ascii="宋体" w:hAnsi="宋体" w:cs="宋体"/>
          <w:b w:val="0"/>
          <w:color w:val="auto"/>
          <w:szCs w:val="21"/>
          <w:highlight w:val="none"/>
          <w:u w:val="none"/>
        </w:rPr>
      </w:pPr>
      <w:r>
        <w:rPr>
          <w:rFonts w:hint="eastAsia" w:ascii="宋体" w:hAnsi="宋体" w:eastAsia="宋体" w:cs="宋体"/>
          <w:b w:val="0"/>
          <w:bCs w:val="0"/>
          <w:color w:val="auto"/>
          <w:sz w:val="21"/>
          <w:szCs w:val="21"/>
          <w:highlight w:val="none"/>
          <w:u w:val="none"/>
          <w:vertAlign w:val="baseline"/>
          <w:lang w:val="en-US" w:eastAsia="zh-CN"/>
        </w:rPr>
        <w:t>（4）在保修期内无偿提供人员和技术支持配合</w:t>
      </w:r>
      <w:r>
        <w:rPr>
          <w:rFonts w:hint="eastAsia" w:ascii="宋体" w:hAnsi="宋体" w:cs="宋体"/>
          <w:b w:val="0"/>
          <w:bCs w:val="0"/>
          <w:color w:val="auto"/>
          <w:sz w:val="21"/>
          <w:szCs w:val="21"/>
          <w:highlight w:val="none"/>
          <w:u w:val="none"/>
          <w:vertAlign w:val="baseline"/>
          <w:lang w:val="en-US" w:eastAsia="zh-CN"/>
        </w:rPr>
        <w:t>采购人</w:t>
      </w:r>
      <w:r>
        <w:rPr>
          <w:rFonts w:hint="eastAsia" w:ascii="宋体" w:hAnsi="宋体" w:eastAsia="宋体" w:cs="宋体"/>
          <w:b w:val="0"/>
          <w:bCs w:val="0"/>
          <w:color w:val="auto"/>
          <w:sz w:val="21"/>
          <w:szCs w:val="21"/>
          <w:highlight w:val="none"/>
          <w:u w:val="none"/>
          <w:vertAlign w:val="baseline"/>
          <w:lang w:val="en-US" w:eastAsia="zh-CN"/>
        </w:rPr>
        <w:t>进行技术改进，</w:t>
      </w:r>
      <w:r>
        <w:rPr>
          <w:rFonts w:hint="eastAsia" w:ascii="宋体" w:hAnsi="宋体" w:cs="宋体"/>
          <w:b w:val="0"/>
          <w:bCs w:val="0"/>
          <w:color w:val="auto"/>
          <w:sz w:val="21"/>
          <w:szCs w:val="21"/>
          <w:highlight w:val="none"/>
          <w:u w:val="none"/>
          <w:vertAlign w:val="baseline"/>
          <w:lang w:val="en-US" w:eastAsia="zh-CN"/>
        </w:rPr>
        <w:t>成交供应商</w:t>
      </w:r>
      <w:r>
        <w:rPr>
          <w:rFonts w:hint="eastAsia" w:ascii="宋体" w:hAnsi="宋体" w:eastAsia="宋体" w:cs="宋体"/>
          <w:b w:val="0"/>
          <w:bCs w:val="0"/>
          <w:color w:val="auto"/>
          <w:sz w:val="21"/>
          <w:szCs w:val="21"/>
          <w:highlight w:val="none"/>
          <w:u w:val="none"/>
          <w:vertAlign w:val="baseline"/>
          <w:lang w:val="en-US" w:eastAsia="zh-CN"/>
        </w:rPr>
        <w:t>应提供保修期内日常维护和保养计划。保修期后优惠提供产品更新、改造服务。</w:t>
      </w:r>
    </w:p>
    <w:p w14:paraId="7E66D912">
      <w:pPr>
        <w:spacing w:line="400" w:lineRule="exact"/>
        <w:ind w:firstLine="411" w:firstLineChars="196"/>
        <w:outlineLvl w:val="1"/>
        <w:rPr>
          <w:rFonts w:ascii="宋体" w:hAnsi="宋体" w:cs="宋体"/>
          <w:b/>
          <w:color w:val="000000"/>
          <w:szCs w:val="21"/>
        </w:rPr>
      </w:pPr>
      <w:r>
        <w:rPr>
          <w:rFonts w:hint="eastAsia" w:ascii="宋体" w:hAnsi="宋体" w:cs="宋体"/>
          <w:b/>
          <w:color w:val="000000"/>
          <w:szCs w:val="21"/>
        </w:rPr>
        <w:t>第九条  税费</w:t>
      </w:r>
      <w:bookmarkEnd w:id="760"/>
      <w:bookmarkEnd w:id="761"/>
      <w:bookmarkEnd w:id="762"/>
      <w:bookmarkEnd w:id="763"/>
      <w:bookmarkEnd w:id="764"/>
      <w:r>
        <w:rPr>
          <w:rFonts w:hint="eastAsia" w:ascii="宋体" w:hAnsi="宋体" w:cs="宋体"/>
          <w:b/>
          <w:color w:val="000000"/>
          <w:szCs w:val="21"/>
        </w:rPr>
        <w:t>等要求</w:t>
      </w:r>
      <w:bookmarkEnd w:id="765"/>
      <w:bookmarkEnd w:id="766"/>
      <w:bookmarkEnd w:id="767"/>
      <w:bookmarkEnd w:id="768"/>
      <w:bookmarkEnd w:id="769"/>
      <w:bookmarkEnd w:id="770"/>
      <w:bookmarkEnd w:id="771"/>
      <w:bookmarkEnd w:id="772"/>
      <w:bookmarkEnd w:id="773"/>
      <w:bookmarkEnd w:id="774"/>
      <w:bookmarkEnd w:id="775"/>
    </w:p>
    <w:p w14:paraId="3526FA3E">
      <w:pPr>
        <w:spacing w:line="400" w:lineRule="exact"/>
        <w:ind w:firstLine="411" w:firstLineChars="196"/>
        <w:rPr>
          <w:rFonts w:ascii="宋体" w:hAnsi="宋体" w:cs="宋体"/>
          <w:color w:val="000000"/>
          <w:szCs w:val="21"/>
        </w:rPr>
      </w:pPr>
      <w:r>
        <w:rPr>
          <w:rFonts w:hint="eastAsia" w:ascii="宋体" w:hAnsi="宋体" w:cs="宋体"/>
          <w:color w:val="000000"/>
          <w:szCs w:val="21"/>
        </w:rPr>
        <w:t>本合同执行中相关的一切税费均由乙方负担。</w:t>
      </w:r>
    </w:p>
    <w:p w14:paraId="39317D51">
      <w:pPr>
        <w:spacing w:line="400" w:lineRule="exact"/>
        <w:ind w:firstLine="411" w:firstLineChars="196"/>
        <w:outlineLvl w:val="1"/>
        <w:rPr>
          <w:rFonts w:ascii="宋体" w:hAnsi="宋体" w:cs="宋体"/>
          <w:b/>
          <w:color w:val="000000"/>
          <w:szCs w:val="21"/>
        </w:rPr>
      </w:pPr>
      <w:bookmarkStart w:id="776" w:name="_Toc18828"/>
      <w:bookmarkStart w:id="777" w:name="_Toc495841777"/>
      <w:bookmarkStart w:id="778" w:name="_Toc25686"/>
      <w:bookmarkStart w:id="779" w:name="_Toc11319"/>
      <w:bookmarkStart w:id="780" w:name="_Toc17338"/>
      <w:bookmarkStart w:id="781" w:name="_Toc1005"/>
      <w:bookmarkStart w:id="782" w:name="_Toc23641"/>
      <w:bookmarkStart w:id="783" w:name="_Toc12037"/>
      <w:bookmarkStart w:id="784" w:name="_Toc416"/>
      <w:bookmarkStart w:id="785" w:name="_Toc6765"/>
      <w:bookmarkStart w:id="786" w:name="_Toc14572"/>
      <w:bookmarkStart w:id="787" w:name="_Toc30473"/>
      <w:bookmarkStart w:id="788" w:name="_Toc4808"/>
      <w:bookmarkStart w:id="789" w:name="_Toc24201"/>
      <w:bookmarkStart w:id="790" w:name="_Toc8637"/>
      <w:bookmarkStart w:id="791" w:name="_Toc18692"/>
      <w:r>
        <w:rPr>
          <w:rFonts w:hint="eastAsia" w:ascii="宋体" w:hAnsi="宋体" w:cs="宋体"/>
          <w:b/>
          <w:color w:val="000000"/>
          <w:szCs w:val="21"/>
        </w:rPr>
        <w:t>第十条  付款方式</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 w14:paraId="7D31E0E2">
      <w:pPr>
        <w:spacing w:line="400" w:lineRule="exact"/>
        <w:ind w:firstLine="411" w:firstLineChars="196"/>
        <w:outlineLvl w:val="1"/>
        <w:rPr>
          <w:rFonts w:hint="eastAsia" w:ascii="宋体" w:hAnsi="宋体"/>
          <w:color w:val="000000"/>
          <w:sz w:val="21"/>
          <w:szCs w:val="21"/>
          <w:highlight w:val="none"/>
          <w:shd w:val="clear" w:color="auto" w:fill="auto"/>
          <w:lang w:eastAsia="zh-CN"/>
        </w:rPr>
      </w:pPr>
      <w:bookmarkStart w:id="792" w:name="_Toc5565"/>
      <w:bookmarkStart w:id="793" w:name="_Toc634"/>
      <w:bookmarkStart w:id="794" w:name="_Toc1499"/>
      <w:bookmarkStart w:id="795" w:name="_Toc31968"/>
      <w:bookmarkStart w:id="796" w:name="_Toc27459"/>
      <w:bookmarkStart w:id="797" w:name="_Toc11630"/>
      <w:bookmarkStart w:id="798" w:name="_Toc10487"/>
      <w:bookmarkStart w:id="799" w:name="_Toc21622"/>
      <w:bookmarkStart w:id="800" w:name="_Toc4446"/>
      <w:bookmarkStart w:id="801" w:name="_Toc8727"/>
      <w:bookmarkStart w:id="802" w:name="_Toc7604"/>
      <w:bookmarkStart w:id="803" w:name="_Toc28715"/>
      <w:r>
        <w:rPr>
          <w:rFonts w:hint="eastAsia" w:ascii="宋体" w:hAnsi="宋体"/>
          <w:color w:val="000000"/>
          <w:sz w:val="21"/>
          <w:szCs w:val="21"/>
          <w:highlight w:val="none"/>
          <w:shd w:val="clear" w:color="auto" w:fill="auto"/>
          <w:lang w:val="en-US" w:eastAsia="zh-CN"/>
        </w:rPr>
        <w:t>在</w:t>
      </w:r>
      <w:r>
        <w:rPr>
          <w:rFonts w:hint="eastAsia" w:ascii="宋体" w:hAnsi="宋体"/>
          <w:color w:val="000000"/>
          <w:sz w:val="21"/>
          <w:szCs w:val="21"/>
          <w:highlight w:val="none"/>
          <w:shd w:val="clear" w:color="auto" w:fill="auto"/>
        </w:rPr>
        <w:t>中标供应商</w:t>
      </w:r>
      <w:r>
        <w:rPr>
          <w:rFonts w:hint="eastAsia" w:ascii="宋体" w:hAnsi="宋体"/>
          <w:color w:val="000000"/>
          <w:sz w:val="21"/>
          <w:szCs w:val="21"/>
          <w:highlight w:val="none"/>
          <w:shd w:val="clear" w:color="auto" w:fill="auto"/>
          <w:lang w:val="en-US" w:eastAsia="zh-CN"/>
        </w:rPr>
        <w:t>签订合同后，</w:t>
      </w:r>
      <w:r>
        <w:rPr>
          <w:rFonts w:hint="eastAsia" w:ascii="宋体" w:hAnsi="宋体"/>
          <w:color w:val="000000"/>
          <w:sz w:val="21"/>
          <w:szCs w:val="21"/>
          <w:highlight w:val="none"/>
          <w:shd w:val="clear" w:color="auto" w:fill="auto"/>
        </w:rPr>
        <w:t>采购人自收到供应商开具</w:t>
      </w:r>
      <w:r>
        <w:rPr>
          <w:rFonts w:hint="eastAsia" w:ascii="宋体" w:hAnsi="宋体"/>
          <w:color w:val="000000"/>
          <w:sz w:val="21"/>
          <w:szCs w:val="21"/>
          <w:highlight w:val="none"/>
          <w:shd w:val="clear" w:color="auto" w:fill="auto"/>
          <w:lang w:val="en-US" w:eastAsia="zh-CN"/>
        </w:rPr>
        <w:t>中标总金额50%</w:t>
      </w:r>
      <w:r>
        <w:rPr>
          <w:rFonts w:hint="eastAsia" w:ascii="宋体" w:hAnsi="宋体"/>
          <w:color w:val="000000"/>
          <w:sz w:val="21"/>
          <w:szCs w:val="21"/>
          <w:highlight w:val="none"/>
          <w:shd w:val="clear" w:color="auto" w:fill="auto"/>
        </w:rPr>
        <w:t>正式发票和相关材料之日起</w:t>
      </w:r>
      <w:r>
        <w:rPr>
          <w:rFonts w:hint="eastAsia" w:ascii="宋体" w:hAnsi="宋体"/>
          <w:color w:val="000000"/>
          <w:sz w:val="21"/>
          <w:szCs w:val="21"/>
          <w:highlight w:val="none"/>
          <w:shd w:val="clear" w:color="auto" w:fill="auto"/>
          <w:lang w:val="en-US" w:eastAsia="zh-CN"/>
        </w:rPr>
        <w:t>7个工作日内支付合同总金额的50%预付款；货物全部送货完毕，</w:t>
      </w:r>
      <w:r>
        <w:rPr>
          <w:rFonts w:hint="eastAsia" w:ascii="宋体" w:hAnsi="宋体"/>
          <w:color w:val="000000"/>
          <w:sz w:val="21"/>
          <w:szCs w:val="21"/>
          <w:highlight w:val="none"/>
          <w:shd w:val="clear" w:color="auto" w:fill="auto"/>
        </w:rPr>
        <w:t>采购人自收到供应商开具</w:t>
      </w:r>
      <w:r>
        <w:rPr>
          <w:rFonts w:hint="eastAsia" w:ascii="宋体" w:hAnsi="宋体"/>
          <w:color w:val="000000"/>
          <w:sz w:val="21"/>
          <w:szCs w:val="21"/>
          <w:highlight w:val="none"/>
          <w:shd w:val="clear" w:color="auto" w:fill="auto"/>
          <w:lang w:val="en-US" w:eastAsia="zh-CN"/>
        </w:rPr>
        <w:t>中标总金额40%</w:t>
      </w:r>
      <w:r>
        <w:rPr>
          <w:rFonts w:hint="eastAsia" w:ascii="宋体" w:hAnsi="宋体"/>
          <w:color w:val="000000"/>
          <w:sz w:val="21"/>
          <w:szCs w:val="21"/>
          <w:highlight w:val="none"/>
          <w:shd w:val="clear" w:color="auto" w:fill="auto"/>
        </w:rPr>
        <w:t>正式发票和相关</w:t>
      </w:r>
      <w:r>
        <w:rPr>
          <w:rFonts w:hint="eastAsia" w:ascii="宋体" w:hAnsi="宋体"/>
          <w:color w:val="000000"/>
          <w:sz w:val="21"/>
          <w:szCs w:val="21"/>
          <w:highlight w:val="none"/>
          <w:shd w:val="clear" w:color="auto" w:fill="auto"/>
          <w:lang w:val="en-US" w:eastAsia="zh-CN"/>
        </w:rPr>
        <w:t>签收</w:t>
      </w:r>
      <w:r>
        <w:rPr>
          <w:rFonts w:hint="eastAsia" w:ascii="宋体" w:hAnsi="宋体"/>
          <w:color w:val="000000"/>
          <w:sz w:val="21"/>
          <w:szCs w:val="21"/>
          <w:highlight w:val="none"/>
          <w:shd w:val="clear" w:color="auto" w:fill="auto"/>
        </w:rPr>
        <w:t>材料之日起</w:t>
      </w:r>
      <w:r>
        <w:rPr>
          <w:rFonts w:hint="eastAsia" w:ascii="宋体" w:hAnsi="宋体"/>
          <w:color w:val="000000"/>
          <w:sz w:val="21"/>
          <w:szCs w:val="21"/>
          <w:highlight w:val="none"/>
          <w:shd w:val="clear" w:color="auto" w:fill="auto"/>
          <w:lang w:val="en-US" w:eastAsia="zh-CN"/>
        </w:rPr>
        <w:t>7个工作日内支付合同总金额的40%进度款；在</w:t>
      </w:r>
      <w:r>
        <w:rPr>
          <w:rFonts w:hint="eastAsia" w:ascii="宋体" w:hAnsi="宋体"/>
          <w:color w:val="000000"/>
          <w:sz w:val="21"/>
          <w:szCs w:val="21"/>
          <w:highlight w:val="none"/>
          <w:shd w:val="clear" w:color="auto" w:fill="auto"/>
        </w:rPr>
        <w:t>安装完毕、培训相关人员并双方验收合格后，中标供应商开具</w:t>
      </w:r>
      <w:r>
        <w:rPr>
          <w:rFonts w:hint="eastAsia" w:ascii="宋体" w:hAnsi="宋体"/>
          <w:color w:val="000000"/>
          <w:sz w:val="21"/>
          <w:szCs w:val="21"/>
          <w:highlight w:val="none"/>
          <w:shd w:val="clear" w:color="auto" w:fill="auto"/>
          <w:lang w:val="en-US" w:eastAsia="zh-CN"/>
        </w:rPr>
        <w:t>10%</w:t>
      </w:r>
      <w:r>
        <w:rPr>
          <w:rFonts w:hint="eastAsia" w:ascii="宋体" w:hAnsi="宋体"/>
          <w:color w:val="000000"/>
          <w:sz w:val="21"/>
          <w:szCs w:val="21"/>
          <w:highlight w:val="none"/>
          <w:shd w:val="clear" w:color="auto" w:fill="auto"/>
        </w:rPr>
        <w:t>正式发票，并提供</w:t>
      </w:r>
      <w:r>
        <w:rPr>
          <w:rFonts w:hint="eastAsia" w:ascii="宋体" w:hAnsi="宋体"/>
          <w:color w:val="000000"/>
          <w:sz w:val="21"/>
          <w:szCs w:val="21"/>
          <w:highlight w:val="none"/>
          <w:shd w:val="clear" w:color="auto" w:fill="auto"/>
          <w:lang w:val="en-US" w:eastAsia="zh-CN"/>
        </w:rPr>
        <w:t>相关</w:t>
      </w:r>
      <w:r>
        <w:rPr>
          <w:rFonts w:hint="eastAsia" w:ascii="宋体" w:hAnsi="宋体"/>
          <w:color w:val="000000"/>
          <w:sz w:val="21"/>
          <w:szCs w:val="21"/>
          <w:highlight w:val="none"/>
          <w:shd w:val="clear" w:color="auto" w:fill="auto"/>
        </w:rPr>
        <w:t>材料，采购人自收到发票和相关材料之日起</w:t>
      </w:r>
      <w:r>
        <w:rPr>
          <w:rFonts w:hint="eastAsia" w:ascii="宋体" w:hAnsi="宋体"/>
          <w:color w:val="000000"/>
          <w:sz w:val="21"/>
          <w:szCs w:val="21"/>
          <w:highlight w:val="none"/>
          <w:shd w:val="clear" w:color="auto" w:fill="auto"/>
          <w:lang w:val="en-US" w:eastAsia="zh-CN"/>
        </w:rPr>
        <w:t>7个工作日内</w:t>
      </w:r>
      <w:r>
        <w:rPr>
          <w:rFonts w:hint="eastAsia" w:ascii="宋体" w:hAnsi="宋体"/>
          <w:color w:val="000000"/>
          <w:sz w:val="21"/>
          <w:szCs w:val="21"/>
          <w:highlight w:val="none"/>
          <w:shd w:val="clear" w:color="auto" w:fill="auto"/>
        </w:rPr>
        <w:t>一次性支付</w:t>
      </w:r>
      <w:r>
        <w:rPr>
          <w:rFonts w:hint="eastAsia" w:ascii="宋体" w:hAnsi="宋体"/>
          <w:color w:val="000000"/>
          <w:sz w:val="21"/>
          <w:szCs w:val="21"/>
          <w:highlight w:val="none"/>
          <w:shd w:val="clear" w:color="auto" w:fill="auto"/>
          <w:lang w:val="en-US" w:eastAsia="zh-CN"/>
        </w:rPr>
        <w:t>合同总金额的10%货款</w:t>
      </w:r>
      <w:r>
        <w:rPr>
          <w:rFonts w:hint="eastAsia" w:ascii="宋体" w:hAnsi="宋体"/>
          <w:color w:val="000000"/>
          <w:sz w:val="21"/>
          <w:szCs w:val="21"/>
          <w:highlight w:val="none"/>
          <w:shd w:val="clear" w:color="auto" w:fill="auto"/>
        </w:rPr>
        <w:t>（无息）</w:t>
      </w:r>
      <w:r>
        <w:rPr>
          <w:rFonts w:hint="eastAsia" w:ascii="宋体" w:hAnsi="宋体"/>
          <w:color w:val="000000"/>
          <w:sz w:val="21"/>
          <w:szCs w:val="21"/>
          <w:highlight w:val="none"/>
          <w:shd w:val="clear" w:color="auto" w:fill="auto"/>
          <w:lang w:eastAsia="zh-CN"/>
        </w:rPr>
        <w:t>。</w:t>
      </w:r>
    </w:p>
    <w:p w14:paraId="2391D667">
      <w:pPr>
        <w:spacing w:line="400" w:lineRule="exact"/>
        <w:ind w:firstLine="411" w:firstLineChars="196"/>
        <w:outlineLvl w:val="1"/>
        <w:rPr>
          <w:rFonts w:hint="eastAsia" w:ascii="宋体" w:hAnsi="宋体" w:cs="宋体"/>
          <w:b/>
          <w:color w:val="000000"/>
          <w:szCs w:val="21"/>
        </w:rPr>
      </w:pPr>
      <w:r>
        <w:rPr>
          <w:rFonts w:hint="eastAsia" w:ascii="宋体" w:hAnsi="宋体" w:cs="宋体"/>
          <w:b/>
          <w:color w:val="000000"/>
          <w:szCs w:val="21"/>
        </w:rPr>
        <w:t>第十一条  违约责任</w:t>
      </w:r>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792"/>
      <w:bookmarkEnd w:id="793"/>
      <w:bookmarkEnd w:id="794"/>
      <w:bookmarkEnd w:id="795"/>
      <w:bookmarkEnd w:id="796"/>
      <w:bookmarkEnd w:id="797"/>
      <w:bookmarkEnd w:id="798"/>
      <w:bookmarkEnd w:id="799"/>
      <w:bookmarkEnd w:id="800"/>
      <w:bookmarkEnd w:id="801"/>
      <w:bookmarkEnd w:id="802"/>
      <w:bookmarkEnd w:id="803"/>
    </w:p>
    <w:p w14:paraId="1987A38D">
      <w:pPr>
        <w:spacing w:line="380" w:lineRule="exact"/>
        <w:ind w:left="430" w:leftChars="200" w:right="111" w:rightChars="53" w:hanging="10"/>
        <w:rPr>
          <w:rFonts w:hint="eastAsia" w:ascii="宋体" w:hAnsi="宋体" w:cs="宋体"/>
          <w:szCs w:val="21"/>
        </w:rPr>
      </w:pPr>
      <w:r>
        <w:rPr>
          <w:rFonts w:hint="eastAsia" w:ascii="宋体" w:hAnsi="宋体" w:cs="宋体"/>
          <w:szCs w:val="21"/>
        </w:rPr>
        <w:t>1. 乙方所提供的服务质量不合格的，应及时更换，更换不及时的按逾期处罚，乙方应向甲方支付合同金额</w:t>
      </w:r>
      <w:r>
        <w:rPr>
          <w:rFonts w:hint="eastAsia" w:ascii="宋体" w:hAnsi="宋体" w:cs="宋体"/>
          <w:szCs w:val="21"/>
          <w:u w:val="single"/>
        </w:rPr>
        <w:t xml:space="preserve">   % </w:t>
      </w:r>
      <w:r>
        <w:rPr>
          <w:rFonts w:hint="eastAsia" w:ascii="宋体" w:hAnsi="宋体" w:cs="宋体"/>
          <w:szCs w:val="21"/>
        </w:rPr>
        <w:t>违约金并赔偿甲方经济损失。</w:t>
      </w:r>
    </w:p>
    <w:p w14:paraId="328DB89F">
      <w:pPr>
        <w:spacing w:line="380" w:lineRule="exact"/>
        <w:ind w:firstLine="411" w:firstLineChars="196"/>
        <w:rPr>
          <w:rFonts w:hint="eastAsia" w:ascii="宋体" w:hAnsi="宋体" w:cs="宋体"/>
          <w:szCs w:val="21"/>
        </w:rPr>
      </w:pPr>
      <w:r>
        <w:rPr>
          <w:rFonts w:hint="eastAsia" w:ascii="宋体" w:hAnsi="宋体" w:cs="宋体"/>
          <w:szCs w:val="21"/>
        </w:rPr>
        <w:t>2. 乙方提供的服务如果侵犯了第三方合法权益而引发的任何纠纷或诉讼，均由乙方负责交涉并承担全部责任。</w:t>
      </w:r>
    </w:p>
    <w:p w14:paraId="71599CBB">
      <w:pPr>
        <w:spacing w:line="380" w:lineRule="exact"/>
        <w:ind w:left="210" w:leftChars="100" w:firstLine="201" w:firstLineChars="96"/>
        <w:rPr>
          <w:rFonts w:hint="eastAsia" w:ascii="宋体" w:hAnsi="宋体" w:cs="宋体"/>
          <w:szCs w:val="21"/>
        </w:rPr>
      </w:pPr>
      <w:r>
        <w:rPr>
          <w:rFonts w:hint="eastAsia" w:ascii="宋体" w:hAnsi="宋体" w:cs="宋体"/>
          <w:szCs w:val="21"/>
        </w:rPr>
        <w:t>3. 乙方无故延期服务交付的，每天向甲方偿付违约合同金额</w:t>
      </w:r>
      <w:r>
        <w:rPr>
          <w:rFonts w:hint="eastAsia" w:ascii="宋体" w:hAnsi="宋体" w:cs="宋体"/>
          <w:szCs w:val="21"/>
          <w:u w:val="single"/>
        </w:rPr>
        <w:t xml:space="preserve">   1  ‰</w:t>
      </w:r>
      <w:r>
        <w:rPr>
          <w:rFonts w:hint="eastAsia" w:ascii="宋体" w:hAnsi="宋体" w:cs="宋体"/>
          <w:szCs w:val="21"/>
        </w:rPr>
        <w:t>违约金，但违约金累计不得超过合同金额</w:t>
      </w:r>
      <w:r>
        <w:rPr>
          <w:rFonts w:hint="eastAsia" w:ascii="宋体" w:hAnsi="宋体" w:cs="宋体"/>
          <w:szCs w:val="21"/>
          <w:u w:val="single"/>
        </w:rPr>
        <w:t xml:space="preserve">  2  %</w:t>
      </w:r>
      <w:r>
        <w:rPr>
          <w:rFonts w:hint="eastAsia" w:ascii="宋体" w:hAnsi="宋体" w:cs="宋体"/>
          <w:szCs w:val="21"/>
        </w:rPr>
        <w:t>，超过</w:t>
      </w:r>
      <w:r>
        <w:rPr>
          <w:rFonts w:hint="eastAsia" w:ascii="宋体" w:hAnsi="宋体" w:cs="宋体"/>
          <w:szCs w:val="21"/>
          <w:u w:val="single"/>
        </w:rPr>
        <w:t xml:space="preserve">  20  </w:t>
      </w:r>
      <w:r>
        <w:rPr>
          <w:rFonts w:hint="eastAsia" w:ascii="宋体" w:hAnsi="宋体" w:cs="宋体"/>
          <w:szCs w:val="21"/>
        </w:rPr>
        <w:t xml:space="preserve">天甲方有权解除合同，违约方承担因此给对方造成经济损失； </w:t>
      </w:r>
    </w:p>
    <w:p w14:paraId="56874ECE">
      <w:pPr>
        <w:spacing w:line="380" w:lineRule="exact"/>
        <w:ind w:left="210" w:leftChars="100" w:firstLine="201" w:firstLineChars="96"/>
        <w:rPr>
          <w:rFonts w:hint="eastAsia" w:ascii="宋体" w:hAnsi="宋体" w:cs="宋体"/>
          <w:szCs w:val="21"/>
        </w:rPr>
      </w:pPr>
      <w:r>
        <w:rPr>
          <w:rFonts w:hint="eastAsia" w:ascii="宋体" w:hAnsi="宋体" w:cs="宋体"/>
          <w:szCs w:val="21"/>
        </w:rPr>
        <w:t>4. 乙方未按本合同和投标文件中规定的服务承诺提供服务的，乙方应按本合同合同金额</w:t>
      </w:r>
      <w:r>
        <w:rPr>
          <w:rFonts w:hint="eastAsia" w:ascii="宋体" w:hAnsi="宋体" w:cs="宋体"/>
          <w:szCs w:val="21"/>
          <w:u w:val="single"/>
        </w:rPr>
        <w:t xml:space="preserve">    %</w:t>
      </w:r>
      <w:r>
        <w:rPr>
          <w:rFonts w:hint="eastAsia" w:ascii="宋体" w:hAnsi="宋体" w:cs="宋体"/>
          <w:szCs w:val="21"/>
        </w:rPr>
        <w:t>向甲方支付违约金。</w:t>
      </w:r>
    </w:p>
    <w:p w14:paraId="0DC33120">
      <w:pPr>
        <w:spacing w:line="380" w:lineRule="exact"/>
        <w:ind w:firstLine="411" w:firstLineChars="196"/>
        <w:rPr>
          <w:rFonts w:hint="eastAsia" w:ascii="宋体" w:hAnsi="宋体" w:cs="宋体"/>
          <w:szCs w:val="21"/>
        </w:rPr>
      </w:pPr>
      <w:r>
        <w:rPr>
          <w:rFonts w:hint="eastAsia" w:ascii="宋体" w:hAnsi="宋体" w:cs="宋体"/>
          <w:szCs w:val="21"/>
        </w:rPr>
        <w:t>5. 其他违约行为按照合同金额额</w:t>
      </w:r>
      <w:r>
        <w:rPr>
          <w:rFonts w:hint="eastAsia" w:ascii="宋体" w:hAnsi="宋体" w:cs="宋体"/>
          <w:szCs w:val="21"/>
          <w:u w:val="single"/>
        </w:rPr>
        <w:t xml:space="preserve">   %</w:t>
      </w:r>
      <w:r>
        <w:rPr>
          <w:rFonts w:hint="eastAsia" w:ascii="宋体" w:hAnsi="宋体" w:cs="宋体"/>
          <w:szCs w:val="21"/>
        </w:rPr>
        <w:t>收取违约金并赔偿经济损失。</w:t>
      </w:r>
    </w:p>
    <w:p w14:paraId="58926652">
      <w:pPr>
        <w:spacing w:line="380" w:lineRule="exact"/>
        <w:ind w:firstLine="411" w:firstLineChars="196"/>
        <w:outlineLvl w:val="1"/>
        <w:rPr>
          <w:rFonts w:hint="eastAsia" w:ascii="宋体" w:hAnsi="宋体" w:cs="宋体"/>
          <w:b/>
          <w:szCs w:val="21"/>
        </w:rPr>
      </w:pPr>
      <w:bookmarkStart w:id="804" w:name="_Toc415"/>
      <w:bookmarkStart w:id="805" w:name="_Toc495841779"/>
      <w:bookmarkStart w:id="806" w:name="_Toc583"/>
      <w:bookmarkStart w:id="807" w:name="_Toc13502"/>
      <w:bookmarkStart w:id="808" w:name="_Toc31351"/>
      <w:bookmarkStart w:id="809" w:name="_Toc24844"/>
      <w:bookmarkStart w:id="810" w:name="_Toc15595"/>
      <w:bookmarkStart w:id="811" w:name="_Toc26162"/>
      <w:bookmarkStart w:id="812" w:name="_Toc21774"/>
      <w:bookmarkStart w:id="813" w:name="_Toc16076"/>
      <w:bookmarkStart w:id="814" w:name="_Toc10393"/>
      <w:bookmarkStart w:id="815" w:name="_Toc18541"/>
      <w:bookmarkStart w:id="816" w:name="_Toc25695"/>
      <w:bookmarkStart w:id="817" w:name="_Toc16225"/>
      <w:bookmarkStart w:id="818" w:name="_Toc3965"/>
      <w:bookmarkStart w:id="819" w:name="_Toc12124"/>
      <w:bookmarkStart w:id="820" w:name="_Toc26415"/>
      <w:bookmarkStart w:id="821" w:name="_Toc19117"/>
      <w:bookmarkStart w:id="822" w:name="_Toc26465"/>
      <w:bookmarkStart w:id="823" w:name="_Toc10840"/>
      <w:bookmarkStart w:id="824" w:name="_Toc5808"/>
      <w:bookmarkStart w:id="825" w:name="_Toc20057"/>
      <w:bookmarkStart w:id="826" w:name="_Toc31099"/>
      <w:bookmarkStart w:id="827" w:name="_Toc24236"/>
      <w:bookmarkStart w:id="828" w:name="_Toc28543"/>
      <w:bookmarkStart w:id="829" w:name="_Toc13104"/>
      <w:bookmarkStart w:id="830" w:name="_Toc27837"/>
      <w:r>
        <w:rPr>
          <w:rFonts w:hint="eastAsia" w:ascii="宋体" w:hAnsi="宋体" w:cs="宋体"/>
          <w:b/>
          <w:szCs w:val="21"/>
        </w:rPr>
        <w:t>第十二条  不可抗力事件处理</w:t>
      </w:r>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7439209F">
      <w:pPr>
        <w:spacing w:line="380" w:lineRule="exact"/>
        <w:ind w:firstLine="420" w:firstLineChars="200"/>
        <w:rPr>
          <w:rFonts w:hint="eastAsia" w:ascii="宋体" w:hAnsi="宋体" w:cs="宋体"/>
          <w:szCs w:val="21"/>
        </w:rPr>
      </w:pPr>
      <w:r>
        <w:rPr>
          <w:rFonts w:hint="eastAsia" w:ascii="宋体" w:hAnsi="宋体" w:cs="宋体"/>
          <w:szCs w:val="21"/>
        </w:rPr>
        <w:t>1.在合同有效期内，乙方因不可抗力事件导致不能履行合同，则合同履行期可延长，其延长期与不可抗力影响期相同。</w:t>
      </w:r>
    </w:p>
    <w:p w14:paraId="73685158">
      <w:pPr>
        <w:spacing w:line="380" w:lineRule="exact"/>
        <w:ind w:left="420"/>
        <w:rPr>
          <w:rFonts w:hint="eastAsia" w:ascii="宋体" w:hAnsi="宋体" w:cs="宋体"/>
          <w:szCs w:val="21"/>
        </w:rPr>
      </w:pPr>
      <w:r>
        <w:rPr>
          <w:rFonts w:hint="eastAsia" w:ascii="宋体" w:hAnsi="宋体" w:cs="宋体"/>
          <w:szCs w:val="21"/>
        </w:rPr>
        <w:t>2.不可抗力事件发生后，应立即通知对方，并寄送有关权威机构出具的证明。</w:t>
      </w:r>
    </w:p>
    <w:p w14:paraId="1A1A315E">
      <w:pPr>
        <w:spacing w:line="380" w:lineRule="exact"/>
        <w:ind w:left="420"/>
        <w:rPr>
          <w:rFonts w:hint="eastAsia" w:ascii="宋体" w:hAnsi="宋体" w:cs="宋体"/>
          <w:szCs w:val="21"/>
        </w:rPr>
      </w:pPr>
      <w:r>
        <w:rPr>
          <w:rFonts w:hint="eastAsia" w:ascii="宋体" w:hAnsi="宋体" w:cs="宋体"/>
          <w:szCs w:val="21"/>
        </w:rPr>
        <w:t>3.不可抗力事件延续一百二十天以上，双方应通过友好协商，确定是否继续履行合同。</w:t>
      </w:r>
    </w:p>
    <w:p w14:paraId="0BA1B4CB">
      <w:pPr>
        <w:spacing w:line="380" w:lineRule="exact"/>
        <w:ind w:firstLine="411" w:firstLineChars="196"/>
        <w:outlineLvl w:val="1"/>
        <w:rPr>
          <w:rFonts w:hint="eastAsia" w:ascii="宋体" w:hAnsi="宋体" w:cs="宋体"/>
          <w:b/>
          <w:szCs w:val="21"/>
        </w:rPr>
      </w:pPr>
      <w:bookmarkStart w:id="831" w:name="_Toc28369"/>
      <w:bookmarkStart w:id="832" w:name="_Toc6737"/>
      <w:bookmarkStart w:id="833" w:name="_Toc4428"/>
      <w:bookmarkStart w:id="834" w:name="_Toc20918"/>
      <w:bookmarkStart w:id="835" w:name="_Toc10613"/>
      <w:bookmarkStart w:id="836" w:name="_Toc2850"/>
      <w:bookmarkStart w:id="837" w:name="_Toc20796"/>
      <w:bookmarkStart w:id="838" w:name="_Toc1190"/>
      <w:bookmarkStart w:id="839" w:name="_Toc5847"/>
      <w:bookmarkStart w:id="840" w:name="_Toc15232"/>
      <w:bookmarkStart w:id="841" w:name="_Toc6977"/>
      <w:bookmarkStart w:id="842" w:name="_Toc11559"/>
      <w:bookmarkStart w:id="843" w:name="_Toc9513"/>
      <w:bookmarkStart w:id="844" w:name="_Toc7458"/>
      <w:bookmarkStart w:id="845" w:name="_Toc22031"/>
      <w:bookmarkStart w:id="846" w:name="_Toc17782"/>
      <w:bookmarkStart w:id="847" w:name="_Toc9"/>
      <w:bookmarkStart w:id="848" w:name="_Toc9593"/>
      <w:bookmarkStart w:id="849" w:name="_Toc28778"/>
      <w:bookmarkStart w:id="850" w:name="_Toc14366"/>
      <w:bookmarkStart w:id="851" w:name="_Toc495841780"/>
      <w:bookmarkStart w:id="852" w:name="_Toc3675"/>
      <w:bookmarkStart w:id="853" w:name="_Toc12106"/>
      <w:bookmarkStart w:id="854" w:name="_Toc26005"/>
      <w:bookmarkStart w:id="855" w:name="_Toc17451"/>
      <w:bookmarkStart w:id="856" w:name="_Toc903"/>
      <w:bookmarkStart w:id="857" w:name="_Toc12091"/>
      <w:r>
        <w:rPr>
          <w:rFonts w:hint="eastAsia" w:ascii="宋体" w:hAnsi="宋体" w:cs="宋体"/>
          <w:b/>
          <w:szCs w:val="21"/>
        </w:rPr>
        <w:t>第十三条  合同争议解决</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p>
    <w:p w14:paraId="3C266A46">
      <w:pPr>
        <w:spacing w:line="380" w:lineRule="exact"/>
        <w:ind w:firstLine="420" w:firstLineChars="200"/>
        <w:rPr>
          <w:rFonts w:hint="eastAsia" w:ascii="宋体" w:hAnsi="宋体" w:cs="宋体"/>
          <w:szCs w:val="21"/>
        </w:rPr>
      </w:pPr>
      <w:bookmarkStart w:id="858" w:name="_Toc495841781"/>
      <w:bookmarkStart w:id="859" w:name="_Toc26915"/>
      <w:r>
        <w:rPr>
          <w:rFonts w:hint="eastAsia" w:ascii="宋体" w:hAnsi="宋体" w:cs="宋体"/>
          <w:szCs w:val="21"/>
        </w:rPr>
        <w:t>1.因服务问题发生争议的，应邀请国家认可的相关机构进行鉴定。服务符合要求的，鉴定费由采购人承担；服务不符合要求的，鉴定费由成交供应商承担。</w:t>
      </w:r>
    </w:p>
    <w:p w14:paraId="6BEA786E">
      <w:pPr>
        <w:spacing w:line="380" w:lineRule="exact"/>
        <w:ind w:firstLine="420" w:firstLineChars="200"/>
        <w:rPr>
          <w:rFonts w:hint="eastAsia" w:ascii="宋体" w:hAnsi="宋体" w:cs="宋体"/>
          <w:szCs w:val="21"/>
        </w:rPr>
      </w:pPr>
      <w:r>
        <w:rPr>
          <w:rFonts w:hint="eastAsia" w:ascii="宋体" w:hAnsi="宋体" w:cs="宋体"/>
          <w:szCs w:val="21"/>
        </w:rPr>
        <w:t>2.因履行本合同引起的或与本合同有关的争议，甲乙双方应首先通过友好协商解决，如果协商不能解决，可向</w:t>
      </w:r>
      <w:r>
        <w:rPr>
          <w:rFonts w:hint="eastAsia" w:ascii="宋体" w:hAnsi="宋体" w:eastAsia="宋体" w:cs="宋体"/>
          <w:b w:val="0"/>
          <w:bCs w:val="0"/>
          <w:sz w:val="21"/>
          <w:szCs w:val="21"/>
          <w:lang w:val="en-US" w:eastAsia="zh-CN"/>
        </w:rPr>
        <w:t>甲方所在地有管辖权的人民法院</w:t>
      </w:r>
      <w:r>
        <w:rPr>
          <w:rFonts w:hint="eastAsia" w:ascii="宋体" w:hAnsi="宋体" w:cs="宋体"/>
          <w:szCs w:val="21"/>
        </w:rPr>
        <w:t>提起诉讼。</w:t>
      </w:r>
    </w:p>
    <w:p w14:paraId="57EEE635">
      <w:pPr>
        <w:spacing w:line="380" w:lineRule="exact"/>
        <w:ind w:left="435"/>
        <w:rPr>
          <w:rFonts w:hint="eastAsia" w:ascii="宋体" w:hAnsi="宋体" w:cs="宋体"/>
          <w:szCs w:val="21"/>
        </w:rPr>
      </w:pPr>
      <w:r>
        <w:rPr>
          <w:rFonts w:hint="eastAsia" w:ascii="宋体" w:hAnsi="宋体" w:cs="宋体"/>
          <w:szCs w:val="21"/>
        </w:rPr>
        <w:t>3.诉讼期间，本合同继续履行。</w:t>
      </w:r>
    </w:p>
    <w:p w14:paraId="7674A409">
      <w:pPr>
        <w:spacing w:line="380" w:lineRule="exact"/>
        <w:ind w:firstLine="411" w:firstLineChars="196"/>
        <w:outlineLvl w:val="1"/>
        <w:rPr>
          <w:rFonts w:hint="eastAsia" w:ascii="宋体" w:hAnsi="宋体" w:cs="宋体"/>
          <w:b/>
          <w:szCs w:val="21"/>
        </w:rPr>
      </w:pPr>
      <w:bookmarkStart w:id="860" w:name="_Toc7748"/>
      <w:bookmarkStart w:id="861" w:name="_Toc21506"/>
      <w:bookmarkStart w:id="862" w:name="_Toc6511"/>
      <w:bookmarkStart w:id="863" w:name="_Toc869"/>
      <w:bookmarkStart w:id="864" w:name="_Toc6185"/>
      <w:bookmarkStart w:id="865" w:name="_Toc6654"/>
      <w:bookmarkStart w:id="866" w:name="_Toc3719"/>
      <w:bookmarkStart w:id="867" w:name="_Toc12703"/>
      <w:bookmarkStart w:id="868" w:name="_Toc20402"/>
      <w:bookmarkStart w:id="869" w:name="_Toc21111"/>
      <w:bookmarkStart w:id="870" w:name="_Toc16028"/>
      <w:bookmarkStart w:id="871" w:name="_Toc30073"/>
      <w:bookmarkStart w:id="872" w:name="_Toc21285"/>
      <w:bookmarkStart w:id="873" w:name="_Toc26569"/>
      <w:bookmarkStart w:id="874" w:name="_Toc11735"/>
      <w:bookmarkStart w:id="875" w:name="_Toc29835"/>
      <w:bookmarkStart w:id="876" w:name="_Toc24483"/>
      <w:bookmarkStart w:id="877" w:name="_Toc28082"/>
      <w:bookmarkStart w:id="878" w:name="_Toc29227"/>
      <w:bookmarkStart w:id="879" w:name="_Toc9426"/>
      <w:bookmarkStart w:id="880" w:name="_Toc7309"/>
      <w:bookmarkStart w:id="881" w:name="_Toc8733"/>
      <w:bookmarkStart w:id="882" w:name="_Toc19098"/>
      <w:bookmarkStart w:id="883" w:name="_Toc7636"/>
      <w:bookmarkStart w:id="884" w:name="_Toc22717"/>
      <w:r>
        <w:rPr>
          <w:rFonts w:hint="eastAsia" w:ascii="宋体" w:hAnsi="宋体" w:cs="宋体"/>
          <w:b/>
          <w:szCs w:val="21"/>
        </w:rPr>
        <w:t>第十四条  合同生效及其它</w:t>
      </w:r>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p>
    <w:p w14:paraId="4C7AF513">
      <w:pPr>
        <w:spacing w:line="380" w:lineRule="exact"/>
        <w:ind w:firstLine="420" w:firstLineChars="200"/>
        <w:rPr>
          <w:rFonts w:hint="eastAsia" w:ascii="宋体" w:hAnsi="宋体" w:cs="宋体"/>
          <w:szCs w:val="21"/>
        </w:rPr>
      </w:pPr>
      <w:r>
        <w:rPr>
          <w:rFonts w:hint="eastAsia" w:ascii="宋体" w:hAnsi="宋体" w:cs="宋体"/>
          <w:szCs w:val="21"/>
        </w:rPr>
        <w:t>1.合同经甲乙双方法定代表人、负责人、自然人或相应的授权代表签字并加盖投标人公章后生效。</w:t>
      </w:r>
    </w:p>
    <w:p w14:paraId="6EB4F60C">
      <w:pPr>
        <w:spacing w:line="380" w:lineRule="exact"/>
        <w:ind w:firstLine="420" w:firstLineChars="200"/>
        <w:rPr>
          <w:rFonts w:hint="eastAsia" w:ascii="宋体" w:hAnsi="宋体" w:cs="宋体"/>
          <w:szCs w:val="21"/>
        </w:rPr>
      </w:pPr>
      <w:r>
        <w:rPr>
          <w:rFonts w:hint="eastAsia" w:ascii="宋体" w:hAnsi="宋体" w:cs="宋体"/>
          <w:szCs w:val="21"/>
        </w:rPr>
        <w:t>2.合同执行中涉及采购资金和采购内容修改或补充的，需经本级财政部门审批，并签订书面补充协议报本级财政部门备案，方可作为主合同不可分割的一部分。</w:t>
      </w:r>
    </w:p>
    <w:p w14:paraId="04652E38">
      <w:pPr>
        <w:spacing w:line="380" w:lineRule="exact"/>
        <w:ind w:left="435"/>
        <w:rPr>
          <w:rFonts w:hint="eastAsia" w:ascii="宋体" w:hAnsi="宋体" w:cs="宋体"/>
          <w:szCs w:val="21"/>
        </w:rPr>
      </w:pPr>
      <w:r>
        <w:rPr>
          <w:rFonts w:hint="eastAsia" w:ascii="宋体" w:hAnsi="宋体" w:cs="宋体"/>
          <w:szCs w:val="21"/>
        </w:rPr>
        <w:t>3.本合同未尽事宜，遵照《中华人民共和国民法典》有关条文执行。</w:t>
      </w:r>
    </w:p>
    <w:p w14:paraId="3EF0EB8E">
      <w:pPr>
        <w:spacing w:line="380" w:lineRule="exact"/>
        <w:ind w:firstLine="411" w:firstLineChars="196"/>
        <w:outlineLvl w:val="1"/>
        <w:rPr>
          <w:rFonts w:hint="eastAsia" w:ascii="宋体" w:hAnsi="宋体" w:cs="宋体"/>
          <w:b/>
          <w:szCs w:val="21"/>
        </w:rPr>
      </w:pPr>
      <w:bookmarkStart w:id="885" w:name="_Toc31869"/>
      <w:bookmarkStart w:id="886" w:name="_Toc21080"/>
      <w:bookmarkStart w:id="887" w:name="_Toc5655"/>
      <w:bookmarkStart w:id="888" w:name="_Toc24784"/>
      <w:bookmarkStart w:id="889" w:name="_Toc13260"/>
      <w:bookmarkStart w:id="890" w:name="_Toc25970"/>
      <w:bookmarkStart w:id="891" w:name="_Toc14392"/>
      <w:bookmarkStart w:id="892" w:name="_Toc31589"/>
      <w:bookmarkStart w:id="893" w:name="_Toc5794"/>
      <w:bookmarkStart w:id="894" w:name="_Toc13964"/>
      <w:bookmarkStart w:id="895" w:name="_Toc16310"/>
      <w:bookmarkStart w:id="896" w:name="_Toc2489"/>
      <w:bookmarkStart w:id="897" w:name="_Toc10983"/>
      <w:bookmarkStart w:id="898" w:name="_Toc2494"/>
      <w:bookmarkStart w:id="899" w:name="_Toc16419"/>
      <w:bookmarkStart w:id="900" w:name="_Toc20803"/>
      <w:bookmarkStart w:id="901" w:name="_Toc24577"/>
      <w:bookmarkStart w:id="902" w:name="_Toc495841782"/>
      <w:bookmarkStart w:id="903" w:name="_Toc10933"/>
      <w:bookmarkStart w:id="904" w:name="_Toc5670"/>
      <w:bookmarkStart w:id="905" w:name="_Toc14850"/>
      <w:bookmarkStart w:id="906" w:name="_Toc14733"/>
      <w:bookmarkStart w:id="907" w:name="_Toc25677"/>
      <w:bookmarkStart w:id="908" w:name="_Toc12949"/>
      <w:bookmarkStart w:id="909" w:name="_Toc20115"/>
      <w:bookmarkStart w:id="910" w:name="_Toc8427"/>
      <w:bookmarkStart w:id="911" w:name="_Toc7137"/>
      <w:r>
        <w:rPr>
          <w:rFonts w:hint="eastAsia" w:ascii="宋体" w:hAnsi="宋体" w:cs="宋体"/>
          <w:b/>
          <w:szCs w:val="21"/>
        </w:rPr>
        <w:t>第十五条  合同的变更、终止与转让</w:t>
      </w:r>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p>
    <w:p w14:paraId="216027D4">
      <w:pPr>
        <w:spacing w:line="380" w:lineRule="exact"/>
        <w:ind w:firstLine="420" w:firstLineChars="200"/>
        <w:rPr>
          <w:rFonts w:hint="eastAsia" w:ascii="宋体" w:hAnsi="宋体" w:cs="宋体"/>
          <w:szCs w:val="21"/>
        </w:rPr>
      </w:pPr>
      <w:r>
        <w:rPr>
          <w:rFonts w:hint="eastAsia" w:ascii="宋体" w:hAnsi="宋体" w:cs="宋体"/>
          <w:szCs w:val="21"/>
        </w:rPr>
        <w:t>1.除《中华人民共和国政府采购法》第五十条规定的情形外，本合同一经签订，甲乙双方不得擅自变更，中止或终止。</w:t>
      </w:r>
    </w:p>
    <w:p w14:paraId="40AF4DA1">
      <w:pPr>
        <w:spacing w:line="380" w:lineRule="exact"/>
        <w:ind w:left="420"/>
        <w:rPr>
          <w:rFonts w:hint="eastAsia" w:ascii="宋体" w:hAnsi="宋体" w:cs="宋体"/>
          <w:szCs w:val="21"/>
        </w:rPr>
      </w:pPr>
      <w:r>
        <w:rPr>
          <w:rFonts w:hint="eastAsia" w:ascii="宋体" w:hAnsi="宋体" w:cs="宋体"/>
          <w:szCs w:val="21"/>
        </w:rPr>
        <w:t>2.乙方不得擅自转让(无进口资格的供应商委托进口货物除外)其应履行的合同义务。</w:t>
      </w:r>
    </w:p>
    <w:p w14:paraId="6EA55BE0">
      <w:pPr>
        <w:spacing w:line="380" w:lineRule="exact"/>
        <w:ind w:firstLine="411" w:firstLineChars="196"/>
        <w:outlineLvl w:val="1"/>
        <w:rPr>
          <w:rFonts w:hint="eastAsia" w:ascii="宋体" w:hAnsi="宋体" w:cs="宋体"/>
          <w:b/>
          <w:szCs w:val="21"/>
        </w:rPr>
      </w:pPr>
      <w:bookmarkStart w:id="912" w:name="_Toc1023"/>
      <w:bookmarkStart w:id="913" w:name="_Toc27304"/>
      <w:bookmarkStart w:id="914" w:name="_Toc23580"/>
      <w:bookmarkStart w:id="915" w:name="_Toc25942"/>
      <w:bookmarkStart w:id="916" w:name="_Toc3766"/>
      <w:bookmarkStart w:id="917" w:name="_Toc17074"/>
      <w:bookmarkStart w:id="918" w:name="_Toc9575"/>
      <w:bookmarkStart w:id="919" w:name="_Toc22404"/>
      <w:bookmarkStart w:id="920" w:name="_Toc570"/>
      <w:bookmarkStart w:id="921" w:name="_Toc11079"/>
      <w:bookmarkStart w:id="922" w:name="_Toc2939"/>
      <w:bookmarkStart w:id="923" w:name="_Toc19322"/>
      <w:bookmarkStart w:id="924" w:name="_Toc2849"/>
      <w:bookmarkStart w:id="925" w:name="_Toc19767"/>
      <w:bookmarkStart w:id="926" w:name="_Toc5468"/>
      <w:bookmarkStart w:id="927" w:name="_Toc16104"/>
      <w:bookmarkStart w:id="928" w:name="_Toc24448"/>
      <w:bookmarkStart w:id="929" w:name="_Toc5360"/>
      <w:bookmarkStart w:id="930" w:name="_Toc30417"/>
      <w:bookmarkStart w:id="931" w:name="_Toc28306"/>
      <w:bookmarkStart w:id="932" w:name="_Toc19588"/>
      <w:bookmarkStart w:id="933" w:name="_Toc12652"/>
      <w:bookmarkStart w:id="934" w:name="_Toc15545"/>
      <w:bookmarkStart w:id="935" w:name="_Toc27020"/>
      <w:bookmarkStart w:id="936" w:name="_Toc11402"/>
      <w:bookmarkStart w:id="937" w:name="_Toc16691"/>
      <w:bookmarkStart w:id="938" w:name="_Toc495841783"/>
      <w:r>
        <w:rPr>
          <w:rFonts w:hint="eastAsia" w:ascii="宋体" w:hAnsi="宋体" w:cs="宋体"/>
          <w:b/>
          <w:szCs w:val="21"/>
        </w:rPr>
        <w:t>第十六条  签订本合同依据</w:t>
      </w:r>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57ED9A68">
      <w:pPr>
        <w:spacing w:line="380" w:lineRule="exact"/>
        <w:ind w:left="420"/>
        <w:rPr>
          <w:rFonts w:hint="eastAsia" w:ascii="宋体" w:hAnsi="宋体" w:cs="宋体"/>
          <w:szCs w:val="21"/>
        </w:rPr>
      </w:pPr>
      <w:r>
        <w:rPr>
          <w:rFonts w:hint="eastAsia" w:ascii="宋体" w:hAnsi="宋体" w:cs="宋体"/>
          <w:szCs w:val="21"/>
        </w:rPr>
        <w:t>1.</w:t>
      </w:r>
      <w:r>
        <w:rPr>
          <w:rFonts w:hint="eastAsia" w:ascii="宋体" w:hAnsi="宋体" w:cs="宋体"/>
          <w:color w:val="000000"/>
          <w:szCs w:val="21"/>
        </w:rPr>
        <w:t>竞争性谈判</w:t>
      </w:r>
      <w:r>
        <w:rPr>
          <w:rFonts w:hint="eastAsia" w:ascii="宋体" w:hAnsi="宋体" w:cs="宋体"/>
          <w:szCs w:val="21"/>
        </w:rPr>
        <w:t>文件；</w:t>
      </w:r>
    </w:p>
    <w:p w14:paraId="3948A588">
      <w:pPr>
        <w:spacing w:line="380" w:lineRule="exact"/>
        <w:ind w:left="420"/>
        <w:rPr>
          <w:rFonts w:hint="eastAsia" w:ascii="宋体" w:hAnsi="宋体" w:cs="宋体"/>
          <w:szCs w:val="21"/>
        </w:rPr>
      </w:pPr>
      <w:r>
        <w:rPr>
          <w:rFonts w:hint="eastAsia" w:ascii="宋体" w:hAnsi="宋体" w:cs="宋体"/>
          <w:szCs w:val="21"/>
        </w:rPr>
        <w:t>2.乙方提供的响应（或应答）文件；</w:t>
      </w:r>
    </w:p>
    <w:p w14:paraId="1A2665F6">
      <w:pPr>
        <w:spacing w:line="380" w:lineRule="exact"/>
        <w:ind w:left="420"/>
        <w:rPr>
          <w:rFonts w:hint="eastAsia" w:ascii="宋体" w:hAnsi="宋体" w:cs="宋体"/>
          <w:szCs w:val="21"/>
        </w:rPr>
      </w:pPr>
      <w:r>
        <w:rPr>
          <w:rFonts w:hint="eastAsia" w:ascii="宋体" w:hAnsi="宋体" w:cs="宋体"/>
          <w:szCs w:val="21"/>
        </w:rPr>
        <w:t>3.服务承诺书；</w:t>
      </w:r>
    </w:p>
    <w:p w14:paraId="33A6668D">
      <w:pPr>
        <w:spacing w:line="380" w:lineRule="exact"/>
        <w:ind w:left="420"/>
        <w:rPr>
          <w:rFonts w:hint="eastAsia" w:ascii="宋体" w:hAnsi="宋体" w:cs="宋体"/>
          <w:szCs w:val="21"/>
        </w:rPr>
      </w:pPr>
      <w:r>
        <w:rPr>
          <w:rFonts w:hint="eastAsia" w:ascii="宋体" w:hAnsi="宋体" w:cs="宋体"/>
          <w:szCs w:val="21"/>
        </w:rPr>
        <w:t>4.成交通知书。</w:t>
      </w:r>
    </w:p>
    <w:p w14:paraId="685FEDAB">
      <w:pPr>
        <w:spacing w:line="420" w:lineRule="exact"/>
        <w:ind w:firstLine="420" w:firstLineChars="200"/>
        <w:jc w:val="left"/>
        <w:rPr>
          <w:rFonts w:hint="eastAsia" w:ascii="宋体" w:hAnsi="宋体" w:cs="宋体"/>
          <w:b/>
          <w:bCs/>
          <w:szCs w:val="21"/>
        </w:rPr>
      </w:pPr>
      <w:r>
        <w:rPr>
          <w:rFonts w:hint="eastAsia" w:ascii="宋体" w:hAnsi="宋体" w:cs="宋体"/>
          <w:b/>
          <w:bCs/>
          <w:szCs w:val="21"/>
        </w:rPr>
        <w:t>第十七条  合同文件</w:t>
      </w:r>
    </w:p>
    <w:p w14:paraId="391946EF">
      <w:pPr>
        <w:spacing w:line="420" w:lineRule="exact"/>
        <w:ind w:firstLine="420" w:firstLineChars="200"/>
        <w:jc w:val="left"/>
        <w:rPr>
          <w:rFonts w:hint="eastAsia" w:ascii="宋体" w:hAnsi="宋体" w:cs="宋体"/>
          <w:szCs w:val="21"/>
        </w:rPr>
      </w:pPr>
      <w:r>
        <w:rPr>
          <w:rFonts w:hint="eastAsia" w:ascii="宋体" w:hAnsi="宋体" w:cs="宋体"/>
          <w:szCs w:val="21"/>
        </w:rPr>
        <w:t>本合同所附下列文件是构成本合同不可分割的部分：</w:t>
      </w:r>
    </w:p>
    <w:p w14:paraId="10824737">
      <w:pPr>
        <w:spacing w:line="420" w:lineRule="exact"/>
        <w:ind w:firstLine="420" w:firstLineChars="200"/>
        <w:jc w:val="left"/>
        <w:rPr>
          <w:rFonts w:hint="eastAsia" w:ascii="宋体" w:hAnsi="宋体" w:cs="宋体"/>
          <w:szCs w:val="21"/>
        </w:rPr>
      </w:pPr>
      <w:r>
        <w:rPr>
          <w:rFonts w:hint="eastAsia" w:ascii="宋体" w:hAnsi="宋体" w:cs="宋体"/>
          <w:szCs w:val="21"/>
        </w:rPr>
        <w:t>1.竞争性谈判文件；</w:t>
      </w:r>
    </w:p>
    <w:p w14:paraId="57996E8E">
      <w:pPr>
        <w:spacing w:line="420" w:lineRule="exact"/>
        <w:ind w:firstLine="420" w:firstLineChars="200"/>
        <w:jc w:val="left"/>
        <w:rPr>
          <w:rFonts w:hint="eastAsia" w:ascii="宋体" w:hAnsi="宋体" w:cs="宋体"/>
          <w:szCs w:val="21"/>
        </w:rPr>
      </w:pPr>
      <w:r>
        <w:rPr>
          <w:rFonts w:hint="eastAsia" w:ascii="宋体" w:hAnsi="宋体" w:cs="宋体"/>
          <w:szCs w:val="21"/>
        </w:rPr>
        <w:t>2.乙方提供的响应（或应答）文件；</w:t>
      </w:r>
    </w:p>
    <w:p w14:paraId="731F1B2D">
      <w:pPr>
        <w:spacing w:line="420" w:lineRule="exact"/>
        <w:ind w:firstLine="420" w:firstLineChars="200"/>
        <w:jc w:val="left"/>
        <w:rPr>
          <w:rFonts w:hint="eastAsia" w:ascii="宋体" w:hAnsi="宋体" w:cs="宋体"/>
          <w:szCs w:val="21"/>
        </w:rPr>
      </w:pPr>
      <w:r>
        <w:rPr>
          <w:rFonts w:hint="eastAsia" w:ascii="宋体" w:hAnsi="宋体" w:cs="宋体"/>
          <w:szCs w:val="21"/>
        </w:rPr>
        <w:t>3.成交通知书；</w:t>
      </w:r>
    </w:p>
    <w:p w14:paraId="1AF12996">
      <w:pPr>
        <w:pStyle w:val="25"/>
        <w:ind w:left="0" w:leftChars="0"/>
        <w:rPr>
          <w:rFonts w:hint="eastAsia"/>
        </w:rPr>
      </w:pPr>
      <w:r>
        <w:rPr>
          <w:rFonts w:hint="eastAsia" w:ascii="宋体" w:hAnsi="宋体" w:cs="宋体"/>
          <w:szCs w:val="21"/>
        </w:rPr>
        <w:t>4.本合同协议书及有关补充资料。</w:t>
      </w:r>
    </w:p>
    <w:p w14:paraId="1D0917BA">
      <w:pPr>
        <w:spacing w:line="400" w:lineRule="exact"/>
        <w:ind w:firstLine="420" w:firstLineChars="200"/>
        <w:rPr>
          <w:rFonts w:hint="eastAsia" w:ascii="宋体" w:hAnsi="宋体" w:cs="宋体"/>
          <w:szCs w:val="21"/>
        </w:rPr>
      </w:pPr>
      <w:r>
        <w:rPr>
          <w:rFonts w:hint="eastAsia" w:ascii="宋体" w:hAnsi="宋体" w:cs="宋体"/>
          <w:szCs w:val="21"/>
        </w:rPr>
        <w:t>政府采购合同双方自签订之日起将自动存档于“广西政府采购云平台”平台上，采购人于合同签订之日起七个工作日内将一份合同原件送本级财政部门备案。</w:t>
      </w:r>
    </w:p>
    <w:p w14:paraId="64251A87">
      <w:pPr>
        <w:spacing w:line="380" w:lineRule="exact"/>
        <w:rPr>
          <w:rFonts w:hint="eastAsia" w:ascii="宋体" w:hAnsi="宋体" w:cs="宋体"/>
          <w:szCs w:val="21"/>
        </w:rPr>
      </w:pPr>
    </w:p>
    <w:p w14:paraId="6483D3B9">
      <w:pPr>
        <w:spacing w:line="380" w:lineRule="exact"/>
        <w:rPr>
          <w:rFonts w:hint="eastAsia" w:ascii="宋体" w:hAnsi="宋体" w:cs="宋体"/>
          <w:szCs w:val="21"/>
        </w:rPr>
      </w:pPr>
    </w:p>
    <w:p w14:paraId="400AD17A">
      <w:pPr>
        <w:spacing w:line="380" w:lineRule="exact"/>
        <w:rPr>
          <w:rFonts w:hint="eastAsia" w:ascii="宋体" w:hAnsi="宋体" w:cs="宋体"/>
          <w:szCs w:val="21"/>
        </w:rPr>
      </w:pPr>
    </w:p>
    <w:p w14:paraId="4EB94DAF">
      <w:pPr>
        <w:spacing w:line="380" w:lineRule="exact"/>
        <w:rPr>
          <w:rFonts w:hint="eastAsia" w:ascii="宋体" w:hAnsi="宋体" w:cs="宋体"/>
          <w:szCs w:val="21"/>
        </w:rPr>
      </w:pPr>
    </w:p>
    <w:p w14:paraId="14F2CC5C">
      <w:pPr>
        <w:spacing w:line="380" w:lineRule="exact"/>
        <w:rPr>
          <w:rFonts w:hint="eastAsia" w:ascii="宋体" w:hAnsi="宋体" w:cs="宋体"/>
          <w:szCs w:val="21"/>
        </w:rPr>
      </w:pPr>
    </w:p>
    <w:p w14:paraId="6278D00B">
      <w:pPr>
        <w:spacing w:line="380" w:lineRule="exact"/>
        <w:rPr>
          <w:rFonts w:hint="eastAsia" w:ascii="宋体" w:hAnsi="宋体" w:cs="宋体"/>
          <w:szCs w:val="21"/>
        </w:rPr>
      </w:pPr>
    </w:p>
    <w:p w14:paraId="0CF3B68A">
      <w:pPr>
        <w:spacing w:line="380" w:lineRule="exact"/>
        <w:rPr>
          <w:rFonts w:hint="eastAsia" w:ascii="宋体" w:hAnsi="宋体" w:cs="宋体"/>
          <w:szCs w:val="21"/>
          <w:u w:val="single"/>
        </w:rPr>
      </w:pPr>
      <w:r>
        <w:rPr>
          <w:rFonts w:hint="eastAsia" w:ascii="宋体" w:hAnsi="宋体" w:cs="宋体"/>
          <w:szCs w:val="21"/>
        </w:rPr>
        <w:t>甲方（公章）：</w:t>
      </w:r>
      <w:r>
        <w:rPr>
          <w:rFonts w:hint="eastAsia" w:ascii="宋体" w:hAnsi="宋体" w:cs="宋体"/>
          <w:szCs w:val="21"/>
          <w:u w:val="single"/>
        </w:rPr>
        <w:t xml:space="preserve">                         </w:t>
      </w:r>
      <w:r>
        <w:rPr>
          <w:rFonts w:hint="eastAsia" w:ascii="宋体" w:hAnsi="宋体" w:cs="宋体"/>
          <w:szCs w:val="21"/>
        </w:rPr>
        <w:t xml:space="preserve">     乙方（公章，自然人除外）：</w:t>
      </w:r>
      <w:r>
        <w:rPr>
          <w:rFonts w:hint="eastAsia" w:ascii="宋体" w:hAnsi="宋体" w:cs="宋体"/>
          <w:szCs w:val="21"/>
          <w:u w:val="single"/>
        </w:rPr>
        <w:t xml:space="preserve">                        </w:t>
      </w:r>
    </w:p>
    <w:p w14:paraId="568C88C0">
      <w:pPr>
        <w:spacing w:line="380" w:lineRule="exact"/>
        <w:ind w:left="4620" w:hanging="4620" w:hangingChars="2200"/>
        <w:rPr>
          <w:rFonts w:hint="eastAsia" w:ascii="宋体" w:hAnsi="宋体" w:cs="宋体"/>
          <w:szCs w:val="21"/>
          <w:u w:val="single"/>
        </w:rPr>
      </w:pPr>
      <w:r>
        <w:rPr>
          <w:rFonts w:hint="eastAsia" w:ascii="宋体" w:hAnsi="宋体" w:cs="宋体"/>
          <w:szCs w:val="21"/>
        </w:rPr>
        <w:t>法定代表人签字：</w:t>
      </w:r>
      <w:r>
        <w:rPr>
          <w:rFonts w:hint="eastAsia" w:ascii="宋体" w:hAnsi="宋体" w:cs="宋体"/>
          <w:szCs w:val="21"/>
          <w:u w:val="single"/>
        </w:rPr>
        <w:t xml:space="preserve">                       </w:t>
      </w:r>
      <w:r>
        <w:rPr>
          <w:rFonts w:hint="eastAsia" w:ascii="宋体" w:hAnsi="宋体" w:cs="宋体"/>
          <w:szCs w:val="21"/>
        </w:rPr>
        <w:t xml:space="preserve">     法定代表人（负责人、自然人）签字（属自然人的应在签名处加盖大拇指指印）：</w:t>
      </w:r>
      <w:r>
        <w:rPr>
          <w:rFonts w:hint="eastAsia" w:ascii="宋体" w:hAnsi="宋体" w:cs="宋体"/>
          <w:szCs w:val="21"/>
          <w:u w:val="single"/>
        </w:rPr>
        <w:t xml:space="preserve">                          </w:t>
      </w:r>
    </w:p>
    <w:p w14:paraId="48EF7BEF">
      <w:pPr>
        <w:tabs>
          <w:tab w:val="left" w:pos="4680"/>
        </w:tabs>
        <w:spacing w:line="380" w:lineRule="exact"/>
        <w:rPr>
          <w:rFonts w:hint="eastAsia" w:ascii="宋体" w:hAnsi="宋体" w:cs="宋体"/>
          <w:szCs w:val="21"/>
          <w:u w:val="single"/>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 xml:space="preserve">     委托代理人：</w:t>
      </w:r>
      <w:r>
        <w:rPr>
          <w:rFonts w:hint="eastAsia" w:ascii="宋体" w:hAnsi="宋体" w:cs="宋体"/>
          <w:szCs w:val="21"/>
          <w:u w:val="single"/>
        </w:rPr>
        <w:t xml:space="preserve">                                     </w:t>
      </w:r>
    </w:p>
    <w:p w14:paraId="0DF7220D">
      <w:pPr>
        <w:tabs>
          <w:tab w:val="left" w:pos="5040"/>
        </w:tabs>
        <w:spacing w:line="380" w:lineRule="exact"/>
        <w:rPr>
          <w:rFonts w:hint="eastAsia" w:ascii="宋体" w:hAnsi="宋体" w:cs="宋体"/>
          <w:szCs w:val="21"/>
          <w:u w:val="single"/>
        </w:rPr>
      </w:pPr>
      <w:r>
        <w:rPr>
          <w:rFonts w:hint="eastAsia" w:ascii="宋体" w:hAnsi="宋体" w:cs="宋体"/>
          <w:szCs w:val="21"/>
        </w:rPr>
        <w:t>电  话：</w:t>
      </w:r>
      <w:r>
        <w:rPr>
          <w:rFonts w:hint="eastAsia" w:ascii="宋体" w:hAnsi="宋体" w:cs="宋体"/>
          <w:szCs w:val="21"/>
          <w:u w:val="single"/>
        </w:rPr>
        <w:t xml:space="preserve">                               </w:t>
      </w:r>
      <w:r>
        <w:rPr>
          <w:rFonts w:hint="eastAsia" w:ascii="宋体" w:hAnsi="宋体" w:cs="宋体"/>
          <w:szCs w:val="21"/>
        </w:rPr>
        <w:t xml:space="preserve">     电   话： </w:t>
      </w:r>
      <w:r>
        <w:rPr>
          <w:rFonts w:hint="eastAsia" w:ascii="宋体" w:hAnsi="宋体" w:cs="宋体"/>
          <w:szCs w:val="21"/>
          <w:u w:val="single"/>
        </w:rPr>
        <w:t xml:space="preserve">                                       </w:t>
      </w:r>
    </w:p>
    <w:p w14:paraId="4209CB20">
      <w:pPr>
        <w:tabs>
          <w:tab w:val="left" w:pos="5040"/>
        </w:tabs>
        <w:spacing w:line="380" w:lineRule="exact"/>
        <w:rPr>
          <w:rFonts w:hint="eastAsia" w:ascii="宋体" w:hAnsi="宋体" w:cs="宋体"/>
          <w:szCs w:val="21"/>
        </w:rPr>
      </w:pPr>
      <w:r>
        <w:rPr>
          <w:rFonts w:hint="eastAsia" w:ascii="宋体" w:hAnsi="宋体" w:cs="宋体"/>
          <w:szCs w:val="21"/>
        </w:rPr>
        <w:t>开户名称：</w:t>
      </w:r>
      <w:r>
        <w:rPr>
          <w:rFonts w:hint="eastAsia" w:ascii="宋体" w:hAnsi="宋体" w:cs="宋体"/>
          <w:szCs w:val="21"/>
          <w:u w:val="single"/>
        </w:rPr>
        <w:t xml:space="preserve">                             </w:t>
      </w:r>
      <w:r>
        <w:rPr>
          <w:rFonts w:hint="eastAsia" w:ascii="宋体" w:hAnsi="宋体" w:cs="宋体"/>
          <w:szCs w:val="21"/>
        </w:rPr>
        <w:t xml:space="preserve">     开户名称：</w:t>
      </w:r>
      <w:r>
        <w:rPr>
          <w:rFonts w:hint="eastAsia" w:ascii="宋体" w:hAnsi="宋体" w:cs="宋体"/>
          <w:szCs w:val="21"/>
          <w:u w:val="single"/>
        </w:rPr>
        <w:t xml:space="preserve">                                       </w:t>
      </w:r>
    </w:p>
    <w:p w14:paraId="10DAFA9E">
      <w:pPr>
        <w:tabs>
          <w:tab w:val="left" w:pos="5040"/>
        </w:tabs>
        <w:spacing w:line="380" w:lineRule="exact"/>
        <w:rPr>
          <w:rFonts w:hint="eastAsia" w:ascii="宋体" w:hAnsi="宋体" w:cs="宋体"/>
          <w:szCs w:val="21"/>
        </w:rPr>
      </w:pPr>
      <w:r>
        <w:rPr>
          <w:rFonts w:hint="eastAsia" w:ascii="宋体" w:hAnsi="宋体" w:cs="宋体"/>
          <w:szCs w:val="21"/>
        </w:rPr>
        <w:t>开户银行：</w:t>
      </w:r>
      <w:r>
        <w:rPr>
          <w:rFonts w:hint="eastAsia" w:ascii="宋体" w:hAnsi="宋体" w:cs="宋体"/>
          <w:szCs w:val="21"/>
          <w:u w:val="single"/>
        </w:rPr>
        <w:t xml:space="preserve">                             </w:t>
      </w:r>
      <w:r>
        <w:rPr>
          <w:rFonts w:hint="eastAsia" w:ascii="宋体" w:hAnsi="宋体" w:cs="宋体"/>
          <w:szCs w:val="21"/>
        </w:rPr>
        <w:t xml:space="preserve">     开户银行：</w:t>
      </w:r>
      <w:r>
        <w:rPr>
          <w:rFonts w:hint="eastAsia" w:ascii="宋体" w:hAnsi="宋体" w:cs="宋体"/>
          <w:szCs w:val="21"/>
          <w:u w:val="single"/>
        </w:rPr>
        <w:t xml:space="preserve">                                       </w:t>
      </w:r>
    </w:p>
    <w:p w14:paraId="79E5E37D">
      <w:pPr>
        <w:tabs>
          <w:tab w:val="left" w:pos="5040"/>
        </w:tabs>
        <w:spacing w:line="380" w:lineRule="exact"/>
        <w:rPr>
          <w:rFonts w:hint="eastAsia" w:ascii="宋体" w:hAnsi="宋体" w:cs="宋体"/>
          <w:szCs w:val="21"/>
        </w:rPr>
      </w:pPr>
      <w:r>
        <w:rPr>
          <w:rFonts w:hint="eastAsia" w:ascii="宋体" w:hAnsi="宋体" w:cs="宋体"/>
          <w:szCs w:val="21"/>
        </w:rPr>
        <w:t>银行账号：</w:t>
      </w:r>
      <w:r>
        <w:rPr>
          <w:rFonts w:hint="eastAsia" w:ascii="宋体" w:hAnsi="宋体" w:cs="宋体"/>
          <w:szCs w:val="21"/>
          <w:u w:val="single"/>
        </w:rPr>
        <w:t xml:space="preserve">                             </w:t>
      </w:r>
      <w:r>
        <w:rPr>
          <w:rFonts w:hint="eastAsia" w:ascii="宋体" w:hAnsi="宋体" w:cs="宋体"/>
          <w:szCs w:val="21"/>
        </w:rPr>
        <w:t xml:space="preserve">     银行账号：</w:t>
      </w:r>
      <w:r>
        <w:rPr>
          <w:rFonts w:hint="eastAsia" w:ascii="宋体" w:hAnsi="宋体" w:cs="宋体"/>
          <w:szCs w:val="21"/>
          <w:u w:val="single"/>
        </w:rPr>
        <w:t xml:space="preserve">                                       </w:t>
      </w:r>
    </w:p>
    <w:p w14:paraId="2418B69E">
      <w:pPr>
        <w:tabs>
          <w:tab w:val="left" w:pos="5040"/>
        </w:tabs>
        <w:spacing w:line="380" w:lineRule="exact"/>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 xml:space="preserve">     日    期：</w:t>
      </w:r>
      <w:r>
        <w:rPr>
          <w:rFonts w:hint="eastAsia" w:ascii="宋体" w:hAnsi="宋体" w:cs="宋体"/>
          <w:szCs w:val="21"/>
          <w:u w:val="single"/>
        </w:rPr>
        <w:t xml:space="preserve">                                       </w:t>
      </w:r>
    </w:p>
    <w:p w14:paraId="149CD25C">
      <w:pPr>
        <w:pStyle w:val="2"/>
        <w:rPr>
          <w:rFonts w:hint="eastAsia" w:ascii="宋体" w:hAnsi="宋体" w:cs="宋体"/>
          <w:szCs w:val="21"/>
          <w:u w:val="single"/>
        </w:rPr>
      </w:pPr>
    </w:p>
    <w:p w14:paraId="4775141C">
      <w:pPr>
        <w:rPr>
          <w:rFonts w:hint="eastAsia" w:ascii="宋体" w:hAnsi="宋体" w:cs="宋体"/>
          <w:szCs w:val="21"/>
          <w:u w:val="single"/>
        </w:rPr>
      </w:pPr>
    </w:p>
    <w:p w14:paraId="71ADD59A">
      <w:pPr>
        <w:pStyle w:val="2"/>
        <w:rPr>
          <w:rFonts w:hint="eastAsia" w:ascii="宋体" w:hAnsi="宋体" w:cs="宋体"/>
          <w:szCs w:val="21"/>
          <w:u w:val="single"/>
        </w:rPr>
      </w:pPr>
    </w:p>
    <w:p w14:paraId="3EECE09C">
      <w:pPr>
        <w:pStyle w:val="25"/>
        <w:rPr>
          <w:rFonts w:hint="eastAsia"/>
        </w:rPr>
      </w:pPr>
      <w:bookmarkStart w:id="939" w:name="_Toc30468_WPSOffice_Level1"/>
      <w:bookmarkStart w:id="940" w:name="_Toc7956"/>
      <w:bookmarkStart w:id="941" w:name="_Toc20420"/>
      <w:bookmarkStart w:id="942" w:name="_Toc5228"/>
      <w:bookmarkStart w:id="943" w:name="_Toc22216"/>
      <w:bookmarkStart w:id="944" w:name="_Toc17359"/>
      <w:bookmarkStart w:id="945" w:name="_Toc29896"/>
      <w:bookmarkStart w:id="946" w:name="_Toc30472"/>
      <w:bookmarkStart w:id="947" w:name="_Toc27191"/>
      <w:bookmarkStart w:id="948" w:name="_Toc3082"/>
      <w:bookmarkStart w:id="949" w:name="_Toc4866"/>
      <w:bookmarkStart w:id="950" w:name="_Toc24776"/>
      <w:r>
        <w:rPr>
          <w:rFonts w:hint="eastAsia"/>
        </w:rPr>
        <w:br w:type="page"/>
      </w:r>
    </w:p>
    <w:p w14:paraId="3A55C186">
      <w:pPr>
        <w:pStyle w:val="3"/>
        <w:spacing w:line="240" w:lineRule="auto"/>
        <w:ind w:firstLine="402"/>
        <w:jc w:val="center"/>
        <w:rPr>
          <w:rFonts w:ascii="宋体" w:cs="宋体"/>
          <w:sz w:val="32"/>
          <w:szCs w:val="32"/>
        </w:rPr>
      </w:pPr>
      <w:bookmarkStart w:id="951" w:name="_Toc12064"/>
      <w:r>
        <w:rPr>
          <w:rFonts w:hint="eastAsia" w:ascii="宋体" w:cs="宋体"/>
          <w:sz w:val="32"/>
          <w:szCs w:val="32"/>
        </w:rPr>
        <w:t>第六章　</w:t>
      </w:r>
      <w:r>
        <w:rPr>
          <w:rFonts w:hint="eastAsia" w:ascii="宋体" w:hAnsi="宋体" w:cs="宋体"/>
          <w:sz w:val="32"/>
          <w:szCs w:val="32"/>
        </w:rPr>
        <w:t>响应</w:t>
      </w:r>
      <w:r>
        <w:rPr>
          <w:rFonts w:hint="eastAsia"/>
          <w:sz w:val="32"/>
          <w:szCs w:val="32"/>
        </w:rPr>
        <w:t>文件</w:t>
      </w:r>
      <w:r>
        <w:rPr>
          <w:rFonts w:hint="eastAsia" w:ascii="宋体" w:hAnsi="宋体" w:cs="宋体"/>
          <w:sz w:val="32"/>
          <w:szCs w:val="32"/>
        </w:rPr>
        <w:t>（格式）</w:t>
      </w:r>
      <w:bookmarkEnd w:id="939"/>
      <w:bookmarkEnd w:id="940"/>
      <w:bookmarkEnd w:id="941"/>
      <w:bookmarkEnd w:id="942"/>
      <w:bookmarkEnd w:id="943"/>
      <w:bookmarkEnd w:id="944"/>
      <w:bookmarkEnd w:id="945"/>
      <w:bookmarkEnd w:id="946"/>
      <w:bookmarkEnd w:id="947"/>
      <w:bookmarkEnd w:id="948"/>
      <w:bookmarkEnd w:id="949"/>
      <w:bookmarkEnd w:id="950"/>
      <w:bookmarkEnd w:id="951"/>
    </w:p>
    <w:p w14:paraId="358A35FD"/>
    <w:p w14:paraId="022624CE">
      <w:pPr>
        <w:rPr>
          <w:rFonts w:hint="eastAsia"/>
          <w:b/>
          <w:bCs/>
          <w:sz w:val="32"/>
          <w:szCs w:val="32"/>
        </w:rPr>
      </w:pPr>
      <w:bookmarkStart w:id="952" w:name="_Toc21496"/>
      <w:bookmarkStart w:id="953" w:name="_Toc18351"/>
      <w:bookmarkStart w:id="954" w:name="_Toc497927069"/>
      <w:r>
        <w:rPr>
          <w:rFonts w:hint="eastAsia"/>
          <w:b/>
          <w:bCs/>
          <w:sz w:val="32"/>
          <w:szCs w:val="32"/>
        </w:rPr>
        <w:t>一、响应文件</w:t>
      </w:r>
      <w:bookmarkEnd w:id="952"/>
      <w:bookmarkEnd w:id="953"/>
      <w:bookmarkEnd w:id="954"/>
      <w:r>
        <w:rPr>
          <w:rFonts w:hint="eastAsia"/>
          <w:b/>
          <w:bCs/>
          <w:sz w:val="32"/>
          <w:szCs w:val="32"/>
        </w:rPr>
        <w:t>封面格式</w:t>
      </w:r>
    </w:p>
    <w:p w14:paraId="208D5BC8">
      <w:pPr>
        <w:snapToGrid w:val="0"/>
        <w:spacing w:before="156" w:beforeLines="50" w:after="50"/>
        <w:jc w:val="center"/>
        <w:rPr>
          <w:bCs/>
          <w:sz w:val="32"/>
          <w:szCs w:val="32"/>
        </w:rPr>
      </w:pPr>
    </w:p>
    <w:p w14:paraId="197224C4">
      <w:pPr>
        <w:snapToGrid w:val="0"/>
        <w:spacing w:before="156" w:beforeLines="50" w:after="50"/>
        <w:jc w:val="center"/>
        <w:rPr>
          <w:rFonts w:hint="eastAsia" w:ascii="宋体" w:hAnsi="宋体" w:cs="宋体"/>
          <w:b/>
          <w:sz w:val="28"/>
          <w:szCs w:val="28"/>
          <w:u w:val="single"/>
        </w:rPr>
      </w:pPr>
    </w:p>
    <w:p w14:paraId="073AB443">
      <w:pPr>
        <w:snapToGrid w:val="0"/>
        <w:spacing w:before="156" w:beforeLines="50" w:after="50"/>
        <w:jc w:val="center"/>
        <w:rPr>
          <w:rFonts w:hint="eastAsia" w:ascii="宋体" w:hAnsi="宋体" w:cs="宋体"/>
          <w:b/>
          <w:sz w:val="36"/>
          <w:szCs w:val="36"/>
        </w:rPr>
      </w:pPr>
      <w:r>
        <w:rPr>
          <w:rFonts w:hint="eastAsia" w:ascii="宋体" w:hAnsi="宋体" w:cs="宋体"/>
          <w:b/>
          <w:sz w:val="36"/>
          <w:szCs w:val="36"/>
        </w:rPr>
        <w:t>响 应 文 件</w:t>
      </w:r>
    </w:p>
    <w:p w14:paraId="06E1376E">
      <w:pPr>
        <w:snapToGrid w:val="0"/>
        <w:spacing w:before="156" w:beforeLines="50" w:after="50"/>
        <w:jc w:val="center"/>
        <w:rPr>
          <w:rFonts w:hint="eastAsia" w:ascii="宋体" w:hAnsi="宋体" w:cs="宋体"/>
          <w:b/>
          <w:sz w:val="28"/>
          <w:szCs w:val="28"/>
          <w:u w:val="single"/>
        </w:rPr>
      </w:pPr>
    </w:p>
    <w:p w14:paraId="1DC68621">
      <w:pPr>
        <w:snapToGrid w:val="0"/>
        <w:spacing w:before="156" w:beforeLines="50" w:after="50"/>
        <w:jc w:val="center"/>
        <w:rPr>
          <w:rFonts w:hint="eastAsia" w:ascii="宋体" w:hAnsi="宋体" w:cs="宋体"/>
          <w:b/>
          <w:sz w:val="28"/>
          <w:szCs w:val="28"/>
          <w:u w:val="single"/>
        </w:rPr>
      </w:pPr>
    </w:p>
    <w:p w14:paraId="21C11DCD">
      <w:pPr>
        <w:snapToGrid w:val="0"/>
        <w:spacing w:before="156" w:beforeLines="50" w:after="50"/>
        <w:jc w:val="center"/>
        <w:rPr>
          <w:rFonts w:hint="eastAsia" w:ascii="宋体" w:hAnsi="宋体" w:cs="宋体"/>
          <w:b/>
          <w:sz w:val="28"/>
          <w:szCs w:val="28"/>
          <w:u w:val="single"/>
        </w:rPr>
      </w:pPr>
    </w:p>
    <w:p w14:paraId="67D2E4D4">
      <w:pPr>
        <w:snapToGrid w:val="0"/>
        <w:spacing w:before="156" w:beforeLines="50" w:after="50"/>
        <w:jc w:val="center"/>
        <w:rPr>
          <w:rFonts w:hint="eastAsia" w:ascii="宋体" w:hAnsi="宋体" w:cs="宋体"/>
          <w:b/>
          <w:sz w:val="28"/>
          <w:szCs w:val="28"/>
          <w:u w:val="single"/>
        </w:rPr>
      </w:pPr>
    </w:p>
    <w:p w14:paraId="03810748">
      <w:pPr>
        <w:snapToGrid w:val="0"/>
        <w:spacing w:before="156" w:beforeLines="50" w:after="50"/>
        <w:jc w:val="center"/>
        <w:rPr>
          <w:rFonts w:hint="eastAsia" w:ascii="宋体" w:hAnsi="宋体" w:eastAsia="宋体" w:cs="宋体"/>
          <w:b/>
          <w:sz w:val="28"/>
          <w:szCs w:val="28"/>
          <w:u w:val="single"/>
          <w:lang w:eastAsia="zh-CN"/>
        </w:rPr>
      </w:pPr>
      <w:r>
        <w:rPr>
          <w:rFonts w:hint="eastAsia" w:ascii="宋体" w:hAnsi="宋体" w:cs="宋体"/>
          <w:b/>
          <w:sz w:val="28"/>
          <w:szCs w:val="28"/>
        </w:rPr>
        <w:t>项目名称：</w:t>
      </w:r>
      <w:r>
        <w:rPr>
          <w:rFonts w:hint="eastAsia" w:ascii="宋体" w:hAnsi="宋体" w:cs="宋体"/>
          <w:b/>
          <w:sz w:val="28"/>
          <w:szCs w:val="28"/>
          <w:u w:val="single"/>
          <w:lang w:eastAsia="zh-CN"/>
        </w:rPr>
        <w:t>资源县教育局教学设备采购</w:t>
      </w:r>
    </w:p>
    <w:p w14:paraId="134DD1A4">
      <w:pPr>
        <w:snapToGrid w:val="0"/>
        <w:spacing w:before="156" w:beforeLines="50" w:after="50"/>
        <w:ind w:firstLine="2520" w:firstLineChars="900"/>
        <w:rPr>
          <w:rFonts w:hint="eastAsia" w:ascii="宋体" w:hAnsi="宋体" w:eastAsia="宋体" w:cs="宋体"/>
          <w:b/>
          <w:sz w:val="28"/>
          <w:szCs w:val="28"/>
          <w:lang w:eastAsia="zh-CN"/>
        </w:rPr>
      </w:pPr>
      <w:r>
        <w:rPr>
          <w:rFonts w:hint="eastAsia" w:ascii="宋体" w:hAnsi="宋体" w:cs="宋体"/>
          <w:b/>
          <w:sz w:val="28"/>
          <w:szCs w:val="28"/>
        </w:rPr>
        <w:t>项目编号：</w:t>
      </w:r>
      <w:r>
        <w:rPr>
          <w:rFonts w:hint="eastAsia" w:ascii="宋体" w:hAnsi="宋体" w:cs="宋体"/>
          <w:b/>
          <w:sz w:val="28"/>
          <w:szCs w:val="28"/>
          <w:u w:val="single"/>
          <w:lang w:eastAsia="zh-CN"/>
        </w:rPr>
        <w:t>GLZC2026-J1-290019-GLSZ</w:t>
      </w:r>
    </w:p>
    <w:p w14:paraId="7207A33C">
      <w:pPr>
        <w:snapToGrid w:val="0"/>
        <w:spacing w:before="156" w:beforeLines="50" w:after="50"/>
        <w:jc w:val="center"/>
        <w:rPr>
          <w:rFonts w:hint="eastAsia" w:ascii="宋体" w:hAnsi="宋体" w:cs="宋体"/>
          <w:b/>
          <w:sz w:val="28"/>
          <w:szCs w:val="28"/>
          <w:u w:val="single"/>
        </w:rPr>
      </w:pPr>
    </w:p>
    <w:p w14:paraId="725BCDF2">
      <w:pPr>
        <w:snapToGrid w:val="0"/>
        <w:spacing w:before="156" w:beforeLines="50" w:after="50"/>
        <w:jc w:val="center"/>
        <w:rPr>
          <w:rFonts w:hint="eastAsia" w:ascii="宋体" w:hAnsi="宋体" w:cs="宋体"/>
          <w:b/>
          <w:sz w:val="28"/>
          <w:szCs w:val="28"/>
          <w:u w:val="single"/>
        </w:rPr>
      </w:pPr>
    </w:p>
    <w:p w14:paraId="49E896A6">
      <w:pPr>
        <w:snapToGrid w:val="0"/>
        <w:spacing w:before="156" w:beforeLines="50" w:after="50"/>
        <w:jc w:val="center"/>
        <w:rPr>
          <w:rFonts w:hint="eastAsia" w:ascii="宋体" w:hAnsi="宋体" w:cs="宋体"/>
          <w:b/>
          <w:sz w:val="28"/>
          <w:szCs w:val="28"/>
          <w:u w:val="single"/>
        </w:rPr>
      </w:pPr>
    </w:p>
    <w:p w14:paraId="4E5DA4BD">
      <w:pPr>
        <w:snapToGrid w:val="0"/>
        <w:spacing w:before="156" w:beforeLines="50" w:after="50"/>
        <w:ind w:firstLine="2693" w:firstLineChars="962"/>
        <w:rPr>
          <w:rFonts w:hint="eastAsia" w:ascii="宋体" w:hAnsi="宋体" w:cs="宋体"/>
          <w:b/>
          <w:sz w:val="28"/>
          <w:szCs w:val="28"/>
          <w:u w:val="single"/>
        </w:rPr>
      </w:pPr>
      <w:r>
        <w:rPr>
          <w:rFonts w:hint="eastAsia" w:ascii="宋体" w:hAnsi="宋体" w:cs="宋体"/>
          <w:b/>
          <w:sz w:val="28"/>
          <w:szCs w:val="28"/>
        </w:rPr>
        <w:t>采购代理机构：</w:t>
      </w:r>
      <w:r>
        <w:rPr>
          <w:rFonts w:hint="eastAsia" w:ascii="宋体" w:hAnsi="宋体" w:cs="宋体"/>
          <w:b/>
          <w:sz w:val="28"/>
          <w:szCs w:val="28"/>
          <w:u w:val="single"/>
        </w:rPr>
        <w:t xml:space="preserve"> 桂林市政府集中采购中心   </w:t>
      </w:r>
    </w:p>
    <w:p w14:paraId="732C2B99">
      <w:pPr>
        <w:snapToGrid w:val="0"/>
        <w:spacing w:before="156" w:beforeLines="50" w:after="50"/>
        <w:ind w:firstLine="2693" w:firstLineChars="962"/>
        <w:rPr>
          <w:rFonts w:hint="eastAsia" w:ascii="宋体" w:hAnsi="宋体" w:cs="宋体"/>
          <w:b/>
          <w:sz w:val="28"/>
          <w:szCs w:val="28"/>
          <w:u w:val="single"/>
        </w:rPr>
      </w:pPr>
    </w:p>
    <w:p w14:paraId="6CC485AC">
      <w:pPr>
        <w:snapToGrid w:val="0"/>
        <w:spacing w:before="156" w:beforeLines="50" w:after="50"/>
        <w:ind w:firstLine="2693" w:firstLineChars="962"/>
        <w:rPr>
          <w:rFonts w:hint="eastAsia" w:ascii="宋体" w:hAnsi="宋体" w:cs="宋体"/>
          <w:b/>
          <w:sz w:val="28"/>
          <w:szCs w:val="28"/>
          <w:u w:val="single"/>
        </w:rPr>
      </w:pPr>
    </w:p>
    <w:p w14:paraId="5B6F2ABD">
      <w:pPr>
        <w:pStyle w:val="9"/>
        <w:ind w:left="980" w:hanging="560" w:hangingChars="200"/>
        <w:rPr>
          <w:rFonts w:ascii="宋体" w:hAnsi="宋体" w:cs="宋体"/>
          <w:bCs/>
          <w:sz w:val="28"/>
          <w:szCs w:val="28"/>
        </w:rPr>
      </w:pPr>
      <w:bookmarkStart w:id="955" w:name="_Toc4932_WPSOffice_Level2"/>
      <w:bookmarkStart w:id="956" w:name="_Toc20319_WPSOffice_Level2"/>
      <w:r>
        <w:rPr>
          <w:rFonts w:hint="eastAsia" w:ascii="宋体" w:hAnsi="宋体" w:cs="宋体"/>
          <w:bCs/>
          <w:sz w:val="28"/>
          <w:szCs w:val="28"/>
        </w:rPr>
        <w:t>供应商[公章(CA签章)、自然人除外]：</w:t>
      </w:r>
      <w:r>
        <w:rPr>
          <w:rFonts w:hint="eastAsia" w:ascii="宋体" w:hAnsi="宋体" w:cs="宋体"/>
          <w:bCs/>
          <w:sz w:val="28"/>
          <w:szCs w:val="28"/>
          <w:u w:val="single"/>
        </w:rPr>
        <w:t xml:space="preserve">                       </w:t>
      </w:r>
      <w:bookmarkEnd w:id="955"/>
      <w:bookmarkEnd w:id="956"/>
      <w:r>
        <w:rPr>
          <w:rFonts w:hint="eastAsia" w:ascii="宋体" w:hAnsi="宋体" w:cs="宋体"/>
          <w:bCs/>
          <w:sz w:val="28"/>
          <w:szCs w:val="28"/>
          <w:u w:val="single"/>
        </w:rPr>
        <w:t xml:space="preserve">       </w:t>
      </w:r>
    </w:p>
    <w:p w14:paraId="29AD713D">
      <w:pPr>
        <w:pStyle w:val="13"/>
        <w:spacing w:line="320" w:lineRule="exact"/>
        <w:ind w:firstLine="420"/>
        <w:rPr>
          <w:rFonts w:hint="eastAsia" w:hAnsi="宋体" w:cs="宋体"/>
          <w:sz w:val="28"/>
          <w:szCs w:val="28"/>
        </w:rPr>
      </w:pPr>
      <w:bookmarkStart w:id="957" w:name="_Toc9622_WPSOffice_Level2"/>
      <w:bookmarkStart w:id="958" w:name="_Toc32056_WPSOffice_Level2"/>
      <w:r>
        <w:rPr>
          <w:rFonts w:hint="eastAsia" w:hAnsi="宋体" w:cs="宋体"/>
          <w:sz w:val="28"/>
          <w:szCs w:val="28"/>
        </w:rPr>
        <w:t>法定代表人、负责人、自然人或相应的委托代理人签字[或盖章(CA签章)]</w:t>
      </w:r>
    </w:p>
    <w:p w14:paraId="48FD45A7">
      <w:pPr>
        <w:pStyle w:val="9"/>
        <w:ind w:left="980" w:hanging="560" w:hangingChars="200"/>
        <w:rPr>
          <w:rFonts w:hint="eastAsia" w:ascii="宋体" w:hAnsi="宋体" w:cs="宋体"/>
          <w:sz w:val="28"/>
          <w:szCs w:val="28"/>
          <w:u w:val="single"/>
        </w:rPr>
      </w:pPr>
      <w:r>
        <w:rPr>
          <w:rFonts w:hint="eastAsia" w:ascii="宋体" w:hAnsi="宋体" w:cs="宋体"/>
          <w:sz w:val="28"/>
          <w:szCs w:val="28"/>
        </w:rPr>
        <w:t>（属自然人的应在签名处加盖大拇指指印或个人CA签章）：</w:t>
      </w:r>
      <w:r>
        <w:rPr>
          <w:rFonts w:hint="eastAsia" w:ascii="宋体" w:hAnsi="宋体" w:cs="宋体"/>
          <w:sz w:val="28"/>
          <w:szCs w:val="28"/>
          <w:u w:val="single"/>
        </w:rPr>
        <w:t xml:space="preserve">              </w:t>
      </w:r>
    </w:p>
    <w:p w14:paraId="6728F3F1">
      <w:pPr>
        <w:pStyle w:val="9"/>
        <w:ind w:left="980" w:hanging="560" w:hangingChars="200"/>
        <w:rPr>
          <w:rFonts w:ascii="宋体" w:hAnsi="宋体" w:cs="宋体"/>
          <w:bCs/>
          <w:sz w:val="28"/>
          <w:szCs w:val="28"/>
          <w:u w:val="single"/>
        </w:rPr>
      </w:pPr>
      <w:r>
        <w:rPr>
          <w:rFonts w:hint="eastAsia" w:ascii="宋体" w:hAnsi="宋体" w:cs="宋体"/>
          <w:bCs/>
          <w:sz w:val="28"/>
          <w:szCs w:val="28"/>
        </w:rPr>
        <w:t>联系电话：</w:t>
      </w:r>
      <w:bookmarkEnd w:id="957"/>
      <w:bookmarkEnd w:id="958"/>
      <w:r>
        <w:rPr>
          <w:rFonts w:hint="eastAsia" w:ascii="宋体" w:hAnsi="宋体" w:cs="宋体"/>
          <w:bCs/>
          <w:sz w:val="28"/>
          <w:szCs w:val="28"/>
          <w:u w:val="single"/>
        </w:rPr>
        <w:t xml:space="preserve">                                                </w:t>
      </w:r>
    </w:p>
    <w:p w14:paraId="41C6AC7F">
      <w:pPr>
        <w:pStyle w:val="9"/>
        <w:ind w:left="980" w:hanging="560" w:hangingChars="200"/>
        <w:rPr>
          <w:rFonts w:hint="eastAsia" w:ascii="宋体" w:hAnsi="宋体" w:cs="宋体"/>
          <w:bCs/>
          <w:sz w:val="28"/>
          <w:szCs w:val="28"/>
        </w:rPr>
      </w:pPr>
      <w:bookmarkStart w:id="959" w:name="_Toc15933_WPSOffice_Level2"/>
      <w:bookmarkStart w:id="960" w:name="_Toc26465_WPSOffice_Level2"/>
      <w:r>
        <w:rPr>
          <w:rFonts w:hint="eastAsia" w:ascii="宋体" w:hAnsi="宋体" w:cs="宋体"/>
          <w:bCs/>
          <w:sz w:val="28"/>
          <w:szCs w:val="28"/>
        </w:rPr>
        <w:t>日期：</w:t>
      </w:r>
      <w:r>
        <w:rPr>
          <w:rFonts w:hint="eastAsia" w:ascii="宋体" w:hAnsi="宋体" w:cs="宋体"/>
          <w:bCs/>
          <w:sz w:val="28"/>
          <w:szCs w:val="28"/>
          <w:u w:val="single"/>
        </w:rPr>
        <w:t xml:space="preserve">              </w:t>
      </w:r>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959"/>
      <w:bookmarkEnd w:id="960"/>
    </w:p>
    <w:p w14:paraId="013F600F">
      <w:pPr>
        <w:rPr>
          <w:rFonts w:hint="eastAsia"/>
          <w:b/>
          <w:bCs/>
          <w:sz w:val="32"/>
          <w:szCs w:val="32"/>
        </w:rPr>
      </w:pPr>
      <w:bookmarkStart w:id="961" w:name="_Toc497927070"/>
      <w:bookmarkStart w:id="962" w:name="_Toc19430"/>
      <w:bookmarkStart w:id="963" w:name="_Toc21615"/>
    </w:p>
    <w:p w14:paraId="42C2A20E">
      <w:pPr>
        <w:rPr>
          <w:rFonts w:hint="eastAsia"/>
          <w:b/>
          <w:bCs/>
          <w:sz w:val="32"/>
          <w:szCs w:val="32"/>
        </w:rPr>
      </w:pPr>
      <w:r>
        <w:rPr>
          <w:rFonts w:hint="eastAsia"/>
          <w:b/>
          <w:bCs/>
          <w:sz w:val="32"/>
          <w:szCs w:val="32"/>
        </w:rPr>
        <w:t>二、响应文件组成</w:t>
      </w:r>
      <w:bookmarkEnd w:id="961"/>
      <w:bookmarkEnd w:id="962"/>
      <w:bookmarkEnd w:id="963"/>
    </w:p>
    <w:p w14:paraId="380DA4EF">
      <w:pPr>
        <w:spacing w:line="400" w:lineRule="exact"/>
        <w:rPr>
          <w:rFonts w:hint="eastAsia" w:ascii="宋体" w:hAnsi="宋体" w:cs="宋体"/>
          <w:b/>
          <w:bCs/>
          <w:sz w:val="28"/>
          <w:szCs w:val="28"/>
        </w:rPr>
      </w:pPr>
    </w:p>
    <w:p w14:paraId="4BD8F59D">
      <w:pPr>
        <w:pStyle w:val="2"/>
        <w:rPr>
          <w:rFonts w:hint="eastAsia"/>
        </w:rPr>
      </w:pPr>
    </w:p>
    <w:p w14:paraId="09321D13">
      <w:pPr>
        <w:pStyle w:val="2"/>
        <w:rPr>
          <w:rFonts w:hint="eastAsia"/>
        </w:rPr>
      </w:pPr>
    </w:p>
    <w:p w14:paraId="5347F03D">
      <w:pPr>
        <w:pStyle w:val="2"/>
        <w:rPr>
          <w:rFonts w:hint="eastAsia"/>
        </w:rPr>
      </w:pPr>
    </w:p>
    <w:p w14:paraId="233F603E">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（一）资格性响应证明材料</w:t>
      </w:r>
    </w:p>
    <w:p w14:paraId="5779E4C9">
      <w:pPr>
        <w:spacing w:line="400" w:lineRule="exact"/>
        <w:ind w:firstLine="565" w:firstLineChars="202"/>
        <w:rPr>
          <w:rFonts w:hint="eastAsia" w:ascii="宋体" w:hAnsi="宋体" w:cs="宋体"/>
          <w:b/>
          <w:bCs/>
          <w:sz w:val="28"/>
          <w:szCs w:val="28"/>
        </w:rPr>
      </w:pPr>
    </w:p>
    <w:p w14:paraId="729C60C9">
      <w:pPr>
        <w:spacing w:line="400" w:lineRule="exact"/>
        <w:ind w:firstLine="565" w:firstLineChars="202"/>
        <w:rPr>
          <w:rFonts w:hint="eastAsia" w:ascii="宋体" w:hAnsi="宋体" w:cs="宋体"/>
          <w:b/>
          <w:bCs/>
          <w:sz w:val="28"/>
          <w:szCs w:val="28"/>
        </w:rPr>
      </w:pPr>
    </w:p>
    <w:p w14:paraId="09B175BD">
      <w:pPr>
        <w:spacing w:line="400" w:lineRule="exact"/>
        <w:ind w:firstLine="565" w:firstLineChars="202"/>
        <w:rPr>
          <w:rFonts w:hint="eastAsia" w:ascii="宋体" w:hAnsi="宋体" w:cs="宋体"/>
          <w:b/>
          <w:bCs/>
          <w:sz w:val="28"/>
          <w:szCs w:val="28"/>
        </w:rPr>
      </w:pPr>
    </w:p>
    <w:p w14:paraId="0D32DA42">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（二）符合性响应证明材料</w:t>
      </w:r>
    </w:p>
    <w:p w14:paraId="301FFC83">
      <w:pPr>
        <w:spacing w:line="400" w:lineRule="exact"/>
        <w:ind w:firstLine="565" w:firstLineChars="202"/>
        <w:rPr>
          <w:rFonts w:hint="eastAsia" w:ascii="宋体" w:hAnsi="宋体" w:cs="宋体"/>
          <w:b/>
          <w:bCs/>
          <w:sz w:val="28"/>
          <w:szCs w:val="28"/>
        </w:rPr>
      </w:pPr>
    </w:p>
    <w:p w14:paraId="231C9234">
      <w:pPr>
        <w:spacing w:line="400" w:lineRule="exact"/>
        <w:ind w:firstLine="565" w:firstLineChars="202"/>
        <w:rPr>
          <w:rFonts w:hint="eastAsia" w:ascii="宋体" w:hAnsi="宋体" w:cs="宋体"/>
          <w:b/>
          <w:bCs/>
          <w:sz w:val="28"/>
          <w:szCs w:val="28"/>
        </w:rPr>
      </w:pPr>
    </w:p>
    <w:p w14:paraId="2E35A434">
      <w:pPr>
        <w:spacing w:line="400" w:lineRule="exact"/>
        <w:ind w:firstLine="565" w:firstLineChars="202"/>
        <w:rPr>
          <w:rFonts w:hint="eastAsia" w:ascii="宋体" w:hAnsi="宋体" w:cs="宋体"/>
          <w:b/>
          <w:bCs/>
          <w:sz w:val="28"/>
          <w:szCs w:val="28"/>
        </w:rPr>
      </w:pPr>
    </w:p>
    <w:p w14:paraId="35509D60">
      <w:pPr>
        <w:spacing w:line="400" w:lineRule="exact"/>
        <w:ind w:firstLine="565" w:firstLineChars="202"/>
        <w:rPr>
          <w:rFonts w:hint="eastAsia" w:ascii="宋体" w:hAnsi="宋体" w:cs="宋体"/>
          <w:b/>
          <w:bCs/>
          <w:sz w:val="28"/>
          <w:szCs w:val="28"/>
        </w:rPr>
      </w:pPr>
      <w:r>
        <w:rPr>
          <w:rFonts w:hint="eastAsia" w:ascii="宋体" w:hAnsi="宋体" w:cs="宋体"/>
          <w:b/>
          <w:bCs/>
          <w:sz w:val="28"/>
          <w:szCs w:val="28"/>
        </w:rPr>
        <w:t>（三）其他有效证明材料</w:t>
      </w:r>
    </w:p>
    <w:p w14:paraId="5928F9BE">
      <w:pPr>
        <w:spacing w:line="400" w:lineRule="exact"/>
        <w:ind w:firstLine="565" w:firstLineChars="202"/>
        <w:rPr>
          <w:rFonts w:hint="eastAsia" w:ascii="宋体" w:hAnsi="宋体" w:cs="宋体"/>
          <w:b/>
          <w:bCs/>
          <w:sz w:val="28"/>
          <w:szCs w:val="28"/>
        </w:rPr>
      </w:pPr>
    </w:p>
    <w:p w14:paraId="6A35E877">
      <w:pPr>
        <w:spacing w:line="400" w:lineRule="exact"/>
        <w:ind w:firstLine="565" w:firstLineChars="202"/>
        <w:rPr>
          <w:rFonts w:hint="eastAsia" w:ascii="宋体" w:hAnsi="宋体" w:cs="宋体"/>
          <w:b/>
          <w:bCs/>
          <w:sz w:val="28"/>
          <w:szCs w:val="28"/>
        </w:rPr>
      </w:pPr>
    </w:p>
    <w:p w14:paraId="7833824C">
      <w:pPr>
        <w:spacing w:line="400" w:lineRule="exact"/>
        <w:ind w:firstLine="565" w:firstLineChars="202"/>
        <w:rPr>
          <w:rFonts w:hint="eastAsia" w:ascii="宋体" w:hAnsi="宋体" w:cs="宋体"/>
          <w:b/>
          <w:bCs/>
          <w:sz w:val="28"/>
          <w:szCs w:val="28"/>
        </w:rPr>
      </w:pPr>
    </w:p>
    <w:p w14:paraId="68C2F2CE">
      <w:pPr>
        <w:spacing w:line="400" w:lineRule="exact"/>
        <w:ind w:firstLine="565" w:firstLineChars="202"/>
        <w:rPr>
          <w:rFonts w:hint="eastAsia" w:ascii="宋体" w:hAnsi="宋体" w:cs="宋体"/>
          <w:b/>
          <w:bCs/>
          <w:sz w:val="28"/>
          <w:szCs w:val="28"/>
        </w:rPr>
        <w:sectPr>
          <w:footerReference r:id="rId11" w:type="default"/>
          <w:pgSz w:w="11906" w:h="16838"/>
          <w:pgMar w:top="1440" w:right="935" w:bottom="1440" w:left="779"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p>
    <w:p w14:paraId="1B7783E2">
      <w:pPr>
        <w:ind w:firstLine="420"/>
        <w:jc w:val="center"/>
        <w:outlineLvl w:val="1"/>
        <w:rPr>
          <w:rFonts w:hint="eastAsia"/>
          <w:b/>
          <w:bCs/>
          <w:sz w:val="32"/>
          <w:szCs w:val="32"/>
        </w:rPr>
      </w:pPr>
      <w:bookmarkStart w:id="964" w:name="_Toc8418"/>
      <w:bookmarkStart w:id="965" w:name="_Toc11067"/>
      <w:bookmarkStart w:id="966" w:name="_Toc10295"/>
      <w:bookmarkStart w:id="967" w:name="_Toc7185"/>
      <w:bookmarkStart w:id="968" w:name="_Toc27760"/>
      <w:bookmarkStart w:id="969" w:name="_Toc497927071"/>
      <w:bookmarkStart w:id="970" w:name="_Toc16614"/>
      <w:bookmarkStart w:id="971" w:name="_Toc4098"/>
      <w:bookmarkStart w:id="972" w:name="_Toc2851"/>
      <w:bookmarkStart w:id="973" w:name="_Toc5544"/>
      <w:r>
        <w:rPr>
          <w:rFonts w:hint="eastAsia"/>
          <w:b/>
          <w:bCs/>
          <w:sz w:val="32"/>
          <w:szCs w:val="32"/>
        </w:rPr>
        <w:t>（一）资格性响应证明材料目录</w:t>
      </w:r>
      <w:bookmarkEnd w:id="964"/>
      <w:bookmarkEnd w:id="965"/>
      <w:bookmarkEnd w:id="966"/>
      <w:bookmarkEnd w:id="967"/>
      <w:bookmarkEnd w:id="968"/>
      <w:bookmarkEnd w:id="969"/>
      <w:bookmarkEnd w:id="970"/>
      <w:bookmarkEnd w:id="971"/>
      <w:bookmarkEnd w:id="972"/>
      <w:bookmarkEnd w:id="973"/>
    </w:p>
    <w:p w14:paraId="035BFDF3">
      <w:pPr>
        <w:spacing w:line="380" w:lineRule="exact"/>
        <w:ind w:firstLine="480" w:firstLineChars="200"/>
        <w:rPr>
          <w:rFonts w:ascii="宋体" w:cs="宋体"/>
          <w:sz w:val="24"/>
        </w:rPr>
      </w:pPr>
      <w:r>
        <w:rPr>
          <w:rFonts w:hint="eastAsia" w:ascii="宋体" w:hAnsi="宋体" w:cs="宋体"/>
          <w:sz w:val="24"/>
        </w:rPr>
        <w:t>1.供应商相应的法定代表人、负责人、自然人身份证正反两面扫描件加盖电子签章</w:t>
      </w:r>
      <w:r>
        <w:rPr>
          <w:rFonts w:hint="eastAsia" w:ascii="宋体" w:hAnsi="宋体" w:cs="宋体"/>
          <w:b/>
          <w:bCs/>
          <w:sz w:val="24"/>
        </w:rPr>
        <w:t>（必须提供）</w:t>
      </w:r>
      <w:r>
        <w:rPr>
          <w:rFonts w:hint="eastAsia" w:ascii="宋体" w:hAnsi="宋体" w:cs="宋体"/>
          <w:sz w:val="24"/>
        </w:rPr>
        <w:t>；</w:t>
      </w:r>
    </w:p>
    <w:p w14:paraId="07100CF0">
      <w:pPr>
        <w:spacing w:line="380" w:lineRule="exact"/>
        <w:ind w:firstLine="480" w:firstLineChars="200"/>
        <w:rPr>
          <w:rFonts w:hint="eastAsia" w:ascii="宋体" w:hAnsi="宋体" w:cs="宋体"/>
          <w:sz w:val="24"/>
        </w:rPr>
      </w:pPr>
      <w:r>
        <w:rPr>
          <w:rFonts w:hint="eastAsia" w:ascii="宋体" w:hAnsi="宋体" w:cs="宋体"/>
          <w:sz w:val="24"/>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5091EBAA">
      <w:pPr>
        <w:spacing w:line="380" w:lineRule="exact"/>
        <w:ind w:firstLine="480" w:firstLineChars="200"/>
        <w:rPr>
          <w:rFonts w:hint="eastAsia" w:ascii="宋体" w:hAnsi="宋体" w:cs="宋体"/>
          <w:sz w:val="24"/>
        </w:rPr>
      </w:pPr>
      <w:r>
        <w:rPr>
          <w:rFonts w:hint="eastAsia" w:ascii="宋体" w:hAnsi="宋体" w:cs="宋体"/>
          <w:sz w:val="24"/>
        </w:rPr>
        <w:t>（1） 如供应商为截标时间前60日以内成立的公司，可以提供供应商与委托代理人签订的劳动合同扫描件加盖电子签章代替养老保险证明扫描件加盖电子签章；</w:t>
      </w:r>
    </w:p>
    <w:p w14:paraId="1D66D707">
      <w:pPr>
        <w:spacing w:line="380" w:lineRule="exact"/>
        <w:ind w:firstLine="480" w:firstLineChars="200"/>
        <w:rPr>
          <w:rFonts w:ascii="宋体" w:hAnsi="宋体" w:cs="宋体"/>
          <w:sz w:val="24"/>
        </w:rPr>
      </w:pPr>
      <w:r>
        <w:rPr>
          <w:rFonts w:hint="eastAsia" w:ascii="宋体" w:hAnsi="宋体" w:cs="宋体"/>
          <w:sz w:val="24"/>
        </w:rPr>
        <w:t>（2）如供应商为事业单位，可以提供事业单位机构编制管理证扫描件加盖电子签章或事业单位机构为其发放工资的工资条扫描件加盖电子签章代替养老保险证明扫描件加盖电子签章；</w:t>
      </w:r>
    </w:p>
    <w:p w14:paraId="58EB7494">
      <w:pPr>
        <w:spacing w:line="380" w:lineRule="exact"/>
        <w:ind w:firstLine="480" w:firstLineChars="200"/>
        <w:rPr>
          <w:rFonts w:hint="eastAsia" w:ascii="宋体" w:hAnsi="宋体" w:cs="宋体"/>
          <w:sz w:val="24"/>
        </w:rPr>
      </w:pPr>
      <w:r>
        <w:rPr>
          <w:rFonts w:hint="eastAsia" w:ascii="宋体" w:hAnsi="宋体" w:cs="宋体"/>
          <w:sz w:val="24"/>
        </w:rPr>
        <w:t>（3）如委托代理人为免缴纳养老保险人员，提供免缴纳养老保险的证明材料扫描件加盖电子签章及供应商与委托代理人签订的劳动合同扫描件加盖电子签章代替养老保险证明扫描件加盖电子签章。</w:t>
      </w:r>
    </w:p>
    <w:p w14:paraId="0F4BE747">
      <w:pPr>
        <w:pStyle w:val="2"/>
        <w:spacing w:line="380" w:lineRule="exact"/>
        <w:ind w:firstLine="480" w:firstLineChars="200"/>
        <w:rPr>
          <w:rFonts w:hint="eastAsia"/>
        </w:rPr>
      </w:pPr>
      <w:r>
        <w:rPr>
          <w:rFonts w:hint="eastAsia" w:ascii="宋体" w:hAnsi="宋体" w:cs="宋体"/>
          <w:sz w:val="24"/>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p>
    <w:p w14:paraId="137906F6">
      <w:pPr>
        <w:spacing w:line="380" w:lineRule="exact"/>
        <w:ind w:firstLine="480" w:firstLineChars="200"/>
        <w:rPr>
          <w:rFonts w:hint="eastAsia" w:ascii="宋体" w:cs="宋体"/>
          <w:b/>
          <w:bCs/>
          <w:sz w:val="24"/>
        </w:rPr>
      </w:pPr>
      <w:r>
        <w:rPr>
          <w:rFonts w:hint="eastAsia" w:ascii="宋体" w:hAnsi="宋体" w:cs="宋体"/>
          <w:b/>
          <w:bCs/>
          <w:sz w:val="24"/>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r>
        <w:rPr>
          <w:rFonts w:hint="eastAsia" w:ascii="宋体" w:hAnsi="宋体" w:cs="宋体"/>
          <w:sz w:val="24"/>
        </w:rPr>
        <w:t>】</w:t>
      </w:r>
      <w:r>
        <w:rPr>
          <w:rFonts w:hint="eastAsia" w:ascii="宋体" w:hAnsi="宋体" w:cs="宋体"/>
          <w:b/>
          <w:bCs/>
          <w:sz w:val="24"/>
        </w:rPr>
        <w:t>（委托代理时必须提供；如为联合体的，授权委托书原件须由牵头人出具）；</w:t>
      </w:r>
    </w:p>
    <w:p w14:paraId="1FF80389">
      <w:pPr>
        <w:spacing w:line="380" w:lineRule="exact"/>
        <w:ind w:firstLine="480" w:firstLineChars="200"/>
        <w:rPr>
          <w:rFonts w:ascii="宋体" w:cs="宋体"/>
          <w:b/>
          <w:bCs/>
          <w:sz w:val="24"/>
        </w:rPr>
      </w:pPr>
      <w:r>
        <w:rPr>
          <w:rFonts w:hint="eastAsia" w:ascii="宋体" w:hAnsi="宋体" w:cs="宋体"/>
          <w:sz w:val="24"/>
        </w:rPr>
        <w:t>3.供应商参加政府采购活动前</w:t>
      </w:r>
      <w:r>
        <w:rPr>
          <w:rFonts w:ascii="宋体" w:hAnsi="宋体" w:cs="宋体"/>
          <w:sz w:val="24"/>
        </w:rPr>
        <w:t>3</w:t>
      </w:r>
      <w:r>
        <w:rPr>
          <w:rFonts w:hint="eastAsia" w:ascii="宋体" w:hAnsi="宋体" w:cs="宋体"/>
          <w:sz w:val="24"/>
        </w:rPr>
        <w:t>年内在经营活动中没有重大违法记录及有关信用信息的书面声明</w:t>
      </w:r>
      <w:r>
        <w:rPr>
          <w:rFonts w:hint="eastAsia" w:ascii="宋体" w:hAnsi="宋体" w:cs="宋体"/>
          <w:b/>
          <w:bCs/>
          <w:sz w:val="24"/>
        </w:rPr>
        <w:t>（必须提供，自然人除外）；</w:t>
      </w:r>
    </w:p>
    <w:p w14:paraId="14486582">
      <w:pPr>
        <w:spacing w:line="380" w:lineRule="exact"/>
        <w:ind w:firstLine="480" w:firstLineChars="200"/>
        <w:rPr>
          <w:rFonts w:hint="eastAsia" w:ascii="宋体" w:hAnsi="宋体" w:cs="宋体"/>
          <w:b/>
          <w:bCs/>
          <w:sz w:val="24"/>
        </w:rPr>
      </w:pPr>
      <w:r>
        <w:rPr>
          <w:rFonts w:hint="eastAsia" w:ascii="宋体" w:hAnsi="宋体" w:cs="宋体"/>
          <w:sz w:val="24"/>
        </w:rPr>
        <w:t>4.供应商的法人或者其他组织营业执照等证明文件扫描件加盖电子签章（</w:t>
      </w:r>
      <w:r>
        <w:rPr>
          <w:rFonts w:hint="eastAsia" w:ascii="宋体" w:hAnsi="宋体" w:cs="宋体"/>
          <w:b/>
          <w:bCs/>
          <w:sz w:val="24"/>
        </w:rPr>
        <w:t>必须提供，自然人除外）；</w:t>
      </w:r>
    </w:p>
    <w:p w14:paraId="1D0C136F">
      <w:pPr>
        <w:numPr>
          <w:ilvl w:val="0"/>
          <w:numId w:val="0"/>
        </w:numPr>
        <w:spacing w:line="380" w:lineRule="exact"/>
        <w:ind w:firstLine="480" w:firstLineChars="200"/>
        <w:rPr>
          <w:rFonts w:hint="eastAsia" w:ascii="宋体" w:hAnsi="宋体" w:cs="宋体"/>
          <w:b/>
          <w:bCs/>
          <w:sz w:val="24"/>
        </w:rPr>
      </w:pPr>
      <w:r>
        <w:rPr>
          <w:rFonts w:hint="eastAsia" w:ascii="宋体" w:hAnsi="宋体" w:cs="宋体"/>
          <w:b/>
          <w:bCs/>
          <w:sz w:val="24"/>
        </w:rPr>
        <w:t>注：供应商为企业（包括合伙企业），应提供</w:t>
      </w:r>
      <w:r>
        <w:rPr>
          <w:rFonts w:hint="eastAsia" w:ascii="宋体" w:hAnsi="宋体" w:cs="宋体"/>
          <w:b/>
          <w:bCs/>
          <w:sz w:val="24"/>
          <w:lang w:eastAsia="zh-CN"/>
        </w:rPr>
        <w:t>市场监管部门（登记机关）</w:t>
      </w:r>
      <w:r>
        <w:rPr>
          <w:rFonts w:hint="eastAsia" w:ascii="宋体" w:hAnsi="宋体" w:cs="宋体"/>
          <w:b/>
          <w:bCs/>
          <w:sz w:val="24"/>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扫描件）</w:t>
      </w:r>
    </w:p>
    <w:p w14:paraId="44B16188">
      <w:pPr>
        <w:pStyle w:val="2"/>
        <w:rPr>
          <w:rFonts w:hint="eastAsia"/>
        </w:rPr>
      </w:pPr>
    </w:p>
    <w:p w14:paraId="1D0EA0D2">
      <w:pPr>
        <w:spacing w:line="380" w:lineRule="exact"/>
        <w:ind w:firstLine="480" w:firstLineChars="200"/>
        <w:rPr>
          <w:rFonts w:hint="eastAsia" w:ascii="宋体" w:hAnsi="宋体" w:cs="宋体"/>
          <w:sz w:val="24"/>
        </w:rPr>
      </w:pPr>
      <w:r>
        <w:rPr>
          <w:rFonts w:hint="eastAsia" w:ascii="宋体" w:hAnsi="宋体" w:cs="宋体"/>
          <w:sz w:val="24"/>
        </w:rPr>
        <w:t>5.财务状况报告</w:t>
      </w:r>
      <w:r>
        <w:rPr>
          <w:rFonts w:hint="eastAsia" w:ascii="宋体" w:hAnsi="宋体" w:cs="宋体"/>
          <w:b/>
          <w:bCs/>
          <w:sz w:val="24"/>
        </w:rPr>
        <w:t>（格式自拟，必须提供）</w:t>
      </w:r>
      <w:r>
        <w:rPr>
          <w:rFonts w:hint="eastAsia" w:ascii="宋体" w:hAnsi="宋体" w:cs="宋体"/>
          <w:sz w:val="24"/>
        </w:rPr>
        <w:t>；</w:t>
      </w:r>
    </w:p>
    <w:p w14:paraId="240B9078">
      <w:pPr>
        <w:spacing w:line="380" w:lineRule="exact"/>
        <w:ind w:firstLine="480" w:firstLineChars="200"/>
        <w:rPr>
          <w:rFonts w:hint="eastAsia" w:ascii="宋体" w:hAnsi="宋体" w:cs="宋体"/>
          <w:sz w:val="24"/>
        </w:rPr>
      </w:pPr>
      <w:r>
        <w:rPr>
          <w:rFonts w:hint="eastAsia" w:ascii="宋体" w:hAnsi="宋体" w:cs="宋体"/>
          <w:sz w:val="24"/>
        </w:rPr>
        <w:t>6.供应商截止开标时间前近半年内任意一个月或任一季度依法缴纳税收的证明材料【增值税发票(税收完税证明)或企业所得税完税证明或税务部门出具的免税证明或税务部门出具的无欠税证明】扫描件加盖电子签章</w:t>
      </w:r>
      <w:r>
        <w:rPr>
          <w:rFonts w:hint="eastAsia" w:ascii="宋体" w:hAnsi="宋体" w:cs="宋体"/>
          <w:b/>
          <w:bCs/>
          <w:sz w:val="24"/>
        </w:rPr>
        <w:t>（必须提供）；</w:t>
      </w:r>
    </w:p>
    <w:p w14:paraId="52832AA1">
      <w:pPr>
        <w:spacing w:line="380" w:lineRule="exact"/>
        <w:ind w:firstLine="480" w:firstLineChars="200"/>
        <w:rPr>
          <w:rFonts w:hint="eastAsia" w:ascii="宋体" w:hAnsi="宋体" w:cs="宋体"/>
          <w:b/>
          <w:bCs/>
          <w:sz w:val="24"/>
        </w:rPr>
      </w:pPr>
      <w:r>
        <w:rPr>
          <w:rFonts w:hint="eastAsia" w:ascii="宋体" w:hAnsi="宋体" w:cs="宋体"/>
          <w:b/>
          <w:bCs/>
          <w:sz w:val="24"/>
        </w:rPr>
        <w:t>供应商提供的以上相关证明材料属于“必须提供”的文件应加盖供应商公章（CA签章）/自然人签字或加盖个人CA签章，否则响应无效。</w:t>
      </w:r>
    </w:p>
    <w:p w14:paraId="4DB76734">
      <w:pPr>
        <w:spacing w:line="440" w:lineRule="atLeast"/>
        <w:rPr>
          <w:rFonts w:ascii="宋体"/>
          <w:b/>
          <w:sz w:val="28"/>
          <w:szCs w:val="28"/>
        </w:rPr>
      </w:pPr>
      <w:r>
        <w:rPr>
          <w:rFonts w:hint="eastAsia" w:ascii="宋体" w:hAnsi="宋体"/>
          <w:b/>
          <w:sz w:val="28"/>
          <w:szCs w:val="28"/>
        </w:rPr>
        <w:t>1</w:t>
      </w:r>
      <w:r>
        <w:rPr>
          <w:rFonts w:ascii="宋体" w:hAnsi="宋体"/>
          <w:b/>
          <w:sz w:val="28"/>
          <w:szCs w:val="28"/>
        </w:rPr>
        <w:t>.</w:t>
      </w:r>
      <w:r>
        <w:rPr>
          <w:rFonts w:hint="eastAsia" w:ascii="宋体" w:hAnsi="宋体"/>
          <w:b/>
          <w:sz w:val="28"/>
          <w:szCs w:val="28"/>
        </w:rPr>
        <w:t>供应商相应的法定代表人、负责人、自然人身份证正反两面扫描件加盖电子签章（必须提供）；</w:t>
      </w:r>
    </w:p>
    <w:p w14:paraId="69E6FF40">
      <w:pPr>
        <w:spacing w:line="440" w:lineRule="atLeast"/>
        <w:rPr>
          <w:rFonts w:hint="eastAsia" w:ascii="宋体" w:hAnsi="宋体"/>
          <w:b/>
          <w:sz w:val="28"/>
          <w:szCs w:val="28"/>
        </w:rPr>
      </w:pPr>
    </w:p>
    <w:p w14:paraId="55256CC1">
      <w:pPr>
        <w:spacing w:line="400" w:lineRule="exact"/>
        <w:rPr>
          <w:rFonts w:hint="eastAsia" w:ascii="宋体" w:hAnsi="宋体"/>
          <w:b/>
          <w:sz w:val="28"/>
          <w:szCs w:val="28"/>
        </w:rPr>
      </w:pPr>
      <w:r>
        <w:rPr>
          <w:rFonts w:hint="eastAsia" w:ascii="宋体" w:hAnsi="宋体"/>
          <w:b/>
          <w:sz w:val="28"/>
          <w:szCs w:val="28"/>
        </w:rPr>
        <w:t>2.供应商的授权委托书原件、委托代理人身份证正反面扫描件加盖电子签章以及由县级以上（含县级）社会养老保险经办机构出具的供应商为委托代理人缴纳的响应文件递交截止时间前三个月内任意一个月养老保险证明扫描件加盖电子签章，除供应商为以下四种情形的：</w:t>
      </w:r>
    </w:p>
    <w:p w14:paraId="083860D7">
      <w:pPr>
        <w:spacing w:line="400" w:lineRule="exact"/>
        <w:rPr>
          <w:rFonts w:hint="eastAsia" w:ascii="宋体" w:hAnsi="宋体"/>
          <w:b/>
          <w:sz w:val="28"/>
          <w:szCs w:val="28"/>
        </w:rPr>
      </w:pPr>
      <w:r>
        <w:rPr>
          <w:rFonts w:hint="eastAsia" w:ascii="宋体" w:hAnsi="宋体"/>
          <w:b/>
          <w:sz w:val="28"/>
          <w:szCs w:val="28"/>
        </w:rPr>
        <w:t>（1） 如供应商为截标时间前60日以内成立的公司，可以提供供应商与委托代理人签订的劳动合同扫描件加盖电子签章代替养老保险证明扫描件加盖电子签章；</w:t>
      </w:r>
    </w:p>
    <w:p w14:paraId="6FF48E3C">
      <w:pPr>
        <w:spacing w:line="400" w:lineRule="exact"/>
        <w:rPr>
          <w:rFonts w:ascii="宋体" w:hAnsi="宋体"/>
          <w:b/>
          <w:sz w:val="28"/>
          <w:szCs w:val="28"/>
        </w:rPr>
      </w:pPr>
      <w:r>
        <w:rPr>
          <w:rFonts w:hint="eastAsia" w:ascii="宋体" w:hAnsi="宋体"/>
          <w:b/>
          <w:sz w:val="28"/>
          <w:szCs w:val="28"/>
        </w:rPr>
        <w:t>（2）如供应商为事业单位，可以提供事业单位机构编制管理证扫描件加盖电子签章或事业单位机构为其发放工资的工资条扫描件加盖电子签章代替养老保险证明扫描件加盖电子签章；</w:t>
      </w:r>
    </w:p>
    <w:p w14:paraId="2BB24CBD">
      <w:pPr>
        <w:spacing w:line="400" w:lineRule="exact"/>
        <w:rPr>
          <w:rFonts w:hint="eastAsia" w:ascii="宋体" w:hAnsi="宋体"/>
          <w:b/>
          <w:sz w:val="28"/>
          <w:szCs w:val="28"/>
        </w:rPr>
      </w:pPr>
      <w:r>
        <w:rPr>
          <w:rFonts w:hint="eastAsia" w:ascii="宋体" w:hAnsi="宋体"/>
          <w:b/>
          <w:sz w:val="28"/>
          <w:szCs w:val="28"/>
        </w:rPr>
        <w:t>（3）如委托代理人为免缴纳养老保险人员，提供免缴纳养老保险的证明材料扫描件加盖电子签章及供应商与委托代理人签订的劳动合同扫描件加盖电子签章代替养老保险证明扫描件加盖电子签章。</w:t>
      </w:r>
    </w:p>
    <w:p w14:paraId="542F3849">
      <w:pPr>
        <w:spacing w:line="400" w:lineRule="exact"/>
        <w:rPr>
          <w:rFonts w:hint="eastAsia" w:ascii="宋体" w:hAnsi="宋体"/>
          <w:b/>
          <w:sz w:val="28"/>
          <w:szCs w:val="28"/>
        </w:rPr>
      </w:pPr>
      <w:bookmarkStart w:id="974" w:name="_Toc27419"/>
      <w:bookmarkStart w:id="975" w:name="_Toc27755"/>
      <w:bookmarkStart w:id="976" w:name="_Toc930"/>
      <w:r>
        <w:rPr>
          <w:rFonts w:hint="eastAsia" w:ascii="宋体" w:hAnsi="宋体"/>
          <w:b/>
          <w:sz w:val="28"/>
          <w:szCs w:val="28"/>
        </w:rPr>
        <w:t>（4）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w:t>
      </w:r>
      <w:bookmarkEnd w:id="974"/>
      <w:bookmarkEnd w:id="975"/>
      <w:bookmarkEnd w:id="976"/>
    </w:p>
    <w:p w14:paraId="4FBA6B22">
      <w:pPr>
        <w:spacing w:line="400" w:lineRule="exact"/>
        <w:rPr>
          <w:rFonts w:hint="eastAsia" w:ascii="宋体" w:hAnsi="宋体"/>
          <w:b/>
          <w:sz w:val="28"/>
          <w:szCs w:val="28"/>
        </w:rPr>
      </w:pPr>
      <w:r>
        <w:rPr>
          <w:rFonts w:hint="eastAsia" w:ascii="宋体" w:hAnsi="宋体"/>
          <w:b/>
          <w:sz w:val="28"/>
          <w:szCs w:val="28"/>
        </w:rPr>
        <w:t>【属自然人的应提供由县级以上（含县级）社会养老保险经办机构出具的自然人本人及委托代理人所缴纳的响应文件递交截止时间前三个月内任意一个月养老保险证明扫描件加盖电子签章，如因社会养老保险经办机构系统升级等原因，暂时无法向供应商提供社会养老保险缴纳情况查询服务时，供应商可以提供已为委托代理人缴纳社会养老保险的承诺书。（须同时提供无法查询的相关证明材料，包括但不限于查询网站截图、公告等。）】（委托代理时必须提供；如为联合体的，授权委托书原件须由牵头人出具）</w:t>
      </w:r>
    </w:p>
    <w:p w14:paraId="02634BBC">
      <w:pPr>
        <w:pStyle w:val="13"/>
        <w:rPr>
          <w:rFonts w:hint="eastAsia" w:hAnsi="宋体"/>
          <w:b/>
          <w:sz w:val="32"/>
        </w:rPr>
      </w:pPr>
    </w:p>
    <w:p w14:paraId="26CDC6D8">
      <w:pPr>
        <w:pStyle w:val="13"/>
        <w:rPr>
          <w:rFonts w:hint="eastAsia" w:hAnsi="宋体"/>
          <w:b/>
          <w:sz w:val="32"/>
        </w:rPr>
      </w:pPr>
    </w:p>
    <w:p w14:paraId="6D20E609">
      <w:pPr>
        <w:pStyle w:val="13"/>
        <w:rPr>
          <w:rFonts w:hint="eastAsia" w:hAnsi="宋体"/>
          <w:b/>
          <w:sz w:val="32"/>
        </w:rPr>
      </w:pPr>
    </w:p>
    <w:p w14:paraId="5EA291CC">
      <w:pPr>
        <w:pStyle w:val="13"/>
        <w:rPr>
          <w:rFonts w:hint="eastAsia" w:hAnsi="宋体"/>
          <w:b/>
          <w:sz w:val="32"/>
        </w:rPr>
      </w:pPr>
    </w:p>
    <w:p w14:paraId="2DB25B0E">
      <w:pPr>
        <w:rPr>
          <w:rFonts w:hint="eastAsia"/>
        </w:rPr>
      </w:pPr>
    </w:p>
    <w:p w14:paraId="5EBCD30E">
      <w:pPr>
        <w:pStyle w:val="13"/>
        <w:rPr>
          <w:rFonts w:hAnsi="宋体"/>
          <w:b/>
          <w:sz w:val="32"/>
        </w:rPr>
      </w:pPr>
      <w:r>
        <w:rPr>
          <w:rFonts w:hint="eastAsia" w:hAnsi="宋体"/>
          <w:b/>
          <w:sz w:val="32"/>
        </w:rPr>
        <w:t>附件：</w:t>
      </w:r>
      <w:r>
        <w:rPr>
          <w:rFonts w:hAnsi="宋体"/>
          <w:b/>
          <w:sz w:val="32"/>
        </w:rPr>
        <w:t xml:space="preserve">            </w:t>
      </w:r>
    </w:p>
    <w:p w14:paraId="31CC7A39">
      <w:pPr>
        <w:pStyle w:val="13"/>
        <w:ind w:firstLine="627" w:firstLineChars="196"/>
        <w:jc w:val="center"/>
        <w:rPr>
          <w:rFonts w:hAnsi="宋体"/>
          <w:b/>
          <w:sz w:val="32"/>
        </w:rPr>
      </w:pPr>
      <w:bookmarkStart w:id="977" w:name="_Toc5420_WPSOffice_Level1"/>
      <w:bookmarkStart w:id="978" w:name="_Toc964_WPSOffice_Level1"/>
      <w:r>
        <w:rPr>
          <w:rFonts w:hint="eastAsia" w:hAnsi="宋体"/>
          <w:b/>
          <w:sz w:val="32"/>
        </w:rPr>
        <w:t>授权委托书（格式一）</w:t>
      </w:r>
      <w:bookmarkEnd w:id="977"/>
      <w:bookmarkEnd w:id="978"/>
    </w:p>
    <w:p w14:paraId="72A5E31D">
      <w:pPr>
        <w:pStyle w:val="13"/>
        <w:rPr>
          <w:rFonts w:hAnsi="宋体"/>
        </w:rPr>
      </w:pPr>
    </w:p>
    <w:p w14:paraId="32A49A27">
      <w:pPr>
        <w:spacing w:line="400" w:lineRule="exact"/>
        <w:rPr>
          <w:rFonts w:ascii="宋体"/>
        </w:rPr>
      </w:pPr>
      <w:r>
        <w:rPr>
          <w:rFonts w:hint="eastAsia" w:ascii="宋体" w:hAnsi="宋体"/>
          <w:szCs w:val="21"/>
        </w:rPr>
        <w:t>致：</w:t>
      </w:r>
      <w:r>
        <w:rPr>
          <w:rFonts w:ascii="宋体" w:hAnsi="宋体"/>
          <w:szCs w:val="21"/>
          <w:u w:val="single"/>
        </w:rPr>
        <w:t xml:space="preserve"> </w:t>
      </w:r>
      <w:r>
        <w:rPr>
          <w:rFonts w:hint="eastAsia" w:ascii="宋体" w:hAnsi="宋体"/>
          <w:szCs w:val="21"/>
          <w:u w:val="single"/>
        </w:rPr>
        <w:t xml:space="preserve">桂林市政府集中采购中心 </w:t>
      </w:r>
    </w:p>
    <w:p w14:paraId="6D0CAD3C">
      <w:pPr>
        <w:spacing w:line="400" w:lineRule="exact"/>
        <w:rPr>
          <w:rFonts w:ascii="宋体"/>
          <w:szCs w:val="21"/>
        </w:rPr>
      </w:pPr>
    </w:p>
    <w:p w14:paraId="57977915">
      <w:pPr>
        <w:pStyle w:val="13"/>
        <w:spacing w:line="400" w:lineRule="exact"/>
        <w:ind w:firstLine="420" w:firstLineChars="200"/>
        <w:rPr>
          <w:rFonts w:hint="eastAsia" w:hAnsi="宋体" w:cs="宋体"/>
          <w:sz w:val="21"/>
        </w:rPr>
      </w:pPr>
      <w:r>
        <w:rPr>
          <w:rFonts w:hint="eastAsia" w:hAnsi="宋体" w:cs="宋体"/>
          <w:sz w:val="21"/>
        </w:rPr>
        <w:t>我</w:t>
      </w:r>
      <w:r>
        <w:rPr>
          <w:rFonts w:hint="eastAsia" w:hAnsi="宋体" w:cs="宋体"/>
          <w:sz w:val="21"/>
          <w:u w:val="single"/>
        </w:rPr>
        <w:t xml:space="preserve">              </w:t>
      </w:r>
      <w:r>
        <w:rPr>
          <w:rFonts w:hint="eastAsia" w:hAnsi="宋体" w:cs="宋体"/>
          <w:sz w:val="21"/>
        </w:rPr>
        <w:t>（姓名）系</w:t>
      </w:r>
      <w:r>
        <w:rPr>
          <w:rFonts w:hint="eastAsia" w:hAnsi="宋体" w:cs="宋体"/>
          <w:sz w:val="21"/>
          <w:u w:val="single"/>
        </w:rPr>
        <w:t xml:space="preserve">                              </w:t>
      </w:r>
      <w:r>
        <w:rPr>
          <w:rFonts w:hint="eastAsia" w:hAnsi="宋体" w:cs="宋体"/>
          <w:sz w:val="21"/>
        </w:rPr>
        <w:t>（供应商名称）的法定代表人（负责人），现授权委托本单位在职职工</w:t>
      </w:r>
      <w:r>
        <w:rPr>
          <w:rFonts w:hint="eastAsia" w:hAnsi="宋体" w:cs="宋体"/>
          <w:sz w:val="21"/>
          <w:u w:val="single"/>
        </w:rPr>
        <w:t xml:space="preserve">            </w:t>
      </w:r>
      <w:r>
        <w:rPr>
          <w:rFonts w:hint="eastAsia" w:hAnsi="宋体" w:cs="宋体"/>
          <w:sz w:val="21"/>
        </w:rPr>
        <w:t>（姓 名）以我公司名义参加</w:t>
      </w:r>
      <w:r>
        <w:rPr>
          <w:rFonts w:hint="eastAsia" w:hAnsi="宋体" w:cs="宋体"/>
          <w:sz w:val="21"/>
          <w:u w:val="single"/>
        </w:rPr>
        <w:t xml:space="preserve">      （项目名称及项目编号）        </w:t>
      </w:r>
      <w:r>
        <w:rPr>
          <w:rFonts w:hint="eastAsia" w:hAnsi="宋体" w:cs="宋体"/>
          <w:sz w:val="21"/>
        </w:rPr>
        <w:t>项目的谈判活动，并代表我方全权办理针对上述项目的谈判、签约等具体事务和签署相关文件。</w:t>
      </w:r>
    </w:p>
    <w:p w14:paraId="74EC3CA5">
      <w:pPr>
        <w:pStyle w:val="13"/>
        <w:spacing w:line="400" w:lineRule="exact"/>
        <w:ind w:firstLine="420" w:firstLineChars="200"/>
        <w:rPr>
          <w:rFonts w:hint="eastAsia" w:hAnsi="宋体" w:cs="宋体"/>
          <w:sz w:val="21"/>
        </w:rPr>
      </w:pPr>
      <w:r>
        <w:rPr>
          <w:rFonts w:hint="eastAsia" w:hAnsi="宋体" w:cs="宋体"/>
          <w:sz w:val="21"/>
        </w:rPr>
        <w:t>我方对被授权人的签字事项负全部责任。</w:t>
      </w:r>
    </w:p>
    <w:p w14:paraId="69D1A5D3">
      <w:pPr>
        <w:pStyle w:val="13"/>
        <w:spacing w:line="400" w:lineRule="exact"/>
        <w:ind w:firstLine="420" w:firstLineChars="200"/>
        <w:rPr>
          <w:rFonts w:hint="eastAsia" w:hAnsi="宋体" w:cs="宋体"/>
          <w:sz w:val="21"/>
          <w:u w:val="single"/>
        </w:rPr>
      </w:pPr>
      <w:r>
        <w:rPr>
          <w:rFonts w:hint="eastAsia" w:hAnsi="宋体" w:cs="宋体"/>
          <w:sz w:val="21"/>
        </w:rPr>
        <w:t>授权委托代理期限：从</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 xml:space="preserve">月 </w:t>
      </w:r>
      <w:r>
        <w:rPr>
          <w:rFonts w:hint="eastAsia" w:hAnsi="宋体" w:cs="宋体"/>
          <w:sz w:val="21"/>
          <w:u w:val="single"/>
        </w:rPr>
        <w:t xml:space="preserve">    </w:t>
      </w:r>
      <w:r>
        <w:rPr>
          <w:rFonts w:hint="eastAsia" w:hAnsi="宋体" w:cs="宋体"/>
          <w:sz w:val="21"/>
        </w:rPr>
        <w:t xml:space="preserve"> 日起至</w:t>
      </w:r>
      <w:r>
        <w:rPr>
          <w:rFonts w:hint="eastAsia" w:hAnsi="宋体" w:cs="宋体"/>
          <w:sz w:val="21"/>
          <w:u w:val="single"/>
        </w:rPr>
        <w:t xml:space="preserve">         </w:t>
      </w:r>
      <w:r>
        <w:rPr>
          <w:rFonts w:hint="eastAsia" w:hAnsi="宋体" w:cs="宋体"/>
          <w:sz w:val="21"/>
        </w:rPr>
        <w:t>年</w:t>
      </w:r>
      <w:r>
        <w:rPr>
          <w:rFonts w:hint="eastAsia" w:hAnsi="宋体" w:cs="宋体"/>
          <w:sz w:val="21"/>
          <w:u w:val="single"/>
        </w:rPr>
        <w:t xml:space="preserve">     </w:t>
      </w:r>
      <w:r>
        <w:rPr>
          <w:rFonts w:hint="eastAsia" w:hAnsi="宋体" w:cs="宋体"/>
          <w:sz w:val="21"/>
        </w:rPr>
        <w:t xml:space="preserve">月 </w:t>
      </w:r>
      <w:r>
        <w:rPr>
          <w:rFonts w:hint="eastAsia" w:hAnsi="宋体" w:cs="宋体"/>
          <w:sz w:val="21"/>
          <w:u w:val="single"/>
        </w:rPr>
        <w:t xml:space="preserve">     </w:t>
      </w:r>
      <w:r>
        <w:rPr>
          <w:rFonts w:hint="eastAsia" w:hAnsi="宋体" w:cs="宋体"/>
          <w:sz w:val="21"/>
        </w:rPr>
        <w:t>日止。</w:t>
      </w:r>
    </w:p>
    <w:p w14:paraId="3F14806E">
      <w:pPr>
        <w:pStyle w:val="13"/>
        <w:spacing w:line="400" w:lineRule="exact"/>
        <w:rPr>
          <w:rFonts w:hint="eastAsia" w:hAnsi="宋体" w:cs="宋体"/>
          <w:sz w:val="21"/>
          <w:u w:val="single"/>
        </w:rPr>
      </w:pPr>
      <w:r>
        <w:rPr>
          <w:rFonts w:hint="eastAsia" w:hAnsi="宋体" w:cs="宋体"/>
          <w:sz w:val="21"/>
        </w:rPr>
        <w:t xml:space="preserve">                                                                                             </w:t>
      </w:r>
    </w:p>
    <w:p w14:paraId="63310376">
      <w:pPr>
        <w:spacing w:line="400" w:lineRule="exact"/>
        <w:ind w:firstLine="420" w:firstLineChars="200"/>
        <w:rPr>
          <w:rFonts w:hint="eastAsia" w:ascii="宋体" w:hAnsi="宋体" w:cs="宋体"/>
          <w:kern w:val="0"/>
          <w:szCs w:val="21"/>
        </w:rPr>
      </w:pPr>
      <w:r>
        <w:rPr>
          <w:rFonts w:hint="eastAsia" w:ascii="宋体" w:hAnsi="宋体" w:cs="宋体"/>
          <w:kern w:val="0"/>
          <w:szCs w:val="21"/>
        </w:rPr>
        <w:t xml:space="preserve">代理人无转委托权,特此委托。 </w:t>
      </w:r>
    </w:p>
    <w:p w14:paraId="376E98EE">
      <w:pPr>
        <w:snapToGrid w:val="0"/>
        <w:spacing w:line="400" w:lineRule="exact"/>
        <w:ind w:firstLine="525"/>
        <w:rPr>
          <w:rFonts w:hint="eastAsia" w:ascii="宋体" w:hAnsi="宋体" w:cs="宋体"/>
          <w:szCs w:val="21"/>
        </w:rPr>
      </w:pPr>
    </w:p>
    <w:p w14:paraId="39F02634">
      <w:pPr>
        <w:snapToGrid w:val="0"/>
        <w:spacing w:line="400" w:lineRule="exact"/>
        <w:ind w:firstLine="420"/>
        <w:rPr>
          <w:rFonts w:hint="eastAsia" w:ascii="宋体" w:hAnsi="宋体" w:cs="宋体"/>
          <w:szCs w:val="21"/>
        </w:rPr>
      </w:pPr>
      <w:r>
        <w:rPr>
          <w:rFonts w:hint="eastAsia" w:ascii="宋体" w:hAnsi="宋体" w:cs="宋体"/>
          <w:szCs w:val="21"/>
        </w:rPr>
        <w:t>我已在下面签字，以资证明。</w:t>
      </w:r>
    </w:p>
    <w:p w14:paraId="3098F489">
      <w:pPr>
        <w:snapToGrid w:val="0"/>
        <w:spacing w:line="400" w:lineRule="exact"/>
        <w:ind w:firstLine="420"/>
        <w:rPr>
          <w:rFonts w:ascii="宋体"/>
          <w:szCs w:val="21"/>
        </w:rPr>
      </w:pPr>
    </w:p>
    <w:p w14:paraId="5033E29E">
      <w:pPr>
        <w:snapToGrid w:val="0"/>
        <w:spacing w:line="400" w:lineRule="exact"/>
        <w:ind w:firstLine="420"/>
        <w:rPr>
          <w:rFonts w:ascii="宋体"/>
          <w:szCs w:val="21"/>
        </w:rPr>
      </w:pPr>
    </w:p>
    <w:p w14:paraId="798065E6">
      <w:pPr>
        <w:snapToGrid w:val="0"/>
        <w:spacing w:line="400" w:lineRule="exact"/>
        <w:ind w:firstLine="420"/>
        <w:rPr>
          <w:rFonts w:ascii="宋体" w:hAnsi="宋体" w:cs="宋体"/>
          <w:szCs w:val="21"/>
          <w:u w:val="single"/>
        </w:rPr>
      </w:pPr>
      <w:r>
        <w:rPr>
          <w:rFonts w:hint="eastAsia" w:ascii="宋体" w:hAnsi="宋体" w:cs="宋体"/>
          <w:szCs w:val="21"/>
        </w:rPr>
        <w:t>供应商[公章（CA签章）]：</w:t>
      </w:r>
      <w:r>
        <w:rPr>
          <w:rFonts w:hint="eastAsia" w:ascii="宋体" w:hAnsi="宋体" w:cs="宋体"/>
          <w:szCs w:val="21"/>
          <w:u w:val="single"/>
        </w:rPr>
        <w:t xml:space="preserve">                                   </w:t>
      </w:r>
    </w:p>
    <w:p w14:paraId="792D1A67">
      <w:pPr>
        <w:snapToGrid w:val="0"/>
        <w:spacing w:line="400" w:lineRule="exact"/>
        <w:ind w:firstLine="420"/>
        <w:rPr>
          <w:rFonts w:ascii="宋体" w:hAnsi="宋体" w:cs="宋体"/>
          <w:szCs w:val="21"/>
        </w:rPr>
      </w:pPr>
    </w:p>
    <w:p w14:paraId="79276E68">
      <w:pPr>
        <w:snapToGrid w:val="0"/>
        <w:spacing w:line="400" w:lineRule="exact"/>
        <w:ind w:firstLine="420"/>
        <w:rPr>
          <w:rFonts w:ascii="宋体" w:hAnsi="宋体" w:cs="宋体"/>
          <w:szCs w:val="21"/>
        </w:rPr>
      </w:pPr>
      <w:r>
        <w:rPr>
          <w:rFonts w:hint="eastAsia" w:ascii="宋体" w:hAnsi="宋体" w:cs="宋体"/>
          <w:szCs w:val="21"/>
        </w:rPr>
        <w:t>法定代表人（负责人）签字（或个人CA签章）：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5BB195C">
      <w:pPr>
        <w:snapToGrid w:val="0"/>
        <w:spacing w:line="400" w:lineRule="exact"/>
        <w:ind w:firstLine="420"/>
        <w:rPr>
          <w:rFonts w:ascii="宋体"/>
          <w:szCs w:val="21"/>
        </w:rPr>
      </w:pPr>
    </w:p>
    <w:p w14:paraId="6E08D4F9">
      <w:pPr>
        <w:spacing w:line="400" w:lineRule="exact"/>
        <w:ind w:firstLine="600" w:firstLineChars="250"/>
        <w:rPr>
          <w:rFonts w:ascii="宋体" w:hAnsi="宋体" w:cs="宋体"/>
          <w:b/>
          <w:sz w:val="24"/>
        </w:rPr>
      </w:pPr>
      <w:r>
        <w:rPr>
          <w:rFonts w:hint="eastAsia" w:ascii="宋体" w:hAnsi="宋体" w:cs="宋体"/>
          <w:b/>
          <w:sz w:val="24"/>
        </w:rPr>
        <w:t>注：投标人的授权委托书原件、委托代理人身份证正反面扫描件加盖电子签章以及由县级以上（含县级）社会养老保险经办机构出具的投标人为委托代理人缴纳的开标截止时间前三个月内任意一个月养老保险证明扫描件加盖电子签章（如投标人为截标时间前60日以内成立的公司，可以提供投标人与委托代理人签订的劳动合同扫描件加盖电子签章代替养老保险证明扫描件加盖电子签章；如投标人为事业单位，可以提供事业单位机构编制管理证扫描件加盖电子签章或事业单位机构为其发放工资的工资条扫描件加盖电子签章代替养老保险证明扫描件加盖电子签章；如委托代理人为免缴纳养老保险人员，提供免缴纳养老保险的证明材料扫描件加盖电子签章及投标人与委托代理人签订的劳动合同扫描件加盖电子签章代替养老保险证明扫描件加盖电子签章；如因社会养老保险经办机构系统升级等原因，暂时无法向投标人提供社会养老保险缴纳情况查询服务时，投标人可以提供已为委托代理人缴纳社会养老保险的承诺书，须同时提供无法查询的相关证明材料，包括但不限于查询网站截图、公告等。）（委托代理时必须提供）。</w:t>
      </w:r>
    </w:p>
    <w:p w14:paraId="76C28346">
      <w:pPr>
        <w:snapToGrid w:val="0"/>
        <w:spacing w:line="400" w:lineRule="exact"/>
        <w:rPr>
          <w:rFonts w:hint="eastAsia" w:ascii="宋体" w:hAnsi="宋体"/>
          <w:b/>
          <w:szCs w:val="21"/>
        </w:rPr>
      </w:pPr>
    </w:p>
    <w:p w14:paraId="0870CF52"/>
    <w:p w14:paraId="6D345290">
      <w:pPr>
        <w:pStyle w:val="13"/>
        <w:jc w:val="center"/>
        <w:rPr>
          <w:rFonts w:hint="eastAsia" w:hAnsi="宋体"/>
          <w:b/>
          <w:sz w:val="32"/>
        </w:rPr>
      </w:pPr>
    </w:p>
    <w:p w14:paraId="2E877CA0">
      <w:pPr>
        <w:pStyle w:val="13"/>
        <w:jc w:val="center"/>
        <w:rPr>
          <w:rFonts w:hAnsi="宋体"/>
          <w:b/>
          <w:sz w:val="32"/>
        </w:rPr>
      </w:pPr>
      <w:bookmarkStart w:id="979" w:name="_Toc21370_WPSOffice_Level1"/>
      <w:bookmarkStart w:id="980" w:name="_Toc6975_WPSOffice_Level1"/>
      <w:r>
        <w:rPr>
          <w:rFonts w:hint="eastAsia" w:hAnsi="宋体"/>
          <w:b/>
          <w:sz w:val="32"/>
        </w:rPr>
        <w:t>授权委托书（格式二）</w:t>
      </w:r>
      <w:bookmarkEnd w:id="979"/>
      <w:bookmarkEnd w:id="980"/>
    </w:p>
    <w:p w14:paraId="02666578">
      <w:pPr>
        <w:snapToGrid w:val="0"/>
        <w:spacing w:line="400" w:lineRule="exact"/>
        <w:rPr>
          <w:rFonts w:ascii="宋体" w:hAnsi="宋体" w:cs="宋体"/>
        </w:rPr>
      </w:pPr>
      <w:r>
        <w:rPr>
          <w:rFonts w:hint="eastAsia" w:ascii="宋体" w:hAnsi="宋体" w:cs="宋体"/>
          <w:b/>
          <w:szCs w:val="21"/>
        </w:rPr>
        <w:t>致</w:t>
      </w:r>
      <w:r>
        <w:rPr>
          <w:rFonts w:hint="eastAsia" w:ascii="宋体" w:hAnsi="宋体" w:cs="宋体"/>
          <w:szCs w:val="21"/>
        </w:rPr>
        <w:t>：</w:t>
      </w:r>
      <w:r>
        <w:rPr>
          <w:rFonts w:hint="eastAsia" w:ascii="宋体" w:hAnsi="宋体" w:cs="宋体"/>
          <w:u w:val="single"/>
        </w:rPr>
        <w:t>桂林市政府集中采购中心</w:t>
      </w:r>
    </w:p>
    <w:p w14:paraId="5F20F6DE">
      <w:pPr>
        <w:snapToGrid w:val="0"/>
        <w:spacing w:line="400" w:lineRule="exact"/>
        <w:rPr>
          <w:rFonts w:ascii="宋体" w:hAnsi="宋体" w:cs="宋体"/>
          <w:szCs w:val="21"/>
          <w:u w:val="single"/>
        </w:rPr>
      </w:pPr>
    </w:p>
    <w:p w14:paraId="6E516958">
      <w:pPr>
        <w:pStyle w:val="13"/>
        <w:spacing w:line="340" w:lineRule="exact"/>
        <w:ind w:firstLine="420" w:firstLineChars="200"/>
        <w:rPr>
          <w:rFonts w:hAnsi="宋体" w:cs="宋体"/>
          <w:sz w:val="21"/>
        </w:rPr>
      </w:pPr>
      <w:r>
        <w:rPr>
          <w:rFonts w:hint="eastAsia" w:hAnsi="宋体" w:cs="宋体"/>
          <w:sz w:val="21"/>
        </w:rPr>
        <w:t>我</w:t>
      </w:r>
      <w:r>
        <w:rPr>
          <w:rFonts w:hint="eastAsia" w:hAnsi="宋体" w:cs="宋体"/>
          <w:sz w:val="21"/>
          <w:u w:val="single"/>
        </w:rPr>
        <w:t xml:space="preserve">              </w:t>
      </w:r>
      <w:r>
        <w:rPr>
          <w:rFonts w:hint="eastAsia" w:hAnsi="宋体" w:cs="宋体"/>
          <w:sz w:val="21"/>
        </w:rPr>
        <w:t>（姓名）系自然人，现授权委托</w:t>
      </w:r>
      <w:r>
        <w:rPr>
          <w:rFonts w:hint="eastAsia" w:hAnsi="宋体" w:cs="宋体"/>
          <w:sz w:val="21"/>
          <w:u w:val="single"/>
        </w:rPr>
        <w:t xml:space="preserve">            </w:t>
      </w:r>
      <w:r>
        <w:rPr>
          <w:rFonts w:hint="eastAsia" w:hAnsi="宋体" w:cs="宋体"/>
          <w:sz w:val="21"/>
        </w:rPr>
        <w:t>（姓 名），身份证号码：</w:t>
      </w:r>
      <w:r>
        <w:rPr>
          <w:rFonts w:hint="eastAsia" w:hAnsi="宋体" w:cs="宋体"/>
          <w:sz w:val="21"/>
          <w:u w:val="single"/>
        </w:rPr>
        <w:t xml:space="preserve">              </w:t>
      </w:r>
      <w:r>
        <w:rPr>
          <w:rFonts w:hint="eastAsia" w:hAnsi="宋体" w:cs="宋体"/>
          <w:sz w:val="21"/>
        </w:rPr>
        <w:t>以本人名义参加</w:t>
      </w:r>
      <w:r>
        <w:rPr>
          <w:rFonts w:hint="eastAsia" w:hAnsi="宋体" w:cs="宋体"/>
          <w:sz w:val="21"/>
          <w:u w:val="single"/>
        </w:rPr>
        <w:t xml:space="preserve">      （项目名称及项目编号）        </w:t>
      </w:r>
      <w:r>
        <w:rPr>
          <w:rFonts w:hint="eastAsia" w:hAnsi="宋体" w:cs="宋体"/>
          <w:sz w:val="21"/>
        </w:rPr>
        <w:t>项目的投标活动，并代表本人全权办理针对上述项目的投标、开标、评标、签约等具体事务和签署相关文件。</w:t>
      </w:r>
    </w:p>
    <w:p w14:paraId="286588A6">
      <w:pPr>
        <w:pStyle w:val="13"/>
        <w:spacing w:line="340" w:lineRule="exact"/>
        <w:ind w:firstLine="420" w:firstLineChars="200"/>
        <w:rPr>
          <w:rFonts w:hAnsi="宋体" w:cs="宋体"/>
          <w:sz w:val="21"/>
        </w:rPr>
      </w:pPr>
      <w:r>
        <w:rPr>
          <w:rFonts w:hint="eastAsia" w:hAnsi="宋体" w:cs="宋体"/>
          <w:sz w:val="21"/>
        </w:rPr>
        <w:t>本人对被授权人的签字事项负全部责任。</w:t>
      </w:r>
    </w:p>
    <w:p w14:paraId="0F9A8397">
      <w:pPr>
        <w:pStyle w:val="13"/>
        <w:spacing w:line="400" w:lineRule="exact"/>
        <w:ind w:firstLine="420" w:firstLineChars="200"/>
        <w:rPr>
          <w:rFonts w:hAnsi="宋体" w:cs="宋体"/>
          <w:sz w:val="21"/>
          <w:u w:val="single"/>
        </w:rPr>
      </w:pPr>
      <w:r>
        <w:rPr>
          <w:rFonts w:hint="eastAsia" w:hAnsi="宋体" w:cs="宋体"/>
          <w:sz w:val="21"/>
        </w:rPr>
        <w:t>授权委托代理期限：自即日起至该项目政府采购活动结束。</w:t>
      </w:r>
    </w:p>
    <w:p w14:paraId="78F742B4">
      <w:pPr>
        <w:pStyle w:val="13"/>
        <w:spacing w:line="340" w:lineRule="exact"/>
        <w:ind w:firstLine="400" w:firstLineChars="200"/>
        <w:rPr>
          <w:rFonts w:hAnsi="宋体" w:cs="宋体"/>
          <w:u w:val="single"/>
        </w:rPr>
      </w:pPr>
    </w:p>
    <w:p w14:paraId="269F3325">
      <w:pPr>
        <w:pStyle w:val="13"/>
        <w:spacing w:line="340" w:lineRule="exact"/>
        <w:rPr>
          <w:rFonts w:hAnsi="宋体" w:cs="宋体"/>
          <w:u w:val="single"/>
        </w:rPr>
      </w:pPr>
      <w:r>
        <w:rPr>
          <w:rFonts w:hint="eastAsia" w:hAnsi="宋体" w:cs="宋体"/>
        </w:rPr>
        <w:t xml:space="preserve">                                                                                             </w:t>
      </w:r>
    </w:p>
    <w:p w14:paraId="1C7FA81C">
      <w:pPr>
        <w:spacing w:line="340" w:lineRule="exact"/>
        <w:ind w:firstLine="420" w:firstLineChars="200"/>
        <w:rPr>
          <w:rFonts w:ascii="宋体" w:hAnsi="宋体" w:cs="宋体"/>
          <w:kern w:val="0"/>
        </w:rPr>
      </w:pPr>
      <w:r>
        <w:rPr>
          <w:rFonts w:hint="eastAsia" w:ascii="宋体" w:hAnsi="宋体" w:cs="宋体"/>
          <w:kern w:val="0"/>
        </w:rPr>
        <w:t xml:space="preserve">代理人无转委托权,特此委托。 </w:t>
      </w:r>
    </w:p>
    <w:p w14:paraId="3A0C8983">
      <w:pPr>
        <w:snapToGrid w:val="0"/>
        <w:spacing w:line="340" w:lineRule="exact"/>
        <w:ind w:firstLine="525"/>
        <w:rPr>
          <w:rFonts w:ascii="宋体" w:hAnsi="宋体" w:cs="宋体"/>
          <w:szCs w:val="21"/>
        </w:rPr>
      </w:pPr>
    </w:p>
    <w:p w14:paraId="3231A122">
      <w:pPr>
        <w:snapToGrid w:val="0"/>
        <w:spacing w:line="340" w:lineRule="exact"/>
        <w:ind w:firstLine="420"/>
        <w:rPr>
          <w:rFonts w:ascii="宋体" w:hAnsi="宋体" w:cs="宋体"/>
          <w:szCs w:val="21"/>
        </w:rPr>
      </w:pPr>
      <w:r>
        <w:rPr>
          <w:rFonts w:hint="eastAsia" w:ascii="宋体" w:hAnsi="宋体" w:cs="宋体"/>
          <w:szCs w:val="21"/>
        </w:rPr>
        <w:t>我已在下面签字，以资证明。</w:t>
      </w:r>
    </w:p>
    <w:p w14:paraId="58EF59FE">
      <w:pPr>
        <w:snapToGrid w:val="0"/>
        <w:spacing w:line="340" w:lineRule="exact"/>
        <w:ind w:firstLine="420"/>
        <w:rPr>
          <w:rFonts w:ascii="宋体" w:hAnsi="宋体" w:cs="宋体"/>
          <w:szCs w:val="21"/>
        </w:rPr>
      </w:pPr>
    </w:p>
    <w:p w14:paraId="7AAD1995">
      <w:pPr>
        <w:snapToGrid w:val="0"/>
        <w:spacing w:line="340" w:lineRule="exact"/>
        <w:ind w:firstLine="420"/>
        <w:rPr>
          <w:rFonts w:ascii="宋体" w:hAnsi="宋体" w:cs="宋体"/>
          <w:szCs w:val="21"/>
        </w:rPr>
      </w:pPr>
      <w:r>
        <w:rPr>
          <w:rFonts w:hint="eastAsia" w:ascii="宋体" w:hAnsi="宋体" w:cs="宋体"/>
          <w:szCs w:val="21"/>
        </w:rPr>
        <w:t>自然人签字并在签名处加盖大拇指指印或个人CA签章：</w:t>
      </w:r>
      <w:r>
        <w:rPr>
          <w:rFonts w:hint="eastAsia" w:ascii="宋体" w:hAnsi="宋体" w:cs="宋体"/>
          <w:szCs w:val="21"/>
          <w:u w:val="single"/>
        </w:rPr>
        <w:t xml:space="preserve">             </w:t>
      </w: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1682DB9">
      <w:pPr>
        <w:snapToGrid w:val="0"/>
        <w:spacing w:line="340" w:lineRule="exact"/>
        <w:ind w:firstLine="420"/>
        <w:rPr>
          <w:rFonts w:hint="eastAsia" w:ascii="宋体" w:hAnsi="宋体" w:cs="宋体"/>
          <w:szCs w:val="21"/>
        </w:rPr>
      </w:pPr>
    </w:p>
    <w:p w14:paraId="5935DEFC">
      <w:pPr>
        <w:snapToGrid w:val="0"/>
        <w:spacing w:line="340" w:lineRule="exact"/>
        <w:ind w:firstLine="420"/>
        <w:rPr>
          <w:rFonts w:hint="eastAsia" w:ascii="宋体" w:hAnsi="宋体" w:cs="宋体"/>
          <w:szCs w:val="21"/>
        </w:rPr>
      </w:pPr>
    </w:p>
    <w:p w14:paraId="13A821FA">
      <w:pPr>
        <w:snapToGrid w:val="0"/>
        <w:spacing w:line="340" w:lineRule="exact"/>
        <w:ind w:firstLine="420"/>
        <w:rPr>
          <w:rFonts w:hint="eastAsia" w:ascii="宋体" w:hAnsi="宋体" w:cs="宋体"/>
          <w:szCs w:val="21"/>
        </w:rPr>
      </w:pPr>
    </w:p>
    <w:p w14:paraId="319B1704">
      <w:pPr>
        <w:snapToGrid w:val="0"/>
        <w:spacing w:line="340" w:lineRule="exact"/>
        <w:ind w:firstLine="420"/>
        <w:rPr>
          <w:rFonts w:hint="eastAsia" w:ascii="宋体" w:hAnsi="宋体" w:cs="宋体"/>
          <w:szCs w:val="21"/>
        </w:rPr>
      </w:pPr>
    </w:p>
    <w:p w14:paraId="63E4B2D3">
      <w:pPr>
        <w:snapToGrid w:val="0"/>
        <w:spacing w:line="340" w:lineRule="exact"/>
        <w:ind w:firstLine="420"/>
        <w:rPr>
          <w:rFonts w:hint="eastAsia" w:ascii="宋体" w:hAnsi="宋体" w:cs="宋体"/>
          <w:szCs w:val="21"/>
        </w:rPr>
      </w:pPr>
    </w:p>
    <w:p w14:paraId="7A698665">
      <w:pPr>
        <w:snapToGrid w:val="0"/>
        <w:spacing w:line="340" w:lineRule="exact"/>
        <w:ind w:firstLine="420"/>
        <w:rPr>
          <w:rFonts w:hint="eastAsia" w:ascii="宋体" w:hAnsi="宋体" w:cs="宋体"/>
          <w:szCs w:val="21"/>
        </w:rPr>
      </w:pPr>
    </w:p>
    <w:p w14:paraId="4084E1D3">
      <w:pPr>
        <w:pStyle w:val="13"/>
        <w:spacing w:line="340" w:lineRule="exact"/>
        <w:rPr>
          <w:b/>
          <w:sz w:val="28"/>
          <w:szCs w:val="28"/>
        </w:rPr>
      </w:pPr>
      <w:r>
        <w:rPr>
          <w:rFonts w:hint="eastAsia"/>
          <w:b/>
          <w:sz w:val="28"/>
          <w:szCs w:val="28"/>
        </w:rPr>
        <w:br w:type="page"/>
      </w:r>
      <w:r>
        <w:rPr>
          <w:rFonts w:hint="eastAsia"/>
          <w:b/>
          <w:sz w:val="28"/>
          <w:szCs w:val="28"/>
        </w:rPr>
        <w:t>3</w:t>
      </w:r>
      <w:r>
        <w:rPr>
          <w:b/>
          <w:sz w:val="28"/>
          <w:szCs w:val="28"/>
        </w:rPr>
        <w:t>.</w:t>
      </w:r>
      <w:r>
        <w:rPr>
          <w:rFonts w:hint="eastAsia"/>
          <w:b/>
          <w:sz w:val="28"/>
          <w:szCs w:val="28"/>
        </w:rPr>
        <w:t>供应商参加政府采购活动前</w:t>
      </w:r>
      <w:r>
        <w:rPr>
          <w:b/>
          <w:sz w:val="28"/>
          <w:szCs w:val="28"/>
        </w:rPr>
        <w:t>3</w:t>
      </w:r>
      <w:r>
        <w:rPr>
          <w:rFonts w:hint="eastAsia"/>
          <w:b/>
          <w:sz w:val="28"/>
          <w:szCs w:val="28"/>
        </w:rPr>
        <w:t>年内在经营活动中没有重大违法记录</w:t>
      </w:r>
      <w:r>
        <w:rPr>
          <w:rFonts w:hint="eastAsia" w:hAnsi="宋体"/>
          <w:b/>
          <w:sz w:val="32"/>
          <w:szCs w:val="32"/>
        </w:rPr>
        <w:t>及</w:t>
      </w:r>
      <w:r>
        <w:rPr>
          <w:rFonts w:hint="eastAsia"/>
          <w:b/>
          <w:sz w:val="28"/>
          <w:szCs w:val="28"/>
        </w:rPr>
        <w:t>有关信用信息的书面声明（必须提供）；</w:t>
      </w:r>
    </w:p>
    <w:p w14:paraId="6A0927AE">
      <w:pPr>
        <w:pStyle w:val="13"/>
        <w:spacing w:line="400" w:lineRule="exact"/>
        <w:ind w:left="420" w:leftChars="200" w:firstLine="156" w:firstLineChars="49"/>
        <w:rPr>
          <w:rFonts w:hAnsi="宋体"/>
          <w:b/>
          <w:sz w:val="32"/>
          <w:szCs w:val="32"/>
        </w:rPr>
      </w:pPr>
      <w:r>
        <w:rPr>
          <w:rFonts w:hAnsi="宋体"/>
          <w:b/>
          <w:sz w:val="32"/>
          <w:szCs w:val="32"/>
        </w:rPr>
        <w:t xml:space="preserve">                       </w:t>
      </w:r>
    </w:p>
    <w:p w14:paraId="72653D11">
      <w:pPr>
        <w:pStyle w:val="13"/>
        <w:spacing w:line="400" w:lineRule="exact"/>
        <w:ind w:left="420" w:leftChars="200" w:firstLine="156" w:firstLineChars="49"/>
        <w:rPr>
          <w:rFonts w:hAnsi="宋体"/>
          <w:b/>
          <w:sz w:val="32"/>
          <w:szCs w:val="32"/>
        </w:rPr>
      </w:pPr>
      <w:r>
        <w:rPr>
          <w:rFonts w:hint="eastAsia" w:hAnsi="宋体"/>
          <w:b/>
          <w:sz w:val="32"/>
          <w:szCs w:val="32"/>
        </w:rPr>
        <w:t>附件：</w:t>
      </w:r>
    </w:p>
    <w:p w14:paraId="7CE47FD2">
      <w:pPr>
        <w:pStyle w:val="13"/>
        <w:spacing w:line="400" w:lineRule="exact"/>
        <w:jc w:val="center"/>
        <w:rPr>
          <w:rFonts w:hAnsi="宋体"/>
          <w:b/>
          <w:sz w:val="32"/>
          <w:szCs w:val="32"/>
        </w:rPr>
      </w:pPr>
      <w:bookmarkStart w:id="981" w:name="_Toc30304_WPSOffice_Level1"/>
      <w:bookmarkStart w:id="982" w:name="_Toc30890_WPSOffice_Level1"/>
      <w:r>
        <w:rPr>
          <w:rFonts w:hint="eastAsia" w:hAnsi="宋体"/>
          <w:b/>
          <w:sz w:val="32"/>
          <w:szCs w:val="32"/>
        </w:rPr>
        <w:t>声</w:t>
      </w:r>
      <w:r>
        <w:rPr>
          <w:rFonts w:hAnsi="宋体"/>
          <w:b/>
          <w:sz w:val="32"/>
          <w:szCs w:val="32"/>
        </w:rPr>
        <w:t xml:space="preserve">   </w:t>
      </w:r>
      <w:r>
        <w:rPr>
          <w:rFonts w:hint="eastAsia" w:hAnsi="宋体"/>
          <w:b/>
          <w:sz w:val="32"/>
          <w:szCs w:val="32"/>
        </w:rPr>
        <w:t>明</w:t>
      </w:r>
      <w:bookmarkEnd w:id="981"/>
      <w:bookmarkEnd w:id="982"/>
    </w:p>
    <w:p w14:paraId="507AB8B8">
      <w:pPr>
        <w:snapToGrid w:val="0"/>
        <w:spacing w:line="400" w:lineRule="exact"/>
        <w:rPr>
          <w:rFonts w:hint="eastAsia" w:ascii="宋体" w:hAnsi="宋体" w:cs="宋体"/>
          <w:szCs w:val="21"/>
        </w:rPr>
      </w:pPr>
      <w:r>
        <w:rPr>
          <w:rFonts w:hint="eastAsia" w:ascii="宋体" w:hAnsi="宋体"/>
          <w:b/>
          <w:szCs w:val="21"/>
        </w:rPr>
        <w:t>致</w:t>
      </w:r>
      <w:r>
        <w:rPr>
          <w:rFonts w:hint="eastAsia" w:ascii="宋体" w:hAnsi="宋体"/>
          <w:szCs w:val="21"/>
        </w:rPr>
        <w:t>：</w:t>
      </w:r>
      <w:r>
        <w:rPr>
          <w:rFonts w:hint="eastAsia" w:ascii="宋体" w:hAnsi="宋体" w:cs="宋体"/>
          <w:szCs w:val="21"/>
          <w:u w:val="single"/>
        </w:rPr>
        <w:t xml:space="preserve"> 桂林市政府集中采购中心 </w:t>
      </w:r>
    </w:p>
    <w:p w14:paraId="37CBF20B">
      <w:pPr>
        <w:snapToGrid w:val="0"/>
        <w:spacing w:line="400" w:lineRule="exact"/>
        <w:rPr>
          <w:rFonts w:hint="eastAsia" w:ascii="宋体" w:hAnsi="宋体" w:cs="宋体"/>
          <w:szCs w:val="21"/>
          <w:u w:val="single"/>
        </w:rPr>
      </w:pPr>
    </w:p>
    <w:p w14:paraId="3942BC22">
      <w:pPr>
        <w:pStyle w:val="13"/>
        <w:spacing w:line="400" w:lineRule="exact"/>
        <w:ind w:firstLine="420" w:firstLineChars="200"/>
        <w:rPr>
          <w:rFonts w:hint="eastAsia" w:hAnsi="宋体" w:cs="宋体"/>
          <w:sz w:val="21"/>
        </w:rPr>
      </w:pPr>
      <w:r>
        <w:rPr>
          <w:rFonts w:hint="eastAsia" w:hAnsi="宋体" w:cs="宋体"/>
          <w:sz w:val="21"/>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1C6DA422">
      <w:pPr>
        <w:snapToGrid w:val="0"/>
        <w:spacing w:line="400" w:lineRule="exact"/>
        <w:ind w:firstLine="420"/>
        <w:rPr>
          <w:rFonts w:ascii="宋体"/>
          <w:szCs w:val="21"/>
        </w:rPr>
      </w:pPr>
    </w:p>
    <w:p w14:paraId="1DBEB79C">
      <w:pPr>
        <w:snapToGrid w:val="0"/>
        <w:spacing w:line="400" w:lineRule="exact"/>
        <w:ind w:firstLine="1890" w:firstLineChars="900"/>
        <w:rPr>
          <w:rFonts w:hint="eastAsia" w:hAnsi="宋体"/>
        </w:rPr>
      </w:pPr>
      <w:r>
        <w:rPr>
          <w:rFonts w:hint="eastAsia" w:ascii="宋体" w:hAnsi="宋体" w:cs="宋体"/>
          <w:szCs w:val="21"/>
        </w:rPr>
        <w:t>供应商[公章(CA签章)，自然人签字或个人CA签章]：</w:t>
      </w:r>
      <w:r>
        <w:rPr>
          <w:rFonts w:hint="eastAsia" w:ascii="宋体" w:hAnsi="宋体" w:cs="宋体"/>
          <w:szCs w:val="21"/>
          <w:u w:val="single"/>
        </w:rPr>
        <w:t xml:space="preserve">                                         </w:t>
      </w:r>
    </w:p>
    <w:p w14:paraId="78BE1B3C">
      <w:pPr>
        <w:pStyle w:val="13"/>
        <w:ind w:firstLine="3800" w:firstLineChars="1900"/>
        <w:rPr>
          <w:rFonts w:hint="eastAsia" w:hAnsi="宋体"/>
        </w:rPr>
      </w:pPr>
    </w:p>
    <w:p w14:paraId="410C6B2E">
      <w:pPr>
        <w:pStyle w:val="13"/>
        <w:ind w:firstLine="5000" w:firstLineChars="2500"/>
        <w:rPr>
          <w:rFonts w:hAnsi="宋体"/>
          <w:u w:val="single"/>
        </w:rPr>
      </w:pPr>
      <w:r>
        <w:rPr>
          <w:rFonts w:hint="eastAsia" w:hAnsi="宋体"/>
        </w:rPr>
        <w:t>日</w:t>
      </w:r>
      <w:r>
        <w:rPr>
          <w:rFonts w:hAnsi="宋体"/>
        </w:rPr>
        <w:t xml:space="preserve">          </w:t>
      </w:r>
      <w:r>
        <w:rPr>
          <w:rFonts w:hint="eastAsia" w:hAnsi="宋体"/>
        </w:rPr>
        <w:t>期：</w:t>
      </w:r>
      <w:r>
        <w:rPr>
          <w:rFonts w:hAnsi="宋体"/>
          <w:u w:val="single"/>
        </w:rPr>
        <w:t xml:space="preserve">    </w:t>
      </w:r>
      <w:r>
        <w:rPr>
          <w:rFonts w:hint="eastAsia" w:hAnsi="宋体"/>
          <w:u w:val="single"/>
        </w:rPr>
        <w:t xml:space="preserve">   </w:t>
      </w:r>
      <w:r>
        <w:rPr>
          <w:rFonts w:hAnsi="宋体"/>
          <w:u w:val="single"/>
        </w:rPr>
        <w:t xml:space="preserve">    </w:t>
      </w:r>
      <w:r>
        <w:rPr>
          <w:rFonts w:hint="eastAsia" w:hAnsi="宋体"/>
          <w:u w:val="single"/>
        </w:rPr>
        <w:t xml:space="preserve">                 </w:t>
      </w:r>
      <w:r>
        <w:rPr>
          <w:rFonts w:hAnsi="宋体"/>
          <w:u w:val="single"/>
        </w:rPr>
        <w:t xml:space="preserve">  </w:t>
      </w:r>
    </w:p>
    <w:p w14:paraId="0B753FDB">
      <w:pPr>
        <w:snapToGrid w:val="0"/>
        <w:spacing w:line="400" w:lineRule="exact"/>
        <w:ind w:firstLine="1890" w:firstLineChars="900"/>
        <w:rPr>
          <w:rFonts w:hint="eastAsia" w:ascii="宋体" w:hAnsi="宋体" w:cs="宋体"/>
          <w:szCs w:val="21"/>
        </w:rPr>
      </w:pPr>
    </w:p>
    <w:p w14:paraId="2233472C">
      <w:pPr>
        <w:pStyle w:val="13"/>
        <w:spacing w:line="340" w:lineRule="exact"/>
        <w:rPr>
          <w:b/>
          <w:sz w:val="28"/>
          <w:szCs w:val="28"/>
        </w:rPr>
      </w:pPr>
      <w:r>
        <w:rPr>
          <w:rFonts w:hint="eastAsia"/>
          <w:b/>
          <w:sz w:val="28"/>
          <w:szCs w:val="28"/>
        </w:rPr>
        <w:t>4</w:t>
      </w:r>
      <w:r>
        <w:rPr>
          <w:b/>
          <w:sz w:val="28"/>
          <w:szCs w:val="28"/>
        </w:rPr>
        <w:t>.</w:t>
      </w:r>
      <w:r>
        <w:rPr>
          <w:rFonts w:hint="eastAsia"/>
          <w:b/>
          <w:sz w:val="28"/>
          <w:szCs w:val="28"/>
        </w:rPr>
        <w:t>供应商的法人或者其他组织营业执照等证明文件扫描件加盖电子签章（必须提供，自然人除外</w:t>
      </w:r>
      <w:r>
        <w:rPr>
          <w:rFonts w:hint="eastAsia" w:hAnsi="宋体"/>
          <w:b/>
          <w:sz w:val="28"/>
          <w:szCs w:val="28"/>
        </w:rPr>
        <w:t>；</w:t>
      </w:r>
      <w:r>
        <w:rPr>
          <w:rFonts w:hint="eastAsia"/>
          <w:b/>
          <w:sz w:val="28"/>
          <w:szCs w:val="28"/>
        </w:rPr>
        <w:t>）；</w:t>
      </w:r>
    </w:p>
    <w:p w14:paraId="5C95AADE">
      <w:pPr>
        <w:tabs>
          <w:tab w:val="left" w:pos="1305"/>
        </w:tabs>
        <w:spacing w:line="340" w:lineRule="exact"/>
        <w:rPr>
          <w:rFonts w:ascii="宋体"/>
          <w:b/>
          <w:szCs w:val="21"/>
        </w:rPr>
      </w:pPr>
    </w:p>
    <w:p w14:paraId="233A0DE9">
      <w:pPr>
        <w:tabs>
          <w:tab w:val="left" w:pos="1305"/>
        </w:tabs>
        <w:spacing w:line="400" w:lineRule="exact"/>
        <w:rPr>
          <w:rFonts w:ascii="宋体"/>
          <w:b/>
          <w:szCs w:val="21"/>
        </w:rPr>
      </w:pPr>
      <w:r>
        <w:rPr>
          <w:rFonts w:hint="eastAsia" w:ascii="宋体" w:hAnsi="宋体"/>
          <w:b/>
          <w:szCs w:val="21"/>
        </w:rPr>
        <w:t>注：①法人包括企业法人、机关法人、事业单位法人和社会团体法人；其他组织主要包括合伙企业、非企业专业服务机构、个体工商户、农村承包经营户。②如供应商为企业（包括合伙企业），应提供</w:t>
      </w:r>
      <w:r>
        <w:rPr>
          <w:rFonts w:hint="eastAsia" w:ascii="宋体" w:hAnsi="宋体"/>
          <w:b/>
          <w:szCs w:val="21"/>
          <w:lang w:eastAsia="zh-CN"/>
        </w:rPr>
        <w:t>市场监管部门（登记机关）</w:t>
      </w:r>
      <w:r>
        <w:rPr>
          <w:rFonts w:hint="eastAsia" w:ascii="宋体" w:hAnsi="宋体"/>
          <w:b/>
          <w:szCs w:val="21"/>
        </w:rPr>
        <w:t>注册的有效“企业法人营业执照”或“营业执照；供应商为事业单位，应提供有效的“事业单位法人证书”；供应商为非企业专业服务机构的，应提供执业许可证等证明文件；供应商为个体工商户，应提供有效的“个体工商户营业执照”。（所需材料均为</w:t>
      </w:r>
      <w:r>
        <w:rPr>
          <w:rFonts w:hint="eastAsia" w:ascii="宋体" w:hAnsi="宋体"/>
          <w:b/>
          <w:szCs w:val="21"/>
          <w:lang w:eastAsia="zh-CN"/>
        </w:rPr>
        <w:t>扫描件</w:t>
      </w:r>
      <w:r>
        <w:rPr>
          <w:rFonts w:hint="eastAsia" w:ascii="宋体" w:hAnsi="宋体"/>
          <w:b/>
          <w:szCs w:val="21"/>
        </w:rPr>
        <w:t>）</w:t>
      </w:r>
    </w:p>
    <w:p w14:paraId="76AC87CC">
      <w:pPr>
        <w:pStyle w:val="13"/>
        <w:spacing w:line="340" w:lineRule="exact"/>
        <w:rPr>
          <w:rFonts w:hint="eastAsia"/>
          <w:b/>
          <w:sz w:val="28"/>
          <w:szCs w:val="28"/>
        </w:rPr>
      </w:pPr>
      <w:bookmarkStart w:id="983" w:name="_Toc7899"/>
      <w:bookmarkStart w:id="984" w:name="_Toc497927079"/>
      <w:bookmarkStart w:id="985" w:name="_Toc19582"/>
    </w:p>
    <w:p w14:paraId="0619327A">
      <w:pPr>
        <w:pStyle w:val="13"/>
        <w:spacing w:line="340" w:lineRule="exact"/>
        <w:rPr>
          <w:rFonts w:hint="eastAsia"/>
          <w:b/>
          <w:sz w:val="28"/>
          <w:szCs w:val="28"/>
        </w:rPr>
      </w:pPr>
    </w:p>
    <w:p w14:paraId="2D364430">
      <w:pPr>
        <w:pStyle w:val="13"/>
        <w:spacing w:line="340" w:lineRule="exact"/>
        <w:rPr>
          <w:rFonts w:hint="eastAsia"/>
          <w:b/>
          <w:sz w:val="28"/>
          <w:szCs w:val="28"/>
        </w:rPr>
      </w:pPr>
    </w:p>
    <w:p w14:paraId="3357DF91">
      <w:pPr>
        <w:pStyle w:val="13"/>
        <w:spacing w:line="340" w:lineRule="exact"/>
        <w:rPr>
          <w:rFonts w:hint="eastAsia"/>
          <w:b/>
          <w:sz w:val="28"/>
          <w:szCs w:val="28"/>
        </w:rPr>
      </w:pPr>
      <w:r>
        <w:rPr>
          <w:rFonts w:hint="eastAsia"/>
          <w:b/>
          <w:sz w:val="28"/>
          <w:szCs w:val="28"/>
        </w:rPr>
        <w:t>5.财务状况报告（格式自拟，必须提供）；</w:t>
      </w:r>
    </w:p>
    <w:p w14:paraId="5F6BF314">
      <w:pPr>
        <w:pStyle w:val="13"/>
        <w:spacing w:line="340" w:lineRule="exact"/>
        <w:rPr>
          <w:rFonts w:hint="eastAsia"/>
          <w:b/>
          <w:sz w:val="28"/>
          <w:szCs w:val="28"/>
        </w:rPr>
      </w:pPr>
    </w:p>
    <w:p w14:paraId="2DE79113">
      <w:pPr>
        <w:pStyle w:val="13"/>
        <w:spacing w:line="340" w:lineRule="exact"/>
        <w:rPr>
          <w:rFonts w:hint="eastAsia"/>
          <w:b/>
          <w:sz w:val="28"/>
          <w:szCs w:val="28"/>
        </w:rPr>
      </w:pPr>
    </w:p>
    <w:p w14:paraId="75454616">
      <w:pPr>
        <w:pStyle w:val="13"/>
        <w:spacing w:line="340" w:lineRule="exact"/>
        <w:rPr>
          <w:rFonts w:hint="eastAsia"/>
          <w:b/>
          <w:sz w:val="28"/>
          <w:szCs w:val="28"/>
        </w:rPr>
      </w:pPr>
    </w:p>
    <w:p w14:paraId="2F774C6B">
      <w:pPr>
        <w:pStyle w:val="13"/>
        <w:rPr>
          <w:rFonts w:hint="eastAsia"/>
        </w:rPr>
      </w:pPr>
      <w:r>
        <w:rPr>
          <w:rFonts w:hint="eastAsia"/>
          <w:b/>
          <w:sz w:val="28"/>
          <w:szCs w:val="28"/>
        </w:rPr>
        <w:t>6.供应商截止开标时间前近半年内任意一个月或任一季度依法缴纳税收的证明材料【增值税发票(税收完税证明)或企业所得税完税证明或税务部门出具的免税证明或税务部门出具的无欠税证明】扫描件加盖电子签章（必须提供）。</w:t>
      </w:r>
    </w:p>
    <w:p w14:paraId="1852569E">
      <w:pPr>
        <w:ind w:firstLine="420"/>
        <w:jc w:val="center"/>
        <w:outlineLvl w:val="1"/>
        <w:rPr>
          <w:rFonts w:hint="eastAsia"/>
          <w:b/>
          <w:bCs/>
          <w:sz w:val="32"/>
          <w:szCs w:val="32"/>
        </w:rPr>
      </w:pPr>
      <w:bookmarkStart w:id="986" w:name="_Toc21031"/>
      <w:bookmarkStart w:id="987" w:name="_Toc27362"/>
      <w:bookmarkStart w:id="988" w:name="_Toc26282"/>
    </w:p>
    <w:p w14:paraId="2A6773A4">
      <w:pPr>
        <w:ind w:firstLine="420"/>
        <w:jc w:val="center"/>
        <w:outlineLvl w:val="1"/>
        <w:rPr>
          <w:b/>
          <w:bCs/>
          <w:sz w:val="32"/>
          <w:szCs w:val="32"/>
        </w:rPr>
      </w:pPr>
      <w:bookmarkStart w:id="989" w:name="_Toc15241"/>
      <w:bookmarkStart w:id="990" w:name="_Toc31365"/>
      <w:bookmarkStart w:id="991" w:name="_Toc9785"/>
      <w:bookmarkStart w:id="992" w:name="_Toc11953"/>
      <w:bookmarkStart w:id="993" w:name="_Toc32081"/>
      <w:r>
        <w:rPr>
          <w:rFonts w:hint="eastAsia"/>
          <w:b/>
          <w:bCs/>
          <w:sz w:val="32"/>
          <w:szCs w:val="32"/>
        </w:rPr>
        <w:t>（二）</w:t>
      </w:r>
      <w:r>
        <w:rPr>
          <w:b/>
          <w:bCs/>
          <w:sz w:val="32"/>
          <w:szCs w:val="32"/>
        </w:rPr>
        <w:t>符合性响应证明材料目录</w:t>
      </w:r>
      <w:bookmarkEnd w:id="983"/>
      <w:bookmarkEnd w:id="984"/>
      <w:bookmarkEnd w:id="985"/>
      <w:bookmarkEnd w:id="986"/>
      <w:bookmarkEnd w:id="987"/>
      <w:bookmarkEnd w:id="988"/>
      <w:bookmarkEnd w:id="989"/>
      <w:bookmarkEnd w:id="990"/>
      <w:bookmarkEnd w:id="991"/>
      <w:bookmarkEnd w:id="992"/>
      <w:bookmarkEnd w:id="993"/>
    </w:p>
    <w:p w14:paraId="4A2A5611">
      <w:pPr>
        <w:spacing w:line="600" w:lineRule="auto"/>
        <w:ind w:firstLine="420" w:firstLineChars="200"/>
      </w:pPr>
    </w:p>
    <w:p w14:paraId="55749C54">
      <w:pPr>
        <w:spacing w:line="600" w:lineRule="auto"/>
        <w:ind w:firstLine="480" w:firstLineChars="200"/>
        <w:rPr>
          <w:rFonts w:hint="eastAsia" w:ascii="宋体" w:hAnsi="宋体" w:cs="宋体"/>
          <w:sz w:val="24"/>
        </w:rPr>
      </w:pPr>
      <w:r>
        <w:rPr>
          <w:rFonts w:hint="eastAsia" w:ascii="宋体" w:hAnsi="宋体" w:cs="宋体"/>
          <w:sz w:val="24"/>
        </w:rPr>
        <w:t>1.响应函（格式见附件）</w:t>
      </w:r>
      <w:r>
        <w:rPr>
          <w:rFonts w:hint="eastAsia" w:ascii="宋体" w:hAnsi="宋体" w:cs="宋体"/>
          <w:b/>
          <w:bCs/>
          <w:sz w:val="24"/>
        </w:rPr>
        <w:t>（必须提供）</w:t>
      </w:r>
      <w:r>
        <w:rPr>
          <w:rFonts w:hint="eastAsia" w:ascii="宋体" w:hAnsi="宋体" w:cs="宋体"/>
          <w:sz w:val="24"/>
        </w:rPr>
        <w:t>；</w:t>
      </w:r>
    </w:p>
    <w:p w14:paraId="7D9B3E88">
      <w:pPr>
        <w:spacing w:line="600" w:lineRule="auto"/>
        <w:ind w:firstLine="480" w:firstLineChars="200"/>
        <w:rPr>
          <w:rFonts w:hint="eastAsia" w:ascii="宋体" w:hAnsi="宋体" w:cs="宋体"/>
          <w:sz w:val="24"/>
        </w:rPr>
      </w:pPr>
      <w:r>
        <w:rPr>
          <w:rFonts w:hint="eastAsia" w:ascii="宋体" w:hAnsi="宋体" w:cs="宋体"/>
          <w:sz w:val="24"/>
        </w:rPr>
        <w:t>2.谈判报价表（格式见附件）</w:t>
      </w:r>
      <w:r>
        <w:rPr>
          <w:rFonts w:hint="eastAsia" w:ascii="宋体" w:hAnsi="宋体" w:cs="宋体"/>
          <w:b/>
          <w:bCs/>
          <w:sz w:val="24"/>
        </w:rPr>
        <w:t>（必须提供）</w:t>
      </w:r>
      <w:r>
        <w:rPr>
          <w:rFonts w:hint="eastAsia" w:ascii="宋体" w:hAnsi="宋体" w:cs="宋体"/>
          <w:sz w:val="24"/>
        </w:rPr>
        <w:t>；</w:t>
      </w:r>
    </w:p>
    <w:p w14:paraId="79FF3682">
      <w:pPr>
        <w:spacing w:line="600" w:lineRule="auto"/>
        <w:ind w:firstLine="480" w:firstLineChars="200"/>
        <w:rPr>
          <w:rFonts w:hint="eastAsia" w:ascii="宋体" w:hAnsi="宋体" w:cs="宋体"/>
          <w:sz w:val="24"/>
        </w:rPr>
      </w:pPr>
      <w:r>
        <w:rPr>
          <w:rFonts w:hint="eastAsia" w:ascii="宋体" w:hAnsi="宋体" w:cs="宋体"/>
          <w:sz w:val="24"/>
        </w:rPr>
        <w:t>3.技术规格偏离表</w:t>
      </w:r>
      <w:r>
        <w:rPr>
          <w:rFonts w:hint="eastAsia" w:ascii="宋体" w:hAnsi="宋体" w:cs="宋体"/>
          <w:b/>
          <w:bCs/>
          <w:sz w:val="24"/>
        </w:rPr>
        <w:t>（必须提供）</w:t>
      </w:r>
      <w:r>
        <w:rPr>
          <w:rFonts w:hint="eastAsia" w:ascii="宋体" w:hAnsi="宋体" w:cs="宋体"/>
          <w:sz w:val="24"/>
        </w:rPr>
        <w:t>；</w:t>
      </w:r>
    </w:p>
    <w:p w14:paraId="56C311EE">
      <w:pPr>
        <w:spacing w:line="600" w:lineRule="auto"/>
        <w:ind w:firstLine="480" w:firstLineChars="200"/>
        <w:rPr>
          <w:rFonts w:hint="eastAsia" w:ascii="宋体" w:hAnsi="宋体" w:cs="宋体"/>
          <w:sz w:val="24"/>
        </w:rPr>
      </w:pPr>
      <w:r>
        <w:rPr>
          <w:rFonts w:hint="eastAsia" w:ascii="宋体" w:hAnsi="宋体" w:cs="宋体"/>
          <w:sz w:val="24"/>
        </w:rPr>
        <w:t>4.商务响应表</w:t>
      </w:r>
      <w:r>
        <w:rPr>
          <w:rFonts w:hint="eastAsia" w:ascii="宋体" w:hAnsi="宋体" w:cs="宋体"/>
          <w:b/>
          <w:bCs/>
          <w:sz w:val="24"/>
        </w:rPr>
        <w:t>（必须提供）</w:t>
      </w:r>
      <w:r>
        <w:rPr>
          <w:rFonts w:hint="eastAsia" w:ascii="宋体" w:hAnsi="宋体" w:cs="宋体"/>
          <w:sz w:val="24"/>
        </w:rPr>
        <w:t>；</w:t>
      </w:r>
    </w:p>
    <w:p w14:paraId="42542117">
      <w:pPr>
        <w:spacing w:line="600" w:lineRule="auto"/>
        <w:ind w:firstLine="480" w:firstLineChars="200"/>
        <w:rPr>
          <w:rFonts w:hint="eastAsia" w:ascii="宋体" w:hAnsi="宋体" w:cs="宋体"/>
          <w:sz w:val="24"/>
        </w:rPr>
      </w:pPr>
      <w:r>
        <w:rPr>
          <w:rFonts w:hint="eastAsia" w:ascii="宋体" w:hAnsi="宋体" w:cs="宋体"/>
          <w:sz w:val="24"/>
        </w:rPr>
        <w:t>5.供应商的售后服务承诺书（必须包含售后服务要求的全部内容）</w:t>
      </w:r>
      <w:r>
        <w:rPr>
          <w:rFonts w:hint="eastAsia" w:ascii="宋体" w:hAnsi="宋体" w:cs="宋体"/>
          <w:b/>
          <w:bCs/>
          <w:sz w:val="24"/>
        </w:rPr>
        <w:t>（必须提供）</w:t>
      </w:r>
      <w:r>
        <w:rPr>
          <w:rFonts w:hint="eastAsia" w:ascii="宋体" w:hAnsi="宋体" w:cs="宋体"/>
          <w:sz w:val="24"/>
        </w:rPr>
        <w:t>；</w:t>
      </w:r>
    </w:p>
    <w:p w14:paraId="325FA1BA">
      <w:pPr>
        <w:spacing w:line="600" w:lineRule="auto"/>
        <w:ind w:firstLine="480" w:firstLineChars="200"/>
        <w:rPr>
          <w:rFonts w:hint="eastAsia" w:ascii="宋体" w:hAnsi="宋体" w:cs="宋体"/>
          <w:sz w:val="24"/>
        </w:rPr>
      </w:pPr>
      <w:r>
        <w:rPr>
          <w:rFonts w:hint="eastAsia" w:ascii="宋体" w:hAnsi="宋体" w:cs="宋体"/>
          <w:sz w:val="24"/>
        </w:rPr>
        <w:t>6.“采购需求”需提供的有效证明文件</w:t>
      </w:r>
      <w:r>
        <w:rPr>
          <w:rFonts w:hint="eastAsia" w:ascii="宋体" w:hAnsi="宋体" w:cs="宋体"/>
          <w:b/>
          <w:bCs/>
          <w:sz w:val="24"/>
        </w:rPr>
        <w:t>（按其要求提供）</w:t>
      </w:r>
      <w:r>
        <w:rPr>
          <w:rFonts w:hint="eastAsia" w:ascii="宋体" w:hAnsi="宋体" w:cs="宋体"/>
          <w:sz w:val="24"/>
        </w:rPr>
        <w:t>。</w:t>
      </w:r>
    </w:p>
    <w:p w14:paraId="20123B23">
      <w:pPr>
        <w:spacing w:line="360" w:lineRule="auto"/>
        <w:ind w:firstLine="480" w:firstLineChars="200"/>
        <w:rPr>
          <w:rFonts w:hint="eastAsia" w:ascii="宋体" w:hAnsi="宋体" w:cs="宋体"/>
          <w:b/>
          <w:bCs/>
          <w:sz w:val="24"/>
        </w:rPr>
      </w:pPr>
    </w:p>
    <w:p w14:paraId="74E7BED2">
      <w:pPr>
        <w:spacing w:line="360" w:lineRule="auto"/>
        <w:ind w:firstLine="480" w:firstLineChars="200"/>
        <w:rPr>
          <w:rFonts w:hint="eastAsia" w:ascii="宋体" w:hAnsi="宋体" w:cs="宋体"/>
          <w:b/>
          <w:bCs/>
          <w:sz w:val="24"/>
        </w:rPr>
      </w:pPr>
      <w:r>
        <w:rPr>
          <w:rFonts w:hint="eastAsia" w:ascii="宋体" w:hAnsi="宋体" w:cs="宋体"/>
          <w:b/>
          <w:bCs/>
          <w:sz w:val="24"/>
        </w:rPr>
        <w:t>供应商提供的以上相关证明材料属于“必须提供”的文件应加盖供应商公章（CA签章）/自然人签字或加盖个人CA签章，否则响应无效。</w:t>
      </w:r>
    </w:p>
    <w:p w14:paraId="35F4601C">
      <w:pPr>
        <w:spacing w:line="360" w:lineRule="auto"/>
        <w:ind w:firstLine="480" w:firstLineChars="200"/>
        <w:rPr>
          <w:rFonts w:hint="eastAsia" w:ascii="宋体" w:hAnsi="宋体" w:cs="宋体"/>
          <w:b/>
          <w:bCs/>
          <w:sz w:val="24"/>
        </w:rPr>
      </w:pPr>
    </w:p>
    <w:p w14:paraId="70F32A5B">
      <w:pPr>
        <w:spacing w:line="360" w:lineRule="auto"/>
        <w:ind w:firstLine="480" w:firstLineChars="200"/>
        <w:rPr>
          <w:rFonts w:hint="eastAsia" w:ascii="宋体" w:hAnsi="宋体" w:cs="宋体"/>
          <w:b/>
          <w:bCs/>
          <w:sz w:val="24"/>
        </w:rPr>
      </w:pPr>
    </w:p>
    <w:p w14:paraId="3CD9FF9D">
      <w:pPr>
        <w:spacing w:line="360" w:lineRule="auto"/>
        <w:ind w:firstLine="480" w:firstLineChars="200"/>
        <w:rPr>
          <w:rFonts w:hint="eastAsia" w:ascii="宋体" w:hAnsi="宋体" w:cs="宋体"/>
          <w:b/>
          <w:bCs/>
          <w:sz w:val="24"/>
        </w:rPr>
      </w:pPr>
    </w:p>
    <w:p w14:paraId="7B518AFE">
      <w:pPr>
        <w:spacing w:line="360" w:lineRule="auto"/>
        <w:ind w:firstLine="480" w:firstLineChars="200"/>
        <w:rPr>
          <w:rFonts w:hint="eastAsia" w:ascii="宋体" w:hAnsi="宋体" w:cs="宋体"/>
          <w:b/>
          <w:bCs/>
          <w:sz w:val="24"/>
        </w:rPr>
      </w:pPr>
    </w:p>
    <w:p w14:paraId="1E616B83">
      <w:pPr>
        <w:spacing w:line="360" w:lineRule="auto"/>
        <w:ind w:firstLine="480" w:firstLineChars="200"/>
        <w:rPr>
          <w:rFonts w:hint="eastAsia" w:ascii="宋体" w:hAnsi="宋体" w:cs="宋体"/>
          <w:b/>
          <w:bCs/>
          <w:sz w:val="24"/>
        </w:rPr>
      </w:pPr>
    </w:p>
    <w:p w14:paraId="74745103">
      <w:pPr>
        <w:ind w:firstLine="480" w:firstLineChars="200"/>
        <w:rPr>
          <w:rFonts w:hint="eastAsia" w:ascii="宋体" w:hAnsi="宋体" w:cs="宋体"/>
          <w:b/>
          <w:bCs/>
          <w:sz w:val="24"/>
        </w:rPr>
      </w:pPr>
    </w:p>
    <w:p w14:paraId="2B702FCA">
      <w:pPr>
        <w:spacing w:line="360" w:lineRule="auto"/>
        <w:ind w:firstLine="480" w:firstLineChars="200"/>
        <w:rPr>
          <w:rFonts w:hint="eastAsia" w:ascii="宋体" w:hAnsi="宋体" w:cs="宋体"/>
          <w:b/>
          <w:bCs/>
          <w:sz w:val="24"/>
        </w:rPr>
      </w:pPr>
    </w:p>
    <w:p w14:paraId="0EC08D56">
      <w:pPr>
        <w:spacing w:line="360" w:lineRule="auto"/>
        <w:ind w:firstLine="480" w:firstLineChars="200"/>
        <w:rPr>
          <w:rFonts w:hint="eastAsia" w:ascii="宋体" w:hAnsi="宋体" w:cs="宋体"/>
          <w:b/>
          <w:bCs/>
          <w:sz w:val="24"/>
        </w:rPr>
      </w:pPr>
    </w:p>
    <w:p w14:paraId="72841EE8">
      <w:pPr>
        <w:spacing w:line="360" w:lineRule="auto"/>
        <w:ind w:firstLine="480" w:firstLineChars="200"/>
        <w:rPr>
          <w:rFonts w:hint="eastAsia" w:ascii="宋体" w:hAnsi="宋体" w:cs="宋体"/>
          <w:b/>
          <w:bCs/>
          <w:sz w:val="24"/>
        </w:rPr>
      </w:pPr>
    </w:p>
    <w:p w14:paraId="72DE9673">
      <w:pPr>
        <w:spacing w:line="360" w:lineRule="auto"/>
        <w:ind w:firstLine="480" w:firstLineChars="200"/>
        <w:rPr>
          <w:rFonts w:hint="eastAsia" w:ascii="宋体" w:hAnsi="宋体" w:cs="宋体"/>
          <w:b/>
          <w:bCs/>
          <w:sz w:val="24"/>
        </w:rPr>
      </w:pPr>
    </w:p>
    <w:p w14:paraId="771EC405">
      <w:pPr>
        <w:spacing w:line="360" w:lineRule="auto"/>
        <w:ind w:firstLine="480" w:firstLineChars="200"/>
        <w:rPr>
          <w:rFonts w:hint="eastAsia" w:ascii="宋体" w:hAnsi="宋体" w:cs="宋体"/>
          <w:b/>
          <w:bCs/>
          <w:sz w:val="24"/>
        </w:rPr>
      </w:pPr>
    </w:p>
    <w:p w14:paraId="1731A148">
      <w:pPr>
        <w:spacing w:line="360" w:lineRule="auto"/>
        <w:ind w:firstLine="480" w:firstLineChars="200"/>
        <w:rPr>
          <w:rFonts w:hint="eastAsia" w:ascii="宋体" w:hAnsi="宋体" w:cs="宋体"/>
          <w:b/>
          <w:bCs/>
          <w:sz w:val="24"/>
        </w:rPr>
      </w:pPr>
    </w:p>
    <w:p w14:paraId="65A4142D">
      <w:pPr>
        <w:spacing w:line="360" w:lineRule="auto"/>
        <w:ind w:firstLine="480" w:firstLineChars="200"/>
        <w:rPr>
          <w:rFonts w:hint="eastAsia" w:ascii="宋体" w:hAnsi="宋体" w:cs="宋体"/>
          <w:b/>
          <w:bCs/>
          <w:sz w:val="24"/>
        </w:rPr>
      </w:pPr>
    </w:p>
    <w:p w14:paraId="36CCE990">
      <w:pPr>
        <w:spacing w:line="360" w:lineRule="auto"/>
        <w:ind w:firstLine="480" w:firstLineChars="200"/>
        <w:rPr>
          <w:rFonts w:hint="eastAsia" w:ascii="宋体" w:hAnsi="宋体" w:cs="宋体"/>
          <w:b/>
          <w:bCs/>
          <w:sz w:val="24"/>
        </w:rPr>
      </w:pPr>
    </w:p>
    <w:p w14:paraId="7326E1B2">
      <w:pPr>
        <w:pStyle w:val="13"/>
        <w:numPr>
          <w:ilvl w:val="0"/>
          <w:numId w:val="9"/>
        </w:numPr>
        <w:spacing w:line="340" w:lineRule="exact"/>
        <w:rPr>
          <w:rFonts w:hint="eastAsia"/>
          <w:b/>
          <w:sz w:val="28"/>
          <w:szCs w:val="28"/>
        </w:rPr>
      </w:pPr>
      <w:r>
        <w:rPr>
          <w:rFonts w:hint="eastAsia"/>
          <w:b/>
          <w:sz w:val="28"/>
          <w:szCs w:val="28"/>
        </w:rPr>
        <w:t>响应函（格式见附件）（必须提供）</w:t>
      </w:r>
    </w:p>
    <w:p w14:paraId="778075F0">
      <w:pPr>
        <w:spacing w:line="440" w:lineRule="atLeast"/>
        <w:rPr>
          <w:rFonts w:ascii="宋体"/>
          <w:b/>
          <w:sz w:val="24"/>
        </w:rPr>
      </w:pPr>
      <w:r>
        <w:rPr>
          <w:rFonts w:hint="eastAsia" w:ascii="宋体" w:hAnsi="宋体"/>
          <w:b/>
          <w:sz w:val="24"/>
        </w:rPr>
        <w:t>附件：</w:t>
      </w:r>
    </w:p>
    <w:p w14:paraId="3BB2B718">
      <w:pPr>
        <w:pStyle w:val="13"/>
        <w:ind w:firstLine="800" w:firstLineChars="250"/>
        <w:jc w:val="center"/>
        <w:rPr>
          <w:rFonts w:hAnsi="宋体"/>
          <w:b/>
          <w:sz w:val="32"/>
        </w:rPr>
      </w:pPr>
      <w:r>
        <w:rPr>
          <w:rFonts w:hint="eastAsia" w:hAnsi="宋体"/>
          <w:b/>
          <w:sz w:val="32"/>
        </w:rPr>
        <w:t>响</w:t>
      </w:r>
      <w:r>
        <w:rPr>
          <w:rFonts w:hAnsi="宋体"/>
          <w:b/>
          <w:sz w:val="32"/>
        </w:rPr>
        <w:t xml:space="preserve"> </w:t>
      </w:r>
      <w:r>
        <w:rPr>
          <w:rFonts w:hint="eastAsia" w:hAnsi="宋体"/>
          <w:b/>
          <w:sz w:val="32"/>
        </w:rPr>
        <w:t>应</w:t>
      </w:r>
      <w:r>
        <w:rPr>
          <w:rFonts w:hAnsi="宋体"/>
          <w:b/>
          <w:sz w:val="32"/>
        </w:rPr>
        <w:t xml:space="preserve"> </w:t>
      </w:r>
      <w:r>
        <w:rPr>
          <w:rFonts w:hint="eastAsia" w:hAnsi="宋体"/>
          <w:b/>
          <w:sz w:val="32"/>
        </w:rPr>
        <w:t>函</w:t>
      </w:r>
      <w:r>
        <w:rPr>
          <w:rFonts w:hAnsi="宋体"/>
          <w:b/>
          <w:sz w:val="32"/>
        </w:rPr>
        <w:t xml:space="preserve"> </w:t>
      </w:r>
      <w:r>
        <w:rPr>
          <w:rFonts w:hint="eastAsia" w:hAnsi="宋体"/>
          <w:b/>
          <w:sz w:val="32"/>
        </w:rPr>
        <w:t>（格</w:t>
      </w:r>
      <w:r>
        <w:rPr>
          <w:rFonts w:hAnsi="宋体"/>
          <w:b/>
          <w:sz w:val="32"/>
        </w:rPr>
        <w:t xml:space="preserve"> </w:t>
      </w:r>
      <w:r>
        <w:rPr>
          <w:rFonts w:hint="eastAsia" w:hAnsi="宋体"/>
          <w:b/>
          <w:sz w:val="32"/>
        </w:rPr>
        <w:t>式）</w:t>
      </w:r>
    </w:p>
    <w:p w14:paraId="0D56DEDE">
      <w:pPr>
        <w:spacing w:line="240" w:lineRule="exact"/>
        <w:jc w:val="center"/>
        <w:rPr>
          <w:rFonts w:ascii="宋体"/>
          <w:sz w:val="32"/>
        </w:rPr>
      </w:pPr>
    </w:p>
    <w:p w14:paraId="3049A953">
      <w:pPr>
        <w:spacing w:line="400" w:lineRule="exact"/>
        <w:rPr>
          <w:rFonts w:hint="eastAsia" w:ascii="宋体" w:hAnsi="宋体" w:cs="宋体"/>
          <w:szCs w:val="21"/>
        </w:rPr>
      </w:pPr>
      <w:r>
        <w:rPr>
          <w:rFonts w:hint="eastAsia" w:ascii="宋体" w:hAnsi="宋体" w:cs="宋体"/>
          <w:szCs w:val="21"/>
        </w:rPr>
        <w:t>致</w:t>
      </w:r>
      <w:r>
        <w:rPr>
          <w:rFonts w:hint="eastAsia" w:ascii="宋体" w:hAnsi="宋体" w:cs="宋体"/>
          <w:szCs w:val="21"/>
          <w:u w:val="single"/>
        </w:rPr>
        <w:t>：桂林市政府集中采购中心</w:t>
      </w:r>
    </w:p>
    <w:p w14:paraId="3E10D632">
      <w:pPr>
        <w:spacing w:line="400" w:lineRule="exact"/>
        <w:rPr>
          <w:rFonts w:hint="eastAsia" w:ascii="宋体" w:hAnsi="宋体" w:cs="宋体"/>
          <w:szCs w:val="21"/>
        </w:rPr>
      </w:pPr>
    </w:p>
    <w:p w14:paraId="16A70740">
      <w:pPr>
        <w:pStyle w:val="13"/>
        <w:spacing w:line="360" w:lineRule="exact"/>
        <w:ind w:firstLine="420"/>
        <w:rPr>
          <w:rFonts w:hint="eastAsia" w:hAnsi="宋体" w:cs="宋体"/>
          <w:sz w:val="21"/>
        </w:rPr>
      </w:pPr>
      <w:r>
        <w:rPr>
          <w:rFonts w:hint="eastAsia" w:hAnsi="宋体" w:cs="宋体"/>
          <w:sz w:val="21"/>
        </w:rPr>
        <w:t>根据贵方</w:t>
      </w:r>
      <w:r>
        <w:rPr>
          <w:rFonts w:hint="eastAsia" w:hAnsi="宋体" w:cs="宋体"/>
          <w:sz w:val="21"/>
          <w:u w:val="single"/>
        </w:rPr>
        <w:t xml:space="preserve">       </w:t>
      </w:r>
      <w:r>
        <w:rPr>
          <w:rFonts w:hint="eastAsia" w:hAnsi="宋体" w:cs="宋体"/>
          <w:sz w:val="21"/>
        </w:rPr>
        <w:t>项目谈判文件，项目编号：</w:t>
      </w:r>
      <w:r>
        <w:rPr>
          <w:rFonts w:hint="eastAsia" w:hAnsi="宋体" w:cs="宋体"/>
          <w:sz w:val="21"/>
          <w:u w:val="single"/>
        </w:rPr>
        <w:t xml:space="preserve">            </w:t>
      </w:r>
      <w:r>
        <w:rPr>
          <w:rFonts w:hint="eastAsia" w:hAnsi="宋体" w:cs="宋体"/>
          <w:sz w:val="21"/>
        </w:rPr>
        <w:t>，签字代表</w:t>
      </w:r>
      <w:r>
        <w:rPr>
          <w:rFonts w:hint="eastAsia" w:hAnsi="宋体" w:cs="宋体"/>
          <w:sz w:val="21"/>
          <w:u w:val="single"/>
        </w:rPr>
        <w:t xml:space="preserve">         </w:t>
      </w:r>
      <w:r>
        <w:rPr>
          <w:rFonts w:hint="eastAsia" w:hAnsi="宋体" w:cs="宋体"/>
          <w:sz w:val="21"/>
        </w:rPr>
        <w:t xml:space="preserve">（姓名）经正式授权并代表供应商 </w:t>
      </w:r>
      <w:r>
        <w:rPr>
          <w:rFonts w:hint="eastAsia" w:hAnsi="宋体" w:cs="宋体"/>
          <w:sz w:val="21"/>
          <w:u w:val="single"/>
        </w:rPr>
        <w:t xml:space="preserve">                                   （</w:t>
      </w:r>
      <w:r>
        <w:rPr>
          <w:rFonts w:hint="eastAsia" w:hAnsi="宋体" w:cs="宋体"/>
          <w:sz w:val="21"/>
        </w:rPr>
        <w:t>供应商单位名称），提交电子响应文件。</w:t>
      </w:r>
    </w:p>
    <w:p w14:paraId="202FA4C1">
      <w:pPr>
        <w:pStyle w:val="13"/>
        <w:spacing w:line="360" w:lineRule="exact"/>
        <w:ind w:firstLine="420"/>
        <w:rPr>
          <w:rFonts w:hint="eastAsia" w:hAnsi="宋体" w:cs="宋体"/>
          <w:sz w:val="21"/>
        </w:rPr>
      </w:pPr>
      <w:r>
        <w:rPr>
          <w:rFonts w:hint="eastAsia" w:hAnsi="宋体" w:cs="宋体"/>
          <w:sz w:val="21"/>
        </w:rPr>
        <w:t>据此函，签字代表宣布同意如下：</w:t>
      </w:r>
    </w:p>
    <w:p w14:paraId="74D9D85C">
      <w:pPr>
        <w:pStyle w:val="13"/>
        <w:spacing w:line="360" w:lineRule="exact"/>
        <w:ind w:firstLine="420"/>
        <w:rPr>
          <w:rFonts w:hint="eastAsia" w:hAnsi="宋体" w:cs="宋体"/>
          <w:sz w:val="21"/>
        </w:rPr>
      </w:pPr>
      <w:r>
        <w:rPr>
          <w:rFonts w:hint="eastAsia" w:hAnsi="宋体" w:cs="宋体"/>
          <w:sz w:val="21"/>
        </w:rPr>
        <w:t>1. 按谈判文件采购需求和谈判报价表：</w:t>
      </w:r>
    </w:p>
    <w:p w14:paraId="217069BB">
      <w:pPr>
        <w:pStyle w:val="13"/>
        <w:spacing w:line="360" w:lineRule="exact"/>
        <w:ind w:firstLine="420"/>
        <w:rPr>
          <w:rFonts w:hint="eastAsia" w:hAnsi="宋体" w:cs="宋体"/>
          <w:sz w:val="21"/>
        </w:rPr>
      </w:pPr>
      <w:r>
        <w:rPr>
          <w:rFonts w:hint="eastAsia" w:hAnsi="宋体" w:cs="宋体"/>
          <w:sz w:val="21"/>
        </w:rPr>
        <w:t>谈判总报价（大写）</w:t>
      </w:r>
      <w:r>
        <w:rPr>
          <w:rFonts w:hint="eastAsia" w:hAnsi="宋体" w:cs="宋体"/>
          <w:sz w:val="21"/>
          <w:u w:val="single"/>
        </w:rPr>
        <w:t xml:space="preserve">                </w:t>
      </w:r>
      <w:r>
        <w:rPr>
          <w:rFonts w:hint="eastAsia" w:hAnsi="宋体" w:cs="宋体"/>
          <w:sz w:val="21"/>
        </w:rPr>
        <w:t>元人民币(￥</w:t>
      </w:r>
      <w:r>
        <w:rPr>
          <w:rFonts w:hint="eastAsia" w:hAnsi="宋体" w:cs="宋体"/>
          <w:sz w:val="21"/>
          <w:u w:val="single"/>
        </w:rPr>
        <w:t xml:space="preserve">            </w:t>
      </w:r>
      <w:r>
        <w:rPr>
          <w:rFonts w:hint="eastAsia" w:hAnsi="宋体" w:cs="宋体"/>
          <w:sz w:val="21"/>
        </w:rPr>
        <w:t>)。</w:t>
      </w:r>
    </w:p>
    <w:p w14:paraId="709EFFB9">
      <w:pPr>
        <w:pStyle w:val="13"/>
        <w:spacing w:line="360" w:lineRule="exact"/>
        <w:ind w:firstLine="420"/>
        <w:rPr>
          <w:rFonts w:hint="eastAsia" w:hAnsi="宋体" w:cs="宋体"/>
          <w:sz w:val="21"/>
        </w:rPr>
      </w:pPr>
      <w:r>
        <w:rPr>
          <w:rFonts w:hint="eastAsia" w:hAnsi="宋体" w:cs="宋体"/>
          <w:sz w:val="21"/>
        </w:rPr>
        <w:t>2.我方承诺已具备谈判文件规定的供应商资格条件。</w:t>
      </w:r>
    </w:p>
    <w:p w14:paraId="79C7BFAA">
      <w:pPr>
        <w:pStyle w:val="13"/>
        <w:spacing w:line="360" w:lineRule="exact"/>
        <w:ind w:firstLine="420"/>
        <w:rPr>
          <w:rFonts w:hint="eastAsia" w:hAnsi="宋体" w:cs="宋体"/>
          <w:sz w:val="21"/>
        </w:rPr>
      </w:pPr>
      <w:r>
        <w:rPr>
          <w:rFonts w:hint="eastAsia" w:hAnsi="宋体" w:cs="宋体"/>
          <w:sz w:val="21"/>
        </w:rPr>
        <w:t>3.我方已详细审核谈判文件，包括修改文件（如有的话）和有关附件，将自行承担因对全部谈判文件理解不正确或误解而产生的相应后果。</w:t>
      </w:r>
    </w:p>
    <w:p w14:paraId="60AFD312">
      <w:pPr>
        <w:pStyle w:val="13"/>
        <w:spacing w:line="360" w:lineRule="exact"/>
        <w:ind w:firstLine="420"/>
        <w:rPr>
          <w:rFonts w:hint="eastAsia" w:hAnsi="宋体" w:cs="宋体"/>
          <w:sz w:val="21"/>
        </w:rPr>
      </w:pPr>
      <w:r>
        <w:rPr>
          <w:rFonts w:hint="eastAsia" w:hAnsi="宋体" w:cs="宋体"/>
          <w:sz w:val="21"/>
        </w:rPr>
        <w:t>4. 响应文件有效期为响应文件递交截止时间之日起90天。</w:t>
      </w:r>
    </w:p>
    <w:p w14:paraId="284616E4">
      <w:pPr>
        <w:pStyle w:val="13"/>
        <w:spacing w:line="360" w:lineRule="exact"/>
        <w:ind w:firstLine="420"/>
        <w:rPr>
          <w:rFonts w:hint="eastAsia" w:hAnsi="宋体" w:cs="宋体"/>
          <w:sz w:val="21"/>
        </w:rPr>
      </w:pPr>
      <w:r>
        <w:rPr>
          <w:rFonts w:hint="eastAsia" w:hAnsi="宋体" w:cs="宋体"/>
          <w:sz w:val="21"/>
        </w:rPr>
        <w:t>5. 如我方成交：</w:t>
      </w:r>
    </w:p>
    <w:p w14:paraId="278D4572">
      <w:pPr>
        <w:pStyle w:val="13"/>
        <w:spacing w:line="360" w:lineRule="exact"/>
        <w:ind w:firstLine="420"/>
        <w:rPr>
          <w:rFonts w:hint="eastAsia" w:hAnsi="宋体" w:cs="宋体"/>
          <w:sz w:val="21"/>
        </w:rPr>
      </w:pPr>
      <w:r>
        <w:rPr>
          <w:rFonts w:hint="eastAsia" w:hAnsi="宋体" w:cs="宋体"/>
          <w:sz w:val="21"/>
        </w:rPr>
        <w:t>（1）我方承诺在收到成交通知书后，在成交通知书规定的期限内与采购人签订合同。</w:t>
      </w:r>
    </w:p>
    <w:p w14:paraId="68BA122C">
      <w:pPr>
        <w:pStyle w:val="13"/>
        <w:spacing w:line="360" w:lineRule="exact"/>
        <w:ind w:firstLine="420"/>
        <w:rPr>
          <w:rFonts w:hint="eastAsia" w:hAnsi="宋体" w:cs="宋体"/>
          <w:sz w:val="21"/>
        </w:rPr>
      </w:pPr>
      <w:r>
        <w:rPr>
          <w:rFonts w:hint="eastAsia" w:hAnsi="宋体" w:cs="宋体"/>
          <w:sz w:val="21"/>
        </w:rPr>
        <w:t>（2）我方承诺按照谈判文件规定递交履约担保。</w:t>
      </w:r>
    </w:p>
    <w:p w14:paraId="6A694ADB">
      <w:pPr>
        <w:pStyle w:val="13"/>
        <w:spacing w:line="360" w:lineRule="exact"/>
        <w:ind w:firstLine="420"/>
        <w:rPr>
          <w:rFonts w:hint="eastAsia" w:hAnsi="宋体" w:cs="宋体"/>
          <w:sz w:val="21"/>
        </w:rPr>
      </w:pPr>
      <w:r>
        <w:rPr>
          <w:rFonts w:hint="eastAsia" w:hAnsi="宋体" w:cs="宋体"/>
          <w:sz w:val="21"/>
        </w:rPr>
        <w:t>（3）我方承诺本响应文件至本项目合同履行完毕止均保持有效，按谈判文件及政府采购法律、法规的规定履行合同责任和义务。</w:t>
      </w:r>
    </w:p>
    <w:p w14:paraId="48B90B88">
      <w:pPr>
        <w:pStyle w:val="13"/>
        <w:spacing w:line="360" w:lineRule="exact"/>
        <w:ind w:firstLine="420"/>
        <w:rPr>
          <w:rFonts w:hint="eastAsia" w:hAnsi="宋体" w:cs="宋体"/>
          <w:sz w:val="21"/>
        </w:rPr>
      </w:pPr>
      <w:r>
        <w:rPr>
          <w:rFonts w:hint="eastAsia" w:hAnsi="宋体" w:cs="宋体"/>
          <w:sz w:val="21"/>
        </w:rPr>
        <w:t>与本项目有关的正式通讯地址为：</w:t>
      </w:r>
    </w:p>
    <w:p w14:paraId="4F15F06D">
      <w:pPr>
        <w:pStyle w:val="13"/>
        <w:spacing w:line="400" w:lineRule="exact"/>
        <w:ind w:firstLine="420"/>
        <w:rPr>
          <w:rFonts w:hint="eastAsia" w:hAnsi="宋体" w:cs="宋体"/>
          <w:sz w:val="21"/>
        </w:rPr>
      </w:pPr>
    </w:p>
    <w:p w14:paraId="01BBE9F3">
      <w:pPr>
        <w:pStyle w:val="13"/>
        <w:spacing w:line="320" w:lineRule="exact"/>
        <w:ind w:firstLine="420"/>
        <w:rPr>
          <w:rFonts w:hint="eastAsia" w:hAnsi="宋体" w:cs="宋体"/>
          <w:sz w:val="21"/>
          <w:u w:val="single"/>
        </w:rPr>
      </w:pPr>
      <w:r>
        <w:rPr>
          <w:rFonts w:hint="eastAsia" w:hAnsi="宋体" w:cs="宋体"/>
          <w:sz w:val="21"/>
        </w:rPr>
        <w:t>地址：</w:t>
      </w:r>
      <w:r>
        <w:rPr>
          <w:rFonts w:hint="eastAsia" w:hAnsi="宋体" w:cs="宋体"/>
          <w:sz w:val="21"/>
          <w:u w:val="single"/>
        </w:rPr>
        <w:t xml:space="preserve">                                   </w:t>
      </w:r>
      <w:r>
        <w:rPr>
          <w:rFonts w:hint="eastAsia" w:hAnsi="宋体" w:cs="宋体"/>
          <w:sz w:val="21"/>
        </w:rPr>
        <w:t xml:space="preserve"> 邮编：</w:t>
      </w:r>
      <w:r>
        <w:rPr>
          <w:rFonts w:hint="eastAsia" w:hAnsi="宋体" w:cs="宋体"/>
          <w:sz w:val="21"/>
          <w:u w:val="single"/>
        </w:rPr>
        <w:t xml:space="preserve">          </w:t>
      </w:r>
      <w:r>
        <w:rPr>
          <w:rFonts w:hint="eastAsia" w:hAnsi="宋体" w:cs="宋体"/>
          <w:sz w:val="21"/>
        </w:rPr>
        <w:t xml:space="preserve">  电话、传真：</w:t>
      </w:r>
      <w:r>
        <w:rPr>
          <w:rFonts w:hint="eastAsia" w:hAnsi="宋体" w:cs="宋体"/>
          <w:sz w:val="21"/>
          <w:u w:val="single"/>
        </w:rPr>
        <w:t xml:space="preserve">            </w:t>
      </w:r>
    </w:p>
    <w:p w14:paraId="652E2144">
      <w:pPr>
        <w:pStyle w:val="13"/>
        <w:spacing w:line="320" w:lineRule="exact"/>
        <w:ind w:firstLine="420"/>
        <w:rPr>
          <w:rFonts w:hint="eastAsia" w:hAnsi="宋体" w:cs="宋体"/>
          <w:sz w:val="21"/>
        </w:rPr>
      </w:pPr>
      <w:r>
        <w:rPr>
          <w:rFonts w:hint="eastAsia" w:hAnsi="宋体" w:cs="宋体"/>
          <w:sz w:val="21"/>
        </w:rPr>
        <w:t>开户名称：</w:t>
      </w:r>
      <w:r>
        <w:rPr>
          <w:rFonts w:hint="eastAsia" w:hAnsi="宋体" w:cs="宋体"/>
          <w:sz w:val="21"/>
          <w:u w:val="single"/>
        </w:rPr>
        <w:t xml:space="preserve">                                        </w:t>
      </w:r>
    </w:p>
    <w:p w14:paraId="402756D0">
      <w:pPr>
        <w:pStyle w:val="13"/>
        <w:spacing w:line="320" w:lineRule="exact"/>
        <w:ind w:firstLine="420"/>
        <w:rPr>
          <w:rFonts w:hint="eastAsia" w:hAnsi="宋体" w:cs="宋体"/>
          <w:sz w:val="21"/>
        </w:rPr>
      </w:pPr>
      <w:r>
        <w:rPr>
          <w:rFonts w:hint="eastAsia" w:hAnsi="宋体" w:cs="宋体"/>
          <w:sz w:val="21"/>
        </w:rPr>
        <w:t>开户银行：</w:t>
      </w:r>
      <w:r>
        <w:rPr>
          <w:rFonts w:hint="eastAsia" w:hAnsi="宋体" w:cs="宋体"/>
          <w:sz w:val="21"/>
          <w:u w:val="single"/>
        </w:rPr>
        <w:t xml:space="preserve">                               　       </w:t>
      </w:r>
    </w:p>
    <w:p w14:paraId="694363A1">
      <w:pPr>
        <w:pStyle w:val="13"/>
        <w:spacing w:line="320" w:lineRule="exact"/>
        <w:ind w:firstLine="420"/>
        <w:rPr>
          <w:rFonts w:hint="eastAsia" w:hAnsi="宋体" w:cs="宋体"/>
          <w:sz w:val="21"/>
        </w:rPr>
      </w:pPr>
      <w:r>
        <w:rPr>
          <w:rFonts w:hint="eastAsia" w:hAnsi="宋体" w:cs="宋体"/>
          <w:sz w:val="21"/>
        </w:rPr>
        <w:t>账号：</w:t>
      </w:r>
      <w:r>
        <w:rPr>
          <w:rFonts w:hint="eastAsia" w:hAnsi="宋体" w:cs="宋体"/>
          <w:sz w:val="21"/>
          <w:u w:val="single"/>
        </w:rPr>
        <w:t xml:space="preserve">                                   　　　   </w:t>
      </w:r>
    </w:p>
    <w:p w14:paraId="73CDC455">
      <w:pPr>
        <w:pStyle w:val="13"/>
        <w:spacing w:line="320" w:lineRule="exact"/>
        <w:ind w:firstLine="420"/>
        <w:rPr>
          <w:rFonts w:hint="eastAsia" w:hAnsi="宋体" w:cs="宋体"/>
          <w:bCs/>
          <w:sz w:val="21"/>
          <w:u w:val="single"/>
        </w:rPr>
      </w:pPr>
      <w:r>
        <w:rPr>
          <w:rFonts w:hint="eastAsia" w:hAnsi="宋体" w:cs="宋体"/>
          <w:bCs/>
          <w:sz w:val="21"/>
        </w:rPr>
        <w:t>供应商[公章(CA签章)、自然人除外]：</w:t>
      </w:r>
      <w:r>
        <w:rPr>
          <w:rFonts w:hint="eastAsia" w:hAnsi="宋体" w:cs="宋体"/>
          <w:bCs/>
          <w:sz w:val="21"/>
          <w:u w:val="single"/>
        </w:rPr>
        <w:t xml:space="preserve">                              </w:t>
      </w:r>
    </w:p>
    <w:p w14:paraId="122AE21D">
      <w:pPr>
        <w:pStyle w:val="13"/>
        <w:spacing w:line="320" w:lineRule="exact"/>
        <w:ind w:firstLine="420"/>
        <w:rPr>
          <w:rFonts w:hint="eastAsia" w:hAnsi="宋体" w:cs="宋体"/>
          <w:sz w:val="21"/>
          <w:u w:val="single"/>
        </w:rPr>
      </w:pPr>
      <w:r>
        <w:rPr>
          <w:rFonts w:hint="eastAsia" w:hAnsi="宋体" w:cs="宋体"/>
          <w:sz w:val="21"/>
        </w:rPr>
        <w:t>法定代表人、负责人、自然人或相应的委托代理人签字[或盖章(CA签章)]（属自然人的应在签名处加盖大拇指指印或个人CA签章）：</w:t>
      </w:r>
      <w:r>
        <w:rPr>
          <w:rFonts w:hint="eastAsia" w:hAnsi="宋体" w:cs="宋体"/>
          <w:sz w:val="21"/>
          <w:u w:val="single"/>
        </w:rPr>
        <w:t xml:space="preserve">              </w:t>
      </w:r>
    </w:p>
    <w:p w14:paraId="7ACCFA86">
      <w:pPr>
        <w:ind w:firstLine="420" w:firstLineChars="200"/>
        <w:rPr>
          <w:rFonts w:hint="eastAsia" w:ascii="宋体" w:hAnsi="宋体" w:cs="宋体"/>
          <w:szCs w:val="21"/>
          <w:u w:val="single"/>
        </w:rPr>
      </w:pPr>
      <w:r>
        <w:rPr>
          <w:rFonts w:hint="eastAsia" w:ascii="宋体" w:hAnsi="宋体" w:cs="宋体"/>
          <w:bCs/>
          <w:szCs w:val="21"/>
        </w:rPr>
        <w:t>响应</w:t>
      </w:r>
      <w:r>
        <w:rPr>
          <w:rFonts w:hint="eastAsia" w:ascii="宋体" w:hAnsi="宋体" w:cs="宋体"/>
          <w:szCs w:val="21"/>
        </w:rPr>
        <w:t>日期：</w:t>
      </w:r>
      <w:r>
        <w:rPr>
          <w:rFonts w:hint="eastAsia" w:ascii="宋体" w:hAnsi="宋体" w:cs="宋体"/>
          <w:szCs w:val="21"/>
          <w:u w:val="single"/>
        </w:rPr>
        <w:t xml:space="preserve">                              </w:t>
      </w:r>
    </w:p>
    <w:p w14:paraId="44BBFE73">
      <w:pPr>
        <w:pStyle w:val="2"/>
        <w:rPr>
          <w:rFonts w:hint="eastAsia"/>
        </w:rPr>
      </w:pPr>
    </w:p>
    <w:p w14:paraId="1EFE7BDA">
      <w:pPr>
        <w:pStyle w:val="13"/>
        <w:spacing w:line="320" w:lineRule="exact"/>
        <w:ind w:firstLine="420"/>
        <w:rPr>
          <w:rFonts w:hint="eastAsia" w:hAnsi="宋体" w:cs="宋体"/>
          <w:bCs/>
          <w:sz w:val="21"/>
        </w:rPr>
      </w:pPr>
      <w:r>
        <w:rPr>
          <w:rFonts w:hint="eastAsia" w:hAnsi="宋体" w:cs="宋体"/>
          <w:bCs/>
          <w:sz w:val="21"/>
        </w:rPr>
        <w:t>注：1.未按照本响应函（格式）要求填报的响应函将被视为非实质性响应询价通知书要求，从而导致该响应被拒绝。</w:t>
      </w:r>
    </w:p>
    <w:p w14:paraId="51D0EAE5">
      <w:pPr>
        <w:pStyle w:val="13"/>
        <w:spacing w:line="320" w:lineRule="exact"/>
        <w:ind w:firstLine="840" w:firstLineChars="400"/>
        <w:rPr>
          <w:rFonts w:hint="eastAsia" w:hAnsi="宋体" w:cs="宋体"/>
          <w:b/>
          <w:bCs/>
          <w:sz w:val="21"/>
        </w:rPr>
        <w:sectPr>
          <w:pgSz w:w="11906" w:h="16838"/>
          <w:pgMar w:top="1440" w:right="935" w:bottom="1440" w:left="779" w:header="851" w:footer="992" w:gutter="0"/>
          <w:pgBorders>
            <w:top w:val="none" w:sz="0" w:space="0"/>
            <w:left w:val="none" w:sz="0" w:space="0"/>
            <w:bottom w:val="none" w:sz="0" w:space="0"/>
            <w:right w:val="none" w:sz="0" w:space="0"/>
          </w:pgBorders>
          <w:pgNumType w:fmt="numberInDash"/>
          <w:cols w:space="720" w:num="1"/>
          <w:docGrid w:type="linesAndChars" w:linePitch="312" w:charSpace="0"/>
        </w:sectPr>
      </w:pPr>
      <w:r>
        <w:rPr>
          <w:rFonts w:hint="eastAsia" w:hAnsi="宋体" w:cs="宋体"/>
          <w:bCs/>
          <w:sz w:val="21"/>
        </w:rPr>
        <w:t>2.响应函须由法定代表人（负责人/自然人）或委托代理人签字或CA个人签章并加盖供应商公章（自然人签字并加盖大拇指指印或个人CA签章</w:t>
      </w:r>
    </w:p>
    <w:p w14:paraId="118AEB1F">
      <w:pPr>
        <w:pStyle w:val="13"/>
        <w:numPr>
          <w:ilvl w:val="0"/>
          <w:numId w:val="9"/>
        </w:numPr>
        <w:spacing w:line="340" w:lineRule="exact"/>
        <w:rPr>
          <w:b/>
          <w:sz w:val="28"/>
          <w:szCs w:val="28"/>
        </w:rPr>
      </w:pPr>
      <w:r>
        <w:rPr>
          <w:rFonts w:hint="eastAsia"/>
          <w:b/>
          <w:sz w:val="28"/>
          <w:szCs w:val="28"/>
        </w:rPr>
        <w:t>谈判报价表（格式见附件）（必须提供）；</w:t>
      </w:r>
    </w:p>
    <w:p w14:paraId="19F4F887">
      <w:pPr>
        <w:pStyle w:val="78"/>
        <w:ind w:firstLine="0" w:firstLineChars="0"/>
        <w:rPr>
          <w:b/>
        </w:rPr>
      </w:pPr>
      <w:r>
        <w:rPr>
          <w:rFonts w:hint="eastAsia"/>
          <w:b/>
          <w:bCs/>
          <w:sz w:val="30"/>
          <w:szCs w:val="30"/>
        </w:rPr>
        <w:t>附件：</w:t>
      </w:r>
      <w:r>
        <w:rPr>
          <w:rFonts w:hint="eastAsia"/>
          <w:b/>
        </w:rPr>
        <w:t xml:space="preserve">                                      </w:t>
      </w:r>
    </w:p>
    <w:p w14:paraId="4E94B7FD">
      <w:pPr>
        <w:pStyle w:val="13"/>
        <w:spacing w:line="320" w:lineRule="exact"/>
        <w:ind w:left="420"/>
        <w:jc w:val="center"/>
        <w:rPr>
          <w:rFonts w:hAnsi="宋体"/>
          <w:b/>
          <w:sz w:val="32"/>
        </w:rPr>
      </w:pPr>
      <w:r>
        <w:rPr>
          <w:rFonts w:hint="eastAsia" w:hAnsi="宋体"/>
          <w:b/>
          <w:sz w:val="32"/>
        </w:rPr>
        <w:t>谈判报价表</w:t>
      </w:r>
    </w:p>
    <w:tbl>
      <w:tblPr>
        <w:tblStyle w:val="2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6"/>
        <w:gridCol w:w="2728"/>
        <w:gridCol w:w="1275"/>
        <w:gridCol w:w="1215"/>
        <w:gridCol w:w="1157"/>
        <w:gridCol w:w="426"/>
        <w:gridCol w:w="427"/>
        <w:gridCol w:w="427"/>
        <w:gridCol w:w="1113"/>
        <w:gridCol w:w="730"/>
      </w:tblGrid>
      <w:tr w14:paraId="1995FF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26" w:type="dxa"/>
            <w:tcBorders>
              <w:top w:val="single" w:color="auto" w:sz="4" w:space="0"/>
              <w:left w:val="single" w:color="auto" w:sz="4" w:space="0"/>
              <w:bottom w:val="single" w:color="auto" w:sz="4" w:space="0"/>
              <w:right w:val="single" w:color="auto" w:sz="4" w:space="0"/>
            </w:tcBorders>
            <w:vAlign w:val="center"/>
          </w:tcPr>
          <w:p w14:paraId="232BCE37">
            <w:pPr>
              <w:spacing w:line="300" w:lineRule="exact"/>
              <w:jc w:val="center"/>
              <w:rPr>
                <w:rFonts w:ascii="宋体" w:hAnsi="宋体"/>
              </w:rPr>
            </w:pPr>
            <w:r>
              <w:rPr>
                <w:rFonts w:hint="eastAsia" w:ascii="宋体" w:hAnsi="宋体"/>
              </w:rPr>
              <w:t>项号</w:t>
            </w:r>
          </w:p>
        </w:tc>
        <w:tc>
          <w:tcPr>
            <w:tcW w:w="2728" w:type="dxa"/>
            <w:tcBorders>
              <w:top w:val="single" w:color="auto" w:sz="4" w:space="0"/>
              <w:left w:val="single" w:color="auto" w:sz="4" w:space="0"/>
              <w:bottom w:val="single" w:color="auto" w:sz="4" w:space="0"/>
              <w:right w:val="single" w:color="auto" w:sz="4" w:space="0"/>
            </w:tcBorders>
            <w:vAlign w:val="center"/>
          </w:tcPr>
          <w:p w14:paraId="3954D831">
            <w:pPr>
              <w:spacing w:line="280" w:lineRule="exact"/>
              <w:jc w:val="center"/>
              <w:rPr>
                <w:rFonts w:hint="eastAsia" w:ascii="宋体" w:hAnsi="宋体"/>
              </w:rPr>
            </w:pPr>
            <w:r>
              <w:rPr>
                <w:rFonts w:hint="eastAsia" w:ascii="宋体" w:hAnsi="宋体"/>
              </w:rPr>
              <w:t>标的名称</w:t>
            </w:r>
          </w:p>
        </w:tc>
        <w:tc>
          <w:tcPr>
            <w:tcW w:w="1275" w:type="dxa"/>
            <w:tcBorders>
              <w:top w:val="single" w:color="auto" w:sz="4" w:space="0"/>
              <w:left w:val="single" w:color="auto" w:sz="4" w:space="0"/>
              <w:bottom w:val="single" w:color="auto" w:sz="4" w:space="0"/>
              <w:right w:val="single" w:color="auto" w:sz="4" w:space="0"/>
            </w:tcBorders>
            <w:vAlign w:val="center"/>
          </w:tcPr>
          <w:p w14:paraId="3C76F4F7">
            <w:pPr>
              <w:spacing w:line="280" w:lineRule="exact"/>
              <w:jc w:val="center"/>
              <w:rPr>
                <w:rFonts w:hint="eastAsia" w:ascii="宋体" w:hAnsi="宋体"/>
              </w:rPr>
            </w:pPr>
            <w:r>
              <w:rPr>
                <w:rFonts w:hint="eastAsia" w:ascii="宋体" w:hAnsi="宋体"/>
              </w:rPr>
              <w:t>生产厂家</w:t>
            </w:r>
          </w:p>
        </w:tc>
        <w:tc>
          <w:tcPr>
            <w:tcW w:w="1215" w:type="dxa"/>
            <w:tcBorders>
              <w:top w:val="single" w:color="auto" w:sz="4" w:space="0"/>
              <w:left w:val="single" w:color="auto" w:sz="4" w:space="0"/>
              <w:bottom w:val="single" w:color="auto" w:sz="4" w:space="0"/>
              <w:right w:val="single" w:color="auto" w:sz="4" w:space="0"/>
            </w:tcBorders>
            <w:vAlign w:val="center"/>
          </w:tcPr>
          <w:p w14:paraId="31C5D658">
            <w:pPr>
              <w:spacing w:line="280" w:lineRule="exact"/>
              <w:jc w:val="center"/>
              <w:rPr>
                <w:rFonts w:hint="eastAsia" w:ascii="宋体" w:hAnsi="宋体"/>
              </w:rPr>
            </w:pPr>
            <w:r>
              <w:rPr>
                <w:rFonts w:hint="eastAsia" w:ascii="宋体" w:hAnsi="宋体"/>
                <w:szCs w:val="21"/>
              </w:rPr>
              <w:t>品牌</w:t>
            </w:r>
          </w:p>
        </w:tc>
        <w:tc>
          <w:tcPr>
            <w:tcW w:w="1157" w:type="dxa"/>
            <w:tcBorders>
              <w:top w:val="single" w:color="auto" w:sz="4" w:space="0"/>
              <w:left w:val="single" w:color="auto" w:sz="4" w:space="0"/>
              <w:bottom w:val="single" w:color="auto" w:sz="4" w:space="0"/>
              <w:right w:val="single" w:color="auto" w:sz="4" w:space="0"/>
            </w:tcBorders>
            <w:vAlign w:val="center"/>
          </w:tcPr>
          <w:p w14:paraId="1835E3EC">
            <w:pPr>
              <w:spacing w:line="300" w:lineRule="exact"/>
              <w:jc w:val="center"/>
              <w:rPr>
                <w:rFonts w:ascii="宋体" w:hAnsi="宋体"/>
              </w:rPr>
            </w:pPr>
            <w:r>
              <w:rPr>
                <w:rFonts w:hint="eastAsia" w:ascii="宋体" w:hAnsi="宋体"/>
                <w:szCs w:val="21"/>
              </w:rPr>
              <w:t>规格型号</w:t>
            </w:r>
          </w:p>
        </w:tc>
        <w:tc>
          <w:tcPr>
            <w:tcW w:w="426" w:type="dxa"/>
            <w:tcBorders>
              <w:top w:val="single" w:color="auto" w:sz="4" w:space="0"/>
              <w:left w:val="single" w:color="auto" w:sz="4" w:space="0"/>
              <w:bottom w:val="single" w:color="auto" w:sz="4" w:space="0"/>
              <w:right w:val="single" w:color="auto" w:sz="4" w:space="0"/>
            </w:tcBorders>
            <w:vAlign w:val="center"/>
          </w:tcPr>
          <w:p w14:paraId="1ED6592C">
            <w:pPr>
              <w:spacing w:line="300" w:lineRule="exact"/>
              <w:jc w:val="center"/>
              <w:rPr>
                <w:rFonts w:ascii="宋体" w:hAnsi="宋体"/>
              </w:rPr>
            </w:pPr>
            <w:r>
              <w:rPr>
                <w:rFonts w:hint="eastAsia" w:ascii="宋体" w:hAnsi="宋体"/>
              </w:rPr>
              <w:t>数量</w:t>
            </w:r>
          </w:p>
          <w:p w14:paraId="3461F392">
            <w:pPr>
              <w:spacing w:line="300" w:lineRule="exact"/>
              <w:jc w:val="center"/>
              <w:rPr>
                <w:rFonts w:ascii="宋体" w:hAnsi="宋体"/>
              </w:rPr>
            </w:pPr>
            <w:r>
              <w:rPr>
                <w:rFonts w:hint="eastAsia" w:ascii="宋体" w:hAnsi="宋体"/>
                <w:szCs w:val="21"/>
              </w:rPr>
              <w:t>①</w:t>
            </w:r>
          </w:p>
        </w:tc>
        <w:tc>
          <w:tcPr>
            <w:tcW w:w="427" w:type="dxa"/>
            <w:tcBorders>
              <w:top w:val="single" w:color="auto" w:sz="4" w:space="0"/>
              <w:left w:val="single" w:color="auto" w:sz="4" w:space="0"/>
              <w:bottom w:val="single" w:color="auto" w:sz="4" w:space="0"/>
              <w:right w:val="single" w:color="auto" w:sz="4" w:space="0"/>
            </w:tcBorders>
            <w:vAlign w:val="center"/>
          </w:tcPr>
          <w:p w14:paraId="3CBFE356">
            <w:pPr>
              <w:spacing w:line="300" w:lineRule="exact"/>
              <w:jc w:val="center"/>
              <w:rPr>
                <w:rFonts w:ascii="宋体" w:hAnsi="宋体"/>
              </w:rPr>
            </w:pPr>
            <w:r>
              <w:rPr>
                <w:rFonts w:hint="eastAsia" w:ascii="宋体" w:hAnsi="宋体"/>
              </w:rPr>
              <w:t>单位</w:t>
            </w:r>
          </w:p>
        </w:tc>
        <w:tc>
          <w:tcPr>
            <w:tcW w:w="427" w:type="dxa"/>
            <w:tcBorders>
              <w:top w:val="single" w:color="auto" w:sz="4" w:space="0"/>
              <w:left w:val="single" w:color="auto" w:sz="4" w:space="0"/>
              <w:bottom w:val="single" w:color="auto" w:sz="4" w:space="0"/>
              <w:right w:val="single" w:color="auto" w:sz="4" w:space="0"/>
            </w:tcBorders>
            <w:vAlign w:val="center"/>
          </w:tcPr>
          <w:p w14:paraId="06B195CD">
            <w:pPr>
              <w:spacing w:line="300" w:lineRule="exact"/>
              <w:jc w:val="center"/>
              <w:rPr>
                <w:rFonts w:ascii="宋体" w:hAnsi="宋体"/>
              </w:rPr>
            </w:pPr>
            <w:r>
              <w:rPr>
                <w:rFonts w:hint="eastAsia" w:ascii="宋体" w:hAnsi="宋体"/>
              </w:rPr>
              <w:t>单价</w:t>
            </w:r>
          </w:p>
          <w:p w14:paraId="62DBCC54">
            <w:pPr>
              <w:spacing w:line="300" w:lineRule="exact"/>
              <w:jc w:val="center"/>
              <w:rPr>
                <w:rFonts w:ascii="宋体" w:hAnsi="宋体"/>
              </w:rPr>
            </w:pPr>
            <w:r>
              <w:rPr>
                <w:rFonts w:hint="eastAsia" w:ascii="宋体" w:hAnsi="宋体"/>
                <w:szCs w:val="21"/>
              </w:rPr>
              <w:t>②</w:t>
            </w:r>
          </w:p>
        </w:tc>
        <w:tc>
          <w:tcPr>
            <w:tcW w:w="1113" w:type="dxa"/>
            <w:tcBorders>
              <w:top w:val="single" w:color="auto" w:sz="4" w:space="0"/>
              <w:left w:val="single" w:color="auto" w:sz="4" w:space="0"/>
              <w:bottom w:val="single" w:color="auto" w:sz="4" w:space="0"/>
              <w:right w:val="single" w:color="auto" w:sz="4" w:space="0"/>
            </w:tcBorders>
            <w:vAlign w:val="center"/>
          </w:tcPr>
          <w:p w14:paraId="07D89982">
            <w:pPr>
              <w:spacing w:line="300" w:lineRule="exact"/>
              <w:jc w:val="center"/>
              <w:rPr>
                <w:rFonts w:ascii="宋体" w:hAnsi="宋体"/>
              </w:rPr>
            </w:pPr>
            <w:r>
              <w:rPr>
                <w:rFonts w:hint="eastAsia" w:ascii="宋体" w:hAnsi="宋体"/>
              </w:rPr>
              <w:t>单项合计=数量</w:t>
            </w:r>
            <w:r>
              <w:rPr>
                <w:rFonts w:hint="eastAsia" w:ascii="宋体" w:hAnsi="宋体"/>
                <w:lang w:eastAsia="zh-CN"/>
              </w:rPr>
              <w:t>×</w:t>
            </w:r>
            <w:r>
              <w:rPr>
                <w:rFonts w:hint="eastAsia" w:ascii="宋体" w:hAnsi="宋体"/>
              </w:rPr>
              <w:t>单价</w:t>
            </w:r>
          </w:p>
          <w:p w14:paraId="71EF677A">
            <w:pPr>
              <w:spacing w:line="300" w:lineRule="exact"/>
              <w:jc w:val="center"/>
              <w:rPr>
                <w:rFonts w:ascii="宋体" w:hAnsi="宋体"/>
              </w:rPr>
            </w:pPr>
            <w:r>
              <w:rPr>
                <w:rFonts w:hint="eastAsia" w:ascii="宋体" w:hAnsi="宋体"/>
                <w:szCs w:val="21"/>
              </w:rPr>
              <w:t>③＝①</w:t>
            </w:r>
            <w:r>
              <w:rPr>
                <w:rFonts w:hint="eastAsia" w:ascii="宋体" w:hAnsi="宋体"/>
                <w:szCs w:val="21"/>
                <w:lang w:eastAsia="zh-CN"/>
              </w:rPr>
              <w:t>×</w:t>
            </w:r>
            <w:r>
              <w:rPr>
                <w:rFonts w:hint="eastAsia" w:ascii="宋体" w:hAnsi="宋体"/>
                <w:szCs w:val="21"/>
              </w:rPr>
              <w:t>②</w:t>
            </w:r>
          </w:p>
        </w:tc>
        <w:tc>
          <w:tcPr>
            <w:tcW w:w="730" w:type="dxa"/>
            <w:tcBorders>
              <w:bottom w:val="single" w:color="auto" w:sz="4" w:space="0"/>
            </w:tcBorders>
            <w:vAlign w:val="center"/>
          </w:tcPr>
          <w:p w14:paraId="1168F460">
            <w:pPr>
              <w:spacing w:line="300" w:lineRule="exact"/>
              <w:jc w:val="center"/>
              <w:rPr>
                <w:rFonts w:ascii="宋体" w:hAnsi="宋体"/>
              </w:rPr>
            </w:pPr>
            <w:r>
              <w:rPr>
                <w:rFonts w:hint="eastAsia" w:ascii="宋体" w:hAnsi="宋体"/>
              </w:rPr>
              <w:t>备注</w:t>
            </w:r>
          </w:p>
        </w:tc>
      </w:tr>
      <w:tr w14:paraId="486C99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bottom w:val="single" w:color="auto" w:sz="4" w:space="0"/>
              <w:right w:val="single" w:color="auto" w:sz="4" w:space="0"/>
            </w:tcBorders>
            <w:vAlign w:val="center"/>
          </w:tcPr>
          <w:p w14:paraId="646ABC6F">
            <w:pPr>
              <w:jc w:val="center"/>
              <w:rPr>
                <w:rFonts w:ascii="宋体" w:hAnsi="宋体" w:cs="宋体"/>
                <w:szCs w:val="21"/>
              </w:rPr>
            </w:pPr>
            <w:r>
              <w:rPr>
                <w:rFonts w:hint="eastAsia" w:ascii="宋体" w:hAnsi="宋体" w:cs="宋体"/>
                <w:szCs w:val="21"/>
              </w:rPr>
              <w:t>1</w:t>
            </w:r>
          </w:p>
        </w:tc>
        <w:tc>
          <w:tcPr>
            <w:tcW w:w="2728" w:type="dxa"/>
            <w:tcBorders>
              <w:top w:val="single" w:color="auto" w:sz="4" w:space="0"/>
              <w:left w:val="single" w:color="auto" w:sz="4" w:space="0"/>
              <w:bottom w:val="single" w:color="auto" w:sz="4" w:space="0"/>
              <w:right w:val="single" w:color="auto" w:sz="4" w:space="0"/>
            </w:tcBorders>
            <w:vAlign w:val="center"/>
          </w:tcPr>
          <w:p w14:paraId="7AABF268">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14:paraId="17CE2BC0">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3EA7FA99">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14:paraId="666CEDA4">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14:paraId="578B573E">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51F16449">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43FA4F9F">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14:paraId="468464D1">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14:paraId="7A9E3487">
            <w:pPr>
              <w:spacing w:line="300" w:lineRule="exact"/>
              <w:jc w:val="center"/>
              <w:rPr>
                <w:rFonts w:ascii="宋体" w:hAnsi="宋体"/>
                <w:b/>
                <w:bCs/>
              </w:rPr>
            </w:pPr>
          </w:p>
        </w:tc>
      </w:tr>
      <w:tr w14:paraId="1B78D0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5E35246B">
            <w:pPr>
              <w:jc w:val="center"/>
              <w:rPr>
                <w:rFonts w:ascii="宋体" w:hAnsi="宋体" w:cs="宋体"/>
                <w:szCs w:val="21"/>
              </w:rPr>
            </w:pPr>
            <w:r>
              <w:rPr>
                <w:rFonts w:hint="eastAsia" w:ascii="宋体" w:hAnsi="宋体" w:cs="宋体"/>
                <w:szCs w:val="21"/>
              </w:rPr>
              <w:t>2</w:t>
            </w:r>
          </w:p>
        </w:tc>
        <w:tc>
          <w:tcPr>
            <w:tcW w:w="2728" w:type="dxa"/>
            <w:tcBorders>
              <w:top w:val="single" w:color="auto" w:sz="4" w:space="0"/>
              <w:left w:val="single" w:color="auto" w:sz="4" w:space="0"/>
              <w:bottom w:val="single" w:color="auto" w:sz="4" w:space="0"/>
              <w:right w:val="single" w:color="auto" w:sz="4" w:space="0"/>
            </w:tcBorders>
            <w:vAlign w:val="center"/>
          </w:tcPr>
          <w:p w14:paraId="4D5ED435">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14:paraId="4CEC9CFA">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3C2C6FDE">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14:paraId="28093005">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14:paraId="37708032">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5996DC69">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2E375917">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14:paraId="4FD2663A">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14:paraId="63F0119A">
            <w:pPr>
              <w:spacing w:line="300" w:lineRule="exact"/>
              <w:jc w:val="center"/>
              <w:rPr>
                <w:rFonts w:ascii="宋体" w:hAnsi="宋体"/>
                <w:b/>
                <w:bCs/>
              </w:rPr>
            </w:pPr>
          </w:p>
        </w:tc>
      </w:tr>
      <w:tr w14:paraId="114FD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36308686">
            <w:pPr>
              <w:jc w:val="center"/>
              <w:rPr>
                <w:rFonts w:ascii="宋体" w:hAnsi="宋体" w:cs="宋体"/>
                <w:szCs w:val="21"/>
              </w:rPr>
            </w:pPr>
            <w:r>
              <w:rPr>
                <w:rFonts w:hint="eastAsia" w:ascii="宋体" w:hAnsi="宋体" w:cs="宋体"/>
                <w:szCs w:val="21"/>
              </w:rPr>
              <w:t>…</w:t>
            </w:r>
          </w:p>
        </w:tc>
        <w:tc>
          <w:tcPr>
            <w:tcW w:w="2728" w:type="dxa"/>
            <w:tcBorders>
              <w:top w:val="single" w:color="auto" w:sz="4" w:space="0"/>
              <w:left w:val="single" w:color="auto" w:sz="4" w:space="0"/>
              <w:bottom w:val="single" w:color="auto" w:sz="4" w:space="0"/>
              <w:right w:val="single" w:color="auto" w:sz="4" w:space="0"/>
            </w:tcBorders>
            <w:vAlign w:val="center"/>
          </w:tcPr>
          <w:p w14:paraId="07C1D5E8">
            <w:pPr>
              <w:spacing w:line="300" w:lineRule="exact"/>
              <w:jc w:val="center"/>
              <w:rPr>
                <w:rFonts w:ascii="宋体" w:hAnsi="宋体"/>
              </w:rPr>
            </w:pPr>
          </w:p>
        </w:tc>
        <w:tc>
          <w:tcPr>
            <w:tcW w:w="1275" w:type="dxa"/>
            <w:tcBorders>
              <w:top w:val="single" w:color="auto" w:sz="4" w:space="0"/>
              <w:left w:val="single" w:color="auto" w:sz="4" w:space="0"/>
              <w:bottom w:val="single" w:color="auto" w:sz="4" w:space="0"/>
              <w:right w:val="single" w:color="auto" w:sz="4" w:space="0"/>
            </w:tcBorders>
            <w:vAlign w:val="center"/>
          </w:tcPr>
          <w:p w14:paraId="6E4D16E9">
            <w:pPr>
              <w:spacing w:line="300" w:lineRule="exact"/>
              <w:jc w:val="center"/>
              <w:rPr>
                <w:rFonts w:ascii="宋体" w:hAnsi="宋体"/>
              </w:rPr>
            </w:pPr>
          </w:p>
        </w:tc>
        <w:tc>
          <w:tcPr>
            <w:tcW w:w="1215" w:type="dxa"/>
            <w:tcBorders>
              <w:top w:val="single" w:color="auto" w:sz="4" w:space="0"/>
              <w:left w:val="single" w:color="auto" w:sz="4" w:space="0"/>
              <w:bottom w:val="single" w:color="auto" w:sz="4" w:space="0"/>
              <w:right w:val="single" w:color="auto" w:sz="4" w:space="0"/>
            </w:tcBorders>
            <w:vAlign w:val="center"/>
          </w:tcPr>
          <w:p w14:paraId="51BDDB8F">
            <w:pPr>
              <w:spacing w:line="300" w:lineRule="exact"/>
              <w:jc w:val="center"/>
              <w:rPr>
                <w:rFonts w:ascii="宋体" w:hAnsi="宋体"/>
              </w:rPr>
            </w:pPr>
          </w:p>
        </w:tc>
        <w:tc>
          <w:tcPr>
            <w:tcW w:w="1157" w:type="dxa"/>
            <w:tcBorders>
              <w:top w:val="single" w:color="auto" w:sz="4" w:space="0"/>
              <w:left w:val="single" w:color="auto" w:sz="4" w:space="0"/>
              <w:bottom w:val="single" w:color="auto" w:sz="4" w:space="0"/>
              <w:right w:val="single" w:color="auto" w:sz="4" w:space="0"/>
            </w:tcBorders>
            <w:vAlign w:val="center"/>
          </w:tcPr>
          <w:p w14:paraId="2941A8C2">
            <w:pPr>
              <w:spacing w:line="300" w:lineRule="exac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14:paraId="06253C1C">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50368A66">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412FB0A9">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14:paraId="689D59C6">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14:paraId="16E9A604">
            <w:pPr>
              <w:spacing w:line="300" w:lineRule="exact"/>
              <w:jc w:val="center"/>
              <w:rPr>
                <w:rFonts w:ascii="宋体" w:hAnsi="宋体"/>
                <w:b/>
                <w:bCs/>
              </w:rPr>
            </w:pPr>
          </w:p>
        </w:tc>
      </w:tr>
      <w:tr w14:paraId="222B8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426" w:type="dxa"/>
            <w:tcBorders>
              <w:top w:val="single" w:color="auto" w:sz="4" w:space="0"/>
              <w:left w:val="single" w:color="auto" w:sz="4" w:space="0"/>
              <w:right w:val="single" w:color="auto" w:sz="4" w:space="0"/>
            </w:tcBorders>
            <w:vAlign w:val="center"/>
          </w:tcPr>
          <w:p w14:paraId="41A2CADC">
            <w:pPr>
              <w:jc w:val="center"/>
              <w:rPr>
                <w:rFonts w:ascii="宋体" w:hAnsi="宋体" w:cs="宋体"/>
                <w:szCs w:val="21"/>
              </w:rPr>
            </w:pPr>
            <w:r>
              <w:rPr>
                <w:rFonts w:hint="eastAsia" w:ascii="宋体" w:hAnsi="宋体" w:cs="宋体"/>
                <w:szCs w:val="21"/>
              </w:rPr>
              <w:t>N</w:t>
            </w:r>
          </w:p>
        </w:tc>
        <w:tc>
          <w:tcPr>
            <w:tcW w:w="2728" w:type="dxa"/>
            <w:tcBorders>
              <w:top w:val="single" w:color="auto" w:sz="4" w:space="0"/>
              <w:left w:val="single" w:color="auto" w:sz="4" w:space="0"/>
              <w:bottom w:val="single" w:color="auto" w:sz="4" w:space="0"/>
              <w:right w:val="single" w:color="auto" w:sz="4" w:space="0"/>
            </w:tcBorders>
            <w:vAlign w:val="center"/>
          </w:tcPr>
          <w:p w14:paraId="6DEDFFF9">
            <w:pPr>
              <w:spacing w:line="300" w:lineRule="exact"/>
              <w:jc w:val="center"/>
              <w:rPr>
                <w:rFonts w:ascii="宋体" w:hAnsi="宋体"/>
                <w:b/>
                <w:bCs/>
              </w:rPr>
            </w:pPr>
            <w:r>
              <w:rPr>
                <w:rFonts w:ascii="宋体" w:hAnsi="宋体" w:cs="宋体"/>
                <w:szCs w:val="21"/>
              </w:rPr>
              <w:t>…</w:t>
            </w:r>
          </w:p>
        </w:tc>
        <w:tc>
          <w:tcPr>
            <w:tcW w:w="1275" w:type="dxa"/>
            <w:tcBorders>
              <w:top w:val="single" w:color="auto" w:sz="4" w:space="0"/>
              <w:left w:val="single" w:color="auto" w:sz="4" w:space="0"/>
              <w:bottom w:val="single" w:color="auto" w:sz="4" w:space="0"/>
              <w:right w:val="single" w:color="auto" w:sz="4" w:space="0"/>
            </w:tcBorders>
            <w:vAlign w:val="center"/>
          </w:tcPr>
          <w:p w14:paraId="3E89FDB9">
            <w:pPr>
              <w:spacing w:line="300" w:lineRule="exact"/>
              <w:jc w:val="center"/>
              <w:rPr>
                <w:rFonts w:ascii="宋体" w:hAnsi="宋体"/>
                <w:b/>
                <w:bCs/>
              </w:rPr>
            </w:pPr>
          </w:p>
        </w:tc>
        <w:tc>
          <w:tcPr>
            <w:tcW w:w="1215" w:type="dxa"/>
            <w:tcBorders>
              <w:top w:val="single" w:color="auto" w:sz="4" w:space="0"/>
              <w:left w:val="single" w:color="auto" w:sz="4" w:space="0"/>
              <w:bottom w:val="single" w:color="auto" w:sz="4" w:space="0"/>
              <w:right w:val="single" w:color="auto" w:sz="4" w:space="0"/>
            </w:tcBorders>
            <w:vAlign w:val="center"/>
          </w:tcPr>
          <w:p w14:paraId="7DEAAEFA">
            <w:pPr>
              <w:spacing w:line="300" w:lineRule="exact"/>
              <w:jc w:val="center"/>
              <w:rPr>
                <w:rFonts w:ascii="宋体" w:hAnsi="宋体"/>
                <w:b/>
                <w:bCs/>
              </w:rPr>
            </w:pPr>
          </w:p>
        </w:tc>
        <w:tc>
          <w:tcPr>
            <w:tcW w:w="1157" w:type="dxa"/>
            <w:tcBorders>
              <w:top w:val="single" w:color="auto" w:sz="4" w:space="0"/>
              <w:left w:val="single" w:color="auto" w:sz="4" w:space="0"/>
              <w:bottom w:val="single" w:color="auto" w:sz="4" w:space="0"/>
              <w:right w:val="single" w:color="auto" w:sz="4" w:space="0"/>
            </w:tcBorders>
            <w:vAlign w:val="center"/>
          </w:tcPr>
          <w:p w14:paraId="309FE964">
            <w:pPr>
              <w:spacing w:line="300" w:lineRule="exact"/>
              <w:jc w:val="center"/>
              <w:rPr>
                <w:rFonts w:ascii="宋体" w:hAnsi="宋体"/>
                <w:b/>
                <w:bCs/>
              </w:rPr>
            </w:pPr>
          </w:p>
        </w:tc>
        <w:tc>
          <w:tcPr>
            <w:tcW w:w="426" w:type="dxa"/>
            <w:tcBorders>
              <w:top w:val="single" w:color="auto" w:sz="4" w:space="0"/>
              <w:left w:val="single" w:color="auto" w:sz="4" w:space="0"/>
              <w:bottom w:val="single" w:color="auto" w:sz="4" w:space="0"/>
              <w:right w:val="single" w:color="auto" w:sz="4" w:space="0"/>
            </w:tcBorders>
            <w:vAlign w:val="center"/>
          </w:tcPr>
          <w:p w14:paraId="72289E14">
            <w:pPr>
              <w:jc w:val="center"/>
              <w:rPr>
                <w:rFonts w:ascii="宋体" w:hAnsi="宋体" w:cs="宋体"/>
                <w:szCs w:val="21"/>
              </w:rPr>
            </w:pPr>
            <w:r>
              <w:rPr>
                <w:rFonts w:ascii="宋体" w:hAnsi="宋体" w:cs="宋体"/>
                <w:szCs w:val="21"/>
              </w:rPr>
              <w:t>…</w:t>
            </w:r>
          </w:p>
        </w:tc>
        <w:tc>
          <w:tcPr>
            <w:tcW w:w="427" w:type="dxa"/>
            <w:tcBorders>
              <w:top w:val="single" w:color="auto" w:sz="4" w:space="0"/>
              <w:left w:val="single" w:color="auto" w:sz="4" w:space="0"/>
              <w:bottom w:val="single" w:color="auto" w:sz="4" w:space="0"/>
              <w:right w:val="single" w:color="auto" w:sz="4" w:space="0"/>
            </w:tcBorders>
            <w:vAlign w:val="center"/>
          </w:tcPr>
          <w:p w14:paraId="1E2A7104">
            <w:pPr>
              <w:jc w:val="center"/>
              <w:rPr>
                <w:rFonts w:ascii="宋体" w:hAnsi="宋体" w:cs="宋体"/>
                <w:szCs w:val="21"/>
              </w:rPr>
            </w:pPr>
          </w:p>
        </w:tc>
        <w:tc>
          <w:tcPr>
            <w:tcW w:w="427" w:type="dxa"/>
            <w:tcBorders>
              <w:top w:val="single" w:color="auto" w:sz="4" w:space="0"/>
              <w:left w:val="single" w:color="auto" w:sz="4" w:space="0"/>
              <w:bottom w:val="single" w:color="auto" w:sz="4" w:space="0"/>
              <w:right w:val="single" w:color="auto" w:sz="4" w:space="0"/>
            </w:tcBorders>
            <w:vAlign w:val="center"/>
          </w:tcPr>
          <w:p w14:paraId="00D0CED6">
            <w:pPr>
              <w:spacing w:line="300" w:lineRule="exact"/>
              <w:jc w:val="center"/>
              <w:rPr>
                <w:rFonts w:ascii="宋体" w:hAnsi="宋体"/>
                <w:b/>
                <w:bCs/>
              </w:rPr>
            </w:pPr>
          </w:p>
        </w:tc>
        <w:tc>
          <w:tcPr>
            <w:tcW w:w="1113" w:type="dxa"/>
            <w:tcBorders>
              <w:top w:val="single" w:color="auto" w:sz="4" w:space="0"/>
              <w:left w:val="single" w:color="auto" w:sz="4" w:space="0"/>
              <w:bottom w:val="single" w:color="auto" w:sz="4" w:space="0"/>
              <w:right w:val="single" w:color="auto" w:sz="4" w:space="0"/>
            </w:tcBorders>
            <w:vAlign w:val="center"/>
          </w:tcPr>
          <w:p w14:paraId="0E49A3DF">
            <w:pPr>
              <w:spacing w:line="300" w:lineRule="exact"/>
              <w:jc w:val="center"/>
              <w:rPr>
                <w:rFonts w:ascii="宋体" w:hAnsi="宋体"/>
                <w:b/>
                <w:bCs/>
              </w:rPr>
            </w:pPr>
          </w:p>
        </w:tc>
        <w:tc>
          <w:tcPr>
            <w:tcW w:w="730" w:type="dxa"/>
            <w:tcBorders>
              <w:top w:val="single" w:color="auto" w:sz="4" w:space="0"/>
              <w:bottom w:val="single" w:color="auto" w:sz="4" w:space="0"/>
            </w:tcBorders>
            <w:vAlign w:val="center"/>
          </w:tcPr>
          <w:p w14:paraId="1362BBF1">
            <w:pPr>
              <w:spacing w:line="300" w:lineRule="exact"/>
              <w:jc w:val="center"/>
              <w:rPr>
                <w:rFonts w:ascii="宋体" w:hAnsi="宋体"/>
                <w:b/>
                <w:bCs/>
              </w:rPr>
            </w:pPr>
          </w:p>
        </w:tc>
      </w:tr>
      <w:tr w14:paraId="428850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14:paraId="5BD4FCD1">
            <w:pPr>
              <w:spacing w:line="300" w:lineRule="exact"/>
              <w:rPr>
                <w:rFonts w:hint="eastAsia" w:ascii="宋体" w:hAnsi="宋体"/>
                <w:spacing w:val="-6"/>
              </w:rPr>
            </w:pPr>
            <w:r>
              <w:rPr>
                <w:rFonts w:hint="eastAsia" w:ascii="宋体" w:hAnsi="宋体"/>
                <w:spacing w:val="-6"/>
              </w:rPr>
              <w:t>投标总</w:t>
            </w:r>
            <w:r>
              <w:rPr>
                <w:rFonts w:ascii="宋体" w:hAnsi="宋体"/>
                <w:spacing w:val="-6"/>
              </w:rPr>
              <w:t xml:space="preserve">报价（大写）：                      </w:t>
            </w:r>
            <w:r>
              <w:rPr>
                <w:rFonts w:hint="eastAsia" w:ascii="宋体" w:hAnsi="宋体"/>
                <w:spacing w:val="-6"/>
              </w:rPr>
              <w:t xml:space="preserve">            </w:t>
            </w:r>
            <w:r>
              <w:rPr>
                <w:rFonts w:ascii="宋体" w:hAnsi="宋体"/>
                <w:spacing w:val="-6"/>
              </w:rPr>
              <w:t xml:space="preserve">  </w:t>
            </w:r>
            <w:r>
              <w:rPr>
                <w:rFonts w:hint="eastAsia" w:ascii="宋体" w:hAnsi="宋体"/>
                <w:spacing w:val="-6"/>
              </w:rPr>
              <w:t>元</w:t>
            </w:r>
            <w:r>
              <w:rPr>
                <w:rFonts w:ascii="宋体" w:hAnsi="宋体"/>
                <w:spacing w:val="-6"/>
              </w:rPr>
              <w:t>人民币（</w:t>
            </w:r>
            <w:r>
              <w:rPr>
                <w:rFonts w:hint="eastAsia" w:ascii="宋体" w:hAnsi="宋体"/>
                <w:spacing w:val="-6"/>
              </w:rPr>
              <w:t>¥</w:t>
            </w:r>
            <w:r>
              <w:rPr>
                <w:rFonts w:ascii="宋体" w:hAnsi="宋体"/>
                <w:spacing w:val="-6"/>
              </w:rPr>
              <w:t xml:space="preserve">         </w:t>
            </w:r>
            <w:r>
              <w:rPr>
                <w:rFonts w:hint="eastAsia" w:ascii="宋体" w:hAnsi="宋体"/>
                <w:spacing w:val="-6"/>
              </w:rPr>
              <w:t xml:space="preserve">           </w:t>
            </w:r>
            <w:r>
              <w:rPr>
                <w:rFonts w:ascii="宋体" w:hAnsi="宋体"/>
                <w:spacing w:val="-6"/>
              </w:rPr>
              <w:t xml:space="preserve">             ）</w:t>
            </w:r>
          </w:p>
        </w:tc>
      </w:tr>
      <w:tr w14:paraId="3520D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14:paraId="1AC1400B">
            <w:pPr>
              <w:spacing w:line="300" w:lineRule="exact"/>
              <w:rPr>
                <w:rFonts w:hint="eastAsia" w:ascii="宋体" w:hAnsi="宋体"/>
                <w:spacing w:val="-6"/>
              </w:rPr>
            </w:pPr>
            <w:r>
              <w:rPr>
                <w:rFonts w:hint="eastAsia" w:ascii="宋体" w:hAnsi="宋体"/>
                <w:spacing w:val="-6"/>
              </w:rPr>
              <w:t>交付使用期:</w:t>
            </w:r>
          </w:p>
        </w:tc>
      </w:tr>
      <w:tr w14:paraId="201B1B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90" w:hRule="atLeast"/>
        </w:trPr>
        <w:tc>
          <w:tcPr>
            <w:tcW w:w="9924" w:type="dxa"/>
            <w:gridSpan w:val="10"/>
            <w:tcBorders>
              <w:top w:val="single" w:color="auto" w:sz="4" w:space="0"/>
              <w:left w:val="single" w:color="auto" w:sz="4" w:space="0"/>
              <w:bottom w:val="single" w:color="auto" w:sz="4" w:space="0"/>
            </w:tcBorders>
            <w:vAlign w:val="center"/>
          </w:tcPr>
          <w:p w14:paraId="72DC7208">
            <w:pPr>
              <w:spacing w:line="300" w:lineRule="exact"/>
              <w:rPr>
                <w:rFonts w:hint="eastAsia" w:ascii="宋体" w:hAnsi="宋体"/>
                <w:spacing w:val="-6"/>
              </w:rPr>
            </w:pPr>
            <w:r>
              <w:rPr>
                <w:rFonts w:hint="eastAsia" w:ascii="宋体" w:hAnsi="宋体"/>
                <w:spacing w:val="-6"/>
              </w:rPr>
              <w:t>免费保修期:</w:t>
            </w:r>
          </w:p>
        </w:tc>
      </w:tr>
      <w:tr w14:paraId="35442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65" w:hRule="atLeast"/>
        </w:trPr>
        <w:tc>
          <w:tcPr>
            <w:tcW w:w="9924" w:type="dxa"/>
            <w:gridSpan w:val="10"/>
            <w:tcBorders>
              <w:top w:val="single" w:color="auto" w:sz="4" w:space="0"/>
              <w:left w:val="single" w:color="auto" w:sz="4" w:space="0"/>
              <w:bottom w:val="single" w:color="auto" w:sz="4" w:space="0"/>
            </w:tcBorders>
            <w:vAlign w:val="center"/>
          </w:tcPr>
          <w:p w14:paraId="33295423">
            <w:pPr>
              <w:spacing w:line="340" w:lineRule="exact"/>
              <w:rPr>
                <w:rFonts w:hint="eastAsia" w:ascii="宋体" w:hAnsi="宋体"/>
              </w:rPr>
            </w:pPr>
            <w:r>
              <w:rPr>
                <w:rFonts w:hint="eastAsia" w:ascii="宋体" w:hAnsi="宋体"/>
              </w:rPr>
              <w:t>说明：投标报价指</w:t>
            </w:r>
            <w:r>
              <w:rPr>
                <w:rFonts w:hint="eastAsia" w:ascii="宋体" w:hAnsi="宋体"/>
                <w:szCs w:val="21"/>
              </w:rPr>
              <w:t>本次招标采购范围内货物价款、</w:t>
            </w:r>
            <w:r>
              <w:rPr>
                <w:rFonts w:hint="eastAsia" w:ascii="宋体" w:hAnsi="宋体" w:cs="Courier New"/>
                <w:szCs w:val="21"/>
              </w:rPr>
              <w:t>货物随配标准附件、</w:t>
            </w:r>
            <w:r>
              <w:rPr>
                <w:rFonts w:hint="eastAsia" w:ascii="宋体" w:hAnsi="宋体"/>
                <w:szCs w:val="21"/>
              </w:rPr>
              <w:t>包装、运输、装卸、保险、税金、货到位以及安装、安装所需辅材、调试、检验、售后服务、培训、保修</w:t>
            </w:r>
            <w:r>
              <w:rPr>
                <w:rFonts w:hint="eastAsia" w:ascii="宋体" w:hAnsi="宋体" w:cs="Courier New"/>
                <w:szCs w:val="21"/>
              </w:rPr>
              <w:t>及其他所有成本费用的总和</w:t>
            </w:r>
            <w:r>
              <w:rPr>
                <w:rFonts w:hint="eastAsia" w:ascii="宋体" w:hAnsi="宋体"/>
                <w:szCs w:val="21"/>
              </w:rPr>
              <w:t>；</w:t>
            </w:r>
            <w:r>
              <w:rPr>
                <w:rFonts w:hint="eastAsia" w:ascii="宋体" w:hAnsi="宋体"/>
              </w:rPr>
              <w:t>报价人综合考虑在报价中。</w:t>
            </w:r>
          </w:p>
        </w:tc>
      </w:tr>
    </w:tbl>
    <w:p w14:paraId="04F57FDA">
      <w:pPr>
        <w:spacing w:line="340" w:lineRule="exact"/>
        <w:rPr>
          <w:rFonts w:ascii="宋体" w:hAnsi="宋体"/>
          <w:szCs w:val="21"/>
        </w:rPr>
      </w:pPr>
    </w:p>
    <w:p w14:paraId="63E164FF">
      <w:pPr>
        <w:spacing w:line="340" w:lineRule="exact"/>
        <w:rPr>
          <w:rFonts w:ascii="宋体" w:hAnsi="宋体"/>
          <w:szCs w:val="21"/>
          <w:u w:val="single"/>
        </w:rPr>
      </w:pPr>
      <w:r>
        <w:rPr>
          <w:rFonts w:hint="eastAsia" w:ascii="宋体" w:hAnsi="宋体"/>
          <w:szCs w:val="21"/>
        </w:rPr>
        <w:t>供应商（CA签章，自然人除外）：</w:t>
      </w:r>
      <w:r>
        <w:rPr>
          <w:rFonts w:hint="eastAsia" w:ascii="宋体" w:hAnsi="宋体"/>
          <w:szCs w:val="21"/>
          <w:u w:val="single"/>
        </w:rPr>
        <w:t xml:space="preserve">                                              </w:t>
      </w:r>
    </w:p>
    <w:p w14:paraId="20DD2A24">
      <w:pPr>
        <w:spacing w:line="340" w:lineRule="exact"/>
        <w:rPr>
          <w:rFonts w:ascii="宋体" w:hAnsi="宋体"/>
          <w:szCs w:val="21"/>
          <w:u w:val="single"/>
        </w:rPr>
      </w:pPr>
      <w:r>
        <w:rPr>
          <w:rFonts w:hint="eastAsia" w:hAnsi="宋体"/>
        </w:rPr>
        <w:t>法定代表人、负责人、自然人或相应的委托代理人签字或个人CA签章（属自然人的应在签名处加盖食指指印或个人CA签章）：</w:t>
      </w:r>
      <w:r>
        <w:rPr>
          <w:rFonts w:hint="eastAsia" w:ascii="宋体" w:hAnsi="宋体"/>
          <w:szCs w:val="21"/>
          <w:u w:val="single"/>
        </w:rPr>
        <w:t xml:space="preserve">                                     </w:t>
      </w:r>
    </w:p>
    <w:p w14:paraId="4A7AB048">
      <w:pPr>
        <w:pStyle w:val="7"/>
        <w:rPr>
          <w:rFonts w:hint="eastAsia"/>
          <w:b/>
          <w:bCs/>
          <w:sz w:val="22"/>
          <w:szCs w:val="28"/>
        </w:rPr>
      </w:pPr>
    </w:p>
    <w:p w14:paraId="62FFE9B2">
      <w:pPr>
        <w:rPr>
          <w:rFonts w:hint="eastAsia"/>
        </w:rPr>
      </w:pPr>
    </w:p>
    <w:p w14:paraId="3F2DBFEA">
      <w:pPr>
        <w:tabs>
          <w:tab w:val="left" w:pos="1305"/>
        </w:tabs>
        <w:spacing w:line="400" w:lineRule="exact"/>
        <w:rPr>
          <w:rFonts w:hint="eastAsia" w:ascii="宋体" w:hAnsi="宋体" w:cs="宋体"/>
          <w:bCs/>
          <w:szCs w:val="21"/>
        </w:rPr>
      </w:pPr>
      <w:r>
        <w:rPr>
          <w:rFonts w:hint="eastAsia" w:ascii="宋体" w:hAnsi="宋体" w:cs="宋体"/>
          <w:b/>
          <w:szCs w:val="21"/>
        </w:rPr>
        <w:t>注：</w:t>
      </w:r>
      <w:r>
        <w:rPr>
          <w:rFonts w:hint="eastAsia" w:ascii="宋体" w:hAnsi="宋体" w:cs="宋体"/>
          <w:bCs/>
          <w:szCs w:val="21"/>
        </w:rPr>
        <w:t>1.</w:t>
      </w:r>
      <w:r>
        <w:rPr>
          <w:rFonts w:hint="eastAsia" w:ascii="宋体" w:hAnsi="宋体" w:cs="宋体"/>
          <w:szCs w:val="21"/>
        </w:rPr>
        <w:t xml:space="preserve"> 供应商必须就“采购需求”中所有内容作完整唯一报价，根据“采购需求”中的“采购需求（技术参数、性能、配置等要求）”要求逐项对应填报所提供货物的性能指标等承诺（即：谈判报价表），否则，其响应将被拒绝；响应文件只允许有一个报价，有选择的或有条件的报价将不予接受。</w:t>
      </w:r>
    </w:p>
    <w:p w14:paraId="7156D418">
      <w:pPr>
        <w:pStyle w:val="13"/>
        <w:spacing w:line="400" w:lineRule="exact"/>
        <w:ind w:firstLine="420" w:firstLineChars="200"/>
        <w:rPr>
          <w:rFonts w:hint="eastAsia" w:hAnsi="宋体" w:cs="宋体"/>
          <w:sz w:val="21"/>
        </w:rPr>
      </w:pPr>
      <w:r>
        <w:rPr>
          <w:rFonts w:hint="eastAsia" w:hAnsi="宋体" w:cs="宋体"/>
          <w:sz w:val="21"/>
        </w:rPr>
        <w:t>2.供应商应根据所提供的货物如实填写谈判报价表</w:t>
      </w:r>
      <w:r>
        <w:rPr>
          <w:rFonts w:hint="eastAsia" w:hAnsi="宋体" w:cs="宋体"/>
          <w:bCs/>
          <w:sz w:val="21"/>
        </w:rPr>
        <w:t>的各项内容，否则，响应文件无效。</w:t>
      </w:r>
    </w:p>
    <w:p w14:paraId="6C254749">
      <w:pPr>
        <w:spacing w:line="400" w:lineRule="exact"/>
        <w:ind w:firstLine="420" w:firstLineChars="200"/>
        <w:rPr>
          <w:rFonts w:hint="eastAsia" w:ascii="宋体" w:hAnsi="宋体" w:cs="宋体"/>
          <w:szCs w:val="21"/>
        </w:rPr>
      </w:pPr>
      <w:r>
        <w:rPr>
          <w:rFonts w:hint="eastAsia" w:ascii="宋体" w:hAnsi="宋体" w:cs="宋体"/>
          <w:bCs/>
          <w:szCs w:val="21"/>
        </w:rPr>
        <w:t>3.</w:t>
      </w:r>
      <w:r>
        <w:rPr>
          <w:rFonts w:hint="eastAsia" w:ascii="宋体" w:hAnsi="宋体" w:cs="宋体"/>
          <w:szCs w:val="21"/>
        </w:rPr>
        <w:t>谈判</w:t>
      </w:r>
      <w:r>
        <w:rPr>
          <w:rFonts w:hint="eastAsia" w:ascii="宋体" w:hAnsi="宋体" w:cs="宋体"/>
          <w:bCs/>
          <w:szCs w:val="21"/>
        </w:rPr>
        <w:t>报价表须由法</w:t>
      </w:r>
      <w:r>
        <w:rPr>
          <w:rFonts w:hint="eastAsia" w:ascii="宋体" w:hAnsi="宋体" w:cs="宋体"/>
          <w:szCs w:val="21"/>
        </w:rPr>
        <w:t>定代表人、负责人、自然人或相应的委托代理人签字或个人CA签章（属自然人的应在签名处加盖大拇指指印或个人CA签章）并加盖供应商CA签章（自然人除外）。</w:t>
      </w:r>
    </w:p>
    <w:p w14:paraId="7B15394E">
      <w:pPr>
        <w:spacing w:line="400" w:lineRule="exact"/>
        <w:ind w:firstLine="420" w:firstLineChars="200"/>
        <w:rPr>
          <w:rFonts w:hint="eastAsia" w:ascii="宋体" w:hAnsi="宋体" w:cs="宋体"/>
          <w:bCs/>
          <w:szCs w:val="21"/>
        </w:rPr>
      </w:pPr>
      <w:r>
        <w:rPr>
          <w:rFonts w:hint="eastAsia" w:ascii="宋体" w:hAnsi="宋体" w:cs="宋体"/>
          <w:bCs/>
          <w:szCs w:val="21"/>
        </w:rPr>
        <w:t>4.如全部或部分产品属于《节能产品政府采购清单》或《环境标志产品政府采购清单》目录范围的，</w:t>
      </w:r>
      <w:r>
        <w:rPr>
          <w:rFonts w:hint="eastAsia" w:ascii="宋体" w:hAnsi="宋体" w:cs="宋体"/>
          <w:szCs w:val="21"/>
        </w:rPr>
        <w:t>供应商</w:t>
      </w:r>
      <w:r>
        <w:rPr>
          <w:rFonts w:hint="eastAsia" w:ascii="宋体" w:hAnsi="宋体" w:cs="宋体"/>
          <w:bCs/>
          <w:szCs w:val="21"/>
        </w:rPr>
        <w:t>应在本表备注栏内写明各分项货物属于节能（或环境标志）产品政府采购清单第几类第几项序号的产品，以便谈判小组作为优先采购或评审的依据。</w:t>
      </w:r>
    </w:p>
    <w:p w14:paraId="24750E61">
      <w:pPr>
        <w:spacing w:line="400" w:lineRule="exact"/>
        <w:ind w:firstLine="422" w:firstLineChars="200"/>
        <w:rPr>
          <w:b/>
          <w:bCs/>
          <w:szCs w:val="21"/>
        </w:rPr>
      </w:pPr>
      <w:r>
        <w:rPr>
          <w:b/>
          <w:bCs/>
        </w:rPr>
        <w:t>当本表由多页构成时，需逐页加盖供应商</w:t>
      </w:r>
      <w:r>
        <w:rPr>
          <w:rFonts w:hint="eastAsia"/>
          <w:b/>
          <w:bCs/>
        </w:rPr>
        <w:t>CA签章</w:t>
      </w:r>
      <w:r>
        <w:rPr>
          <w:b/>
          <w:bCs/>
        </w:rPr>
        <w:t>（属自然人的须逐页签字</w:t>
      </w:r>
      <w:r>
        <w:rPr>
          <w:rFonts w:hint="eastAsia"/>
          <w:b/>
          <w:bCs/>
        </w:rPr>
        <w:t>或加盖个人CA签章</w:t>
      </w:r>
      <w:r>
        <w:rPr>
          <w:b/>
          <w:bCs/>
        </w:rPr>
        <w:t>）。</w:t>
      </w:r>
    </w:p>
    <w:p w14:paraId="6C0198BC">
      <w:pPr>
        <w:spacing w:line="400" w:lineRule="exact"/>
        <w:ind w:firstLine="422" w:firstLineChars="200"/>
        <w:rPr>
          <w:b/>
          <w:bCs/>
        </w:rPr>
      </w:pPr>
    </w:p>
    <w:p w14:paraId="7CDA95A0">
      <w:pPr>
        <w:spacing w:line="400" w:lineRule="exact"/>
        <w:ind w:firstLine="422" w:firstLineChars="200"/>
        <w:rPr>
          <w:b/>
          <w:bCs/>
        </w:rPr>
      </w:pPr>
    </w:p>
    <w:p w14:paraId="15762FCA">
      <w:pPr>
        <w:spacing w:line="400" w:lineRule="exact"/>
        <w:ind w:firstLine="422" w:firstLineChars="200"/>
        <w:rPr>
          <w:b/>
          <w:bCs/>
        </w:rPr>
      </w:pPr>
    </w:p>
    <w:p w14:paraId="09A6C85E">
      <w:pPr>
        <w:spacing w:line="400" w:lineRule="exact"/>
        <w:ind w:firstLine="422" w:firstLineChars="200"/>
        <w:rPr>
          <w:b/>
          <w:bCs/>
        </w:rPr>
      </w:pPr>
    </w:p>
    <w:p w14:paraId="0D1D651C">
      <w:pPr>
        <w:pStyle w:val="13"/>
        <w:numPr>
          <w:ilvl w:val="0"/>
          <w:numId w:val="9"/>
        </w:numPr>
        <w:spacing w:line="340" w:lineRule="exact"/>
        <w:rPr>
          <w:rFonts w:hint="eastAsia"/>
          <w:b/>
          <w:sz w:val="28"/>
          <w:szCs w:val="28"/>
        </w:rPr>
      </w:pPr>
      <w:r>
        <w:rPr>
          <w:rFonts w:hint="eastAsia"/>
          <w:b/>
          <w:sz w:val="28"/>
          <w:szCs w:val="28"/>
        </w:rPr>
        <w:t>技术规格偏离表（必须提供）；</w:t>
      </w:r>
    </w:p>
    <w:p w14:paraId="6EF9299A">
      <w:pPr>
        <w:pStyle w:val="7"/>
        <w:rPr>
          <w:rFonts w:hint="eastAsia"/>
        </w:rPr>
      </w:pPr>
    </w:p>
    <w:p w14:paraId="7C4BF41E">
      <w:pPr>
        <w:pStyle w:val="13"/>
        <w:rPr>
          <w:rFonts w:hint="eastAsia" w:hAnsi="宋体"/>
          <w:b/>
          <w:bCs/>
          <w:sz w:val="32"/>
          <w:szCs w:val="32"/>
        </w:rPr>
      </w:pPr>
      <w:r>
        <w:rPr>
          <w:rFonts w:hint="eastAsia" w:hAnsi="宋体"/>
          <w:b/>
          <w:bCs/>
          <w:sz w:val="32"/>
          <w:szCs w:val="32"/>
        </w:rPr>
        <w:t>附件：</w:t>
      </w:r>
    </w:p>
    <w:p w14:paraId="112F08FC">
      <w:pPr>
        <w:pStyle w:val="13"/>
        <w:rPr>
          <w:rFonts w:hAnsi="宋体"/>
          <w:b/>
          <w:sz w:val="24"/>
          <w:szCs w:val="24"/>
        </w:rPr>
      </w:pPr>
      <w:r>
        <w:rPr>
          <w:rFonts w:hAnsi="宋体"/>
          <w:b/>
          <w:sz w:val="24"/>
          <w:szCs w:val="24"/>
        </w:rPr>
        <w:t xml:space="preserve">           </w:t>
      </w:r>
    </w:p>
    <w:p w14:paraId="532889C9">
      <w:pPr>
        <w:pStyle w:val="13"/>
        <w:ind w:firstLine="472" w:firstLineChars="147"/>
        <w:jc w:val="center"/>
        <w:rPr>
          <w:rFonts w:hint="eastAsia" w:hAnsi="宋体"/>
          <w:b/>
          <w:bCs/>
          <w:color w:val="auto"/>
          <w:sz w:val="32"/>
          <w:highlight w:val="none"/>
        </w:rPr>
      </w:pPr>
      <w:bookmarkStart w:id="994" w:name="_Toc29907_WPSOffice_Level1"/>
      <w:bookmarkStart w:id="995" w:name="_Toc8609_WPSOffice_Level1"/>
      <w:r>
        <w:rPr>
          <w:rFonts w:hint="eastAsia" w:hAnsi="宋体"/>
          <w:b/>
          <w:bCs/>
          <w:color w:val="auto"/>
          <w:sz w:val="32"/>
          <w:highlight w:val="none"/>
        </w:rPr>
        <w:t>技术规格偏离表（格式）</w:t>
      </w:r>
      <w:bookmarkEnd w:id="994"/>
      <w:bookmarkEnd w:id="995"/>
    </w:p>
    <w:p w14:paraId="318B149E">
      <w:pPr>
        <w:pStyle w:val="2"/>
        <w:rPr>
          <w:rFonts w:hint="eastAsia" w:ascii="宋体" w:hAnsi="宋体" w:cs="宋体"/>
          <w:b/>
          <w:bCs/>
          <w:color w:val="auto"/>
          <w:sz w:val="24"/>
          <w:szCs w:val="21"/>
          <w:highlight w:val="none"/>
          <w:lang w:eastAsia="zh-CN"/>
        </w:rPr>
      </w:pPr>
      <w:r>
        <w:rPr>
          <w:rFonts w:hint="eastAsia" w:ascii="宋体" w:hAnsi="宋体" w:cs="宋体"/>
          <w:b/>
          <w:bCs/>
          <w:color w:val="auto"/>
          <w:sz w:val="24"/>
          <w:szCs w:val="21"/>
          <w:highlight w:val="none"/>
          <w:lang w:eastAsia="zh-CN"/>
        </w:rPr>
        <w:t>项目编号：</w:t>
      </w:r>
    </w:p>
    <w:p w14:paraId="48BD4322">
      <w:pPr>
        <w:pStyle w:val="2"/>
        <w:rPr>
          <w:rFonts w:hint="eastAsia"/>
          <w:color w:val="auto"/>
          <w:sz w:val="18"/>
          <w:szCs w:val="21"/>
          <w:highlight w:val="none"/>
          <w:lang w:eastAsia="zh-CN"/>
        </w:rPr>
      </w:pPr>
      <w:r>
        <w:rPr>
          <w:rFonts w:hint="eastAsia" w:ascii="宋体" w:hAnsi="宋体" w:cs="宋体"/>
          <w:b/>
          <w:bCs/>
          <w:color w:val="auto"/>
          <w:sz w:val="24"/>
          <w:szCs w:val="21"/>
          <w:highlight w:val="none"/>
          <w:lang w:eastAsia="zh-CN"/>
        </w:rPr>
        <w:t>项目名称：</w:t>
      </w:r>
    </w:p>
    <w:p w14:paraId="37182C22">
      <w:pPr>
        <w:pStyle w:val="13"/>
        <w:rPr>
          <w:rFonts w:hAnsi="宋体"/>
          <w:b/>
          <w:color w:val="auto"/>
          <w:sz w:val="24"/>
          <w:szCs w:val="24"/>
          <w:highlight w:val="none"/>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51"/>
        <w:gridCol w:w="2909"/>
        <w:gridCol w:w="2139"/>
        <w:gridCol w:w="1761"/>
      </w:tblGrid>
      <w:tr w14:paraId="376A1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08" w:type="dxa"/>
            <w:vAlign w:val="center"/>
          </w:tcPr>
          <w:p w14:paraId="0ACF99F2">
            <w:pPr>
              <w:pStyle w:val="13"/>
              <w:spacing w:line="400" w:lineRule="exact"/>
              <w:jc w:val="center"/>
              <w:rPr>
                <w:rFonts w:hAnsi="宋体"/>
                <w:b/>
                <w:bCs/>
                <w:color w:val="auto"/>
                <w:kern w:val="2"/>
                <w:sz w:val="21"/>
                <w:szCs w:val="20"/>
                <w:highlight w:val="none"/>
              </w:rPr>
            </w:pPr>
            <w:r>
              <w:rPr>
                <w:rFonts w:hint="eastAsia" w:hAnsi="宋体"/>
                <w:b/>
                <w:bCs/>
                <w:color w:val="auto"/>
                <w:kern w:val="2"/>
                <w:sz w:val="21"/>
                <w:szCs w:val="20"/>
                <w:highlight w:val="none"/>
              </w:rPr>
              <w:t>项号</w:t>
            </w:r>
          </w:p>
        </w:tc>
        <w:tc>
          <w:tcPr>
            <w:tcW w:w="1651" w:type="dxa"/>
            <w:vAlign w:val="center"/>
          </w:tcPr>
          <w:p w14:paraId="046B520C">
            <w:pPr>
              <w:pStyle w:val="13"/>
              <w:spacing w:line="400" w:lineRule="exact"/>
              <w:jc w:val="center"/>
              <w:rPr>
                <w:rFonts w:hAnsi="宋体"/>
                <w:b/>
                <w:bCs/>
                <w:color w:val="auto"/>
                <w:kern w:val="2"/>
                <w:sz w:val="21"/>
                <w:szCs w:val="20"/>
                <w:highlight w:val="none"/>
              </w:rPr>
            </w:pPr>
            <w:r>
              <w:rPr>
                <w:rFonts w:hint="eastAsia" w:hAnsi="宋体"/>
                <w:b/>
                <w:bCs/>
                <w:color w:val="auto"/>
                <w:kern w:val="2"/>
                <w:sz w:val="21"/>
                <w:szCs w:val="20"/>
                <w:highlight w:val="none"/>
              </w:rPr>
              <w:t>标的名称</w:t>
            </w:r>
          </w:p>
        </w:tc>
        <w:tc>
          <w:tcPr>
            <w:tcW w:w="2909" w:type="dxa"/>
            <w:vAlign w:val="center"/>
          </w:tcPr>
          <w:p w14:paraId="3847224A">
            <w:pPr>
              <w:pStyle w:val="13"/>
              <w:spacing w:line="300" w:lineRule="exact"/>
              <w:jc w:val="center"/>
              <w:rPr>
                <w:rFonts w:hAnsi="宋体"/>
                <w:b/>
                <w:bCs/>
                <w:color w:val="auto"/>
                <w:kern w:val="2"/>
                <w:sz w:val="21"/>
                <w:szCs w:val="20"/>
                <w:highlight w:val="none"/>
              </w:rPr>
            </w:pPr>
            <w:r>
              <w:rPr>
                <w:rFonts w:hint="eastAsia" w:hAnsi="宋体"/>
                <w:b/>
                <w:bCs/>
                <w:color w:val="auto"/>
                <w:kern w:val="2"/>
                <w:sz w:val="21"/>
                <w:highlight w:val="none"/>
              </w:rPr>
              <w:t>项目要求及技术需求</w:t>
            </w:r>
          </w:p>
        </w:tc>
        <w:tc>
          <w:tcPr>
            <w:tcW w:w="2139" w:type="dxa"/>
            <w:vAlign w:val="center"/>
          </w:tcPr>
          <w:p w14:paraId="12F074BA">
            <w:pPr>
              <w:pStyle w:val="13"/>
              <w:spacing w:line="300" w:lineRule="exact"/>
              <w:jc w:val="center"/>
              <w:rPr>
                <w:rFonts w:hAnsi="宋体"/>
                <w:b/>
                <w:bCs/>
                <w:color w:val="auto"/>
                <w:kern w:val="2"/>
                <w:sz w:val="21"/>
                <w:szCs w:val="20"/>
                <w:highlight w:val="none"/>
              </w:rPr>
            </w:pPr>
            <w:r>
              <w:rPr>
                <w:rFonts w:hint="eastAsia" w:hAnsi="宋体"/>
                <w:b/>
                <w:bCs/>
                <w:color w:val="auto"/>
                <w:kern w:val="2"/>
                <w:sz w:val="21"/>
                <w:highlight w:val="none"/>
              </w:rPr>
              <w:t>响应文件的响应情况</w:t>
            </w:r>
          </w:p>
        </w:tc>
        <w:tc>
          <w:tcPr>
            <w:tcW w:w="1761" w:type="dxa"/>
            <w:vAlign w:val="center"/>
          </w:tcPr>
          <w:p w14:paraId="320DE346">
            <w:pPr>
              <w:pStyle w:val="13"/>
              <w:spacing w:line="400" w:lineRule="exact"/>
              <w:jc w:val="center"/>
              <w:rPr>
                <w:rFonts w:hAnsi="宋体"/>
                <w:b/>
                <w:bCs/>
                <w:color w:val="auto"/>
                <w:kern w:val="2"/>
                <w:sz w:val="21"/>
                <w:szCs w:val="20"/>
                <w:highlight w:val="none"/>
              </w:rPr>
            </w:pPr>
            <w:bookmarkStart w:id="996" w:name="_Toc254970701"/>
            <w:bookmarkStart w:id="997" w:name="_Toc254970560"/>
            <w:r>
              <w:rPr>
                <w:rFonts w:hint="eastAsia" w:hAnsi="宋体"/>
                <w:b/>
                <w:bCs/>
                <w:color w:val="auto"/>
                <w:kern w:val="2"/>
                <w:sz w:val="21"/>
                <w:szCs w:val="20"/>
                <w:highlight w:val="none"/>
              </w:rPr>
              <w:t>偏离情况</w:t>
            </w:r>
            <w:bookmarkEnd w:id="996"/>
            <w:bookmarkEnd w:id="997"/>
            <w:r>
              <w:rPr>
                <w:rFonts w:hint="eastAsia" w:hAnsi="宋体"/>
                <w:b/>
                <w:bCs/>
                <w:color w:val="auto"/>
                <w:kern w:val="2"/>
                <w:sz w:val="21"/>
                <w:szCs w:val="20"/>
                <w:highlight w:val="none"/>
              </w:rPr>
              <w:t>说明</w:t>
            </w:r>
          </w:p>
        </w:tc>
      </w:tr>
      <w:tr w14:paraId="2962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10257052">
            <w:pPr>
              <w:jc w:val="center"/>
              <w:rPr>
                <w:rFonts w:ascii="宋体" w:hAnsi="宋体" w:cs="宋体"/>
                <w:color w:val="auto"/>
                <w:szCs w:val="21"/>
                <w:highlight w:val="none"/>
              </w:rPr>
            </w:pPr>
            <w:r>
              <w:rPr>
                <w:rFonts w:ascii="宋体" w:hAnsi="宋体" w:cs="宋体"/>
                <w:color w:val="auto"/>
                <w:szCs w:val="21"/>
                <w:highlight w:val="none"/>
              </w:rPr>
              <w:t>1</w:t>
            </w:r>
          </w:p>
        </w:tc>
        <w:tc>
          <w:tcPr>
            <w:tcW w:w="1651" w:type="dxa"/>
            <w:vAlign w:val="center"/>
          </w:tcPr>
          <w:p w14:paraId="4412AA93">
            <w:pPr>
              <w:jc w:val="center"/>
              <w:rPr>
                <w:rFonts w:ascii="宋体" w:hAnsi="宋体" w:cs="宋体"/>
                <w:color w:val="auto"/>
                <w:szCs w:val="21"/>
                <w:highlight w:val="none"/>
              </w:rPr>
            </w:pPr>
          </w:p>
        </w:tc>
        <w:tc>
          <w:tcPr>
            <w:tcW w:w="2909" w:type="dxa"/>
            <w:vAlign w:val="center"/>
          </w:tcPr>
          <w:p w14:paraId="695B44AB">
            <w:pPr>
              <w:pStyle w:val="13"/>
              <w:spacing w:line="600" w:lineRule="exact"/>
              <w:jc w:val="center"/>
              <w:rPr>
                <w:rFonts w:hAnsi="宋体"/>
                <w:color w:val="auto"/>
                <w:kern w:val="2"/>
                <w:sz w:val="21"/>
                <w:szCs w:val="20"/>
                <w:highlight w:val="none"/>
              </w:rPr>
            </w:pPr>
          </w:p>
        </w:tc>
        <w:tc>
          <w:tcPr>
            <w:tcW w:w="2139" w:type="dxa"/>
            <w:vAlign w:val="top"/>
          </w:tcPr>
          <w:p w14:paraId="11849A49">
            <w:pPr>
              <w:pStyle w:val="13"/>
              <w:spacing w:line="600" w:lineRule="exact"/>
              <w:jc w:val="center"/>
              <w:rPr>
                <w:rFonts w:hAnsi="宋体"/>
                <w:color w:val="auto"/>
                <w:kern w:val="2"/>
                <w:sz w:val="21"/>
                <w:szCs w:val="20"/>
                <w:highlight w:val="none"/>
              </w:rPr>
            </w:pPr>
          </w:p>
        </w:tc>
        <w:tc>
          <w:tcPr>
            <w:tcW w:w="1761" w:type="dxa"/>
            <w:vAlign w:val="center"/>
          </w:tcPr>
          <w:p w14:paraId="39E2970B">
            <w:pPr>
              <w:pStyle w:val="13"/>
              <w:spacing w:line="600" w:lineRule="exact"/>
              <w:jc w:val="center"/>
              <w:rPr>
                <w:rFonts w:hAnsi="宋体"/>
                <w:color w:val="auto"/>
                <w:kern w:val="2"/>
                <w:sz w:val="21"/>
                <w:szCs w:val="20"/>
                <w:highlight w:val="none"/>
              </w:rPr>
            </w:pPr>
          </w:p>
        </w:tc>
      </w:tr>
      <w:tr w14:paraId="3AE3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0ACFB666">
            <w:pPr>
              <w:jc w:val="center"/>
              <w:rPr>
                <w:rFonts w:ascii="宋体" w:hAnsi="宋体" w:cs="宋体"/>
                <w:color w:val="auto"/>
                <w:szCs w:val="21"/>
                <w:highlight w:val="none"/>
              </w:rPr>
            </w:pPr>
            <w:r>
              <w:rPr>
                <w:rFonts w:ascii="宋体" w:hAnsi="宋体" w:cs="宋体"/>
                <w:color w:val="auto"/>
                <w:szCs w:val="21"/>
                <w:highlight w:val="none"/>
              </w:rPr>
              <w:t>2</w:t>
            </w:r>
          </w:p>
        </w:tc>
        <w:tc>
          <w:tcPr>
            <w:tcW w:w="1651" w:type="dxa"/>
            <w:vAlign w:val="center"/>
          </w:tcPr>
          <w:p w14:paraId="3B3FD7AD">
            <w:pPr>
              <w:jc w:val="center"/>
              <w:rPr>
                <w:rFonts w:ascii="宋体" w:hAnsi="宋体" w:cs="宋体"/>
                <w:color w:val="auto"/>
                <w:szCs w:val="21"/>
                <w:highlight w:val="none"/>
              </w:rPr>
            </w:pPr>
          </w:p>
        </w:tc>
        <w:tc>
          <w:tcPr>
            <w:tcW w:w="2909" w:type="dxa"/>
            <w:vAlign w:val="top"/>
          </w:tcPr>
          <w:p w14:paraId="6BE42880">
            <w:pPr>
              <w:pStyle w:val="13"/>
              <w:spacing w:line="600" w:lineRule="exact"/>
              <w:rPr>
                <w:rFonts w:hAnsi="宋体"/>
                <w:color w:val="auto"/>
                <w:kern w:val="2"/>
                <w:sz w:val="21"/>
                <w:szCs w:val="20"/>
                <w:highlight w:val="none"/>
              </w:rPr>
            </w:pPr>
          </w:p>
        </w:tc>
        <w:tc>
          <w:tcPr>
            <w:tcW w:w="2139" w:type="dxa"/>
            <w:vAlign w:val="top"/>
          </w:tcPr>
          <w:p w14:paraId="7E023AF9">
            <w:pPr>
              <w:pStyle w:val="13"/>
              <w:spacing w:line="600" w:lineRule="exact"/>
              <w:rPr>
                <w:rFonts w:hAnsi="宋体"/>
                <w:color w:val="auto"/>
                <w:kern w:val="2"/>
                <w:sz w:val="21"/>
                <w:szCs w:val="20"/>
                <w:highlight w:val="none"/>
              </w:rPr>
            </w:pPr>
          </w:p>
        </w:tc>
        <w:tc>
          <w:tcPr>
            <w:tcW w:w="1761" w:type="dxa"/>
            <w:vAlign w:val="top"/>
          </w:tcPr>
          <w:p w14:paraId="723513E4">
            <w:pPr>
              <w:pStyle w:val="13"/>
              <w:spacing w:line="600" w:lineRule="exact"/>
              <w:rPr>
                <w:rFonts w:hAnsi="宋体"/>
                <w:color w:val="auto"/>
                <w:kern w:val="2"/>
                <w:sz w:val="21"/>
                <w:szCs w:val="20"/>
                <w:highlight w:val="none"/>
              </w:rPr>
            </w:pPr>
          </w:p>
        </w:tc>
      </w:tr>
      <w:tr w14:paraId="03E21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71178CA8">
            <w:pPr>
              <w:jc w:val="center"/>
              <w:rPr>
                <w:rFonts w:ascii="宋体" w:hAnsi="宋体" w:cs="宋体"/>
                <w:color w:val="auto"/>
                <w:szCs w:val="21"/>
                <w:highlight w:val="none"/>
              </w:rPr>
            </w:pPr>
            <w:r>
              <w:rPr>
                <w:rFonts w:ascii="宋体" w:hAnsi="宋体" w:cs="宋体"/>
                <w:color w:val="auto"/>
                <w:szCs w:val="21"/>
                <w:highlight w:val="none"/>
              </w:rPr>
              <w:t>3</w:t>
            </w:r>
          </w:p>
        </w:tc>
        <w:tc>
          <w:tcPr>
            <w:tcW w:w="1651" w:type="dxa"/>
            <w:vAlign w:val="center"/>
          </w:tcPr>
          <w:p w14:paraId="66407A0B">
            <w:pPr>
              <w:jc w:val="center"/>
              <w:rPr>
                <w:rFonts w:ascii="宋体" w:hAnsi="宋体" w:cs="宋体"/>
                <w:color w:val="auto"/>
                <w:szCs w:val="21"/>
                <w:highlight w:val="none"/>
              </w:rPr>
            </w:pPr>
          </w:p>
        </w:tc>
        <w:tc>
          <w:tcPr>
            <w:tcW w:w="2909" w:type="dxa"/>
            <w:vAlign w:val="top"/>
          </w:tcPr>
          <w:p w14:paraId="69E76F05">
            <w:pPr>
              <w:pStyle w:val="13"/>
              <w:spacing w:line="600" w:lineRule="exact"/>
              <w:rPr>
                <w:rFonts w:hAnsi="宋体"/>
                <w:color w:val="auto"/>
                <w:kern w:val="2"/>
                <w:sz w:val="21"/>
                <w:szCs w:val="20"/>
                <w:highlight w:val="none"/>
              </w:rPr>
            </w:pPr>
          </w:p>
        </w:tc>
        <w:tc>
          <w:tcPr>
            <w:tcW w:w="2139" w:type="dxa"/>
            <w:vAlign w:val="top"/>
          </w:tcPr>
          <w:p w14:paraId="17ECE48A">
            <w:pPr>
              <w:pStyle w:val="13"/>
              <w:spacing w:line="600" w:lineRule="exact"/>
              <w:rPr>
                <w:rFonts w:hAnsi="宋体"/>
                <w:color w:val="auto"/>
                <w:kern w:val="2"/>
                <w:sz w:val="21"/>
                <w:szCs w:val="20"/>
                <w:highlight w:val="none"/>
              </w:rPr>
            </w:pPr>
          </w:p>
        </w:tc>
        <w:tc>
          <w:tcPr>
            <w:tcW w:w="1761" w:type="dxa"/>
            <w:vAlign w:val="top"/>
          </w:tcPr>
          <w:p w14:paraId="1F2A9E6B">
            <w:pPr>
              <w:pStyle w:val="13"/>
              <w:spacing w:line="600" w:lineRule="exact"/>
              <w:rPr>
                <w:rFonts w:hAnsi="宋体"/>
                <w:color w:val="auto"/>
                <w:kern w:val="2"/>
                <w:sz w:val="21"/>
                <w:szCs w:val="20"/>
                <w:highlight w:val="none"/>
              </w:rPr>
            </w:pPr>
          </w:p>
        </w:tc>
      </w:tr>
      <w:tr w14:paraId="0469D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2EB2610A">
            <w:pPr>
              <w:jc w:val="center"/>
              <w:rPr>
                <w:rFonts w:ascii="宋体" w:cs="宋体"/>
                <w:color w:val="auto"/>
                <w:szCs w:val="21"/>
                <w:highlight w:val="none"/>
              </w:rPr>
            </w:pPr>
            <w:r>
              <w:rPr>
                <w:rFonts w:hint="eastAsia" w:ascii="宋体" w:hAnsi="宋体" w:cs="宋体"/>
                <w:color w:val="auto"/>
                <w:szCs w:val="21"/>
                <w:highlight w:val="none"/>
              </w:rPr>
              <w:t>……</w:t>
            </w:r>
          </w:p>
        </w:tc>
        <w:tc>
          <w:tcPr>
            <w:tcW w:w="1651" w:type="dxa"/>
            <w:vAlign w:val="center"/>
          </w:tcPr>
          <w:p w14:paraId="2C1282C3">
            <w:pPr>
              <w:jc w:val="center"/>
              <w:rPr>
                <w:rFonts w:ascii="宋体" w:cs="宋体"/>
                <w:color w:val="auto"/>
                <w:szCs w:val="21"/>
                <w:highlight w:val="none"/>
              </w:rPr>
            </w:pPr>
          </w:p>
        </w:tc>
        <w:tc>
          <w:tcPr>
            <w:tcW w:w="2909" w:type="dxa"/>
            <w:vAlign w:val="top"/>
          </w:tcPr>
          <w:p w14:paraId="7B31DE21">
            <w:pPr>
              <w:pStyle w:val="13"/>
              <w:spacing w:line="600" w:lineRule="exact"/>
              <w:rPr>
                <w:rFonts w:hAnsi="宋体"/>
                <w:color w:val="auto"/>
                <w:kern w:val="2"/>
                <w:sz w:val="21"/>
                <w:szCs w:val="20"/>
                <w:highlight w:val="none"/>
              </w:rPr>
            </w:pPr>
          </w:p>
        </w:tc>
        <w:tc>
          <w:tcPr>
            <w:tcW w:w="2139" w:type="dxa"/>
            <w:vAlign w:val="top"/>
          </w:tcPr>
          <w:p w14:paraId="624026B8">
            <w:pPr>
              <w:pStyle w:val="13"/>
              <w:spacing w:line="600" w:lineRule="exact"/>
              <w:rPr>
                <w:rFonts w:hAnsi="宋体"/>
                <w:color w:val="auto"/>
                <w:kern w:val="2"/>
                <w:sz w:val="21"/>
                <w:szCs w:val="20"/>
                <w:highlight w:val="none"/>
              </w:rPr>
            </w:pPr>
          </w:p>
        </w:tc>
        <w:tc>
          <w:tcPr>
            <w:tcW w:w="1761" w:type="dxa"/>
            <w:vAlign w:val="top"/>
          </w:tcPr>
          <w:p w14:paraId="60415303">
            <w:pPr>
              <w:pStyle w:val="13"/>
              <w:spacing w:line="600" w:lineRule="exact"/>
              <w:rPr>
                <w:rFonts w:hAnsi="宋体"/>
                <w:color w:val="auto"/>
                <w:kern w:val="2"/>
                <w:sz w:val="21"/>
                <w:szCs w:val="20"/>
                <w:highlight w:val="none"/>
              </w:rPr>
            </w:pPr>
          </w:p>
        </w:tc>
      </w:tr>
      <w:tr w14:paraId="3EAF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14:paraId="6021BCF2">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651" w:type="dxa"/>
            <w:vAlign w:val="center"/>
          </w:tcPr>
          <w:p w14:paraId="0B82E05C">
            <w:pPr>
              <w:jc w:val="center"/>
              <w:rPr>
                <w:rFonts w:ascii="宋体" w:hAnsi="宋体" w:cs="宋体"/>
                <w:color w:val="auto"/>
                <w:szCs w:val="21"/>
                <w:highlight w:val="none"/>
              </w:rPr>
            </w:pPr>
          </w:p>
        </w:tc>
        <w:tc>
          <w:tcPr>
            <w:tcW w:w="2909" w:type="dxa"/>
            <w:vAlign w:val="top"/>
          </w:tcPr>
          <w:p w14:paraId="0175457A">
            <w:pPr>
              <w:pStyle w:val="13"/>
              <w:spacing w:line="600" w:lineRule="exact"/>
              <w:rPr>
                <w:rFonts w:hAnsi="宋体"/>
                <w:color w:val="auto"/>
                <w:kern w:val="2"/>
                <w:sz w:val="21"/>
                <w:szCs w:val="20"/>
                <w:highlight w:val="none"/>
              </w:rPr>
            </w:pPr>
          </w:p>
        </w:tc>
        <w:tc>
          <w:tcPr>
            <w:tcW w:w="2139" w:type="dxa"/>
            <w:vAlign w:val="top"/>
          </w:tcPr>
          <w:p w14:paraId="0921B5D1">
            <w:pPr>
              <w:pStyle w:val="13"/>
              <w:spacing w:line="600" w:lineRule="exact"/>
              <w:rPr>
                <w:rFonts w:hAnsi="宋体"/>
                <w:color w:val="auto"/>
                <w:kern w:val="2"/>
                <w:sz w:val="21"/>
                <w:szCs w:val="20"/>
                <w:highlight w:val="none"/>
              </w:rPr>
            </w:pPr>
          </w:p>
        </w:tc>
        <w:tc>
          <w:tcPr>
            <w:tcW w:w="1761" w:type="dxa"/>
            <w:vAlign w:val="top"/>
          </w:tcPr>
          <w:p w14:paraId="5CE6DA8D">
            <w:pPr>
              <w:pStyle w:val="13"/>
              <w:spacing w:line="600" w:lineRule="exact"/>
              <w:rPr>
                <w:rFonts w:hAnsi="宋体"/>
                <w:color w:val="auto"/>
                <w:kern w:val="2"/>
                <w:sz w:val="21"/>
                <w:szCs w:val="20"/>
                <w:highlight w:val="none"/>
              </w:rPr>
            </w:pPr>
          </w:p>
        </w:tc>
      </w:tr>
    </w:tbl>
    <w:p w14:paraId="266A8A28">
      <w:pPr>
        <w:pStyle w:val="13"/>
        <w:rPr>
          <w:rFonts w:hAnsi="宋体"/>
          <w:color w:val="auto"/>
          <w:highlight w:val="none"/>
          <w:u w:val="single"/>
        </w:rPr>
      </w:pPr>
    </w:p>
    <w:p w14:paraId="2EFCB3AC">
      <w:pPr>
        <w:snapToGrid w:val="0"/>
        <w:spacing w:line="400" w:lineRule="exact"/>
        <w:ind w:firstLine="1890" w:firstLineChars="900"/>
        <w:rPr>
          <w:rFonts w:hint="eastAsia" w:ascii="宋体" w:hAnsi="宋体" w:cs="宋体"/>
          <w:color w:val="auto"/>
          <w:szCs w:val="21"/>
          <w:highlight w:val="none"/>
          <w:u w:val="single"/>
        </w:rPr>
      </w:pPr>
      <w:r>
        <w:rPr>
          <w:rFonts w:hint="eastAsia" w:ascii="宋体" w:hAnsi="宋体" w:cs="宋体"/>
          <w:color w:val="auto"/>
          <w:szCs w:val="21"/>
          <w:highlight w:val="none"/>
        </w:rPr>
        <w:t>供应商[公章(CA签章)，自然人签字或个人CA签章]：</w:t>
      </w:r>
      <w:r>
        <w:rPr>
          <w:rFonts w:hint="eastAsia" w:ascii="宋体" w:hAnsi="宋体" w:cs="宋体"/>
          <w:color w:val="auto"/>
          <w:szCs w:val="21"/>
          <w:highlight w:val="none"/>
          <w:u w:val="single"/>
        </w:rPr>
        <w:t xml:space="preserve">                                </w:t>
      </w:r>
    </w:p>
    <w:p w14:paraId="58650C1D">
      <w:pPr>
        <w:spacing w:line="340" w:lineRule="exact"/>
        <w:rPr>
          <w:color w:val="auto"/>
          <w:highlight w:val="none"/>
        </w:rPr>
      </w:pPr>
    </w:p>
    <w:p w14:paraId="5ED7F391">
      <w:pPr>
        <w:snapToGrid w:val="0"/>
        <w:spacing w:line="400" w:lineRule="exact"/>
        <w:ind w:firstLine="1680" w:firstLineChars="800"/>
        <w:rPr>
          <w:rFonts w:hint="eastAsia" w:ascii="宋体" w:hAnsi="宋体" w:cs="宋体"/>
          <w:color w:val="auto"/>
          <w:highlight w:val="none"/>
        </w:rPr>
      </w:pPr>
    </w:p>
    <w:p w14:paraId="3AB4EBA2">
      <w:pPr>
        <w:snapToGrid w:val="0"/>
        <w:spacing w:line="400" w:lineRule="exact"/>
        <w:ind w:firstLine="5040" w:firstLineChars="2400"/>
        <w:rPr>
          <w:rFonts w:ascii="宋体" w:hAnsi="宋体" w:cs="宋体"/>
          <w:color w:val="auto"/>
          <w:highlight w:val="none"/>
        </w:rPr>
      </w:pPr>
      <w:r>
        <w:rPr>
          <w:rFonts w:hint="eastAsia" w:ascii="宋体" w:hAnsi="宋体" w:cs="宋体"/>
          <w:color w:val="auto"/>
          <w:highlight w:val="none"/>
        </w:rPr>
        <w:t xml:space="preserve"> 日          期：</w:t>
      </w:r>
      <w:r>
        <w:rPr>
          <w:rFonts w:hint="eastAsia" w:ascii="宋体" w:hAnsi="宋体" w:cs="宋体"/>
          <w:color w:val="auto"/>
          <w:highlight w:val="none"/>
          <w:u w:val="single"/>
        </w:rPr>
        <w:t xml:space="preserve">                                                   </w:t>
      </w:r>
    </w:p>
    <w:p w14:paraId="4802BF61">
      <w:pPr>
        <w:pStyle w:val="13"/>
        <w:ind w:firstLine="4000" w:firstLineChars="2000"/>
        <w:rPr>
          <w:rFonts w:hAnsi="宋体"/>
          <w:color w:val="auto"/>
          <w:highlight w:val="none"/>
          <w:u w:val="single"/>
        </w:rPr>
      </w:pPr>
    </w:p>
    <w:p w14:paraId="3FCC8B9E">
      <w:pPr>
        <w:pStyle w:val="13"/>
        <w:spacing w:line="360" w:lineRule="exact"/>
        <w:rPr>
          <w:rFonts w:hAnsi="宋体"/>
          <w:bCs/>
          <w:color w:val="auto"/>
          <w:highlight w:val="none"/>
        </w:rPr>
      </w:pPr>
    </w:p>
    <w:p w14:paraId="1D4222CD">
      <w:pPr>
        <w:pStyle w:val="13"/>
        <w:spacing w:line="360" w:lineRule="exact"/>
        <w:rPr>
          <w:rFonts w:hAnsi="宋体"/>
          <w:bCs/>
          <w:color w:val="auto"/>
          <w:highlight w:val="none"/>
        </w:rPr>
      </w:pPr>
    </w:p>
    <w:p w14:paraId="3E897E1A">
      <w:pPr>
        <w:pStyle w:val="13"/>
        <w:spacing w:line="360" w:lineRule="exact"/>
        <w:rPr>
          <w:rFonts w:hint="eastAsia" w:hAnsi="宋体" w:cs="宋体"/>
          <w:b/>
          <w:bCs w:val="0"/>
          <w:color w:val="auto"/>
          <w:sz w:val="24"/>
          <w:szCs w:val="28"/>
          <w:highlight w:val="none"/>
        </w:rPr>
      </w:pPr>
      <w:r>
        <w:rPr>
          <w:rFonts w:hint="eastAsia" w:hAnsi="宋体" w:cs="宋体"/>
          <w:b/>
          <w:bCs w:val="0"/>
          <w:color w:val="auto"/>
          <w:sz w:val="24"/>
          <w:szCs w:val="28"/>
          <w:highlight w:val="none"/>
        </w:rPr>
        <w:t>注：</w:t>
      </w:r>
    </w:p>
    <w:p w14:paraId="79751577">
      <w:pPr>
        <w:numPr>
          <w:ilvl w:val="0"/>
          <w:numId w:val="0"/>
        </w:numPr>
        <w:spacing w:line="480" w:lineRule="exact"/>
        <w:ind w:left="0" w:leftChars="0" w:firstLine="420" w:firstLineChars="200"/>
        <w:rPr>
          <w:rFonts w:hint="eastAsia" w:ascii="宋体" w:hAnsi="宋体" w:cs="宋体"/>
          <w:b/>
          <w:bCs w:val="0"/>
          <w:color w:val="auto"/>
          <w:sz w:val="21"/>
          <w:szCs w:val="21"/>
          <w:highlight w:val="none"/>
          <w:lang w:val="en-US" w:eastAsia="zh-CN"/>
        </w:rPr>
      </w:pPr>
      <w:r>
        <w:rPr>
          <w:rFonts w:hint="eastAsia" w:hAnsi="宋体" w:cs="宋体"/>
          <w:color w:val="auto"/>
          <w:highlight w:val="none"/>
        </w:rPr>
        <w:t xml:space="preserve"> </w:t>
      </w:r>
      <w:r>
        <w:rPr>
          <w:rFonts w:hint="eastAsia" w:ascii="宋体" w:hAnsi="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lang w:val="en-US" w:eastAsia="zh-CN"/>
        </w:rPr>
        <w:t>供应商</w:t>
      </w:r>
      <w:r>
        <w:rPr>
          <w:rFonts w:hint="eastAsia" w:ascii="宋体" w:hAnsi="宋体" w:eastAsia="宋体" w:cs="宋体"/>
          <w:b/>
          <w:bCs w:val="0"/>
          <w:color w:val="auto"/>
          <w:sz w:val="21"/>
          <w:szCs w:val="21"/>
          <w:highlight w:val="none"/>
        </w:rPr>
        <w:t>应对照</w:t>
      </w:r>
      <w:r>
        <w:rPr>
          <w:rFonts w:hint="eastAsia" w:ascii="宋体" w:hAnsi="宋体" w:eastAsia="宋体" w:cs="宋体"/>
          <w:b/>
          <w:bCs w:val="0"/>
          <w:color w:val="auto"/>
          <w:sz w:val="21"/>
          <w:szCs w:val="21"/>
          <w:highlight w:val="none"/>
          <w:lang w:eastAsia="zh-CN"/>
        </w:rPr>
        <w:t>竞争性</w:t>
      </w:r>
      <w:r>
        <w:rPr>
          <w:rFonts w:hint="eastAsia" w:ascii="宋体" w:hAnsi="宋体" w:cs="宋体"/>
          <w:b/>
          <w:bCs w:val="0"/>
          <w:color w:val="auto"/>
          <w:sz w:val="21"/>
          <w:szCs w:val="21"/>
          <w:highlight w:val="none"/>
          <w:lang w:eastAsia="zh-CN"/>
        </w:rPr>
        <w:t>谈判</w:t>
      </w:r>
      <w:r>
        <w:rPr>
          <w:rFonts w:hint="eastAsia" w:ascii="宋体" w:hAnsi="宋体" w:eastAsia="宋体" w:cs="宋体"/>
          <w:b/>
          <w:bCs w:val="0"/>
          <w:color w:val="auto"/>
          <w:sz w:val="21"/>
          <w:szCs w:val="21"/>
          <w:highlight w:val="none"/>
          <w:lang w:eastAsia="zh-CN"/>
        </w:rPr>
        <w:t>文件</w:t>
      </w:r>
      <w:r>
        <w:rPr>
          <w:rFonts w:hint="eastAsia" w:ascii="宋体" w:hAnsi="宋体" w:cs="宋体"/>
          <w:b/>
          <w:bCs w:val="0"/>
          <w:color w:val="auto"/>
          <w:sz w:val="21"/>
          <w:szCs w:val="21"/>
          <w:highlight w:val="none"/>
        </w:rPr>
        <w:t>中</w:t>
      </w:r>
      <w:r>
        <w:rPr>
          <w:rFonts w:hint="eastAsia" w:ascii="宋体" w:hAnsi="宋体" w:cs="宋体"/>
          <w:b/>
          <w:bCs w:val="0"/>
          <w:color w:val="auto"/>
          <w:sz w:val="21"/>
          <w:szCs w:val="21"/>
          <w:highlight w:val="none"/>
          <w:lang w:eastAsia="zh-CN"/>
        </w:rPr>
        <w:t>“</w:t>
      </w:r>
      <w:r>
        <w:rPr>
          <w:rFonts w:hint="eastAsia" w:ascii="宋体" w:hAnsi="宋体" w:cs="宋体"/>
          <w:b/>
          <w:bCs w:val="0"/>
          <w:color w:val="auto"/>
          <w:sz w:val="21"/>
          <w:szCs w:val="21"/>
          <w:highlight w:val="none"/>
        </w:rPr>
        <w:t>第三章</w:t>
      </w:r>
      <w:r>
        <w:rPr>
          <w:rFonts w:hint="eastAsia" w:ascii="宋体" w:hAnsi="宋体" w:cs="宋体"/>
          <w:b/>
          <w:bCs w:val="0"/>
          <w:color w:val="auto"/>
          <w:sz w:val="21"/>
          <w:szCs w:val="21"/>
          <w:highlight w:val="none"/>
          <w:lang w:val="en-US" w:eastAsia="zh-CN"/>
        </w:rPr>
        <w:t xml:space="preserve"> </w:t>
      </w:r>
      <w:r>
        <w:rPr>
          <w:rFonts w:hint="eastAsia" w:ascii="宋体" w:hAnsi="宋体" w:cs="宋体"/>
          <w:b/>
          <w:bCs w:val="0"/>
          <w:color w:val="auto"/>
          <w:sz w:val="21"/>
          <w:szCs w:val="21"/>
          <w:highlight w:val="none"/>
        </w:rPr>
        <w:t>采购需求</w:t>
      </w:r>
      <w:r>
        <w:rPr>
          <w:rFonts w:hint="eastAsia" w:ascii="宋体" w:hAnsi="宋体" w:cs="宋体"/>
          <w:b/>
          <w:bCs w:val="0"/>
          <w:color w:val="auto"/>
          <w:sz w:val="21"/>
          <w:szCs w:val="21"/>
          <w:highlight w:val="none"/>
          <w:lang w:eastAsia="zh-CN"/>
        </w:rPr>
        <w:t>”中</w:t>
      </w:r>
      <w:r>
        <w:rPr>
          <w:rFonts w:hint="eastAsia" w:ascii="宋体" w:hAnsi="宋体" w:cs="宋体"/>
          <w:b/>
          <w:bCs w:val="0"/>
          <w:color w:val="auto"/>
          <w:sz w:val="21"/>
          <w:szCs w:val="21"/>
          <w:highlight w:val="none"/>
          <w:lang w:val="en-US" w:eastAsia="zh-CN"/>
        </w:rPr>
        <w:t>技术规格需求</w:t>
      </w:r>
      <w:r>
        <w:rPr>
          <w:rFonts w:hint="eastAsia" w:ascii="宋体" w:hAnsi="宋体" w:cs="宋体"/>
          <w:b/>
          <w:bCs w:val="0"/>
          <w:color w:val="auto"/>
          <w:sz w:val="21"/>
          <w:szCs w:val="21"/>
          <w:highlight w:val="none"/>
        </w:rPr>
        <w:t>的内容逐条响应，并在“偏离情况说明”栏注明“正偏离”、“负偏离”或“无偏离”。</w:t>
      </w:r>
      <w:r>
        <w:rPr>
          <w:rFonts w:hint="eastAsia" w:ascii="宋体" w:hAnsi="宋体" w:cs="宋体"/>
          <w:b/>
          <w:bCs w:val="0"/>
          <w:color w:val="auto"/>
          <w:sz w:val="21"/>
          <w:szCs w:val="21"/>
          <w:highlight w:val="none"/>
          <w:lang w:eastAsia="zh-CN"/>
        </w:rPr>
        <w:t>否则，</w:t>
      </w:r>
      <w:r>
        <w:rPr>
          <w:rFonts w:hint="eastAsia" w:ascii="宋体" w:hAnsi="宋体" w:eastAsia="宋体" w:cs="宋体"/>
          <w:b/>
          <w:bCs w:val="0"/>
          <w:color w:val="auto"/>
          <w:sz w:val="21"/>
          <w:szCs w:val="21"/>
          <w:highlight w:val="none"/>
          <w:lang w:eastAsia="zh-CN"/>
        </w:rPr>
        <w:t>响应</w:t>
      </w:r>
      <w:r>
        <w:rPr>
          <w:rFonts w:hint="eastAsia" w:ascii="宋体" w:hAnsi="宋体" w:cs="宋体"/>
          <w:b/>
          <w:bCs w:val="0"/>
          <w:color w:val="auto"/>
          <w:sz w:val="21"/>
          <w:szCs w:val="21"/>
          <w:highlight w:val="none"/>
          <w:lang w:eastAsia="zh-CN"/>
        </w:rPr>
        <w:t>无效。</w:t>
      </w:r>
    </w:p>
    <w:p w14:paraId="581E2A37">
      <w:pPr>
        <w:pStyle w:val="13"/>
        <w:spacing w:line="480" w:lineRule="exact"/>
        <w:ind w:firstLine="422" w:firstLineChars="200"/>
        <w:rPr>
          <w:rFonts w:hint="eastAsia" w:hAnsi="宋体" w:cs="宋体"/>
          <w:b/>
          <w:bCs w:val="0"/>
          <w:color w:val="auto"/>
          <w:sz w:val="21"/>
          <w:szCs w:val="21"/>
          <w:highlight w:val="none"/>
        </w:rPr>
      </w:pPr>
      <w:r>
        <w:rPr>
          <w:rFonts w:hint="eastAsia" w:ascii="宋体" w:cs="宋体"/>
          <w:b/>
          <w:bCs w:val="0"/>
          <w:color w:val="auto"/>
          <w:sz w:val="21"/>
          <w:szCs w:val="21"/>
          <w:highlight w:val="none"/>
          <w:lang w:val="en-US" w:eastAsia="zh-CN"/>
        </w:rPr>
        <w:t>2.</w:t>
      </w:r>
      <w:r>
        <w:rPr>
          <w:rFonts w:hint="eastAsia" w:hAnsi="宋体" w:cs="宋体"/>
          <w:b/>
          <w:bCs w:val="0"/>
          <w:color w:val="auto"/>
          <w:sz w:val="21"/>
          <w:szCs w:val="21"/>
          <w:highlight w:val="none"/>
        </w:rPr>
        <w:t>当所提供货物的技术参数性能指标等承诺出现“正</w:t>
      </w:r>
      <w:r>
        <w:rPr>
          <w:rFonts w:hint="eastAsia" w:hAnsi="宋体"/>
          <w:b/>
          <w:bCs w:val="0"/>
          <w:color w:val="auto"/>
          <w:kern w:val="2"/>
          <w:sz w:val="21"/>
          <w:szCs w:val="21"/>
          <w:highlight w:val="none"/>
        </w:rPr>
        <w:t>偏离</w:t>
      </w:r>
      <w:r>
        <w:rPr>
          <w:rFonts w:hint="eastAsia" w:hAnsi="宋体" w:cs="宋体"/>
          <w:b/>
          <w:bCs w:val="0"/>
          <w:color w:val="auto"/>
          <w:sz w:val="21"/>
          <w:szCs w:val="21"/>
          <w:highlight w:val="none"/>
        </w:rPr>
        <w:t>”情况时，应详细填写</w:t>
      </w:r>
      <w:r>
        <w:rPr>
          <w:rFonts w:hint="eastAsia" w:hAnsi="宋体"/>
          <w:b/>
          <w:bCs w:val="0"/>
          <w:color w:val="auto"/>
          <w:kern w:val="2"/>
          <w:sz w:val="21"/>
          <w:szCs w:val="21"/>
          <w:highlight w:val="none"/>
        </w:rPr>
        <w:t>偏离</w:t>
      </w:r>
      <w:r>
        <w:rPr>
          <w:rFonts w:hint="eastAsia" w:hAnsi="宋体" w:cs="宋体"/>
          <w:b/>
          <w:bCs w:val="0"/>
          <w:color w:val="auto"/>
          <w:sz w:val="21"/>
          <w:szCs w:val="21"/>
          <w:highlight w:val="none"/>
        </w:rPr>
        <w:t>情况说明及提供相应有效的证明材料，否则，谈判小组有权不予认定“正</w:t>
      </w:r>
      <w:r>
        <w:rPr>
          <w:rFonts w:hint="eastAsia" w:hAnsi="宋体"/>
          <w:b/>
          <w:bCs w:val="0"/>
          <w:color w:val="auto"/>
          <w:kern w:val="2"/>
          <w:sz w:val="21"/>
          <w:szCs w:val="21"/>
          <w:highlight w:val="none"/>
        </w:rPr>
        <w:t>偏离</w:t>
      </w:r>
      <w:r>
        <w:rPr>
          <w:rFonts w:hint="eastAsia" w:hAnsi="宋体" w:cs="宋体"/>
          <w:b/>
          <w:bCs w:val="0"/>
          <w:color w:val="auto"/>
          <w:sz w:val="21"/>
          <w:szCs w:val="21"/>
          <w:highlight w:val="none"/>
        </w:rPr>
        <w:t xml:space="preserve">”情况。  </w:t>
      </w:r>
    </w:p>
    <w:p w14:paraId="109650FE">
      <w:pPr>
        <w:pStyle w:val="13"/>
        <w:spacing w:line="480" w:lineRule="exact"/>
        <w:ind w:firstLine="422" w:firstLineChars="200"/>
        <w:rPr>
          <w:rFonts w:hint="eastAsia" w:hAnsi="宋体" w:cs="宋体"/>
          <w:b/>
          <w:bCs w:val="0"/>
          <w:sz w:val="21"/>
          <w:szCs w:val="21"/>
        </w:rPr>
      </w:pPr>
      <w:r>
        <w:rPr>
          <w:rFonts w:hint="eastAsia" w:hAnsi="宋体" w:cs="宋体"/>
          <w:b/>
          <w:bCs w:val="0"/>
          <w:color w:val="auto"/>
          <w:sz w:val="21"/>
          <w:szCs w:val="21"/>
          <w:highlight w:val="none"/>
          <w:lang w:val="en-US" w:eastAsia="zh-CN"/>
        </w:rPr>
        <w:t>3</w:t>
      </w:r>
      <w:r>
        <w:rPr>
          <w:rFonts w:hint="eastAsia" w:hAnsi="宋体" w:cs="宋体"/>
          <w:b/>
          <w:bCs w:val="0"/>
          <w:color w:val="auto"/>
          <w:sz w:val="21"/>
          <w:szCs w:val="21"/>
          <w:highlight w:val="none"/>
        </w:rPr>
        <w:t>.技术规格偏离表须加盖供应商CA签章（自然人签字或加盖个人CA签章）。当本表由多页构成时</w:t>
      </w:r>
      <w:r>
        <w:rPr>
          <w:rFonts w:hint="eastAsia" w:hAnsi="宋体" w:cs="宋体"/>
          <w:b/>
          <w:bCs w:val="0"/>
          <w:sz w:val="21"/>
          <w:szCs w:val="21"/>
        </w:rPr>
        <w:t>，需逐页加盖供应商CA签章（属自然人的须逐页签字或加盖个人CA签章）。</w:t>
      </w:r>
    </w:p>
    <w:p w14:paraId="2909D3F9">
      <w:pPr>
        <w:spacing w:line="360" w:lineRule="auto"/>
        <w:rPr>
          <w:rFonts w:hint="default" w:ascii="宋体" w:eastAsia="宋体" w:cs="宋体"/>
          <w:b/>
          <w:bCs/>
          <w:sz w:val="32"/>
          <w:szCs w:val="32"/>
          <w:lang w:val="en-US" w:eastAsia="zh-CN"/>
        </w:rPr>
      </w:pPr>
      <w:r>
        <w:rPr>
          <w:rFonts w:hint="eastAsia" w:hAnsi="宋体" w:cs="宋体"/>
        </w:rPr>
        <w:t xml:space="preserve">  </w:t>
      </w:r>
    </w:p>
    <w:p w14:paraId="414BD3D7"/>
    <w:p w14:paraId="0A3D6AF0">
      <w:pPr>
        <w:pStyle w:val="13"/>
        <w:numPr>
          <w:ilvl w:val="0"/>
          <w:numId w:val="9"/>
        </w:numPr>
        <w:spacing w:line="340" w:lineRule="exact"/>
        <w:rPr>
          <w:rFonts w:hint="eastAsia"/>
          <w:b/>
          <w:sz w:val="28"/>
          <w:szCs w:val="28"/>
        </w:rPr>
      </w:pPr>
      <w:r>
        <w:rPr>
          <w:rFonts w:hint="eastAsia"/>
          <w:b/>
          <w:sz w:val="28"/>
          <w:szCs w:val="28"/>
        </w:rPr>
        <w:t>商务响应表（必须提供）；</w:t>
      </w:r>
    </w:p>
    <w:p w14:paraId="2603967E">
      <w:pPr>
        <w:pStyle w:val="7"/>
        <w:rPr>
          <w:rFonts w:hint="eastAsia"/>
        </w:rPr>
      </w:pPr>
    </w:p>
    <w:p w14:paraId="12D0508E">
      <w:pPr>
        <w:pStyle w:val="13"/>
        <w:spacing w:line="300" w:lineRule="exact"/>
        <w:ind w:left="420"/>
        <w:jc w:val="left"/>
        <w:rPr>
          <w:rFonts w:ascii="Times New Roman" w:hAnsi="Times New Roman"/>
          <w:b/>
          <w:sz w:val="32"/>
          <w:szCs w:val="32"/>
        </w:rPr>
      </w:pPr>
      <w:r>
        <w:rPr>
          <w:rFonts w:ascii="Times New Roman" w:hAnsi="Times New Roman"/>
          <w:b/>
          <w:sz w:val="32"/>
          <w:szCs w:val="32"/>
        </w:rPr>
        <w:t>附件：</w:t>
      </w:r>
    </w:p>
    <w:p w14:paraId="1CBEEFBA">
      <w:pPr>
        <w:pStyle w:val="13"/>
        <w:jc w:val="center"/>
        <w:rPr>
          <w:rFonts w:ascii="Times New Roman" w:hAnsi="Times New Roman"/>
          <w:b/>
          <w:sz w:val="32"/>
          <w:highlight w:val="none"/>
        </w:rPr>
      </w:pPr>
      <w:r>
        <w:rPr>
          <w:rFonts w:hint="eastAsia" w:ascii="Times New Roman" w:hAnsi="Times New Roman"/>
          <w:b/>
          <w:sz w:val="32"/>
          <w:szCs w:val="32"/>
          <w:highlight w:val="none"/>
        </w:rPr>
        <w:t>商务</w:t>
      </w:r>
      <w:r>
        <w:rPr>
          <w:rFonts w:ascii="Times New Roman" w:hAnsi="Times New Roman"/>
          <w:b/>
          <w:sz w:val="32"/>
          <w:szCs w:val="32"/>
          <w:highlight w:val="none"/>
        </w:rPr>
        <w:t>响应表（格式</w:t>
      </w:r>
      <w:r>
        <w:rPr>
          <w:rFonts w:ascii="Times New Roman" w:hAnsi="Times New Roman"/>
          <w:b/>
          <w:sz w:val="32"/>
          <w:highlight w:val="none"/>
        </w:rPr>
        <w:t>）</w:t>
      </w:r>
    </w:p>
    <w:p w14:paraId="5EF7085A">
      <w:pPr>
        <w:pStyle w:val="2"/>
        <w:ind w:firstLine="241" w:firstLineChars="100"/>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项目编号：</w:t>
      </w:r>
    </w:p>
    <w:p w14:paraId="279FEA7B">
      <w:pPr>
        <w:pStyle w:val="2"/>
        <w:ind w:firstLine="241" w:firstLineChars="100"/>
        <w:rPr>
          <w:rFonts w:hint="eastAsia" w:ascii="宋体" w:hAnsi="宋体" w:cs="宋体"/>
          <w:b/>
          <w:bCs/>
          <w:color w:val="000000"/>
          <w:sz w:val="24"/>
          <w:szCs w:val="21"/>
          <w:highlight w:val="none"/>
          <w:lang w:eastAsia="zh-CN"/>
        </w:rPr>
      </w:pPr>
      <w:r>
        <w:rPr>
          <w:rFonts w:hint="eastAsia" w:ascii="宋体" w:hAnsi="宋体" w:cs="宋体"/>
          <w:b/>
          <w:bCs/>
          <w:color w:val="000000"/>
          <w:sz w:val="24"/>
          <w:szCs w:val="21"/>
          <w:highlight w:val="none"/>
          <w:lang w:eastAsia="zh-CN"/>
        </w:rPr>
        <w:t>项目名称：</w:t>
      </w:r>
    </w:p>
    <w:p w14:paraId="4B82E49B">
      <w:pPr>
        <w:rPr>
          <w:rFonts w:hint="eastAsia"/>
          <w:highlight w:val="none"/>
          <w:lang w:eastAsia="zh-CN"/>
        </w:rPr>
      </w:pPr>
    </w:p>
    <w:tbl>
      <w:tblPr>
        <w:tblStyle w:val="26"/>
        <w:tblW w:w="0" w:type="auto"/>
        <w:tblInd w:w="41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63"/>
        <w:gridCol w:w="3062"/>
        <w:gridCol w:w="2675"/>
        <w:gridCol w:w="2435"/>
      </w:tblGrid>
      <w:tr w14:paraId="4FAFF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163" w:type="dxa"/>
            <w:tcBorders>
              <w:top w:val="single" w:color="auto" w:sz="4" w:space="0"/>
              <w:left w:val="single" w:color="auto" w:sz="4" w:space="0"/>
              <w:bottom w:val="single" w:color="auto" w:sz="4" w:space="0"/>
              <w:right w:val="single" w:color="auto" w:sz="4" w:space="0"/>
            </w:tcBorders>
            <w:vAlign w:val="center"/>
          </w:tcPr>
          <w:p w14:paraId="71996742">
            <w:pPr>
              <w:snapToGrid w:val="0"/>
              <w:spacing w:before="156" w:beforeLines="50"/>
              <w:jc w:val="center"/>
              <w:rPr>
                <w:rFonts w:ascii="宋体" w:hAnsi="宋体" w:cs="宋体"/>
                <w:b/>
                <w:bCs/>
                <w:szCs w:val="21"/>
                <w:highlight w:val="none"/>
              </w:rPr>
            </w:pPr>
            <w:r>
              <w:rPr>
                <w:rFonts w:hint="eastAsia" w:ascii="宋体" w:hAnsi="宋体" w:cs="宋体"/>
                <w:b/>
                <w:bCs/>
                <w:szCs w:val="21"/>
                <w:highlight w:val="none"/>
              </w:rPr>
              <w:t>项号</w:t>
            </w:r>
          </w:p>
        </w:tc>
        <w:tc>
          <w:tcPr>
            <w:tcW w:w="3062" w:type="dxa"/>
            <w:tcBorders>
              <w:top w:val="single" w:color="auto" w:sz="4" w:space="0"/>
              <w:left w:val="single" w:color="auto" w:sz="4" w:space="0"/>
              <w:bottom w:val="single" w:color="auto" w:sz="4" w:space="0"/>
              <w:right w:val="single" w:color="auto" w:sz="4" w:space="0"/>
            </w:tcBorders>
            <w:vAlign w:val="center"/>
          </w:tcPr>
          <w:p w14:paraId="2283C0A3">
            <w:pPr>
              <w:pStyle w:val="13"/>
              <w:spacing w:line="600" w:lineRule="exact"/>
              <w:jc w:val="center"/>
              <w:rPr>
                <w:rFonts w:hAnsi="宋体" w:cs="宋体"/>
                <w:b/>
                <w:bCs/>
                <w:kern w:val="2"/>
                <w:sz w:val="21"/>
                <w:szCs w:val="21"/>
                <w:highlight w:val="none"/>
              </w:rPr>
            </w:pPr>
            <w:r>
              <w:rPr>
                <w:rFonts w:hint="eastAsia" w:ascii="Times New Roman" w:hAnsi="Times New Roman"/>
                <w:b/>
                <w:bCs/>
                <w:kern w:val="2"/>
                <w:sz w:val="21"/>
                <w:szCs w:val="21"/>
                <w:highlight w:val="none"/>
              </w:rPr>
              <w:t>竞争性</w:t>
            </w:r>
            <w:r>
              <w:rPr>
                <w:rFonts w:ascii="Times New Roman" w:hAnsi="Times New Roman"/>
                <w:b/>
                <w:bCs/>
                <w:kern w:val="2"/>
                <w:sz w:val="21"/>
                <w:szCs w:val="21"/>
                <w:highlight w:val="none"/>
              </w:rPr>
              <w:t>谈判文件</w:t>
            </w:r>
            <w:r>
              <w:rPr>
                <w:rFonts w:hint="eastAsia" w:ascii="Times New Roman" w:hAnsi="Times New Roman"/>
                <w:b/>
                <w:bCs/>
                <w:kern w:val="2"/>
                <w:sz w:val="21"/>
                <w:szCs w:val="21"/>
                <w:highlight w:val="none"/>
              </w:rPr>
              <w:t>的商务</w:t>
            </w:r>
            <w:r>
              <w:rPr>
                <w:rFonts w:hint="eastAsia" w:ascii="Times New Roman" w:hAnsi="Times New Roman"/>
                <w:b/>
                <w:bCs/>
                <w:kern w:val="2"/>
                <w:sz w:val="21"/>
                <w:szCs w:val="21"/>
                <w:highlight w:val="none"/>
                <w:lang w:eastAsia="zh-CN"/>
              </w:rPr>
              <w:t>要求</w:t>
            </w:r>
          </w:p>
        </w:tc>
        <w:tc>
          <w:tcPr>
            <w:tcW w:w="2675" w:type="dxa"/>
            <w:tcBorders>
              <w:top w:val="single" w:color="auto" w:sz="4" w:space="0"/>
              <w:left w:val="single" w:color="auto" w:sz="4" w:space="0"/>
              <w:bottom w:val="single" w:color="auto" w:sz="4" w:space="0"/>
              <w:right w:val="single" w:color="auto" w:sz="4" w:space="0"/>
            </w:tcBorders>
            <w:vAlign w:val="center"/>
          </w:tcPr>
          <w:p w14:paraId="6F6A947F">
            <w:pPr>
              <w:pStyle w:val="13"/>
              <w:spacing w:line="600" w:lineRule="exact"/>
              <w:jc w:val="center"/>
              <w:rPr>
                <w:rFonts w:hint="eastAsia" w:hAnsi="宋体" w:eastAsia="宋体" w:cs="宋体"/>
                <w:b/>
                <w:bCs/>
                <w:kern w:val="2"/>
                <w:sz w:val="21"/>
                <w:szCs w:val="21"/>
                <w:highlight w:val="none"/>
                <w:lang w:eastAsia="zh-CN"/>
              </w:rPr>
            </w:pPr>
            <w:r>
              <w:rPr>
                <w:rFonts w:hint="eastAsia" w:ascii="Times New Roman" w:hAnsi="Times New Roman"/>
                <w:b/>
                <w:bCs/>
                <w:kern w:val="2"/>
                <w:sz w:val="21"/>
                <w:szCs w:val="21"/>
                <w:highlight w:val="none"/>
              </w:rPr>
              <w:t>响应文件承诺的商务</w:t>
            </w:r>
            <w:r>
              <w:rPr>
                <w:rFonts w:hint="eastAsia" w:ascii="Times New Roman" w:hAnsi="Times New Roman"/>
                <w:b/>
                <w:bCs/>
                <w:kern w:val="2"/>
                <w:sz w:val="21"/>
                <w:szCs w:val="21"/>
                <w:highlight w:val="none"/>
                <w:lang w:eastAsia="zh-CN"/>
              </w:rPr>
              <w:t>要求</w:t>
            </w:r>
          </w:p>
        </w:tc>
        <w:tc>
          <w:tcPr>
            <w:tcW w:w="2435" w:type="dxa"/>
            <w:tcBorders>
              <w:top w:val="single" w:color="auto" w:sz="4" w:space="0"/>
              <w:left w:val="single" w:color="auto" w:sz="4" w:space="0"/>
              <w:bottom w:val="single" w:color="auto" w:sz="4" w:space="0"/>
              <w:right w:val="single" w:color="auto" w:sz="4" w:space="0"/>
            </w:tcBorders>
            <w:vAlign w:val="center"/>
          </w:tcPr>
          <w:p w14:paraId="041E5574">
            <w:pPr>
              <w:pStyle w:val="13"/>
              <w:spacing w:line="600" w:lineRule="exact"/>
              <w:jc w:val="center"/>
              <w:rPr>
                <w:rFonts w:hAnsi="宋体" w:cs="宋体"/>
                <w:b/>
                <w:bCs/>
                <w:kern w:val="2"/>
                <w:sz w:val="21"/>
                <w:szCs w:val="21"/>
                <w:highlight w:val="none"/>
              </w:rPr>
            </w:pPr>
            <w:r>
              <w:rPr>
                <w:rFonts w:hint="eastAsia" w:hAnsi="宋体"/>
                <w:b/>
                <w:bCs/>
                <w:kern w:val="2"/>
                <w:sz w:val="21"/>
                <w:szCs w:val="21"/>
                <w:highlight w:val="none"/>
              </w:rPr>
              <w:t>偏离</w:t>
            </w:r>
            <w:r>
              <w:rPr>
                <w:rFonts w:hint="eastAsia" w:hAnsi="宋体" w:cs="宋体"/>
                <w:b/>
                <w:bCs/>
                <w:sz w:val="21"/>
                <w:szCs w:val="21"/>
                <w:highlight w:val="none"/>
              </w:rPr>
              <w:t>情况</w:t>
            </w:r>
            <w:r>
              <w:rPr>
                <w:rFonts w:hint="eastAsia" w:ascii="Times New Roman" w:hAnsi="Times New Roman"/>
                <w:b/>
                <w:bCs/>
                <w:kern w:val="2"/>
                <w:sz w:val="21"/>
                <w:szCs w:val="21"/>
                <w:highlight w:val="none"/>
              </w:rPr>
              <w:t>说明</w:t>
            </w:r>
          </w:p>
        </w:tc>
      </w:tr>
      <w:tr w14:paraId="410694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131AF46A">
            <w:pPr>
              <w:snapToGrid w:val="0"/>
              <w:spacing w:before="156" w:beforeLines="50"/>
              <w:jc w:val="center"/>
              <w:rPr>
                <w:rFonts w:ascii="宋体" w:hAnsi="宋体" w:cs="宋体"/>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center"/>
          </w:tcPr>
          <w:p w14:paraId="2BF91819">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61599244">
            <w:pPr>
              <w:snapToGrid w:val="0"/>
              <w:spacing w:before="156" w:beforeLines="50"/>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290C17A1">
            <w:pPr>
              <w:snapToGrid w:val="0"/>
              <w:spacing w:before="156" w:beforeLines="50"/>
              <w:jc w:val="center"/>
              <w:rPr>
                <w:rFonts w:ascii="宋体" w:hAnsi="宋体" w:cs="宋体"/>
                <w:szCs w:val="21"/>
                <w:highlight w:val="none"/>
              </w:rPr>
            </w:pPr>
          </w:p>
        </w:tc>
      </w:tr>
      <w:tr w14:paraId="5793F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163" w:type="dxa"/>
            <w:tcBorders>
              <w:top w:val="single" w:color="auto" w:sz="4" w:space="0"/>
              <w:left w:val="single" w:color="auto" w:sz="4" w:space="0"/>
              <w:bottom w:val="single" w:color="auto" w:sz="4" w:space="0"/>
              <w:right w:val="single" w:color="auto" w:sz="4" w:space="0"/>
            </w:tcBorders>
            <w:vAlign w:val="center"/>
          </w:tcPr>
          <w:p w14:paraId="0EA19CB7">
            <w:pPr>
              <w:snapToGrid w:val="0"/>
              <w:spacing w:before="156" w:beforeLines="50"/>
              <w:jc w:val="center"/>
              <w:rPr>
                <w:rFonts w:ascii="宋体" w:hAnsi="宋体" w:cs="宋体"/>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center"/>
          </w:tcPr>
          <w:p w14:paraId="3242E43F">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0C3A6B5B">
            <w:pPr>
              <w:snapToGrid w:val="0"/>
              <w:spacing w:before="156" w:beforeLines="50"/>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38A4071F">
            <w:pPr>
              <w:snapToGrid w:val="0"/>
              <w:spacing w:before="156" w:beforeLines="50"/>
              <w:jc w:val="center"/>
              <w:rPr>
                <w:rFonts w:ascii="宋体" w:hAnsi="宋体" w:cs="宋体"/>
                <w:szCs w:val="21"/>
                <w:highlight w:val="none"/>
              </w:rPr>
            </w:pPr>
          </w:p>
        </w:tc>
      </w:tr>
      <w:tr w14:paraId="0922B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1163" w:type="dxa"/>
            <w:tcBorders>
              <w:top w:val="single" w:color="auto" w:sz="4" w:space="0"/>
              <w:left w:val="single" w:color="auto" w:sz="4" w:space="0"/>
              <w:bottom w:val="single" w:color="auto" w:sz="4" w:space="0"/>
              <w:right w:val="single" w:color="auto" w:sz="4" w:space="0"/>
            </w:tcBorders>
            <w:vAlign w:val="center"/>
          </w:tcPr>
          <w:p w14:paraId="60521B55">
            <w:pPr>
              <w:snapToGrid w:val="0"/>
              <w:spacing w:before="156" w:beforeLines="50"/>
              <w:jc w:val="center"/>
              <w:rPr>
                <w:rFonts w:ascii="宋体" w:hAnsi="宋体" w:cs="宋体"/>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center"/>
          </w:tcPr>
          <w:p w14:paraId="1A32006D">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76D26164">
            <w:pPr>
              <w:snapToGrid w:val="0"/>
              <w:spacing w:before="156" w:beforeLines="50"/>
              <w:ind w:left="43"/>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4751E25A">
            <w:pPr>
              <w:snapToGrid w:val="0"/>
              <w:spacing w:before="156" w:beforeLines="50"/>
              <w:ind w:left="43"/>
              <w:jc w:val="center"/>
              <w:rPr>
                <w:rFonts w:ascii="宋体" w:hAnsi="宋体" w:cs="宋体"/>
                <w:szCs w:val="21"/>
                <w:highlight w:val="none"/>
              </w:rPr>
            </w:pPr>
          </w:p>
        </w:tc>
      </w:tr>
      <w:tr w14:paraId="2C6315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163" w:type="dxa"/>
            <w:tcBorders>
              <w:top w:val="single" w:color="auto" w:sz="4" w:space="0"/>
              <w:left w:val="single" w:color="auto" w:sz="4" w:space="0"/>
              <w:bottom w:val="single" w:color="auto" w:sz="4" w:space="0"/>
              <w:right w:val="single" w:color="auto" w:sz="4" w:space="0"/>
            </w:tcBorders>
            <w:vAlign w:val="center"/>
          </w:tcPr>
          <w:p w14:paraId="54C2EAB0">
            <w:pPr>
              <w:snapToGrid w:val="0"/>
              <w:spacing w:before="156" w:beforeLines="50"/>
              <w:jc w:val="center"/>
              <w:rPr>
                <w:rFonts w:ascii="宋体" w:hAnsi="宋体" w:cs="宋体"/>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center"/>
          </w:tcPr>
          <w:p w14:paraId="3638F66F">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793CB5BA">
            <w:pPr>
              <w:snapToGrid w:val="0"/>
              <w:spacing w:before="156" w:beforeLines="50"/>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0E379A0A">
            <w:pPr>
              <w:snapToGrid w:val="0"/>
              <w:spacing w:before="156" w:beforeLines="50"/>
              <w:jc w:val="center"/>
              <w:rPr>
                <w:rFonts w:ascii="宋体" w:hAnsi="宋体" w:cs="宋体"/>
                <w:szCs w:val="21"/>
                <w:highlight w:val="none"/>
              </w:rPr>
            </w:pPr>
          </w:p>
        </w:tc>
      </w:tr>
      <w:tr w14:paraId="0E286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20441E98">
            <w:pPr>
              <w:snapToGrid w:val="0"/>
              <w:spacing w:before="156" w:beforeLines="50"/>
              <w:jc w:val="center"/>
              <w:rPr>
                <w:rFonts w:ascii="宋体" w:hAnsi="宋体" w:cs="宋体"/>
                <w:szCs w:val="21"/>
                <w:highlight w:val="none"/>
              </w:rPr>
            </w:pPr>
          </w:p>
        </w:tc>
        <w:tc>
          <w:tcPr>
            <w:tcW w:w="3062" w:type="dxa"/>
            <w:tcBorders>
              <w:top w:val="single" w:color="auto" w:sz="4" w:space="0"/>
              <w:left w:val="single" w:color="auto" w:sz="4" w:space="0"/>
              <w:bottom w:val="single" w:color="auto" w:sz="4" w:space="0"/>
              <w:right w:val="single" w:color="auto" w:sz="4" w:space="0"/>
            </w:tcBorders>
            <w:vAlign w:val="center"/>
          </w:tcPr>
          <w:p w14:paraId="116B26CF">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7D987E52">
            <w:pPr>
              <w:snapToGrid w:val="0"/>
              <w:spacing w:before="156" w:beforeLines="50"/>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675B4669">
            <w:pPr>
              <w:snapToGrid w:val="0"/>
              <w:spacing w:before="156" w:beforeLines="50"/>
              <w:jc w:val="center"/>
              <w:rPr>
                <w:rFonts w:ascii="宋体" w:hAnsi="宋体" w:cs="宋体"/>
                <w:szCs w:val="21"/>
                <w:highlight w:val="none"/>
              </w:rPr>
            </w:pPr>
          </w:p>
        </w:tc>
      </w:tr>
      <w:tr w14:paraId="63CB4C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163" w:type="dxa"/>
            <w:tcBorders>
              <w:top w:val="single" w:color="auto" w:sz="4" w:space="0"/>
              <w:left w:val="single" w:color="auto" w:sz="4" w:space="0"/>
              <w:bottom w:val="single" w:color="auto" w:sz="4" w:space="0"/>
              <w:right w:val="single" w:color="auto" w:sz="4" w:space="0"/>
            </w:tcBorders>
            <w:vAlign w:val="center"/>
          </w:tcPr>
          <w:p w14:paraId="03276FB0">
            <w:pPr>
              <w:snapToGrid w:val="0"/>
              <w:spacing w:before="156" w:beforeLines="50"/>
              <w:jc w:val="center"/>
              <w:rPr>
                <w:rFonts w:ascii="宋体" w:hAnsi="宋体" w:cs="宋体"/>
                <w:szCs w:val="21"/>
                <w:highlight w:val="none"/>
              </w:rPr>
            </w:pPr>
            <w:r>
              <w:rPr>
                <w:rFonts w:hint="eastAsia" w:ascii="宋体" w:hAnsi="宋体" w:cs="宋体"/>
                <w:szCs w:val="21"/>
                <w:highlight w:val="none"/>
              </w:rPr>
              <w:t>……</w:t>
            </w:r>
          </w:p>
        </w:tc>
        <w:tc>
          <w:tcPr>
            <w:tcW w:w="3062" w:type="dxa"/>
            <w:tcBorders>
              <w:top w:val="single" w:color="auto" w:sz="4" w:space="0"/>
              <w:left w:val="single" w:color="auto" w:sz="4" w:space="0"/>
              <w:bottom w:val="single" w:color="auto" w:sz="4" w:space="0"/>
              <w:right w:val="single" w:color="auto" w:sz="4" w:space="0"/>
            </w:tcBorders>
            <w:vAlign w:val="center"/>
          </w:tcPr>
          <w:p w14:paraId="27D034B3">
            <w:pPr>
              <w:snapToGrid w:val="0"/>
              <w:spacing w:before="156" w:beforeLines="50"/>
              <w:jc w:val="center"/>
              <w:rPr>
                <w:rFonts w:ascii="宋体" w:hAnsi="宋体" w:cs="宋体"/>
                <w:szCs w:val="21"/>
                <w:highlight w:val="none"/>
              </w:rPr>
            </w:pPr>
          </w:p>
        </w:tc>
        <w:tc>
          <w:tcPr>
            <w:tcW w:w="2675" w:type="dxa"/>
            <w:tcBorders>
              <w:top w:val="single" w:color="auto" w:sz="4" w:space="0"/>
              <w:left w:val="single" w:color="auto" w:sz="4" w:space="0"/>
              <w:bottom w:val="single" w:color="auto" w:sz="4" w:space="0"/>
              <w:right w:val="single" w:color="auto" w:sz="4" w:space="0"/>
            </w:tcBorders>
            <w:vAlign w:val="center"/>
          </w:tcPr>
          <w:p w14:paraId="6B25B796">
            <w:pPr>
              <w:snapToGrid w:val="0"/>
              <w:spacing w:before="156" w:beforeLines="50"/>
              <w:jc w:val="center"/>
              <w:rPr>
                <w:rFonts w:ascii="宋体" w:hAnsi="宋体" w:cs="宋体"/>
                <w:szCs w:val="21"/>
                <w:highlight w:val="none"/>
              </w:rPr>
            </w:pPr>
          </w:p>
        </w:tc>
        <w:tc>
          <w:tcPr>
            <w:tcW w:w="2435" w:type="dxa"/>
            <w:tcBorders>
              <w:top w:val="single" w:color="auto" w:sz="4" w:space="0"/>
              <w:left w:val="single" w:color="auto" w:sz="4" w:space="0"/>
              <w:bottom w:val="single" w:color="auto" w:sz="4" w:space="0"/>
              <w:right w:val="single" w:color="auto" w:sz="4" w:space="0"/>
            </w:tcBorders>
            <w:vAlign w:val="center"/>
          </w:tcPr>
          <w:p w14:paraId="4D9BBCE5">
            <w:pPr>
              <w:snapToGrid w:val="0"/>
              <w:spacing w:before="156" w:beforeLines="50"/>
              <w:jc w:val="center"/>
              <w:rPr>
                <w:rFonts w:ascii="宋体" w:hAnsi="宋体" w:cs="宋体"/>
                <w:szCs w:val="21"/>
                <w:highlight w:val="none"/>
              </w:rPr>
            </w:pPr>
          </w:p>
        </w:tc>
      </w:tr>
    </w:tbl>
    <w:p w14:paraId="006A144F">
      <w:pPr>
        <w:snapToGrid w:val="0"/>
        <w:spacing w:before="50" w:after="50"/>
        <w:rPr>
          <w:rFonts w:ascii="宋体" w:hAnsi="宋体" w:cs="宋体"/>
          <w:spacing w:val="20"/>
          <w:szCs w:val="21"/>
          <w:highlight w:val="none"/>
        </w:rPr>
      </w:pPr>
    </w:p>
    <w:p w14:paraId="450F12B5">
      <w:pPr>
        <w:snapToGrid w:val="0"/>
        <w:spacing w:line="300" w:lineRule="exact"/>
        <w:ind w:firstLine="3570" w:firstLineChars="1700"/>
        <w:rPr>
          <w:szCs w:val="21"/>
          <w:highlight w:val="none"/>
        </w:rPr>
      </w:pPr>
    </w:p>
    <w:p w14:paraId="2BE40AF9">
      <w:pPr>
        <w:snapToGrid w:val="0"/>
        <w:spacing w:line="300" w:lineRule="exact"/>
        <w:ind w:firstLine="3570" w:firstLineChars="1700"/>
        <w:rPr>
          <w:szCs w:val="21"/>
          <w:highlight w:val="none"/>
          <w:u w:val="single"/>
        </w:rPr>
      </w:pPr>
      <w:r>
        <w:rPr>
          <w:szCs w:val="21"/>
          <w:highlight w:val="none"/>
        </w:rPr>
        <w:t>供应商（</w:t>
      </w:r>
      <w:r>
        <w:rPr>
          <w:rFonts w:hint="eastAsia" w:ascii="宋体" w:hAnsi="宋体" w:cs="宋体"/>
          <w:szCs w:val="21"/>
          <w:highlight w:val="none"/>
        </w:rPr>
        <w:t>公章(CA签章)，自然人签字或个人CA签章</w:t>
      </w:r>
      <w:r>
        <w:rPr>
          <w:szCs w:val="21"/>
          <w:highlight w:val="none"/>
        </w:rPr>
        <w:t>）：</w:t>
      </w:r>
      <w:r>
        <w:rPr>
          <w:szCs w:val="21"/>
          <w:highlight w:val="none"/>
          <w:u w:val="single"/>
        </w:rPr>
        <w:t xml:space="preserve">                             </w:t>
      </w:r>
    </w:p>
    <w:p w14:paraId="7DC655AC">
      <w:pPr>
        <w:pStyle w:val="13"/>
        <w:spacing w:line="300" w:lineRule="exact"/>
        <w:rPr>
          <w:rFonts w:ascii="Times New Roman" w:hAnsi="Times New Roman"/>
          <w:b/>
          <w:sz w:val="28"/>
          <w:szCs w:val="28"/>
          <w:highlight w:val="none"/>
        </w:rPr>
      </w:pPr>
    </w:p>
    <w:p w14:paraId="5A2AD179">
      <w:pPr>
        <w:snapToGrid w:val="0"/>
        <w:spacing w:line="300" w:lineRule="exact"/>
        <w:ind w:firstLine="3570" w:firstLineChars="1700"/>
        <w:rPr>
          <w:b/>
          <w:sz w:val="28"/>
          <w:szCs w:val="28"/>
          <w:highlight w:val="none"/>
        </w:rPr>
      </w:pPr>
      <w:r>
        <w:rPr>
          <w:highlight w:val="none"/>
        </w:rPr>
        <w:t>日          期：</w:t>
      </w:r>
      <w:r>
        <w:rPr>
          <w:highlight w:val="none"/>
          <w:u w:val="single"/>
        </w:rPr>
        <w:t xml:space="preserve">                              </w:t>
      </w:r>
    </w:p>
    <w:p w14:paraId="62D1EC06">
      <w:pPr>
        <w:spacing w:line="400" w:lineRule="exact"/>
        <w:ind w:left="982" w:leftChars="200" w:hanging="562" w:hangingChars="200"/>
        <w:rPr>
          <w:rFonts w:hint="eastAsia" w:ascii="宋体" w:hAnsi="宋体" w:cs="宋体"/>
          <w:b/>
          <w:bCs/>
          <w:sz w:val="28"/>
          <w:szCs w:val="28"/>
          <w:highlight w:val="none"/>
        </w:rPr>
      </w:pPr>
    </w:p>
    <w:p w14:paraId="11E8AC0E">
      <w:pPr>
        <w:spacing w:line="400" w:lineRule="exact"/>
        <w:ind w:left="820" w:leftChars="200" w:hanging="400" w:hangingChars="200"/>
        <w:rPr>
          <w:rFonts w:hint="eastAsia" w:ascii="宋体" w:hAnsi="宋体" w:cs="宋体"/>
          <w:sz w:val="20"/>
          <w:szCs w:val="20"/>
          <w:highlight w:val="none"/>
        </w:rPr>
      </w:pPr>
    </w:p>
    <w:p w14:paraId="177FADC8">
      <w:pPr>
        <w:spacing w:line="400" w:lineRule="exact"/>
        <w:ind w:left="842" w:leftChars="200" w:hanging="422" w:hangingChars="200"/>
        <w:rPr>
          <w:rFonts w:hint="eastAsia" w:ascii="宋体" w:hAnsi="宋体" w:cs="宋体"/>
          <w:b/>
          <w:bCs/>
          <w:sz w:val="21"/>
          <w:szCs w:val="21"/>
          <w:highlight w:val="none"/>
        </w:rPr>
      </w:pPr>
      <w:r>
        <w:rPr>
          <w:rFonts w:hint="eastAsia" w:ascii="宋体" w:hAnsi="宋体" w:cs="宋体"/>
          <w:b/>
          <w:bCs/>
          <w:sz w:val="21"/>
          <w:szCs w:val="21"/>
          <w:highlight w:val="none"/>
        </w:rPr>
        <w:t>注：1.“商务响应表”各项内容必须如实填写。</w:t>
      </w:r>
    </w:p>
    <w:p w14:paraId="405CC1A4">
      <w:pPr>
        <w:spacing w:line="400" w:lineRule="exact"/>
        <w:ind w:firstLine="843" w:firstLineChars="400"/>
        <w:rPr>
          <w:rFonts w:hint="eastAsia" w:ascii="宋体" w:hAnsi="宋体" w:cs="宋体"/>
          <w:b/>
          <w:bCs/>
          <w:sz w:val="21"/>
          <w:szCs w:val="21"/>
          <w:highlight w:val="none"/>
        </w:rPr>
      </w:pPr>
      <w:r>
        <w:rPr>
          <w:rFonts w:hint="eastAsia" w:ascii="宋体" w:hAnsi="宋体" w:cs="宋体"/>
          <w:b/>
          <w:bCs/>
          <w:sz w:val="21"/>
          <w:szCs w:val="21"/>
          <w:highlight w:val="none"/>
        </w:rPr>
        <w:t>2.当本表由多页构成时，需逐页加盖</w:t>
      </w:r>
      <w:r>
        <w:rPr>
          <w:rFonts w:hint="eastAsia" w:ascii="宋体" w:hAnsi="宋体" w:cs="宋体"/>
          <w:b/>
          <w:bCs/>
          <w:sz w:val="21"/>
          <w:szCs w:val="21"/>
          <w:highlight w:val="none"/>
          <w:lang w:eastAsia="zh-CN"/>
        </w:rPr>
        <w:t>供应商</w:t>
      </w:r>
      <w:r>
        <w:rPr>
          <w:rFonts w:hint="eastAsia" w:ascii="宋体" w:hAnsi="宋体" w:cs="宋体"/>
          <w:b/>
          <w:bCs/>
          <w:sz w:val="21"/>
          <w:szCs w:val="21"/>
          <w:highlight w:val="none"/>
        </w:rPr>
        <w:t>公章（CA签章）（属自然人的须逐页签字或个人CA签章）。</w:t>
      </w:r>
    </w:p>
    <w:p w14:paraId="66223152">
      <w:pPr>
        <w:spacing w:line="400" w:lineRule="exact"/>
        <w:ind w:firstLine="843" w:firstLineChars="400"/>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3.</w:t>
      </w:r>
      <w:r>
        <w:rPr>
          <w:rFonts w:hint="eastAsia" w:ascii="宋体" w:hAnsi="宋体" w:eastAsia="宋体" w:cs="宋体"/>
          <w:b/>
          <w:bCs/>
          <w:color w:val="000000"/>
          <w:sz w:val="21"/>
          <w:szCs w:val="21"/>
          <w:highlight w:val="none"/>
          <w:lang w:val="en-US" w:eastAsia="zh-CN"/>
        </w:rPr>
        <w:t>供应商</w:t>
      </w:r>
      <w:r>
        <w:rPr>
          <w:rFonts w:hint="eastAsia" w:ascii="宋体" w:hAnsi="宋体" w:eastAsia="宋体" w:cs="宋体"/>
          <w:b/>
          <w:bCs/>
          <w:color w:val="000000"/>
          <w:sz w:val="21"/>
          <w:szCs w:val="21"/>
          <w:highlight w:val="none"/>
        </w:rPr>
        <w:t>应对照</w:t>
      </w:r>
      <w:r>
        <w:rPr>
          <w:rFonts w:hint="eastAsia" w:ascii="宋体" w:hAnsi="宋体" w:eastAsia="宋体" w:cs="宋体"/>
          <w:b/>
          <w:bCs/>
          <w:color w:val="000000"/>
          <w:sz w:val="21"/>
          <w:szCs w:val="21"/>
          <w:highlight w:val="none"/>
          <w:lang w:eastAsia="zh-CN"/>
        </w:rPr>
        <w:t>竞争性</w:t>
      </w:r>
      <w:r>
        <w:rPr>
          <w:rFonts w:hint="eastAsia" w:ascii="宋体" w:hAnsi="宋体" w:cs="宋体"/>
          <w:b/>
          <w:bCs/>
          <w:color w:val="000000"/>
          <w:sz w:val="21"/>
          <w:szCs w:val="21"/>
          <w:highlight w:val="none"/>
          <w:lang w:eastAsia="zh-CN"/>
        </w:rPr>
        <w:t>谈判</w:t>
      </w:r>
      <w:r>
        <w:rPr>
          <w:rFonts w:hint="eastAsia" w:ascii="宋体" w:hAnsi="宋体" w:eastAsia="宋体" w:cs="宋体"/>
          <w:b/>
          <w:bCs/>
          <w:color w:val="000000"/>
          <w:sz w:val="21"/>
          <w:szCs w:val="21"/>
          <w:highlight w:val="none"/>
          <w:lang w:eastAsia="zh-CN"/>
        </w:rPr>
        <w:t>文件</w:t>
      </w:r>
      <w:r>
        <w:rPr>
          <w:rFonts w:hint="eastAsia" w:ascii="宋体" w:hAnsi="宋体" w:eastAsia="宋体" w:cs="宋体"/>
          <w:b/>
          <w:bCs/>
          <w:color w:val="000000"/>
          <w:sz w:val="21"/>
          <w:szCs w:val="21"/>
          <w:highlight w:val="none"/>
        </w:rPr>
        <w:t>中</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第三章</w:t>
      </w:r>
      <w:r>
        <w:rPr>
          <w:rFonts w:hint="eastAsia" w:ascii="宋体" w:hAnsi="宋体" w:eastAsia="宋体" w:cs="宋体"/>
          <w:b/>
          <w:bCs/>
          <w:color w:val="000000"/>
          <w:sz w:val="21"/>
          <w:szCs w:val="21"/>
          <w:highlight w:val="none"/>
          <w:lang w:val="en-US" w:eastAsia="zh-CN"/>
        </w:rPr>
        <w:t xml:space="preserve"> </w:t>
      </w:r>
      <w:r>
        <w:rPr>
          <w:rFonts w:hint="eastAsia" w:ascii="宋体" w:hAnsi="宋体" w:eastAsia="宋体" w:cs="宋体"/>
          <w:b/>
          <w:bCs/>
          <w:color w:val="000000"/>
          <w:sz w:val="21"/>
          <w:szCs w:val="21"/>
          <w:highlight w:val="none"/>
        </w:rPr>
        <w:t>采购需求</w:t>
      </w:r>
      <w:r>
        <w:rPr>
          <w:rFonts w:hint="eastAsia" w:ascii="宋体" w:hAnsi="宋体" w:eastAsia="宋体" w:cs="宋体"/>
          <w:b/>
          <w:bCs/>
          <w:color w:val="000000"/>
          <w:sz w:val="21"/>
          <w:szCs w:val="21"/>
          <w:highlight w:val="none"/>
          <w:lang w:eastAsia="zh-CN"/>
        </w:rPr>
        <w:t>”中的“</w:t>
      </w:r>
      <w:r>
        <w:rPr>
          <w:rFonts w:hint="eastAsia" w:ascii="宋体" w:hAnsi="宋体" w:eastAsia="宋体" w:cs="宋体"/>
          <w:b/>
          <w:bCs/>
          <w:color w:val="000000"/>
          <w:sz w:val="21"/>
          <w:szCs w:val="21"/>
          <w:highlight w:val="none"/>
        </w:rPr>
        <w:t>商务要求</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rPr>
        <w:t>的内容逐条响应，并在“偏离情况说明”栏注明“正偏离”、“负偏离”或“无偏离”。</w:t>
      </w:r>
      <w:r>
        <w:rPr>
          <w:rFonts w:hint="eastAsia" w:ascii="宋体" w:hAnsi="宋体" w:eastAsia="宋体" w:cs="宋体"/>
          <w:b/>
          <w:bCs/>
          <w:color w:val="000000"/>
          <w:sz w:val="21"/>
          <w:szCs w:val="21"/>
          <w:highlight w:val="none"/>
          <w:lang w:eastAsia="zh-CN"/>
        </w:rPr>
        <w:t>否则，响应无效。</w:t>
      </w:r>
    </w:p>
    <w:p w14:paraId="2C9FC86A">
      <w:pPr>
        <w:spacing w:line="400" w:lineRule="exact"/>
        <w:ind w:firstLine="800" w:firstLineChars="400"/>
        <w:rPr>
          <w:rFonts w:hint="eastAsia" w:ascii="宋体" w:hAnsi="宋体" w:cs="宋体"/>
          <w:sz w:val="20"/>
          <w:szCs w:val="20"/>
        </w:rPr>
      </w:pPr>
    </w:p>
    <w:p w14:paraId="5BFB41E9">
      <w:pPr>
        <w:spacing w:line="400" w:lineRule="exact"/>
        <w:ind w:firstLine="800" w:firstLineChars="400"/>
        <w:rPr>
          <w:rFonts w:hint="eastAsia" w:ascii="宋体" w:hAnsi="宋体" w:cs="宋体"/>
          <w:sz w:val="20"/>
          <w:szCs w:val="20"/>
        </w:rPr>
      </w:pPr>
    </w:p>
    <w:p w14:paraId="2EAE7304">
      <w:pPr>
        <w:spacing w:line="400" w:lineRule="exact"/>
        <w:ind w:firstLine="800" w:firstLineChars="400"/>
        <w:rPr>
          <w:rFonts w:hint="eastAsia" w:ascii="宋体" w:hAnsi="宋体" w:cs="宋体"/>
          <w:sz w:val="20"/>
          <w:szCs w:val="20"/>
        </w:rPr>
      </w:pPr>
    </w:p>
    <w:p w14:paraId="008AC338">
      <w:pPr>
        <w:spacing w:line="400" w:lineRule="exact"/>
        <w:ind w:firstLine="800" w:firstLineChars="400"/>
        <w:rPr>
          <w:rFonts w:hint="eastAsia" w:ascii="宋体" w:hAnsi="宋体" w:cs="宋体"/>
          <w:sz w:val="20"/>
          <w:szCs w:val="20"/>
        </w:rPr>
      </w:pPr>
    </w:p>
    <w:p w14:paraId="14C83B0D">
      <w:pPr>
        <w:spacing w:line="400" w:lineRule="exact"/>
        <w:ind w:firstLine="800" w:firstLineChars="400"/>
        <w:rPr>
          <w:rFonts w:hint="eastAsia" w:ascii="宋体" w:hAnsi="宋体" w:cs="宋体"/>
          <w:sz w:val="20"/>
          <w:szCs w:val="20"/>
        </w:rPr>
      </w:pPr>
    </w:p>
    <w:p w14:paraId="654692D5">
      <w:pPr>
        <w:spacing w:line="400" w:lineRule="exact"/>
        <w:ind w:firstLine="800" w:firstLineChars="400"/>
        <w:rPr>
          <w:rFonts w:hint="eastAsia" w:ascii="宋体" w:hAnsi="宋体" w:cs="宋体"/>
          <w:sz w:val="20"/>
          <w:szCs w:val="20"/>
        </w:rPr>
      </w:pPr>
    </w:p>
    <w:p w14:paraId="6821A4DE">
      <w:pPr>
        <w:spacing w:line="400" w:lineRule="exact"/>
        <w:ind w:firstLine="800" w:firstLineChars="400"/>
        <w:rPr>
          <w:rFonts w:hint="eastAsia" w:ascii="宋体" w:hAnsi="宋体" w:cs="宋体"/>
          <w:sz w:val="20"/>
          <w:szCs w:val="20"/>
        </w:rPr>
      </w:pPr>
    </w:p>
    <w:p w14:paraId="1F397048">
      <w:pPr>
        <w:spacing w:line="400" w:lineRule="exact"/>
        <w:ind w:firstLine="800" w:firstLineChars="400"/>
        <w:rPr>
          <w:rFonts w:hint="eastAsia" w:ascii="宋体" w:hAnsi="宋体" w:cs="宋体"/>
          <w:sz w:val="20"/>
          <w:szCs w:val="20"/>
        </w:rPr>
      </w:pPr>
    </w:p>
    <w:p w14:paraId="6069A566">
      <w:pPr>
        <w:spacing w:line="400" w:lineRule="exact"/>
        <w:ind w:firstLine="800" w:firstLineChars="400"/>
        <w:rPr>
          <w:rFonts w:hint="eastAsia" w:ascii="宋体" w:hAnsi="宋体" w:cs="宋体"/>
          <w:sz w:val="20"/>
          <w:szCs w:val="20"/>
        </w:rPr>
      </w:pPr>
    </w:p>
    <w:p w14:paraId="3B600487">
      <w:pPr>
        <w:spacing w:line="400" w:lineRule="exact"/>
        <w:ind w:firstLine="800" w:firstLineChars="400"/>
        <w:rPr>
          <w:rFonts w:hint="eastAsia" w:ascii="宋体" w:hAnsi="宋体" w:cs="宋体"/>
          <w:sz w:val="20"/>
          <w:szCs w:val="20"/>
        </w:rPr>
      </w:pPr>
    </w:p>
    <w:p w14:paraId="2E66EEA0">
      <w:pPr>
        <w:rPr>
          <w:rFonts w:cs="宋体"/>
          <w:b/>
          <w:bCs/>
          <w:sz w:val="32"/>
          <w:szCs w:val="32"/>
        </w:rPr>
      </w:pPr>
    </w:p>
    <w:p w14:paraId="089BCF44">
      <w:pPr>
        <w:pStyle w:val="13"/>
        <w:numPr>
          <w:ilvl w:val="0"/>
          <w:numId w:val="9"/>
        </w:numPr>
        <w:spacing w:line="400" w:lineRule="exact"/>
        <w:rPr>
          <w:rFonts w:hint="eastAsia"/>
          <w:b/>
          <w:sz w:val="28"/>
          <w:szCs w:val="28"/>
        </w:rPr>
      </w:pPr>
      <w:bookmarkStart w:id="998" w:name="_Toc25573"/>
      <w:bookmarkStart w:id="999" w:name="_Toc21456"/>
      <w:r>
        <w:rPr>
          <w:rFonts w:hint="eastAsia"/>
          <w:b/>
          <w:sz w:val="28"/>
          <w:szCs w:val="28"/>
        </w:rPr>
        <w:t>供应商的售后服务承诺书（必须包含售后服务要求的全部内容）（格式见附件）</w:t>
      </w:r>
      <w:bookmarkEnd w:id="998"/>
      <w:bookmarkEnd w:id="999"/>
      <w:r>
        <w:rPr>
          <w:rFonts w:hint="eastAsia"/>
          <w:b/>
          <w:sz w:val="28"/>
          <w:szCs w:val="28"/>
        </w:rPr>
        <w:t>（必须提供）</w:t>
      </w:r>
    </w:p>
    <w:p w14:paraId="78D5A93C">
      <w:pPr>
        <w:pStyle w:val="7"/>
        <w:rPr>
          <w:rFonts w:hint="eastAsia"/>
        </w:rPr>
      </w:pPr>
    </w:p>
    <w:p w14:paraId="00C222F0">
      <w:pPr>
        <w:pStyle w:val="13"/>
        <w:spacing w:line="300" w:lineRule="exact"/>
        <w:ind w:left="420"/>
        <w:jc w:val="left"/>
        <w:rPr>
          <w:rFonts w:ascii="Times New Roman" w:hAnsi="Times New Roman"/>
          <w:b/>
          <w:sz w:val="32"/>
          <w:szCs w:val="32"/>
        </w:rPr>
      </w:pPr>
      <w:r>
        <w:rPr>
          <w:rFonts w:ascii="Times New Roman" w:hAnsi="Times New Roman"/>
          <w:b/>
          <w:sz w:val="32"/>
          <w:szCs w:val="32"/>
        </w:rPr>
        <w:t>附件：</w:t>
      </w:r>
    </w:p>
    <w:p w14:paraId="53226569">
      <w:pPr>
        <w:pStyle w:val="13"/>
        <w:spacing w:line="340" w:lineRule="exact"/>
        <w:jc w:val="center"/>
        <w:rPr>
          <w:rFonts w:hint="eastAsia" w:hAnsi="宋体" w:cs="宋体"/>
          <w:b/>
          <w:sz w:val="32"/>
          <w:szCs w:val="32"/>
        </w:rPr>
      </w:pPr>
      <w:r>
        <w:rPr>
          <w:rFonts w:hint="eastAsia" w:hAnsi="宋体" w:cs="宋体"/>
          <w:b/>
          <w:sz w:val="32"/>
          <w:szCs w:val="32"/>
        </w:rPr>
        <w:t>服务承诺书（格式）</w:t>
      </w:r>
    </w:p>
    <w:p w14:paraId="47E83353">
      <w:pPr>
        <w:pStyle w:val="13"/>
        <w:spacing w:line="340" w:lineRule="exact"/>
        <w:jc w:val="center"/>
        <w:rPr>
          <w:rFonts w:hint="eastAsia" w:hAnsi="宋体" w:cs="宋体"/>
          <w:b/>
          <w:sz w:val="32"/>
          <w:szCs w:val="32"/>
        </w:rPr>
      </w:pPr>
    </w:p>
    <w:p w14:paraId="64186E5B">
      <w:pPr>
        <w:pStyle w:val="13"/>
        <w:spacing w:line="340" w:lineRule="exact"/>
        <w:jc w:val="center"/>
        <w:rPr>
          <w:rFonts w:hint="eastAsia" w:hAnsi="宋体" w:cs="宋体"/>
          <w:b/>
          <w:sz w:val="32"/>
          <w:szCs w:val="32"/>
        </w:rPr>
      </w:pPr>
    </w:p>
    <w:p w14:paraId="0FC462CA">
      <w:pPr>
        <w:pStyle w:val="13"/>
        <w:spacing w:line="340" w:lineRule="exact"/>
        <w:jc w:val="center"/>
        <w:rPr>
          <w:rFonts w:hint="eastAsia" w:hAnsi="宋体" w:cs="宋体"/>
          <w:b/>
          <w:sz w:val="32"/>
          <w:szCs w:val="32"/>
        </w:rPr>
      </w:pPr>
    </w:p>
    <w:p w14:paraId="5389BB1C">
      <w:pPr>
        <w:rPr>
          <w:rFonts w:hint="eastAsia" w:ascii="宋体" w:hAnsi="宋体" w:cs="宋体"/>
          <w:b/>
          <w:sz w:val="32"/>
          <w:szCs w:val="32"/>
        </w:rPr>
      </w:pPr>
    </w:p>
    <w:p w14:paraId="7CFBC09F">
      <w:pPr>
        <w:pStyle w:val="2"/>
        <w:rPr>
          <w:rFonts w:hint="eastAsia" w:ascii="宋体" w:hAnsi="宋体" w:cs="宋体"/>
        </w:rPr>
      </w:pPr>
    </w:p>
    <w:p w14:paraId="024D9884">
      <w:pPr>
        <w:pStyle w:val="2"/>
        <w:rPr>
          <w:rFonts w:hint="eastAsia" w:ascii="宋体" w:hAnsi="宋体" w:cs="宋体"/>
          <w:b/>
          <w:sz w:val="32"/>
          <w:szCs w:val="32"/>
        </w:rPr>
      </w:pPr>
    </w:p>
    <w:p w14:paraId="331B2821">
      <w:pPr>
        <w:pStyle w:val="13"/>
        <w:spacing w:line="340" w:lineRule="exact"/>
        <w:jc w:val="center"/>
        <w:rPr>
          <w:rFonts w:hint="eastAsia" w:hAnsi="宋体" w:cs="宋体"/>
          <w:b/>
          <w:sz w:val="32"/>
          <w:szCs w:val="32"/>
        </w:rPr>
      </w:pPr>
    </w:p>
    <w:p w14:paraId="0B1BADA9">
      <w:pPr>
        <w:snapToGrid w:val="0"/>
        <w:spacing w:line="400" w:lineRule="exact"/>
        <w:ind w:firstLine="1890" w:firstLineChars="900"/>
        <w:rPr>
          <w:rFonts w:hint="eastAsia" w:ascii="宋体" w:hAnsi="宋体" w:cs="宋体"/>
          <w:szCs w:val="21"/>
          <w:u w:val="single"/>
        </w:rPr>
      </w:pPr>
      <w:r>
        <w:rPr>
          <w:rFonts w:hint="eastAsia" w:ascii="宋体" w:hAnsi="宋体" w:cs="宋体"/>
          <w:szCs w:val="21"/>
        </w:rPr>
        <w:t>磋商供应商[公章(CA签章)，自然人签字或个人CA签章]：</w:t>
      </w:r>
      <w:r>
        <w:rPr>
          <w:rFonts w:hint="eastAsia" w:ascii="宋体" w:hAnsi="宋体" w:cs="宋体"/>
          <w:szCs w:val="21"/>
          <w:u w:val="single"/>
        </w:rPr>
        <w:t xml:space="preserve">                                     </w:t>
      </w:r>
    </w:p>
    <w:p w14:paraId="7D5D67AF">
      <w:pPr>
        <w:snapToGrid w:val="0"/>
        <w:spacing w:line="400" w:lineRule="exact"/>
        <w:ind w:firstLine="1890" w:firstLineChars="900"/>
        <w:rPr>
          <w:rFonts w:hint="eastAsia" w:ascii="宋体" w:hAnsi="宋体" w:cs="宋体"/>
        </w:rPr>
      </w:pPr>
    </w:p>
    <w:p w14:paraId="1C72EB1A">
      <w:pPr>
        <w:snapToGrid w:val="0"/>
        <w:spacing w:line="400" w:lineRule="exact"/>
        <w:ind w:firstLine="1680" w:firstLineChars="800"/>
        <w:rPr>
          <w:rFonts w:hint="eastAsia" w:ascii="宋体" w:hAnsi="宋体" w:cs="宋体"/>
          <w:b/>
          <w:bCs/>
          <w:szCs w:val="21"/>
        </w:rPr>
      </w:pPr>
      <w:r>
        <w:rPr>
          <w:rFonts w:hint="eastAsia" w:ascii="宋体" w:hAnsi="宋体" w:cs="宋体"/>
        </w:rPr>
        <w:t xml:space="preserve"> 日          期：</w:t>
      </w:r>
      <w:r>
        <w:rPr>
          <w:rFonts w:hint="eastAsia" w:ascii="宋体" w:hAnsi="宋体" w:cs="宋体"/>
          <w:u w:val="single"/>
        </w:rPr>
        <w:t xml:space="preserve">                                                   </w:t>
      </w:r>
    </w:p>
    <w:p w14:paraId="70903D4E">
      <w:pPr>
        <w:snapToGrid w:val="0"/>
        <w:spacing w:line="400" w:lineRule="exact"/>
        <w:ind w:firstLine="1680" w:firstLineChars="800"/>
        <w:rPr>
          <w:rFonts w:hint="eastAsia" w:ascii="宋体" w:hAnsi="宋体" w:cs="宋体"/>
        </w:rPr>
      </w:pPr>
    </w:p>
    <w:p w14:paraId="3BC87472">
      <w:pPr>
        <w:snapToGrid w:val="0"/>
        <w:spacing w:line="400" w:lineRule="exact"/>
        <w:ind w:firstLine="1680" w:firstLineChars="800"/>
        <w:rPr>
          <w:rFonts w:hint="eastAsia" w:ascii="宋体" w:hAnsi="宋体" w:cs="宋体"/>
        </w:rPr>
      </w:pPr>
    </w:p>
    <w:p w14:paraId="33263C0F">
      <w:pPr>
        <w:snapToGrid w:val="0"/>
        <w:spacing w:line="400" w:lineRule="exact"/>
        <w:ind w:firstLine="1680" w:firstLineChars="800"/>
        <w:rPr>
          <w:rFonts w:hint="eastAsia" w:ascii="宋体" w:hAnsi="宋体" w:cs="宋体"/>
        </w:rPr>
      </w:pPr>
    </w:p>
    <w:p w14:paraId="233750EC">
      <w:pPr>
        <w:snapToGrid w:val="0"/>
        <w:spacing w:line="400" w:lineRule="exact"/>
        <w:ind w:firstLine="1680" w:firstLineChars="800"/>
        <w:rPr>
          <w:rFonts w:hint="eastAsia" w:ascii="宋体" w:hAnsi="宋体" w:cs="宋体"/>
        </w:rPr>
      </w:pPr>
    </w:p>
    <w:p w14:paraId="046C581F">
      <w:pPr>
        <w:snapToGrid w:val="0"/>
        <w:spacing w:line="400" w:lineRule="exact"/>
        <w:ind w:firstLine="1680" w:firstLineChars="800"/>
        <w:rPr>
          <w:rFonts w:hint="eastAsia" w:ascii="宋体" w:hAnsi="宋体" w:cs="宋体"/>
        </w:rPr>
      </w:pPr>
    </w:p>
    <w:p w14:paraId="4BEB8911">
      <w:pPr>
        <w:snapToGrid w:val="0"/>
        <w:spacing w:line="400" w:lineRule="exact"/>
        <w:ind w:firstLine="1680" w:firstLineChars="800"/>
        <w:rPr>
          <w:rFonts w:hint="eastAsia" w:ascii="宋体" w:hAnsi="宋体" w:cs="宋体"/>
        </w:rPr>
      </w:pPr>
    </w:p>
    <w:p w14:paraId="3C5D4858">
      <w:pPr>
        <w:snapToGrid w:val="0"/>
        <w:spacing w:line="400" w:lineRule="exact"/>
        <w:ind w:firstLine="1680" w:firstLineChars="800"/>
        <w:rPr>
          <w:rFonts w:hint="eastAsia" w:ascii="宋体" w:hAnsi="宋体" w:cs="宋体"/>
        </w:rPr>
      </w:pPr>
    </w:p>
    <w:p w14:paraId="202D3F7C">
      <w:pPr>
        <w:snapToGrid w:val="0"/>
        <w:spacing w:line="400" w:lineRule="exact"/>
        <w:ind w:firstLine="1680" w:firstLineChars="800"/>
        <w:rPr>
          <w:rFonts w:hint="eastAsia" w:ascii="宋体" w:hAnsi="宋体" w:cs="宋体"/>
        </w:rPr>
      </w:pPr>
    </w:p>
    <w:p w14:paraId="225B2A07">
      <w:pPr>
        <w:snapToGrid w:val="0"/>
        <w:spacing w:line="400" w:lineRule="exact"/>
        <w:ind w:firstLine="1680" w:firstLineChars="800"/>
        <w:rPr>
          <w:rFonts w:hint="eastAsia" w:ascii="宋体" w:hAnsi="宋体" w:cs="宋体"/>
        </w:rPr>
      </w:pPr>
    </w:p>
    <w:p w14:paraId="3F0DACE5">
      <w:pPr>
        <w:snapToGrid w:val="0"/>
        <w:spacing w:line="400" w:lineRule="exact"/>
        <w:ind w:firstLine="1680" w:firstLineChars="800"/>
        <w:rPr>
          <w:rFonts w:hint="eastAsia" w:ascii="宋体" w:hAnsi="宋体" w:cs="宋体"/>
        </w:rPr>
      </w:pPr>
    </w:p>
    <w:p w14:paraId="46D2A4BA">
      <w:pPr>
        <w:pStyle w:val="13"/>
        <w:numPr>
          <w:ilvl w:val="0"/>
          <w:numId w:val="9"/>
        </w:numPr>
        <w:spacing w:line="340" w:lineRule="exact"/>
        <w:rPr>
          <w:rFonts w:hint="eastAsia"/>
          <w:b/>
          <w:sz w:val="28"/>
          <w:szCs w:val="28"/>
        </w:rPr>
      </w:pPr>
      <w:r>
        <w:rPr>
          <w:rFonts w:hint="eastAsia"/>
          <w:b/>
          <w:sz w:val="28"/>
          <w:szCs w:val="28"/>
        </w:rPr>
        <w:t>“采购需求”需提供的有效证明文件（按其要求提供）。</w:t>
      </w:r>
    </w:p>
    <w:p w14:paraId="76B0DFE3">
      <w:pPr>
        <w:spacing w:line="440" w:lineRule="exact"/>
        <w:jc w:val="center"/>
        <w:rPr>
          <w:b/>
          <w:bCs/>
          <w:sz w:val="32"/>
          <w:szCs w:val="32"/>
        </w:rPr>
      </w:pPr>
    </w:p>
    <w:p w14:paraId="1C3A458A">
      <w:pPr>
        <w:spacing w:line="440" w:lineRule="exact"/>
        <w:jc w:val="center"/>
        <w:rPr>
          <w:b/>
          <w:bCs/>
          <w:sz w:val="32"/>
          <w:szCs w:val="32"/>
        </w:rPr>
      </w:pPr>
    </w:p>
    <w:p w14:paraId="2817E3F1">
      <w:pPr>
        <w:spacing w:line="440" w:lineRule="exact"/>
        <w:jc w:val="center"/>
        <w:rPr>
          <w:b/>
          <w:bCs/>
          <w:sz w:val="32"/>
          <w:szCs w:val="32"/>
        </w:rPr>
      </w:pPr>
    </w:p>
    <w:p w14:paraId="3BB30BA3">
      <w:pPr>
        <w:spacing w:line="440" w:lineRule="exact"/>
        <w:jc w:val="center"/>
        <w:rPr>
          <w:b/>
          <w:bCs/>
          <w:sz w:val="32"/>
          <w:szCs w:val="32"/>
        </w:rPr>
      </w:pPr>
    </w:p>
    <w:p w14:paraId="1E86331F">
      <w:pPr>
        <w:spacing w:line="440" w:lineRule="exact"/>
        <w:jc w:val="center"/>
        <w:rPr>
          <w:b/>
          <w:bCs/>
          <w:sz w:val="32"/>
          <w:szCs w:val="32"/>
        </w:rPr>
      </w:pPr>
    </w:p>
    <w:p w14:paraId="0479BC4E">
      <w:pPr>
        <w:pStyle w:val="8"/>
        <w:rPr>
          <w:b/>
          <w:bCs/>
          <w:sz w:val="32"/>
          <w:szCs w:val="32"/>
        </w:rPr>
      </w:pPr>
    </w:p>
    <w:p w14:paraId="7DBD3CAC">
      <w:pPr>
        <w:spacing w:line="440" w:lineRule="exact"/>
        <w:jc w:val="center"/>
        <w:outlineLvl w:val="1"/>
        <w:rPr>
          <w:b/>
          <w:bCs/>
          <w:sz w:val="32"/>
          <w:szCs w:val="32"/>
        </w:rPr>
      </w:pPr>
      <w:bookmarkStart w:id="1000" w:name="_Toc28672"/>
      <w:bookmarkStart w:id="1001" w:name="_Toc8815"/>
      <w:bookmarkStart w:id="1002" w:name="_Toc11185"/>
      <w:bookmarkStart w:id="1003" w:name="_Toc26318"/>
      <w:bookmarkStart w:id="1004" w:name="_Toc20983"/>
      <w:bookmarkStart w:id="1005" w:name="_Toc9339"/>
      <w:bookmarkStart w:id="1006" w:name="_Toc2732"/>
      <w:bookmarkStart w:id="1007" w:name="_Toc26194"/>
      <w:bookmarkStart w:id="1008" w:name="_Toc11523"/>
      <w:bookmarkStart w:id="1009" w:name="_Toc29815"/>
      <w:bookmarkStart w:id="1010" w:name="_Toc497927084"/>
      <w:r>
        <w:rPr>
          <w:b/>
          <w:bCs/>
          <w:sz w:val="32"/>
          <w:szCs w:val="32"/>
        </w:rPr>
        <w:t>（</w:t>
      </w:r>
      <w:r>
        <w:rPr>
          <w:rFonts w:hint="eastAsia"/>
          <w:b/>
          <w:bCs/>
          <w:sz w:val="32"/>
          <w:szCs w:val="32"/>
        </w:rPr>
        <w:t>三</w:t>
      </w:r>
      <w:r>
        <w:rPr>
          <w:b/>
          <w:bCs/>
          <w:sz w:val="32"/>
          <w:szCs w:val="32"/>
        </w:rPr>
        <w:t>）其</w:t>
      </w:r>
      <w:r>
        <w:rPr>
          <w:rFonts w:hint="eastAsia"/>
          <w:b/>
          <w:bCs/>
          <w:sz w:val="32"/>
          <w:szCs w:val="32"/>
        </w:rPr>
        <w:t>他</w:t>
      </w:r>
      <w:r>
        <w:rPr>
          <w:b/>
          <w:bCs/>
          <w:sz w:val="32"/>
          <w:szCs w:val="32"/>
        </w:rPr>
        <w:t>有效证明材料目录</w:t>
      </w:r>
      <w:bookmarkEnd w:id="1000"/>
      <w:bookmarkEnd w:id="1001"/>
      <w:bookmarkEnd w:id="1002"/>
      <w:bookmarkEnd w:id="1003"/>
      <w:bookmarkEnd w:id="1004"/>
      <w:bookmarkEnd w:id="1005"/>
      <w:bookmarkEnd w:id="1006"/>
      <w:bookmarkEnd w:id="1007"/>
      <w:bookmarkEnd w:id="1008"/>
      <w:bookmarkEnd w:id="1009"/>
      <w:bookmarkEnd w:id="1010"/>
    </w:p>
    <w:p w14:paraId="1B070F05">
      <w:pPr>
        <w:spacing w:line="400" w:lineRule="exact"/>
        <w:ind w:firstLine="420" w:firstLineChars="200"/>
        <w:rPr>
          <w:rFonts w:hint="eastAsia" w:ascii="宋体" w:hAnsi="宋体" w:cs="宋体"/>
          <w:szCs w:val="21"/>
        </w:rPr>
      </w:pPr>
    </w:p>
    <w:p w14:paraId="7CEE5A64">
      <w:pPr>
        <w:spacing w:line="400" w:lineRule="exact"/>
        <w:ind w:firstLine="420" w:firstLineChars="200"/>
        <w:rPr>
          <w:rFonts w:hint="eastAsia" w:ascii="宋体" w:hAnsi="宋体" w:cs="宋体"/>
          <w:b/>
          <w:bCs/>
          <w:szCs w:val="21"/>
        </w:rPr>
      </w:pPr>
      <w:r>
        <w:rPr>
          <w:rFonts w:hint="eastAsia" w:ascii="宋体" w:hAnsi="宋体" w:cs="宋体"/>
          <w:szCs w:val="21"/>
        </w:rPr>
        <w:t>1.项目实施人员一览表</w:t>
      </w:r>
      <w:r>
        <w:rPr>
          <w:rFonts w:hint="eastAsia" w:ascii="宋体" w:hAnsi="宋体" w:cs="宋体"/>
          <w:b/>
          <w:szCs w:val="21"/>
        </w:rPr>
        <w:t>（如有，请提供）</w:t>
      </w:r>
      <w:r>
        <w:rPr>
          <w:rFonts w:hint="eastAsia" w:ascii="宋体" w:hAnsi="宋体" w:cs="宋体"/>
          <w:b/>
          <w:bCs/>
          <w:szCs w:val="21"/>
        </w:rPr>
        <w:t>；</w:t>
      </w:r>
    </w:p>
    <w:p w14:paraId="15BF0AE1">
      <w:pPr>
        <w:tabs>
          <w:tab w:val="left" w:pos="1305"/>
        </w:tabs>
        <w:spacing w:line="400" w:lineRule="exact"/>
        <w:ind w:firstLine="420" w:firstLineChars="200"/>
        <w:rPr>
          <w:rFonts w:hint="eastAsia" w:ascii="宋体" w:hAnsi="宋体" w:cs="宋体"/>
          <w:szCs w:val="20"/>
        </w:rPr>
      </w:pPr>
      <w:r>
        <w:rPr>
          <w:rFonts w:hint="eastAsia" w:ascii="宋体" w:hAnsi="宋体" w:cs="宋体"/>
          <w:szCs w:val="21"/>
        </w:rPr>
        <w:t>2.节能方面的证书扫描件加盖电子签章</w:t>
      </w:r>
      <w:r>
        <w:rPr>
          <w:rFonts w:hint="eastAsia" w:ascii="宋体" w:hAnsi="宋体" w:cs="宋体"/>
          <w:b/>
          <w:szCs w:val="21"/>
        </w:rPr>
        <w:t>（如有，请提供）</w:t>
      </w:r>
      <w:r>
        <w:rPr>
          <w:rFonts w:hint="eastAsia" w:ascii="宋体" w:hAnsi="宋体" w:cs="宋体"/>
          <w:bCs/>
          <w:szCs w:val="21"/>
        </w:rPr>
        <w:t>；</w:t>
      </w:r>
    </w:p>
    <w:p w14:paraId="2F2482A7">
      <w:pPr>
        <w:tabs>
          <w:tab w:val="left" w:pos="1305"/>
        </w:tabs>
        <w:spacing w:line="400" w:lineRule="exact"/>
        <w:ind w:firstLine="420" w:firstLineChars="200"/>
        <w:rPr>
          <w:rFonts w:hint="eastAsia" w:ascii="宋体" w:hAnsi="宋体" w:cs="宋体"/>
          <w:szCs w:val="21"/>
        </w:rPr>
      </w:pPr>
      <w:r>
        <w:rPr>
          <w:rFonts w:hint="eastAsia" w:ascii="宋体" w:hAnsi="宋体" w:cs="宋体"/>
          <w:szCs w:val="21"/>
        </w:rPr>
        <w:t>3.环境标志方面的证书扫描件加盖电子签章</w:t>
      </w:r>
      <w:r>
        <w:rPr>
          <w:rFonts w:hint="eastAsia" w:ascii="宋体" w:hAnsi="宋体" w:cs="宋体"/>
          <w:b/>
          <w:szCs w:val="21"/>
        </w:rPr>
        <w:t>（如有，请提供）</w:t>
      </w:r>
      <w:r>
        <w:rPr>
          <w:rFonts w:hint="eastAsia" w:ascii="宋体" w:hAnsi="宋体" w:cs="宋体"/>
          <w:bCs/>
          <w:szCs w:val="21"/>
        </w:rPr>
        <w:t>；</w:t>
      </w:r>
    </w:p>
    <w:p w14:paraId="0F500D4E">
      <w:pPr>
        <w:tabs>
          <w:tab w:val="left" w:pos="1305"/>
        </w:tabs>
        <w:spacing w:line="400" w:lineRule="exact"/>
        <w:ind w:firstLine="420" w:firstLineChars="200"/>
        <w:rPr>
          <w:rFonts w:hint="eastAsia" w:ascii="宋体" w:hAnsi="宋体" w:cs="宋体"/>
        </w:rPr>
      </w:pPr>
      <w:r>
        <w:rPr>
          <w:rFonts w:hint="eastAsia" w:ascii="宋体" w:hAnsi="宋体" w:cs="宋体"/>
          <w:szCs w:val="21"/>
        </w:rPr>
        <w:t>4.供应商自</w:t>
      </w:r>
      <w:r>
        <w:rPr>
          <w:rFonts w:hint="eastAsia" w:ascii="宋体" w:hAnsi="宋体" w:cs="宋体"/>
        </w:rPr>
        <w:t>2023年1月1日</w:t>
      </w:r>
      <w:r>
        <w:rPr>
          <w:rFonts w:hint="eastAsia" w:ascii="宋体" w:hAnsi="宋体" w:cs="宋体"/>
          <w:szCs w:val="21"/>
        </w:rPr>
        <w:t>以来具有同类产品的销售业绩 [以中标（成交）通知书或采购合同扫描件加盖电子签章为准（能清晰反映所销售的货物名称、种类、金额)，否则将不予计分；同一个编号的项目有两个或两个以上的分标中标的只算一次]</w:t>
      </w:r>
      <w:r>
        <w:rPr>
          <w:rFonts w:hint="eastAsia" w:ascii="宋体" w:hAnsi="宋体" w:cs="宋体"/>
          <w:b/>
        </w:rPr>
        <w:t>（如有，请提供）</w:t>
      </w:r>
      <w:r>
        <w:rPr>
          <w:rFonts w:hint="eastAsia" w:ascii="宋体" w:hAnsi="宋体" w:cs="宋体"/>
          <w:bCs/>
        </w:rPr>
        <w:t>；</w:t>
      </w:r>
    </w:p>
    <w:p w14:paraId="67D3F6CA">
      <w:pPr>
        <w:pStyle w:val="8"/>
        <w:spacing w:line="400" w:lineRule="exact"/>
        <w:rPr>
          <w:rFonts w:hint="eastAsia"/>
        </w:rPr>
      </w:pPr>
      <w:r>
        <w:rPr>
          <w:rFonts w:hint="eastAsia"/>
        </w:rPr>
        <w:t>5.《中小企业声明函》（见附件）</w:t>
      </w:r>
      <w:r>
        <w:rPr>
          <w:rFonts w:hint="eastAsia"/>
          <w:b/>
          <w:bCs/>
        </w:rPr>
        <w:t>（如有，请提供）</w:t>
      </w:r>
      <w:r>
        <w:rPr>
          <w:rFonts w:hint="eastAsia"/>
        </w:rPr>
        <w:t>；</w:t>
      </w:r>
    </w:p>
    <w:p w14:paraId="0990A0CF">
      <w:pPr>
        <w:pStyle w:val="8"/>
        <w:spacing w:line="400" w:lineRule="exact"/>
        <w:rPr>
          <w:rFonts w:hint="eastAsia"/>
        </w:rPr>
      </w:pPr>
      <w:r>
        <w:rPr>
          <w:rFonts w:hint="eastAsia"/>
        </w:rPr>
        <w:t>6.如货物生产企业属于监狱企业的，应当提供由省级以上监狱管理局、戒毒管理局等（含新疆生产建设兵团）出具的属于监狱企业的证明文件</w:t>
      </w:r>
      <w:r>
        <w:rPr>
          <w:rFonts w:hint="eastAsia"/>
          <w:b/>
          <w:bCs/>
        </w:rPr>
        <w:t>（如有，请提供）</w:t>
      </w:r>
      <w:r>
        <w:rPr>
          <w:rFonts w:hint="eastAsia"/>
        </w:rPr>
        <w:t>；</w:t>
      </w:r>
    </w:p>
    <w:p w14:paraId="7EE73D8B">
      <w:pPr>
        <w:tabs>
          <w:tab w:val="left" w:pos="1305"/>
        </w:tabs>
        <w:spacing w:line="400" w:lineRule="exact"/>
        <w:ind w:firstLine="420" w:firstLineChars="200"/>
        <w:rPr>
          <w:rFonts w:hint="eastAsia"/>
        </w:rPr>
      </w:pPr>
      <w:r>
        <w:rPr>
          <w:rFonts w:hint="eastAsia"/>
        </w:rPr>
        <w:t>7.符合条件的残疾人福利性单位在参加政府采购活动时，应当提供《残疾人福利性单位声明函》（见附件），并对声明的真实性负责；</w:t>
      </w:r>
      <w:r>
        <w:rPr>
          <w:rFonts w:hint="eastAsia"/>
          <w:b/>
          <w:bCs/>
        </w:rPr>
        <w:t>（如有，请提供）</w:t>
      </w:r>
      <w:r>
        <w:rPr>
          <w:rFonts w:hint="eastAsia"/>
        </w:rPr>
        <w:t>；</w:t>
      </w:r>
    </w:p>
    <w:p w14:paraId="3BEE9443">
      <w:pPr>
        <w:pStyle w:val="14"/>
        <w:ind w:firstLine="420" w:firstLineChars="200"/>
        <w:rPr>
          <w:rFonts w:hint="eastAsia"/>
          <w:highlight w:val="none"/>
        </w:rPr>
      </w:pPr>
      <w:r>
        <w:rPr>
          <w:rFonts w:hint="eastAsia" w:ascii="宋体" w:hAnsi="宋体" w:eastAsia="宋体" w:cs="宋体"/>
          <w:sz w:val="21"/>
          <w:szCs w:val="21"/>
          <w:highlight w:val="none"/>
          <w:lang w:val="en-US" w:eastAsia="zh-CN"/>
        </w:rPr>
        <w:t>8.</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eastAsia="zh-CN"/>
        </w:rPr>
        <w:t>关于符合本国产品标准的声明函</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rPr>
        <w:t>（见附件）</w:t>
      </w:r>
      <w:r>
        <w:rPr>
          <w:rFonts w:hint="eastAsia" w:ascii="宋体" w:hAnsi="宋体" w:eastAsia="宋体" w:cs="宋体"/>
          <w:b/>
          <w:bCs/>
          <w:sz w:val="21"/>
          <w:szCs w:val="21"/>
          <w:highlight w:val="none"/>
        </w:rPr>
        <w:t>（如有，请提供）</w:t>
      </w:r>
      <w:r>
        <w:rPr>
          <w:rFonts w:hint="eastAsia" w:ascii="宋体" w:hAnsi="宋体" w:eastAsia="宋体" w:cs="宋体"/>
          <w:sz w:val="21"/>
          <w:szCs w:val="21"/>
          <w:highlight w:val="none"/>
        </w:rPr>
        <w:t>；</w:t>
      </w:r>
    </w:p>
    <w:p w14:paraId="7365EB8F">
      <w:pPr>
        <w:tabs>
          <w:tab w:val="left" w:pos="1305"/>
        </w:tabs>
        <w:spacing w:line="400" w:lineRule="exact"/>
        <w:ind w:firstLine="420" w:firstLineChars="200"/>
        <w:outlineLvl w:val="3"/>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.项目实施方案</w:t>
      </w:r>
      <w:r>
        <w:rPr>
          <w:rFonts w:hint="eastAsia" w:ascii="宋体" w:hAnsi="宋体" w:cs="宋体"/>
          <w:b/>
          <w:bCs/>
          <w:szCs w:val="21"/>
        </w:rPr>
        <w:t>（如有，请提供）</w:t>
      </w:r>
      <w:r>
        <w:rPr>
          <w:rFonts w:hint="eastAsia" w:ascii="宋体" w:hAnsi="宋体" w:cs="宋体"/>
          <w:szCs w:val="21"/>
        </w:rPr>
        <w:t>；</w:t>
      </w:r>
    </w:p>
    <w:p w14:paraId="660003D2">
      <w:pPr>
        <w:tabs>
          <w:tab w:val="left" w:pos="1305"/>
        </w:tabs>
        <w:spacing w:line="400" w:lineRule="exact"/>
        <w:ind w:firstLine="420" w:firstLineChars="200"/>
        <w:rPr>
          <w:rFonts w:hint="eastAsia"/>
        </w:rPr>
      </w:pPr>
      <w:r>
        <w:rPr>
          <w:rFonts w:hint="eastAsia" w:ascii="宋体" w:hAnsi="宋体" w:cs="宋体"/>
          <w:szCs w:val="21"/>
          <w:lang w:val="en-US" w:eastAsia="zh-CN"/>
        </w:rPr>
        <w:t>10</w:t>
      </w:r>
      <w:r>
        <w:rPr>
          <w:rFonts w:hint="eastAsia" w:ascii="宋体" w:hAnsi="宋体" w:cs="宋体"/>
          <w:szCs w:val="21"/>
        </w:rPr>
        <w:t>.供应商可结合本项目的评审办法视自身情况自行提交相关证明材料</w:t>
      </w:r>
      <w:r>
        <w:rPr>
          <w:rFonts w:hint="eastAsia" w:ascii="宋体" w:hAnsi="宋体" w:cs="宋体"/>
          <w:b/>
        </w:rPr>
        <w:t>（如有，请提供）</w:t>
      </w:r>
      <w:r>
        <w:rPr>
          <w:rFonts w:hint="eastAsia" w:ascii="宋体" w:hAnsi="宋体" w:cs="宋体"/>
          <w:szCs w:val="21"/>
        </w:rPr>
        <w:t>。</w:t>
      </w:r>
    </w:p>
    <w:p w14:paraId="2F58EB23">
      <w:pPr>
        <w:snapToGrid w:val="0"/>
        <w:spacing w:line="440" w:lineRule="exact"/>
        <w:ind w:firstLine="422" w:firstLineChars="200"/>
        <w:rPr>
          <w:rFonts w:hint="eastAsia" w:ascii="宋体" w:hAnsi="宋体" w:cs="宋体"/>
          <w:b/>
          <w:bCs/>
          <w:szCs w:val="21"/>
        </w:rPr>
      </w:pPr>
      <w:r>
        <w:rPr>
          <w:rFonts w:hint="eastAsia" w:ascii="宋体" w:hAnsi="宋体" w:cs="宋体"/>
          <w:b/>
          <w:bCs/>
          <w:szCs w:val="21"/>
        </w:rPr>
        <w:t>供应商提供的以上相关证明材料属于“必须提供”的文件应加盖供应商公章（CA签章）/自然人签字或加盖个人CA签章，否则响应无效。</w:t>
      </w:r>
    </w:p>
    <w:p w14:paraId="1725C958">
      <w:pPr>
        <w:snapToGrid w:val="0"/>
        <w:spacing w:line="440" w:lineRule="exact"/>
        <w:ind w:firstLine="422" w:firstLineChars="200"/>
        <w:rPr>
          <w:rFonts w:hint="eastAsia" w:ascii="宋体" w:hAnsi="宋体" w:cs="宋体"/>
          <w:b/>
          <w:bCs/>
          <w:szCs w:val="21"/>
        </w:rPr>
      </w:pPr>
    </w:p>
    <w:p w14:paraId="2A7A2D89">
      <w:pPr>
        <w:snapToGrid w:val="0"/>
        <w:spacing w:line="440" w:lineRule="exact"/>
        <w:ind w:firstLine="422" w:firstLineChars="200"/>
        <w:rPr>
          <w:rFonts w:hint="eastAsia" w:ascii="宋体" w:hAnsi="宋体" w:cs="宋体"/>
          <w:b/>
          <w:bCs/>
          <w:szCs w:val="21"/>
        </w:rPr>
      </w:pPr>
    </w:p>
    <w:p w14:paraId="2DAED207">
      <w:pPr>
        <w:snapToGrid w:val="0"/>
        <w:spacing w:line="440" w:lineRule="exact"/>
        <w:ind w:firstLine="422"/>
        <w:rPr>
          <w:rFonts w:hint="eastAsia" w:ascii="宋体" w:hAnsi="宋体" w:cs="宋体"/>
          <w:b/>
          <w:bCs/>
          <w:szCs w:val="21"/>
        </w:rPr>
      </w:pPr>
    </w:p>
    <w:p w14:paraId="3C660E83">
      <w:pPr>
        <w:snapToGrid w:val="0"/>
        <w:spacing w:line="440" w:lineRule="exact"/>
        <w:ind w:firstLine="422"/>
        <w:rPr>
          <w:rFonts w:hint="eastAsia" w:ascii="宋体" w:hAnsi="宋体" w:cs="宋体"/>
          <w:b/>
          <w:bCs/>
          <w:szCs w:val="21"/>
        </w:rPr>
      </w:pPr>
    </w:p>
    <w:p w14:paraId="26C3A0FD">
      <w:pPr>
        <w:snapToGrid w:val="0"/>
        <w:spacing w:line="440" w:lineRule="exact"/>
        <w:ind w:firstLine="422"/>
        <w:rPr>
          <w:rFonts w:hint="eastAsia" w:ascii="宋体" w:hAnsi="宋体" w:cs="宋体"/>
          <w:b/>
          <w:bCs/>
          <w:szCs w:val="21"/>
        </w:rPr>
      </w:pPr>
    </w:p>
    <w:p w14:paraId="78F64843">
      <w:pPr>
        <w:snapToGrid w:val="0"/>
        <w:spacing w:line="440" w:lineRule="exact"/>
        <w:ind w:firstLine="422"/>
        <w:rPr>
          <w:rFonts w:hint="eastAsia" w:ascii="宋体" w:hAnsi="宋体" w:cs="宋体"/>
          <w:b/>
          <w:bCs/>
          <w:szCs w:val="21"/>
        </w:rPr>
      </w:pPr>
    </w:p>
    <w:p w14:paraId="00DA9FE2">
      <w:pPr>
        <w:snapToGrid w:val="0"/>
        <w:spacing w:line="440" w:lineRule="exact"/>
        <w:ind w:firstLine="422"/>
        <w:rPr>
          <w:rFonts w:hint="eastAsia" w:ascii="宋体" w:hAnsi="宋体" w:cs="宋体"/>
          <w:b/>
          <w:bCs/>
          <w:szCs w:val="21"/>
        </w:rPr>
      </w:pPr>
    </w:p>
    <w:p w14:paraId="74B11230">
      <w:pPr>
        <w:snapToGrid w:val="0"/>
        <w:spacing w:line="440" w:lineRule="exact"/>
        <w:ind w:firstLine="422"/>
        <w:rPr>
          <w:rFonts w:hint="eastAsia" w:ascii="宋体" w:hAnsi="宋体" w:cs="宋体"/>
          <w:b/>
          <w:bCs/>
          <w:szCs w:val="21"/>
        </w:rPr>
      </w:pPr>
    </w:p>
    <w:p w14:paraId="3E402CD5">
      <w:pPr>
        <w:snapToGrid w:val="0"/>
        <w:spacing w:line="440" w:lineRule="exact"/>
        <w:ind w:firstLine="422"/>
        <w:rPr>
          <w:rFonts w:hint="eastAsia" w:ascii="宋体" w:hAnsi="宋体" w:cs="宋体"/>
          <w:b/>
          <w:bCs/>
          <w:szCs w:val="21"/>
        </w:rPr>
      </w:pPr>
    </w:p>
    <w:p w14:paraId="0957FD79">
      <w:pPr>
        <w:snapToGrid w:val="0"/>
        <w:spacing w:line="440" w:lineRule="exact"/>
        <w:ind w:firstLine="422"/>
        <w:rPr>
          <w:rFonts w:hint="eastAsia" w:ascii="宋体" w:hAnsi="宋体" w:cs="宋体"/>
          <w:b/>
          <w:bCs/>
          <w:szCs w:val="21"/>
        </w:rPr>
      </w:pPr>
    </w:p>
    <w:p w14:paraId="4F803424">
      <w:pPr>
        <w:snapToGrid w:val="0"/>
        <w:spacing w:line="440" w:lineRule="exact"/>
        <w:ind w:firstLine="422"/>
        <w:rPr>
          <w:rFonts w:hint="eastAsia" w:ascii="宋体" w:hAnsi="宋体" w:cs="宋体"/>
          <w:b/>
          <w:bCs/>
          <w:szCs w:val="21"/>
        </w:rPr>
      </w:pPr>
    </w:p>
    <w:p w14:paraId="1EC2FF34">
      <w:pPr>
        <w:snapToGrid w:val="0"/>
        <w:spacing w:line="440" w:lineRule="exact"/>
        <w:ind w:firstLine="422"/>
        <w:rPr>
          <w:rFonts w:hint="eastAsia" w:ascii="宋体" w:hAnsi="宋体" w:cs="宋体"/>
          <w:b/>
          <w:bCs/>
          <w:szCs w:val="21"/>
        </w:rPr>
      </w:pPr>
    </w:p>
    <w:p w14:paraId="30AE6B35">
      <w:pPr>
        <w:snapToGrid w:val="0"/>
        <w:spacing w:line="440" w:lineRule="exact"/>
        <w:ind w:firstLine="422" w:firstLineChars="200"/>
        <w:rPr>
          <w:rFonts w:hint="eastAsia" w:ascii="宋体" w:hAnsi="宋体" w:cs="宋体"/>
          <w:b/>
          <w:bCs/>
          <w:szCs w:val="21"/>
        </w:rPr>
      </w:pPr>
    </w:p>
    <w:p w14:paraId="19641B42">
      <w:pPr>
        <w:snapToGrid w:val="0"/>
        <w:spacing w:line="440" w:lineRule="exact"/>
        <w:ind w:firstLine="422" w:firstLineChars="200"/>
        <w:rPr>
          <w:rFonts w:hint="eastAsia" w:ascii="宋体" w:hAnsi="宋体" w:cs="宋体"/>
          <w:b/>
          <w:bCs/>
          <w:szCs w:val="21"/>
        </w:rPr>
      </w:pPr>
    </w:p>
    <w:p w14:paraId="565D70DD">
      <w:pPr>
        <w:pStyle w:val="25"/>
        <w:rPr>
          <w:rFonts w:hint="eastAsia"/>
        </w:rPr>
      </w:pPr>
    </w:p>
    <w:p w14:paraId="23C6958A">
      <w:pPr>
        <w:pStyle w:val="13"/>
        <w:rPr>
          <w:rFonts w:hint="eastAsia" w:hAnsi="宋体" w:cs="宋体"/>
          <w:b/>
          <w:bCs/>
          <w:sz w:val="28"/>
          <w:szCs w:val="28"/>
        </w:rPr>
      </w:pPr>
      <w:r>
        <w:rPr>
          <w:rFonts w:hint="eastAsia" w:hAnsi="宋体" w:cs="宋体"/>
          <w:b/>
          <w:bCs/>
          <w:sz w:val="28"/>
          <w:szCs w:val="28"/>
        </w:rPr>
        <w:t>1.项目实施人员一览表（如有，请提供）</w:t>
      </w:r>
    </w:p>
    <w:p w14:paraId="32709E1D">
      <w:pPr>
        <w:pStyle w:val="13"/>
        <w:rPr>
          <w:rFonts w:hint="eastAsia" w:ascii="Times New Roman" w:hAnsi="Times New Roman"/>
          <w:b/>
          <w:bCs/>
          <w:sz w:val="32"/>
          <w:szCs w:val="32"/>
        </w:rPr>
      </w:pPr>
      <w:r>
        <w:rPr>
          <w:rFonts w:hint="eastAsia" w:ascii="Times New Roman" w:hAnsi="Times New Roman"/>
          <w:b/>
          <w:bCs/>
          <w:sz w:val="32"/>
          <w:szCs w:val="32"/>
        </w:rPr>
        <w:t>附件：</w:t>
      </w:r>
    </w:p>
    <w:p w14:paraId="34C27C98">
      <w:pPr>
        <w:pStyle w:val="13"/>
        <w:ind w:firstLine="472" w:firstLineChars="147"/>
        <w:jc w:val="center"/>
        <w:rPr>
          <w:rFonts w:ascii="Times New Roman" w:hAnsi="Times New Roman"/>
          <w:b/>
          <w:bCs/>
          <w:sz w:val="32"/>
          <w:szCs w:val="32"/>
        </w:rPr>
      </w:pPr>
      <w:r>
        <w:rPr>
          <w:rFonts w:ascii="Times New Roman" w:hAnsi="Times New Roman"/>
          <w:b/>
          <w:bCs/>
          <w:sz w:val="32"/>
          <w:szCs w:val="32"/>
        </w:rPr>
        <w:t>项目实施人员一览表（格式）</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993"/>
        <w:gridCol w:w="1888"/>
        <w:gridCol w:w="1559"/>
        <w:gridCol w:w="2163"/>
        <w:gridCol w:w="1477"/>
      </w:tblGrid>
      <w:tr w14:paraId="6901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shd w:val="clear" w:color="auto" w:fill="8DB3E2"/>
            <w:vAlign w:val="center"/>
          </w:tcPr>
          <w:p w14:paraId="162B5FB5">
            <w:pPr>
              <w:spacing w:line="400" w:lineRule="exact"/>
              <w:jc w:val="center"/>
              <w:rPr>
                <w:rFonts w:ascii="宋体" w:hAnsi="宋体" w:cs="宋体"/>
                <w:b/>
                <w:bCs/>
                <w:szCs w:val="21"/>
              </w:rPr>
            </w:pPr>
            <w:r>
              <w:rPr>
                <w:rFonts w:hint="eastAsia" w:ascii="宋体" w:hAnsi="宋体" w:cs="宋体"/>
                <w:b/>
                <w:bCs/>
                <w:szCs w:val="21"/>
              </w:rPr>
              <w:t>姓 名</w:t>
            </w:r>
          </w:p>
        </w:tc>
        <w:tc>
          <w:tcPr>
            <w:tcW w:w="993" w:type="dxa"/>
            <w:shd w:val="clear" w:color="auto" w:fill="8DB3E2"/>
            <w:vAlign w:val="center"/>
          </w:tcPr>
          <w:p w14:paraId="0CEAF415">
            <w:pPr>
              <w:spacing w:line="400" w:lineRule="exact"/>
              <w:jc w:val="center"/>
              <w:rPr>
                <w:rFonts w:ascii="宋体" w:hAnsi="宋体" w:cs="宋体"/>
                <w:b/>
                <w:bCs/>
                <w:szCs w:val="21"/>
              </w:rPr>
            </w:pPr>
            <w:r>
              <w:rPr>
                <w:rFonts w:hint="eastAsia" w:ascii="宋体" w:hAnsi="宋体" w:cs="宋体"/>
                <w:b/>
                <w:bCs/>
                <w:szCs w:val="21"/>
              </w:rPr>
              <w:t>职务</w:t>
            </w:r>
          </w:p>
        </w:tc>
        <w:tc>
          <w:tcPr>
            <w:tcW w:w="1888" w:type="dxa"/>
            <w:shd w:val="clear" w:color="auto" w:fill="8DB3E2"/>
            <w:vAlign w:val="center"/>
          </w:tcPr>
          <w:p w14:paraId="6087765B">
            <w:pPr>
              <w:spacing w:line="400" w:lineRule="exact"/>
              <w:jc w:val="center"/>
              <w:rPr>
                <w:rFonts w:ascii="宋体" w:hAnsi="宋体" w:cs="宋体"/>
                <w:b/>
                <w:bCs/>
                <w:szCs w:val="21"/>
              </w:rPr>
            </w:pPr>
            <w:r>
              <w:rPr>
                <w:rFonts w:hint="eastAsia" w:ascii="宋体" w:hAnsi="宋体" w:cs="宋体"/>
                <w:b/>
                <w:bCs/>
                <w:szCs w:val="21"/>
              </w:rPr>
              <w:t>专业技术资格</w:t>
            </w:r>
          </w:p>
        </w:tc>
        <w:tc>
          <w:tcPr>
            <w:tcW w:w="1559" w:type="dxa"/>
            <w:shd w:val="clear" w:color="auto" w:fill="8DB3E2"/>
            <w:vAlign w:val="center"/>
          </w:tcPr>
          <w:p w14:paraId="12123105">
            <w:pPr>
              <w:spacing w:line="400" w:lineRule="exact"/>
              <w:jc w:val="center"/>
              <w:rPr>
                <w:rFonts w:ascii="宋体" w:hAnsi="宋体" w:cs="宋体"/>
                <w:b/>
                <w:bCs/>
                <w:szCs w:val="21"/>
              </w:rPr>
            </w:pPr>
            <w:r>
              <w:rPr>
                <w:rFonts w:hint="eastAsia" w:ascii="宋体" w:hAnsi="宋体" w:cs="宋体"/>
                <w:b/>
                <w:bCs/>
                <w:szCs w:val="21"/>
              </w:rPr>
              <w:t>证书编号</w:t>
            </w:r>
          </w:p>
        </w:tc>
        <w:tc>
          <w:tcPr>
            <w:tcW w:w="2163" w:type="dxa"/>
            <w:shd w:val="clear" w:color="auto" w:fill="8DB3E2"/>
            <w:vAlign w:val="center"/>
          </w:tcPr>
          <w:p w14:paraId="2AFA4218">
            <w:pPr>
              <w:spacing w:line="400" w:lineRule="exact"/>
              <w:jc w:val="center"/>
              <w:rPr>
                <w:rFonts w:ascii="宋体" w:hAnsi="宋体" w:cs="宋体"/>
                <w:b/>
                <w:bCs/>
                <w:szCs w:val="21"/>
              </w:rPr>
            </w:pPr>
            <w:r>
              <w:rPr>
                <w:rFonts w:hint="eastAsia" w:ascii="宋体" w:hAnsi="宋体" w:cs="宋体"/>
                <w:b/>
                <w:bCs/>
                <w:szCs w:val="21"/>
              </w:rPr>
              <w:t>参加工作时间</w:t>
            </w:r>
          </w:p>
        </w:tc>
        <w:tc>
          <w:tcPr>
            <w:tcW w:w="1477" w:type="dxa"/>
            <w:shd w:val="clear" w:color="auto" w:fill="8DB3E2"/>
            <w:vAlign w:val="center"/>
          </w:tcPr>
          <w:p w14:paraId="45463F38">
            <w:pPr>
              <w:spacing w:line="400" w:lineRule="exact"/>
              <w:jc w:val="center"/>
              <w:rPr>
                <w:rFonts w:ascii="宋体" w:hAnsi="宋体" w:cs="宋体"/>
                <w:b/>
                <w:bCs/>
                <w:szCs w:val="21"/>
              </w:rPr>
            </w:pPr>
            <w:r>
              <w:rPr>
                <w:rFonts w:hint="eastAsia" w:ascii="宋体" w:hAnsi="宋体" w:cs="宋体"/>
                <w:b/>
                <w:bCs/>
                <w:szCs w:val="21"/>
              </w:rPr>
              <w:t>备注</w:t>
            </w:r>
          </w:p>
        </w:tc>
      </w:tr>
      <w:tr w14:paraId="4E1B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63BE5943">
            <w:pPr>
              <w:spacing w:line="400" w:lineRule="exact"/>
              <w:rPr>
                <w:rFonts w:ascii="宋体" w:hAnsi="宋体" w:cs="宋体"/>
                <w:szCs w:val="21"/>
              </w:rPr>
            </w:pPr>
          </w:p>
        </w:tc>
        <w:tc>
          <w:tcPr>
            <w:tcW w:w="993" w:type="dxa"/>
            <w:vAlign w:val="top"/>
          </w:tcPr>
          <w:p w14:paraId="67137C25">
            <w:pPr>
              <w:spacing w:line="400" w:lineRule="exact"/>
              <w:rPr>
                <w:rFonts w:ascii="宋体" w:hAnsi="宋体" w:cs="宋体"/>
                <w:szCs w:val="21"/>
              </w:rPr>
            </w:pPr>
          </w:p>
        </w:tc>
        <w:tc>
          <w:tcPr>
            <w:tcW w:w="1888" w:type="dxa"/>
            <w:vAlign w:val="top"/>
          </w:tcPr>
          <w:p w14:paraId="27A1AC0A">
            <w:pPr>
              <w:spacing w:line="400" w:lineRule="exact"/>
              <w:rPr>
                <w:rFonts w:ascii="宋体" w:hAnsi="宋体" w:cs="宋体"/>
                <w:szCs w:val="21"/>
              </w:rPr>
            </w:pPr>
          </w:p>
        </w:tc>
        <w:tc>
          <w:tcPr>
            <w:tcW w:w="1559" w:type="dxa"/>
            <w:vAlign w:val="top"/>
          </w:tcPr>
          <w:p w14:paraId="04212208">
            <w:pPr>
              <w:spacing w:line="400" w:lineRule="exact"/>
              <w:rPr>
                <w:rFonts w:ascii="宋体" w:hAnsi="宋体" w:cs="宋体"/>
                <w:szCs w:val="21"/>
              </w:rPr>
            </w:pPr>
          </w:p>
        </w:tc>
        <w:tc>
          <w:tcPr>
            <w:tcW w:w="2163" w:type="dxa"/>
            <w:vAlign w:val="top"/>
          </w:tcPr>
          <w:p w14:paraId="06A5FA65">
            <w:pPr>
              <w:spacing w:line="400" w:lineRule="exact"/>
              <w:rPr>
                <w:rFonts w:ascii="宋体" w:hAnsi="宋体" w:cs="宋体"/>
                <w:szCs w:val="21"/>
              </w:rPr>
            </w:pPr>
          </w:p>
        </w:tc>
        <w:tc>
          <w:tcPr>
            <w:tcW w:w="1477" w:type="dxa"/>
            <w:vAlign w:val="top"/>
          </w:tcPr>
          <w:p w14:paraId="7B301637">
            <w:pPr>
              <w:spacing w:line="400" w:lineRule="exact"/>
              <w:rPr>
                <w:rFonts w:ascii="宋体" w:hAnsi="宋体" w:cs="宋体"/>
                <w:szCs w:val="21"/>
              </w:rPr>
            </w:pPr>
          </w:p>
        </w:tc>
      </w:tr>
      <w:tr w14:paraId="69D9C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3D7A556B">
            <w:pPr>
              <w:spacing w:line="400" w:lineRule="exact"/>
              <w:rPr>
                <w:rFonts w:ascii="宋体" w:hAnsi="宋体" w:cs="宋体"/>
                <w:szCs w:val="21"/>
              </w:rPr>
            </w:pPr>
          </w:p>
        </w:tc>
        <w:tc>
          <w:tcPr>
            <w:tcW w:w="993" w:type="dxa"/>
            <w:vAlign w:val="top"/>
          </w:tcPr>
          <w:p w14:paraId="713E31CC">
            <w:pPr>
              <w:spacing w:line="400" w:lineRule="exact"/>
              <w:rPr>
                <w:rFonts w:ascii="宋体" w:hAnsi="宋体" w:cs="宋体"/>
                <w:szCs w:val="21"/>
              </w:rPr>
            </w:pPr>
          </w:p>
        </w:tc>
        <w:tc>
          <w:tcPr>
            <w:tcW w:w="1888" w:type="dxa"/>
            <w:vAlign w:val="top"/>
          </w:tcPr>
          <w:p w14:paraId="4701FE97">
            <w:pPr>
              <w:spacing w:line="400" w:lineRule="exact"/>
              <w:rPr>
                <w:rFonts w:ascii="宋体" w:hAnsi="宋体" w:cs="宋体"/>
                <w:szCs w:val="21"/>
              </w:rPr>
            </w:pPr>
          </w:p>
        </w:tc>
        <w:tc>
          <w:tcPr>
            <w:tcW w:w="1559" w:type="dxa"/>
            <w:vAlign w:val="top"/>
          </w:tcPr>
          <w:p w14:paraId="3B6AF310">
            <w:pPr>
              <w:spacing w:line="400" w:lineRule="exact"/>
              <w:rPr>
                <w:rFonts w:ascii="宋体" w:hAnsi="宋体" w:cs="宋体"/>
                <w:szCs w:val="21"/>
              </w:rPr>
            </w:pPr>
          </w:p>
        </w:tc>
        <w:tc>
          <w:tcPr>
            <w:tcW w:w="2163" w:type="dxa"/>
            <w:vAlign w:val="top"/>
          </w:tcPr>
          <w:p w14:paraId="1D4BE69A">
            <w:pPr>
              <w:spacing w:line="400" w:lineRule="exact"/>
              <w:rPr>
                <w:rFonts w:ascii="宋体" w:hAnsi="宋体" w:cs="宋体"/>
                <w:szCs w:val="21"/>
              </w:rPr>
            </w:pPr>
          </w:p>
        </w:tc>
        <w:tc>
          <w:tcPr>
            <w:tcW w:w="1477" w:type="dxa"/>
            <w:vAlign w:val="top"/>
          </w:tcPr>
          <w:p w14:paraId="035BFC77">
            <w:pPr>
              <w:spacing w:line="400" w:lineRule="exact"/>
              <w:rPr>
                <w:rFonts w:ascii="宋体" w:hAnsi="宋体" w:cs="宋体"/>
                <w:szCs w:val="21"/>
              </w:rPr>
            </w:pPr>
          </w:p>
        </w:tc>
      </w:tr>
      <w:tr w14:paraId="700E7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24A59698">
            <w:pPr>
              <w:spacing w:line="400" w:lineRule="exact"/>
              <w:rPr>
                <w:rFonts w:ascii="宋体" w:hAnsi="宋体" w:cs="宋体"/>
                <w:szCs w:val="21"/>
              </w:rPr>
            </w:pPr>
          </w:p>
        </w:tc>
        <w:tc>
          <w:tcPr>
            <w:tcW w:w="993" w:type="dxa"/>
            <w:vAlign w:val="top"/>
          </w:tcPr>
          <w:p w14:paraId="3AD11B53">
            <w:pPr>
              <w:spacing w:line="400" w:lineRule="exact"/>
              <w:rPr>
                <w:rFonts w:ascii="宋体" w:hAnsi="宋体" w:cs="宋体"/>
                <w:szCs w:val="21"/>
              </w:rPr>
            </w:pPr>
          </w:p>
        </w:tc>
        <w:tc>
          <w:tcPr>
            <w:tcW w:w="1888" w:type="dxa"/>
            <w:vAlign w:val="top"/>
          </w:tcPr>
          <w:p w14:paraId="12DEBAC6">
            <w:pPr>
              <w:spacing w:line="400" w:lineRule="exact"/>
              <w:rPr>
                <w:rFonts w:ascii="宋体" w:hAnsi="宋体" w:cs="宋体"/>
                <w:szCs w:val="21"/>
              </w:rPr>
            </w:pPr>
          </w:p>
        </w:tc>
        <w:tc>
          <w:tcPr>
            <w:tcW w:w="1559" w:type="dxa"/>
            <w:vAlign w:val="top"/>
          </w:tcPr>
          <w:p w14:paraId="42CA5A60">
            <w:pPr>
              <w:spacing w:line="400" w:lineRule="exact"/>
              <w:rPr>
                <w:rFonts w:ascii="宋体" w:hAnsi="宋体" w:cs="宋体"/>
                <w:szCs w:val="21"/>
              </w:rPr>
            </w:pPr>
          </w:p>
        </w:tc>
        <w:tc>
          <w:tcPr>
            <w:tcW w:w="2163" w:type="dxa"/>
            <w:vAlign w:val="top"/>
          </w:tcPr>
          <w:p w14:paraId="00F43C87">
            <w:pPr>
              <w:spacing w:line="400" w:lineRule="exact"/>
              <w:rPr>
                <w:rFonts w:ascii="宋体" w:hAnsi="宋体" w:cs="宋体"/>
                <w:szCs w:val="21"/>
              </w:rPr>
            </w:pPr>
          </w:p>
        </w:tc>
        <w:tc>
          <w:tcPr>
            <w:tcW w:w="1477" w:type="dxa"/>
            <w:vAlign w:val="top"/>
          </w:tcPr>
          <w:p w14:paraId="1A3A4904">
            <w:pPr>
              <w:spacing w:line="400" w:lineRule="exact"/>
              <w:rPr>
                <w:rFonts w:ascii="宋体" w:hAnsi="宋体" w:cs="宋体"/>
                <w:szCs w:val="21"/>
              </w:rPr>
            </w:pPr>
          </w:p>
        </w:tc>
      </w:tr>
      <w:tr w14:paraId="3E2C8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5383D1F9">
            <w:pPr>
              <w:spacing w:line="400" w:lineRule="exact"/>
              <w:rPr>
                <w:rFonts w:ascii="宋体" w:hAnsi="宋体" w:cs="宋体"/>
                <w:szCs w:val="21"/>
              </w:rPr>
            </w:pPr>
          </w:p>
        </w:tc>
        <w:tc>
          <w:tcPr>
            <w:tcW w:w="993" w:type="dxa"/>
            <w:vAlign w:val="top"/>
          </w:tcPr>
          <w:p w14:paraId="641515FB">
            <w:pPr>
              <w:spacing w:line="400" w:lineRule="exact"/>
              <w:rPr>
                <w:rFonts w:ascii="宋体" w:hAnsi="宋体" w:cs="宋体"/>
                <w:szCs w:val="21"/>
              </w:rPr>
            </w:pPr>
          </w:p>
        </w:tc>
        <w:tc>
          <w:tcPr>
            <w:tcW w:w="1888" w:type="dxa"/>
            <w:vAlign w:val="top"/>
          </w:tcPr>
          <w:p w14:paraId="5B92CA0E">
            <w:pPr>
              <w:spacing w:line="400" w:lineRule="exact"/>
              <w:rPr>
                <w:rFonts w:ascii="宋体" w:hAnsi="宋体" w:cs="宋体"/>
                <w:szCs w:val="21"/>
              </w:rPr>
            </w:pPr>
          </w:p>
        </w:tc>
        <w:tc>
          <w:tcPr>
            <w:tcW w:w="1559" w:type="dxa"/>
            <w:vAlign w:val="top"/>
          </w:tcPr>
          <w:p w14:paraId="7C245F95">
            <w:pPr>
              <w:spacing w:line="400" w:lineRule="exact"/>
              <w:rPr>
                <w:rFonts w:ascii="宋体" w:hAnsi="宋体" w:cs="宋体"/>
                <w:szCs w:val="21"/>
              </w:rPr>
            </w:pPr>
          </w:p>
        </w:tc>
        <w:tc>
          <w:tcPr>
            <w:tcW w:w="2163" w:type="dxa"/>
            <w:vAlign w:val="top"/>
          </w:tcPr>
          <w:p w14:paraId="2AC3EF37">
            <w:pPr>
              <w:spacing w:line="400" w:lineRule="exact"/>
              <w:rPr>
                <w:rFonts w:ascii="宋体" w:hAnsi="宋体" w:cs="宋体"/>
                <w:szCs w:val="21"/>
              </w:rPr>
            </w:pPr>
          </w:p>
        </w:tc>
        <w:tc>
          <w:tcPr>
            <w:tcW w:w="1477" w:type="dxa"/>
            <w:vAlign w:val="top"/>
          </w:tcPr>
          <w:p w14:paraId="587FE196">
            <w:pPr>
              <w:spacing w:line="400" w:lineRule="exact"/>
              <w:rPr>
                <w:rFonts w:ascii="宋体" w:hAnsi="宋体" w:cs="宋体"/>
                <w:szCs w:val="21"/>
              </w:rPr>
            </w:pPr>
          </w:p>
        </w:tc>
      </w:tr>
      <w:tr w14:paraId="5841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583D331A">
            <w:pPr>
              <w:spacing w:line="400" w:lineRule="exact"/>
              <w:rPr>
                <w:rFonts w:ascii="宋体" w:hAnsi="宋体" w:cs="宋体"/>
                <w:szCs w:val="21"/>
              </w:rPr>
            </w:pPr>
          </w:p>
        </w:tc>
        <w:tc>
          <w:tcPr>
            <w:tcW w:w="993" w:type="dxa"/>
            <w:vAlign w:val="top"/>
          </w:tcPr>
          <w:p w14:paraId="464EDCBF">
            <w:pPr>
              <w:spacing w:line="400" w:lineRule="exact"/>
              <w:rPr>
                <w:rFonts w:ascii="宋体" w:hAnsi="宋体" w:cs="宋体"/>
                <w:szCs w:val="21"/>
              </w:rPr>
            </w:pPr>
          </w:p>
        </w:tc>
        <w:tc>
          <w:tcPr>
            <w:tcW w:w="1888" w:type="dxa"/>
            <w:vAlign w:val="top"/>
          </w:tcPr>
          <w:p w14:paraId="602CAB6F">
            <w:pPr>
              <w:spacing w:line="400" w:lineRule="exact"/>
              <w:rPr>
                <w:rFonts w:ascii="宋体" w:hAnsi="宋体" w:cs="宋体"/>
                <w:szCs w:val="21"/>
              </w:rPr>
            </w:pPr>
          </w:p>
        </w:tc>
        <w:tc>
          <w:tcPr>
            <w:tcW w:w="1559" w:type="dxa"/>
            <w:vAlign w:val="top"/>
          </w:tcPr>
          <w:p w14:paraId="57411958">
            <w:pPr>
              <w:spacing w:line="400" w:lineRule="exact"/>
              <w:rPr>
                <w:rFonts w:ascii="宋体" w:hAnsi="宋体" w:cs="宋体"/>
                <w:szCs w:val="21"/>
              </w:rPr>
            </w:pPr>
          </w:p>
        </w:tc>
        <w:tc>
          <w:tcPr>
            <w:tcW w:w="2163" w:type="dxa"/>
            <w:vAlign w:val="top"/>
          </w:tcPr>
          <w:p w14:paraId="0C3B7F4A">
            <w:pPr>
              <w:spacing w:line="400" w:lineRule="exact"/>
              <w:rPr>
                <w:rFonts w:ascii="宋体" w:hAnsi="宋体" w:cs="宋体"/>
                <w:szCs w:val="21"/>
              </w:rPr>
            </w:pPr>
          </w:p>
        </w:tc>
        <w:tc>
          <w:tcPr>
            <w:tcW w:w="1477" w:type="dxa"/>
            <w:vAlign w:val="top"/>
          </w:tcPr>
          <w:p w14:paraId="14BF185A">
            <w:pPr>
              <w:spacing w:line="400" w:lineRule="exact"/>
              <w:rPr>
                <w:rFonts w:ascii="宋体" w:hAnsi="宋体" w:cs="宋体"/>
                <w:szCs w:val="21"/>
              </w:rPr>
            </w:pPr>
          </w:p>
        </w:tc>
      </w:tr>
      <w:tr w14:paraId="7F6D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1" w:type="dxa"/>
            <w:vAlign w:val="top"/>
          </w:tcPr>
          <w:p w14:paraId="213D26C6">
            <w:pPr>
              <w:spacing w:line="400" w:lineRule="exact"/>
              <w:rPr>
                <w:rFonts w:ascii="宋体" w:hAnsi="宋体" w:cs="宋体"/>
                <w:szCs w:val="21"/>
              </w:rPr>
            </w:pPr>
          </w:p>
        </w:tc>
        <w:tc>
          <w:tcPr>
            <w:tcW w:w="993" w:type="dxa"/>
            <w:vAlign w:val="top"/>
          </w:tcPr>
          <w:p w14:paraId="3A9F2283">
            <w:pPr>
              <w:spacing w:line="400" w:lineRule="exact"/>
              <w:rPr>
                <w:rFonts w:ascii="宋体" w:hAnsi="宋体" w:cs="宋体"/>
                <w:szCs w:val="21"/>
              </w:rPr>
            </w:pPr>
          </w:p>
        </w:tc>
        <w:tc>
          <w:tcPr>
            <w:tcW w:w="1888" w:type="dxa"/>
            <w:vAlign w:val="top"/>
          </w:tcPr>
          <w:p w14:paraId="71D979AA">
            <w:pPr>
              <w:spacing w:line="400" w:lineRule="exact"/>
              <w:rPr>
                <w:rFonts w:ascii="宋体" w:hAnsi="宋体" w:cs="宋体"/>
                <w:szCs w:val="21"/>
              </w:rPr>
            </w:pPr>
          </w:p>
        </w:tc>
        <w:tc>
          <w:tcPr>
            <w:tcW w:w="1559" w:type="dxa"/>
            <w:vAlign w:val="top"/>
          </w:tcPr>
          <w:p w14:paraId="15B03A17">
            <w:pPr>
              <w:spacing w:line="400" w:lineRule="exact"/>
              <w:rPr>
                <w:rFonts w:ascii="宋体" w:hAnsi="宋体" w:cs="宋体"/>
                <w:szCs w:val="21"/>
              </w:rPr>
            </w:pPr>
          </w:p>
        </w:tc>
        <w:tc>
          <w:tcPr>
            <w:tcW w:w="2163" w:type="dxa"/>
            <w:vAlign w:val="top"/>
          </w:tcPr>
          <w:p w14:paraId="0319BA60">
            <w:pPr>
              <w:spacing w:line="400" w:lineRule="exact"/>
              <w:rPr>
                <w:rFonts w:ascii="宋体" w:hAnsi="宋体" w:cs="宋体"/>
                <w:szCs w:val="21"/>
              </w:rPr>
            </w:pPr>
          </w:p>
        </w:tc>
        <w:tc>
          <w:tcPr>
            <w:tcW w:w="1477" w:type="dxa"/>
            <w:vAlign w:val="top"/>
          </w:tcPr>
          <w:p w14:paraId="32A5BF87">
            <w:pPr>
              <w:spacing w:line="400" w:lineRule="exact"/>
              <w:rPr>
                <w:rFonts w:ascii="宋体" w:hAnsi="宋体" w:cs="宋体"/>
                <w:szCs w:val="21"/>
              </w:rPr>
            </w:pPr>
          </w:p>
        </w:tc>
      </w:tr>
    </w:tbl>
    <w:p w14:paraId="058CE44B">
      <w:pPr>
        <w:spacing w:line="400" w:lineRule="exact"/>
        <w:rPr>
          <w:szCs w:val="21"/>
        </w:rPr>
      </w:pPr>
      <w:r>
        <w:rPr>
          <w:szCs w:val="21"/>
        </w:rPr>
        <w:t>注：1.在填写时，如本表格不适合供应商的实际情况，可根据本表格式自行制表填写。</w:t>
      </w:r>
    </w:p>
    <w:p w14:paraId="5E4D6CCC">
      <w:pPr>
        <w:spacing w:line="400" w:lineRule="exact"/>
        <w:ind w:left="420" w:leftChars="200"/>
        <w:rPr>
          <w:szCs w:val="21"/>
        </w:rPr>
      </w:pPr>
      <w:r>
        <w:rPr>
          <w:szCs w:val="21"/>
        </w:rPr>
        <w:t>2.项目实施人员一览表须由法定代表人、负责人、自然人或相应的委托代理人签字</w:t>
      </w:r>
      <w:r>
        <w:t>（属自然人的应在签名处加盖大拇指指印）</w:t>
      </w:r>
      <w:r>
        <w:rPr>
          <w:szCs w:val="21"/>
        </w:rPr>
        <w:t>并加盖供应商公章</w:t>
      </w:r>
      <w:r>
        <w:t>（自然人除外）</w:t>
      </w:r>
      <w:r>
        <w:rPr>
          <w:szCs w:val="21"/>
        </w:rPr>
        <w:t>。</w:t>
      </w:r>
    </w:p>
    <w:p w14:paraId="5FD238F4">
      <w:pPr>
        <w:pStyle w:val="13"/>
        <w:spacing w:line="400" w:lineRule="exact"/>
        <w:rPr>
          <w:rFonts w:ascii="Times New Roman" w:hAnsi="Times New Roman"/>
        </w:rPr>
      </w:pPr>
    </w:p>
    <w:p w14:paraId="2B54330A">
      <w:pPr>
        <w:snapToGrid w:val="0"/>
        <w:spacing w:line="400" w:lineRule="exact"/>
        <w:ind w:firstLine="3570" w:firstLineChars="1700"/>
        <w:rPr>
          <w:rFonts w:ascii="Times New Roman" w:hAnsi="Times New Roman"/>
        </w:rPr>
      </w:pPr>
      <w:r>
        <w:rPr>
          <w:szCs w:val="21"/>
        </w:rPr>
        <w:t>供应商（</w:t>
      </w:r>
      <w:r>
        <w:rPr>
          <w:rFonts w:hint="eastAsia" w:ascii="宋体" w:hAnsi="宋体" w:cs="宋体"/>
          <w:szCs w:val="21"/>
        </w:rPr>
        <w:t>公章(CA签章)，自然人签字或个人CA签章</w:t>
      </w:r>
      <w:r>
        <w:rPr>
          <w:szCs w:val="21"/>
        </w:rPr>
        <w:t>）：</w:t>
      </w:r>
      <w:r>
        <w:rPr>
          <w:szCs w:val="21"/>
          <w:u w:val="single"/>
        </w:rPr>
        <w:t xml:space="preserve">                           </w:t>
      </w:r>
    </w:p>
    <w:p w14:paraId="51C7E84F">
      <w:pPr>
        <w:pStyle w:val="13"/>
        <w:ind w:firstLine="3400" w:firstLineChars="1700"/>
        <w:rPr>
          <w:rFonts w:ascii="Times New Roman" w:hAnsi="Times New Roman"/>
        </w:rPr>
      </w:pPr>
    </w:p>
    <w:p w14:paraId="0D7D4BFD">
      <w:pPr>
        <w:pStyle w:val="13"/>
        <w:ind w:firstLine="3400" w:firstLineChars="1700"/>
        <w:rPr>
          <w:rFonts w:hint="eastAsia" w:cs="宋体"/>
          <w:sz w:val="30"/>
          <w:szCs w:val="30"/>
        </w:rPr>
      </w:pPr>
      <w:r>
        <w:rPr>
          <w:rFonts w:ascii="Times New Roman" w:hAnsi="Times New Roman"/>
        </w:rPr>
        <w:t>日          期：</w:t>
      </w:r>
      <w:r>
        <w:rPr>
          <w:rFonts w:ascii="Times New Roman" w:hAnsi="Times New Roman"/>
          <w:u w:val="single"/>
        </w:rPr>
        <w:t xml:space="preserve">                             </w:t>
      </w:r>
    </w:p>
    <w:p w14:paraId="43DD6D8E">
      <w:pPr>
        <w:spacing w:line="360" w:lineRule="auto"/>
        <w:rPr>
          <w:rFonts w:hint="eastAsia" w:ascii="宋体" w:cs="宋体"/>
          <w:b/>
          <w:bCs/>
          <w:sz w:val="28"/>
          <w:szCs w:val="28"/>
        </w:rPr>
      </w:pPr>
      <w:r>
        <w:rPr>
          <w:rFonts w:hint="eastAsia" w:ascii="宋体" w:cs="宋体"/>
          <w:b/>
          <w:bCs/>
          <w:sz w:val="28"/>
          <w:szCs w:val="28"/>
        </w:rPr>
        <w:t>注：供应商根据自身情况结合本项目自行制定</w:t>
      </w:r>
    </w:p>
    <w:p w14:paraId="3B064A4A">
      <w:pPr>
        <w:rPr>
          <w:rFonts w:hint="eastAsia" w:ascii="宋体" w:cs="宋体"/>
          <w:b/>
          <w:bCs/>
          <w:sz w:val="28"/>
          <w:szCs w:val="28"/>
        </w:rPr>
      </w:pPr>
    </w:p>
    <w:p w14:paraId="6006C492">
      <w:pPr>
        <w:pStyle w:val="8"/>
        <w:ind w:firstLine="0"/>
        <w:rPr>
          <w:rFonts w:hint="eastAsia"/>
          <w:sz w:val="28"/>
          <w:szCs w:val="28"/>
        </w:rPr>
      </w:pPr>
    </w:p>
    <w:p w14:paraId="4F1EA315">
      <w:pPr>
        <w:rPr>
          <w:rFonts w:hint="eastAsia"/>
          <w:sz w:val="28"/>
          <w:szCs w:val="28"/>
        </w:rPr>
      </w:pPr>
    </w:p>
    <w:p w14:paraId="0B530CD4">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2.节能方面的证书扫描件加盖电子签章（如有，请提供）；</w:t>
      </w:r>
    </w:p>
    <w:p w14:paraId="0C551318">
      <w:pPr>
        <w:tabs>
          <w:tab w:val="left" w:pos="1305"/>
        </w:tabs>
        <w:spacing w:line="400" w:lineRule="exact"/>
        <w:rPr>
          <w:rFonts w:hint="eastAsia" w:ascii="宋体" w:hAnsi="宋体" w:cs="宋体"/>
          <w:b/>
          <w:bCs/>
          <w:sz w:val="28"/>
          <w:szCs w:val="28"/>
        </w:rPr>
      </w:pPr>
    </w:p>
    <w:p w14:paraId="7318292F">
      <w:pPr>
        <w:tabs>
          <w:tab w:val="left" w:pos="1305"/>
        </w:tabs>
        <w:spacing w:line="400" w:lineRule="exact"/>
        <w:rPr>
          <w:rFonts w:hint="eastAsia" w:ascii="宋体" w:hAnsi="宋体" w:cs="宋体"/>
          <w:b/>
          <w:bCs/>
          <w:sz w:val="28"/>
          <w:szCs w:val="28"/>
        </w:rPr>
      </w:pPr>
    </w:p>
    <w:p w14:paraId="11143CA6">
      <w:pPr>
        <w:tabs>
          <w:tab w:val="left" w:pos="1305"/>
        </w:tabs>
        <w:spacing w:line="400" w:lineRule="exact"/>
        <w:rPr>
          <w:rFonts w:hint="eastAsia" w:ascii="宋体" w:hAnsi="宋体" w:cs="宋体"/>
          <w:b/>
          <w:bCs/>
          <w:sz w:val="28"/>
          <w:szCs w:val="28"/>
        </w:rPr>
      </w:pPr>
    </w:p>
    <w:p w14:paraId="07B1E0A1">
      <w:pPr>
        <w:tabs>
          <w:tab w:val="left" w:pos="1305"/>
        </w:tabs>
        <w:spacing w:line="400" w:lineRule="exact"/>
        <w:rPr>
          <w:rFonts w:hint="eastAsia" w:ascii="宋体" w:hAnsi="宋体" w:cs="宋体"/>
          <w:b/>
          <w:bCs/>
          <w:sz w:val="28"/>
          <w:szCs w:val="28"/>
        </w:rPr>
      </w:pPr>
    </w:p>
    <w:p w14:paraId="2AE4F0B6">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3.环境标志方面的证书扫描件加盖电子签章（如有，请提供）；</w:t>
      </w:r>
    </w:p>
    <w:p w14:paraId="791B5697">
      <w:pPr>
        <w:tabs>
          <w:tab w:val="left" w:pos="1305"/>
        </w:tabs>
        <w:spacing w:line="400" w:lineRule="exact"/>
        <w:rPr>
          <w:rFonts w:hint="eastAsia" w:ascii="宋体" w:hAnsi="宋体" w:cs="宋体"/>
          <w:b/>
          <w:bCs/>
          <w:sz w:val="28"/>
          <w:szCs w:val="28"/>
        </w:rPr>
      </w:pPr>
    </w:p>
    <w:p w14:paraId="48FEB6DA">
      <w:pPr>
        <w:tabs>
          <w:tab w:val="left" w:pos="1305"/>
        </w:tabs>
        <w:spacing w:line="400" w:lineRule="exact"/>
        <w:rPr>
          <w:rFonts w:hint="eastAsia" w:ascii="宋体" w:hAnsi="宋体" w:cs="宋体"/>
          <w:b/>
          <w:bCs/>
          <w:sz w:val="28"/>
          <w:szCs w:val="28"/>
        </w:rPr>
      </w:pPr>
    </w:p>
    <w:p w14:paraId="116112EA">
      <w:pPr>
        <w:tabs>
          <w:tab w:val="left" w:pos="1305"/>
        </w:tabs>
        <w:spacing w:line="400" w:lineRule="exact"/>
        <w:rPr>
          <w:rFonts w:hint="eastAsia" w:ascii="宋体" w:hAnsi="宋体" w:cs="宋体"/>
          <w:b/>
          <w:bCs/>
          <w:sz w:val="28"/>
          <w:szCs w:val="28"/>
        </w:rPr>
      </w:pPr>
    </w:p>
    <w:p w14:paraId="42617017">
      <w:pPr>
        <w:tabs>
          <w:tab w:val="left" w:pos="1305"/>
        </w:tabs>
        <w:spacing w:line="400" w:lineRule="exact"/>
        <w:rPr>
          <w:rFonts w:hint="eastAsia" w:ascii="宋体" w:hAnsi="宋体" w:cs="宋体"/>
          <w:b/>
          <w:bCs/>
          <w:sz w:val="28"/>
          <w:szCs w:val="28"/>
        </w:rPr>
      </w:pPr>
    </w:p>
    <w:p w14:paraId="22B08A59">
      <w:pPr>
        <w:tabs>
          <w:tab w:val="left" w:pos="1305"/>
        </w:tabs>
        <w:spacing w:line="400" w:lineRule="exact"/>
        <w:rPr>
          <w:rFonts w:hint="eastAsia" w:ascii="宋体" w:hAnsi="宋体" w:cs="宋体"/>
          <w:b/>
          <w:bCs/>
          <w:sz w:val="28"/>
          <w:szCs w:val="28"/>
        </w:rPr>
      </w:pPr>
      <w:r>
        <w:rPr>
          <w:rFonts w:hint="eastAsia" w:ascii="宋体" w:hAnsi="宋体" w:cs="宋体"/>
          <w:b/>
          <w:bCs/>
          <w:sz w:val="28"/>
          <w:szCs w:val="28"/>
        </w:rPr>
        <w:t>4.供应商自2023年1月1日以来具有同类产品的销售业绩 [以中标（成交）通知书或采购合同扫描件加盖电子签章为准（能清晰反映所销售的货物名称、种类、金额)，否则将不予计分；同一个编号的项目有两个或两个以上的分标中标的只算一次]（如有，请提供）；</w:t>
      </w:r>
    </w:p>
    <w:p w14:paraId="7EAB1084">
      <w:pPr>
        <w:pStyle w:val="13"/>
        <w:spacing w:line="340" w:lineRule="exact"/>
        <w:rPr>
          <w:rFonts w:hint="eastAsia"/>
          <w:b/>
          <w:sz w:val="28"/>
          <w:szCs w:val="28"/>
        </w:rPr>
      </w:pPr>
      <w:bookmarkStart w:id="1011" w:name="_Toc11660"/>
      <w:bookmarkStart w:id="1012" w:name="_Toc9978"/>
      <w:bookmarkStart w:id="1013" w:name="_Toc497927091"/>
    </w:p>
    <w:bookmarkEnd w:id="1011"/>
    <w:bookmarkEnd w:id="1012"/>
    <w:bookmarkEnd w:id="1013"/>
    <w:p w14:paraId="592331C8">
      <w:pPr>
        <w:pStyle w:val="13"/>
        <w:spacing w:line="340" w:lineRule="exact"/>
        <w:rPr>
          <w:rFonts w:hint="eastAsia"/>
          <w:sz w:val="28"/>
          <w:szCs w:val="28"/>
        </w:rPr>
      </w:pPr>
    </w:p>
    <w:p w14:paraId="725B27E8">
      <w:pPr>
        <w:pStyle w:val="25"/>
        <w:ind w:left="0" w:leftChars="0" w:firstLine="0" w:firstLineChars="0"/>
        <w:rPr>
          <w:rFonts w:hint="eastAsia"/>
          <w:sz w:val="28"/>
          <w:szCs w:val="28"/>
        </w:rPr>
      </w:pPr>
    </w:p>
    <w:p w14:paraId="799B3915">
      <w:pPr>
        <w:pStyle w:val="13"/>
        <w:spacing w:line="340" w:lineRule="exact"/>
        <w:rPr>
          <w:rFonts w:hint="eastAsia"/>
          <w:b/>
          <w:sz w:val="28"/>
          <w:szCs w:val="28"/>
        </w:rPr>
      </w:pPr>
      <w:r>
        <w:rPr>
          <w:rFonts w:hint="eastAsia"/>
          <w:b/>
          <w:sz w:val="28"/>
          <w:szCs w:val="28"/>
        </w:rPr>
        <w:t>5.《中小企业声明函》（见附件）（如有，请提供）；</w:t>
      </w:r>
    </w:p>
    <w:p w14:paraId="3313BD02">
      <w:pPr>
        <w:pStyle w:val="13"/>
        <w:rPr>
          <w:rFonts w:hint="eastAsia" w:ascii="Times New Roman" w:hAnsi="Times New Roman"/>
          <w:b/>
          <w:bCs/>
          <w:sz w:val="32"/>
          <w:szCs w:val="32"/>
        </w:rPr>
      </w:pPr>
      <w:r>
        <w:rPr>
          <w:rFonts w:hint="eastAsia" w:ascii="Times New Roman" w:hAnsi="Times New Roman"/>
          <w:b/>
          <w:bCs/>
          <w:sz w:val="32"/>
          <w:szCs w:val="32"/>
        </w:rPr>
        <w:t>附件：</w:t>
      </w:r>
    </w:p>
    <w:p w14:paraId="2A0C79BB">
      <w:pPr>
        <w:pStyle w:val="72"/>
        <w:spacing w:after="0" w:line="400" w:lineRule="exact"/>
        <w:rPr>
          <w:b/>
          <w:sz w:val="24"/>
          <w:szCs w:val="24"/>
        </w:rPr>
      </w:pPr>
      <w:r>
        <w:rPr>
          <w:rFonts w:hint="eastAsia"/>
          <w:b/>
          <w:sz w:val="24"/>
          <w:szCs w:val="24"/>
        </w:rPr>
        <w:t>中小企业声明函(货物)</w:t>
      </w:r>
    </w:p>
    <w:p w14:paraId="5D79559E">
      <w:pPr>
        <w:pStyle w:val="72"/>
        <w:spacing w:after="0" w:line="400" w:lineRule="exact"/>
        <w:rPr>
          <w:rFonts w:hint="eastAsia"/>
          <w:sz w:val="24"/>
          <w:szCs w:val="24"/>
        </w:rPr>
      </w:pPr>
    </w:p>
    <w:p w14:paraId="6947D2DE">
      <w:pPr>
        <w:pStyle w:val="68"/>
        <w:spacing w:line="400" w:lineRule="exact"/>
        <w:ind w:firstLine="640"/>
        <w:jc w:val="both"/>
        <w:rPr>
          <w:rFonts w:hint="eastAsia"/>
          <w:sz w:val="24"/>
          <w:szCs w:val="24"/>
        </w:rPr>
      </w:pPr>
      <w:r>
        <w:rPr>
          <w:rFonts w:hint="eastAsia"/>
          <w:sz w:val="24"/>
          <w:szCs w:val="24"/>
        </w:rPr>
        <w:t>本公司（联合体）郑重声明，根据《政府采购促进中小企业发展管理办法》（财库〔2020〕46号）的规定，本公司 （联合体）参加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釆购活动,提供的货物全部由符合政策要求的中小企业制造。相关企业（含联合体中的中小企业、签订分包意向协议的中小企业）的具体情况如下：</w:t>
      </w:r>
    </w:p>
    <w:p w14:paraId="5E31CE05">
      <w:pPr>
        <w:pStyle w:val="68"/>
        <w:spacing w:line="400" w:lineRule="exact"/>
        <w:ind w:firstLine="640"/>
        <w:jc w:val="both"/>
        <w:rPr>
          <w:rFonts w:hint="eastAsia"/>
          <w:sz w:val="24"/>
          <w:szCs w:val="24"/>
        </w:rPr>
      </w:pPr>
      <w:r>
        <w:rPr>
          <w:rFonts w:hint="eastAsia"/>
          <w:sz w:val="24"/>
          <w:szCs w:val="24"/>
        </w:rPr>
        <w:t>1.</w:t>
      </w:r>
      <w:r>
        <w:rPr>
          <w:rFonts w:hint="eastAsia"/>
          <w:sz w:val="24"/>
          <w:szCs w:val="24"/>
          <w:u w:val="single"/>
        </w:rPr>
        <w:t xml:space="preserve">     （标的名称）</w:t>
      </w:r>
      <w:r>
        <w:rPr>
          <w:rFonts w:hint="eastAsia"/>
          <w:sz w:val="24"/>
          <w:szCs w:val="24"/>
        </w:rPr>
        <w:t>，属于</w:t>
      </w:r>
      <w:r>
        <w:rPr>
          <w:rFonts w:hint="eastAsia"/>
          <w:sz w:val="24"/>
          <w:szCs w:val="24"/>
          <w:u w:val="single"/>
        </w:rPr>
        <w:t xml:space="preserve">     （釆购文件中明确的所属行业）行业</w:t>
      </w:r>
      <w:r>
        <w:rPr>
          <w:rFonts w:hint="eastAsia"/>
          <w:sz w:val="24"/>
          <w:szCs w:val="24"/>
        </w:rPr>
        <w:t>；制造商为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u w:val="single"/>
        </w:rPr>
        <w:tab/>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 xml:space="preserve">； </w:t>
      </w:r>
    </w:p>
    <w:p w14:paraId="60A5C0E3">
      <w:pPr>
        <w:pStyle w:val="68"/>
        <w:spacing w:line="400" w:lineRule="exact"/>
        <w:ind w:firstLine="640"/>
        <w:jc w:val="both"/>
        <w:rPr>
          <w:rFonts w:hint="eastAsia"/>
          <w:sz w:val="24"/>
          <w:szCs w:val="24"/>
        </w:rPr>
      </w:pPr>
      <w:r>
        <w:rPr>
          <w:rFonts w:hint="eastAsia"/>
          <w:sz w:val="24"/>
          <w:szCs w:val="24"/>
        </w:rPr>
        <w:t>2.</w:t>
      </w:r>
      <w:r>
        <w:rPr>
          <w:rFonts w:hint="eastAsia"/>
          <w:sz w:val="24"/>
          <w:szCs w:val="24"/>
          <w:u w:val="single"/>
        </w:rPr>
        <w:t xml:space="preserve">    （标的名称）</w:t>
      </w:r>
      <w:r>
        <w:rPr>
          <w:rFonts w:hint="eastAsia"/>
          <w:sz w:val="24"/>
          <w:szCs w:val="24"/>
        </w:rPr>
        <w:t>，属于</w:t>
      </w:r>
      <w:r>
        <w:rPr>
          <w:rFonts w:hint="eastAsia"/>
          <w:sz w:val="24"/>
          <w:szCs w:val="24"/>
          <w:u w:val="single"/>
        </w:rPr>
        <w:t xml:space="preserve">     （釆购文件中明确的所属行业）行业</w:t>
      </w:r>
      <w:r>
        <w:rPr>
          <w:rFonts w:hint="eastAsia"/>
          <w:sz w:val="24"/>
          <w:szCs w:val="24"/>
        </w:rPr>
        <w:t>；制造商为</w:t>
      </w:r>
      <w:r>
        <w:rPr>
          <w:rFonts w:hint="eastAsia"/>
          <w:sz w:val="24"/>
          <w:szCs w:val="24"/>
          <w:u w:val="single"/>
        </w:rPr>
        <w:t>（企业名称）</w:t>
      </w:r>
      <w:r>
        <w:rPr>
          <w:rFonts w:hint="eastAsia"/>
          <w:sz w:val="24"/>
          <w:szCs w:val="24"/>
        </w:rPr>
        <w:t>、从业人员</w:t>
      </w:r>
      <w:r>
        <w:rPr>
          <w:rFonts w:hint="eastAsia"/>
          <w:sz w:val="24"/>
          <w:szCs w:val="24"/>
          <w:u w:val="single"/>
        </w:rPr>
        <w:tab/>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 企业、微型企业）</w:t>
      </w:r>
      <w:r>
        <w:rPr>
          <w:rFonts w:hint="eastAsia"/>
          <w:sz w:val="24"/>
          <w:szCs w:val="24"/>
        </w:rPr>
        <w:t>；</w:t>
      </w:r>
    </w:p>
    <w:p w14:paraId="0434634E">
      <w:pPr>
        <w:pStyle w:val="68"/>
        <w:spacing w:line="400" w:lineRule="exact"/>
        <w:ind w:firstLine="640"/>
        <w:jc w:val="both"/>
        <w:rPr>
          <w:rFonts w:hint="eastAsia"/>
          <w:sz w:val="24"/>
          <w:szCs w:val="24"/>
        </w:rPr>
      </w:pPr>
      <w:r>
        <w:rPr>
          <w:rFonts w:hint="eastAsia"/>
          <w:sz w:val="24"/>
          <w:szCs w:val="24"/>
        </w:rPr>
        <w:t>......</w:t>
      </w:r>
    </w:p>
    <w:p w14:paraId="5A781F17">
      <w:pPr>
        <w:pStyle w:val="68"/>
        <w:spacing w:line="400" w:lineRule="exact"/>
        <w:ind w:firstLine="640"/>
        <w:jc w:val="both"/>
        <w:rPr>
          <w:rFonts w:hint="eastAsia"/>
          <w:sz w:val="24"/>
          <w:szCs w:val="24"/>
        </w:rPr>
      </w:pPr>
      <w:r>
        <w:rPr>
          <w:rFonts w:hint="eastAsia"/>
          <w:sz w:val="24"/>
          <w:szCs w:val="24"/>
        </w:rPr>
        <w:t>以上企业，不属于大企业的分支机构，不存在控股股东为大企业的情形，也不存在与大企业的负责人为同一人的情形。</w:t>
      </w:r>
    </w:p>
    <w:p w14:paraId="1E185302">
      <w:pPr>
        <w:pStyle w:val="68"/>
        <w:spacing w:after="40" w:line="400" w:lineRule="exact"/>
        <w:ind w:firstLine="640"/>
        <w:jc w:val="both"/>
        <w:rPr>
          <w:rFonts w:hint="eastAsia"/>
          <w:sz w:val="24"/>
          <w:szCs w:val="24"/>
        </w:rPr>
      </w:pPr>
      <w:r>
        <w:rPr>
          <w:rFonts w:hint="eastAsia"/>
          <w:sz w:val="24"/>
          <w:szCs w:val="24"/>
        </w:rPr>
        <w:t>本企业对上述声明内容的真实性负责。如有虚假，将依法承担相应责任。</w:t>
      </w:r>
    </w:p>
    <w:p w14:paraId="393B86B2">
      <w:pPr>
        <w:pStyle w:val="68"/>
        <w:spacing w:after="40" w:line="400" w:lineRule="exact"/>
        <w:ind w:firstLine="640"/>
        <w:jc w:val="both"/>
        <w:rPr>
          <w:rFonts w:hint="eastAsia"/>
          <w:sz w:val="24"/>
          <w:szCs w:val="24"/>
        </w:rPr>
      </w:pPr>
    </w:p>
    <w:p w14:paraId="58703E82">
      <w:pPr>
        <w:pStyle w:val="68"/>
        <w:spacing w:line="400" w:lineRule="exact"/>
        <w:ind w:firstLine="640"/>
        <w:jc w:val="both"/>
        <w:rPr>
          <w:rFonts w:hint="eastAsia"/>
          <w:sz w:val="24"/>
          <w:szCs w:val="24"/>
        </w:rPr>
      </w:pPr>
      <w:r>
        <w:rPr>
          <w:rFonts w:hint="eastAsia"/>
          <w:sz w:val="24"/>
          <w:szCs w:val="24"/>
        </w:rPr>
        <w:t xml:space="preserve">                         </w:t>
      </w:r>
      <w:r>
        <w:rPr>
          <w:rFonts w:hint="eastAsia"/>
          <w:sz w:val="24"/>
        </w:rPr>
        <w:t>企业名称[盖公章（CA签章）]：</w:t>
      </w:r>
    </w:p>
    <w:p w14:paraId="762A8CCB">
      <w:pPr>
        <w:pStyle w:val="68"/>
        <w:spacing w:line="400" w:lineRule="exact"/>
        <w:ind w:firstLine="640"/>
        <w:jc w:val="both"/>
        <w:rPr>
          <w:rFonts w:hint="eastAsia"/>
          <w:sz w:val="24"/>
          <w:szCs w:val="24"/>
        </w:rPr>
      </w:pPr>
      <w:r>
        <w:rPr>
          <w:rFonts w:hint="eastAsia"/>
          <w:sz w:val="24"/>
          <w:szCs w:val="24"/>
        </w:rPr>
        <w:t xml:space="preserve">                         日期：</w:t>
      </w:r>
    </w:p>
    <w:p w14:paraId="244A400A">
      <w:pPr>
        <w:pStyle w:val="72"/>
        <w:spacing w:after="0" w:line="400" w:lineRule="exact"/>
        <w:rPr>
          <w:rFonts w:hint="eastAsia"/>
          <w:sz w:val="24"/>
          <w:szCs w:val="24"/>
        </w:rPr>
      </w:pPr>
    </w:p>
    <w:p w14:paraId="05B53C70">
      <w:pPr>
        <w:pStyle w:val="72"/>
        <w:spacing w:after="0" w:line="400" w:lineRule="exact"/>
        <w:rPr>
          <w:rFonts w:hint="eastAsia"/>
          <w:sz w:val="24"/>
          <w:szCs w:val="24"/>
        </w:rPr>
      </w:pPr>
    </w:p>
    <w:p w14:paraId="3BD2638D">
      <w:pPr>
        <w:pStyle w:val="72"/>
        <w:adjustRightInd w:val="0"/>
        <w:snapToGrid w:val="0"/>
        <w:spacing w:after="0" w:line="400" w:lineRule="exact"/>
        <w:jc w:val="left"/>
        <w:rPr>
          <w:rFonts w:hint="eastAsia"/>
          <w:sz w:val="24"/>
          <w:szCs w:val="24"/>
        </w:rPr>
      </w:pPr>
      <w:r>
        <w:rPr>
          <w:rFonts w:hint="eastAsia"/>
          <w:sz w:val="24"/>
          <w:szCs w:val="24"/>
        </w:rPr>
        <w:t>备注：</w:t>
      </w:r>
    </w:p>
    <w:p w14:paraId="2788F625">
      <w:pPr>
        <w:pStyle w:val="72"/>
        <w:numPr>
          <w:ilvl w:val="0"/>
          <w:numId w:val="10"/>
        </w:numPr>
        <w:adjustRightInd w:val="0"/>
        <w:snapToGrid w:val="0"/>
        <w:spacing w:after="0" w:line="400" w:lineRule="exact"/>
        <w:jc w:val="left"/>
        <w:rPr>
          <w:rFonts w:hint="eastAsia"/>
          <w:sz w:val="24"/>
          <w:szCs w:val="24"/>
        </w:rPr>
      </w:pPr>
      <w:r>
        <w:rPr>
          <w:rFonts w:hint="eastAsia"/>
          <w:sz w:val="24"/>
          <w:szCs w:val="24"/>
        </w:rPr>
        <w:t>从业人员、营业收入、资产总额填报上一年度数据，无上一年度数据的新成立企业可不填报。</w:t>
      </w:r>
    </w:p>
    <w:p w14:paraId="02C1354A">
      <w:pPr>
        <w:pStyle w:val="2"/>
      </w:pPr>
      <w:r>
        <w:br w:type="page"/>
      </w:r>
    </w:p>
    <w:p w14:paraId="695B174C">
      <w:pPr>
        <w:pStyle w:val="13"/>
        <w:spacing w:line="340" w:lineRule="exact"/>
        <w:rPr>
          <w:rFonts w:hint="eastAsia"/>
          <w:b/>
          <w:sz w:val="28"/>
          <w:szCs w:val="28"/>
        </w:rPr>
      </w:pPr>
      <w:r>
        <w:rPr>
          <w:rFonts w:hint="eastAsia"/>
          <w:b/>
          <w:sz w:val="28"/>
          <w:szCs w:val="28"/>
        </w:rPr>
        <w:t>6.如货物生产企业属于监狱企业的，应当提供由省级以上监狱管理局、戒毒管理局等（含新疆生产建设兵团）出具的属于监狱企业的证明文件（如有，请提供）；</w:t>
      </w:r>
    </w:p>
    <w:p w14:paraId="1D8419AF">
      <w:pPr>
        <w:pStyle w:val="7"/>
        <w:rPr>
          <w:rFonts w:hint="eastAsia" w:hAnsi="Courier New"/>
          <w:b/>
          <w:sz w:val="28"/>
          <w:szCs w:val="28"/>
        </w:rPr>
      </w:pPr>
    </w:p>
    <w:p w14:paraId="6E8241D1">
      <w:pPr>
        <w:rPr>
          <w:rFonts w:hint="eastAsia"/>
        </w:rPr>
      </w:pPr>
    </w:p>
    <w:p w14:paraId="73F79EB5">
      <w:pPr>
        <w:pStyle w:val="13"/>
        <w:spacing w:line="340" w:lineRule="exact"/>
        <w:rPr>
          <w:rFonts w:hint="eastAsia"/>
          <w:b/>
          <w:sz w:val="28"/>
          <w:szCs w:val="28"/>
        </w:rPr>
      </w:pPr>
    </w:p>
    <w:p w14:paraId="39F309DE">
      <w:pPr>
        <w:pStyle w:val="13"/>
        <w:spacing w:line="340" w:lineRule="exact"/>
        <w:rPr>
          <w:rFonts w:cs="宋体"/>
          <w:b/>
          <w:spacing w:val="6"/>
          <w:sz w:val="28"/>
          <w:szCs w:val="28"/>
        </w:rPr>
      </w:pPr>
      <w:r>
        <w:rPr>
          <w:rFonts w:hint="eastAsia"/>
          <w:b/>
          <w:sz w:val="28"/>
          <w:szCs w:val="28"/>
        </w:rPr>
        <w:t>7.符合条件的残疾人福利性单位在参加政府采购活动时，应当提供《残疾人福利性单位声明函》（见附件），并对声明的真实性负责（如有，请提供）；</w:t>
      </w:r>
    </w:p>
    <w:p w14:paraId="3BCD0672">
      <w:pPr>
        <w:spacing w:line="588" w:lineRule="exact"/>
        <w:rPr>
          <w:rFonts w:hint="eastAsia" w:ascii="宋体" w:hAnsi="宋体" w:cs="宋体"/>
          <w:b/>
          <w:spacing w:val="6"/>
          <w:sz w:val="28"/>
          <w:szCs w:val="28"/>
        </w:rPr>
      </w:pPr>
      <w:r>
        <w:rPr>
          <w:rFonts w:hint="eastAsia" w:ascii="宋体" w:hAnsi="宋体" w:cs="宋体"/>
          <w:b/>
          <w:spacing w:val="6"/>
          <w:sz w:val="28"/>
          <w:szCs w:val="28"/>
        </w:rPr>
        <w:t>附件：</w:t>
      </w:r>
    </w:p>
    <w:p w14:paraId="2B92099D">
      <w:pPr>
        <w:spacing w:line="588" w:lineRule="exact"/>
        <w:jc w:val="center"/>
        <w:rPr>
          <w:rFonts w:ascii="宋体" w:cs="宋体"/>
          <w:b/>
          <w:spacing w:val="6"/>
          <w:sz w:val="28"/>
          <w:szCs w:val="28"/>
        </w:rPr>
      </w:pPr>
      <w:r>
        <w:rPr>
          <w:rFonts w:hint="eastAsia" w:ascii="宋体" w:hAnsi="宋体" w:cs="宋体"/>
          <w:b/>
          <w:spacing w:val="6"/>
          <w:sz w:val="28"/>
          <w:szCs w:val="28"/>
        </w:rPr>
        <w:t>残疾人福利性单位声明函</w:t>
      </w:r>
    </w:p>
    <w:p w14:paraId="3FD26F79">
      <w:pPr>
        <w:spacing w:line="588" w:lineRule="exact"/>
        <w:ind w:firstLine="504" w:firstLineChars="200"/>
        <w:rPr>
          <w:rFonts w:ascii="宋体" w:cs="宋体"/>
          <w:spacing w:val="6"/>
          <w:sz w:val="24"/>
        </w:rPr>
      </w:pPr>
      <w:r>
        <w:rPr>
          <w:rFonts w:hint="eastAsia" w:ascii="宋体" w:hAnsi="宋体" w:cs="宋体"/>
          <w:spacing w:val="6"/>
          <w:sz w:val="24"/>
        </w:rPr>
        <w:t>本单位郑重声明，根据《财政部</w:t>
      </w:r>
      <w:r>
        <w:rPr>
          <w:rFonts w:ascii="宋体" w:hAnsi="宋体" w:cs="宋体"/>
          <w:spacing w:val="6"/>
          <w:sz w:val="24"/>
        </w:rPr>
        <w:t xml:space="preserve"> </w:t>
      </w:r>
      <w:r>
        <w:rPr>
          <w:rFonts w:hint="eastAsia" w:ascii="宋体" w:hAnsi="宋体" w:cs="宋体"/>
          <w:spacing w:val="6"/>
          <w:sz w:val="24"/>
        </w:rPr>
        <w:t>民政部</w:t>
      </w:r>
      <w:r>
        <w:rPr>
          <w:rFonts w:ascii="宋体" w:hAnsi="宋体" w:cs="宋体"/>
          <w:spacing w:val="6"/>
          <w:sz w:val="24"/>
        </w:rPr>
        <w:t xml:space="preserve"> </w:t>
      </w:r>
      <w:r>
        <w:rPr>
          <w:rFonts w:hint="eastAsia" w:ascii="宋体" w:hAnsi="宋体" w:cs="宋体"/>
          <w:spacing w:val="6"/>
          <w:sz w:val="24"/>
        </w:rPr>
        <w:t>中国残疾人联合会关于促进残疾人就业政府采购政策的通知》（财库</w:t>
      </w:r>
      <w:r>
        <w:rPr>
          <w:rFonts w:hint="eastAsia" w:ascii="宋体" w:hAnsi="宋体" w:cs="宋体"/>
          <w:sz w:val="24"/>
        </w:rPr>
        <w:t>〔</w:t>
      </w:r>
      <w:r>
        <w:rPr>
          <w:rFonts w:ascii="宋体" w:hAnsi="宋体" w:cs="宋体"/>
          <w:sz w:val="24"/>
        </w:rPr>
        <w:t>2017</w:t>
      </w:r>
      <w:r>
        <w:rPr>
          <w:rFonts w:hint="eastAsia" w:ascii="宋体" w:hAnsi="宋体" w:cs="宋体"/>
          <w:sz w:val="24"/>
        </w:rPr>
        <w:t>〕</w:t>
      </w:r>
      <w:r>
        <w:rPr>
          <w:rFonts w:ascii="宋体" w:hAnsi="宋体" w:cs="宋体"/>
          <w:sz w:val="24"/>
        </w:rPr>
        <w:t xml:space="preserve"> 141</w:t>
      </w:r>
      <w:r>
        <w:rPr>
          <w:rFonts w:hint="eastAsia" w:ascii="宋体" w:hAnsi="宋体" w:cs="宋体"/>
          <w:spacing w:val="6"/>
          <w:sz w:val="24"/>
        </w:rPr>
        <w:t>号）的规定，本单位为符合条件的残疾人福利性单位，且本单位参加</w:t>
      </w:r>
      <w:r>
        <w:rPr>
          <w:rFonts w:ascii="宋体" w:hAnsi="宋体" w:cs="宋体"/>
          <w:spacing w:val="6"/>
          <w:sz w:val="24"/>
        </w:rPr>
        <w:t>______</w:t>
      </w:r>
      <w:r>
        <w:rPr>
          <w:rFonts w:hint="eastAsia" w:ascii="宋体" w:hAnsi="宋体" w:cs="宋体"/>
          <w:spacing w:val="6"/>
          <w:sz w:val="24"/>
        </w:rPr>
        <w:t>单位的</w:t>
      </w:r>
      <w:r>
        <w:rPr>
          <w:rFonts w:ascii="宋体" w:hAnsi="宋体" w:cs="宋体"/>
          <w:spacing w:val="6"/>
          <w:sz w:val="24"/>
        </w:rPr>
        <w:t>______</w:t>
      </w:r>
      <w:r>
        <w:rPr>
          <w:rFonts w:hint="eastAsia" w:ascii="宋体" w:hAnsi="宋体" w:cs="宋体"/>
          <w:spacing w:val="6"/>
          <w:sz w:val="24"/>
        </w:rPr>
        <w:t>项目采购活动提供本单位制造的货物（由本单位承担工程</w:t>
      </w:r>
      <w:r>
        <w:rPr>
          <w:rFonts w:ascii="宋体" w:hAnsi="宋体" w:cs="宋体"/>
          <w:spacing w:val="6"/>
          <w:sz w:val="24"/>
        </w:rPr>
        <w:t>/</w:t>
      </w:r>
      <w:r>
        <w:rPr>
          <w:rFonts w:hint="eastAsia" w:ascii="宋体" w:hAnsi="宋体" w:cs="宋体"/>
          <w:spacing w:val="6"/>
          <w:sz w:val="24"/>
        </w:rPr>
        <w:t>提供服务），或者提供其他残疾人福利性单位制造的货物（不包括使用非残疾人福利性单位注册商标的货物）。</w:t>
      </w:r>
    </w:p>
    <w:p w14:paraId="1631F155">
      <w:pPr>
        <w:spacing w:line="588" w:lineRule="exact"/>
        <w:ind w:firstLine="504" w:firstLineChars="200"/>
        <w:rPr>
          <w:rFonts w:ascii="宋体" w:cs="宋体"/>
          <w:spacing w:val="6"/>
          <w:sz w:val="24"/>
        </w:rPr>
      </w:pPr>
      <w:r>
        <w:rPr>
          <w:rFonts w:hint="eastAsia" w:ascii="宋体" w:hAnsi="宋体" w:cs="宋体"/>
          <w:spacing w:val="6"/>
          <w:sz w:val="24"/>
        </w:rPr>
        <w:t>本单位对上述声明的真实性负责。如有虚假，将依法承担相应责任。</w:t>
      </w:r>
    </w:p>
    <w:p w14:paraId="54536771">
      <w:pPr>
        <w:rPr>
          <w:rFonts w:ascii="宋体" w:cs="宋体"/>
        </w:rPr>
      </w:pPr>
    </w:p>
    <w:p w14:paraId="7D70E5E5">
      <w:pPr>
        <w:tabs>
          <w:tab w:val="left" w:pos="4860"/>
        </w:tabs>
        <w:spacing w:line="588" w:lineRule="exact"/>
        <w:ind w:right="1560" w:firstLine="584" w:firstLineChars="200"/>
        <w:jc w:val="center"/>
        <w:rPr>
          <w:rFonts w:ascii="宋体" w:cs="宋体"/>
          <w:spacing w:val="6"/>
          <w:sz w:val="24"/>
        </w:rPr>
      </w:pPr>
      <w:r>
        <w:rPr>
          <w:rFonts w:ascii="宋体" w:hAnsi="宋体" w:cs="宋体"/>
          <w:spacing w:val="6"/>
          <w:sz w:val="28"/>
          <w:szCs w:val="28"/>
        </w:rPr>
        <w:t xml:space="preserve">          </w:t>
      </w:r>
      <w:r>
        <w:rPr>
          <w:rFonts w:ascii="宋体" w:hAnsi="宋体" w:cs="宋体"/>
          <w:spacing w:val="6"/>
          <w:sz w:val="24"/>
        </w:rPr>
        <w:t xml:space="preserve">  </w:t>
      </w:r>
      <w:r>
        <w:rPr>
          <w:rFonts w:hint="eastAsia" w:ascii="宋体" w:hAnsi="宋体" w:cs="宋体"/>
          <w:spacing w:val="6"/>
          <w:sz w:val="24"/>
        </w:rPr>
        <w:t>单位名称（公章(CA签章)）：</w:t>
      </w:r>
      <w:r>
        <w:rPr>
          <w:rFonts w:ascii="宋体" w:hAnsi="宋体" w:cs="宋体"/>
          <w:spacing w:val="6"/>
          <w:sz w:val="24"/>
        </w:rPr>
        <w:t xml:space="preserve"> </w:t>
      </w:r>
    </w:p>
    <w:p w14:paraId="31A3EE9C">
      <w:pPr>
        <w:pStyle w:val="13"/>
        <w:ind w:firstLine="4032" w:firstLineChars="1600"/>
        <w:rPr>
          <w:rFonts w:hAnsi="宋体" w:cs="宋体"/>
          <w:spacing w:val="6"/>
          <w:sz w:val="24"/>
          <w:szCs w:val="24"/>
        </w:rPr>
      </w:pPr>
      <w:r>
        <w:rPr>
          <w:rFonts w:hint="eastAsia" w:hAnsi="宋体" w:cs="宋体"/>
          <w:spacing w:val="6"/>
          <w:sz w:val="24"/>
          <w:szCs w:val="24"/>
        </w:rPr>
        <w:t>日</w:t>
      </w:r>
      <w:r>
        <w:rPr>
          <w:rFonts w:hAnsi="宋体" w:cs="宋体"/>
          <w:spacing w:val="6"/>
          <w:sz w:val="24"/>
          <w:szCs w:val="24"/>
        </w:rPr>
        <w:t xml:space="preserve">    </w:t>
      </w:r>
      <w:r>
        <w:rPr>
          <w:rFonts w:hint="eastAsia" w:hAnsi="宋体" w:cs="宋体"/>
          <w:spacing w:val="6"/>
          <w:sz w:val="24"/>
          <w:szCs w:val="24"/>
        </w:rPr>
        <w:t>期：</w:t>
      </w:r>
      <w:r>
        <w:rPr>
          <w:rFonts w:hAnsi="宋体" w:cs="宋体"/>
          <w:spacing w:val="6"/>
          <w:sz w:val="24"/>
          <w:szCs w:val="24"/>
        </w:rPr>
        <w:t xml:space="preserve">  </w:t>
      </w:r>
      <w:r>
        <w:rPr>
          <w:rFonts w:hint="eastAsia" w:hAnsi="宋体" w:cs="宋体"/>
          <w:spacing w:val="6"/>
          <w:sz w:val="24"/>
          <w:szCs w:val="24"/>
        </w:rPr>
        <w:t>年</w:t>
      </w:r>
      <w:r>
        <w:rPr>
          <w:rFonts w:hAnsi="宋体" w:cs="宋体"/>
          <w:spacing w:val="6"/>
          <w:sz w:val="24"/>
          <w:szCs w:val="24"/>
        </w:rPr>
        <w:t xml:space="preserve">  </w:t>
      </w:r>
      <w:r>
        <w:rPr>
          <w:rFonts w:hint="eastAsia" w:hAnsi="宋体" w:cs="宋体"/>
          <w:spacing w:val="6"/>
          <w:sz w:val="24"/>
          <w:szCs w:val="24"/>
        </w:rPr>
        <w:t>月</w:t>
      </w:r>
      <w:r>
        <w:rPr>
          <w:rFonts w:hAnsi="宋体" w:cs="宋体"/>
          <w:spacing w:val="6"/>
          <w:sz w:val="24"/>
          <w:szCs w:val="24"/>
        </w:rPr>
        <w:t xml:space="preserve">  </w:t>
      </w:r>
      <w:r>
        <w:rPr>
          <w:rFonts w:hint="eastAsia" w:hAnsi="宋体" w:cs="宋体"/>
          <w:spacing w:val="6"/>
          <w:sz w:val="24"/>
          <w:szCs w:val="24"/>
        </w:rPr>
        <w:t>日</w:t>
      </w:r>
    </w:p>
    <w:p w14:paraId="212D15C7">
      <w:pPr>
        <w:snapToGrid w:val="0"/>
        <w:spacing w:line="400" w:lineRule="exact"/>
        <w:outlineLvl w:val="4"/>
        <w:rPr>
          <w:rFonts w:ascii="宋体" w:cs="宋体"/>
          <w:sz w:val="24"/>
        </w:rPr>
      </w:pPr>
    </w:p>
    <w:p w14:paraId="3F110E5C">
      <w:pPr>
        <w:tabs>
          <w:tab w:val="left" w:pos="1305"/>
        </w:tabs>
        <w:rPr>
          <w:rFonts w:hint="eastAsia" w:ascii="宋体" w:hAnsi="宋体" w:cs="宋体"/>
          <w:sz w:val="24"/>
        </w:rPr>
      </w:pPr>
      <w:r>
        <w:rPr>
          <w:rFonts w:hint="eastAsia" w:ascii="宋体" w:hAnsi="宋体" w:cs="宋体"/>
          <w:sz w:val="24"/>
        </w:rPr>
        <w:t>注：</w:t>
      </w:r>
      <w:r>
        <w:rPr>
          <w:rFonts w:hint="eastAsia" w:ascii="宋体" w:hAnsi="宋体" w:cs="宋体"/>
          <w:b/>
          <w:szCs w:val="21"/>
        </w:rPr>
        <w:t>中标、成交供应商为残疾人福利性单位的，采购人或者其委托的采购代理机构应当随中标、成交结果同时公告其《残疾人福利性单位声明函》，接受社会监督</w:t>
      </w:r>
      <w:r>
        <w:rPr>
          <w:rFonts w:hint="eastAsia" w:ascii="宋体" w:hAnsi="宋体" w:cs="宋体"/>
          <w:sz w:val="24"/>
        </w:rPr>
        <w:t>。</w:t>
      </w:r>
    </w:p>
    <w:p w14:paraId="4A5B1EC1">
      <w:pPr>
        <w:pStyle w:val="13"/>
        <w:spacing w:line="340" w:lineRule="exact"/>
        <w:rPr>
          <w:rFonts w:hint="eastAsia"/>
        </w:rPr>
      </w:pPr>
      <w:r>
        <w:rPr>
          <w:rFonts w:hint="eastAsia"/>
        </w:rPr>
        <w:t>`</w:t>
      </w:r>
    </w:p>
    <w:p w14:paraId="7E229953">
      <w:pPr>
        <w:pStyle w:val="25"/>
        <w:rPr>
          <w:rFonts w:hint="eastAsia"/>
        </w:rPr>
      </w:pPr>
    </w:p>
    <w:p w14:paraId="7CCF0ADA">
      <w:pPr>
        <w:pStyle w:val="25"/>
        <w:rPr>
          <w:rFonts w:hint="eastAsia"/>
        </w:rPr>
      </w:pPr>
    </w:p>
    <w:p w14:paraId="053C972E">
      <w:pPr>
        <w:pStyle w:val="25"/>
        <w:rPr>
          <w:rFonts w:hint="eastAsia"/>
        </w:rPr>
      </w:pPr>
    </w:p>
    <w:p w14:paraId="7D3D4F9C">
      <w:pPr>
        <w:rPr>
          <w:rFonts w:hint="eastAsia"/>
        </w:rPr>
      </w:pPr>
    </w:p>
    <w:p w14:paraId="751D5D06">
      <w:pPr>
        <w:pStyle w:val="4"/>
        <w:rPr>
          <w:rFonts w:hint="eastAsia"/>
        </w:rPr>
      </w:pPr>
    </w:p>
    <w:p w14:paraId="3E8A07E0">
      <w:pPr>
        <w:rPr>
          <w:rFonts w:hint="eastAsia"/>
        </w:rPr>
      </w:pPr>
    </w:p>
    <w:p w14:paraId="446F4AEE">
      <w:pPr>
        <w:pStyle w:val="4"/>
        <w:rPr>
          <w:rFonts w:hint="eastAsia"/>
        </w:rPr>
      </w:pPr>
    </w:p>
    <w:p w14:paraId="75D01789">
      <w:pPr>
        <w:rPr>
          <w:rFonts w:hint="eastAsia"/>
        </w:rPr>
      </w:pPr>
    </w:p>
    <w:p w14:paraId="3E489163">
      <w:pPr>
        <w:tabs>
          <w:tab w:val="left" w:pos="1305"/>
        </w:tabs>
        <w:rPr>
          <w:rFonts w:ascii="宋体" w:cs="宋体"/>
          <w:sz w:val="24"/>
        </w:rPr>
      </w:pPr>
    </w:p>
    <w:p w14:paraId="7F4003C2">
      <w:pPr>
        <w:outlineLvl w:val="3"/>
        <w:rPr>
          <w:rFonts w:hint="eastAsia" w:ascii="宋体" w:hAnsi="Courier New" w:eastAsia="宋体" w:cs="Times New Roman"/>
          <w:b/>
          <w:bCs w:val="0"/>
          <w:kern w:val="0"/>
          <w:sz w:val="28"/>
          <w:szCs w:val="28"/>
          <w:highlight w:val="none"/>
          <w:lang w:eastAsia="zh-CN"/>
        </w:rPr>
      </w:pPr>
      <w:r>
        <w:rPr>
          <w:rFonts w:hint="eastAsia" w:ascii="宋体" w:hAnsi="Courier New" w:eastAsia="宋体" w:cs="Times New Roman"/>
          <w:b/>
          <w:bCs w:val="0"/>
          <w:kern w:val="0"/>
          <w:sz w:val="28"/>
          <w:szCs w:val="28"/>
          <w:highlight w:val="none"/>
          <w:lang w:val="en-US" w:eastAsia="zh-CN"/>
        </w:rPr>
        <w:t>8.</w:t>
      </w:r>
      <w:r>
        <w:rPr>
          <w:rFonts w:hint="eastAsia" w:ascii="宋体" w:hAnsi="Courier New" w:eastAsia="宋体" w:cs="Times New Roman"/>
          <w:b/>
          <w:bCs w:val="0"/>
          <w:kern w:val="0"/>
          <w:sz w:val="28"/>
          <w:szCs w:val="28"/>
          <w:highlight w:val="none"/>
          <w:lang w:eastAsia="zh-CN"/>
        </w:rPr>
        <w:t>关于符合本国产品标准的声明函</w:t>
      </w:r>
      <w:r>
        <w:rPr>
          <w:rFonts w:hint="eastAsia" w:ascii="宋体" w:hAnsi="Courier New" w:eastAsia="宋体" w:cs="Times New Roman"/>
          <w:b/>
          <w:bCs w:val="0"/>
          <w:kern w:val="0"/>
          <w:sz w:val="28"/>
          <w:szCs w:val="28"/>
          <w:highlight w:val="none"/>
        </w:rPr>
        <w:t>（见附件）（如有，请提供）；</w:t>
      </w:r>
    </w:p>
    <w:p w14:paraId="4795BD36">
      <w:pPr>
        <w:tabs>
          <w:tab w:val="left" w:pos="1305"/>
        </w:tabs>
        <w:spacing w:line="400" w:lineRule="exact"/>
        <w:rPr>
          <w:rFonts w:hint="eastAsia" w:ascii="宋体" w:hAnsi="宋体" w:cs="宋体"/>
          <w:b/>
          <w:bCs/>
          <w:sz w:val="28"/>
          <w:szCs w:val="28"/>
        </w:rPr>
      </w:pPr>
    </w:p>
    <w:p w14:paraId="6100A52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jc w:val="center"/>
        <w:textAlignment w:val="baseline"/>
        <w:rPr>
          <w:rStyle w:val="29"/>
          <w:rFonts w:ascii="仿宋" w:hAnsi="仿宋" w:eastAsia="仿宋" w:cs="仿宋"/>
          <w:i w:val="0"/>
          <w:iCs w:val="0"/>
          <w:caps w:val="0"/>
          <w:color w:val="000000"/>
          <w:spacing w:val="0"/>
          <w:sz w:val="36"/>
          <w:szCs w:val="36"/>
          <w:shd w:val="clear" w:fill="FFFFFF"/>
          <w:vertAlign w:val="baseline"/>
        </w:rPr>
      </w:pPr>
      <w:r>
        <w:rPr>
          <w:rStyle w:val="29"/>
          <w:rFonts w:ascii="仿宋" w:hAnsi="仿宋" w:eastAsia="仿宋" w:cs="仿宋"/>
          <w:i w:val="0"/>
          <w:iCs w:val="0"/>
          <w:caps w:val="0"/>
          <w:color w:val="000000"/>
          <w:spacing w:val="0"/>
          <w:sz w:val="36"/>
          <w:szCs w:val="36"/>
          <w:shd w:val="clear" w:fill="FFFFFF"/>
          <w:vertAlign w:val="baseline"/>
        </w:rPr>
        <w:t>关于符合本国产品标准的声明函</w:t>
      </w:r>
    </w:p>
    <w:p w14:paraId="575F9A6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本公司（单位）郑重声明，根据《国务院办公厅关于在政府采购中实施本国产品标准及相关政策的通知》（国办发〔2025〕34号）的规定，本公司（单位）提供的以下产品属于本国产品。具体情况如下：</w:t>
      </w:r>
    </w:p>
    <w:p w14:paraId="60FCE6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1.</w:t>
      </w:r>
      <w:r>
        <w:rPr>
          <w:rFonts w:hint="eastAsia" w:ascii="仿宋" w:hAnsi="仿宋" w:eastAsia="仿宋" w:cs="仿宋"/>
          <w:i w:val="0"/>
          <w:iCs w:val="0"/>
          <w:caps w:val="0"/>
          <w:spacing w:val="6"/>
          <w:kern w:val="2"/>
          <w:sz w:val="24"/>
          <w:szCs w:val="24"/>
          <w:u w:val="single"/>
          <w:shd w:val="clear" w:color="auto" w:fill="auto"/>
          <w:vertAlign w:val="baseline"/>
        </w:rPr>
        <w:t>（产品名称1）</w:t>
      </w:r>
      <w:r>
        <w:rPr>
          <w:rFonts w:hint="eastAsia" w:ascii="仿宋" w:hAnsi="仿宋" w:eastAsia="仿宋" w:cs="仿宋"/>
          <w:i w:val="0"/>
          <w:iCs w:val="0"/>
          <w:caps w:val="0"/>
          <w:spacing w:val="6"/>
          <w:kern w:val="2"/>
          <w:sz w:val="24"/>
          <w:szCs w:val="24"/>
          <w:shd w:val="clear" w:color="auto" w:fill="auto"/>
          <w:vertAlign w:val="baseline"/>
        </w:rPr>
        <w:t>1，生产厂为</w:t>
      </w:r>
      <w:r>
        <w:rPr>
          <w:rFonts w:hint="eastAsia" w:ascii="仿宋" w:hAnsi="仿宋" w:eastAsia="仿宋" w:cs="仿宋"/>
          <w:i w:val="0"/>
          <w:iCs w:val="0"/>
          <w:caps w:val="0"/>
          <w:spacing w:val="6"/>
          <w:kern w:val="2"/>
          <w:sz w:val="24"/>
          <w:szCs w:val="24"/>
          <w:u w:val="single"/>
          <w:shd w:val="clear" w:color="auto" w:fill="auto"/>
          <w:vertAlign w:val="baseline"/>
        </w:rPr>
        <w:t>（厂名）</w:t>
      </w:r>
      <w:r>
        <w:rPr>
          <w:rFonts w:hint="eastAsia" w:ascii="仿宋" w:hAnsi="仿宋" w:eastAsia="仿宋" w:cs="仿宋"/>
          <w:i w:val="0"/>
          <w:iCs w:val="0"/>
          <w:caps w:val="0"/>
          <w:spacing w:val="6"/>
          <w:kern w:val="2"/>
          <w:sz w:val="24"/>
          <w:szCs w:val="24"/>
          <w:shd w:val="clear" w:color="auto" w:fill="auto"/>
          <w:vertAlign w:val="baseline"/>
        </w:rPr>
        <w:t>2，厂址为</w:t>
      </w:r>
      <w:r>
        <w:rPr>
          <w:rFonts w:hint="eastAsia" w:ascii="仿宋" w:hAnsi="仿宋" w:eastAsia="仿宋" w:cs="仿宋"/>
          <w:i w:val="0"/>
          <w:iCs w:val="0"/>
          <w:caps w:val="0"/>
          <w:spacing w:val="6"/>
          <w:kern w:val="2"/>
          <w:sz w:val="24"/>
          <w:szCs w:val="24"/>
          <w:u w:val="single"/>
          <w:shd w:val="clear" w:color="auto" w:fill="auto"/>
          <w:vertAlign w:val="baseline"/>
        </w:rPr>
        <w:t>（生产厂址）</w:t>
      </w:r>
      <w:r>
        <w:rPr>
          <w:rFonts w:hint="eastAsia" w:ascii="仿宋" w:hAnsi="仿宋" w:eastAsia="仿宋" w:cs="仿宋"/>
          <w:i w:val="0"/>
          <w:iCs w:val="0"/>
          <w:caps w:val="0"/>
          <w:spacing w:val="6"/>
          <w:kern w:val="2"/>
          <w:sz w:val="24"/>
          <w:szCs w:val="24"/>
          <w:shd w:val="clear" w:color="auto" w:fill="auto"/>
          <w:vertAlign w:val="baseline"/>
        </w:rPr>
        <w:t>。</w:t>
      </w:r>
      <w:r>
        <w:rPr>
          <w:rFonts w:hint="eastAsia" w:ascii="仿宋" w:hAnsi="仿宋" w:eastAsia="仿宋" w:cs="仿宋"/>
          <w:i w:val="0"/>
          <w:iCs w:val="0"/>
          <w:caps w:val="0"/>
          <w:spacing w:val="6"/>
          <w:kern w:val="2"/>
          <w:sz w:val="24"/>
          <w:szCs w:val="24"/>
          <w:u w:val="single"/>
          <w:shd w:val="clear" w:color="auto" w:fill="auto"/>
          <w:vertAlign w:val="baseline"/>
        </w:rPr>
        <w:t>（产品名称1）</w:t>
      </w:r>
      <w:r>
        <w:rPr>
          <w:rFonts w:hint="eastAsia" w:ascii="仿宋" w:hAnsi="仿宋" w:eastAsia="仿宋" w:cs="仿宋"/>
          <w:i w:val="0"/>
          <w:iCs w:val="0"/>
          <w:caps w:val="0"/>
          <w:spacing w:val="6"/>
          <w:kern w:val="2"/>
          <w:sz w:val="24"/>
          <w:szCs w:val="24"/>
          <w:shd w:val="clear" w:color="auto" w:fill="auto"/>
          <w:vertAlign w:val="baseline"/>
        </w:rPr>
        <w:t>的中国境内生产的组件成本占比≥</w:t>
      </w:r>
      <w:r>
        <w:rPr>
          <w:rFonts w:hint="eastAsia" w:ascii="仿宋" w:hAnsi="仿宋" w:eastAsia="仿宋" w:cs="仿宋"/>
          <w:i w:val="0"/>
          <w:iCs w:val="0"/>
          <w:caps w:val="0"/>
          <w:spacing w:val="6"/>
          <w:kern w:val="2"/>
          <w:sz w:val="24"/>
          <w:szCs w:val="24"/>
          <w:u w:val="single"/>
          <w:shd w:val="clear" w:color="auto" w:fill="auto"/>
          <w:vertAlign w:val="baseline"/>
        </w:rPr>
        <w:t>（规定比例）</w:t>
      </w:r>
      <w:r>
        <w:rPr>
          <w:rFonts w:hint="eastAsia" w:ascii="仿宋" w:hAnsi="仿宋" w:eastAsia="仿宋" w:cs="仿宋"/>
          <w:i w:val="0"/>
          <w:iCs w:val="0"/>
          <w:caps w:val="0"/>
          <w:spacing w:val="6"/>
          <w:kern w:val="2"/>
          <w:sz w:val="24"/>
          <w:szCs w:val="24"/>
          <w:shd w:val="clear" w:color="auto" w:fill="auto"/>
          <w:vertAlign w:val="baseline"/>
        </w:rPr>
        <w:t>3。</w:t>
      </w:r>
      <w:r>
        <w:rPr>
          <w:rFonts w:hint="eastAsia" w:ascii="仿宋" w:hAnsi="仿宋" w:eastAsia="仿宋" w:cs="仿宋"/>
          <w:i w:val="0"/>
          <w:iCs w:val="0"/>
          <w:caps w:val="0"/>
          <w:spacing w:val="6"/>
          <w:kern w:val="2"/>
          <w:sz w:val="24"/>
          <w:szCs w:val="24"/>
          <w:u w:val="single"/>
          <w:shd w:val="clear" w:color="auto" w:fill="auto"/>
          <w:vertAlign w:val="baseline"/>
        </w:rPr>
        <w:t>（产品名称1）</w:t>
      </w:r>
      <w:r>
        <w:rPr>
          <w:rFonts w:hint="eastAsia" w:ascii="仿宋" w:hAnsi="仿宋" w:eastAsia="仿宋" w:cs="仿宋"/>
          <w:i w:val="0"/>
          <w:iCs w:val="0"/>
          <w:caps w:val="0"/>
          <w:spacing w:val="6"/>
          <w:kern w:val="2"/>
          <w:sz w:val="24"/>
          <w:szCs w:val="24"/>
          <w:shd w:val="clear" w:color="auto" w:fill="auto"/>
          <w:vertAlign w:val="baseline"/>
        </w:rPr>
        <w:t>的</w:t>
      </w:r>
      <w:r>
        <w:rPr>
          <w:rFonts w:hint="eastAsia" w:ascii="仿宋" w:hAnsi="仿宋" w:eastAsia="仿宋" w:cs="仿宋"/>
          <w:i w:val="0"/>
          <w:iCs w:val="0"/>
          <w:caps w:val="0"/>
          <w:spacing w:val="6"/>
          <w:kern w:val="2"/>
          <w:sz w:val="24"/>
          <w:szCs w:val="24"/>
          <w:u w:val="single"/>
          <w:shd w:val="clear" w:color="auto" w:fill="auto"/>
          <w:vertAlign w:val="baseline"/>
        </w:rPr>
        <w:t>（关键组件）</w:t>
      </w:r>
      <w:r>
        <w:rPr>
          <w:rFonts w:hint="eastAsia" w:ascii="仿宋" w:hAnsi="仿宋" w:eastAsia="仿宋" w:cs="仿宋"/>
          <w:i w:val="0"/>
          <w:iCs w:val="0"/>
          <w:caps w:val="0"/>
          <w:spacing w:val="6"/>
          <w:kern w:val="2"/>
          <w:sz w:val="24"/>
          <w:szCs w:val="24"/>
          <w:shd w:val="clear" w:color="auto" w:fill="auto"/>
          <w:vertAlign w:val="baseline"/>
        </w:rPr>
        <w:t>4在中国境内生产。</w:t>
      </w:r>
      <w:r>
        <w:rPr>
          <w:rFonts w:hint="eastAsia" w:ascii="仿宋" w:hAnsi="仿宋" w:eastAsia="仿宋" w:cs="仿宋"/>
          <w:i w:val="0"/>
          <w:iCs w:val="0"/>
          <w:caps w:val="0"/>
          <w:spacing w:val="6"/>
          <w:kern w:val="2"/>
          <w:sz w:val="24"/>
          <w:szCs w:val="24"/>
          <w:u w:val="single"/>
          <w:shd w:val="clear" w:color="auto" w:fill="auto"/>
          <w:vertAlign w:val="baseline"/>
        </w:rPr>
        <w:t>（产品名称1）</w:t>
      </w:r>
      <w:r>
        <w:rPr>
          <w:rFonts w:hint="eastAsia" w:ascii="仿宋" w:hAnsi="仿宋" w:eastAsia="仿宋" w:cs="仿宋"/>
          <w:i w:val="0"/>
          <w:iCs w:val="0"/>
          <w:caps w:val="0"/>
          <w:spacing w:val="6"/>
          <w:kern w:val="2"/>
          <w:sz w:val="24"/>
          <w:szCs w:val="24"/>
          <w:shd w:val="clear" w:color="auto" w:fill="auto"/>
          <w:vertAlign w:val="baseline"/>
        </w:rPr>
        <w:t>的</w:t>
      </w:r>
      <w:r>
        <w:rPr>
          <w:rFonts w:hint="eastAsia" w:ascii="仿宋" w:hAnsi="仿宋" w:eastAsia="仿宋" w:cs="仿宋"/>
          <w:i w:val="0"/>
          <w:iCs w:val="0"/>
          <w:caps w:val="0"/>
          <w:spacing w:val="6"/>
          <w:kern w:val="2"/>
          <w:sz w:val="24"/>
          <w:szCs w:val="24"/>
          <w:u w:val="single"/>
          <w:shd w:val="clear" w:color="auto" w:fill="auto"/>
          <w:vertAlign w:val="baseline"/>
        </w:rPr>
        <w:t>（关键工序）</w:t>
      </w:r>
      <w:r>
        <w:rPr>
          <w:rFonts w:hint="eastAsia" w:ascii="仿宋" w:hAnsi="仿宋" w:eastAsia="仿宋" w:cs="仿宋"/>
          <w:i w:val="0"/>
          <w:iCs w:val="0"/>
          <w:caps w:val="0"/>
          <w:spacing w:val="6"/>
          <w:kern w:val="2"/>
          <w:sz w:val="24"/>
          <w:szCs w:val="24"/>
          <w:shd w:val="clear" w:color="auto" w:fill="auto"/>
          <w:vertAlign w:val="baseline"/>
        </w:rPr>
        <w:t>5在中国境内完成。</w:t>
      </w:r>
    </w:p>
    <w:p w14:paraId="7821EBF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2.</w:t>
      </w:r>
      <w:r>
        <w:rPr>
          <w:rFonts w:hint="eastAsia" w:ascii="仿宋" w:hAnsi="仿宋" w:eastAsia="仿宋" w:cs="仿宋"/>
          <w:i w:val="0"/>
          <w:iCs w:val="0"/>
          <w:caps w:val="0"/>
          <w:spacing w:val="6"/>
          <w:kern w:val="2"/>
          <w:sz w:val="24"/>
          <w:szCs w:val="24"/>
          <w:u w:val="single"/>
          <w:shd w:val="clear" w:color="auto" w:fill="auto"/>
          <w:vertAlign w:val="baseline"/>
        </w:rPr>
        <w:t>（产品名称2）</w:t>
      </w:r>
      <w:r>
        <w:rPr>
          <w:rFonts w:hint="eastAsia" w:ascii="仿宋" w:hAnsi="仿宋" w:eastAsia="仿宋" w:cs="仿宋"/>
          <w:i w:val="0"/>
          <w:iCs w:val="0"/>
          <w:caps w:val="0"/>
          <w:spacing w:val="6"/>
          <w:kern w:val="2"/>
          <w:sz w:val="24"/>
          <w:szCs w:val="24"/>
          <w:shd w:val="clear" w:color="auto" w:fill="auto"/>
          <w:vertAlign w:val="baseline"/>
        </w:rPr>
        <w:t>，生产厂为</w:t>
      </w:r>
      <w:r>
        <w:rPr>
          <w:rFonts w:hint="eastAsia" w:ascii="仿宋" w:hAnsi="仿宋" w:eastAsia="仿宋" w:cs="仿宋"/>
          <w:i w:val="0"/>
          <w:iCs w:val="0"/>
          <w:caps w:val="0"/>
          <w:spacing w:val="6"/>
          <w:kern w:val="2"/>
          <w:sz w:val="24"/>
          <w:szCs w:val="24"/>
          <w:u w:val="single"/>
          <w:shd w:val="clear" w:color="auto" w:fill="auto"/>
          <w:vertAlign w:val="baseline"/>
        </w:rPr>
        <w:t>（厂名）</w:t>
      </w:r>
      <w:r>
        <w:rPr>
          <w:rFonts w:hint="eastAsia" w:ascii="仿宋" w:hAnsi="仿宋" w:eastAsia="仿宋" w:cs="仿宋"/>
          <w:i w:val="0"/>
          <w:iCs w:val="0"/>
          <w:caps w:val="0"/>
          <w:spacing w:val="6"/>
          <w:kern w:val="2"/>
          <w:sz w:val="24"/>
          <w:szCs w:val="24"/>
          <w:shd w:val="clear" w:color="auto" w:fill="auto"/>
          <w:vertAlign w:val="baseline"/>
        </w:rPr>
        <w:t>，厂址为</w:t>
      </w:r>
      <w:r>
        <w:rPr>
          <w:rFonts w:hint="eastAsia" w:ascii="仿宋" w:hAnsi="仿宋" w:eastAsia="仿宋" w:cs="仿宋"/>
          <w:i w:val="0"/>
          <w:iCs w:val="0"/>
          <w:caps w:val="0"/>
          <w:spacing w:val="6"/>
          <w:kern w:val="2"/>
          <w:sz w:val="24"/>
          <w:szCs w:val="24"/>
          <w:u w:val="single"/>
          <w:shd w:val="clear" w:color="auto" w:fill="auto"/>
          <w:vertAlign w:val="baseline"/>
        </w:rPr>
        <w:t>（生产厂址）</w:t>
      </w:r>
      <w:r>
        <w:rPr>
          <w:rFonts w:hint="eastAsia" w:ascii="仿宋" w:hAnsi="仿宋" w:eastAsia="仿宋" w:cs="仿宋"/>
          <w:i w:val="0"/>
          <w:iCs w:val="0"/>
          <w:caps w:val="0"/>
          <w:spacing w:val="6"/>
          <w:kern w:val="2"/>
          <w:sz w:val="24"/>
          <w:szCs w:val="24"/>
          <w:shd w:val="clear" w:color="auto" w:fill="auto"/>
          <w:vertAlign w:val="baseline"/>
        </w:rPr>
        <w:t>。</w:t>
      </w:r>
      <w:r>
        <w:rPr>
          <w:rFonts w:hint="eastAsia" w:ascii="仿宋" w:hAnsi="仿宋" w:eastAsia="仿宋" w:cs="仿宋"/>
          <w:i w:val="0"/>
          <w:iCs w:val="0"/>
          <w:caps w:val="0"/>
          <w:spacing w:val="6"/>
          <w:kern w:val="2"/>
          <w:sz w:val="24"/>
          <w:szCs w:val="24"/>
          <w:u w:val="single"/>
          <w:shd w:val="clear" w:color="auto" w:fill="auto"/>
          <w:vertAlign w:val="baseline"/>
        </w:rPr>
        <w:t>（产品名称2）</w:t>
      </w:r>
      <w:r>
        <w:rPr>
          <w:rFonts w:hint="eastAsia" w:ascii="仿宋" w:hAnsi="仿宋" w:eastAsia="仿宋" w:cs="仿宋"/>
          <w:i w:val="0"/>
          <w:iCs w:val="0"/>
          <w:caps w:val="0"/>
          <w:spacing w:val="6"/>
          <w:kern w:val="2"/>
          <w:sz w:val="24"/>
          <w:szCs w:val="24"/>
          <w:shd w:val="clear" w:color="auto" w:fill="auto"/>
          <w:vertAlign w:val="baseline"/>
        </w:rPr>
        <w:t>的中国境内生产的组件成本占比≥</w:t>
      </w:r>
      <w:r>
        <w:rPr>
          <w:rFonts w:hint="eastAsia" w:ascii="仿宋" w:hAnsi="仿宋" w:eastAsia="仿宋" w:cs="仿宋"/>
          <w:i w:val="0"/>
          <w:iCs w:val="0"/>
          <w:caps w:val="0"/>
          <w:spacing w:val="6"/>
          <w:kern w:val="2"/>
          <w:sz w:val="24"/>
          <w:szCs w:val="24"/>
          <w:u w:val="single"/>
          <w:shd w:val="clear" w:color="auto" w:fill="auto"/>
          <w:vertAlign w:val="baseline"/>
        </w:rPr>
        <w:t>（规定比例）</w:t>
      </w:r>
      <w:r>
        <w:rPr>
          <w:rFonts w:hint="eastAsia" w:ascii="仿宋" w:hAnsi="仿宋" w:eastAsia="仿宋" w:cs="仿宋"/>
          <w:i w:val="0"/>
          <w:iCs w:val="0"/>
          <w:caps w:val="0"/>
          <w:spacing w:val="6"/>
          <w:kern w:val="2"/>
          <w:sz w:val="24"/>
          <w:szCs w:val="24"/>
          <w:shd w:val="clear" w:color="auto" w:fill="auto"/>
          <w:vertAlign w:val="baseline"/>
        </w:rPr>
        <w:t>。</w:t>
      </w:r>
      <w:r>
        <w:rPr>
          <w:rFonts w:hint="eastAsia" w:ascii="仿宋" w:hAnsi="仿宋" w:eastAsia="仿宋" w:cs="仿宋"/>
          <w:i w:val="0"/>
          <w:iCs w:val="0"/>
          <w:caps w:val="0"/>
          <w:spacing w:val="6"/>
          <w:kern w:val="2"/>
          <w:sz w:val="24"/>
          <w:szCs w:val="24"/>
          <w:u w:val="single"/>
          <w:shd w:val="clear" w:color="auto" w:fill="auto"/>
          <w:vertAlign w:val="baseline"/>
        </w:rPr>
        <w:t>（产品名称2）</w:t>
      </w:r>
      <w:r>
        <w:rPr>
          <w:rFonts w:hint="eastAsia" w:ascii="仿宋" w:hAnsi="仿宋" w:eastAsia="仿宋" w:cs="仿宋"/>
          <w:i w:val="0"/>
          <w:iCs w:val="0"/>
          <w:caps w:val="0"/>
          <w:spacing w:val="6"/>
          <w:kern w:val="2"/>
          <w:sz w:val="24"/>
          <w:szCs w:val="24"/>
          <w:shd w:val="clear" w:color="auto" w:fill="auto"/>
          <w:vertAlign w:val="baseline"/>
        </w:rPr>
        <w:t>的</w:t>
      </w:r>
      <w:r>
        <w:rPr>
          <w:rFonts w:hint="eastAsia" w:ascii="仿宋" w:hAnsi="仿宋" w:eastAsia="仿宋" w:cs="仿宋"/>
          <w:i w:val="0"/>
          <w:iCs w:val="0"/>
          <w:caps w:val="0"/>
          <w:spacing w:val="6"/>
          <w:kern w:val="2"/>
          <w:sz w:val="24"/>
          <w:szCs w:val="24"/>
          <w:u w:val="single"/>
          <w:shd w:val="clear" w:color="auto" w:fill="auto"/>
          <w:vertAlign w:val="baseline"/>
        </w:rPr>
        <w:t>（关键组件）</w:t>
      </w:r>
      <w:r>
        <w:rPr>
          <w:rFonts w:hint="eastAsia" w:ascii="仿宋" w:hAnsi="仿宋" w:eastAsia="仿宋" w:cs="仿宋"/>
          <w:i w:val="0"/>
          <w:iCs w:val="0"/>
          <w:caps w:val="0"/>
          <w:spacing w:val="6"/>
          <w:kern w:val="2"/>
          <w:sz w:val="24"/>
          <w:szCs w:val="24"/>
          <w:shd w:val="clear" w:color="auto" w:fill="auto"/>
          <w:vertAlign w:val="baseline"/>
        </w:rPr>
        <w:t>在中国境内生产。</w:t>
      </w:r>
      <w:r>
        <w:rPr>
          <w:rFonts w:hint="eastAsia" w:ascii="仿宋" w:hAnsi="仿宋" w:eastAsia="仿宋" w:cs="仿宋"/>
          <w:i w:val="0"/>
          <w:iCs w:val="0"/>
          <w:caps w:val="0"/>
          <w:spacing w:val="6"/>
          <w:kern w:val="2"/>
          <w:sz w:val="24"/>
          <w:szCs w:val="24"/>
          <w:u w:val="single"/>
          <w:shd w:val="clear" w:color="auto" w:fill="auto"/>
          <w:vertAlign w:val="baseline"/>
        </w:rPr>
        <w:t>（产品名称2</w:t>
      </w:r>
      <w:r>
        <w:rPr>
          <w:rFonts w:hint="eastAsia" w:ascii="仿宋" w:hAnsi="仿宋" w:eastAsia="仿宋" w:cs="仿宋"/>
          <w:i w:val="0"/>
          <w:iCs w:val="0"/>
          <w:caps w:val="0"/>
          <w:spacing w:val="6"/>
          <w:kern w:val="2"/>
          <w:sz w:val="24"/>
          <w:szCs w:val="24"/>
          <w:shd w:val="clear" w:color="auto" w:fill="auto"/>
          <w:vertAlign w:val="baseline"/>
        </w:rPr>
        <w:t>）的</w:t>
      </w:r>
      <w:r>
        <w:rPr>
          <w:rFonts w:hint="eastAsia" w:ascii="仿宋" w:hAnsi="仿宋" w:eastAsia="仿宋" w:cs="仿宋"/>
          <w:i w:val="0"/>
          <w:iCs w:val="0"/>
          <w:caps w:val="0"/>
          <w:spacing w:val="6"/>
          <w:kern w:val="2"/>
          <w:sz w:val="24"/>
          <w:szCs w:val="24"/>
          <w:u w:val="single"/>
          <w:shd w:val="clear" w:color="auto" w:fill="auto"/>
          <w:vertAlign w:val="baseline"/>
        </w:rPr>
        <w:t>（关键工序）</w:t>
      </w:r>
      <w:r>
        <w:rPr>
          <w:rFonts w:hint="eastAsia" w:ascii="仿宋" w:hAnsi="仿宋" w:eastAsia="仿宋" w:cs="仿宋"/>
          <w:i w:val="0"/>
          <w:iCs w:val="0"/>
          <w:caps w:val="0"/>
          <w:spacing w:val="6"/>
          <w:kern w:val="2"/>
          <w:sz w:val="24"/>
          <w:szCs w:val="24"/>
          <w:shd w:val="clear" w:color="auto" w:fill="auto"/>
          <w:vertAlign w:val="baseline"/>
        </w:rPr>
        <w:t>在中国境内完成。</w:t>
      </w:r>
    </w:p>
    <w:p w14:paraId="7F91A34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w:t>
      </w:r>
    </w:p>
    <w:p w14:paraId="4D936718">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本公司（单位）对上述声明内容的真实性负责。如有虚假，愿承担相应法律责任。</w:t>
      </w:r>
    </w:p>
    <w:p w14:paraId="73FA3A1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shd w:val="clear" w:color="auto" w:fill="FFFFFF"/>
          <w:vertAlign w:val="baseline"/>
        </w:rPr>
        <w:t> </w:t>
      </w:r>
    </w:p>
    <w:p w14:paraId="0195D64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jc w:val="right"/>
        <w:textAlignment w:val="baseline"/>
        <w:rPr>
          <w:rFonts w:hint="eastAsia" w:ascii="仿宋" w:hAnsi="仿宋" w:eastAsia="仿宋" w:cs="仿宋"/>
          <w:i w:val="0"/>
          <w:iCs w:val="0"/>
          <w:caps w:val="0"/>
          <w:spacing w:val="6"/>
          <w:kern w:val="2"/>
          <w:sz w:val="24"/>
          <w:szCs w:val="24"/>
        </w:rPr>
      </w:pPr>
      <w:r>
        <w:rPr>
          <w:rFonts w:hint="eastAsia" w:ascii="仿宋" w:hAnsi="仿宋" w:eastAsia="仿宋" w:cs="仿宋"/>
          <w:i w:val="0"/>
          <w:iCs w:val="0"/>
          <w:caps w:val="0"/>
          <w:spacing w:val="6"/>
          <w:kern w:val="2"/>
          <w:sz w:val="24"/>
          <w:szCs w:val="24"/>
          <w:shd w:val="clear" w:color="auto" w:fill="auto"/>
          <w:vertAlign w:val="baseline"/>
        </w:rPr>
        <w:t>公司（单位）名称（盖章）：　        </w:t>
      </w:r>
    </w:p>
    <w:p w14:paraId="7D30E59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jc w:val="right"/>
        <w:textAlignment w:val="baseline"/>
        <w:rPr>
          <w:rFonts w:hint="eastAsia" w:ascii="仿宋" w:hAnsi="仿宋" w:eastAsia="仿宋" w:cs="仿宋"/>
          <w:i w:val="0"/>
          <w:iCs w:val="0"/>
          <w:caps w:val="0"/>
          <w:color w:val="000000"/>
          <w:spacing w:val="0"/>
          <w:sz w:val="28"/>
          <w:szCs w:val="28"/>
          <w:shd w:val="clear" w:color="auto" w:fill="FFFFFF"/>
          <w:vertAlign w:val="baseline"/>
        </w:rPr>
      </w:pPr>
      <w:r>
        <w:rPr>
          <w:rFonts w:hint="eastAsia" w:ascii="仿宋" w:hAnsi="仿宋" w:eastAsia="仿宋" w:cs="仿宋"/>
          <w:i w:val="0"/>
          <w:iCs w:val="0"/>
          <w:caps w:val="0"/>
          <w:spacing w:val="6"/>
          <w:kern w:val="2"/>
          <w:sz w:val="24"/>
          <w:szCs w:val="24"/>
          <w:shd w:val="clear" w:color="auto" w:fill="auto"/>
          <w:vertAlign w:val="baseline"/>
        </w:rPr>
        <w:t>日期：　     年　  月　  日</w:t>
      </w:r>
      <w:r>
        <w:rPr>
          <w:rFonts w:hint="eastAsia" w:ascii="宋体" w:hAnsi="宋体" w:eastAsia="宋体" w:cs="宋体"/>
          <w:i w:val="0"/>
          <w:iCs w:val="0"/>
          <w:caps w:val="0"/>
          <w:spacing w:val="6"/>
          <w:kern w:val="2"/>
          <w:sz w:val="22"/>
          <w:szCs w:val="22"/>
          <w:shd w:val="clear" w:color="auto" w:fill="auto"/>
          <w:vertAlign w:val="baseline"/>
        </w:rPr>
        <w:t> </w:t>
      </w:r>
      <w:r>
        <w:rPr>
          <w:rFonts w:hint="eastAsia" w:ascii="宋体" w:hAnsi="宋体" w:eastAsia="宋体" w:cs="宋体"/>
          <w:i w:val="0"/>
          <w:iCs w:val="0"/>
          <w:caps w:val="0"/>
          <w:spacing w:val="6"/>
          <w:kern w:val="2"/>
          <w:sz w:val="24"/>
          <w:szCs w:val="24"/>
          <w:shd w:val="clear" w:color="auto" w:fill="auto"/>
          <w:vertAlign w:val="baseline"/>
        </w:rPr>
        <w:t>        </w:t>
      </w:r>
    </w:p>
    <w:p w14:paraId="77A14E0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shd w:val="clear" w:color="auto" w:fill="FFFFFF"/>
          <w:vertAlign w:val="baseline"/>
        </w:rPr>
      </w:pPr>
    </w:p>
    <w:p w14:paraId="3E015F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shd w:val="clear" w:color="auto" w:fill="FFFFFF"/>
          <w:vertAlign w:val="baseline"/>
        </w:rPr>
      </w:pPr>
    </w:p>
    <w:p w14:paraId="5FD61BD6">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60" w:lineRule="atLeast"/>
        <w:ind w:left="0" w:right="0" w:firstLine="0"/>
        <w:textAlignment w:val="baseline"/>
        <w:rPr>
          <w:rFonts w:hint="eastAsia" w:ascii="仿宋" w:hAnsi="仿宋" w:eastAsia="仿宋" w:cs="仿宋"/>
          <w:i w:val="0"/>
          <w:iCs w:val="0"/>
          <w:caps w:val="0"/>
          <w:color w:val="000000"/>
          <w:spacing w:val="0"/>
          <w:sz w:val="28"/>
          <w:szCs w:val="28"/>
        </w:rPr>
      </w:pPr>
      <w:r>
        <w:rPr>
          <w:rFonts w:hint="eastAsia" w:ascii="仿宋" w:hAnsi="仿宋" w:eastAsia="仿宋" w:cs="仿宋"/>
          <w:i w:val="0"/>
          <w:iCs w:val="0"/>
          <w:caps w:val="0"/>
          <w:color w:val="000000"/>
          <w:spacing w:val="0"/>
          <w:sz w:val="28"/>
          <w:szCs w:val="28"/>
          <w:shd w:val="clear" w:color="auto" w:fill="FFFFFF"/>
          <w:vertAlign w:val="baseline"/>
        </w:rPr>
        <w:t>_______________</w:t>
      </w:r>
    </w:p>
    <w:p w14:paraId="7EE07D3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420"/>
        <w:textAlignment w:val="baseline"/>
        <w:rPr>
          <w:rFonts w:hint="eastAsia" w:ascii="仿宋" w:hAnsi="仿宋" w:eastAsia="仿宋" w:cs="仿宋"/>
          <w:b w:val="0"/>
          <w:bCs w:val="0"/>
          <w:i w:val="0"/>
          <w:iCs w:val="0"/>
          <w:caps w:val="0"/>
          <w:spacing w:val="6"/>
          <w:kern w:val="2"/>
          <w:sz w:val="22"/>
          <w:szCs w:val="22"/>
        </w:rPr>
      </w:pPr>
      <w:r>
        <w:rPr>
          <w:rFonts w:hint="eastAsia" w:ascii="仿宋" w:hAnsi="仿宋" w:eastAsia="仿宋" w:cs="仿宋"/>
          <w:b w:val="0"/>
          <w:bCs w:val="0"/>
          <w:i w:val="0"/>
          <w:iCs w:val="0"/>
          <w:caps w:val="0"/>
          <w:spacing w:val="6"/>
          <w:kern w:val="2"/>
          <w:sz w:val="22"/>
          <w:szCs w:val="22"/>
          <w:shd w:val="clear" w:color="auto" w:fill="auto"/>
          <w:vertAlign w:val="baseline"/>
          <w:lang w:eastAsia="zh-CN"/>
        </w:rPr>
        <w:t>注：</w:t>
      </w:r>
      <w:r>
        <w:rPr>
          <w:rFonts w:hint="eastAsia" w:ascii="仿宋" w:hAnsi="仿宋" w:eastAsia="仿宋" w:cs="仿宋"/>
          <w:b w:val="0"/>
          <w:bCs w:val="0"/>
          <w:i w:val="0"/>
          <w:iCs w:val="0"/>
          <w:caps w:val="0"/>
          <w:spacing w:val="6"/>
          <w:kern w:val="2"/>
          <w:sz w:val="22"/>
          <w:szCs w:val="22"/>
          <w:shd w:val="clear" w:color="auto" w:fill="auto"/>
          <w:vertAlign w:val="baseline"/>
        </w:rPr>
        <w:t>1.产品如有型号，请在“产品名称”栏一并填写。</w:t>
      </w:r>
    </w:p>
    <w:p w14:paraId="47F6538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928" w:firstLineChars="400"/>
        <w:textAlignment w:val="baseline"/>
        <w:rPr>
          <w:rFonts w:hint="eastAsia" w:ascii="仿宋" w:hAnsi="仿宋" w:eastAsia="仿宋" w:cs="仿宋"/>
          <w:b w:val="0"/>
          <w:bCs w:val="0"/>
          <w:i w:val="0"/>
          <w:iCs w:val="0"/>
          <w:caps w:val="0"/>
          <w:spacing w:val="6"/>
          <w:kern w:val="2"/>
          <w:sz w:val="22"/>
          <w:szCs w:val="22"/>
        </w:rPr>
      </w:pPr>
      <w:r>
        <w:rPr>
          <w:rFonts w:hint="eastAsia" w:ascii="仿宋" w:hAnsi="仿宋" w:eastAsia="仿宋" w:cs="仿宋"/>
          <w:b w:val="0"/>
          <w:bCs w:val="0"/>
          <w:i w:val="0"/>
          <w:iCs w:val="0"/>
          <w:caps w:val="0"/>
          <w:spacing w:val="6"/>
          <w:kern w:val="2"/>
          <w:sz w:val="22"/>
          <w:szCs w:val="22"/>
          <w:shd w:val="clear" w:color="auto" w:fill="auto"/>
          <w:vertAlign w:val="baseline"/>
        </w:rPr>
        <w:t>2.生产厂名与厂址应与生产厂营业执照载明的相关信息保持一致。</w:t>
      </w:r>
    </w:p>
    <w:p w14:paraId="60C765C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80" w:lineRule="atLeast"/>
        <w:ind w:left="0" w:right="0" w:firstLine="928" w:firstLineChars="400"/>
        <w:textAlignment w:val="baseline"/>
        <w:rPr>
          <w:rFonts w:hint="eastAsia" w:ascii="仿宋" w:hAnsi="仿宋" w:eastAsia="仿宋" w:cs="仿宋"/>
          <w:b w:val="0"/>
          <w:bCs w:val="0"/>
          <w:i w:val="0"/>
          <w:iCs w:val="0"/>
          <w:caps w:val="0"/>
          <w:spacing w:val="6"/>
          <w:kern w:val="2"/>
          <w:sz w:val="22"/>
          <w:szCs w:val="22"/>
        </w:rPr>
      </w:pPr>
      <w:r>
        <w:rPr>
          <w:rFonts w:hint="eastAsia" w:ascii="仿宋" w:hAnsi="仿宋" w:eastAsia="仿宋" w:cs="仿宋"/>
          <w:b w:val="0"/>
          <w:bCs w:val="0"/>
          <w:i w:val="0"/>
          <w:iCs w:val="0"/>
          <w:caps w:val="0"/>
          <w:spacing w:val="6"/>
          <w:kern w:val="2"/>
          <w:sz w:val="22"/>
          <w:szCs w:val="22"/>
          <w:shd w:val="clear" w:color="auto" w:fill="auto"/>
          <w:vertAlign w:val="baseline"/>
        </w:rPr>
        <w:t>3.该产品的中国境内生产的组件成本占比相关要求实施前，“规定比例”栏可不填，下同。</w:t>
      </w:r>
    </w:p>
    <w:p w14:paraId="3156E73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928" w:firstLineChars="400"/>
        <w:textAlignment w:val="baseline"/>
        <w:rPr>
          <w:rFonts w:hint="eastAsia" w:ascii="仿宋" w:hAnsi="仿宋" w:eastAsia="仿宋" w:cs="仿宋"/>
          <w:b w:val="0"/>
          <w:bCs w:val="0"/>
          <w:i w:val="0"/>
          <w:iCs w:val="0"/>
          <w:caps w:val="0"/>
          <w:spacing w:val="6"/>
          <w:kern w:val="2"/>
          <w:sz w:val="22"/>
          <w:szCs w:val="22"/>
          <w:shd w:val="clear" w:color="auto" w:fill="auto"/>
        </w:rPr>
      </w:pPr>
      <w:r>
        <w:rPr>
          <w:rFonts w:hint="eastAsia" w:ascii="仿宋" w:hAnsi="仿宋" w:eastAsia="仿宋" w:cs="仿宋"/>
          <w:b w:val="0"/>
          <w:bCs w:val="0"/>
          <w:i w:val="0"/>
          <w:iCs w:val="0"/>
          <w:caps w:val="0"/>
          <w:spacing w:val="6"/>
          <w:kern w:val="2"/>
          <w:sz w:val="22"/>
          <w:szCs w:val="22"/>
          <w:shd w:val="clear" w:color="auto" w:fill="auto"/>
          <w:vertAlign w:val="baseline"/>
        </w:rPr>
        <w:t>4.该产品的关键组件要求实施前，“关键组件”栏可不填，下同。</w:t>
      </w:r>
    </w:p>
    <w:p w14:paraId="276E5533">
      <w:pPr>
        <w:pStyle w:val="21"/>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firstLine="928" w:firstLineChars="400"/>
        <w:textAlignment w:val="baseline"/>
        <w:rPr>
          <w:rFonts w:hint="eastAsia" w:ascii="宋体" w:hAnsi="宋体" w:eastAsia="宋体" w:cs="宋体"/>
          <w:b/>
          <w:bCs w:val="0"/>
          <w:color w:val="auto"/>
          <w:sz w:val="28"/>
          <w:szCs w:val="28"/>
          <w:highlight w:val="none"/>
          <w:lang w:val="en-US" w:eastAsia="zh-CN"/>
        </w:rPr>
      </w:pPr>
      <w:r>
        <w:rPr>
          <w:rFonts w:hint="eastAsia" w:ascii="仿宋" w:hAnsi="仿宋" w:eastAsia="仿宋" w:cs="仿宋"/>
          <w:b w:val="0"/>
          <w:bCs w:val="0"/>
          <w:i w:val="0"/>
          <w:iCs w:val="0"/>
          <w:caps w:val="0"/>
          <w:spacing w:val="6"/>
          <w:kern w:val="2"/>
          <w:sz w:val="22"/>
          <w:szCs w:val="22"/>
          <w:shd w:val="clear" w:color="auto" w:fill="auto"/>
          <w:vertAlign w:val="baseline"/>
        </w:rPr>
        <w:t>5.该产品的关键工序要求实施前，“关键工序”栏可不填，下同。</w:t>
      </w:r>
    </w:p>
    <w:p w14:paraId="3D331864">
      <w:pPr>
        <w:tabs>
          <w:tab w:val="left" w:pos="1305"/>
        </w:tabs>
        <w:rPr>
          <w:rFonts w:ascii="宋体" w:cs="宋体"/>
          <w:sz w:val="24"/>
        </w:rPr>
      </w:pPr>
    </w:p>
    <w:p w14:paraId="0A9AC7AD">
      <w:pPr>
        <w:outlineLvl w:val="3"/>
        <w:rPr>
          <w:rFonts w:ascii="宋体" w:hAnsi="宋体" w:cs="宋体"/>
          <w:b/>
          <w:bCs/>
          <w:sz w:val="28"/>
          <w:szCs w:val="28"/>
        </w:rPr>
      </w:pPr>
      <w:r>
        <w:rPr>
          <w:rFonts w:hint="eastAsia" w:ascii="宋体" w:hAnsi="宋体" w:cs="宋体"/>
          <w:b/>
          <w:bCs/>
          <w:sz w:val="28"/>
          <w:szCs w:val="28"/>
          <w:lang w:val="en-US" w:eastAsia="zh-CN"/>
        </w:rPr>
        <w:t>9</w:t>
      </w:r>
      <w:r>
        <w:rPr>
          <w:rFonts w:hint="eastAsia" w:ascii="宋体" w:hAnsi="宋体" w:cs="宋体"/>
          <w:b/>
          <w:bCs/>
          <w:sz w:val="28"/>
          <w:szCs w:val="28"/>
        </w:rPr>
        <w:t>.</w:t>
      </w:r>
      <w:r>
        <w:rPr>
          <w:rFonts w:hint="eastAsia" w:ascii="宋体" w:hAnsi="Courier New"/>
          <w:b/>
          <w:kern w:val="0"/>
          <w:sz w:val="28"/>
          <w:szCs w:val="28"/>
        </w:rPr>
        <w:t>项目实施方案</w:t>
      </w:r>
      <w:r>
        <w:rPr>
          <w:rFonts w:hint="eastAsia" w:ascii="宋体" w:hAnsi="宋体" w:cs="宋体"/>
          <w:b/>
          <w:bCs/>
          <w:sz w:val="28"/>
          <w:szCs w:val="28"/>
        </w:rPr>
        <w:t>（格式见附件）（如有，请提供）；</w:t>
      </w:r>
    </w:p>
    <w:p w14:paraId="6668EFD0">
      <w:pPr>
        <w:rPr>
          <w:rFonts w:ascii="宋体" w:hAnsi="宋体" w:cs="宋体"/>
          <w:b/>
          <w:bCs/>
          <w:sz w:val="32"/>
          <w:szCs w:val="32"/>
        </w:rPr>
      </w:pPr>
      <w:r>
        <w:rPr>
          <w:rFonts w:hint="eastAsia" w:ascii="宋体" w:hAnsi="宋体" w:cs="宋体"/>
          <w:b/>
          <w:bCs/>
          <w:sz w:val="32"/>
          <w:szCs w:val="32"/>
        </w:rPr>
        <w:t>附件：</w:t>
      </w:r>
    </w:p>
    <w:p w14:paraId="3B6E0006"/>
    <w:p w14:paraId="12B6B661">
      <w:pPr>
        <w:pStyle w:val="2"/>
      </w:pPr>
    </w:p>
    <w:p w14:paraId="35C2CE83">
      <w:pPr>
        <w:jc w:val="center"/>
      </w:pPr>
    </w:p>
    <w:p w14:paraId="79C55BD2">
      <w:pPr>
        <w:pStyle w:val="13"/>
        <w:spacing w:line="340" w:lineRule="exact"/>
        <w:jc w:val="center"/>
        <w:outlineLvl w:val="0"/>
        <w:rPr>
          <w:b/>
          <w:sz w:val="32"/>
          <w:szCs w:val="32"/>
        </w:rPr>
      </w:pPr>
      <w:bookmarkStart w:id="1014" w:name="_Toc22868"/>
      <w:bookmarkStart w:id="1015" w:name="_Toc5411"/>
      <w:bookmarkStart w:id="1016" w:name="_Toc13394"/>
      <w:r>
        <w:rPr>
          <w:rFonts w:hint="eastAsia"/>
          <w:b/>
          <w:sz w:val="28"/>
          <w:szCs w:val="28"/>
        </w:rPr>
        <w:t>项目实施方案</w:t>
      </w:r>
      <w:r>
        <w:rPr>
          <w:rFonts w:hint="eastAsia"/>
          <w:b/>
          <w:sz w:val="32"/>
          <w:szCs w:val="32"/>
        </w:rPr>
        <w:t xml:space="preserve"> （格式）</w:t>
      </w:r>
      <w:bookmarkEnd w:id="1014"/>
      <w:bookmarkEnd w:id="1015"/>
      <w:bookmarkEnd w:id="1016"/>
    </w:p>
    <w:p w14:paraId="551BC538">
      <w:pPr>
        <w:jc w:val="center"/>
        <w:rPr>
          <w:rFonts w:hAnsi="Courier New"/>
          <w:b/>
          <w:sz w:val="32"/>
          <w:szCs w:val="32"/>
        </w:rPr>
      </w:pPr>
    </w:p>
    <w:p w14:paraId="41AACF6F">
      <w:pPr>
        <w:pStyle w:val="2"/>
        <w:jc w:val="center"/>
      </w:pPr>
    </w:p>
    <w:p w14:paraId="515E38D2">
      <w:pPr>
        <w:widowControl/>
        <w:jc w:val="center"/>
        <w:outlineLvl w:val="0"/>
        <w:rPr>
          <w:rFonts w:ascii="宋体" w:hAnsi="宋体" w:cs="宋体"/>
          <w:b/>
          <w:kern w:val="0"/>
          <w:sz w:val="28"/>
          <w:szCs w:val="28"/>
          <w:lang w:bidi="ar"/>
        </w:rPr>
      </w:pPr>
      <w:bookmarkStart w:id="1017" w:name="_Toc25066"/>
      <w:bookmarkStart w:id="1018" w:name="_Toc20746"/>
      <w:bookmarkStart w:id="1019" w:name="_Toc10481"/>
      <w:r>
        <w:rPr>
          <w:rFonts w:hint="eastAsia" w:ascii="宋体" w:hAnsi="宋体" w:cs="宋体"/>
          <w:b/>
          <w:kern w:val="0"/>
          <w:sz w:val="28"/>
          <w:szCs w:val="28"/>
          <w:lang w:bidi="ar"/>
        </w:rPr>
        <w:t>（根据采购需求自行编制）</w:t>
      </w:r>
      <w:bookmarkEnd w:id="1017"/>
      <w:bookmarkEnd w:id="1018"/>
      <w:bookmarkEnd w:id="1019"/>
    </w:p>
    <w:p w14:paraId="2774F675">
      <w:pPr>
        <w:widowControl/>
        <w:ind w:firstLine="3092" w:firstLineChars="1100"/>
        <w:jc w:val="left"/>
        <w:rPr>
          <w:rFonts w:ascii="宋体" w:hAnsi="宋体" w:cs="宋体"/>
          <w:b/>
          <w:kern w:val="0"/>
          <w:sz w:val="28"/>
          <w:szCs w:val="28"/>
          <w:lang w:bidi="ar"/>
        </w:rPr>
      </w:pPr>
    </w:p>
    <w:p w14:paraId="4FE47C96">
      <w:pPr>
        <w:widowControl/>
        <w:ind w:firstLine="1470" w:firstLineChars="700"/>
        <w:jc w:val="left"/>
        <w:rPr>
          <w:rFonts w:ascii="宋体"/>
          <w:szCs w:val="21"/>
        </w:rPr>
      </w:pPr>
      <w:r>
        <w:rPr>
          <w:rFonts w:hint="eastAsia" w:ascii="宋体" w:hAnsi="宋体" w:cs="宋体"/>
          <w:szCs w:val="21"/>
          <w:lang w:eastAsia="zh-CN"/>
        </w:rPr>
        <w:t>供应商</w:t>
      </w:r>
      <w:r>
        <w:rPr>
          <w:rFonts w:hint="eastAsia" w:ascii="宋体" w:hAnsi="宋体" w:cs="宋体"/>
          <w:szCs w:val="21"/>
        </w:rPr>
        <w:t>[公章(CA签章)，自然人签字或个人CA签章]：</w:t>
      </w:r>
      <w:r>
        <w:rPr>
          <w:rFonts w:hint="eastAsia" w:ascii="宋体" w:hAnsi="宋体" w:cs="宋体"/>
          <w:szCs w:val="21"/>
          <w:u w:val="single"/>
        </w:rPr>
        <w:t xml:space="preserve">                            </w:t>
      </w:r>
      <w:r>
        <w:rPr>
          <w:rFonts w:ascii="宋体" w:hAnsi="宋体"/>
          <w:szCs w:val="21"/>
          <w:u w:val="single"/>
        </w:rPr>
        <w:t xml:space="preserve">                           </w:t>
      </w:r>
    </w:p>
    <w:p w14:paraId="2DBD8ED5">
      <w:pPr>
        <w:pStyle w:val="13"/>
        <w:spacing w:line="300" w:lineRule="exact"/>
        <w:ind w:left="2940" w:leftChars="1400" w:firstLine="600" w:firstLineChars="300"/>
        <w:rPr>
          <w:rFonts w:hAnsi="宋体"/>
        </w:rPr>
      </w:pPr>
    </w:p>
    <w:p w14:paraId="3F87D8A2">
      <w:pPr>
        <w:pStyle w:val="13"/>
        <w:spacing w:line="300" w:lineRule="exact"/>
        <w:ind w:firstLine="4638" w:firstLineChars="1650"/>
        <w:rPr>
          <w:b/>
          <w:sz w:val="28"/>
          <w:szCs w:val="28"/>
        </w:rPr>
      </w:pPr>
    </w:p>
    <w:p w14:paraId="79879CB8">
      <w:pPr>
        <w:pStyle w:val="13"/>
        <w:spacing w:line="300" w:lineRule="exact"/>
        <w:rPr>
          <w:b/>
          <w:sz w:val="28"/>
          <w:szCs w:val="28"/>
        </w:rPr>
      </w:pPr>
    </w:p>
    <w:p w14:paraId="1EC31B0D">
      <w:pPr>
        <w:snapToGrid w:val="0"/>
        <w:spacing w:line="300" w:lineRule="exact"/>
        <w:ind w:firstLine="3570" w:firstLineChars="1700"/>
        <w:rPr>
          <w:u w:val="single"/>
        </w:rPr>
      </w:pPr>
      <w:r>
        <w:t>日          期：</w:t>
      </w:r>
      <w:r>
        <w:rPr>
          <w:u w:val="single"/>
        </w:rPr>
        <w:t xml:space="preserve">                              </w:t>
      </w:r>
    </w:p>
    <w:p w14:paraId="53FC2F34">
      <w:pPr>
        <w:pStyle w:val="6"/>
      </w:pPr>
    </w:p>
    <w:p w14:paraId="5E3EE52E"/>
    <w:p w14:paraId="64C11EEF"/>
    <w:p w14:paraId="6FC3B9CC"/>
    <w:p w14:paraId="554E24FC"/>
    <w:p w14:paraId="57FED211">
      <w:pPr>
        <w:tabs>
          <w:tab w:val="left" w:pos="1305"/>
        </w:tabs>
        <w:spacing w:line="400" w:lineRule="exact"/>
        <w:rPr>
          <w:rFonts w:hint="eastAsia" w:ascii="宋体" w:hAnsi="宋体" w:cs="宋体"/>
          <w:b/>
          <w:bCs/>
          <w:sz w:val="28"/>
          <w:szCs w:val="28"/>
        </w:rPr>
      </w:pPr>
      <w:r>
        <w:rPr>
          <w:rFonts w:hint="eastAsia" w:ascii="宋体" w:hAnsi="宋体" w:cs="宋体"/>
          <w:b/>
          <w:bCs/>
          <w:sz w:val="28"/>
          <w:szCs w:val="28"/>
          <w:lang w:val="en-US" w:eastAsia="zh-CN"/>
        </w:rPr>
        <w:t>10</w:t>
      </w:r>
      <w:r>
        <w:rPr>
          <w:rFonts w:hint="eastAsia" w:ascii="宋体" w:hAnsi="宋体" w:cs="宋体"/>
          <w:b/>
          <w:bCs/>
          <w:sz w:val="28"/>
          <w:szCs w:val="28"/>
        </w:rPr>
        <w:t>.供应商可结合本项目的评审办法视自身情况自行提交相关证明材料（如有，请提供）。</w:t>
      </w:r>
    </w:p>
    <w:p w14:paraId="23CE6737">
      <w:pPr>
        <w:pStyle w:val="4"/>
      </w:pPr>
    </w:p>
    <w:p w14:paraId="779ACFF2">
      <w:pPr>
        <w:tabs>
          <w:tab w:val="left" w:pos="1305"/>
        </w:tabs>
        <w:spacing w:line="400" w:lineRule="exact"/>
        <w:rPr>
          <w:rFonts w:hint="eastAsia" w:ascii="宋体" w:hAnsi="宋体" w:cs="宋体"/>
          <w:b/>
          <w:bCs/>
          <w:sz w:val="28"/>
          <w:szCs w:val="28"/>
        </w:rPr>
      </w:pPr>
    </w:p>
    <w:p w14:paraId="5D433812">
      <w:pPr>
        <w:spacing w:line="300" w:lineRule="exact"/>
        <w:rPr>
          <w:rFonts w:hint="eastAsia" w:ascii="宋体" w:hAnsi="宋体"/>
          <w:color w:val="000000"/>
          <w:szCs w:val="21"/>
        </w:rPr>
      </w:pPr>
    </w:p>
    <w:p w14:paraId="150663FF">
      <w:pPr>
        <w:rPr>
          <w:rFonts w:hint="eastAsia"/>
        </w:rPr>
      </w:pPr>
    </w:p>
    <w:sectPr>
      <w:footerReference r:id="rId12" w:type="default"/>
      <w:pgSz w:w="11906" w:h="16838"/>
      <w:pgMar w:top="1440" w:right="935" w:bottom="1440" w:left="77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CB6DB9">
    <w:pPr>
      <w:pStyle w:val="16"/>
      <w:pBdr>
        <w:bottom w:val="single" w:color="auto" w:sz="4" w:space="0"/>
      </w:pBdr>
      <w:rPr>
        <w:rFonts w:hint="eastAsia"/>
      </w:rPr>
    </w:pPr>
  </w:p>
  <w:p w14:paraId="201FB1B1">
    <w:pPr>
      <w:pStyle w:val="16"/>
    </w:pPr>
    <w:r>
      <w:rPr>
        <w:rFonts w:hint="eastAsia"/>
      </w:rPr>
      <w:t>桂林市政府集中采购中心                                                                                 竞争性谈判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7FF2">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4DAFE">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D2FEA">
    <w:pPr>
      <w:pStyle w:val="16"/>
      <w:pBdr>
        <w:bottom w:val="single" w:color="auto" w:sz="4" w:space="0"/>
      </w:pBdr>
      <w:tabs>
        <w:tab w:val="center" w:pos="5096"/>
        <w:tab w:val="clear" w:pos="4153"/>
      </w:tabs>
      <w:rPr>
        <w:rFonts w:hint="eastAsia"/>
      </w:rPr>
    </w:pPr>
    <w:r>
      <w:rPr>
        <w:rFonts w:hint="eastAsia"/>
      </w:rPr>
      <w:tab/>
    </w:r>
  </w:p>
  <w:p w14:paraId="16B73978">
    <w:pPr>
      <w:pStyle w:val="16"/>
    </w:pPr>
    <w:r>
      <w:rPr>
        <w:rFonts w:hint="eastAsia"/>
      </w:rPr>
      <w:t>桂林市政府集中采购中心                                                                                 竞争性谈判</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BFDD4">
    <w:pPr>
      <w:pStyle w:val="89"/>
      <w:pBdr>
        <w:bottom w:val="single" w:color="000000" w:sz="4" w:space="0"/>
      </w:pBdr>
      <w:tabs>
        <w:tab w:val="center" w:pos="5096"/>
      </w:tabs>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_x0000_s103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0E2DEBA9">
                          <w:pPr>
                            <w:pStyle w:val="89"/>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wrap="none" lIns="0" tIns="0" rIns="0" bIns="0" upright="1">
                      <a:spAutoFit/>
                    </wps:bodyPr>
                  </wps:wsp>
                </a:graphicData>
              </a:graphic>
            </wp:anchor>
          </w:drawing>
        </mc:Choice>
        <mc:Fallback>
          <w:pict>
            <v:shape id="_x0000_s103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v6S/XscBAACoAwAADgAAAAAAAAABACAAAAAeAQAAZHJzL2Uyb0RvYy54&#10;bWxQSwUGAAAAAAYABgBZAQAAVwUAAAAA&#10;">
              <v:fill on="f" focussize="0,0"/>
              <v:stroke on="f"/>
              <v:imagedata o:title=""/>
              <o:lock v:ext="edit" aspectratio="f"/>
              <v:textbox inset="0mm,0mm,0mm,0mm" style="mso-fit-shape-to-text:t;">
                <w:txbxContent>
                  <w:p w14:paraId="0E2DEBA9">
                    <w:pPr>
                      <w:pStyle w:val="89"/>
                      <w:rPr>
                        <w:rFonts w:hint="eastAsia"/>
                      </w:rPr>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r>
      <w:rPr>
        <w:rFonts w:hint="eastAsia"/>
      </w:rPr>
      <w:tab/>
    </w:r>
  </w:p>
  <w:p w14:paraId="48611478">
    <w:pPr>
      <w:pStyle w:val="89"/>
    </w:pPr>
    <w:r>
      <w:rPr>
        <w:rFonts w:hint="eastAsia"/>
      </w:rPr>
      <w:t>桂林市政府集中采购中心                                                                                 竞争性谈判</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DE83">
    <w:pPr>
      <w:pStyle w:val="16"/>
      <w:pBdr>
        <w:bottom w:val="single" w:color="auto" w:sz="4"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FCBBD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00X8sBAACc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Lqii4psdzgwM+/f53//Dv//Unm&#10;xXKZFOo8lJh47zE19h9cj3sz+QGdiXjfBJO+SIlgHPU9XfSVfSQiPVotVqsCQwJj0wXx2cNzHyB+&#10;lM6QZFQ04ACzrvz4GeKQOqWkatbdKa3zELV94kDM5GGp96HHZMV+14+Edq4+IZ8OZ19Ri6tOif5k&#10;Udq0JpMRJmM3GQcf1L7Ne5Tqgb89RGwi95YqDLBjYRxaZjcuWNqKx/ec9fBTbf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j9NF/LAQAAnAMAAA4AAAAAAAAAAQAgAAAAHgEAAGRycy9lMm9E&#10;b2MueG1sUEsFBgAAAAAGAAYAWQEAAFsFAAAAAA==&#10;">
              <v:fill on="f" focussize="0,0"/>
              <v:stroke on="f"/>
              <v:imagedata o:title=""/>
              <o:lock v:ext="edit" aspectratio="f"/>
              <v:textbox inset="0mm,0mm,0mm,0mm" style="mso-fit-shape-to-text:t;">
                <w:txbxContent>
                  <w:p w14:paraId="50FCBBD1">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- 123 -</w:t>
                    </w:r>
                    <w:r>
                      <w:rPr>
                        <w:rFonts w:hint="eastAsia"/>
                      </w:rPr>
                      <w:fldChar w:fldCharType="end"/>
                    </w:r>
                  </w:p>
                </w:txbxContent>
              </v:textbox>
            </v:shape>
          </w:pict>
        </mc:Fallback>
      </mc:AlternateContent>
    </w:r>
  </w:p>
  <w:p w14:paraId="5D8140A5">
    <w:pPr>
      <w:pStyle w:val="16"/>
    </w:pPr>
    <w:r>
      <w:rPr>
        <w:rFonts w:hint="eastAsia"/>
      </w:rPr>
      <w:t>桂林市政府集中采购中心                                                                                 竞争性谈判</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59C9F">
    <w:pPr>
      <w:pStyle w:val="16"/>
      <w:pBdr>
        <w:bottom w:val="single" w:color="auto" w:sz="4" w:space="0"/>
      </w:pBd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00A115C">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Cv6csBAACc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nhb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Lwr+nLAQAAnAMAAA4AAAAAAAAAAQAgAAAAHgEAAGRycy9lMm9E&#10;b2MueG1sUEsFBgAAAAAGAAYAWQEAAFsFAAAAAA==&#10;">
              <v:fill on="f" focussize="0,0"/>
              <v:stroke on="f"/>
              <v:imagedata o:title=""/>
              <o:lock v:ext="edit" aspectratio="f"/>
              <v:textbox inset="0mm,0mm,0mm,0mm" style="mso-fit-shape-to-text:t;">
                <w:txbxContent>
                  <w:p w14:paraId="500A115C">
                    <w:pPr>
                      <w:pStyle w:val="16"/>
                      <w:rPr>
                        <w:rFonts w:hint="eastAsia"/>
                      </w:rPr>
                    </w:pPr>
                    <w:r>
                      <w:rPr>
                        <w:rFonts w:hint="eastAsia"/>
                      </w:rPr>
                      <w:fldChar w:fldCharType="begin"/>
                    </w:r>
                    <w:r>
                      <w:rPr>
                        <w:rFonts w:hint="eastAsia"/>
                      </w:rPr>
                      <w:instrText xml:space="preserve"> PAGE  \* MERGEFORMAT </w:instrText>
                    </w:r>
                    <w:r>
                      <w:rPr>
                        <w:rFonts w:hint="eastAsia"/>
                      </w:rPr>
                      <w:fldChar w:fldCharType="separate"/>
                    </w:r>
                    <w:r>
                      <w:t>- 131 -</w:t>
                    </w:r>
                    <w:r>
                      <w:rPr>
                        <w:rFonts w:hint="eastAsia"/>
                      </w:rPr>
                      <w:fldChar w:fldCharType="end"/>
                    </w:r>
                  </w:p>
                </w:txbxContent>
              </v:textbox>
            </v:shape>
          </w:pict>
        </mc:Fallback>
      </mc:AlternateContent>
    </w:r>
  </w:p>
  <w:p w14:paraId="7B0C3AA6">
    <w:pPr>
      <w:pStyle w:val="16"/>
    </w:pPr>
    <w:r>
      <w:rPr>
        <w:rFonts w:hint="eastAsia"/>
      </w:rPr>
      <w:t>桂林市政府集中采购中心                                                                            竞争性谈判</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836D4">
    <w:pPr>
      <w:pStyle w:val="17"/>
      <w:kinsoku w:val="0"/>
      <w:autoSpaceDE w:val="0"/>
      <w:autoSpaceDN w:val="0"/>
      <w:jc w:val="left"/>
      <w:rPr>
        <w:rFonts w:hint="eastAsia" w:ascii="宋体" w:hAnsi="宋体" w:eastAsia="宋体" w:cs="宋体"/>
        <w:sz w:val="20"/>
        <w:szCs w:val="20"/>
        <w:lang w:eastAsia="zh-CN"/>
      </w:rPr>
    </w:pPr>
    <w:r>
      <w:rPr>
        <w:rFonts w:hint="eastAsia" w:ascii="宋体" w:hAnsi="宋体" w:cs="宋体"/>
        <w:color w:val="232323"/>
        <w:sz w:val="20"/>
        <w:szCs w:val="20"/>
        <w:shd w:val="clear" w:color="auto" w:fill="FFFFFF"/>
        <w:lang w:eastAsia="zh-CN"/>
      </w:rPr>
      <w:t>资源县教育局教学设备采购</w:t>
    </w:r>
    <w:r>
      <w:rPr>
        <w:rFonts w:hint="eastAsia" w:ascii="宋体" w:hAnsi="宋体" w:eastAsia="宋体" w:cs="宋体"/>
        <w:color w:val="232323"/>
        <w:sz w:val="20"/>
        <w:szCs w:val="20"/>
        <w:shd w:val="clear" w:color="auto" w:fill="FFFFFF"/>
      </w:rPr>
      <w:t xml:space="preserve">  </w:t>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cs="宋体"/>
        <w:sz w:val="20"/>
        <w:szCs w:val="20"/>
        <w:lang w:val="en-US" w:eastAsia="zh-CN"/>
      </w:rPr>
      <w:t xml:space="preserve">                      </w:t>
    </w:r>
    <w:r>
      <w:rPr>
        <w:rFonts w:hint="eastAsia" w:ascii="宋体" w:hAnsi="宋体" w:cs="宋体"/>
        <w:color w:val="232323"/>
        <w:sz w:val="20"/>
        <w:szCs w:val="20"/>
        <w:shd w:val="clear" w:color="auto" w:fill="FFFFFF"/>
        <w:lang w:eastAsia="zh-CN"/>
      </w:rPr>
      <w:t>GLZC2026-J1-290019-GLSZ</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2DF97">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F06AC">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B0A9C"/>
    <w:multiLevelType w:val="singleLevel"/>
    <w:tmpl w:val="A06B0A9C"/>
    <w:lvl w:ilvl="0" w:tentative="0">
      <w:start w:val="1"/>
      <w:numFmt w:val="decimal"/>
      <w:suff w:val="nothing"/>
      <w:lvlText w:val="%1、"/>
      <w:lvlJc w:val="left"/>
    </w:lvl>
  </w:abstractNum>
  <w:abstractNum w:abstractNumId="1">
    <w:nsid w:val="C8041509"/>
    <w:multiLevelType w:val="singleLevel"/>
    <w:tmpl w:val="C8041509"/>
    <w:lvl w:ilvl="0" w:tentative="0">
      <w:start w:val="4"/>
      <w:numFmt w:val="decimal"/>
      <w:lvlText w:val="%1."/>
      <w:lvlJc w:val="left"/>
      <w:pPr>
        <w:tabs>
          <w:tab w:val="left" w:pos="312"/>
        </w:tabs>
      </w:pPr>
    </w:lvl>
  </w:abstractNum>
  <w:abstractNum w:abstractNumId="2">
    <w:nsid w:val="CCC65909"/>
    <w:multiLevelType w:val="multilevel"/>
    <w:tmpl w:val="CCC65909"/>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0F3F0521"/>
    <w:multiLevelType w:val="singleLevel"/>
    <w:tmpl w:val="0F3F0521"/>
    <w:lvl w:ilvl="0" w:tentative="0">
      <w:start w:val="1"/>
      <w:numFmt w:val="decimal"/>
      <w:lvlText w:val="%1)"/>
      <w:lvlJc w:val="left"/>
      <w:pPr>
        <w:ind w:left="425" w:hanging="425"/>
      </w:pPr>
      <w:rPr>
        <w:rFonts w:hint="default"/>
      </w:rPr>
    </w:lvl>
  </w:abstractNum>
  <w:abstractNum w:abstractNumId="4">
    <w:nsid w:val="1C3A3A94"/>
    <w:multiLevelType w:val="multilevel"/>
    <w:tmpl w:val="1C3A3A94"/>
    <w:lvl w:ilvl="0" w:tentative="0">
      <w:start w:val="1"/>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5">
    <w:nsid w:val="24F139AB"/>
    <w:multiLevelType w:val="singleLevel"/>
    <w:tmpl w:val="24F139AB"/>
    <w:lvl w:ilvl="0" w:tentative="0">
      <w:start w:val="1"/>
      <w:numFmt w:val="decimal"/>
      <w:suff w:val="nothing"/>
      <w:lvlText w:val="%1、"/>
      <w:lvlJc w:val="left"/>
    </w:lvl>
  </w:abstractNum>
  <w:abstractNum w:abstractNumId="6">
    <w:nsid w:val="276091D1"/>
    <w:multiLevelType w:val="singleLevel"/>
    <w:tmpl w:val="276091D1"/>
    <w:lvl w:ilvl="0" w:tentative="0">
      <w:start w:val="1"/>
      <w:numFmt w:val="chineseCounting"/>
      <w:suff w:val="nothing"/>
      <w:lvlText w:val="%1、"/>
      <w:lvlJc w:val="left"/>
      <w:rPr>
        <w:rFonts w:hint="eastAsia"/>
      </w:rPr>
    </w:lvl>
  </w:abstractNum>
  <w:abstractNum w:abstractNumId="7">
    <w:nsid w:val="525786A0"/>
    <w:multiLevelType w:val="singleLevel"/>
    <w:tmpl w:val="525786A0"/>
    <w:lvl w:ilvl="0" w:tentative="0">
      <w:start w:val="3"/>
      <w:numFmt w:val="chineseCounting"/>
      <w:suff w:val="nothing"/>
      <w:lvlText w:val="%1、"/>
      <w:lvlJc w:val="left"/>
      <w:rPr>
        <w:rFonts w:hint="eastAsia"/>
      </w:rPr>
    </w:lvl>
  </w:abstractNum>
  <w:abstractNum w:abstractNumId="8">
    <w:nsid w:val="525D1BD4"/>
    <w:multiLevelType w:val="singleLevel"/>
    <w:tmpl w:val="525D1BD4"/>
    <w:lvl w:ilvl="0" w:tentative="0">
      <w:start w:val="1"/>
      <w:numFmt w:val="decimal"/>
      <w:suff w:val="space"/>
      <w:lvlText w:val="%1."/>
      <w:lvlJc w:val="left"/>
    </w:lvl>
  </w:abstractNum>
  <w:abstractNum w:abstractNumId="9">
    <w:nsid w:val="5E32929B"/>
    <w:multiLevelType w:val="singleLevel"/>
    <w:tmpl w:val="5E32929B"/>
    <w:lvl w:ilvl="0" w:tentative="0">
      <w:start w:val="4"/>
      <w:numFmt w:val="chineseCounting"/>
      <w:suff w:val="nothing"/>
      <w:lvlText w:val="%1、"/>
      <w:lvlJc w:val="left"/>
      <w:rPr>
        <w:rFonts w:hint="eastAsia"/>
      </w:rPr>
    </w:lvl>
  </w:abstractNum>
  <w:num w:numId="1">
    <w:abstractNumId w:val="7"/>
  </w:num>
  <w:num w:numId="2">
    <w:abstractNumId w:val="9"/>
  </w:num>
  <w:num w:numId="3">
    <w:abstractNumId w:val="1"/>
  </w:num>
  <w:num w:numId="4">
    <w:abstractNumId w:val="3"/>
  </w:num>
  <w:num w:numId="5">
    <w:abstractNumId w:val="6"/>
  </w:num>
  <w:num w:numId="6">
    <w:abstractNumId w:val="5"/>
  </w:num>
  <w:num w:numId="7">
    <w:abstractNumId w:val="2"/>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noLineBreaksAfter w:lang="zh-CN" w:val="([{·‘“〈《「『【〔〖（．［｛￡￥"/>
  <w:noLineBreaksBefore w:lang="zh-CN" w:val="!),.:;?]}¨·ˇˉ―‖’”…∶、。〃々〉》」』】〕〗！＂＇），．：；？］｀｜｝～￠"/>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AE55E9"/>
    <w:rsid w:val="0479230C"/>
    <w:rsid w:val="04893C18"/>
    <w:rsid w:val="09830991"/>
    <w:rsid w:val="09BC4A90"/>
    <w:rsid w:val="0B2E376B"/>
    <w:rsid w:val="0BD83B27"/>
    <w:rsid w:val="14590109"/>
    <w:rsid w:val="14A32AD4"/>
    <w:rsid w:val="157931B7"/>
    <w:rsid w:val="1683496B"/>
    <w:rsid w:val="190855FC"/>
    <w:rsid w:val="19792055"/>
    <w:rsid w:val="19D865DB"/>
    <w:rsid w:val="1DE2466D"/>
    <w:rsid w:val="1EDB10BC"/>
    <w:rsid w:val="1EFA1543"/>
    <w:rsid w:val="1F953961"/>
    <w:rsid w:val="20B20BC4"/>
    <w:rsid w:val="20BE45DB"/>
    <w:rsid w:val="223E0932"/>
    <w:rsid w:val="23C220F9"/>
    <w:rsid w:val="248875F1"/>
    <w:rsid w:val="26A8354B"/>
    <w:rsid w:val="2A8D770F"/>
    <w:rsid w:val="2AF91248"/>
    <w:rsid w:val="2B2E41F5"/>
    <w:rsid w:val="2BC37160"/>
    <w:rsid w:val="2C7F39CF"/>
    <w:rsid w:val="2E304F81"/>
    <w:rsid w:val="2E6B5FB9"/>
    <w:rsid w:val="2E8157DC"/>
    <w:rsid w:val="2F9432ED"/>
    <w:rsid w:val="32C66340"/>
    <w:rsid w:val="38EF3C8A"/>
    <w:rsid w:val="3A396F6B"/>
    <w:rsid w:val="3C277297"/>
    <w:rsid w:val="3DAC5CA6"/>
    <w:rsid w:val="3DB73E2A"/>
    <w:rsid w:val="3DF00289"/>
    <w:rsid w:val="40736F4F"/>
    <w:rsid w:val="446317A6"/>
    <w:rsid w:val="45294080"/>
    <w:rsid w:val="46401681"/>
    <w:rsid w:val="4755115C"/>
    <w:rsid w:val="489839F7"/>
    <w:rsid w:val="49301E81"/>
    <w:rsid w:val="4CDF7E46"/>
    <w:rsid w:val="4DAC5006"/>
    <w:rsid w:val="4E7C16C5"/>
    <w:rsid w:val="502A70F2"/>
    <w:rsid w:val="56C02A99"/>
    <w:rsid w:val="56F664B8"/>
    <w:rsid w:val="57803FD4"/>
    <w:rsid w:val="59E80FF3"/>
    <w:rsid w:val="5AB53F94"/>
    <w:rsid w:val="5AE577C4"/>
    <w:rsid w:val="5C683FC9"/>
    <w:rsid w:val="5D213B63"/>
    <w:rsid w:val="5D970F7B"/>
    <w:rsid w:val="60807ED4"/>
    <w:rsid w:val="62D912FB"/>
    <w:rsid w:val="63AD6150"/>
    <w:rsid w:val="64721148"/>
    <w:rsid w:val="65C459D3"/>
    <w:rsid w:val="66DB2FD4"/>
    <w:rsid w:val="675D60DF"/>
    <w:rsid w:val="67614804"/>
    <w:rsid w:val="67FA56DC"/>
    <w:rsid w:val="68525518"/>
    <w:rsid w:val="69270753"/>
    <w:rsid w:val="69894F6A"/>
    <w:rsid w:val="6B4A24D7"/>
    <w:rsid w:val="6BA03260"/>
    <w:rsid w:val="6F302DA5"/>
    <w:rsid w:val="706E4EB9"/>
    <w:rsid w:val="70A053A9"/>
    <w:rsid w:val="71262765"/>
    <w:rsid w:val="7191605B"/>
    <w:rsid w:val="71CD5C10"/>
    <w:rsid w:val="71FE3A46"/>
    <w:rsid w:val="72823BC9"/>
    <w:rsid w:val="73D20B92"/>
    <w:rsid w:val="75842A89"/>
    <w:rsid w:val="794B3FEA"/>
    <w:rsid w:val="79B01CD7"/>
    <w:rsid w:val="7C4E6181"/>
    <w:rsid w:val="7E290672"/>
    <w:rsid w:val="7EA63A70"/>
    <w:rsid w:val="7F594F8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67"/>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6"/>
    <w:qFormat/>
    <w:locked/>
    <w:uiPriority w:val="9"/>
    <w:pPr>
      <w:keepNext/>
      <w:keepLines/>
      <w:spacing w:before="340" w:after="330" w:line="578" w:lineRule="auto"/>
      <w:outlineLvl w:val="0"/>
    </w:pPr>
    <w:rPr>
      <w:b/>
      <w:bCs/>
      <w:kern w:val="44"/>
      <w:sz w:val="44"/>
      <w:szCs w:val="44"/>
    </w:rPr>
  </w:style>
  <w:style w:type="paragraph" w:styleId="4">
    <w:name w:val="heading 2"/>
    <w:basedOn w:val="1"/>
    <w:next w:val="1"/>
    <w:qFormat/>
    <w:locked/>
    <w:uiPriority w:val="0"/>
    <w:pPr>
      <w:keepNext/>
      <w:keepLines/>
      <w:tabs>
        <w:tab w:val="left" w:pos="567"/>
      </w:tabs>
      <w:spacing w:line="360" w:lineRule="auto"/>
      <w:ind w:left="567" w:hanging="567"/>
      <w:outlineLvl w:val="1"/>
    </w:pPr>
    <w:rPr>
      <w:rFonts w:ascii="Arial" w:hAnsi="Arial"/>
      <w:bCs/>
      <w:color w:val="000000"/>
      <w:sz w:val="28"/>
      <w:szCs w:val="32"/>
      <w:lang w:val="pt-BR"/>
    </w:rPr>
  </w:style>
  <w:style w:type="paragraph" w:styleId="5">
    <w:name w:val="heading 3"/>
    <w:basedOn w:val="1"/>
    <w:next w:val="1"/>
    <w:link w:val="43"/>
    <w:qFormat/>
    <w:locked/>
    <w:uiPriority w:val="0"/>
    <w:pPr>
      <w:keepNext/>
      <w:keepLines/>
      <w:spacing w:before="260" w:beforeLines="0" w:beforeAutospacing="0" w:after="260" w:afterLines="0" w:afterAutospacing="0" w:line="240" w:lineRule="auto"/>
      <w:outlineLvl w:val="2"/>
    </w:pPr>
    <w:rPr>
      <w:b/>
      <w:kern w:val="0"/>
      <w:sz w:val="32"/>
      <w:szCs w:val="20"/>
    </w:rPr>
  </w:style>
  <w:style w:type="paragraph" w:styleId="6">
    <w:name w:val="heading 4"/>
    <w:basedOn w:val="1"/>
    <w:next w:val="1"/>
    <w:qFormat/>
    <w:locked/>
    <w:uiPriority w:val="0"/>
    <w:pPr>
      <w:keepNext/>
      <w:spacing w:before="240" w:after="60"/>
      <w:outlineLvl w:val="3"/>
    </w:pPr>
    <w:rPr>
      <w:b/>
      <w:bCs/>
      <w:sz w:val="28"/>
      <w:szCs w:val="28"/>
    </w:rPr>
  </w:style>
  <w:style w:type="character" w:default="1" w:styleId="28">
    <w:name w:val="Default Paragraph Font"/>
    <w:unhideWhenUsed/>
    <w:qFormat/>
    <w:uiPriority w:val="1"/>
  </w:style>
  <w:style w:type="table" w:default="1" w:styleId="26">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6"/>
    <w:qFormat/>
    <w:uiPriority w:val="0"/>
  </w:style>
  <w:style w:type="paragraph" w:styleId="7">
    <w:name w:val="index 8"/>
    <w:basedOn w:val="1"/>
    <w:next w:val="1"/>
    <w:qFormat/>
    <w:uiPriority w:val="0"/>
    <w:pPr>
      <w:ind w:left="2940"/>
    </w:pPr>
  </w:style>
  <w:style w:type="paragraph" w:styleId="8">
    <w:name w:val="Normal Indent"/>
    <w:basedOn w:val="1"/>
    <w:next w:val="9"/>
    <w:unhideWhenUsed/>
    <w:qFormat/>
    <w:uiPriority w:val="0"/>
    <w:pPr>
      <w:ind w:firstLine="420"/>
    </w:pPr>
    <w:rPr>
      <w:rFonts w:ascii="Calibri" w:hAnsi="Calibri" w:eastAsia="宋体" w:cs="Times New Roman"/>
      <w:szCs w:val="22"/>
    </w:rPr>
  </w:style>
  <w:style w:type="paragraph" w:styleId="9">
    <w:name w:val="Body Text Indent"/>
    <w:basedOn w:val="1"/>
    <w:next w:val="8"/>
    <w:qFormat/>
    <w:uiPriority w:val="0"/>
    <w:pPr>
      <w:spacing w:after="120"/>
      <w:ind w:left="420" w:leftChars="200"/>
    </w:pPr>
  </w:style>
  <w:style w:type="paragraph" w:styleId="10">
    <w:name w:val="Document Map"/>
    <w:basedOn w:val="1"/>
    <w:link w:val="44"/>
    <w:semiHidden/>
    <w:qFormat/>
    <w:uiPriority w:val="99"/>
    <w:pPr>
      <w:shd w:val="clear" w:color="auto" w:fill="000080"/>
    </w:pPr>
    <w:rPr>
      <w:rFonts w:ascii="Times New Roman" w:hAnsi="Times New Roman"/>
      <w:kern w:val="0"/>
      <w:sz w:val="16"/>
      <w:szCs w:val="16"/>
    </w:rPr>
  </w:style>
  <w:style w:type="paragraph" w:styleId="11">
    <w:name w:val="annotation text"/>
    <w:basedOn w:val="1"/>
    <w:link w:val="45"/>
    <w:qFormat/>
    <w:uiPriority w:val="99"/>
    <w:pPr>
      <w:jc w:val="left"/>
    </w:pPr>
    <w:rPr>
      <w:sz w:val="24"/>
    </w:rPr>
  </w:style>
  <w:style w:type="paragraph" w:styleId="12">
    <w:name w:val="toc 3"/>
    <w:basedOn w:val="1"/>
    <w:next w:val="1"/>
    <w:unhideWhenUsed/>
    <w:qFormat/>
    <w:uiPriority w:val="39"/>
    <w:pPr>
      <w:ind w:left="840" w:leftChars="400"/>
    </w:pPr>
  </w:style>
  <w:style w:type="paragraph" w:styleId="13">
    <w:name w:val="Plain Text"/>
    <w:basedOn w:val="1"/>
    <w:next w:val="3"/>
    <w:link w:val="47"/>
    <w:qFormat/>
    <w:uiPriority w:val="99"/>
    <w:rPr>
      <w:rFonts w:ascii="宋体" w:hAnsi="Courier New"/>
      <w:kern w:val="0"/>
      <w:sz w:val="20"/>
      <w:szCs w:val="21"/>
    </w:rPr>
  </w:style>
  <w:style w:type="paragraph" w:styleId="14">
    <w:name w:val="Body Text Indent 2"/>
    <w:basedOn w:val="1"/>
    <w:qFormat/>
    <w:uiPriority w:val="0"/>
    <w:pPr>
      <w:ind w:firstLine="630"/>
    </w:pPr>
    <w:rPr>
      <w:sz w:val="32"/>
      <w:szCs w:val="20"/>
    </w:rPr>
  </w:style>
  <w:style w:type="paragraph" w:styleId="15">
    <w:name w:val="Balloon Text"/>
    <w:basedOn w:val="1"/>
    <w:link w:val="48"/>
    <w:qFormat/>
    <w:uiPriority w:val="99"/>
    <w:rPr>
      <w:sz w:val="18"/>
      <w:szCs w:val="18"/>
    </w:rPr>
  </w:style>
  <w:style w:type="paragraph" w:styleId="16">
    <w:name w:val="footer"/>
    <w:basedOn w:val="1"/>
    <w:link w:val="49"/>
    <w:qFormat/>
    <w:uiPriority w:val="99"/>
    <w:pPr>
      <w:tabs>
        <w:tab w:val="center" w:pos="4153"/>
        <w:tab w:val="right" w:pos="8306"/>
      </w:tabs>
      <w:snapToGrid w:val="0"/>
      <w:jc w:val="left"/>
    </w:pPr>
    <w:rPr>
      <w:kern w:val="0"/>
      <w:sz w:val="18"/>
      <w:szCs w:val="18"/>
    </w:rPr>
  </w:style>
  <w:style w:type="paragraph" w:styleId="17">
    <w:name w:val="header"/>
    <w:basedOn w:val="1"/>
    <w:link w:val="50"/>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4"/>
    <w:basedOn w:val="1"/>
    <w:next w:val="1"/>
    <w:qFormat/>
    <w:uiPriority w:val="0"/>
    <w:pPr>
      <w:ind w:left="1260" w:leftChars="600"/>
    </w:pPr>
    <w:rPr>
      <w:rFonts w:ascii="Calibri" w:hAnsi="Calibri" w:eastAsia="宋体" w:cs="Times New Roman"/>
      <w:szCs w:val="22"/>
    </w:rPr>
  </w:style>
  <w:style w:type="paragraph" w:styleId="20">
    <w:name w:val="toc 2"/>
    <w:basedOn w:val="1"/>
    <w:next w:val="1"/>
    <w:unhideWhenUsed/>
    <w:qFormat/>
    <w:uiPriority w:val="39"/>
    <w:pPr>
      <w:ind w:left="420" w:leftChars="200"/>
    </w:pPr>
  </w:style>
  <w:style w:type="paragraph" w:styleId="21">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22">
    <w:name w:val="index 1"/>
    <w:basedOn w:val="1"/>
    <w:next w:val="1"/>
    <w:semiHidden/>
    <w:qFormat/>
    <w:uiPriority w:val="0"/>
    <w:pPr>
      <w:spacing w:line="400" w:lineRule="exact"/>
      <w:ind w:firstLine="420" w:firstLineChars="200"/>
    </w:pPr>
    <w:rPr>
      <w:rFonts w:ascii="宋体" w:hAnsi="Courier New"/>
      <w:b/>
      <w:szCs w:val="20"/>
    </w:rPr>
  </w:style>
  <w:style w:type="paragraph" w:styleId="23">
    <w:name w:val="annotation subject"/>
    <w:basedOn w:val="11"/>
    <w:next w:val="11"/>
    <w:link w:val="51"/>
    <w:qFormat/>
    <w:uiPriority w:val="99"/>
    <w:rPr>
      <w:b/>
      <w:bCs/>
      <w:sz w:val="24"/>
    </w:rPr>
  </w:style>
  <w:style w:type="paragraph" w:styleId="24">
    <w:name w:val="Body Text First Indent"/>
    <w:basedOn w:val="2"/>
    <w:qFormat/>
    <w:uiPriority w:val="0"/>
    <w:pPr>
      <w:ind w:firstLine="420" w:firstLineChars="100"/>
    </w:pPr>
  </w:style>
  <w:style w:type="paragraph" w:styleId="25">
    <w:name w:val="Body Text First Indent 2"/>
    <w:basedOn w:val="9"/>
    <w:next w:val="1"/>
    <w:unhideWhenUsed/>
    <w:qFormat/>
    <w:uiPriority w:val="99"/>
    <w:pPr>
      <w:ind w:firstLine="420" w:firstLineChars="200"/>
    </w:pPr>
  </w:style>
  <w:style w:type="table" w:styleId="27">
    <w:name w:val="Table Grid"/>
    <w:basedOn w:val="2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99"/>
    <w:rPr>
      <w:rFonts w:cs="Times New Roman"/>
      <w:b/>
    </w:rPr>
  </w:style>
  <w:style w:type="character" w:styleId="30">
    <w:name w:val="page number"/>
    <w:qFormat/>
    <w:uiPriority w:val="99"/>
    <w:rPr>
      <w:rFonts w:cs="Times New Roman"/>
    </w:rPr>
  </w:style>
  <w:style w:type="character" w:styleId="31">
    <w:name w:val="FollowedHyperlink"/>
    <w:qFormat/>
    <w:uiPriority w:val="99"/>
    <w:rPr>
      <w:rFonts w:cs="Times New Roman"/>
      <w:color w:val="333333"/>
      <w:u w:val="none"/>
    </w:rPr>
  </w:style>
  <w:style w:type="character" w:styleId="32">
    <w:name w:val="Emphasis"/>
    <w:qFormat/>
    <w:locked/>
    <w:uiPriority w:val="0"/>
  </w:style>
  <w:style w:type="character" w:styleId="33">
    <w:name w:val="HTML Definition"/>
    <w:unhideWhenUsed/>
    <w:qFormat/>
    <w:uiPriority w:val="99"/>
  </w:style>
  <w:style w:type="character" w:styleId="34">
    <w:name w:val="HTML Typewriter"/>
    <w:unhideWhenUsed/>
    <w:qFormat/>
    <w:uiPriority w:val="99"/>
    <w:rPr>
      <w:rFonts w:hint="default" w:ascii="monospace" w:hAnsi="monospace" w:eastAsia="monospace" w:cs="monospace"/>
      <w:sz w:val="20"/>
    </w:rPr>
  </w:style>
  <w:style w:type="character" w:styleId="35">
    <w:name w:val="HTML Acronym"/>
    <w:unhideWhenUsed/>
    <w:qFormat/>
    <w:uiPriority w:val="99"/>
    <w:rPr>
      <w:rFonts w:ascii="微软雅黑" w:hAnsi="微软雅黑" w:eastAsia="微软雅黑" w:cs="微软雅黑"/>
      <w:sz w:val="14"/>
      <w:szCs w:val="14"/>
    </w:rPr>
  </w:style>
  <w:style w:type="character" w:styleId="36">
    <w:name w:val="HTML Variable"/>
    <w:unhideWhenUsed/>
    <w:qFormat/>
    <w:uiPriority w:val="99"/>
  </w:style>
  <w:style w:type="character" w:styleId="37">
    <w:name w:val="Hyperlink"/>
    <w:qFormat/>
    <w:uiPriority w:val="99"/>
    <w:rPr>
      <w:rFonts w:cs="Times New Roman"/>
      <w:color w:val="0000FF"/>
      <w:u w:val="single"/>
    </w:rPr>
  </w:style>
  <w:style w:type="character" w:styleId="38">
    <w:name w:val="HTML Code"/>
    <w:unhideWhenUsed/>
    <w:qFormat/>
    <w:uiPriority w:val="99"/>
    <w:rPr>
      <w:rFonts w:hint="default" w:ascii="monospace" w:hAnsi="monospace" w:eastAsia="monospace" w:cs="monospace"/>
      <w:sz w:val="20"/>
    </w:rPr>
  </w:style>
  <w:style w:type="character" w:styleId="39">
    <w:name w:val="annotation reference"/>
    <w:qFormat/>
    <w:uiPriority w:val="99"/>
    <w:rPr>
      <w:rFonts w:cs="Times New Roman"/>
      <w:sz w:val="21"/>
      <w:szCs w:val="21"/>
    </w:rPr>
  </w:style>
  <w:style w:type="character" w:styleId="40">
    <w:name w:val="HTML Cite"/>
    <w:unhideWhenUsed/>
    <w:qFormat/>
    <w:uiPriority w:val="99"/>
  </w:style>
  <w:style w:type="character" w:styleId="41">
    <w:name w:val="HTML Keyboard"/>
    <w:unhideWhenUsed/>
    <w:qFormat/>
    <w:uiPriority w:val="99"/>
    <w:rPr>
      <w:rFonts w:ascii="monospace" w:hAnsi="monospace" w:eastAsia="monospace" w:cs="monospace"/>
      <w:sz w:val="20"/>
    </w:rPr>
  </w:style>
  <w:style w:type="character" w:styleId="42">
    <w:name w:val="HTML Sample"/>
    <w:unhideWhenUsed/>
    <w:qFormat/>
    <w:uiPriority w:val="99"/>
    <w:rPr>
      <w:rFonts w:hint="default" w:ascii="monospace" w:hAnsi="monospace" w:eastAsia="monospace" w:cs="monospace"/>
    </w:rPr>
  </w:style>
  <w:style w:type="character" w:customStyle="1" w:styleId="43">
    <w:name w:val="标题 3 Char"/>
    <w:link w:val="5"/>
    <w:qFormat/>
    <w:uiPriority w:val="0"/>
    <w:rPr>
      <w:rFonts w:ascii="Calibri" w:hAnsi="Calibri" w:eastAsia="宋体"/>
      <w:b/>
      <w:sz w:val="32"/>
    </w:rPr>
  </w:style>
  <w:style w:type="character" w:customStyle="1" w:styleId="44">
    <w:name w:val="文档结构图 Char"/>
    <w:link w:val="10"/>
    <w:semiHidden/>
    <w:qFormat/>
    <w:uiPriority w:val="99"/>
    <w:rPr>
      <w:sz w:val="16"/>
      <w:szCs w:val="0"/>
    </w:rPr>
  </w:style>
  <w:style w:type="character" w:customStyle="1" w:styleId="45">
    <w:name w:val="批注文字 Char"/>
    <w:link w:val="11"/>
    <w:qFormat/>
    <w:locked/>
    <w:uiPriority w:val="99"/>
    <w:rPr>
      <w:rFonts w:ascii="Calibri" w:hAnsi="Calibri" w:eastAsia="宋体" w:cs="Times New Roman"/>
      <w:kern w:val="2"/>
      <w:sz w:val="24"/>
      <w:szCs w:val="24"/>
    </w:rPr>
  </w:style>
  <w:style w:type="character" w:customStyle="1" w:styleId="46">
    <w:name w:val="正文文本 Char"/>
    <w:link w:val="2"/>
    <w:qFormat/>
    <w:uiPriority w:val="0"/>
  </w:style>
  <w:style w:type="character" w:customStyle="1" w:styleId="47">
    <w:name w:val="纯文本 Char"/>
    <w:link w:val="13"/>
    <w:semiHidden/>
    <w:qFormat/>
    <w:uiPriority w:val="99"/>
    <w:rPr>
      <w:rFonts w:ascii="宋体" w:hAnsi="Courier New" w:cs="Courier New"/>
      <w:szCs w:val="21"/>
    </w:rPr>
  </w:style>
  <w:style w:type="character" w:customStyle="1" w:styleId="48">
    <w:name w:val="批注框文本 Char"/>
    <w:link w:val="15"/>
    <w:qFormat/>
    <w:locked/>
    <w:uiPriority w:val="99"/>
    <w:rPr>
      <w:rFonts w:ascii="Calibri" w:hAnsi="Calibri" w:eastAsia="宋体" w:cs="Times New Roman"/>
      <w:kern w:val="2"/>
      <w:sz w:val="18"/>
      <w:szCs w:val="18"/>
    </w:rPr>
  </w:style>
  <w:style w:type="character" w:customStyle="1" w:styleId="49">
    <w:name w:val="页脚 Char"/>
    <w:link w:val="16"/>
    <w:semiHidden/>
    <w:qFormat/>
    <w:uiPriority w:val="99"/>
    <w:rPr>
      <w:rFonts w:ascii="Calibri" w:hAnsi="Calibri"/>
      <w:sz w:val="18"/>
      <w:szCs w:val="18"/>
    </w:rPr>
  </w:style>
  <w:style w:type="character" w:customStyle="1" w:styleId="50">
    <w:name w:val="页眉 Char"/>
    <w:link w:val="17"/>
    <w:semiHidden/>
    <w:qFormat/>
    <w:uiPriority w:val="99"/>
    <w:rPr>
      <w:rFonts w:ascii="Calibri" w:hAnsi="Calibri"/>
      <w:sz w:val="18"/>
      <w:szCs w:val="18"/>
    </w:rPr>
  </w:style>
  <w:style w:type="character" w:customStyle="1" w:styleId="51">
    <w:name w:val="批注主题 Char"/>
    <w:link w:val="23"/>
    <w:qFormat/>
    <w:locked/>
    <w:uiPriority w:val="99"/>
    <w:rPr>
      <w:rFonts w:ascii="Calibri" w:hAnsi="Calibri" w:eastAsia="宋体" w:cs="Times New Roman"/>
      <w:b/>
      <w:bCs/>
      <w:kern w:val="2"/>
      <w:sz w:val="24"/>
      <w:szCs w:val="24"/>
    </w:rPr>
  </w:style>
  <w:style w:type="character" w:customStyle="1" w:styleId="52">
    <w:name w:val="15"/>
    <w:qFormat/>
    <w:uiPriority w:val="0"/>
    <w:rPr>
      <w:rFonts w:hint="default" w:ascii="Times New Roman" w:hAnsi="Times New Roman" w:cs="Times New Roman"/>
      <w:color w:val="0000FF"/>
      <w:u w:val="single"/>
    </w:rPr>
  </w:style>
  <w:style w:type="character" w:customStyle="1" w:styleId="53">
    <w:name w:val="hover1"/>
    <w:qFormat/>
    <w:uiPriority w:val="0"/>
    <w:rPr>
      <w:color w:val="2590EB"/>
    </w:rPr>
  </w:style>
  <w:style w:type="character" w:customStyle="1" w:styleId="54">
    <w:name w:val="font31"/>
    <w:qFormat/>
    <w:uiPriority w:val="0"/>
    <w:rPr>
      <w:rFonts w:hint="eastAsia" w:ascii="宋体" w:hAnsi="宋体" w:eastAsia="宋体" w:cs="宋体"/>
      <w:color w:val="FF0000"/>
      <w:sz w:val="24"/>
      <w:szCs w:val="24"/>
      <w:u w:val="none"/>
    </w:rPr>
  </w:style>
  <w:style w:type="character" w:customStyle="1" w:styleId="55">
    <w:name w:val="font101"/>
    <w:qFormat/>
    <w:uiPriority w:val="0"/>
    <w:rPr>
      <w:rFonts w:hint="eastAsia" w:ascii="宋体" w:hAnsi="宋体" w:eastAsia="宋体" w:cs="宋体"/>
      <w:color w:val="000000"/>
      <w:sz w:val="20"/>
      <w:szCs w:val="20"/>
      <w:u w:val="none"/>
    </w:rPr>
  </w:style>
  <w:style w:type="character" w:customStyle="1" w:styleId="56">
    <w:name w:val="font11"/>
    <w:qFormat/>
    <w:uiPriority w:val="0"/>
    <w:rPr>
      <w:rFonts w:hint="eastAsia" w:ascii="宋体" w:hAnsi="宋体" w:eastAsia="宋体" w:cs="宋体"/>
      <w:color w:val="000000"/>
      <w:sz w:val="24"/>
      <w:szCs w:val="24"/>
      <w:u w:val="none"/>
    </w:rPr>
  </w:style>
  <w:style w:type="character" w:customStyle="1" w:styleId="57">
    <w:name w:val="font71"/>
    <w:qFormat/>
    <w:uiPriority w:val="0"/>
    <w:rPr>
      <w:rFonts w:hint="eastAsia" w:ascii="宋体" w:hAnsi="宋体" w:eastAsia="宋体" w:cs="宋体"/>
      <w:color w:val="FF0000"/>
      <w:sz w:val="24"/>
      <w:szCs w:val="24"/>
      <w:u w:val="none"/>
    </w:rPr>
  </w:style>
  <w:style w:type="character" w:customStyle="1" w:styleId="58">
    <w:name w:val="apple-style-span"/>
    <w:qFormat/>
    <w:uiPriority w:val="99"/>
    <w:rPr>
      <w:rFonts w:cs="Times New Roman"/>
    </w:rPr>
  </w:style>
  <w:style w:type="character" w:customStyle="1" w:styleId="59">
    <w:name w:val="font01"/>
    <w:qFormat/>
    <w:uiPriority w:val="0"/>
    <w:rPr>
      <w:rFonts w:hint="eastAsia" w:ascii="宋体" w:hAnsi="宋体" w:eastAsia="宋体" w:cs="宋体"/>
      <w:b/>
      <w:color w:val="000000"/>
      <w:sz w:val="20"/>
      <w:szCs w:val="20"/>
      <w:u w:val="none"/>
    </w:rPr>
  </w:style>
  <w:style w:type="character" w:customStyle="1" w:styleId="60">
    <w:name w:val="font61"/>
    <w:qFormat/>
    <w:uiPriority w:val="0"/>
    <w:rPr>
      <w:rFonts w:hint="eastAsia" w:ascii="宋体" w:hAnsi="宋体" w:eastAsia="宋体" w:cs="宋体"/>
      <w:color w:val="FF0000"/>
      <w:sz w:val="24"/>
      <w:szCs w:val="24"/>
      <w:u w:val="none"/>
    </w:rPr>
  </w:style>
  <w:style w:type="character" w:customStyle="1" w:styleId="61">
    <w:name w:val="font41"/>
    <w:qFormat/>
    <w:uiPriority w:val="0"/>
    <w:rPr>
      <w:rFonts w:hint="eastAsia" w:ascii="宋体" w:hAnsi="宋体" w:eastAsia="宋体" w:cs="宋体"/>
      <w:color w:val="FF0000"/>
      <w:sz w:val="24"/>
      <w:szCs w:val="24"/>
      <w:u w:val="none"/>
    </w:rPr>
  </w:style>
  <w:style w:type="character" w:customStyle="1" w:styleId="62">
    <w:name w:val="hover"/>
    <w:qFormat/>
    <w:uiPriority w:val="0"/>
  </w:style>
  <w:style w:type="character" w:customStyle="1" w:styleId="63">
    <w:name w:val="hover2"/>
    <w:qFormat/>
    <w:uiPriority w:val="0"/>
    <w:rPr>
      <w:color w:val="2590EB"/>
    </w:rPr>
  </w:style>
  <w:style w:type="character" w:customStyle="1" w:styleId="64">
    <w:name w:val="mini-outputtext1"/>
    <w:qFormat/>
    <w:uiPriority w:val="0"/>
  </w:style>
  <w:style w:type="character" w:customStyle="1" w:styleId="65">
    <w:name w:val="font21"/>
    <w:basedOn w:val="28"/>
    <w:qFormat/>
    <w:uiPriority w:val="0"/>
    <w:rPr>
      <w:rFonts w:hint="default" w:ascii="Calibri" w:hAnsi="Calibri" w:cs="Calibri"/>
      <w:color w:val="000000"/>
      <w:sz w:val="21"/>
      <w:szCs w:val="21"/>
      <w:u w:val="none"/>
    </w:rPr>
  </w:style>
  <w:style w:type="character" w:customStyle="1" w:styleId="66">
    <w:name w:val="font51"/>
    <w:basedOn w:val="67"/>
    <w:link w:val="1"/>
    <w:qFormat/>
    <w:uiPriority w:val="0"/>
    <w:rPr>
      <w:rFonts w:ascii="Calibri" w:hAnsi="Calibri" w:eastAsia="宋体" w:cs="Times New Roman"/>
      <w:kern w:val="2"/>
      <w:sz w:val="21"/>
      <w:szCs w:val="24"/>
      <w:lang w:val="en-US" w:eastAsia="zh-CN" w:bidi="ar-SA"/>
    </w:rPr>
  </w:style>
  <w:style w:type="character" w:customStyle="1" w:styleId="67">
    <w:name w:val="默认段落字体1"/>
    <w:link w:val="1"/>
    <w:unhideWhenUsed/>
    <w:qFormat/>
    <w:uiPriority w:val="1"/>
  </w:style>
  <w:style w:type="paragraph" w:customStyle="1" w:styleId="68">
    <w:name w:val="Body text|1"/>
    <w:basedOn w:val="1"/>
    <w:qFormat/>
    <w:uiPriority w:val="0"/>
    <w:pPr>
      <w:spacing w:line="350" w:lineRule="auto"/>
      <w:ind w:firstLine="400"/>
      <w:jc w:val="left"/>
    </w:pPr>
    <w:rPr>
      <w:rFonts w:ascii="宋体" w:hAnsi="宋体" w:cs="宋体"/>
      <w:kern w:val="0"/>
      <w:sz w:val="30"/>
      <w:szCs w:val="30"/>
    </w:rPr>
  </w:style>
  <w:style w:type="paragraph" w:customStyle="1" w:styleId="69">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70">
    <w:name w:val="TOC 标题1"/>
    <w:basedOn w:val="3"/>
    <w:next w:val="1"/>
    <w:unhideWhenUsed/>
    <w:qFormat/>
    <w:uiPriority w:val="39"/>
    <w:pPr>
      <w:widowControl/>
      <w:spacing w:before="240" w:after="0" w:line="256" w:lineRule="auto"/>
      <w:jc w:val="left"/>
      <w:outlineLvl w:val="9"/>
    </w:pPr>
    <w:rPr>
      <w:rFonts w:ascii="等线 Light" w:hAnsi="等线 Light" w:eastAsia="等线 Light"/>
      <w:b w:val="0"/>
      <w:bCs w:val="0"/>
      <w:color w:val="2F5496"/>
      <w:kern w:val="0"/>
      <w:sz w:val="32"/>
      <w:szCs w:val="32"/>
    </w:rPr>
  </w:style>
  <w:style w:type="paragraph" w:customStyle="1" w:styleId="71">
    <w:name w:val="No Spacing"/>
    <w:basedOn w:val="1"/>
    <w:qFormat/>
    <w:uiPriority w:val="0"/>
    <w:pPr>
      <w:widowControl w:val="0"/>
      <w:jc w:val="both"/>
    </w:pPr>
    <w:rPr>
      <w:rFonts w:ascii="Calibri" w:hAnsi="Calibri"/>
      <w:kern w:val="2"/>
      <w:sz w:val="21"/>
      <w:szCs w:val="22"/>
      <w:lang w:val="en-US" w:eastAsia="zh-CN" w:bidi="ar-SA"/>
    </w:rPr>
  </w:style>
  <w:style w:type="paragraph" w:customStyle="1" w:styleId="72">
    <w:name w:val="Body text|3"/>
    <w:basedOn w:val="1"/>
    <w:qFormat/>
    <w:uiPriority w:val="0"/>
    <w:pPr>
      <w:spacing w:after="460"/>
      <w:jc w:val="center"/>
    </w:pPr>
    <w:rPr>
      <w:rFonts w:ascii="宋体" w:hAnsi="宋体" w:cs="宋体"/>
      <w:kern w:val="0"/>
      <w:sz w:val="34"/>
      <w:szCs w:val="34"/>
    </w:rPr>
  </w:style>
  <w:style w:type="paragraph" w:customStyle="1" w:styleId="7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4">
    <w:name w:val="p0"/>
    <w:basedOn w:val="1"/>
    <w:qFormat/>
    <w:uiPriority w:val="99"/>
    <w:pPr>
      <w:widowControl/>
      <w:jc w:val="left"/>
    </w:pPr>
    <w:rPr>
      <w:rFonts w:ascii="Times New Roman" w:hAnsi="Times New Roman"/>
      <w:kern w:val="0"/>
      <w:szCs w:val="21"/>
    </w:rPr>
  </w:style>
  <w:style w:type="paragraph" w:customStyle="1" w:styleId="75">
    <w:name w:val="正文_0"/>
    <w:qFormat/>
    <w:uiPriority w:val="1"/>
    <w:pPr>
      <w:widowControl w:val="0"/>
    </w:pPr>
    <w:rPr>
      <w:rFonts w:ascii="宋体" w:hAnsi="宋体" w:eastAsia="宋体" w:cs="宋体"/>
      <w:sz w:val="22"/>
      <w:szCs w:val="22"/>
      <w:lang w:val="en-US" w:eastAsia="en-US" w:bidi="ar-SA"/>
    </w:rPr>
  </w:style>
  <w:style w:type="paragraph" w:customStyle="1" w:styleId="76">
    <w:name w:val="Char Char Char Char Char Char Char"/>
    <w:basedOn w:val="1"/>
    <w:qFormat/>
    <w:uiPriority w:val="0"/>
    <w:rPr>
      <w:color w:val="auto"/>
      <w:kern w:val="2"/>
    </w:rPr>
  </w:style>
  <w:style w:type="paragraph" w:customStyle="1" w:styleId="77">
    <w:name w:val="_Style 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首行缩进"/>
    <w:basedOn w:val="1"/>
    <w:qFormat/>
    <w:uiPriority w:val="0"/>
    <w:pPr>
      <w:spacing w:line="360" w:lineRule="auto"/>
      <w:ind w:firstLine="480" w:firstLineChars="200"/>
    </w:pPr>
    <w:rPr>
      <w:rFonts w:ascii="宋体" w:hAnsi="宋体" w:cs="宋体"/>
      <w:kern w:val="0"/>
      <w:sz w:val="24"/>
    </w:rPr>
  </w:style>
  <w:style w:type="paragraph" w:customStyle="1" w:styleId="79">
    <w:name w:val="List Paragraph"/>
    <w:basedOn w:val="1"/>
    <w:qFormat/>
    <w:uiPriority w:val="99"/>
    <w:pPr>
      <w:ind w:firstLine="420" w:firstLineChars="200"/>
    </w:pPr>
    <w:rPr>
      <w:rFonts w:ascii="Times New Roman" w:hAnsi="Times New Roman"/>
    </w:rPr>
  </w:style>
  <w:style w:type="paragraph" w:customStyle="1" w:styleId="80">
    <w:name w:val="BodyText"/>
    <w:basedOn w:val="1"/>
    <w:next w:val="1"/>
    <w:qFormat/>
    <w:uiPriority w:val="0"/>
    <w:pPr>
      <w:spacing w:line="380" w:lineRule="exact"/>
    </w:pPr>
    <w:rPr>
      <w:sz w:val="24"/>
    </w:rPr>
  </w:style>
  <w:style w:type="paragraph" w:customStyle="1" w:styleId="81">
    <w:name w:val="列出段落3"/>
    <w:basedOn w:val="1"/>
    <w:qFormat/>
    <w:uiPriority w:val="34"/>
    <w:pPr>
      <w:ind w:firstLine="420" w:firstLineChars="200"/>
    </w:p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_Style 361"/>
    <w:basedOn w:val="1"/>
    <w:next w:val="79"/>
    <w:qFormat/>
    <w:uiPriority w:val="34"/>
    <w:pPr>
      <w:ind w:firstLine="420" w:firstLineChars="200"/>
    </w:pPr>
  </w:style>
  <w:style w:type="paragraph" w:customStyle="1" w:styleId="84">
    <w:name w:val="Table Paragraph"/>
    <w:basedOn w:val="1"/>
    <w:qFormat/>
    <w:uiPriority w:val="1"/>
    <w:rPr>
      <w:rFonts w:ascii="宋体" w:hAnsi="宋体" w:eastAsia="宋体" w:cs="宋体"/>
      <w:lang w:val="zh-CN" w:eastAsia="zh-CN" w:bidi="zh-CN"/>
    </w:rPr>
  </w:style>
  <w:style w:type="character" w:customStyle="1" w:styleId="85">
    <w:name w:val="NormalCharacter"/>
    <w:qFormat/>
    <w:uiPriority w:val="0"/>
  </w:style>
  <w:style w:type="character" w:customStyle="1" w:styleId="86">
    <w:name w:val="标题 1 Char"/>
    <w:link w:val="3"/>
    <w:qFormat/>
    <w:uiPriority w:val="0"/>
    <w:rPr>
      <w:b/>
      <w:bCs/>
      <w:kern w:val="44"/>
      <w:sz w:val="44"/>
      <w:szCs w:val="44"/>
    </w:rPr>
  </w:style>
  <w:style w:type="paragraph" w:customStyle="1" w:styleId="87">
    <w:name w:val="纯文本1"/>
    <w:basedOn w:val="1"/>
    <w:next w:val="88"/>
    <w:qFormat/>
    <w:uiPriority w:val="99"/>
    <w:rPr>
      <w:rFonts w:ascii="宋体" w:hAnsi="Courier New"/>
      <w:sz w:val="20"/>
      <w:szCs w:val="21"/>
    </w:rPr>
  </w:style>
  <w:style w:type="paragraph" w:customStyle="1" w:styleId="88">
    <w:name w:val="标题 11"/>
    <w:basedOn w:val="1"/>
    <w:next w:val="1"/>
    <w:qFormat/>
    <w:uiPriority w:val="9"/>
    <w:pPr>
      <w:keepNext/>
      <w:keepLines/>
      <w:spacing w:before="340" w:after="330" w:line="578" w:lineRule="auto"/>
      <w:outlineLvl w:val="0"/>
    </w:pPr>
    <w:rPr>
      <w:b/>
      <w:bCs/>
      <w:sz w:val="44"/>
      <w:szCs w:val="44"/>
    </w:rPr>
  </w:style>
  <w:style w:type="paragraph" w:customStyle="1" w:styleId="89">
    <w:name w:val="页脚1"/>
    <w:basedOn w:val="1"/>
    <w:qFormat/>
    <w:uiPriority w:val="99"/>
    <w:pPr>
      <w:tabs>
        <w:tab w:val="center" w:pos="4153"/>
        <w:tab w:val="right" w:pos="8306"/>
      </w:tabs>
      <w:jc w:val="left"/>
    </w:pPr>
    <w:rPr>
      <w:sz w:val="18"/>
      <w:szCs w:val="18"/>
    </w:rPr>
  </w:style>
  <w:style w:type="paragraph" w:customStyle="1" w:styleId="90">
    <w:name w:val="正文缩进1"/>
    <w:basedOn w:val="1"/>
    <w:next w:val="1"/>
    <w:unhideWhenUsed/>
    <w:qFormat/>
    <w:uiPriority w:val="0"/>
    <w:pPr>
      <w:ind w:firstLine="42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85238</Words>
  <Characters>95359</Characters>
  <Lines>678</Lines>
  <Paragraphs>190</Paragraphs>
  <TotalTime>30</TotalTime>
  <ScaleCrop>false</ScaleCrop>
  <LinksUpToDate>false</LinksUpToDate>
  <CharactersWithSpaces>101194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2025-12-12T08:54:00Z</dcterms:created>
  <dcterms:modified xsi:type="dcterms:W3CDTF">2026-06-25T01:04:05Z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8608AFD0D02544F4985E74F98A11E4B9_13</vt:lpwstr>
  </property>
  <property fmtid="{D5CDD505-2E9C-101B-9397-08002B2CF9AE}" pid="4" name="KSOTemplateDocerSaveRecord">
    <vt:lpwstr>eyJoZGlkIjoiZjNlZTEzMDI0YTcxMWIwNTY2YWRjODhjN2VkNDk3MzAiLCJ1c2VySWQiOiI1ODU2NTg3ODcifQ==</vt:lpwstr>
  </property>
</Properties>
</file>