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color w:val="auto"/>
          <w:sz w:val="52"/>
          <w:szCs w:val="52"/>
          <w:highlight w:val="none"/>
        </w:rPr>
      </w:pPr>
      <w:bookmarkStart w:id="0" w:name="_Toc10319"/>
      <w:bookmarkStart w:id="1" w:name="_Toc7014_WPSOffice_Level1"/>
      <w:r>
        <w:rPr>
          <w:rFonts w:hint="eastAsia" w:asciiTheme="minorEastAsia" w:hAnsiTheme="minorEastAsia" w:eastAsiaTheme="minorEastAsia" w:cstheme="minorEastAsia"/>
          <w:b/>
          <w:color w:val="auto"/>
          <w:sz w:val="52"/>
          <w:highlight w:val="none"/>
        </w:rPr>
        <w:t>桂林市政府集中采购中心</w:t>
      </w:r>
    </w:p>
    <w:p>
      <w:pPr>
        <w:pStyle w:val="15"/>
        <w:rPr>
          <w:rFonts w:hint="eastAsia" w:asciiTheme="minorEastAsia" w:hAnsiTheme="minorEastAsia" w:eastAsiaTheme="minorEastAsia" w:cstheme="minorEastAsia"/>
          <w:b/>
          <w:bCs/>
          <w:color w:val="auto"/>
          <w:sz w:val="52"/>
          <w:szCs w:val="52"/>
          <w:highlight w:val="none"/>
        </w:rPr>
      </w:pPr>
    </w:p>
    <w:p>
      <w:pPr>
        <w:pStyle w:val="15"/>
        <w:rPr>
          <w:rFonts w:hint="eastAsia" w:asciiTheme="minorEastAsia" w:hAnsiTheme="minorEastAsia" w:eastAsiaTheme="minorEastAsia" w:cstheme="minorEastAsia"/>
          <w:b/>
          <w:bCs/>
          <w:color w:val="auto"/>
          <w:sz w:val="52"/>
          <w:szCs w:val="52"/>
          <w:highlight w:val="none"/>
        </w:rPr>
      </w:pPr>
    </w:p>
    <w:p>
      <w:pPr>
        <w:ind w:right="-106" w:hanging="12"/>
        <w:jc w:val="center"/>
        <w:rPr>
          <w:rFonts w:hint="eastAsia" w:asciiTheme="minorEastAsia" w:hAnsiTheme="minorEastAsia" w:eastAsiaTheme="minorEastAsia" w:cstheme="minorEastAsia"/>
          <w:b/>
          <w:color w:val="auto"/>
          <w:sz w:val="72"/>
          <w:szCs w:val="72"/>
          <w:highlight w:val="none"/>
        </w:rPr>
      </w:pPr>
      <w:r>
        <w:rPr>
          <w:rFonts w:hint="eastAsia" w:asciiTheme="minorEastAsia" w:hAnsiTheme="minorEastAsia" w:eastAsiaTheme="minorEastAsia" w:cstheme="minorEastAsia"/>
          <w:b/>
          <w:color w:val="auto"/>
          <w:spacing w:val="93"/>
          <w:sz w:val="72"/>
          <w:szCs w:val="72"/>
          <w:highlight w:val="none"/>
        </w:rPr>
        <w:t>竞争性磋商文件</w:t>
      </w:r>
    </w:p>
    <w:p>
      <w:pPr>
        <w:jc w:val="center"/>
        <w:rPr>
          <w:rFonts w:hint="eastAsia" w:asciiTheme="minorEastAsia" w:hAnsiTheme="minorEastAsia" w:eastAsiaTheme="minorEastAsia" w:cstheme="minorEastAsia"/>
          <w:b/>
          <w:bCs/>
          <w:color w:val="auto"/>
          <w:sz w:val="52"/>
          <w:szCs w:val="52"/>
          <w:highlight w:val="none"/>
        </w:rPr>
      </w:pPr>
    </w:p>
    <w:p>
      <w:pPr>
        <w:tabs>
          <w:tab w:val="left" w:pos="7208"/>
        </w:tabs>
        <w:jc w:val="left"/>
        <w:rPr>
          <w:rFonts w:hint="eastAsia" w:asciiTheme="minorEastAsia" w:hAnsiTheme="minorEastAsia" w:eastAsiaTheme="minorEastAsia" w:cstheme="minorEastAsia"/>
          <w:b/>
          <w:bCs/>
          <w:color w:val="auto"/>
          <w:sz w:val="52"/>
          <w:szCs w:val="52"/>
          <w:highlight w:val="none"/>
        </w:rPr>
      </w:pPr>
      <w:r>
        <w:rPr>
          <w:rFonts w:hint="eastAsia" w:asciiTheme="minorEastAsia" w:hAnsiTheme="minorEastAsia" w:eastAsiaTheme="minorEastAsia" w:cstheme="minorEastAsia"/>
          <w:b/>
          <w:bCs/>
          <w:color w:val="auto"/>
          <w:sz w:val="52"/>
          <w:szCs w:val="52"/>
          <w:highlight w:val="none"/>
        </w:rPr>
        <w:tab/>
      </w:r>
    </w:p>
    <w:p>
      <w:pPr>
        <w:jc w:val="center"/>
        <w:rPr>
          <w:rFonts w:hint="eastAsia" w:asciiTheme="minorEastAsia" w:hAnsiTheme="minorEastAsia" w:eastAsiaTheme="minorEastAsia" w:cstheme="minorEastAsia"/>
          <w:b/>
          <w:bCs/>
          <w:color w:val="auto"/>
          <w:sz w:val="52"/>
          <w:szCs w:val="52"/>
          <w:highlight w:val="none"/>
        </w:rPr>
      </w:pPr>
    </w:p>
    <w:p>
      <w:pPr>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项 目 名 称：</w:t>
      </w:r>
      <w:r>
        <w:rPr>
          <w:rFonts w:hint="eastAsia" w:asciiTheme="minorEastAsia" w:hAnsiTheme="minorEastAsia" w:eastAsiaTheme="minorEastAsia" w:cstheme="minorEastAsia"/>
          <w:b/>
          <w:bCs/>
          <w:color w:val="auto"/>
          <w:sz w:val="32"/>
          <w:szCs w:val="32"/>
          <w:highlight w:val="none"/>
          <w:u w:val="single"/>
        </w:rPr>
        <w:t>桂林市信创云迁移及运维项目</w:t>
      </w:r>
    </w:p>
    <w:p>
      <w:pPr>
        <w:ind w:firstLine="1920" w:firstLineChars="600"/>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rPr>
        <w:t>项 目 编 号：</w:t>
      </w:r>
      <w:r>
        <w:rPr>
          <w:rFonts w:hint="eastAsia" w:asciiTheme="minorEastAsia" w:hAnsiTheme="minorEastAsia" w:eastAsiaTheme="minorEastAsia" w:cstheme="minorEastAsia"/>
          <w:b/>
          <w:bCs/>
          <w:color w:val="auto"/>
          <w:sz w:val="32"/>
          <w:szCs w:val="32"/>
          <w:highlight w:val="none"/>
          <w:u w:val="single"/>
          <w:lang w:eastAsia="zh-CN"/>
        </w:rPr>
        <w:t>GLZC2026-C3-990104-GLSZ</w:t>
      </w:r>
    </w:p>
    <w:p>
      <w:pPr>
        <w:ind w:firstLine="1600" w:firstLineChars="500"/>
        <w:rPr>
          <w:rFonts w:hint="eastAsia" w:asciiTheme="minorEastAsia" w:hAnsiTheme="minorEastAsia" w:eastAsiaTheme="minorEastAsia" w:cstheme="minorEastAsia"/>
          <w:color w:val="auto"/>
          <w:sz w:val="32"/>
          <w:szCs w:val="32"/>
          <w:highlight w:val="none"/>
        </w:rPr>
      </w:pPr>
    </w:p>
    <w:p>
      <w:pPr>
        <w:tabs>
          <w:tab w:val="left" w:pos="5855"/>
        </w:tabs>
        <w:jc w:val="left"/>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ab/>
      </w:r>
    </w:p>
    <w:p>
      <w:pPr>
        <w:rPr>
          <w:rFonts w:hint="eastAsia" w:asciiTheme="minorEastAsia" w:hAnsiTheme="minorEastAsia" w:eastAsiaTheme="minorEastAsia" w:cstheme="minorEastAsia"/>
          <w:color w:val="auto"/>
          <w:sz w:val="32"/>
          <w:szCs w:val="32"/>
          <w:highlight w:val="none"/>
        </w:rPr>
      </w:pPr>
    </w:p>
    <w:p>
      <w:pPr>
        <w:jc w:val="center"/>
        <w:rPr>
          <w:rFonts w:hint="eastAsia" w:asciiTheme="minorEastAsia" w:hAnsiTheme="minorEastAsia" w:eastAsiaTheme="minorEastAsia" w:cstheme="minorEastAsia"/>
          <w:color w:val="auto"/>
          <w:sz w:val="32"/>
          <w:szCs w:val="32"/>
          <w:highlight w:val="none"/>
        </w:rPr>
      </w:pPr>
    </w:p>
    <w:p>
      <w:pPr>
        <w:ind w:firstLine="2240" w:firstLineChars="7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采购代理机构：桂林市政府集中采购中心</w:t>
      </w:r>
    </w:p>
    <w:p>
      <w:pPr>
        <w:pStyle w:val="11"/>
        <w:rPr>
          <w:rFonts w:hint="eastAsia" w:asciiTheme="minorEastAsia" w:hAnsiTheme="minorEastAsia" w:eastAsiaTheme="minorEastAsia" w:cstheme="minorEastAsia"/>
          <w:color w:val="auto"/>
          <w:highlight w:val="none"/>
        </w:rPr>
      </w:pPr>
    </w:p>
    <w:p>
      <w:pPr>
        <w:jc w:val="center"/>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2026年</w:t>
      </w:r>
      <w:r>
        <w:rPr>
          <w:rFonts w:hint="eastAsia" w:asciiTheme="minorEastAsia" w:hAnsiTheme="minorEastAsia" w:eastAsiaTheme="minorEastAsia" w:cstheme="minorEastAsia"/>
          <w:color w:val="auto"/>
          <w:sz w:val="36"/>
          <w:szCs w:val="36"/>
          <w:highlight w:val="none"/>
          <w:lang w:val="en-US" w:eastAsia="zh-CN"/>
        </w:rPr>
        <w:t>04</w:t>
      </w:r>
      <w:r>
        <w:rPr>
          <w:rFonts w:hint="eastAsia" w:asciiTheme="minorEastAsia" w:hAnsiTheme="minorEastAsia" w:eastAsiaTheme="minorEastAsia" w:cstheme="minorEastAsia"/>
          <w:color w:val="auto"/>
          <w:sz w:val="36"/>
          <w:szCs w:val="36"/>
          <w:highlight w:val="none"/>
        </w:rPr>
        <w:t>月</w:t>
      </w:r>
      <w:r>
        <w:rPr>
          <w:rFonts w:hint="eastAsia" w:asciiTheme="minorEastAsia" w:hAnsiTheme="minorEastAsia" w:eastAsiaTheme="minorEastAsia" w:cstheme="minorEastAsia"/>
          <w:color w:val="auto"/>
          <w:sz w:val="36"/>
          <w:szCs w:val="36"/>
          <w:highlight w:val="none"/>
          <w:lang w:val="en-US" w:eastAsia="zh-CN"/>
        </w:rPr>
        <w:t>23</w:t>
      </w:r>
      <w:r>
        <w:rPr>
          <w:rFonts w:hint="eastAsia" w:asciiTheme="minorEastAsia" w:hAnsiTheme="minorEastAsia" w:eastAsiaTheme="minorEastAsia" w:cstheme="minorEastAsia"/>
          <w:color w:val="auto"/>
          <w:sz w:val="36"/>
          <w:szCs w:val="36"/>
          <w:highlight w:val="none"/>
        </w:rPr>
        <w:t>日</w:t>
      </w: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tabs>
          <w:tab w:val="left" w:pos="8536"/>
        </w:tabs>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ab/>
      </w:r>
    </w:p>
    <w:p>
      <w:pPr>
        <w:rPr>
          <w:rFonts w:hint="eastAsia" w:asciiTheme="minorEastAsia" w:hAnsiTheme="minorEastAsia" w:eastAsiaTheme="minorEastAsia" w:cstheme="minorEastAsia"/>
          <w:color w:val="auto"/>
          <w:highlight w:val="none"/>
        </w:rPr>
      </w:pPr>
    </w:p>
    <w:p>
      <w:pPr>
        <w:tabs>
          <w:tab w:val="left" w:pos="6661"/>
        </w:tabs>
        <w:jc w:val="left"/>
        <w:rPr>
          <w:rFonts w:hint="eastAsia" w:asciiTheme="minorEastAsia" w:hAnsiTheme="minorEastAsia" w:eastAsiaTheme="minorEastAsia" w:cstheme="minorEastAsia"/>
          <w:color w:val="auto"/>
          <w:highlight w:val="none"/>
        </w:rPr>
        <w:sectPr>
          <w:headerReference r:id="rId3" w:type="default"/>
          <w:footerReference r:id="rId4" w:type="default"/>
          <w:pgSz w:w="11906" w:h="16838"/>
          <w:pgMar w:top="1440" w:right="935" w:bottom="1440" w:left="777" w:header="851" w:footer="992" w:gutter="0"/>
          <w:pgNumType w:fmt="numberInDash" w:start="1"/>
          <w:cols w:space="720" w:num="1"/>
          <w:docGrid w:type="linesAndChars" w:linePitch="312" w:charSpace="0"/>
        </w:sectPr>
      </w:pPr>
      <w:r>
        <w:rPr>
          <w:rFonts w:hint="eastAsia" w:asciiTheme="minorEastAsia" w:hAnsiTheme="minorEastAsia" w:eastAsiaTheme="minorEastAsia" w:cstheme="minorEastAsia"/>
          <w:color w:val="auto"/>
          <w:highlight w:val="none"/>
        </w:rPr>
        <w:tab/>
      </w:r>
    </w:p>
    <w:p>
      <w:pPr>
        <w:jc w:val="center"/>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lang w:val="zh-CN"/>
        </w:rPr>
        <w:t>目录</w:t>
      </w:r>
    </w:p>
    <w:p>
      <w:pPr>
        <w:pStyle w:val="18"/>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TOC \o "1-3" \h \z \u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"_Toc21056"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32"/>
          <w:highlight w:val="none"/>
        </w:rPr>
        <w:t>第一章 竞争性磋商公告</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_Toc21056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- 1 -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8"/>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"_Toc17937"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32"/>
          <w:highlight w:val="none"/>
        </w:rPr>
        <w:t>第二章供应商须知</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_Toc17937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- 4 -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"_Toc10001"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供 应 商 须 知 前 附 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_Toc10001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- 4 -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"_Toc13863"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bCs/>
          <w:color w:val="auto"/>
          <w:szCs w:val="21"/>
          <w:highlight w:val="none"/>
        </w:rPr>
        <w:t>竞争性磋商响应文件的制作</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_Toc13863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- 4 -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"_Toc31826"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8"/>
          <w:highlight w:val="none"/>
        </w:rPr>
        <w:t>一、总则</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_Toc31826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- 8 -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"_Toc29308"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rPr>
        <w:t>1. 适应范围</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_Toc29308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- 8 -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"_Toc3369"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rPr>
        <w:t>2. 定义</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_Toc3369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- 8 -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"_Toc15"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rPr>
        <w:t>3. 供应商资格</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- 8 -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"_Toc28490"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rPr>
        <w:t>4. 磋商费用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_Toc28490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- 8 -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"_Toc22472"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rPr>
        <w:t>5. 联合体要求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_Toc22472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- 8 -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"_Toc4591"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rPr>
        <w:t>6. 转包与分包</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_Toc4591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- 8 -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"_Toc1544"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rPr>
        <w:t>7. 质疑和投诉</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_Toc1544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- 9 -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"_Toc2499"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rPr>
        <w:t>8. 特别说明</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_Toc2499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- 9 -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"_Toc18290"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8"/>
          <w:highlight w:val="none"/>
        </w:rPr>
        <w:t>二、磋商文件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_Toc18290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- 9 -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"_Toc14581"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lang w:val="pt-BR"/>
        </w:rPr>
        <w:t xml:space="preserve">9. </w:t>
      </w:r>
      <w:r>
        <w:rPr>
          <w:rFonts w:hint="eastAsia" w:asciiTheme="minorEastAsia" w:hAnsiTheme="minorEastAsia" w:eastAsiaTheme="minorEastAsia" w:cstheme="minorEastAsia"/>
          <w:color w:val="auto"/>
          <w:szCs w:val="21"/>
          <w:highlight w:val="none"/>
        </w:rPr>
        <w:t>磋商文件的构成</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_Toc14581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- 9 -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"_Toc5415"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rPr>
        <w:t>10. 磋商文件的澄清与修改</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_Toc5415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- 10 -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"_Toc7437"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8"/>
          <w:highlight w:val="none"/>
        </w:rPr>
        <w:t>三、竞争性磋商响应文件的编制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_Toc7437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- 10 -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"_Toc25559"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rPr>
        <w:t>11.竞争性磋商响应文件编制基本要求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_Toc25559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- 10 -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"_Toc6200"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rPr>
        <w:t>12. 响应文件的语言及计量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_Toc6200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- 12 -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"_Toc13385"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rPr>
        <w:t>13. 磋商报价及采购预算金额</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_Toc13385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- 12 -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"_Toc31270"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rPr>
        <w:t>14. 响应文件有效期</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_Toc31270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- 13 -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"_Toc18771"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rPr>
        <w:t>15. 保证金</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_Toc18771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- 13 -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"_Toc27824"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rPr>
        <w:t>16. 竞争性磋商响应文件的制作</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_Toc27824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- 13 -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"_Toc13909"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rPr>
        <w:t>17. 响应文件的修改和撤回</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_Toc13909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- 14 -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"_Toc19173"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rPr>
        <w:t>18. 响应文件的递交和解密</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_Toc19173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- 14 -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"_Toc21163"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8"/>
          <w:highlight w:val="none"/>
        </w:rPr>
        <w:t>四、竞争性磋商（简称磋商）与评审</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_Toc21163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- 15 -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"_Toc23846"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rPr>
        <w:t>19. 磋商小组组成及磋商时间、地点、人员</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_Toc23846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- 15 -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"_Toc16833"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rPr>
        <w:t>20. 评审原则</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_Toc16833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- 15 -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"_Toc2937"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rPr>
        <w:t>21. 评审程序及磋商要求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_Toc2937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- 15 -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"_Toc31912"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rPr>
        <w:t>22. 确定成交供应商</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_Toc31912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- 19 -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"_Toc24390"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rPr>
        <w:t>23. 属于下列情况之一者，响应文件无效</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_Toc24390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- 19 -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"_Toc29016"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rPr>
        <w:t>24. 出现下列情形之一的，采购人或者采购代理机构应当终止竞争性磋商采购活动，发布项目终止公告并说明原因，重新开展采购活动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_Toc29016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- 20 -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"_Toc14354"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rPr>
        <w:t>25. 磋商过程的监控</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_Toc14354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- 20 -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"_Toc11525"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rPr>
        <w:t>26. 信用查询</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_Toc11525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- 20 -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"_Toc29429"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rPr>
        <w:t>27. 成交结果公告及成交通知书</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_Toc29429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- 20 -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"_Toc29242"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8"/>
          <w:highlight w:val="none"/>
        </w:rPr>
        <w:t>五、签订合同</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_Toc29242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- 21 -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"_Toc734"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rPr>
        <w:t>28. 履约保证金</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_Toc734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- 21 -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"_Toc24716"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rPr>
        <w:t>29. 签订合同</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_Toc24716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- 21 -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"_Toc10213"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8"/>
          <w:highlight w:val="none"/>
        </w:rPr>
        <w:t>六、其他事项</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_Toc10213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- 21 -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"_Toc17188"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rPr>
        <w:t>30. 采购代理服务费</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_Toc17188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- 21 -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"_Toc9783"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rPr>
        <w:t>31. 编制依据</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_Toc9783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- 21 -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"_Toc1147"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rPr>
        <w:t>32. 监督管理机构</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_Toc1147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- 21 -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8"/>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"_Toc8550"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32"/>
          <w:highlight w:val="none"/>
        </w:rPr>
        <w:t>第三章 采购需求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_Toc8550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- 22 -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8"/>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"_Toc30961"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32"/>
          <w:highlight w:val="none"/>
        </w:rPr>
        <w:t>第四章</w:t>
      </w:r>
      <w:r>
        <w:rPr>
          <w:rFonts w:hint="eastAsia" w:asciiTheme="minorEastAsia" w:hAnsiTheme="minorEastAsia" w:eastAsiaTheme="minorEastAsia" w:cstheme="minorEastAsia"/>
          <w:color w:val="auto"/>
          <w:szCs w:val="32"/>
          <w:highlight w:val="none"/>
          <w:lang w:val="en-US" w:eastAsia="zh-CN"/>
        </w:rPr>
        <w:t xml:space="preserve"> </w:t>
      </w:r>
      <w:r>
        <w:rPr>
          <w:rFonts w:hint="eastAsia" w:asciiTheme="minorEastAsia" w:hAnsiTheme="minorEastAsia" w:eastAsiaTheme="minorEastAsia" w:cstheme="minorEastAsia"/>
          <w:color w:val="auto"/>
          <w:szCs w:val="32"/>
          <w:highlight w:val="none"/>
        </w:rPr>
        <w:t>评审办法</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_Toc30961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- 46 -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8"/>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"_Toc10011"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32"/>
          <w:highlight w:val="none"/>
        </w:rPr>
        <w:t>第五章</w:t>
      </w:r>
      <w:r>
        <w:rPr>
          <w:rFonts w:hint="eastAsia" w:asciiTheme="minorEastAsia" w:hAnsiTheme="minorEastAsia" w:eastAsiaTheme="minorEastAsia" w:cstheme="minorEastAsia"/>
          <w:color w:val="auto"/>
          <w:szCs w:val="32"/>
          <w:highlight w:val="none"/>
          <w:lang w:val="en-US" w:eastAsia="zh-CN"/>
        </w:rPr>
        <w:t xml:space="preserve"> </w:t>
      </w:r>
      <w:r>
        <w:rPr>
          <w:rFonts w:hint="eastAsia" w:asciiTheme="minorEastAsia" w:hAnsiTheme="minorEastAsia" w:eastAsiaTheme="minorEastAsia" w:cstheme="minorEastAsia"/>
          <w:color w:val="auto"/>
          <w:szCs w:val="32"/>
          <w:highlight w:val="none"/>
        </w:rPr>
        <w:t>采购合同（合同主要条款及格式）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_Toc10011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- 54 -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"_Toc32556"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rPr>
        <w:t>第一条 合同文件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_Toc32556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- 54 -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"_Toc3199"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rPr>
        <w:t>第二条　合同金额</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_Toc3199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- 54 -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"_Toc11361"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rPr>
        <w:t>第三条  服务保证</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_Toc11361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- 54 -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"_Toc7132"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rPr>
        <w:t>第四条  服务期限</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_Toc7132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- 54 -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"_Toc11253"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rPr>
        <w:t>第五条  交付</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_Toc11253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- 54 -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"_Toc15421"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rPr>
        <w:t>第六条  税费</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_Toc15421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- 55 -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"_Toc29978"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rPr>
        <w:t>第九条  违约责任</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_Toc29978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- 55 -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"_Toc19224"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rPr>
        <w:t>第十条  不可抗力事件处理</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_Toc19224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- 56 -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"_Toc20046"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rPr>
        <w:t>第十一条  合同争议解决</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_Toc20046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- 56 -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"_Toc24651"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rPr>
        <w:t>第十二条  合同生效及其它</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_Toc24651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- 57 -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"_Toc5612"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rPr>
        <w:t>第十三条  合同的变更、终止与转让</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_Toc5612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- 57 -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1019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"_Toc14060"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1"/>
          <w:highlight w:val="none"/>
        </w:rPr>
        <w:t>第十四条  签订本合同依据</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_Toc14060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- 57 -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20"/>
        <w:tabs>
          <w:tab w:val="right" w:leader="dot" w:pos="10194"/>
        </w:tabs>
        <w:ind w:left="0" w:left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"_Toc16433"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bCs/>
          <w:color w:val="auto"/>
          <w:kern w:val="44"/>
          <w:szCs w:val="32"/>
          <w:highlight w:val="none"/>
        </w:rPr>
        <w:t xml:space="preserve">第六章  </w:t>
      </w:r>
      <w:r>
        <w:rPr>
          <w:rFonts w:hint="eastAsia" w:asciiTheme="minorEastAsia" w:hAnsiTheme="minorEastAsia" w:eastAsiaTheme="minorEastAsia" w:cstheme="minorEastAsia"/>
          <w:bCs/>
          <w:color w:val="auto"/>
          <w:szCs w:val="32"/>
          <w:highlight w:val="none"/>
        </w:rPr>
        <w:t>响应文件（格式）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_Toc16433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- 58 -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jc w:val="center"/>
        <w:rPr>
          <w:rFonts w:hint="eastAsia" w:asciiTheme="minorEastAsia" w:hAnsiTheme="minorEastAsia" w:eastAsiaTheme="minorEastAsia" w:cstheme="minorEastAsia"/>
          <w:bCs/>
          <w:color w:val="auto"/>
          <w:highlight w:val="none"/>
          <w:lang w:val="zh-CN"/>
        </w:rPr>
      </w:pPr>
      <w:r>
        <w:rPr>
          <w:rFonts w:hint="eastAsia" w:asciiTheme="minorEastAsia" w:hAnsiTheme="minorEastAsia" w:eastAsiaTheme="minorEastAsia" w:cstheme="minorEastAsia"/>
          <w:bCs/>
          <w:color w:val="auto"/>
          <w:highlight w:val="none"/>
          <w:lang w:val="zh-CN"/>
        </w:rPr>
        <w:fldChar w:fldCharType="end"/>
      </w:r>
    </w:p>
    <w:p>
      <w:pPr>
        <w:pStyle w:val="8"/>
        <w:rPr>
          <w:rFonts w:hint="eastAsia" w:asciiTheme="minorEastAsia" w:hAnsiTheme="minorEastAsia" w:eastAsiaTheme="minorEastAsia" w:cstheme="minorEastAsia"/>
          <w:bCs/>
          <w:color w:val="auto"/>
          <w:szCs w:val="24"/>
          <w:highlight w:val="none"/>
          <w:lang w:val="zh-CN"/>
        </w:rPr>
      </w:pPr>
    </w:p>
    <w:p>
      <w:pPr>
        <w:pStyle w:val="8"/>
        <w:rPr>
          <w:rFonts w:hint="eastAsia" w:asciiTheme="minorEastAsia" w:hAnsiTheme="minorEastAsia" w:eastAsiaTheme="minorEastAsia" w:cstheme="minorEastAsia"/>
          <w:bCs/>
          <w:color w:val="auto"/>
          <w:szCs w:val="24"/>
          <w:highlight w:val="none"/>
          <w:lang w:val="zh-CN"/>
        </w:rPr>
      </w:pPr>
    </w:p>
    <w:p>
      <w:pPr>
        <w:pStyle w:val="8"/>
        <w:rPr>
          <w:rFonts w:hint="eastAsia" w:asciiTheme="minorEastAsia" w:hAnsiTheme="minorEastAsia" w:eastAsiaTheme="minorEastAsia" w:cstheme="minorEastAsia"/>
          <w:bCs/>
          <w:color w:val="auto"/>
          <w:szCs w:val="24"/>
          <w:highlight w:val="none"/>
          <w:lang w:val="zh-CN"/>
        </w:rPr>
      </w:pPr>
    </w:p>
    <w:p>
      <w:pPr>
        <w:pStyle w:val="8"/>
        <w:rPr>
          <w:rFonts w:hint="eastAsia" w:asciiTheme="minorEastAsia" w:hAnsiTheme="minorEastAsia" w:eastAsiaTheme="minorEastAsia" w:cstheme="minorEastAsia"/>
          <w:bCs/>
          <w:color w:val="auto"/>
          <w:szCs w:val="24"/>
          <w:highlight w:val="none"/>
          <w:lang w:val="zh-CN"/>
        </w:rPr>
      </w:pPr>
    </w:p>
    <w:p>
      <w:pPr>
        <w:pStyle w:val="8"/>
        <w:rPr>
          <w:rFonts w:hint="eastAsia" w:asciiTheme="minorEastAsia" w:hAnsiTheme="minorEastAsia" w:eastAsiaTheme="minorEastAsia" w:cstheme="minorEastAsia"/>
          <w:bCs/>
          <w:color w:val="auto"/>
          <w:szCs w:val="24"/>
          <w:highlight w:val="none"/>
          <w:lang w:val="zh-CN"/>
        </w:rPr>
      </w:pPr>
    </w:p>
    <w:p>
      <w:pPr>
        <w:pStyle w:val="8"/>
        <w:rPr>
          <w:rFonts w:hint="eastAsia" w:asciiTheme="minorEastAsia" w:hAnsiTheme="minorEastAsia" w:eastAsiaTheme="minorEastAsia" w:cstheme="minorEastAsia"/>
          <w:bCs/>
          <w:color w:val="auto"/>
          <w:szCs w:val="24"/>
          <w:highlight w:val="none"/>
          <w:lang w:val="zh-CN"/>
        </w:rPr>
      </w:pPr>
    </w:p>
    <w:p>
      <w:pPr>
        <w:pStyle w:val="8"/>
        <w:rPr>
          <w:rFonts w:hint="eastAsia" w:asciiTheme="minorEastAsia" w:hAnsiTheme="minorEastAsia" w:eastAsiaTheme="minorEastAsia" w:cstheme="minorEastAsia"/>
          <w:bCs/>
          <w:color w:val="auto"/>
          <w:szCs w:val="24"/>
          <w:highlight w:val="none"/>
          <w:lang w:val="zh-CN"/>
        </w:rPr>
      </w:pPr>
    </w:p>
    <w:p>
      <w:pPr>
        <w:pStyle w:val="8"/>
        <w:rPr>
          <w:rFonts w:hint="eastAsia" w:asciiTheme="minorEastAsia" w:hAnsiTheme="minorEastAsia" w:eastAsiaTheme="minorEastAsia" w:cstheme="minorEastAsia"/>
          <w:bCs/>
          <w:color w:val="auto"/>
          <w:szCs w:val="24"/>
          <w:highlight w:val="none"/>
          <w:lang w:val="zh-CN"/>
        </w:rPr>
      </w:pPr>
    </w:p>
    <w:p>
      <w:pPr>
        <w:pStyle w:val="8"/>
        <w:rPr>
          <w:rFonts w:hint="eastAsia" w:asciiTheme="minorEastAsia" w:hAnsiTheme="minorEastAsia" w:eastAsiaTheme="minorEastAsia" w:cstheme="minorEastAsia"/>
          <w:bCs/>
          <w:color w:val="auto"/>
          <w:szCs w:val="24"/>
          <w:highlight w:val="none"/>
          <w:lang w:val="zh-CN"/>
        </w:rPr>
      </w:pPr>
    </w:p>
    <w:p>
      <w:pPr>
        <w:pStyle w:val="8"/>
        <w:rPr>
          <w:rFonts w:hint="eastAsia" w:asciiTheme="minorEastAsia" w:hAnsiTheme="minorEastAsia" w:eastAsiaTheme="minorEastAsia" w:cstheme="minorEastAsia"/>
          <w:bCs/>
          <w:color w:val="auto"/>
          <w:szCs w:val="24"/>
          <w:highlight w:val="none"/>
          <w:lang w:val="zh-CN"/>
        </w:rPr>
      </w:pPr>
    </w:p>
    <w:p>
      <w:pPr>
        <w:pStyle w:val="8"/>
        <w:rPr>
          <w:rFonts w:hint="eastAsia" w:asciiTheme="minorEastAsia" w:hAnsiTheme="minorEastAsia" w:eastAsiaTheme="minorEastAsia" w:cstheme="minorEastAsia"/>
          <w:bCs/>
          <w:color w:val="auto"/>
          <w:szCs w:val="24"/>
          <w:highlight w:val="none"/>
          <w:lang w:val="zh-CN"/>
        </w:rPr>
      </w:pPr>
    </w:p>
    <w:p>
      <w:pPr>
        <w:pStyle w:val="8"/>
        <w:rPr>
          <w:rFonts w:hint="eastAsia" w:asciiTheme="minorEastAsia" w:hAnsiTheme="minorEastAsia" w:eastAsiaTheme="minorEastAsia" w:cstheme="minorEastAsia"/>
          <w:bCs/>
          <w:color w:val="auto"/>
          <w:szCs w:val="24"/>
          <w:highlight w:val="none"/>
          <w:lang w:val="zh-CN"/>
        </w:rPr>
      </w:pPr>
    </w:p>
    <w:p>
      <w:pPr>
        <w:pStyle w:val="8"/>
        <w:rPr>
          <w:rFonts w:hint="eastAsia" w:asciiTheme="minorEastAsia" w:hAnsiTheme="minorEastAsia" w:eastAsiaTheme="minorEastAsia" w:cstheme="minorEastAsia"/>
          <w:bCs/>
          <w:color w:val="auto"/>
          <w:szCs w:val="24"/>
          <w:highlight w:val="none"/>
          <w:lang w:val="zh-CN"/>
        </w:rPr>
      </w:pPr>
    </w:p>
    <w:p>
      <w:pPr>
        <w:pStyle w:val="8"/>
        <w:rPr>
          <w:rFonts w:hint="eastAsia" w:asciiTheme="minorEastAsia" w:hAnsiTheme="minorEastAsia" w:eastAsiaTheme="minorEastAsia" w:cstheme="minorEastAsia"/>
          <w:bCs/>
          <w:color w:val="auto"/>
          <w:szCs w:val="24"/>
          <w:highlight w:val="none"/>
          <w:lang w:val="zh-CN"/>
        </w:rPr>
      </w:pPr>
    </w:p>
    <w:p>
      <w:pPr>
        <w:pStyle w:val="8"/>
        <w:rPr>
          <w:rFonts w:hint="eastAsia" w:asciiTheme="minorEastAsia" w:hAnsiTheme="minorEastAsia" w:eastAsiaTheme="minorEastAsia" w:cstheme="minorEastAsia"/>
          <w:bCs/>
          <w:color w:val="auto"/>
          <w:szCs w:val="24"/>
          <w:highlight w:val="none"/>
          <w:lang w:val="zh-CN"/>
        </w:rPr>
      </w:pPr>
    </w:p>
    <w:p>
      <w:pPr>
        <w:pStyle w:val="8"/>
        <w:rPr>
          <w:rFonts w:hint="eastAsia" w:asciiTheme="minorEastAsia" w:hAnsiTheme="minorEastAsia" w:eastAsiaTheme="minorEastAsia" w:cstheme="minorEastAsia"/>
          <w:bCs/>
          <w:color w:val="auto"/>
          <w:szCs w:val="24"/>
          <w:highlight w:val="none"/>
          <w:lang w:val="zh-CN"/>
        </w:rPr>
      </w:pPr>
    </w:p>
    <w:p>
      <w:pPr>
        <w:pStyle w:val="8"/>
        <w:rPr>
          <w:rFonts w:hint="eastAsia" w:asciiTheme="minorEastAsia" w:hAnsiTheme="minorEastAsia" w:eastAsiaTheme="minorEastAsia" w:cstheme="minorEastAsia"/>
          <w:bCs/>
          <w:color w:val="auto"/>
          <w:szCs w:val="24"/>
          <w:highlight w:val="none"/>
          <w:lang w:val="zh-CN"/>
        </w:rPr>
      </w:pPr>
    </w:p>
    <w:p>
      <w:pPr>
        <w:pStyle w:val="8"/>
        <w:rPr>
          <w:rFonts w:hint="eastAsia" w:asciiTheme="minorEastAsia" w:hAnsiTheme="minorEastAsia" w:eastAsiaTheme="minorEastAsia" w:cstheme="minorEastAsia"/>
          <w:bCs/>
          <w:color w:val="auto"/>
          <w:szCs w:val="24"/>
          <w:highlight w:val="none"/>
          <w:lang w:val="zh-CN"/>
        </w:rPr>
      </w:pPr>
    </w:p>
    <w:p>
      <w:pPr>
        <w:pStyle w:val="8"/>
        <w:rPr>
          <w:rFonts w:hint="eastAsia" w:asciiTheme="minorEastAsia" w:hAnsiTheme="minorEastAsia" w:eastAsiaTheme="minorEastAsia" w:cstheme="minorEastAsia"/>
          <w:bCs/>
          <w:color w:val="auto"/>
          <w:szCs w:val="24"/>
          <w:highlight w:val="none"/>
          <w:lang w:val="zh-CN"/>
        </w:rPr>
      </w:pPr>
    </w:p>
    <w:p>
      <w:pPr>
        <w:pStyle w:val="3"/>
        <w:numPr>
          <w:ilvl w:val="0"/>
          <w:numId w:val="1"/>
        </w:numPr>
        <w:tabs>
          <w:tab w:val="left" w:pos="0"/>
        </w:tabs>
        <w:autoSpaceDE w:val="0"/>
        <w:autoSpaceDN w:val="0"/>
        <w:adjustRightInd w:val="0"/>
        <w:spacing w:before="0" w:after="0" w:line="360" w:lineRule="auto"/>
        <w:ind w:firstLine="425"/>
        <w:jc w:val="center"/>
        <w:rPr>
          <w:rFonts w:hint="eastAsia" w:asciiTheme="minorEastAsia" w:hAnsiTheme="minorEastAsia" w:eastAsiaTheme="minorEastAsia" w:cstheme="minorEastAsia"/>
          <w:color w:val="auto"/>
          <w:sz w:val="32"/>
          <w:szCs w:val="32"/>
          <w:highlight w:val="none"/>
        </w:rPr>
        <w:sectPr>
          <w:headerReference r:id="rId5" w:type="default"/>
          <w:footerReference r:id="rId6" w:type="default"/>
          <w:pgSz w:w="11906" w:h="16838"/>
          <w:pgMar w:top="1440" w:right="935" w:bottom="1440" w:left="777" w:header="851" w:footer="992" w:gutter="0"/>
          <w:pgNumType w:fmt="numberInDash" w:start="1"/>
          <w:cols w:space="720" w:num="1"/>
          <w:docGrid w:type="linesAndChars" w:linePitch="312" w:charSpace="0"/>
        </w:sectPr>
      </w:pPr>
      <w:bookmarkStart w:id="2" w:name="_Toc26809"/>
      <w:bookmarkStart w:id="3" w:name="_Toc30170"/>
      <w:bookmarkStart w:id="4" w:name="_Toc28359011"/>
      <w:bookmarkStart w:id="5" w:name="_Toc35393797"/>
      <w:bookmarkStart w:id="6" w:name="_Toc29067"/>
    </w:p>
    <w:p>
      <w:pPr>
        <w:pStyle w:val="3"/>
        <w:numPr>
          <w:ilvl w:val="0"/>
          <w:numId w:val="1"/>
        </w:numPr>
        <w:tabs>
          <w:tab w:val="left" w:pos="0"/>
        </w:tabs>
        <w:autoSpaceDE w:val="0"/>
        <w:autoSpaceDN w:val="0"/>
        <w:adjustRightInd w:val="0"/>
        <w:spacing w:before="0" w:after="0" w:line="360" w:lineRule="auto"/>
        <w:ind w:firstLine="425"/>
        <w:jc w:val="center"/>
        <w:rPr>
          <w:rFonts w:hint="eastAsia" w:asciiTheme="minorEastAsia" w:hAnsiTheme="minorEastAsia" w:eastAsiaTheme="minorEastAsia" w:cstheme="minorEastAsia"/>
          <w:color w:val="auto"/>
          <w:sz w:val="32"/>
          <w:szCs w:val="32"/>
          <w:highlight w:val="none"/>
        </w:rPr>
      </w:pPr>
      <w:bookmarkStart w:id="7" w:name="_Toc14842"/>
      <w:bookmarkStart w:id="8" w:name="_Toc21056"/>
      <w:bookmarkStart w:id="9" w:name="_Toc10108"/>
      <w:bookmarkStart w:id="10" w:name="_Toc16599"/>
      <w:bookmarkStart w:id="11" w:name="_Toc25856"/>
      <w:bookmarkStart w:id="12" w:name="_Toc678"/>
      <w:bookmarkStart w:id="13" w:name="_Toc12371"/>
      <w:r>
        <w:rPr>
          <w:rFonts w:hint="eastAsia" w:asciiTheme="minorEastAsia" w:hAnsiTheme="minorEastAsia" w:eastAsiaTheme="minorEastAsia" w:cstheme="minorEastAsia"/>
          <w:color w:val="auto"/>
          <w:sz w:val="32"/>
          <w:szCs w:val="32"/>
          <w:highlight w:val="none"/>
        </w:rPr>
        <w:t>竞争性磋商公告</w:t>
      </w:r>
      <w:bookmarkEnd w:id="2"/>
      <w:bookmarkEnd w:id="3"/>
      <w:bookmarkEnd w:id="4"/>
      <w:bookmarkEnd w:id="5"/>
      <w:bookmarkEnd w:id="6"/>
      <w:bookmarkEnd w:id="7"/>
      <w:bookmarkEnd w:id="8"/>
      <w:bookmarkEnd w:id="9"/>
      <w:bookmarkEnd w:id="10"/>
      <w:bookmarkEnd w:id="11"/>
      <w:bookmarkEnd w:id="12"/>
      <w:bookmarkEnd w:id="13"/>
    </w:p>
    <w:p>
      <w:pPr>
        <w:spacing w:line="360" w:lineRule="exact"/>
        <w:rPr>
          <w:rFonts w:hint="eastAsia" w:asciiTheme="minorEastAsia" w:hAnsiTheme="minorEastAsia" w:eastAsiaTheme="minorEastAsia" w:cstheme="minorEastAsia"/>
          <w:color w:val="auto"/>
          <w:highlight w:val="none"/>
        </w:rPr>
      </w:pPr>
    </w:p>
    <w:tbl>
      <w:tblPr>
        <w:tblStyle w:val="25"/>
        <w:tblpPr w:leftFromText="180" w:rightFromText="180" w:vertAnchor="text" w:tblpX="38"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10220" w:type="dxa"/>
            <w:noWrap/>
          </w:tcPr>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项目概况</w:t>
            </w:r>
          </w:p>
          <w:p>
            <w:pPr>
              <w:spacing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桂林市政府集中采购中心受</w:t>
            </w:r>
            <w:r>
              <w:rPr>
                <w:rFonts w:hint="eastAsia" w:asciiTheme="minorEastAsia" w:hAnsiTheme="minorEastAsia" w:eastAsiaTheme="minorEastAsia" w:cstheme="minorEastAsia"/>
                <w:color w:val="auto"/>
                <w:sz w:val="24"/>
                <w:highlight w:val="none"/>
                <w:u w:val="single"/>
              </w:rPr>
              <w:t>桂林市信息中心</w:t>
            </w:r>
            <w:r>
              <w:rPr>
                <w:rFonts w:hint="eastAsia" w:asciiTheme="minorEastAsia" w:hAnsiTheme="minorEastAsia" w:eastAsiaTheme="minorEastAsia" w:cstheme="minorEastAsia"/>
                <w:color w:val="auto"/>
                <w:sz w:val="24"/>
                <w:highlight w:val="none"/>
              </w:rPr>
              <w:t>委托，根据《中华人民共和国政府采购法》《中华人民共和国政府采购法实施条例》《政府采购竞争性磋商采购方式管理暂行办法》等规定，现就</w:t>
            </w:r>
            <w:r>
              <w:rPr>
                <w:rFonts w:hint="eastAsia" w:asciiTheme="minorEastAsia" w:hAnsiTheme="minorEastAsia" w:eastAsiaTheme="minorEastAsia" w:cstheme="minorEastAsia"/>
                <w:color w:val="auto"/>
                <w:sz w:val="24"/>
                <w:highlight w:val="none"/>
                <w:u w:val="single"/>
              </w:rPr>
              <w:t>桂林市信创云迁移及运维项目</w:t>
            </w:r>
            <w:r>
              <w:rPr>
                <w:rFonts w:hint="eastAsia" w:asciiTheme="minorEastAsia" w:hAnsiTheme="minorEastAsia" w:eastAsiaTheme="minorEastAsia" w:cstheme="minorEastAsia"/>
                <w:color w:val="auto"/>
                <w:sz w:val="24"/>
                <w:highlight w:val="none"/>
              </w:rPr>
              <w:t>进行竞争性磋商采购，欢迎符合条件的供应商前来参加磋商活动，并于</w:t>
            </w:r>
            <w:r>
              <w:rPr>
                <w:rFonts w:hint="eastAsia" w:asciiTheme="minorEastAsia" w:hAnsiTheme="minorEastAsia" w:eastAsiaTheme="minorEastAsia" w:cstheme="minorEastAsia"/>
                <w:color w:val="auto"/>
                <w:sz w:val="24"/>
                <w:highlight w:val="none"/>
                <w:lang w:eastAsia="zh-CN"/>
              </w:rPr>
              <w:t>2026年05月07日上午09时30分</w:t>
            </w:r>
            <w:r>
              <w:rPr>
                <w:rFonts w:hint="eastAsia" w:asciiTheme="minorEastAsia" w:hAnsiTheme="minorEastAsia" w:eastAsiaTheme="minorEastAsia" w:cstheme="minorEastAsia"/>
                <w:color w:val="auto"/>
                <w:sz w:val="24"/>
                <w:highlight w:val="none"/>
              </w:rPr>
              <w:t>前递交响应文件。现将本次竞争性磋商的有关事项公告如下：</w:t>
            </w:r>
          </w:p>
        </w:tc>
      </w:tr>
    </w:tbl>
    <w:p>
      <w:pPr>
        <w:spacing w:line="400" w:lineRule="exact"/>
        <w:ind w:firstLine="480" w:firstLineChars="200"/>
        <w:rPr>
          <w:rFonts w:hint="eastAsia" w:asciiTheme="minorEastAsia" w:hAnsiTheme="minorEastAsia" w:eastAsiaTheme="minorEastAsia" w:cstheme="minorEastAsia"/>
          <w:color w:val="auto"/>
          <w:sz w:val="24"/>
          <w:highlight w:val="none"/>
        </w:rPr>
      </w:pPr>
      <w:bookmarkStart w:id="14" w:name="_Toc35393798"/>
      <w:bookmarkStart w:id="15" w:name="_Toc28359089"/>
      <w:bookmarkStart w:id="16" w:name="_Toc28359012"/>
      <w:bookmarkStart w:id="17" w:name="_Toc35393629"/>
      <w:r>
        <w:rPr>
          <w:rFonts w:hint="eastAsia" w:asciiTheme="minorEastAsia" w:hAnsiTheme="minorEastAsia" w:eastAsiaTheme="minorEastAsia" w:cstheme="minorEastAsia"/>
          <w:color w:val="auto"/>
          <w:sz w:val="24"/>
          <w:highlight w:val="none"/>
        </w:rPr>
        <w:t>一、项目基本情况</w:t>
      </w:r>
      <w:bookmarkEnd w:id="14"/>
      <w:bookmarkEnd w:id="15"/>
      <w:bookmarkEnd w:id="16"/>
      <w:bookmarkEnd w:id="17"/>
    </w:p>
    <w:p>
      <w:pPr>
        <w:spacing w:line="400" w:lineRule="exact"/>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lang w:eastAsia="zh-CN"/>
        </w:rPr>
        <w:t>GLZC2026-C3-990104-GLSZ</w:t>
      </w:r>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项目名称：桂林市信创云迁移及运维项目</w:t>
      </w:r>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采购方式：竞争性磋商</w:t>
      </w:r>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预算金额：人民币壹佰贰拾伍万壹仟柒佰元整（¥1251700.00元）</w:t>
      </w:r>
    </w:p>
    <w:p>
      <w:pPr>
        <w:spacing w:line="400" w:lineRule="exact"/>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b/>
          <w:bCs/>
          <w:color w:val="auto"/>
          <w:sz w:val="24"/>
          <w:highlight w:val="none"/>
        </w:rPr>
        <w:t>采购需求</w:t>
      </w:r>
      <w:r>
        <w:rPr>
          <w:rFonts w:hint="eastAsia" w:asciiTheme="minorEastAsia" w:hAnsiTheme="minorEastAsia" w:eastAsiaTheme="minorEastAsia" w:cstheme="minorEastAsia"/>
          <w:color w:val="auto"/>
          <w:sz w:val="24"/>
          <w:highlight w:val="none"/>
        </w:rPr>
        <w:t>：</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3147"/>
        <w:gridCol w:w="725"/>
        <w:gridCol w:w="1363"/>
        <w:gridCol w:w="2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324"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项号</w:t>
            </w:r>
          </w:p>
        </w:tc>
        <w:tc>
          <w:tcPr>
            <w:tcW w:w="3147" w:type="dxa"/>
            <w:tcBorders>
              <w:top w:val="single" w:color="auto" w:sz="4" w:space="0"/>
              <w:left w:val="nil"/>
              <w:bottom w:val="single" w:color="auto" w:sz="4" w:space="0"/>
              <w:right w:val="single" w:color="auto" w:sz="4" w:space="0"/>
            </w:tcBorders>
            <w:noWrap/>
            <w:vAlign w:val="center"/>
          </w:tcPr>
          <w:p>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服务名称</w:t>
            </w:r>
          </w:p>
        </w:tc>
        <w:tc>
          <w:tcPr>
            <w:tcW w:w="725" w:type="dxa"/>
            <w:tcBorders>
              <w:top w:val="single" w:color="auto" w:sz="4" w:space="0"/>
              <w:left w:val="nil"/>
              <w:bottom w:val="single" w:color="auto" w:sz="4" w:space="0"/>
              <w:right w:val="single" w:color="auto" w:sz="4" w:space="0"/>
            </w:tcBorders>
            <w:noWrap/>
            <w:vAlign w:val="center"/>
          </w:tcPr>
          <w:p>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数量</w:t>
            </w:r>
          </w:p>
        </w:tc>
        <w:tc>
          <w:tcPr>
            <w:tcW w:w="1363" w:type="dxa"/>
            <w:tcBorders>
              <w:top w:val="single" w:color="auto" w:sz="4" w:space="0"/>
              <w:left w:val="nil"/>
              <w:bottom w:val="single" w:color="auto" w:sz="4" w:space="0"/>
              <w:right w:val="single" w:color="auto" w:sz="4" w:space="0"/>
            </w:tcBorders>
            <w:noWrap/>
            <w:vAlign w:val="center"/>
          </w:tcPr>
          <w:p>
            <w:pPr>
              <w:spacing w:line="360" w:lineRule="exact"/>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w:t>
            </w:r>
          </w:p>
        </w:tc>
        <w:tc>
          <w:tcPr>
            <w:tcW w:w="2876" w:type="dxa"/>
            <w:tcBorders>
              <w:top w:val="single" w:color="auto" w:sz="4" w:space="0"/>
              <w:left w:val="nil"/>
              <w:bottom w:val="single" w:color="auto" w:sz="4" w:space="0"/>
              <w:right w:val="single" w:color="auto" w:sz="4" w:space="0"/>
            </w:tcBorders>
            <w:noWrap/>
            <w:vAlign w:val="center"/>
          </w:tcPr>
          <w:p>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exact"/>
          <w:jc w:val="center"/>
        </w:trPr>
        <w:tc>
          <w:tcPr>
            <w:tcW w:w="1324"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3147" w:type="dxa"/>
            <w:tcBorders>
              <w:top w:val="single" w:color="auto" w:sz="4" w:space="0"/>
              <w:left w:val="nil"/>
              <w:bottom w:val="single" w:color="auto" w:sz="4" w:space="0"/>
              <w:right w:val="single" w:color="auto" w:sz="4" w:space="0"/>
            </w:tcBorders>
            <w:noWrap/>
            <w:vAlign w:val="center"/>
          </w:tcPr>
          <w:p>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桂林市信创云迁移及运维项目</w:t>
            </w:r>
          </w:p>
        </w:tc>
        <w:tc>
          <w:tcPr>
            <w:tcW w:w="725" w:type="dxa"/>
            <w:tcBorders>
              <w:top w:val="single" w:color="auto" w:sz="4" w:space="0"/>
              <w:left w:val="nil"/>
              <w:bottom w:val="single" w:color="auto" w:sz="4" w:space="0"/>
              <w:right w:val="single" w:color="auto" w:sz="4" w:space="0"/>
            </w:tcBorders>
            <w:noWrap/>
            <w:vAlign w:val="center"/>
          </w:tcPr>
          <w:p>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363" w:type="dxa"/>
            <w:tcBorders>
              <w:top w:val="single" w:color="auto" w:sz="4" w:space="0"/>
              <w:left w:val="nil"/>
              <w:bottom w:val="single" w:color="auto" w:sz="4" w:space="0"/>
              <w:right w:val="single" w:color="auto" w:sz="4" w:space="0"/>
            </w:tcBorders>
            <w:noWrap/>
            <w:vAlign w:val="center"/>
          </w:tcPr>
          <w:p>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w:t>
            </w:r>
          </w:p>
        </w:tc>
        <w:tc>
          <w:tcPr>
            <w:tcW w:w="2876" w:type="dxa"/>
            <w:tcBorders>
              <w:top w:val="single" w:color="auto" w:sz="4" w:space="0"/>
              <w:left w:val="nil"/>
              <w:bottom w:val="single" w:color="auto" w:sz="4" w:space="0"/>
              <w:right w:val="single" w:color="auto" w:sz="4" w:space="0"/>
            </w:tcBorders>
            <w:noWrap/>
            <w:vAlign w:val="center"/>
          </w:tcPr>
          <w:p>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详见竞争性磋商文件</w:t>
            </w:r>
          </w:p>
        </w:tc>
      </w:tr>
    </w:tbl>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采购需求的详细内容，详见竞争性磋商文件。</w:t>
      </w:r>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合同履行期限：自合同签订之日起至服务期满。</w:t>
      </w:r>
    </w:p>
    <w:p>
      <w:pPr>
        <w:spacing w:line="400" w:lineRule="exact"/>
        <w:ind w:firstLine="480" w:firstLineChars="20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sz w:val="24"/>
          <w:highlight w:val="none"/>
        </w:rPr>
        <w:t>本项目不接受联合体参与磋商。</w:t>
      </w:r>
    </w:p>
    <w:p>
      <w:pPr>
        <w:spacing w:line="400" w:lineRule="exact"/>
        <w:ind w:firstLine="480" w:firstLineChars="200"/>
        <w:rPr>
          <w:rFonts w:hint="eastAsia" w:asciiTheme="minorEastAsia" w:hAnsiTheme="minorEastAsia" w:eastAsiaTheme="minorEastAsia" w:cstheme="minorEastAsia"/>
          <w:color w:val="auto"/>
          <w:sz w:val="24"/>
          <w:highlight w:val="none"/>
        </w:rPr>
      </w:pPr>
      <w:bookmarkStart w:id="18" w:name="_Toc35393630"/>
      <w:bookmarkStart w:id="19" w:name="_Toc35393799"/>
      <w:bookmarkStart w:id="20" w:name="_Toc28359090"/>
      <w:bookmarkStart w:id="21" w:name="_Toc28359013"/>
      <w:r>
        <w:rPr>
          <w:rFonts w:hint="eastAsia" w:asciiTheme="minorEastAsia" w:hAnsiTheme="minorEastAsia" w:eastAsiaTheme="minorEastAsia" w:cstheme="minorEastAsia"/>
          <w:color w:val="auto"/>
          <w:sz w:val="24"/>
          <w:highlight w:val="none"/>
        </w:rPr>
        <w:t>二、申请人的资格要求：</w:t>
      </w:r>
      <w:bookmarkEnd w:id="18"/>
      <w:bookmarkEnd w:id="19"/>
      <w:bookmarkEnd w:id="20"/>
      <w:bookmarkEnd w:id="21"/>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1.满足《中华人民共和国政府采购法》第二十二条规定</w:t>
      </w:r>
      <w:r>
        <w:rPr>
          <w:rFonts w:hint="eastAsia" w:asciiTheme="minorEastAsia" w:hAnsiTheme="minorEastAsia" w:eastAsiaTheme="minorEastAsia" w:cstheme="minorEastAsia"/>
          <w:color w:val="auto"/>
          <w:highlight w:val="none"/>
        </w:rPr>
        <w:t>；</w:t>
      </w:r>
    </w:p>
    <w:p>
      <w:pPr>
        <w:spacing w:line="4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2.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p>
      <w:pPr>
        <w:spacing w:line="360" w:lineRule="exact"/>
        <w:ind w:firstLine="480" w:firstLineChars="200"/>
        <w:rPr>
          <w:rFonts w:hint="eastAsia" w:asciiTheme="minorEastAsia" w:hAnsiTheme="minorEastAsia" w:eastAsiaTheme="minorEastAsia" w:cstheme="minorEastAsia"/>
          <w:b/>
          <w:bCs/>
          <w:color w:val="auto"/>
          <w:sz w:val="24"/>
          <w:highlight w:val="none"/>
        </w:rPr>
      </w:pPr>
      <w:bookmarkStart w:id="22" w:name="_Toc28359091"/>
      <w:bookmarkStart w:id="23" w:name="_Toc28359014"/>
      <w:r>
        <w:rPr>
          <w:rFonts w:hint="eastAsia" w:asciiTheme="minorEastAsia" w:hAnsiTheme="minorEastAsia" w:eastAsiaTheme="minorEastAsia" w:cstheme="minorEastAsia"/>
          <w:color w:val="auto"/>
          <w:sz w:val="24"/>
          <w:highlight w:val="none"/>
        </w:rPr>
        <w:t>3.落实政府采购政策需满足的资格要求：</w:t>
      </w:r>
      <w:bookmarkStart w:id="24" w:name="OLE_LINK14"/>
      <w:r>
        <w:rPr>
          <w:rFonts w:hint="eastAsia" w:asciiTheme="minorEastAsia" w:hAnsiTheme="minorEastAsia" w:eastAsiaTheme="minorEastAsia" w:cstheme="minorEastAsia"/>
          <w:b/>
          <w:bCs/>
          <w:color w:val="auto"/>
          <w:sz w:val="24"/>
          <w:highlight w:val="none"/>
        </w:rPr>
        <w:t>无</w:t>
      </w:r>
      <w:bookmarkEnd w:id="24"/>
      <w:r>
        <w:rPr>
          <w:rFonts w:hint="eastAsia" w:asciiTheme="minorEastAsia" w:hAnsiTheme="minorEastAsia" w:eastAsiaTheme="minorEastAsia" w:cstheme="minorEastAsia"/>
          <w:b/>
          <w:bCs/>
          <w:color w:val="auto"/>
          <w:sz w:val="24"/>
          <w:highlight w:val="none"/>
        </w:rPr>
        <w:t>。</w:t>
      </w:r>
    </w:p>
    <w:p>
      <w:pPr>
        <w:spacing w:line="400" w:lineRule="exact"/>
        <w:ind w:firstLine="480"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4.本项目的特定资格要求：</w:t>
      </w:r>
      <w:bookmarkStart w:id="25" w:name="_Toc35393631"/>
      <w:bookmarkStart w:id="26" w:name="_Toc35393800"/>
      <w:r>
        <w:rPr>
          <w:rFonts w:hint="eastAsia" w:asciiTheme="minorEastAsia" w:hAnsiTheme="minorEastAsia" w:eastAsiaTheme="minorEastAsia" w:cstheme="minorEastAsia"/>
          <w:b/>
          <w:bCs/>
          <w:color w:val="auto"/>
          <w:sz w:val="24"/>
          <w:highlight w:val="none"/>
        </w:rPr>
        <w:t>无。</w:t>
      </w:r>
    </w:p>
    <w:bookmarkEnd w:id="22"/>
    <w:bookmarkEnd w:id="23"/>
    <w:bookmarkEnd w:id="25"/>
    <w:bookmarkEnd w:id="26"/>
    <w:p>
      <w:pPr>
        <w:spacing w:line="400" w:lineRule="exact"/>
        <w:ind w:firstLine="480" w:firstLineChars="200"/>
        <w:rPr>
          <w:rFonts w:hint="eastAsia" w:asciiTheme="minorEastAsia" w:hAnsiTheme="minorEastAsia" w:eastAsiaTheme="minorEastAsia" w:cstheme="minorEastAsia"/>
          <w:color w:val="auto"/>
          <w:sz w:val="24"/>
          <w:highlight w:val="none"/>
        </w:rPr>
      </w:pPr>
      <w:bookmarkStart w:id="27" w:name="_Toc35393623"/>
      <w:bookmarkStart w:id="28" w:name="_Toc35393792"/>
      <w:bookmarkStart w:id="29" w:name="_Toc28359018"/>
      <w:bookmarkStart w:id="30" w:name="_Toc35393805"/>
      <w:bookmarkStart w:id="31" w:name="_Toc28359095"/>
      <w:bookmarkStart w:id="32" w:name="_Toc35393636"/>
      <w:r>
        <w:rPr>
          <w:rFonts w:hint="eastAsia" w:asciiTheme="minorEastAsia" w:hAnsiTheme="minorEastAsia" w:eastAsiaTheme="minorEastAsia" w:cstheme="minorEastAsia"/>
          <w:color w:val="auto"/>
          <w:sz w:val="24"/>
          <w:highlight w:val="none"/>
        </w:rPr>
        <w:t>三、获取采购文件</w:t>
      </w:r>
      <w:bookmarkEnd w:id="27"/>
      <w:bookmarkEnd w:id="28"/>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1.采购文件获取时间：2026年</w:t>
      </w:r>
      <w:r>
        <w:rPr>
          <w:rFonts w:hint="eastAsia" w:asciiTheme="minorEastAsia" w:hAnsiTheme="minorEastAsia" w:eastAsiaTheme="minorEastAsia" w:cstheme="minorEastAsia"/>
          <w:color w:val="auto"/>
          <w:sz w:val="24"/>
          <w:highlight w:val="none"/>
          <w:lang w:val="en-US" w:eastAsia="zh-CN"/>
        </w:rPr>
        <w:t>04</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lang w:val="en-US" w:eastAsia="zh-CN"/>
        </w:rPr>
        <w:t>23</w:t>
      </w:r>
      <w:r>
        <w:rPr>
          <w:rFonts w:hint="eastAsia" w:asciiTheme="minorEastAsia" w:hAnsiTheme="minorEastAsia" w:eastAsiaTheme="minorEastAsia" w:cstheme="minorEastAsia"/>
          <w:color w:val="auto"/>
          <w:sz w:val="24"/>
          <w:highlight w:val="none"/>
        </w:rPr>
        <w:t>日至2026年</w:t>
      </w:r>
      <w:r>
        <w:rPr>
          <w:rFonts w:hint="eastAsia" w:asciiTheme="minorEastAsia" w:hAnsiTheme="minorEastAsia" w:eastAsiaTheme="minorEastAsia" w:cstheme="minorEastAsia"/>
          <w:color w:val="auto"/>
          <w:sz w:val="24"/>
          <w:highlight w:val="none"/>
          <w:lang w:val="en-US" w:eastAsia="zh-CN"/>
        </w:rPr>
        <w:t>05</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lang w:val="en-US" w:eastAsia="zh-CN"/>
        </w:rPr>
        <w:t>07</w:t>
      </w:r>
      <w:r>
        <w:rPr>
          <w:rFonts w:hint="eastAsia" w:asciiTheme="minorEastAsia" w:hAnsiTheme="minorEastAsia" w:eastAsiaTheme="minorEastAsia" w:cstheme="minorEastAsia"/>
          <w:color w:val="auto"/>
          <w:sz w:val="24"/>
          <w:highlight w:val="none"/>
        </w:rPr>
        <w:t>日09时30分。</w:t>
      </w:r>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2.地点及方式：潜在供应商请</w:t>
      </w:r>
      <w:r>
        <w:rPr>
          <w:rFonts w:hint="eastAsia" w:asciiTheme="minorEastAsia" w:hAnsiTheme="minorEastAsia" w:eastAsiaTheme="minorEastAsia" w:cstheme="minorEastAsia"/>
          <w:color w:val="auto"/>
          <w:sz w:val="24"/>
          <w:highlight w:val="none"/>
          <w:lang w:eastAsia="zh-CN"/>
        </w:rPr>
        <w:t>登录</w:t>
      </w:r>
      <w:r>
        <w:rPr>
          <w:rFonts w:hint="eastAsia" w:asciiTheme="minorEastAsia" w:hAnsiTheme="minorEastAsia" w:eastAsiaTheme="minorEastAsia" w:cstheme="minorEastAsia"/>
          <w:color w:val="auto"/>
          <w:sz w:val="24"/>
          <w:highlight w:val="none"/>
        </w:rPr>
        <w:t>“广西政府采购云平台”获取该招标文件。</w:t>
      </w:r>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3.采购文件售价：本项目采购文件不收取费用。</w:t>
      </w:r>
    </w:p>
    <w:p>
      <w:pPr>
        <w:spacing w:line="400" w:lineRule="exact"/>
        <w:ind w:firstLine="480" w:firstLineChars="200"/>
        <w:rPr>
          <w:rFonts w:hint="eastAsia" w:asciiTheme="minorEastAsia" w:hAnsiTheme="minorEastAsia" w:eastAsiaTheme="minorEastAsia" w:cstheme="minorEastAsia"/>
          <w:color w:val="auto"/>
          <w:sz w:val="24"/>
          <w:highlight w:val="none"/>
        </w:rPr>
      </w:pPr>
      <w:bookmarkStart w:id="33" w:name="_Toc28359082"/>
      <w:bookmarkStart w:id="34" w:name="_Toc28359005"/>
      <w:bookmarkStart w:id="35" w:name="_Toc35393624"/>
      <w:bookmarkStart w:id="36" w:name="_Toc35393793"/>
      <w:r>
        <w:rPr>
          <w:rFonts w:hint="eastAsia" w:asciiTheme="minorEastAsia" w:hAnsiTheme="minorEastAsia" w:eastAsiaTheme="minorEastAsia" w:cstheme="minorEastAsia"/>
          <w:color w:val="auto"/>
          <w:sz w:val="24"/>
          <w:highlight w:val="none"/>
        </w:rPr>
        <w:t>四、响应文件</w:t>
      </w:r>
      <w:bookmarkEnd w:id="33"/>
      <w:bookmarkEnd w:id="34"/>
      <w:r>
        <w:rPr>
          <w:rFonts w:hint="eastAsia" w:asciiTheme="minorEastAsia" w:hAnsiTheme="minorEastAsia" w:eastAsiaTheme="minorEastAsia" w:cstheme="minorEastAsia"/>
          <w:color w:val="auto"/>
          <w:sz w:val="24"/>
          <w:highlight w:val="none"/>
        </w:rPr>
        <w:t>提交时间和地点</w:t>
      </w:r>
      <w:bookmarkEnd w:id="35"/>
      <w:bookmarkEnd w:id="36"/>
    </w:p>
    <w:p>
      <w:pPr>
        <w:spacing w:line="400" w:lineRule="exact"/>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截止时间：</w:t>
      </w:r>
      <w:r>
        <w:rPr>
          <w:rFonts w:hint="eastAsia" w:asciiTheme="minorEastAsia" w:hAnsiTheme="minorEastAsia" w:eastAsiaTheme="minorEastAsia" w:cstheme="minorEastAsia"/>
          <w:color w:val="auto"/>
          <w:sz w:val="24"/>
          <w:highlight w:val="none"/>
          <w:lang w:eastAsia="zh-CN"/>
        </w:rPr>
        <w:t>2026年05月07日09时30分</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Cs/>
          <w:color w:val="auto"/>
          <w:sz w:val="24"/>
          <w:highlight w:val="none"/>
        </w:rPr>
        <w:t>北京时间）。</w:t>
      </w:r>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地点：通过广西政府采购云平台实行在线响应。</w:t>
      </w:r>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五、开启</w:t>
      </w:r>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时间：</w:t>
      </w:r>
      <w:r>
        <w:rPr>
          <w:rFonts w:hint="eastAsia" w:asciiTheme="minorEastAsia" w:hAnsiTheme="minorEastAsia" w:eastAsiaTheme="minorEastAsia" w:cstheme="minorEastAsia"/>
          <w:color w:val="auto"/>
          <w:sz w:val="24"/>
          <w:highlight w:val="none"/>
          <w:lang w:eastAsia="zh-CN"/>
        </w:rPr>
        <w:t>2026年05月07日09时30分</w:t>
      </w:r>
      <w:r>
        <w:rPr>
          <w:rFonts w:hint="eastAsia" w:asciiTheme="minorEastAsia" w:hAnsiTheme="minorEastAsia" w:eastAsiaTheme="minorEastAsia" w:cstheme="minorEastAsia"/>
          <w:color w:val="auto"/>
          <w:sz w:val="24"/>
          <w:highlight w:val="none"/>
        </w:rPr>
        <w:t>(北京时间）截标后。</w:t>
      </w:r>
    </w:p>
    <w:p>
      <w:pPr>
        <w:spacing w:line="4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地点：桂林市公共资源交易中心</w:t>
      </w:r>
      <w:r>
        <w:rPr>
          <w:rFonts w:hint="eastAsia" w:asciiTheme="minorEastAsia" w:hAnsiTheme="minorEastAsia" w:eastAsiaTheme="minorEastAsia" w:cstheme="minorEastAsia"/>
          <w:color w:val="auto"/>
          <w:sz w:val="24"/>
          <w:highlight w:val="none"/>
          <w:u w:val="single"/>
          <w:lang w:val="en-US" w:eastAsia="zh-CN"/>
        </w:rPr>
        <w:t>7</w:t>
      </w:r>
      <w:r>
        <w:rPr>
          <w:rFonts w:hint="eastAsia" w:asciiTheme="minorEastAsia" w:hAnsiTheme="minorEastAsia" w:eastAsiaTheme="minorEastAsia" w:cstheme="minorEastAsia"/>
          <w:color w:val="auto"/>
          <w:sz w:val="24"/>
          <w:highlight w:val="none"/>
          <w:u w:val="single"/>
        </w:rPr>
        <w:t>号开标室</w:t>
      </w:r>
      <w:r>
        <w:rPr>
          <w:rFonts w:hint="eastAsia" w:asciiTheme="minorEastAsia" w:hAnsiTheme="minorEastAsia" w:eastAsiaTheme="minorEastAsia" w:cstheme="minorEastAsia"/>
          <w:color w:val="auto"/>
          <w:sz w:val="24"/>
          <w:highlight w:val="none"/>
        </w:rPr>
        <w:t>通过广西政府采购云平台实行在线解密开启。</w:t>
      </w:r>
    </w:p>
    <w:p>
      <w:pPr>
        <w:spacing w:line="400" w:lineRule="exact"/>
        <w:ind w:firstLine="480" w:firstLineChars="200"/>
        <w:rPr>
          <w:rFonts w:hint="eastAsia" w:asciiTheme="minorEastAsia" w:hAnsiTheme="minorEastAsia" w:eastAsiaTheme="minorEastAsia" w:cstheme="minorEastAsia"/>
          <w:color w:val="auto"/>
          <w:sz w:val="24"/>
          <w:highlight w:val="none"/>
        </w:rPr>
      </w:pPr>
      <w:bookmarkStart w:id="37" w:name="_Toc35393625"/>
      <w:bookmarkStart w:id="38" w:name="_Toc28359007"/>
      <w:bookmarkStart w:id="39" w:name="_Toc35393794"/>
      <w:bookmarkStart w:id="40" w:name="_Toc28359084"/>
      <w:r>
        <w:rPr>
          <w:rFonts w:hint="eastAsia" w:asciiTheme="minorEastAsia" w:hAnsiTheme="minorEastAsia" w:eastAsiaTheme="minorEastAsia" w:cstheme="minorEastAsia"/>
          <w:color w:val="auto"/>
          <w:sz w:val="24"/>
          <w:highlight w:val="none"/>
        </w:rPr>
        <w:t>六、公告期限</w:t>
      </w:r>
      <w:bookmarkEnd w:id="37"/>
      <w:bookmarkEnd w:id="38"/>
      <w:bookmarkEnd w:id="39"/>
      <w:bookmarkEnd w:id="40"/>
    </w:p>
    <w:p>
      <w:pPr>
        <w:spacing w:line="40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自本公告发布之日起5个工作日。</w:t>
      </w:r>
    </w:p>
    <w:p>
      <w:pPr>
        <w:spacing w:line="400" w:lineRule="exact"/>
        <w:ind w:firstLine="480" w:firstLineChars="200"/>
        <w:rPr>
          <w:rFonts w:hint="eastAsia" w:asciiTheme="minorEastAsia" w:hAnsiTheme="minorEastAsia" w:eastAsiaTheme="minorEastAsia" w:cstheme="minorEastAsia"/>
          <w:color w:val="auto"/>
          <w:sz w:val="24"/>
          <w:highlight w:val="none"/>
        </w:rPr>
      </w:pPr>
      <w:bookmarkStart w:id="41" w:name="_Toc35393626"/>
      <w:bookmarkStart w:id="42" w:name="_Toc35393795"/>
      <w:r>
        <w:rPr>
          <w:rFonts w:hint="eastAsia" w:asciiTheme="minorEastAsia" w:hAnsiTheme="minorEastAsia" w:eastAsiaTheme="minorEastAsia" w:cstheme="minorEastAsia"/>
          <w:color w:val="auto"/>
          <w:sz w:val="24"/>
          <w:highlight w:val="none"/>
        </w:rPr>
        <w:t>七、其他补充事宜</w:t>
      </w:r>
      <w:bookmarkEnd w:id="41"/>
      <w:bookmarkEnd w:id="42"/>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1.本项目无需缴纳磋商保证金。</w:t>
      </w:r>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2.本项目信息发布媒体：</w:t>
      </w:r>
    </w:p>
    <w:p>
      <w:pPr>
        <w:pStyle w:val="11"/>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桂林市政府采购网（zfcg.czj.guilin.gov.cn）</w:t>
      </w:r>
    </w:p>
    <w:p>
      <w:pPr>
        <w:pStyle w:val="11"/>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广西壮族自治区政府采购网（www.ccgp-guangxi.gov.cn）</w:t>
      </w: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 xml:space="preserve">    中国政府采购网（www.ccgp.gov.cn）</w:t>
      </w:r>
    </w:p>
    <w:p>
      <w:pPr>
        <w:pStyle w:val="33"/>
        <w:numPr>
          <w:ilvl w:val="0"/>
          <w:numId w:val="2"/>
        </w:numPr>
        <w:spacing w:line="4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磋商响应文件解密时间：截标时间后</w:t>
      </w:r>
      <w:r>
        <w:rPr>
          <w:rFonts w:hint="eastAsia" w:asciiTheme="minorEastAsia" w:hAnsiTheme="minorEastAsia" w:eastAsiaTheme="minorEastAsia" w:cstheme="minorEastAsia"/>
          <w:color w:val="auto"/>
          <w:highlight w:val="none"/>
          <w:u w:val="single"/>
        </w:rPr>
        <w:t>30</w:t>
      </w:r>
      <w:r>
        <w:rPr>
          <w:rFonts w:hint="eastAsia" w:asciiTheme="minorEastAsia" w:hAnsiTheme="minorEastAsia" w:eastAsiaTheme="minorEastAsia" w:cstheme="minorEastAsia"/>
          <w:color w:val="auto"/>
          <w:highlight w:val="none"/>
        </w:rPr>
        <w:t>分钟内（</w:t>
      </w:r>
      <w:r>
        <w:rPr>
          <w:rFonts w:hint="eastAsia" w:asciiTheme="minorEastAsia" w:hAnsiTheme="minorEastAsia" w:eastAsiaTheme="minorEastAsia" w:cstheme="minorEastAsia"/>
          <w:color w:val="auto"/>
          <w:highlight w:val="none"/>
          <w:lang w:eastAsia="zh-CN"/>
        </w:rPr>
        <w:t>2026年05月07日上午</w:t>
      </w:r>
      <w:r>
        <w:rPr>
          <w:rFonts w:hint="eastAsia" w:asciiTheme="minorEastAsia" w:hAnsiTheme="minorEastAsia" w:eastAsiaTheme="minorEastAsia" w:cstheme="minorEastAsia"/>
          <w:color w:val="auto"/>
          <w:highlight w:val="none"/>
          <w:lang w:val="en-US" w:eastAsia="zh-CN"/>
        </w:rPr>
        <w:t>09</w:t>
      </w:r>
      <w:r>
        <w:rPr>
          <w:rFonts w:hint="eastAsia" w:asciiTheme="minorEastAsia" w:hAnsiTheme="minorEastAsia" w:eastAsiaTheme="minorEastAsia" w:cstheme="minorEastAsia"/>
          <w:color w:val="auto"/>
          <w:highlight w:val="none"/>
          <w:lang w:eastAsia="zh-CN"/>
        </w:rPr>
        <w:t>时30至</w:t>
      </w:r>
      <w:r>
        <w:rPr>
          <w:rFonts w:hint="eastAsia" w:asciiTheme="minorEastAsia" w:hAnsiTheme="minorEastAsia" w:eastAsiaTheme="minorEastAsia" w:cstheme="minorEastAsia"/>
          <w:color w:val="auto"/>
          <w:highlight w:val="none"/>
          <w:lang w:val="en-US" w:eastAsia="zh-CN"/>
        </w:rPr>
        <w:t>10</w:t>
      </w:r>
      <w:r>
        <w:rPr>
          <w:rFonts w:hint="eastAsia" w:asciiTheme="minorEastAsia" w:hAnsiTheme="minorEastAsia" w:eastAsiaTheme="minorEastAsia" w:cstheme="minorEastAsia"/>
          <w:color w:val="auto"/>
          <w:highlight w:val="none"/>
          <w:lang w:eastAsia="zh-CN"/>
        </w:rPr>
        <w:t>时00分</w:t>
      </w:r>
      <w:r>
        <w:rPr>
          <w:rFonts w:hint="eastAsia" w:asciiTheme="minorEastAsia" w:hAnsiTheme="minorEastAsia" w:eastAsiaTheme="minorEastAsia" w:cstheme="minorEastAsia"/>
          <w:color w:val="auto"/>
          <w:highlight w:val="none"/>
        </w:rPr>
        <w:t>)磋商供应商可以登录广西政府采购云平台，用“项目采购-开标评标”功能进行解密电子磋商响应文件。</w:t>
      </w:r>
    </w:p>
    <w:p>
      <w:pPr>
        <w:pStyle w:val="33"/>
        <w:spacing w:line="400" w:lineRule="exact"/>
        <w:ind w:firstLine="480" w:firstLineChars="200"/>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注：响应文件网上递交截止时间后，各供应商须在解密时限内对上传广西政府采购云平台的响应文件进行解密，所有供应商在规定的解密时限内解密完成或解密时限结束后，我中心开启已解密的响应文件。供应商超过解密时限未解密的，系统默认自动放弃，造成响应无效的后果由供应商自行承担（解密响应文件后，30分钟内在线签字确认，超过时间没有在线签字确认的系统将自动视为供应商认可）。</w:t>
      </w:r>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八、在线投标响应（电子投标）说明</w:t>
      </w:r>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本项目通过广西政府采购云平台实行在线投标响应（电子投标），供应商需要先安装“广西政府采购云平台电子交易客户端”，并按照本磋商文件和广西政府采购云平台的要求，通过“广西政府采购云平台电子交易客户端”编制并加密响应文件。供应商未按规定编制并加密的响应文件，广西政府采购云平台将予以拒收。</w:t>
      </w:r>
    </w:p>
    <w:p>
      <w:pPr>
        <w:pStyle w:val="33"/>
        <w:spacing w:line="4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广西政府采购云平台电子交易客户端”请自行前往广西政府采购网下载并安装,电子投标具体操作流程参考《政府采购项目电子交易管理操作指南-供应商》；在使用广西政府采购云平台投标客户端时，建议使用WIN7及以上操作系统,通过广西政府采购云平台参与在线投标时如遇平台技术问题详询95763。</w:t>
      </w:r>
    </w:p>
    <w:p>
      <w:pPr>
        <w:spacing w:line="400" w:lineRule="exact"/>
        <w:ind w:firstLine="480"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2.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申领流程请自行前往广西政府采购云平台网站进行查阅；</w:t>
      </w:r>
      <w:r>
        <w:rPr>
          <w:rFonts w:hint="eastAsia" w:asciiTheme="minorEastAsia" w:hAnsiTheme="minorEastAsia" w:eastAsiaTheme="minorEastAsia" w:cstheme="minorEastAsia"/>
          <w:b/>
          <w:bCs/>
          <w:color w:val="auto"/>
          <w:sz w:val="24"/>
          <w:highlight w:val="none"/>
        </w:rPr>
        <w:t>（完成CA数字证书办理预计一周左右，建议供应商获取磋商文件后立即办理。）</w:t>
      </w:r>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磋商供应商应当在磋商截止时间前，将生成的“电子磋商响应文件”上传递交至广西政府采购云平台。响应文件递交截止时间前可以撤回电子磋商响应文件。补充或者修改电子磋商响应文件的，应当先行撤回原文件，补充、修改后重新传输递交，磋商响应文件递交截止时间前未完成传输的，视为撤回磋商响应文件。</w:t>
      </w:r>
    </w:p>
    <w:p>
      <w:pPr>
        <w:pStyle w:val="33"/>
        <w:spacing w:line="400" w:lineRule="exact"/>
        <w:ind w:firstLine="480" w:firstLineChars="20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4.本项目需要磋商供应商代表在截标当天截标后，按磋商小组要求及时</w:t>
      </w:r>
      <w:r>
        <w:rPr>
          <w:rFonts w:hint="eastAsia" w:asciiTheme="minorEastAsia" w:hAnsiTheme="minorEastAsia" w:eastAsiaTheme="minorEastAsia" w:cstheme="minorEastAsia"/>
          <w:b/>
          <w:bCs/>
          <w:color w:val="auto"/>
          <w:highlight w:val="none"/>
          <w:lang w:eastAsia="zh-CN"/>
        </w:rPr>
        <w:t>登录</w:t>
      </w:r>
      <w:r>
        <w:rPr>
          <w:rFonts w:hint="eastAsia" w:asciiTheme="minorEastAsia" w:hAnsiTheme="minorEastAsia" w:eastAsiaTheme="minorEastAsia" w:cstheme="minorEastAsia"/>
          <w:b/>
          <w:bCs/>
          <w:color w:val="auto"/>
          <w:highlight w:val="none"/>
        </w:rPr>
        <w:t>广西政府采购云平台等候在线磋商及提交最后报价。</w:t>
      </w:r>
    </w:p>
    <w:p>
      <w:pPr>
        <w:pStyle w:val="33"/>
        <w:spacing w:line="4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5.本采购项目为广西政府采购云平台全流程电子化操作，参与磋商的供应商需自备计算机和网络设备（设备需可视频通话和读取广西政府采购云平台CA数字证书），确保磋商过程顺利进行；因供应商自身设备或网络原因造成的一切后果，由供应商自行承担。</w:t>
      </w:r>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九、凡对本次采购提出询问，请按以下方式联系。</w:t>
      </w:r>
      <w:bookmarkEnd w:id="29"/>
      <w:bookmarkEnd w:id="30"/>
      <w:bookmarkEnd w:id="31"/>
      <w:bookmarkEnd w:id="32"/>
    </w:p>
    <w:p>
      <w:pPr>
        <w:spacing w:line="400" w:lineRule="exact"/>
        <w:ind w:firstLine="480" w:firstLineChars="200"/>
        <w:rPr>
          <w:rFonts w:hint="eastAsia" w:asciiTheme="minorEastAsia" w:hAnsiTheme="minorEastAsia" w:eastAsiaTheme="minorEastAsia" w:cstheme="minorEastAsia"/>
          <w:color w:val="auto"/>
          <w:sz w:val="24"/>
          <w:highlight w:val="none"/>
        </w:rPr>
      </w:pPr>
      <w:bookmarkStart w:id="43" w:name="_Toc35393806"/>
      <w:bookmarkStart w:id="44" w:name="_Toc35393637"/>
      <w:bookmarkStart w:id="45" w:name="_Toc28359019"/>
      <w:bookmarkStart w:id="46" w:name="_Toc28359096"/>
      <w:r>
        <w:rPr>
          <w:rFonts w:hint="eastAsia" w:asciiTheme="minorEastAsia" w:hAnsiTheme="minorEastAsia" w:eastAsiaTheme="minorEastAsia" w:cstheme="minorEastAsia"/>
          <w:color w:val="auto"/>
          <w:sz w:val="24"/>
          <w:highlight w:val="none"/>
        </w:rPr>
        <w:t>1.采购人信息</w:t>
      </w:r>
      <w:bookmarkEnd w:id="43"/>
      <w:bookmarkEnd w:id="44"/>
      <w:bookmarkEnd w:id="45"/>
      <w:bookmarkEnd w:id="46"/>
    </w:p>
    <w:p>
      <w:pPr>
        <w:spacing w:line="400" w:lineRule="exact"/>
        <w:ind w:firstLine="480" w:firstLineChars="200"/>
        <w:jc w:val="left"/>
        <w:rPr>
          <w:rFonts w:hint="eastAsia" w:asciiTheme="minorEastAsia" w:hAnsiTheme="minorEastAsia" w:eastAsiaTheme="minorEastAsia" w:cstheme="minorEastAsia"/>
          <w:color w:val="auto"/>
          <w:sz w:val="24"/>
          <w:highlight w:val="none"/>
          <w:u w:val="single"/>
        </w:rPr>
      </w:pPr>
      <w:bookmarkStart w:id="47" w:name="_Toc35393807"/>
      <w:bookmarkStart w:id="48" w:name="_Toc35393638"/>
      <w:bookmarkStart w:id="49" w:name="_Toc28359020"/>
      <w:bookmarkStart w:id="50" w:name="_Toc28359097"/>
      <w:r>
        <w:rPr>
          <w:rFonts w:hint="eastAsia" w:asciiTheme="minorEastAsia" w:hAnsiTheme="minorEastAsia" w:eastAsiaTheme="minorEastAsia" w:cstheme="minorEastAsia"/>
          <w:color w:val="auto"/>
          <w:sz w:val="24"/>
          <w:highlight w:val="none"/>
        </w:rPr>
        <w:t>名    称：</w:t>
      </w:r>
      <w:r>
        <w:rPr>
          <w:rFonts w:hint="eastAsia" w:asciiTheme="minorEastAsia" w:hAnsiTheme="minorEastAsia" w:eastAsiaTheme="minorEastAsia" w:cstheme="minorEastAsia"/>
          <w:color w:val="auto"/>
          <w:sz w:val="24"/>
          <w:highlight w:val="none"/>
          <w:u w:val="single"/>
        </w:rPr>
        <w:t>桂林市信息中心</w:t>
      </w:r>
    </w:p>
    <w:p>
      <w:pPr>
        <w:widowControl/>
        <w:spacing w:line="340" w:lineRule="exact"/>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u w:val="single"/>
        </w:rPr>
        <w:t>桂林市临桂区西城中路69号创业大厦西辅楼5楼</w:t>
      </w:r>
    </w:p>
    <w:p>
      <w:pPr>
        <w:spacing w:line="36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联系方式：</w:t>
      </w:r>
      <w:r>
        <w:rPr>
          <w:rFonts w:hint="eastAsia" w:asciiTheme="minorEastAsia" w:hAnsiTheme="minorEastAsia" w:eastAsiaTheme="minorEastAsia" w:cstheme="minorEastAsia"/>
          <w:color w:val="auto"/>
          <w:sz w:val="24"/>
          <w:highlight w:val="none"/>
          <w:u w:val="single"/>
          <w:lang w:eastAsia="zh-CN"/>
        </w:rPr>
        <w:t>符工</w:t>
      </w:r>
      <w:r>
        <w:rPr>
          <w:rFonts w:hint="eastAsia" w:asciiTheme="minorEastAsia" w:hAnsiTheme="minorEastAsia" w:eastAsiaTheme="minorEastAsia" w:cstheme="minorEastAsia"/>
          <w:color w:val="auto"/>
          <w:sz w:val="24"/>
          <w:highlight w:val="none"/>
          <w:u w:val="single"/>
        </w:rPr>
        <w:t xml:space="preserve">  0773-2533281</w:t>
      </w:r>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2.采购代理机构信息</w:t>
      </w:r>
      <w:bookmarkEnd w:id="47"/>
      <w:bookmarkEnd w:id="48"/>
      <w:bookmarkEnd w:id="49"/>
      <w:bookmarkEnd w:id="50"/>
    </w:p>
    <w:p>
      <w:pPr>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名    称：</w:t>
      </w:r>
      <w:r>
        <w:rPr>
          <w:rFonts w:hint="eastAsia" w:asciiTheme="minorEastAsia" w:hAnsiTheme="minorEastAsia" w:eastAsiaTheme="minorEastAsia" w:cstheme="minorEastAsia"/>
          <w:color w:val="auto"/>
          <w:sz w:val="24"/>
          <w:highlight w:val="none"/>
          <w:u w:val="single"/>
        </w:rPr>
        <w:t>桂林市政府集中采购中心</w:t>
      </w:r>
    </w:p>
    <w:p>
      <w:pPr>
        <w:spacing w:line="400" w:lineRule="exact"/>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u w:val="single"/>
        </w:rPr>
        <w:t>桂林市临桂区西城中路69号创业大厦西辅楼5楼</w:t>
      </w:r>
    </w:p>
    <w:p>
      <w:pPr>
        <w:spacing w:line="400" w:lineRule="exact"/>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联系方式：</w:t>
      </w:r>
      <w:r>
        <w:rPr>
          <w:rFonts w:hint="eastAsia" w:asciiTheme="minorEastAsia" w:hAnsiTheme="minorEastAsia" w:eastAsiaTheme="minorEastAsia" w:cstheme="minorEastAsia"/>
          <w:color w:val="auto"/>
          <w:sz w:val="24"/>
          <w:highlight w:val="none"/>
          <w:u w:val="single"/>
        </w:rPr>
        <w:t>0773-5625143</w:t>
      </w:r>
    </w:p>
    <w:p>
      <w:pPr>
        <w:spacing w:line="400" w:lineRule="exact"/>
        <w:ind w:firstLine="480" w:firstLineChars="200"/>
        <w:rPr>
          <w:rFonts w:hint="eastAsia" w:asciiTheme="minorEastAsia" w:hAnsiTheme="minorEastAsia" w:eastAsiaTheme="minorEastAsia" w:cstheme="minorEastAsia"/>
          <w:color w:val="auto"/>
          <w:sz w:val="24"/>
          <w:highlight w:val="none"/>
        </w:rPr>
      </w:pPr>
      <w:bookmarkStart w:id="51" w:name="_Toc35393639"/>
      <w:bookmarkStart w:id="52" w:name="_Toc28359098"/>
      <w:bookmarkStart w:id="53" w:name="_Toc35393808"/>
      <w:bookmarkStart w:id="54" w:name="_Toc28359021"/>
      <w:r>
        <w:rPr>
          <w:rFonts w:hint="eastAsia" w:asciiTheme="minorEastAsia" w:hAnsiTheme="minorEastAsia" w:eastAsiaTheme="minorEastAsia" w:cstheme="minorEastAsia"/>
          <w:color w:val="auto"/>
          <w:sz w:val="24"/>
          <w:highlight w:val="none"/>
        </w:rPr>
        <w:t>3.项目联系方式</w:t>
      </w:r>
      <w:bookmarkEnd w:id="51"/>
      <w:bookmarkEnd w:id="52"/>
      <w:bookmarkEnd w:id="53"/>
      <w:bookmarkEnd w:id="54"/>
    </w:p>
    <w:p>
      <w:pPr>
        <w:pStyle w:val="13"/>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项目联系人：</w:t>
      </w:r>
      <w:r>
        <w:rPr>
          <w:rFonts w:hint="eastAsia" w:asciiTheme="minorEastAsia" w:hAnsiTheme="minorEastAsia" w:eastAsiaTheme="minorEastAsia" w:cstheme="minorEastAsia"/>
          <w:color w:val="auto"/>
          <w:sz w:val="24"/>
          <w:szCs w:val="24"/>
          <w:highlight w:val="none"/>
          <w:u w:val="single"/>
        </w:rPr>
        <w:t>黄贵梅</w:t>
      </w:r>
    </w:p>
    <w:p>
      <w:pPr>
        <w:spacing w:line="400" w:lineRule="exact"/>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电　　话：</w:t>
      </w:r>
      <w:r>
        <w:rPr>
          <w:rFonts w:hint="eastAsia" w:asciiTheme="minorEastAsia" w:hAnsiTheme="minorEastAsia" w:eastAsiaTheme="minorEastAsia" w:cstheme="minorEastAsia"/>
          <w:color w:val="auto"/>
          <w:sz w:val="24"/>
          <w:highlight w:val="none"/>
          <w:u w:val="single"/>
        </w:rPr>
        <w:t>0773-5625143</w:t>
      </w:r>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4.政府采购监督管理机构</w:t>
      </w:r>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名 称：</w:t>
      </w:r>
      <w:r>
        <w:rPr>
          <w:rFonts w:hint="eastAsia" w:asciiTheme="minorEastAsia" w:hAnsiTheme="minorEastAsia" w:eastAsiaTheme="minorEastAsia" w:cstheme="minorEastAsia"/>
          <w:color w:val="auto"/>
          <w:sz w:val="24"/>
          <w:highlight w:val="none"/>
          <w:u w:val="single"/>
        </w:rPr>
        <w:t>桂林市财政局</w:t>
      </w:r>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联系方式：</w:t>
      </w:r>
      <w:r>
        <w:rPr>
          <w:rFonts w:hint="eastAsia" w:asciiTheme="minorEastAsia" w:hAnsiTheme="minorEastAsia" w:eastAsiaTheme="minorEastAsia" w:cstheme="minorEastAsia"/>
          <w:color w:val="auto"/>
          <w:sz w:val="24"/>
          <w:highlight w:val="none"/>
          <w:u w:val="single"/>
        </w:rPr>
        <w:t>0773-2862142</w:t>
      </w:r>
    </w:p>
    <w:p>
      <w:pPr>
        <w:pStyle w:val="11"/>
        <w:spacing w:line="400" w:lineRule="exact"/>
        <w:ind w:firstLine="420" w:firstLineChars="200"/>
        <w:rPr>
          <w:rFonts w:hint="eastAsia" w:asciiTheme="minorEastAsia" w:hAnsiTheme="minorEastAsia" w:eastAsiaTheme="minorEastAsia" w:cstheme="minorEastAsia"/>
          <w:color w:val="auto"/>
          <w:highlight w:val="none"/>
        </w:rPr>
      </w:pPr>
    </w:p>
    <w:p>
      <w:pPr>
        <w:pStyle w:val="11"/>
        <w:rPr>
          <w:rFonts w:hint="eastAsia" w:asciiTheme="minorEastAsia" w:hAnsiTheme="minorEastAsia" w:eastAsiaTheme="minorEastAsia" w:cstheme="minorEastAsia"/>
          <w:color w:val="auto"/>
          <w:highlight w:val="none"/>
        </w:rPr>
      </w:pPr>
    </w:p>
    <w:p>
      <w:pPr>
        <w:pStyle w:val="11"/>
        <w:rPr>
          <w:rFonts w:hint="eastAsia" w:asciiTheme="minorEastAsia" w:hAnsiTheme="minorEastAsia" w:eastAsiaTheme="minorEastAsia" w:cstheme="minorEastAsia"/>
          <w:color w:val="auto"/>
          <w:highlight w:val="none"/>
        </w:rPr>
      </w:pPr>
    </w:p>
    <w:p>
      <w:pPr>
        <w:pStyle w:val="11"/>
        <w:rPr>
          <w:rFonts w:hint="eastAsia" w:asciiTheme="minorEastAsia" w:hAnsiTheme="minorEastAsia" w:eastAsiaTheme="minorEastAsia" w:cstheme="minorEastAsia"/>
          <w:color w:val="auto"/>
          <w:highlight w:val="none"/>
        </w:rPr>
      </w:pPr>
    </w:p>
    <w:p>
      <w:pPr>
        <w:pStyle w:val="11"/>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3"/>
        <w:spacing w:line="240" w:lineRule="auto"/>
        <w:jc w:val="center"/>
        <w:rPr>
          <w:rFonts w:hint="eastAsia" w:asciiTheme="minorEastAsia" w:hAnsiTheme="minorEastAsia" w:eastAsiaTheme="minorEastAsia" w:cstheme="minorEastAsia"/>
          <w:color w:val="auto"/>
          <w:sz w:val="32"/>
          <w:szCs w:val="32"/>
          <w:highlight w:val="none"/>
        </w:rPr>
      </w:pPr>
      <w:bookmarkStart w:id="55" w:name="_Toc14334"/>
      <w:bookmarkStart w:id="56" w:name="_Toc3436"/>
      <w:bookmarkStart w:id="57" w:name="_Toc10668"/>
      <w:bookmarkStart w:id="58" w:name="_Toc23185"/>
      <w:bookmarkStart w:id="59" w:name="_Toc6348"/>
      <w:bookmarkStart w:id="60" w:name="_Toc17937"/>
      <w:bookmarkStart w:id="61" w:name="_Toc19270"/>
      <w:bookmarkStart w:id="62" w:name="_Toc18092"/>
      <w:r>
        <w:rPr>
          <w:rFonts w:hint="eastAsia" w:asciiTheme="minorEastAsia" w:hAnsiTheme="minorEastAsia" w:eastAsiaTheme="minorEastAsia" w:cstheme="minorEastAsia"/>
          <w:color w:val="auto"/>
          <w:sz w:val="32"/>
          <w:szCs w:val="32"/>
          <w:highlight w:val="none"/>
        </w:rPr>
        <w:t>第二章供应商须知</w:t>
      </w:r>
      <w:bookmarkEnd w:id="0"/>
      <w:bookmarkEnd w:id="1"/>
      <w:bookmarkEnd w:id="55"/>
      <w:bookmarkEnd w:id="56"/>
      <w:bookmarkEnd w:id="57"/>
      <w:bookmarkEnd w:id="58"/>
      <w:bookmarkEnd w:id="59"/>
      <w:bookmarkEnd w:id="60"/>
      <w:bookmarkEnd w:id="61"/>
      <w:bookmarkEnd w:id="62"/>
    </w:p>
    <w:p>
      <w:pPr>
        <w:pStyle w:val="4"/>
        <w:jc w:val="center"/>
        <w:rPr>
          <w:rFonts w:hint="eastAsia" w:asciiTheme="minorEastAsia" w:hAnsiTheme="minorEastAsia" w:eastAsiaTheme="minorEastAsia" w:cstheme="minorEastAsia"/>
          <w:b/>
          <w:bCs w:val="0"/>
          <w:color w:val="auto"/>
          <w:sz w:val="24"/>
          <w:szCs w:val="24"/>
          <w:highlight w:val="none"/>
        </w:rPr>
      </w:pPr>
      <w:bookmarkStart w:id="63" w:name="_Toc9508"/>
      <w:bookmarkStart w:id="64" w:name="_Toc11219"/>
      <w:bookmarkStart w:id="65" w:name="_Toc15178"/>
      <w:bookmarkStart w:id="66" w:name="_Toc5376"/>
      <w:bookmarkStart w:id="67" w:name="_Toc31638"/>
      <w:bookmarkStart w:id="68" w:name="_Toc25063"/>
      <w:bookmarkStart w:id="69" w:name="_Toc10001"/>
      <w:bookmarkStart w:id="70" w:name="_Toc30540"/>
      <w:bookmarkStart w:id="71" w:name="_Toc13547"/>
      <w:bookmarkStart w:id="72" w:name="_Toc31918"/>
      <w:r>
        <w:rPr>
          <w:rFonts w:hint="eastAsia" w:asciiTheme="minorEastAsia" w:hAnsiTheme="minorEastAsia" w:eastAsiaTheme="minorEastAsia" w:cstheme="minorEastAsia"/>
          <w:b/>
          <w:bCs w:val="0"/>
          <w:color w:val="auto"/>
          <w:sz w:val="24"/>
          <w:szCs w:val="24"/>
          <w:highlight w:val="none"/>
        </w:rPr>
        <w:t>供 应 商 须 知 前 附 表</w:t>
      </w:r>
      <w:bookmarkEnd w:id="63"/>
      <w:bookmarkEnd w:id="64"/>
      <w:bookmarkEnd w:id="65"/>
      <w:bookmarkEnd w:id="66"/>
      <w:bookmarkEnd w:id="67"/>
      <w:bookmarkEnd w:id="68"/>
      <w:bookmarkEnd w:id="69"/>
      <w:bookmarkEnd w:id="70"/>
      <w:bookmarkEnd w:id="71"/>
      <w:bookmarkEnd w:id="72"/>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2"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942"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条款号</w:t>
            </w:r>
          </w:p>
        </w:tc>
        <w:tc>
          <w:tcPr>
            <w:tcW w:w="1775"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条款名称</w:t>
            </w:r>
          </w:p>
        </w:tc>
        <w:tc>
          <w:tcPr>
            <w:tcW w:w="6912"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2"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942"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w:t>
            </w:r>
          </w:p>
        </w:tc>
        <w:tc>
          <w:tcPr>
            <w:tcW w:w="1775"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项目名称及项目编号</w:t>
            </w:r>
          </w:p>
        </w:tc>
        <w:tc>
          <w:tcPr>
            <w:tcW w:w="6912" w:type="dxa"/>
            <w:noWrap/>
          </w:tcPr>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项目名称：桂林市信创云迁移及运维项目</w:t>
            </w:r>
          </w:p>
          <w:p>
            <w:pPr>
              <w:spacing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Cs w:val="21"/>
                <w:highlight w:val="none"/>
              </w:rPr>
              <w:t>项目编号：</w:t>
            </w:r>
            <w:r>
              <w:rPr>
                <w:rFonts w:hint="eastAsia" w:asciiTheme="minorEastAsia" w:hAnsiTheme="minorEastAsia" w:eastAsiaTheme="minorEastAsia" w:cstheme="minorEastAsia"/>
                <w:color w:val="auto"/>
                <w:szCs w:val="21"/>
                <w:highlight w:val="none"/>
                <w:lang w:eastAsia="zh-CN"/>
              </w:rPr>
              <w:t>GLZC2026-C3-990104-GLSZ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942"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1775"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供应商资格</w:t>
            </w:r>
          </w:p>
        </w:tc>
        <w:tc>
          <w:tcPr>
            <w:tcW w:w="6912" w:type="dxa"/>
            <w:noWrap/>
            <w:vAlign w:val="center"/>
          </w:tcPr>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3.1符合《中华人民共和国政府采购法》第二十二条和《政府采购法实施条例》第十八条规定，具备合法资格的供应商；</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3.2本项目不接受联合体参与磋商；</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pPr>
              <w:spacing w:line="360" w:lineRule="exac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3.4落实政府采购政策需满足的资格要求：</w:t>
            </w:r>
            <w:r>
              <w:rPr>
                <w:rFonts w:hint="eastAsia" w:asciiTheme="minorEastAsia" w:hAnsiTheme="minorEastAsia" w:eastAsiaTheme="minorEastAsia" w:cstheme="minorEastAsia"/>
                <w:b/>
                <w:bCs/>
                <w:color w:val="auto"/>
                <w:szCs w:val="21"/>
                <w:highlight w:val="none"/>
              </w:rPr>
              <w:t>无。</w:t>
            </w:r>
          </w:p>
          <w:p>
            <w:pPr>
              <w:spacing w:line="36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3.5本项目的特定资格要求：</w:t>
            </w:r>
            <w:r>
              <w:rPr>
                <w:rFonts w:hint="eastAsia" w:asciiTheme="minorEastAsia" w:hAnsiTheme="minorEastAsia" w:eastAsiaTheme="minorEastAsia" w:cstheme="minorEastAsia"/>
                <w:b/>
                <w:bCs/>
                <w:color w:val="auto"/>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2"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942"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1775"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磋商费用</w:t>
            </w:r>
          </w:p>
        </w:tc>
        <w:tc>
          <w:tcPr>
            <w:tcW w:w="6912" w:type="dxa"/>
            <w:noWrap/>
            <w:vAlign w:val="center"/>
          </w:tcPr>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不论磋商结果如何，供应商均应自行承担所有与磋商有关的全部费用。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942" w:type="dxa"/>
            <w:noWrap/>
            <w:vAlign w:val="center"/>
          </w:tcPr>
          <w:p>
            <w:pPr>
              <w:spacing w:line="360" w:lineRule="auto"/>
              <w:jc w:val="center"/>
              <w:rPr>
                <w:rFonts w:hint="eastAsia" w:asciiTheme="minorEastAsia" w:hAnsiTheme="minorEastAsia" w:eastAsiaTheme="minorEastAsia" w:cstheme="minorEastAsia"/>
                <w:color w:val="auto"/>
                <w:position w:val="-2"/>
                <w:szCs w:val="21"/>
                <w:highlight w:val="none"/>
              </w:rPr>
            </w:pPr>
            <w:r>
              <w:rPr>
                <w:rFonts w:hint="eastAsia" w:asciiTheme="minorEastAsia" w:hAnsiTheme="minorEastAsia" w:eastAsiaTheme="minorEastAsia" w:cstheme="minorEastAsia"/>
                <w:color w:val="auto"/>
                <w:position w:val="-2"/>
                <w:szCs w:val="21"/>
                <w:highlight w:val="none"/>
              </w:rPr>
              <w:t>13</w:t>
            </w:r>
          </w:p>
        </w:tc>
        <w:tc>
          <w:tcPr>
            <w:tcW w:w="1775" w:type="dxa"/>
            <w:noWrap/>
            <w:vAlign w:val="center"/>
          </w:tcPr>
          <w:p>
            <w:pPr>
              <w:spacing w:line="360" w:lineRule="auto"/>
              <w:jc w:val="center"/>
              <w:rPr>
                <w:rFonts w:hint="eastAsia" w:asciiTheme="minorEastAsia" w:hAnsiTheme="minorEastAsia" w:eastAsiaTheme="minorEastAsia" w:cstheme="minorEastAsia"/>
                <w:color w:val="auto"/>
                <w:position w:val="-2"/>
                <w:szCs w:val="21"/>
                <w:highlight w:val="none"/>
              </w:rPr>
            </w:pPr>
            <w:r>
              <w:rPr>
                <w:rFonts w:hint="eastAsia" w:asciiTheme="minorEastAsia" w:hAnsiTheme="minorEastAsia" w:eastAsiaTheme="minorEastAsia" w:cstheme="minorEastAsia"/>
                <w:color w:val="auto"/>
                <w:szCs w:val="21"/>
                <w:highlight w:val="none"/>
              </w:rPr>
              <w:t>磋商报价及采购预算金额</w:t>
            </w:r>
          </w:p>
        </w:tc>
        <w:tc>
          <w:tcPr>
            <w:tcW w:w="6912" w:type="dxa"/>
            <w:noWrap/>
            <w:vAlign w:val="center"/>
          </w:tcPr>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13.1 磋商报价应按磋商文件中相关附表格式填写。</w:t>
            </w:r>
            <w:r>
              <w:rPr>
                <w:rFonts w:hint="eastAsia" w:asciiTheme="minorEastAsia" w:hAnsiTheme="minorEastAsia" w:eastAsiaTheme="minorEastAsia" w:cstheme="minorEastAsia"/>
                <w:b/>
                <w:bCs/>
                <w:color w:val="auto"/>
                <w:szCs w:val="21"/>
                <w:highlight w:val="none"/>
              </w:rPr>
              <w:t>采购预算金额：人民币壹佰贰拾伍万壹仟柒佰元整（¥1251700.00元）。</w:t>
            </w:r>
            <w:r>
              <w:rPr>
                <w:rFonts w:hint="eastAsia" w:asciiTheme="minorEastAsia" w:hAnsiTheme="minorEastAsia" w:eastAsiaTheme="minorEastAsia" w:cstheme="minorEastAsia"/>
                <w:color w:val="auto"/>
                <w:szCs w:val="21"/>
                <w:highlight w:val="none"/>
              </w:rPr>
              <w:t>供应商报价</w:t>
            </w:r>
            <w:r>
              <w:rPr>
                <w:rFonts w:hint="eastAsia" w:asciiTheme="minorEastAsia" w:hAnsiTheme="minorEastAsia" w:eastAsiaTheme="minorEastAsia" w:cstheme="minorEastAsia"/>
                <w:color w:val="auto"/>
                <w:kern w:val="0"/>
                <w:szCs w:val="21"/>
                <w:highlight w:val="none"/>
              </w:rPr>
              <w:t>超出</w:t>
            </w:r>
            <w:r>
              <w:rPr>
                <w:rFonts w:hint="eastAsia" w:asciiTheme="minorEastAsia" w:hAnsiTheme="minorEastAsia" w:eastAsiaTheme="minorEastAsia" w:cstheme="minorEastAsia"/>
                <w:color w:val="auto"/>
                <w:kern w:val="0"/>
                <w:szCs w:val="21"/>
                <w:highlight w:val="none"/>
                <w:lang w:eastAsia="zh-CN"/>
              </w:rPr>
              <w:t>采购预算</w:t>
            </w:r>
            <w:r>
              <w:rPr>
                <w:rFonts w:hint="eastAsia" w:asciiTheme="minorEastAsia" w:hAnsiTheme="minorEastAsia" w:eastAsiaTheme="minorEastAsia" w:cstheme="minorEastAsia"/>
                <w:color w:val="auto"/>
                <w:kern w:val="0"/>
                <w:szCs w:val="21"/>
                <w:highlight w:val="none"/>
              </w:rPr>
              <w:t>金额的，响应文件按无效处理。</w:t>
            </w:r>
          </w:p>
          <w:p>
            <w:pPr>
              <w:snapToGrid w:val="0"/>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13.2供应商必须就“采购需求”中所有内容作完整唯一报价，否则，其响应文件无效；响应文件只允许有一个报价，有选择的或有条件的报价将不予接受。</w:t>
            </w:r>
          </w:p>
          <w:p>
            <w:pPr>
              <w:snapToGrid w:val="0"/>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13.4</w:t>
            </w:r>
            <w:r>
              <w:rPr>
                <w:rFonts w:hint="eastAsia" w:asciiTheme="minorEastAsia" w:hAnsiTheme="minorEastAsia" w:eastAsiaTheme="minorEastAsia" w:cstheme="minorEastAsia"/>
                <w:color w:val="auto"/>
                <w:kern w:val="0"/>
                <w:szCs w:val="21"/>
                <w:highlight w:val="none"/>
              </w:rPr>
              <w:t>供应商应在规定时间内在广西政府采购云平台系统上提交最后报价，超出评委设定的最后报价时限或其最后报价超出采购预算导致已通过评审的响应文件无效的，按供应商在提交响应文件截止时间后撤回响应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942" w:type="dxa"/>
            <w:noWrap/>
            <w:vAlign w:val="center"/>
          </w:tcPr>
          <w:p>
            <w:pPr>
              <w:spacing w:line="360" w:lineRule="auto"/>
              <w:jc w:val="center"/>
              <w:rPr>
                <w:rFonts w:hint="eastAsia" w:asciiTheme="minorEastAsia" w:hAnsiTheme="minorEastAsia" w:eastAsiaTheme="minorEastAsia" w:cstheme="minorEastAsia"/>
                <w:color w:val="auto"/>
                <w:position w:val="-2"/>
                <w:szCs w:val="21"/>
                <w:highlight w:val="none"/>
              </w:rPr>
            </w:pPr>
            <w:r>
              <w:rPr>
                <w:rFonts w:hint="eastAsia" w:asciiTheme="minorEastAsia" w:hAnsiTheme="minorEastAsia" w:eastAsiaTheme="minorEastAsia" w:cstheme="minorEastAsia"/>
                <w:color w:val="auto"/>
                <w:position w:val="-2"/>
                <w:szCs w:val="21"/>
                <w:highlight w:val="none"/>
              </w:rPr>
              <w:t>14.1</w:t>
            </w:r>
          </w:p>
        </w:tc>
        <w:tc>
          <w:tcPr>
            <w:tcW w:w="1775" w:type="dxa"/>
            <w:noWrap/>
            <w:vAlign w:val="center"/>
          </w:tcPr>
          <w:p>
            <w:pPr>
              <w:spacing w:line="360" w:lineRule="auto"/>
              <w:jc w:val="center"/>
              <w:rPr>
                <w:rFonts w:hint="eastAsia" w:asciiTheme="minorEastAsia" w:hAnsiTheme="minorEastAsia" w:eastAsiaTheme="minorEastAsia" w:cstheme="minorEastAsia"/>
                <w:color w:val="auto"/>
                <w:position w:val="-2"/>
                <w:szCs w:val="21"/>
                <w:highlight w:val="none"/>
              </w:rPr>
            </w:pPr>
            <w:r>
              <w:rPr>
                <w:rFonts w:hint="eastAsia" w:asciiTheme="minorEastAsia" w:hAnsiTheme="minorEastAsia" w:eastAsiaTheme="minorEastAsia" w:cstheme="minorEastAsia"/>
                <w:color w:val="auto"/>
                <w:position w:val="-2"/>
                <w:szCs w:val="21"/>
                <w:highlight w:val="none"/>
              </w:rPr>
              <w:t>响应文件有效期</w:t>
            </w:r>
          </w:p>
        </w:tc>
        <w:tc>
          <w:tcPr>
            <w:tcW w:w="6912" w:type="dxa"/>
            <w:noWrap/>
          </w:tcPr>
          <w:p>
            <w:pPr>
              <w:tabs>
                <w:tab w:val="left" w:pos="1305"/>
              </w:tabs>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响应文件递交截止时间之日起90天，有效期不足的响应文件将被拒绝。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942" w:type="dxa"/>
            <w:noWrap/>
            <w:vAlign w:val="center"/>
          </w:tcPr>
          <w:p>
            <w:pPr>
              <w:spacing w:line="360" w:lineRule="auto"/>
              <w:jc w:val="center"/>
              <w:rPr>
                <w:rFonts w:hint="eastAsia" w:asciiTheme="minorEastAsia" w:hAnsiTheme="minorEastAsia" w:eastAsiaTheme="minorEastAsia" w:cstheme="minorEastAsia"/>
                <w:color w:val="auto"/>
                <w:position w:val="-2"/>
                <w:szCs w:val="21"/>
                <w:highlight w:val="none"/>
              </w:rPr>
            </w:pPr>
            <w:r>
              <w:rPr>
                <w:rFonts w:hint="eastAsia" w:asciiTheme="minorEastAsia" w:hAnsiTheme="minorEastAsia" w:eastAsiaTheme="minorEastAsia" w:cstheme="minorEastAsia"/>
                <w:color w:val="auto"/>
                <w:position w:val="-2"/>
                <w:szCs w:val="21"/>
                <w:highlight w:val="none"/>
              </w:rPr>
              <w:t>15</w:t>
            </w:r>
          </w:p>
        </w:tc>
        <w:tc>
          <w:tcPr>
            <w:tcW w:w="1775" w:type="dxa"/>
            <w:noWrap/>
            <w:vAlign w:val="center"/>
          </w:tcPr>
          <w:p>
            <w:pPr>
              <w:spacing w:line="360" w:lineRule="auto"/>
              <w:jc w:val="center"/>
              <w:rPr>
                <w:rFonts w:hint="eastAsia" w:asciiTheme="minorEastAsia" w:hAnsiTheme="minorEastAsia" w:eastAsiaTheme="minorEastAsia" w:cstheme="minorEastAsia"/>
                <w:color w:val="auto"/>
                <w:position w:val="-2"/>
                <w:szCs w:val="21"/>
                <w:highlight w:val="none"/>
              </w:rPr>
            </w:pPr>
            <w:r>
              <w:rPr>
                <w:rFonts w:hint="eastAsia" w:asciiTheme="minorEastAsia" w:hAnsiTheme="minorEastAsia" w:eastAsiaTheme="minorEastAsia" w:cstheme="minorEastAsia"/>
                <w:color w:val="auto"/>
                <w:position w:val="-2"/>
                <w:szCs w:val="21"/>
                <w:highlight w:val="none"/>
              </w:rPr>
              <w:t>保证金</w:t>
            </w:r>
          </w:p>
        </w:tc>
        <w:tc>
          <w:tcPr>
            <w:tcW w:w="6912" w:type="dxa"/>
            <w:noWrap/>
          </w:tcPr>
          <w:p>
            <w:pPr>
              <w:tabs>
                <w:tab w:val="left" w:pos="1305"/>
              </w:tabs>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本项目无需缴纳磋商保证金。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p>
        </w:tc>
        <w:tc>
          <w:tcPr>
            <w:tcW w:w="942"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w:t>
            </w:r>
          </w:p>
        </w:tc>
        <w:tc>
          <w:tcPr>
            <w:tcW w:w="1775" w:type="dxa"/>
            <w:noWrap/>
            <w:vAlign w:val="center"/>
          </w:tcPr>
          <w:p>
            <w:pPr>
              <w:pStyle w:val="5"/>
              <w:spacing w:line="360" w:lineRule="auto"/>
              <w:jc w:val="center"/>
              <w:rPr>
                <w:rFonts w:hint="eastAsia" w:asciiTheme="minorEastAsia" w:hAnsiTheme="minorEastAsia" w:eastAsiaTheme="minorEastAsia" w:cstheme="minorEastAsia"/>
                <w:b w:val="0"/>
                <w:bCs/>
                <w:color w:val="auto"/>
                <w:sz w:val="21"/>
                <w:szCs w:val="21"/>
                <w:highlight w:val="none"/>
              </w:rPr>
            </w:pPr>
            <w:bookmarkStart w:id="73" w:name="_Toc32539"/>
            <w:bookmarkStart w:id="74" w:name="_Toc12573"/>
            <w:bookmarkStart w:id="75" w:name="_Toc19911"/>
            <w:bookmarkStart w:id="76" w:name="_Toc2356"/>
            <w:bookmarkStart w:id="77" w:name="_Toc13863"/>
            <w:bookmarkStart w:id="78" w:name="_Toc27452"/>
            <w:bookmarkStart w:id="79" w:name="_Toc202"/>
            <w:bookmarkStart w:id="80" w:name="_Toc24532"/>
            <w:bookmarkStart w:id="81" w:name="_Toc10298"/>
            <w:r>
              <w:rPr>
                <w:rFonts w:hint="eastAsia" w:asciiTheme="minorEastAsia" w:hAnsiTheme="minorEastAsia" w:eastAsiaTheme="minorEastAsia" w:cstheme="minorEastAsia"/>
                <w:b w:val="0"/>
                <w:bCs/>
                <w:color w:val="auto"/>
                <w:sz w:val="21"/>
                <w:szCs w:val="21"/>
                <w:highlight w:val="none"/>
              </w:rPr>
              <w:t>竞争性磋商响应文件的制作</w:t>
            </w:r>
            <w:bookmarkEnd w:id="73"/>
            <w:bookmarkEnd w:id="74"/>
            <w:bookmarkEnd w:id="75"/>
            <w:bookmarkEnd w:id="76"/>
            <w:bookmarkEnd w:id="77"/>
            <w:bookmarkEnd w:id="78"/>
            <w:bookmarkEnd w:id="79"/>
            <w:bookmarkEnd w:id="80"/>
            <w:bookmarkEnd w:id="81"/>
          </w:p>
          <w:p>
            <w:pPr>
              <w:spacing w:line="360" w:lineRule="auto"/>
              <w:jc w:val="center"/>
              <w:rPr>
                <w:rFonts w:hint="eastAsia" w:asciiTheme="minorEastAsia" w:hAnsiTheme="minorEastAsia" w:eastAsiaTheme="minorEastAsia" w:cstheme="minorEastAsia"/>
                <w:color w:val="auto"/>
                <w:szCs w:val="21"/>
                <w:highlight w:val="none"/>
              </w:rPr>
            </w:pPr>
          </w:p>
        </w:tc>
        <w:tc>
          <w:tcPr>
            <w:tcW w:w="6912" w:type="dxa"/>
            <w:noWrap/>
            <w:vAlign w:val="center"/>
          </w:tcPr>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16.1 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16.2供应商法人（负责人）或授权代表持有广西政府采购云平台个人CA签章的，应在响应文件中涉及到签字的位置使用个人CA签章，没有办理广西政府采购云平台个人CA签章的可在响应文件中涉及到签字的位置手写签字后扫描或者拍照做成 PDF 的格式上传即可。</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16.3 磋商响应文件不得涂改，若有修改错漏处，须法定代表人（负责人）或授权委托人签字（或个人CA签章）。磋商响应文件因字迹潦草或表达不清所引起的后果由供应商负责。</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16.4磋商前准备 </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16.4.1本项目实行在线磋商，采用电子磋商响应文件。若供应商参与磋商，自行承担磋商一切费用。 </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16.4.2各供应商应在截标前应确保成为广西政府采购云平台正式注册入库供应商，并完成 CA 数字证书申领。因未注册入库、未办理 CA 数字证书等原因造成无法磋商或磋商失败等后果由供应商自行承担。 </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16.4.3供应商将广西政府采购云平台电子交易客户端下载、安装完成后，可通过账号密码或 CA 登录客户端进行响应文件制作。客户端请至网站下载专区查看如有问题可拨打广西政府采购云平台客户服务热线 95763 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62"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w:t>
            </w:r>
          </w:p>
        </w:tc>
        <w:tc>
          <w:tcPr>
            <w:tcW w:w="942"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18.1</w:t>
            </w:r>
          </w:p>
        </w:tc>
        <w:tc>
          <w:tcPr>
            <w:tcW w:w="1775"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响应文件递交截止时间</w:t>
            </w:r>
          </w:p>
        </w:tc>
        <w:tc>
          <w:tcPr>
            <w:tcW w:w="6912" w:type="dxa"/>
            <w:noWrap/>
            <w:vAlign w:val="center"/>
          </w:tcPr>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于</w:t>
            </w:r>
            <w:r>
              <w:rPr>
                <w:rFonts w:hint="eastAsia" w:asciiTheme="minorEastAsia" w:hAnsiTheme="minorEastAsia" w:eastAsiaTheme="minorEastAsia" w:cstheme="minorEastAsia"/>
                <w:color w:val="auto"/>
                <w:szCs w:val="21"/>
                <w:highlight w:val="none"/>
                <w:u w:val="single"/>
                <w:lang w:eastAsia="zh-CN"/>
              </w:rPr>
              <w:t>2026年05月07日09时30分</w:t>
            </w:r>
            <w:r>
              <w:rPr>
                <w:rFonts w:hint="eastAsia" w:asciiTheme="minorEastAsia" w:hAnsiTheme="minorEastAsia" w:eastAsiaTheme="minorEastAsia" w:cstheme="minorEastAsia"/>
                <w:color w:val="auto"/>
                <w:szCs w:val="21"/>
                <w:highlight w:val="none"/>
              </w:rPr>
              <w:t>之前将电子磋商响应文件上传到广西政府采购云平台。应按照本项目磋商文件和广西政府采购云平台的要求编制、加密传输磋商响应文件。供应商在使用系统进行投标的过程中遇到涉及平台使用的任何问题，可致电广西政府采购云平台技术支持热线咨询，联系方式：95763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2" w:type="dxa"/>
            <w:noWrap/>
            <w:vAlign w:val="center"/>
          </w:tcPr>
          <w:p>
            <w:pPr>
              <w:spacing w:line="360" w:lineRule="auto"/>
              <w:jc w:val="center"/>
              <w:rPr>
                <w:rFonts w:hint="eastAsia" w:asciiTheme="minorEastAsia" w:hAnsiTheme="minorEastAsia" w:eastAsiaTheme="minorEastAsia" w:cstheme="minorEastAsia"/>
                <w:color w:val="auto"/>
                <w:position w:val="-2"/>
                <w:szCs w:val="21"/>
                <w:highlight w:val="none"/>
              </w:rPr>
            </w:pPr>
            <w:r>
              <w:rPr>
                <w:rFonts w:hint="eastAsia" w:asciiTheme="minorEastAsia" w:hAnsiTheme="minorEastAsia" w:eastAsiaTheme="minorEastAsia" w:cstheme="minorEastAsia"/>
                <w:color w:val="auto"/>
                <w:position w:val="-2"/>
                <w:szCs w:val="21"/>
                <w:highlight w:val="none"/>
              </w:rPr>
              <w:t>9</w:t>
            </w:r>
          </w:p>
        </w:tc>
        <w:tc>
          <w:tcPr>
            <w:tcW w:w="942" w:type="dxa"/>
            <w:noWrap/>
            <w:vAlign w:val="center"/>
          </w:tcPr>
          <w:p>
            <w:pPr>
              <w:spacing w:line="360" w:lineRule="auto"/>
              <w:jc w:val="center"/>
              <w:rPr>
                <w:rFonts w:hint="eastAsia" w:asciiTheme="minorEastAsia" w:hAnsiTheme="minorEastAsia" w:eastAsiaTheme="minorEastAsia" w:cstheme="minorEastAsia"/>
                <w:color w:val="auto"/>
                <w:position w:val="-2"/>
                <w:szCs w:val="21"/>
                <w:highlight w:val="none"/>
              </w:rPr>
            </w:pPr>
            <w:r>
              <w:rPr>
                <w:rFonts w:hint="eastAsia" w:asciiTheme="minorEastAsia" w:hAnsiTheme="minorEastAsia" w:eastAsiaTheme="minorEastAsia" w:cstheme="minorEastAsia"/>
                <w:color w:val="auto"/>
                <w:position w:val="-2"/>
                <w:szCs w:val="21"/>
                <w:highlight w:val="none"/>
              </w:rPr>
              <w:t>18.2</w:t>
            </w:r>
          </w:p>
        </w:tc>
        <w:tc>
          <w:tcPr>
            <w:tcW w:w="1775" w:type="dxa"/>
            <w:noWrap/>
            <w:vAlign w:val="center"/>
          </w:tcPr>
          <w:p>
            <w:pPr>
              <w:spacing w:line="360" w:lineRule="auto"/>
              <w:jc w:val="center"/>
              <w:rPr>
                <w:rFonts w:hint="eastAsia" w:asciiTheme="minorEastAsia" w:hAnsiTheme="minorEastAsia" w:eastAsiaTheme="minorEastAsia" w:cstheme="minorEastAsia"/>
                <w:color w:val="auto"/>
                <w:position w:val="-2"/>
                <w:szCs w:val="21"/>
                <w:highlight w:val="none"/>
              </w:rPr>
            </w:pPr>
            <w:r>
              <w:rPr>
                <w:rFonts w:hint="eastAsia" w:asciiTheme="minorEastAsia" w:hAnsiTheme="minorEastAsia" w:eastAsiaTheme="minorEastAsia" w:cstheme="minorEastAsia"/>
                <w:color w:val="auto"/>
                <w:szCs w:val="21"/>
                <w:highlight w:val="none"/>
              </w:rPr>
              <w:t>磋商响应文件解密时间</w:t>
            </w:r>
          </w:p>
        </w:tc>
        <w:tc>
          <w:tcPr>
            <w:tcW w:w="6912" w:type="dxa"/>
            <w:noWrap/>
            <w:vAlign w:val="center"/>
          </w:tcPr>
          <w:p>
            <w:pPr>
              <w:pStyle w:val="33"/>
              <w:spacing w:line="360" w:lineRule="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磋商响应文件解密时间：截标时间后30分钟内（</w:t>
            </w:r>
            <w:r>
              <w:rPr>
                <w:rFonts w:hint="eastAsia" w:asciiTheme="minorEastAsia" w:hAnsiTheme="minorEastAsia" w:eastAsiaTheme="minorEastAsia" w:cstheme="minorEastAsia"/>
                <w:color w:val="auto"/>
                <w:kern w:val="2"/>
                <w:sz w:val="21"/>
                <w:szCs w:val="21"/>
                <w:highlight w:val="none"/>
                <w:lang w:eastAsia="zh-CN"/>
              </w:rPr>
              <w:t>2026年05月07日09时30分</w:t>
            </w:r>
            <w:r>
              <w:rPr>
                <w:rFonts w:hint="eastAsia" w:asciiTheme="minorEastAsia" w:hAnsiTheme="minorEastAsia" w:eastAsiaTheme="minorEastAsia" w:cstheme="minorEastAsia"/>
                <w:color w:val="auto"/>
                <w:kern w:val="2"/>
                <w:sz w:val="21"/>
                <w:szCs w:val="21"/>
                <w:highlight w:val="none"/>
              </w:rPr>
              <w:t>至10时00分)磋商供应商可以登录广西政府采购云平台，用“项目采购-开标评标”功能进行解密磋商响应文件。</w:t>
            </w:r>
          </w:p>
          <w:p>
            <w:pPr>
              <w:pStyle w:val="33"/>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 w:val="21"/>
                <w:szCs w:val="21"/>
                <w:highlight w:val="none"/>
              </w:rPr>
              <w:t>注：响应文件网上递交截止时间后，各供应商须在解密时限内对上传广西政府采购云平台的响应文件进行解密，所有供应商在规定的解密时限内解密完成或解密时限结束后，我中心开启已解密的响应文件。供应商超过解密时限未解密的，系统默认自动放弃，造成响应无效的后果由供应商自行承担（解密响应文件后，30分钟内在线签字确认，超过时间没有在线签字确认的系统将自动视为供应商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2"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w:t>
            </w:r>
          </w:p>
        </w:tc>
        <w:tc>
          <w:tcPr>
            <w:tcW w:w="942" w:type="dxa"/>
            <w:noWrap/>
            <w:vAlign w:val="center"/>
          </w:tcPr>
          <w:p>
            <w:pPr>
              <w:spacing w:line="360" w:lineRule="auto"/>
              <w:ind w:firstLine="105" w:firstLineChars="50"/>
              <w:jc w:val="center"/>
              <w:rPr>
                <w:rFonts w:hint="eastAsia" w:asciiTheme="minorEastAsia" w:hAnsiTheme="minorEastAsia" w:eastAsiaTheme="minorEastAsia" w:cstheme="minorEastAsia"/>
                <w:color w:val="auto"/>
                <w:position w:val="-2"/>
                <w:szCs w:val="21"/>
                <w:highlight w:val="none"/>
              </w:rPr>
            </w:pPr>
            <w:r>
              <w:rPr>
                <w:rFonts w:hint="eastAsia" w:asciiTheme="minorEastAsia" w:hAnsiTheme="minorEastAsia" w:eastAsiaTheme="minorEastAsia" w:cstheme="minorEastAsia"/>
                <w:color w:val="auto"/>
                <w:position w:val="-2"/>
                <w:szCs w:val="21"/>
                <w:highlight w:val="none"/>
              </w:rPr>
              <w:t>19.1</w:t>
            </w:r>
          </w:p>
        </w:tc>
        <w:tc>
          <w:tcPr>
            <w:tcW w:w="1775"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磋商小组组成</w:t>
            </w:r>
          </w:p>
        </w:tc>
        <w:tc>
          <w:tcPr>
            <w:tcW w:w="6912" w:type="dxa"/>
            <w:noWrap/>
            <w:vAlign w:val="center"/>
          </w:tcPr>
          <w:p>
            <w:pPr>
              <w:spacing w:line="360" w:lineRule="auto"/>
              <w:ind w:left="15" w:hanging="14" w:hangingChars="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磋商及评审工作由采购代理机构负责组织，具体磋商、评审工作由依法组建的磋商小组负责，磋商小组由采购人代表和评审专家组成。磋商小组的构成：</w:t>
            </w:r>
            <w:r>
              <w:rPr>
                <w:rFonts w:hint="eastAsia" w:asciiTheme="minorEastAsia" w:hAnsiTheme="minorEastAsia" w:eastAsiaTheme="minorEastAsia" w:cstheme="minorEastAsia"/>
                <w:color w:val="auto"/>
                <w:szCs w:val="21"/>
                <w:highlight w:val="none"/>
                <w:u w:val="single"/>
              </w:rPr>
              <w:t xml:space="preserve">3 </w:t>
            </w:r>
            <w:r>
              <w:rPr>
                <w:rFonts w:hint="eastAsia" w:asciiTheme="minorEastAsia" w:hAnsiTheme="minorEastAsia" w:eastAsiaTheme="minorEastAsia" w:cstheme="minorEastAsia"/>
                <w:color w:val="auto"/>
                <w:szCs w:val="21"/>
                <w:highlight w:val="none"/>
              </w:rPr>
              <w:t>人，其中采购人代表</w:t>
            </w:r>
            <w:r>
              <w:rPr>
                <w:rFonts w:hint="eastAsia" w:asciiTheme="minorEastAsia" w:hAnsiTheme="minorEastAsia" w:eastAsiaTheme="minorEastAsia" w:cstheme="minorEastAsia"/>
                <w:color w:val="auto"/>
                <w:szCs w:val="21"/>
                <w:highlight w:val="none"/>
                <w:u w:val="single"/>
              </w:rPr>
              <w:t xml:space="preserve">1 </w:t>
            </w:r>
            <w:r>
              <w:rPr>
                <w:rFonts w:hint="eastAsia" w:asciiTheme="minorEastAsia" w:hAnsiTheme="minorEastAsia" w:eastAsiaTheme="minorEastAsia" w:cstheme="minorEastAsia"/>
                <w:color w:val="auto"/>
                <w:szCs w:val="21"/>
                <w:highlight w:val="none"/>
              </w:rPr>
              <w:t>人，专家</w:t>
            </w:r>
            <w:r>
              <w:rPr>
                <w:rFonts w:hint="eastAsia" w:asciiTheme="minorEastAsia" w:hAnsiTheme="minorEastAsia" w:eastAsiaTheme="minorEastAsia" w:cstheme="minorEastAsia"/>
                <w:color w:val="auto"/>
                <w:szCs w:val="21"/>
                <w:highlight w:val="none"/>
                <w:u w:val="single"/>
              </w:rPr>
              <w:t xml:space="preserve">2 </w:t>
            </w:r>
            <w:r>
              <w:rPr>
                <w:rFonts w:hint="eastAsia" w:asciiTheme="minorEastAsia" w:hAnsiTheme="minorEastAsia" w:eastAsiaTheme="minorEastAsia" w:cstheme="minorEastAsia"/>
                <w:color w:val="auto"/>
                <w:szCs w:val="21"/>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62"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w:t>
            </w:r>
          </w:p>
        </w:tc>
        <w:tc>
          <w:tcPr>
            <w:tcW w:w="942"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19.2</w:t>
            </w:r>
          </w:p>
        </w:tc>
        <w:tc>
          <w:tcPr>
            <w:tcW w:w="1775"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磋商时间、地点、人员</w:t>
            </w:r>
          </w:p>
        </w:tc>
        <w:tc>
          <w:tcPr>
            <w:tcW w:w="6912" w:type="dxa"/>
            <w:noWrap/>
          </w:tcPr>
          <w:p>
            <w:pPr>
              <w:spacing w:line="360" w:lineRule="auto"/>
              <w:ind w:left="315" w:hanging="315" w:hangingChars="15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19.2.1磋商时间：响应文件递交截止时间后。</w:t>
            </w:r>
          </w:p>
          <w:p>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19.2.2磋商地点：本项目需要磋商供应商代表在截标当天截标后，按磋商小组要求及时</w:t>
            </w:r>
            <w:r>
              <w:rPr>
                <w:rFonts w:hint="eastAsia" w:asciiTheme="minorEastAsia" w:hAnsiTheme="minorEastAsia" w:eastAsiaTheme="minorEastAsia" w:cstheme="minorEastAsia"/>
                <w:color w:val="auto"/>
                <w:szCs w:val="21"/>
                <w:highlight w:val="none"/>
                <w:lang w:eastAsia="zh-CN"/>
              </w:rPr>
              <w:t>登录</w:t>
            </w:r>
            <w:r>
              <w:rPr>
                <w:rFonts w:hint="eastAsia" w:asciiTheme="minorEastAsia" w:hAnsiTheme="minorEastAsia" w:eastAsiaTheme="minorEastAsia" w:cstheme="minorEastAsia"/>
                <w:color w:val="auto"/>
                <w:szCs w:val="21"/>
                <w:highlight w:val="none"/>
              </w:rPr>
              <w:t>广西政府采购云平台等候在线磋商。</w:t>
            </w:r>
          </w:p>
          <w:p>
            <w:pPr>
              <w:spacing w:line="360" w:lineRule="auto"/>
              <w:ind w:left="15" w:hanging="14" w:hangingChars="7"/>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19.2.3磋商参加人员：供应商法定代表人、负责人、自然人或相应的委托代理人持有效身份证原件和供应商广西政府采购云平台CA数字证书参加磋商。请供应商按时到达指定地点等候磋商。</w:t>
            </w:r>
          </w:p>
          <w:p>
            <w:pPr>
              <w:tabs>
                <w:tab w:val="left" w:pos="1140"/>
              </w:tabs>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19.2.4响应文件递交截止时间后，由磋商小组在评标室内线上开启响应文件。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12</w:t>
            </w:r>
          </w:p>
        </w:tc>
        <w:tc>
          <w:tcPr>
            <w:tcW w:w="942"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20.2</w:t>
            </w:r>
          </w:p>
        </w:tc>
        <w:tc>
          <w:tcPr>
            <w:tcW w:w="1775" w:type="dxa"/>
            <w:noWrap/>
            <w:vAlign w:val="center"/>
          </w:tcPr>
          <w:p>
            <w:pPr>
              <w:pStyle w:val="13"/>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评审办法</w:t>
            </w:r>
          </w:p>
        </w:tc>
        <w:tc>
          <w:tcPr>
            <w:tcW w:w="6912" w:type="dxa"/>
            <w:noWrap/>
            <w:vAlign w:val="center"/>
          </w:tcPr>
          <w:p>
            <w:pPr>
              <w:tabs>
                <w:tab w:val="left" w:pos="1140"/>
              </w:tabs>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具体详见第四章评审办法。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w:t>
            </w:r>
          </w:p>
        </w:tc>
        <w:tc>
          <w:tcPr>
            <w:tcW w:w="942"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w:t>
            </w:r>
          </w:p>
        </w:tc>
        <w:tc>
          <w:tcPr>
            <w:tcW w:w="1775"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信用查询</w:t>
            </w:r>
          </w:p>
        </w:tc>
        <w:tc>
          <w:tcPr>
            <w:tcW w:w="6912" w:type="dxa"/>
            <w:noWrap/>
            <w:vAlign w:val="center"/>
          </w:tcPr>
          <w:p>
            <w:pPr>
              <w:spacing w:line="360" w:lineRule="auto"/>
              <w:ind w:left="15" w:hanging="14" w:hangingChars="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根据《关于做好政府采购有关信用主体标识码登记及在政府采购活动中查询使用信用记录有关问题的通知》（桂财采〔2016〕37号），由采购代理机构对第一成交候选人进行信用查询：</w:t>
            </w:r>
          </w:p>
          <w:p>
            <w:pPr>
              <w:spacing w:line="360" w:lineRule="auto"/>
              <w:ind w:left="15" w:hanging="14" w:hangingChars="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⑴查询渠道：“信用中国”网站(www.creditchina.gov.cn)、中国政府采购网(www.ccgp.gov.cn)等；</w:t>
            </w:r>
          </w:p>
          <w:p>
            <w:pPr>
              <w:spacing w:line="360" w:lineRule="auto"/>
              <w:ind w:left="315" w:hanging="315" w:hanging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⑵查询时间：成交通知书发出前；</w:t>
            </w:r>
          </w:p>
          <w:p>
            <w:pPr>
              <w:spacing w:line="360" w:lineRule="auto"/>
              <w:ind w:left="15" w:hanging="14" w:hangingChars="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⑶信用信息查询记录和证据留存方式：在查询网站中直接打印查询记录，打印材料作为采购活动资料保存；</w:t>
            </w:r>
          </w:p>
          <w:p>
            <w:pPr>
              <w:spacing w:line="360" w:lineRule="auto"/>
              <w:ind w:left="15" w:hanging="14" w:hangingChars="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w:t>
            </w:r>
          </w:p>
        </w:tc>
        <w:tc>
          <w:tcPr>
            <w:tcW w:w="942"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w:t>
            </w:r>
          </w:p>
        </w:tc>
        <w:tc>
          <w:tcPr>
            <w:tcW w:w="1775"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成交结果公告</w:t>
            </w:r>
          </w:p>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及成交通知书</w:t>
            </w:r>
          </w:p>
        </w:tc>
        <w:tc>
          <w:tcPr>
            <w:tcW w:w="6912" w:type="dxa"/>
            <w:noWrap/>
          </w:tcPr>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27.2成交公告发布的同时，采购代理机构在线向成交供应商发出电子成交通知书。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62"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w:t>
            </w:r>
          </w:p>
        </w:tc>
        <w:tc>
          <w:tcPr>
            <w:tcW w:w="942"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28</w:t>
            </w:r>
          </w:p>
        </w:tc>
        <w:tc>
          <w:tcPr>
            <w:tcW w:w="1775"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履约保证金</w:t>
            </w:r>
          </w:p>
        </w:tc>
        <w:tc>
          <w:tcPr>
            <w:tcW w:w="6912" w:type="dxa"/>
            <w:noWrap/>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本项目无需缴纳履约保证金。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w:t>
            </w:r>
          </w:p>
        </w:tc>
        <w:tc>
          <w:tcPr>
            <w:tcW w:w="942"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29.1</w:t>
            </w:r>
          </w:p>
        </w:tc>
        <w:tc>
          <w:tcPr>
            <w:tcW w:w="1775"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签订合同时间</w:t>
            </w:r>
          </w:p>
        </w:tc>
        <w:tc>
          <w:tcPr>
            <w:tcW w:w="6912" w:type="dxa"/>
            <w:noWrap/>
          </w:tcPr>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成交通知书发出之日起八个工作日内签订合同</w:t>
            </w:r>
            <w:r>
              <w:rPr>
                <w:rFonts w:hint="eastAsia" w:asciiTheme="minorEastAsia" w:hAnsiTheme="minorEastAsia" w:eastAsiaTheme="minorEastAsia" w:cstheme="minorEastAsia"/>
                <w:color w:val="auto"/>
                <w:szCs w:val="21"/>
                <w:highlight w:val="none"/>
              </w:rPr>
              <w:t>。成交供应商收到成交通知书后，应按规定与采购人在“广西政府采购云平台”上在线签订电子合同。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w:t>
            </w:r>
          </w:p>
        </w:tc>
        <w:tc>
          <w:tcPr>
            <w:tcW w:w="942"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29.3</w:t>
            </w:r>
          </w:p>
        </w:tc>
        <w:tc>
          <w:tcPr>
            <w:tcW w:w="1775"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合同备案存档</w:t>
            </w:r>
          </w:p>
        </w:tc>
        <w:tc>
          <w:tcPr>
            <w:tcW w:w="6912" w:type="dxa"/>
            <w:noWrap/>
            <w:vAlign w:val="center"/>
          </w:tcPr>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政府采购合同双方自签订之日起将自动存档于“广西政府采购云平台”上，采购人于合同签订之日起七个工作日内将一份合同原件送本级财政部门备案。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w:t>
            </w:r>
          </w:p>
        </w:tc>
        <w:tc>
          <w:tcPr>
            <w:tcW w:w="942"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30</w:t>
            </w:r>
          </w:p>
        </w:tc>
        <w:tc>
          <w:tcPr>
            <w:tcW w:w="1775"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采购代理服务费</w:t>
            </w:r>
          </w:p>
        </w:tc>
        <w:tc>
          <w:tcPr>
            <w:tcW w:w="6912" w:type="dxa"/>
            <w:noWrap/>
          </w:tcPr>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本项目不收取采购代理服务费。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w:t>
            </w:r>
          </w:p>
        </w:tc>
        <w:tc>
          <w:tcPr>
            <w:tcW w:w="942"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w:t>
            </w:r>
          </w:p>
        </w:tc>
        <w:tc>
          <w:tcPr>
            <w:tcW w:w="1775"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编制依据</w:t>
            </w:r>
          </w:p>
        </w:tc>
        <w:tc>
          <w:tcPr>
            <w:tcW w:w="6912" w:type="dxa"/>
            <w:noWrap/>
          </w:tcPr>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本竞争性磋商文件是根据《中华人民共和国政府采购法》《中华人民共和国政府采购法实施条例》《政府采购竞争性磋商采购方式管理暂行办法》和政府采购管理有关规定编制。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62"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w:t>
            </w:r>
          </w:p>
        </w:tc>
        <w:tc>
          <w:tcPr>
            <w:tcW w:w="942"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w:t>
            </w:r>
          </w:p>
        </w:tc>
        <w:tc>
          <w:tcPr>
            <w:tcW w:w="1775" w:type="dxa"/>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监督管理机构</w:t>
            </w:r>
          </w:p>
        </w:tc>
        <w:tc>
          <w:tcPr>
            <w:tcW w:w="6912" w:type="dxa"/>
            <w:noWrap/>
            <w:vAlign w:val="center"/>
          </w:tcPr>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桂林市财政局电话：0773-2862142 </w:t>
            </w:r>
          </w:p>
        </w:tc>
      </w:tr>
    </w:tbl>
    <w:p>
      <w:pPr>
        <w:pStyle w:val="23"/>
        <w:ind w:left="0" w:leftChars="0" w:firstLine="0" w:firstLineChars="0"/>
        <w:rPr>
          <w:rFonts w:hint="eastAsia" w:asciiTheme="minorEastAsia" w:hAnsiTheme="minorEastAsia" w:eastAsiaTheme="minorEastAsia" w:cstheme="minorEastAsia"/>
          <w:b/>
          <w:color w:val="auto"/>
          <w:sz w:val="28"/>
          <w:szCs w:val="28"/>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4"/>
        <w:jc w:val="center"/>
        <w:rPr>
          <w:rFonts w:hint="eastAsia" w:asciiTheme="minorEastAsia" w:hAnsiTheme="minorEastAsia" w:eastAsiaTheme="minorEastAsia" w:cstheme="minorEastAsia"/>
          <w:b/>
          <w:bCs w:val="0"/>
          <w:color w:val="auto"/>
          <w:szCs w:val="28"/>
          <w:highlight w:val="none"/>
        </w:rPr>
      </w:pPr>
      <w:bookmarkStart w:id="82" w:name="_Toc22792"/>
      <w:bookmarkStart w:id="83" w:name="_Toc31826"/>
      <w:bookmarkStart w:id="84" w:name="_Toc29465"/>
      <w:bookmarkStart w:id="85" w:name="_Toc19410"/>
      <w:bookmarkStart w:id="86" w:name="_Toc9604"/>
      <w:bookmarkStart w:id="87" w:name="_Toc23261"/>
      <w:bookmarkStart w:id="88" w:name="_Toc10058"/>
      <w:bookmarkStart w:id="89" w:name="_Toc8266"/>
      <w:bookmarkStart w:id="90" w:name="_Toc30008"/>
      <w:r>
        <w:rPr>
          <w:rFonts w:hint="eastAsia" w:asciiTheme="minorEastAsia" w:hAnsiTheme="minorEastAsia" w:eastAsiaTheme="minorEastAsia" w:cstheme="minorEastAsia"/>
          <w:b/>
          <w:bCs w:val="0"/>
          <w:color w:val="auto"/>
          <w:szCs w:val="28"/>
          <w:highlight w:val="none"/>
        </w:rPr>
        <w:t>一、总则</w:t>
      </w:r>
      <w:bookmarkEnd w:id="82"/>
      <w:bookmarkEnd w:id="83"/>
      <w:bookmarkEnd w:id="84"/>
      <w:bookmarkEnd w:id="85"/>
      <w:bookmarkEnd w:id="86"/>
      <w:bookmarkEnd w:id="87"/>
      <w:bookmarkEnd w:id="88"/>
      <w:bookmarkEnd w:id="89"/>
      <w:bookmarkEnd w:id="90"/>
    </w:p>
    <w:p>
      <w:pPr>
        <w:pStyle w:val="5"/>
        <w:spacing w:line="360" w:lineRule="auto"/>
        <w:ind w:firstLine="420" w:firstLineChars="200"/>
        <w:rPr>
          <w:rFonts w:hint="eastAsia" w:asciiTheme="minorEastAsia" w:hAnsiTheme="minorEastAsia" w:eastAsiaTheme="minorEastAsia" w:cstheme="minorEastAsia"/>
          <w:color w:val="auto"/>
          <w:sz w:val="21"/>
          <w:szCs w:val="21"/>
          <w:highlight w:val="none"/>
        </w:rPr>
      </w:pPr>
      <w:bookmarkStart w:id="91" w:name="_Toc13704"/>
      <w:bookmarkStart w:id="92" w:name="_Toc18277"/>
      <w:bookmarkStart w:id="93" w:name="_Toc6626"/>
      <w:bookmarkStart w:id="94" w:name="_Toc29308"/>
      <w:bookmarkStart w:id="95" w:name="_Toc24721"/>
      <w:bookmarkStart w:id="96" w:name="_Toc32624"/>
      <w:bookmarkStart w:id="97" w:name="_Toc9118"/>
      <w:bookmarkStart w:id="98" w:name="_Toc25677"/>
      <w:bookmarkStart w:id="99" w:name="_Toc3607"/>
      <w:r>
        <w:rPr>
          <w:rFonts w:hint="eastAsia" w:asciiTheme="minorEastAsia" w:hAnsiTheme="minorEastAsia" w:eastAsiaTheme="minorEastAsia" w:cstheme="minorEastAsia"/>
          <w:color w:val="auto"/>
          <w:sz w:val="21"/>
          <w:szCs w:val="21"/>
          <w:highlight w:val="none"/>
        </w:rPr>
        <w:t>1. 适应范围</w:t>
      </w:r>
      <w:bookmarkEnd w:id="91"/>
      <w:bookmarkEnd w:id="92"/>
      <w:bookmarkEnd w:id="93"/>
      <w:bookmarkEnd w:id="94"/>
      <w:bookmarkEnd w:id="95"/>
      <w:bookmarkEnd w:id="96"/>
      <w:bookmarkEnd w:id="97"/>
      <w:bookmarkEnd w:id="98"/>
      <w:bookmarkEnd w:id="99"/>
    </w:p>
    <w:p>
      <w:pPr>
        <w:spacing w:line="360" w:lineRule="exact"/>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  项目名称及项目编号：</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项目名称：桂林市信创云迁移及运维项目</w:t>
      </w:r>
    </w:p>
    <w:p>
      <w:pPr>
        <w:spacing w:line="360" w:lineRule="auto"/>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项目编号：</w:t>
      </w:r>
      <w:r>
        <w:rPr>
          <w:rStyle w:val="39"/>
          <w:rFonts w:hint="eastAsia" w:asciiTheme="minorEastAsia" w:hAnsiTheme="minorEastAsia" w:eastAsiaTheme="minorEastAsia" w:cstheme="minorEastAsia"/>
          <w:color w:val="auto"/>
          <w:szCs w:val="21"/>
          <w:highlight w:val="none"/>
          <w:lang w:eastAsia="zh-CN"/>
        </w:rPr>
        <w:t>GLZC2026-C3-990104-GLSZ</w:t>
      </w:r>
    </w:p>
    <w:p>
      <w:pPr>
        <w:spacing w:line="360" w:lineRule="exact"/>
        <w:ind w:firstLine="411" w:firstLineChars="19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1.2本竞争性磋商文件（以下简称磋商文件）适用于本磋商项目的磋商、评审、合同履约、验收、付款等行为（法律、法规另有规定的，从其规定）。</w:t>
      </w:r>
    </w:p>
    <w:p>
      <w:pPr>
        <w:pStyle w:val="5"/>
        <w:spacing w:line="360" w:lineRule="auto"/>
        <w:ind w:firstLine="420" w:firstLineChars="200"/>
        <w:rPr>
          <w:rFonts w:hint="eastAsia" w:asciiTheme="minorEastAsia" w:hAnsiTheme="minorEastAsia" w:eastAsiaTheme="minorEastAsia" w:cstheme="minorEastAsia"/>
          <w:color w:val="auto"/>
          <w:sz w:val="21"/>
          <w:szCs w:val="21"/>
          <w:highlight w:val="none"/>
        </w:rPr>
      </w:pPr>
      <w:bookmarkStart w:id="100" w:name="_Toc28336"/>
      <w:bookmarkStart w:id="101" w:name="_Toc20311"/>
      <w:bookmarkStart w:id="102" w:name="_Toc29915"/>
      <w:bookmarkStart w:id="103" w:name="_Toc3926"/>
      <w:bookmarkStart w:id="104" w:name="_Toc6133"/>
      <w:bookmarkStart w:id="105" w:name="_Toc5137"/>
      <w:bookmarkStart w:id="106" w:name="_Toc3369"/>
      <w:bookmarkStart w:id="107" w:name="_Toc3355"/>
      <w:bookmarkStart w:id="108" w:name="_Toc21032"/>
      <w:r>
        <w:rPr>
          <w:rFonts w:hint="eastAsia" w:asciiTheme="minorEastAsia" w:hAnsiTheme="minorEastAsia" w:eastAsiaTheme="minorEastAsia" w:cstheme="minorEastAsia"/>
          <w:color w:val="auto"/>
          <w:sz w:val="21"/>
          <w:szCs w:val="21"/>
          <w:highlight w:val="none"/>
        </w:rPr>
        <w:t>2. 定义</w:t>
      </w:r>
      <w:bookmarkEnd w:id="100"/>
      <w:bookmarkEnd w:id="101"/>
      <w:bookmarkEnd w:id="102"/>
      <w:bookmarkEnd w:id="103"/>
      <w:bookmarkEnd w:id="104"/>
      <w:bookmarkEnd w:id="105"/>
      <w:bookmarkEnd w:id="106"/>
      <w:bookmarkEnd w:id="107"/>
      <w:bookmarkEnd w:id="108"/>
    </w:p>
    <w:p>
      <w:pPr>
        <w:spacing w:line="360" w:lineRule="exact"/>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2.1“供应商”是指符合本次采购项目的供应商资格并提交响应文件、参加磋商的供应商。如果该供应商在本次磋商中成交，即成为“成交供应商”。</w:t>
      </w:r>
    </w:p>
    <w:p>
      <w:pPr>
        <w:spacing w:line="360" w:lineRule="exact"/>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2.2“货物”系指按磋商文件规定，供应商须向采购人提供的一切设备、保险、税金、备品备件、工具、手册及其它有关技术资料和材料。</w:t>
      </w:r>
    </w:p>
    <w:p>
      <w:pPr>
        <w:spacing w:line="360" w:lineRule="exact"/>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2.3“服务”系指按磋商文件规定，供应商须承担的安装、调试、技术协助、校准、培训、技术指导以及其他类似的义务。</w:t>
      </w:r>
    </w:p>
    <w:p>
      <w:pPr>
        <w:spacing w:line="360" w:lineRule="exact"/>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2.4“项目”系指供应商按磋商文件规定向采购人提供的货物和服务。</w:t>
      </w:r>
    </w:p>
    <w:p>
      <w:pPr>
        <w:spacing w:line="360" w:lineRule="exact"/>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2.5“书面形式”包括信函、传真、电报等。</w:t>
      </w:r>
    </w:p>
    <w:p>
      <w:pPr>
        <w:pStyle w:val="5"/>
        <w:spacing w:line="360" w:lineRule="auto"/>
        <w:ind w:firstLine="420" w:firstLineChars="200"/>
        <w:rPr>
          <w:rFonts w:hint="eastAsia" w:asciiTheme="minorEastAsia" w:hAnsiTheme="minorEastAsia" w:eastAsiaTheme="minorEastAsia" w:cstheme="minorEastAsia"/>
          <w:color w:val="auto"/>
          <w:sz w:val="21"/>
          <w:szCs w:val="21"/>
          <w:highlight w:val="none"/>
        </w:rPr>
      </w:pPr>
      <w:bookmarkStart w:id="109" w:name="_Toc15"/>
      <w:bookmarkStart w:id="110" w:name="_Toc18586"/>
      <w:bookmarkStart w:id="111" w:name="_Toc15723"/>
      <w:bookmarkStart w:id="112" w:name="_Toc10645"/>
      <w:bookmarkStart w:id="113" w:name="_Toc25441"/>
      <w:bookmarkStart w:id="114" w:name="_Toc23631"/>
      <w:bookmarkStart w:id="115" w:name="_Toc21872"/>
      <w:bookmarkStart w:id="116" w:name="_Toc21310"/>
      <w:bookmarkStart w:id="117" w:name="_Toc19559"/>
      <w:r>
        <w:rPr>
          <w:rFonts w:hint="eastAsia" w:asciiTheme="minorEastAsia" w:hAnsiTheme="minorEastAsia" w:eastAsiaTheme="minorEastAsia" w:cstheme="minorEastAsia"/>
          <w:color w:val="auto"/>
          <w:sz w:val="21"/>
          <w:szCs w:val="21"/>
          <w:highlight w:val="none"/>
        </w:rPr>
        <w:t>3. 供应商资格</w:t>
      </w:r>
      <w:bookmarkEnd w:id="109"/>
      <w:bookmarkEnd w:id="110"/>
      <w:bookmarkEnd w:id="111"/>
      <w:bookmarkEnd w:id="112"/>
      <w:bookmarkEnd w:id="113"/>
      <w:bookmarkEnd w:id="114"/>
      <w:bookmarkEnd w:id="115"/>
      <w:bookmarkEnd w:id="116"/>
      <w:bookmarkEnd w:id="117"/>
    </w:p>
    <w:p>
      <w:pPr>
        <w:spacing w:line="360" w:lineRule="exact"/>
        <w:ind w:firstLine="435"/>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3.1符合《中华人民共和国政府采购法》第二十二条和《政府采购法实施条例》第十八条规定，具备合法资格的供应商；</w:t>
      </w:r>
    </w:p>
    <w:p>
      <w:pPr>
        <w:spacing w:line="360" w:lineRule="exact"/>
        <w:ind w:firstLine="435"/>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3.2本项目不接受联合体参与磋商；</w:t>
      </w:r>
    </w:p>
    <w:p>
      <w:pPr>
        <w:spacing w:line="360" w:lineRule="exact"/>
        <w:ind w:firstLine="435"/>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pPr>
        <w:spacing w:line="360" w:lineRule="exact"/>
        <w:ind w:firstLine="420" w:firstLineChars="200"/>
        <w:rPr>
          <w:rFonts w:hint="eastAsia" w:asciiTheme="minorEastAsia" w:hAnsiTheme="minorEastAsia" w:eastAsiaTheme="minorEastAsia" w:cstheme="minorEastAsia"/>
          <w:b/>
          <w:bCs/>
          <w:color w:val="auto"/>
          <w:szCs w:val="21"/>
          <w:highlight w:val="none"/>
        </w:rPr>
      </w:pPr>
      <w:bookmarkStart w:id="118" w:name="_Toc16496"/>
      <w:r>
        <w:rPr>
          <w:rFonts w:hint="eastAsia" w:asciiTheme="minorEastAsia" w:hAnsiTheme="minorEastAsia" w:eastAsiaTheme="minorEastAsia" w:cstheme="minorEastAsia"/>
          <w:color w:val="auto"/>
          <w:szCs w:val="21"/>
          <w:highlight w:val="none"/>
        </w:rPr>
        <w:t>3.4落实政府采购政策需满足的资格要求：</w:t>
      </w:r>
      <w:r>
        <w:rPr>
          <w:rFonts w:hint="eastAsia" w:asciiTheme="minorEastAsia" w:hAnsiTheme="minorEastAsia" w:eastAsiaTheme="minorEastAsia" w:cstheme="minorEastAsia"/>
          <w:b/>
          <w:bCs/>
          <w:color w:val="auto"/>
          <w:szCs w:val="21"/>
          <w:highlight w:val="none"/>
        </w:rPr>
        <w:t>无；</w:t>
      </w:r>
    </w:p>
    <w:p>
      <w:pPr>
        <w:spacing w:line="360" w:lineRule="exact"/>
        <w:ind w:firstLine="420" w:firstLineChars="200"/>
        <w:rPr>
          <w:rFonts w:hint="eastAsia" w:asciiTheme="minorEastAsia" w:hAnsiTheme="minorEastAsia" w:eastAsiaTheme="minorEastAsia" w:cstheme="minorEastAsia"/>
          <w:color w:val="auto"/>
          <w:szCs w:val="21"/>
          <w:highlight w:val="none"/>
        </w:rPr>
      </w:pPr>
      <w:bookmarkStart w:id="119" w:name="_Toc32646"/>
      <w:bookmarkStart w:id="120" w:name="_Toc10069"/>
      <w:bookmarkStart w:id="121" w:name="_Toc5736"/>
      <w:bookmarkStart w:id="122" w:name="_Toc4527"/>
      <w:bookmarkStart w:id="123" w:name="_Toc5959"/>
      <w:r>
        <w:rPr>
          <w:rFonts w:hint="eastAsia" w:asciiTheme="minorEastAsia" w:hAnsiTheme="minorEastAsia" w:eastAsiaTheme="minorEastAsia" w:cstheme="minorEastAsia"/>
          <w:color w:val="auto"/>
          <w:szCs w:val="21"/>
          <w:highlight w:val="none"/>
        </w:rPr>
        <w:t>3.5本项目的特定资格要求：</w:t>
      </w:r>
      <w:bookmarkEnd w:id="119"/>
      <w:bookmarkEnd w:id="120"/>
      <w:bookmarkEnd w:id="121"/>
      <w:bookmarkEnd w:id="122"/>
      <w:bookmarkEnd w:id="123"/>
      <w:r>
        <w:rPr>
          <w:rFonts w:hint="eastAsia" w:asciiTheme="minorEastAsia" w:hAnsiTheme="minorEastAsia" w:eastAsiaTheme="minorEastAsia" w:cstheme="minorEastAsia"/>
          <w:b/>
          <w:bCs/>
          <w:color w:val="auto"/>
          <w:szCs w:val="21"/>
          <w:highlight w:val="none"/>
        </w:rPr>
        <w:t>无；</w:t>
      </w:r>
    </w:p>
    <w:p>
      <w:pPr>
        <w:spacing w:line="400" w:lineRule="exact"/>
        <w:ind w:firstLine="4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Cs w:val="21"/>
          <w:highlight w:val="none"/>
        </w:rPr>
        <w:t>3.6实质性要求：</w:t>
      </w:r>
      <w:r>
        <w:rPr>
          <w:rFonts w:hint="eastAsia" w:asciiTheme="minorEastAsia" w:hAnsiTheme="minorEastAsia" w:eastAsiaTheme="minorEastAsia" w:cstheme="minorEastAsia"/>
          <w:b/>
          <w:bCs/>
          <w:color w:val="auto"/>
          <w:szCs w:val="21"/>
          <w:highlight w:val="none"/>
        </w:rPr>
        <w:t>“采购需求”中除现场勘察相关要求外</w:t>
      </w:r>
      <w:r>
        <w:rPr>
          <w:rFonts w:hint="eastAsia" w:asciiTheme="minorEastAsia" w:hAnsiTheme="minorEastAsia" w:eastAsiaTheme="minorEastAsia" w:cstheme="minorEastAsia"/>
          <w:b/>
          <w:bCs/>
          <w:color w:val="auto"/>
          <w:szCs w:val="21"/>
          <w:highlight w:val="none"/>
          <w:lang w:eastAsia="zh-CN"/>
        </w:rPr>
        <w:t>，其他</w:t>
      </w:r>
      <w:r>
        <w:rPr>
          <w:rFonts w:hint="eastAsia" w:asciiTheme="minorEastAsia" w:hAnsiTheme="minorEastAsia" w:eastAsiaTheme="minorEastAsia" w:cstheme="minorEastAsia"/>
          <w:b/>
          <w:bCs/>
          <w:color w:val="auto"/>
          <w:szCs w:val="21"/>
          <w:highlight w:val="none"/>
        </w:rPr>
        <w:t>均为实质性要求，不允许负偏离，否则投标无效。</w:t>
      </w:r>
    </w:p>
    <w:p>
      <w:pPr>
        <w:pStyle w:val="5"/>
        <w:spacing w:line="360" w:lineRule="auto"/>
        <w:ind w:firstLine="420" w:firstLineChars="200"/>
        <w:rPr>
          <w:rFonts w:hint="eastAsia" w:asciiTheme="minorEastAsia" w:hAnsiTheme="minorEastAsia" w:eastAsiaTheme="minorEastAsia" w:cstheme="minorEastAsia"/>
          <w:color w:val="auto"/>
          <w:sz w:val="21"/>
          <w:szCs w:val="21"/>
          <w:highlight w:val="none"/>
        </w:rPr>
      </w:pPr>
      <w:bookmarkStart w:id="124" w:name="_Toc1778"/>
      <w:bookmarkStart w:id="125" w:name="_Toc24892"/>
      <w:bookmarkStart w:id="126" w:name="_Toc2401"/>
      <w:bookmarkStart w:id="127" w:name="_Toc28490"/>
      <w:bookmarkStart w:id="128" w:name="_Toc15983"/>
      <w:bookmarkStart w:id="129" w:name="_Toc18835"/>
      <w:bookmarkStart w:id="130" w:name="_Toc1297"/>
      <w:bookmarkStart w:id="131" w:name="_Toc26672"/>
      <w:r>
        <w:rPr>
          <w:rFonts w:hint="eastAsia" w:asciiTheme="minorEastAsia" w:hAnsiTheme="minorEastAsia" w:eastAsiaTheme="minorEastAsia" w:cstheme="minorEastAsia"/>
          <w:color w:val="auto"/>
          <w:sz w:val="21"/>
          <w:szCs w:val="21"/>
          <w:highlight w:val="none"/>
        </w:rPr>
        <w:t>4. 磋商费用</w:t>
      </w:r>
      <w:bookmarkEnd w:id="118"/>
      <w:bookmarkEnd w:id="124"/>
      <w:bookmarkEnd w:id="125"/>
      <w:bookmarkEnd w:id="126"/>
      <w:bookmarkEnd w:id="127"/>
      <w:bookmarkEnd w:id="128"/>
      <w:bookmarkEnd w:id="129"/>
      <w:bookmarkEnd w:id="130"/>
      <w:bookmarkEnd w:id="131"/>
    </w:p>
    <w:p>
      <w:pPr>
        <w:tabs>
          <w:tab w:val="left" w:pos="1635"/>
        </w:tabs>
        <w:spacing w:line="360" w:lineRule="exact"/>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不论磋商结果如何，供应商均应自行承担所有与磋商有关的全部费用。</w:t>
      </w:r>
    </w:p>
    <w:p>
      <w:pPr>
        <w:pStyle w:val="5"/>
        <w:numPr>
          <w:ilvl w:val="0"/>
          <w:numId w:val="3"/>
        </w:numPr>
        <w:spacing w:line="360" w:lineRule="auto"/>
        <w:ind w:firstLine="420" w:firstLineChars="200"/>
        <w:rPr>
          <w:rFonts w:hint="eastAsia" w:asciiTheme="minorEastAsia" w:hAnsiTheme="minorEastAsia" w:eastAsiaTheme="minorEastAsia" w:cstheme="minorEastAsia"/>
          <w:color w:val="auto"/>
          <w:sz w:val="21"/>
          <w:szCs w:val="21"/>
          <w:highlight w:val="none"/>
        </w:rPr>
      </w:pPr>
      <w:bookmarkStart w:id="132" w:name="_Toc23088"/>
      <w:bookmarkStart w:id="133" w:name="_Toc3087"/>
      <w:bookmarkStart w:id="134" w:name="_Toc31044"/>
      <w:bookmarkStart w:id="135" w:name="_Toc27469"/>
      <w:bookmarkStart w:id="136" w:name="_Toc22472"/>
      <w:bookmarkStart w:id="137" w:name="_Toc31376"/>
      <w:bookmarkStart w:id="138" w:name="_Toc6933"/>
      <w:bookmarkStart w:id="139" w:name="_Toc1271"/>
      <w:bookmarkStart w:id="140" w:name="_Toc16956"/>
      <w:r>
        <w:rPr>
          <w:rFonts w:hint="eastAsia" w:asciiTheme="minorEastAsia" w:hAnsiTheme="minorEastAsia" w:eastAsiaTheme="minorEastAsia" w:cstheme="minorEastAsia"/>
          <w:color w:val="auto"/>
          <w:sz w:val="21"/>
          <w:szCs w:val="21"/>
          <w:highlight w:val="none"/>
        </w:rPr>
        <w:t>联合体要求</w:t>
      </w:r>
      <w:bookmarkEnd w:id="132"/>
      <w:bookmarkEnd w:id="133"/>
      <w:bookmarkEnd w:id="134"/>
      <w:bookmarkEnd w:id="135"/>
      <w:bookmarkEnd w:id="136"/>
      <w:bookmarkEnd w:id="137"/>
      <w:bookmarkEnd w:id="138"/>
      <w:bookmarkEnd w:id="139"/>
      <w:bookmarkEnd w:id="140"/>
    </w:p>
    <w:p>
      <w:pPr>
        <w:spacing w:line="36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本项目不接受联合体参与磋商</w:t>
      </w:r>
    </w:p>
    <w:p>
      <w:pPr>
        <w:pStyle w:val="5"/>
        <w:numPr>
          <w:ilvl w:val="0"/>
          <w:numId w:val="3"/>
        </w:numPr>
        <w:spacing w:line="360" w:lineRule="auto"/>
        <w:ind w:firstLine="420" w:firstLineChars="200"/>
        <w:rPr>
          <w:rFonts w:hint="eastAsia" w:asciiTheme="minorEastAsia" w:hAnsiTheme="minorEastAsia" w:eastAsiaTheme="minorEastAsia" w:cstheme="minorEastAsia"/>
          <w:color w:val="auto"/>
          <w:sz w:val="21"/>
          <w:szCs w:val="21"/>
          <w:highlight w:val="none"/>
        </w:rPr>
      </w:pPr>
      <w:bookmarkStart w:id="141" w:name="_Toc4125"/>
      <w:bookmarkStart w:id="142" w:name="_Toc23939"/>
      <w:bookmarkStart w:id="143" w:name="_Toc4591"/>
      <w:bookmarkStart w:id="144" w:name="_Toc20247"/>
      <w:bookmarkStart w:id="145" w:name="_Toc19438"/>
      <w:bookmarkStart w:id="146" w:name="_Toc17658"/>
      <w:bookmarkStart w:id="147" w:name="_Toc16359"/>
      <w:bookmarkStart w:id="148" w:name="_Toc12624"/>
      <w:bookmarkStart w:id="149" w:name="_Toc4152"/>
      <w:bookmarkStart w:id="150" w:name="_Toc6579"/>
      <w:r>
        <w:rPr>
          <w:rFonts w:hint="eastAsia" w:asciiTheme="minorEastAsia" w:hAnsiTheme="minorEastAsia" w:eastAsiaTheme="minorEastAsia" w:cstheme="minorEastAsia"/>
          <w:color w:val="auto"/>
          <w:sz w:val="21"/>
          <w:szCs w:val="21"/>
          <w:highlight w:val="none"/>
        </w:rPr>
        <w:t>转包与分包</w:t>
      </w:r>
      <w:bookmarkEnd w:id="141"/>
      <w:bookmarkEnd w:id="142"/>
      <w:bookmarkEnd w:id="143"/>
      <w:bookmarkEnd w:id="144"/>
      <w:bookmarkEnd w:id="145"/>
    </w:p>
    <w:p>
      <w:pPr>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 本项目不允许转包。</w:t>
      </w:r>
    </w:p>
    <w:p>
      <w:pPr>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highlight w:val="none"/>
        </w:rPr>
        <w:t>6.2 本项目不可以分包。</w:t>
      </w:r>
    </w:p>
    <w:p>
      <w:pPr>
        <w:pStyle w:val="5"/>
        <w:spacing w:line="360" w:lineRule="exact"/>
        <w:ind w:firstLine="420" w:firstLineChars="200"/>
        <w:rPr>
          <w:rFonts w:hint="eastAsia" w:asciiTheme="minorEastAsia" w:hAnsiTheme="minorEastAsia" w:eastAsiaTheme="minorEastAsia" w:cstheme="minorEastAsia"/>
          <w:color w:val="auto"/>
          <w:sz w:val="21"/>
          <w:szCs w:val="21"/>
          <w:highlight w:val="none"/>
        </w:rPr>
      </w:pPr>
      <w:bookmarkStart w:id="151" w:name="_Toc26252"/>
      <w:bookmarkStart w:id="152" w:name="_Toc27497"/>
      <w:bookmarkStart w:id="153" w:name="_Toc1544"/>
      <w:bookmarkStart w:id="154" w:name="_Toc17106"/>
      <w:bookmarkStart w:id="155" w:name="_Toc3668"/>
      <w:r>
        <w:rPr>
          <w:rFonts w:hint="eastAsia" w:asciiTheme="minorEastAsia" w:hAnsiTheme="minorEastAsia" w:eastAsiaTheme="minorEastAsia" w:cstheme="minorEastAsia"/>
          <w:color w:val="auto"/>
          <w:sz w:val="21"/>
          <w:szCs w:val="21"/>
          <w:highlight w:val="none"/>
        </w:rPr>
        <w:t>7. 质疑和投诉</w:t>
      </w:r>
      <w:bookmarkEnd w:id="151"/>
      <w:bookmarkEnd w:id="152"/>
      <w:bookmarkEnd w:id="153"/>
      <w:bookmarkEnd w:id="154"/>
      <w:bookmarkEnd w:id="155"/>
      <w:r>
        <w:rPr>
          <w:rFonts w:hint="eastAsia" w:asciiTheme="minorEastAsia" w:hAnsiTheme="minorEastAsia" w:eastAsiaTheme="minorEastAsia" w:cstheme="minorEastAsia"/>
          <w:color w:val="auto"/>
          <w:sz w:val="21"/>
          <w:szCs w:val="21"/>
          <w:highlight w:val="none"/>
        </w:rPr>
        <w:tab/>
      </w:r>
    </w:p>
    <w:p>
      <w:pPr>
        <w:pStyle w:val="33"/>
        <w:spacing w:line="360" w:lineRule="exact"/>
        <w:ind w:firstLine="420" w:firstLineChars="200"/>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7.1供应商认为磋商文件使自己的合法权益受到损害的，应当在本项目竞争性磋商公告期限届满之日起七个工作日内以书面形式向采购人或桂林市政府集中采购中心提出质疑。供应商认为招标过程或中标结果使自己的合法权益受到损害的，应当在采购程序环节结束之日或中标（成交）公告期限届满之日起七个工作日内，以书面形式向采购人或桂林市政府集中采购中心提出质疑。</w:t>
      </w:r>
    </w:p>
    <w:p>
      <w:pPr>
        <w:pStyle w:val="33"/>
        <w:spacing w:line="360" w:lineRule="exact"/>
        <w:ind w:firstLine="420" w:firstLineChars="200"/>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接收质疑函方式：以书面形式（原件）提交。</w:t>
      </w:r>
    </w:p>
    <w:p>
      <w:pPr>
        <w:pStyle w:val="33"/>
        <w:spacing w:line="360" w:lineRule="exact"/>
        <w:ind w:firstLine="420" w:firstLineChars="200"/>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质疑联系人：桂林市政府集中采购中心，联系电话：0773-5625162</w:t>
      </w:r>
    </w:p>
    <w:p>
      <w:pPr>
        <w:pStyle w:val="33"/>
        <w:spacing w:line="360" w:lineRule="exact"/>
        <w:ind w:firstLine="420" w:firstLineChars="200"/>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通讯地址：桂林市临桂区西城中路69号创业大厦西辅楼5楼574室</w:t>
      </w:r>
    </w:p>
    <w:p>
      <w:pPr>
        <w:pStyle w:val="33"/>
        <w:spacing w:line="360" w:lineRule="exact"/>
        <w:ind w:firstLine="420" w:firstLineChars="200"/>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7.2收到供应商书面质疑函后，采购人应当在七个工作日内对质疑事项作出答复（答复内容不得涉及商业秘密），并委托采购代理机构以书面形式通知质疑供应商，在财政部门指定的媒体发布质疑答复公告。</w:t>
      </w:r>
    </w:p>
    <w:p>
      <w:pPr>
        <w:pStyle w:val="33"/>
        <w:spacing w:line="360" w:lineRule="exact"/>
        <w:ind w:firstLine="420" w:firstLineChars="200"/>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7.3供应商对采购人或采购代理机构的答复不满意，或者采购人或采购代理机构未在规定的时间内作出答复的，可以在答复期满后十五个工作日内向本级财政部门投诉。</w:t>
      </w:r>
    </w:p>
    <w:p>
      <w:pPr>
        <w:pStyle w:val="33"/>
        <w:spacing w:line="360" w:lineRule="exact"/>
        <w:ind w:firstLine="420" w:firstLineChars="200"/>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7.4质疑、投诉应当采用书面形式，质疑书、投诉书实行实名制，均应明确阐述招标文件、招标过程或中标结果中使自己合法权益受到损害的实质性内容，并提供必要的证明材料。</w:t>
      </w:r>
    </w:p>
    <w:p>
      <w:pPr>
        <w:pStyle w:val="33"/>
        <w:spacing w:line="360" w:lineRule="exact"/>
        <w:ind w:firstLine="420" w:firstLineChars="200"/>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7.5供应商在法定质疑期内应当一次性提出针对同一采购程序环节的质疑。</w:t>
      </w:r>
    </w:p>
    <w:p>
      <w:pPr>
        <w:pStyle w:val="33"/>
        <w:spacing w:line="360" w:lineRule="exact"/>
        <w:ind w:firstLine="420" w:firstLineChars="200"/>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7.6 不在法定质疑期内提出的质疑函可以拒收。不符合要求的质疑函在法定质疑期内及时补充完整，否则作质疑不成立处理。</w:t>
      </w:r>
    </w:p>
    <w:p>
      <w:pPr>
        <w:pStyle w:val="5"/>
        <w:spacing w:line="360" w:lineRule="auto"/>
        <w:ind w:firstLine="420" w:firstLineChars="200"/>
        <w:rPr>
          <w:rFonts w:hint="eastAsia" w:asciiTheme="minorEastAsia" w:hAnsiTheme="minorEastAsia" w:eastAsiaTheme="minorEastAsia" w:cstheme="minorEastAsia"/>
          <w:color w:val="auto"/>
          <w:sz w:val="21"/>
          <w:szCs w:val="21"/>
          <w:highlight w:val="none"/>
        </w:rPr>
      </w:pPr>
      <w:bookmarkStart w:id="156" w:name="_Toc7942"/>
      <w:bookmarkStart w:id="157" w:name="_Toc22055"/>
      <w:bookmarkStart w:id="158" w:name="_Toc27837"/>
      <w:bookmarkStart w:id="159" w:name="_Toc14222"/>
      <w:bookmarkStart w:id="160" w:name="_Toc2499"/>
      <w:r>
        <w:rPr>
          <w:rFonts w:hint="eastAsia" w:asciiTheme="minorEastAsia" w:hAnsiTheme="minorEastAsia" w:eastAsiaTheme="minorEastAsia" w:cstheme="minorEastAsia"/>
          <w:color w:val="auto"/>
          <w:sz w:val="21"/>
          <w:szCs w:val="21"/>
          <w:highlight w:val="none"/>
        </w:rPr>
        <w:t>8. 特别说明</w:t>
      </w:r>
      <w:bookmarkEnd w:id="156"/>
      <w:bookmarkEnd w:id="157"/>
      <w:bookmarkEnd w:id="158"/>
      <w:bookmarkEnd w:id="159"/>
      <w:bookmarkEnd w:id="160"/>
    </w:p>
    <w:p>
      <w:pPr>
        <w:tabs>
          <w:tab w:val="left" w:pos="1635"/>
        </w:tabs>
        <w:spacing w:line="360" w:lineRule="exact"/>
        <w:ind w:firstLine="420"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8.1关联供应商不得参加同一合同项下政府采购活动，否则响应文件将被视为无效：</w:t>
      </w:r>
    </w:p>
    <w:p>
      <w:pPr>
        <w:tabs>
          <w:tab w:val="left" w:pos="1635"/>
        </w:tabs>
        <w:spacing w:line="3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（1）单位负责人为同一人或者存在直接控股、管理关系的，不得参加同一合同项下的政府采购活动。</w:t>
      </w:r>
    </w:p>
    <w:p>
      <w:pPr>
        <w:tabs>
          <w:tab w:val="left" w:pos="1635"/>
        </w:tabs>
        <w:spacing w:line="3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（2）为本采购项目提供整体设计、规范编制或者项目管理、监理、检测等服务的供应商，不得再参加本次采购活动。</w:t>
      </w:r>
    </w:p>
    <w:p>
      <w:pPr>
        <w:tabs>
          <w:tab w:val="left" w:pos="1635"/>
        </w:tabs>
        <w:spacing w:line="360" w:lineRule="exact"/>
        <w:ind w:firstLine="435"/>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color w:val="auto"/>
          <w:szCs w:val="21"/>
          <w:highlight w:val="none"/>
        </w:rPr>
        <w:t>8.2</w:t>
      </w:r>
      <w:r>
        <w:rPr>
          <w:rFonts w:hint="eastAsia" w:asciiTheme="minorEastAsia" w:hAnsiTheme="minorEastAsia" w:eastAsiaTheme="minorEastAsia" w:cstheme="minorEastAsia"/>
          <w:b/>
          <w:bCs/>
          <w:color w:val="auto"/>
          <w:szCs w:val="21"/>
          <w:highlight w:val="none"/>
        </w:rPr>
        <w:t>提供相同品牌产品的不同供应商参加同一合同项下磋商的，以其中通过资格审查、符合性审查且最后报价最低的参加评审，最后报价相同的，由采购人自主选择确定一个参加评审的供应商，其他报价无效。非单一产品采购项目中，多家供应商提供的核心产品品牌相同的，视为提供相同品牌产品。</w:t>
      </w:r>
    </w:p>
    <w:bookmarkEnd w:id="146"/>
    <w:bookmarkEnd w:id="147"/>
    <w:bookmarkEnd w:id="148"/>
    <w:bookmarkEnd w:id="149"/>
    <w:bookmarkEnd w:id="150"/>
    <w:p>
      <w:pPr>
        <w:pStyle w:val="11"/>
        <w:rPr>
          <w:rFonts w:hint="eastAsia" w:asciiTheme="minorEastAsia" w:hAnsiTheme="minorEastAsia" w:eastAsiaTheme="minorEastAsia" w:cstheme="minorEastAsia"/>
          <w:color w:val="auto"/>
          <w:highlight w:val="none"/>
        </w:rPr>
      </w:pPr>
    </w:p>
    <w:p>
      <w:pPr>
        <w:pStyle w:val="4"/>
        <w:jc w:val="center"/>
        <w:rPr>
          <w:rFonts w:hint="eastAsia" w:asciiTheme="minorEastAsia" w:hAnsiTheme="minorEastAsia" w:eastAsiaTheme="minorEastAsia" w:cstheme="minorEastAsia"/>
          <w:b/>
          <w:bCs w:val="0"/>
          <w:color w:val="auto"/>
          <w:szCs w:val="28"/>
          <w:highlight w:val="none"/>
        </w:rPr>
      </w:pPr>
      <w:bookmarkStart w:id="161" w:name="_Toc26161"/>
      <w:bookmarkStart w:id="162" w:name="_Toc8933"/>
      <w:bookmarkStart w:id="163" w:name="_Toc22498"/>
      <w:bookmarkStart w:id="164" w:name="_Toc20463"/>
      <w:bookmarkStart w:id="165" w:name="_Toc7621"/>
      <w:bookmarkStart w:id="166" w:name="_Toc13647"/>
      <w:bookmarkStart w:id="167" w:name="_Toc2933"/>
      <w:bookmarkStart w:id="168" w:name="_Toc18968"/>
      <w:bookmarkStart w:id="169" w:name="_Toc18290"/>
      <w:r>
        <w:rPr>
          <w:rFonts w:hint="eastAsia" w:asciiTheme="minorEastAsia" w:hAnsiTheme="minorEastAsia" w:eastAsiaTheme="minorEastAsia" w:cstheme="minorEastAsia"/>
          <w:b/>
          <w:bCs w:val="0"/>
          <w:color w:val="auto"/>
          <w:szCs w:val="28"/>
          <w:highlight w:val="none"/>
        </w:rPr>
        <w:t>二、磋商文件</w:t>
      </w:r>
      <w:bookmarkEnd w:id="161"/>
      <w:bookmarkEnd w:id="162"/>
      <w:bookmarkEnd w:id="163"/>
      <w:bookmarkEnd w:id="164"/>
      <w:bookmarkEnd w:id="165"/>
      <w:bookmarkEnd w:id="166"/>
      <w:bookmarkEnd w:id="167"/>
      <w:bookmarkEnd w:id="168"/>
      <w:bookmarkEnd w:id="169"/>
    </w:p>
    <w:p>
      <w:pPr>
        <w:pStyle w:val="5"/>
        <w:spacing w:line="360" w:lineRule="auto"/>
        <w:ind w:firstLine="420" w:firstLineChars="200"/>
        <w:rPr>
          <w:rFonts w:hint="eastAsia" w:asciiTheme="minorEastAsia" w:hAnsiTheme="minorEastAsia" w:eastAsiaTheme="minorEastAsia" w:cstheme="minorEastAsia"/>
          <w:color w:val="auto"/>
          <w:sz w:val="21"/>
          <w:szCs w:val="21"/>
          <w:highlight w:val="none"/>
          <w:lang w:val="pt-BR"/>
        </w:rPr>
      </w:pPr>
      <w:bookmarkStart w:id="170" w:name="_Toc18964"/>
      <w:bookmarkStart w:id="171" w:name="_Toc23298"/>
      <w:bookmarkStart w:id="172" w:name="_Toc15558"/>
      <w:bookmarkStart w:id="173" w:name="_Toc16130"/>
      <w:bookmarkStart w:id="174" w:name="_Toc24244"/>
      <w:bookmarkStart w:id="175" w:name="_Toc24469"/>
      <w:bookmarkStart w:id="176" w:name="_Toc26780"/>
      <w:bookmarkStart w:id="177" w:name="_Toc20523"/>
      <w:bookmarkStart w:id="178" w:name="_Toc14581"/>
      <w:r>
        <w:rPr>
          <w:rFonts w:hint="eastAsia" w:asciiTheme="minorEastAsia" w:hAnsiTheme="minorEastAsia" w:eastAsiaTheme="minorEastAsia" w:cstheme="minorEastAsia"/>
          <w:color w:val="auto"/>
          <w:sz w:val="21"/>
          <w:szCs w:val="21"/>
          <w:highlight w:val="none"/>
          <w:lang w:val="pt-BR"/>
        </w:rPr>
        <w:t xml:space="preserve">9. </w:t>
      </w:r>
      <w:r>
        <w:rPr>
          <w:rFonts w:hint="eastAsia" w:asciiTheme="minorEastAsia" w:hAnsiTheme="minorEastAsia" w:eastAsiaTheme="minorEastAsia" w:cstheme="minorEastAsia"/>
          <w:color w:val="auto"/>
          <w:sz w:val="21"/>
          <w:szCs w:val="21"/>
          <w:highlight w:val="none"/>
        </w:rPr>
        <w:t>磋商文件的构成</w:t>
      </w:r>
      <w:bookmarkEnd w:id="170"/>
      <w:bookmarkEnd w:id="171"/>
      <w:bookmarkEnd w:id="172"/>
      <w:bookmarkEnd w:id="173"/>
      <w:bookmarkEnd w:id="174"/>
      <w:bookmarkEnd w:id="175"/>
      <w:bookmarkEnd w:id="176"/>
      <w:bookmarkEnd w:id="177"/>
      <w:bookmarkEnd w:id="178"/>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（1）竞争性磋商公告；</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（2）供应商须知；</w:t>
      </w:r>
    </w:p>
    <w:p>
      <w:pPr>
        <w:spacing w:line="360" w:lineRule="auto"/>
        <w:ind w:firstLine="420"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（3）采购需求</w:t>
      </w:r>
      <w:r>
        <w:rPr>
          <w:rFonts w:hint="eastAsia" w:asciiTheme="minorEastAsia" w:hAnsiTheme="minorEastAsia" w:eastAsiaTheme="minorEastAsia" w:cstheme="minorEastAsia"/>
          <w:bCs/>
          <w:color w:val="auto"/>
          <w:szCs w:val="21"/>
          <w:highlight w:val="none"/>
        </w:rPr>
        <w:t>；</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（4）评审办法；</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（5）采购合同（合同主要条款及格式）；</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（6）响应文件（格式）。</w:t>
      </w:r>
    </w:p>
    <w:p>
      <w:pPr>
        <w:pStyle w:val="5"/>
        <w:spacing w:line="360" w:lineRule="auto"/>
        <w:ind w:firstLine="420" w:firstLineChars="200"/>
        <w:rPr>
          <w:rFonts w:hint="eastAsia" w:asciiTheme="minorEastAsia" w:hAnsiTheme="minorEastAsia" w:eastAsiaTheme="minorEastAsia" w:cstheme="minorEastAsia"/>
          <w:color w:val="auto"/>
          <w:sz w:val="21"/>
          <w:szCs w:val="21"/>
          <w:highlight w:val="none"/>
        </w:rPr>
      </w:pPr>
      <w:bookmarkStart w:id="179" w:name="_Toc16622"/>
      <w:bookmarkStart w:id="180" w:name="_Toc13947"/>
      <w:bookmarkStart w:id="181" w:name="_Toc1452"/>
      <w:bookmarkStart w:id="182" w:name="_Toc5415"/>
      <w:bookmarkStart w:id="183" w:name="_Toc11867"/>
      <w:bookmarkStart w:id="184" w:name="_Toc14609"/>
      <w:bookmarkStart w:id="185" w:name="_Toc9103"/>
      <w:bookmarkStart w:id="186" w:name="_Toc25960"/>
      <w:bookmarkStart w:id="187" w:name="_Toc17224"/>
      <w:r>
        <w:rPr>
          <w:rFonts w:hint="eastAsia" w:asciiTheme="minorEastAsia" w:hAnsiTheme="minorEastAsia" w:eastAsiaTheme="minorEastAsia" w:cstheme="minorEastAsia"/>
          <w:color w:val="auto"/>
          <w:sz w:val="21"/>
          <w:szCs w:val="21"/>
          <w:highlight w:val="none"/>
        </w:rPr>
        <w:t>10. 磋商文件的澄清与修改</w:t>
      </w:r>
      <w:bookmarkEnd w:id="179"/>
      <w:bookmarkEnd w:id="180"/>
      <w:bookmarkEnd w:id="181"/>
      <w:bookmarkEnd w:id="182"/>
      <w:bookmarkEnd w:id="183"/>
      <w:bookmarkEnd w:id="184"/>
      <w:bookmarkEnd w:id="185"/>
      <w:bookmarkEnd w:id="186"/>
      <w:bookmarkEnd w:id="187"/>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10.1 提交首次响应文件截止之日前，采购代理机构可以对已发出的磋商文件进行必要澄清、答复、修改或</w:t>
      </w:r>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补充，澄清或者修改的内容可能影响响应文件编制的，澄清或者修改的内容作为磋商文件的组成部分。采购代理机构应当在提交首次响应文件递交截止时间</w:t>
      </w:r>
      <w:r>
        <w:rPr>
          <w:rFonts w:hint="eastAsia" w:asciiTheme="minorEastAsia" w:hAnsiTheme="minorEastAsia" w:eastAsiaTheme="minorEastAsia" w:cstheme="minorEastAsia"/>
          <w:b/>
          <w:bCs/>
          <w:color w:val="auto"/>
          <w:szCs w:val="21"/>
          <w:highlight w:val="none"/>
        </w:rPr>
        <w:t>五日</w:t>
      </w:r>
      <w:r>
        <w:rPr>
          <w:rFonts w:hint="eastAsia" w:asciiTheme="minorEastAsia" w:hAnsiTheme="minorEastAsia" w:eastAsiaTheme="minorEastAsia" w:cstheme="minorEastAsia"/>
          <w:color w:val="auto"/>
          <w:szCs w:val="21"/>
          <w:highlight w:val="none"/>
        </w:rPr>
        <w:t>前在本项目竞争性磋商公告发布的同一媒体上发布更正公告，不足</w:t>
      </w:r>
      <w:r>
        <w:rPr>
          <w:rFonts w:hint="eastAsia" w:asciiTheme="minorEastAsia" w:hAnsiTheme="minorEastAsia" w:eastAsiaTheme="minorEastAsia" w:cstheme="minorEastAsia"/>
          <w:b/>
          <w:bCs/>
          <w:color w:val="auto"/>
          <w:szCs w:val="21"/>
          <w:highlight w:val="none"/>
        </w:rPr>
        <w:t>五日</w:t>
      </w:r>
      <w:r>
        <w:rPr>
          <w:rFonts w:hint="eastAsia" w:asciiTheme="minorEastAsia" w:hAnsiTheme="minorEastAsia" w:eastAsiaTheme="minorEastAsia" w:cstheme="minorEastAsia"/>
          <w:color w:val="auto"/>
          <w:szCs w:val="21"/>
          <w:highlight w:val="none"/>
        </w:rPr>
        <w:t>的，应当顺延首次响应文件递交截止时间。</w:t>
      </w:r>
    </w:p>
    <w:p>
      <w:pPr>
        <w:spacing w:line="360" w:lineRule="auto"/>
        <w:ind w:firstLine="420" w:firstLineChars="200"/>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10.2</w:t>
      </w:r>
      <w:r>
        <w:rPr>
          <w:rFonts w:hint="eastAsia" w:asciiTheme="minorEastAsia" w:hAnsiTheme="minorEastAsia" w:eastAsiaTheme="minorEastAsia" w:cstheme="minorEastAsia"/>
          <w:b/>
          <w:bCs/>
          <w:color w:val="auto"/>
          <w:szCs w:val="21"/>
          <w:highlight w:val="none"/>
        </w:rPr>
        <w:t>供应商应实时关注本项目信息公告发布媒体相关网站了解澄清、修改等与项目有关的内容，如因供应</w:t>
      </w:r>
    </w:p>
    <w:p>
      <w:pPr>
        <w:spacing w:line="360" w:lineRule="auto"/>
        <w:ind w:firstLine="420" w:firstLineChars="200"/>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商未及时登录相关网站了解澄清、修改等与项目有关的内容，从而导致响应文件无效的，由供应商自行承担责任。</w:t>
      </w:r>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10.3澄清或者修改的内容为磋商文件的组成部分。当澄清或者修改通知就同一内容的表述不一致时，以最</w:t>
      </w:r>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后发出的文件为准。</w:t>
      </w:r>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10.4 磋商文件的澄清或者修改都应该通过本项目采购代理机构以法定形式发布，采购人非通过本机构，不</w:t>
      </w:r>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得擅自澄清或者修改磋商文件。</w:t>
      </w:r>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10.5采购单位可以视采购具体情况，延长响应文件截止时间和磋商时间，在本项目竞争性磋商公告发布的</w:t>
      </w:r>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同一媒体上发布变更公告。</w:t>
      </w:r>
    </w:p>
    <w:p>
      <w:pPr>
        <w:pStyle w:val="33"/>
        <w:rPr>
          <w:rFonts w:hint="eastAsia" w:asciiTheme="minorEastAsia" w:hAnsiTheme="minorEastAsia" w:eastAsiaTheme="minorEastAsia" w:cstheme="minorEastAsia"/>
          <w:color w:val="auto"/>
          <w:highlight w:val="none"/>
        </w:rPr>
      </w:pPr>
    </w:p>
    <w:p>
      <w:pPr>
        <w:pStyle w:val="4"/>
        <w:jc w:val="center"/>
        <w:rPr>
          <w:rFonts w:hint="eastAsia" w:asciiTheme="minorEastAsia" w:hAnsiTheme="minorEastAsia" w:eastAsiaTheme="minorEastAsia" w:cstheme="minorEastAsia"/>
          <w:b/>
          <w:bCs w:val="0"/>
          <w:color w:val="auto"/>
          <w:szCs w:val="28"/>
          <w:highlight w:val="none"/>
        </w:rPr>
      </w:pPr>
      <w:bookmarkStart w:id="188" w:name="_Toc7437"/>
      <w:bookmarkStart w:id="189" w:name="_Toc20830"/>
      <w:bookmarkStart w:id="190" w:name="_Toc26342"/>
      <w:bookmarkStart w:id="191" w:name="_Toc16747"/>
      <w:bookmarkStart w:id="192" w:name="_Toc18472"/>
      <w:bookmarkStart w:id="193" w:name="_Toc3062"/>
      <w:bookmarkStart w:id="194" w:name="_Toc3218"/>
      <w:bookmarkStart w:id="195" w:name="_Toc22859"/>
      <w:bookmarkStart w:id="196" w:name="_Toc20641"/>
      <w:r>
        <w:rPr>
          <w:rFonts w:hint="eastAsia" w:asciiTheme="minorEastAsia" w:hAnsiTheme="minorEastAsia" w:eastAsiaTheme="minorEastAsia" w:cstheme="minorEastAsia"/>
          <w:b/>
          <w:bCs w:val="0"/>
          <w:color w:val="auto"/>
          <w:szCs w:val="28"/>
          <w:highlight w:val="none"/>
        </w:rPr>
        <w:t>三、竞争性磋商响应文件的编制</w:t>
      </w:r>
      <w:bookmarkEnd w:id="188"/>
      <w:bookmarkEnd w:id="189"/>
      <w:bookmarkEnd w:id="190"/>
      <w:bookmarkEnd w:id="191"/>
      <w:bookmarkEnd w:id="192"/>
      <w:bookmarkEnd w:id="193"/>
      <w:bookmarkEnd w:id="194"/>
      <w:bookmarkEnd w:id="195"/>
      <w:bookmarkEnd w:id="196"/>
    </w:p>
    <w:p>
      <w:pPr>
        <w:pStyle w:val="5"/>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bookmarkStart w:id="197" w:name="_Toc15560"/>
      <w:bookmarkStart w:id="198" w:name="_Toc25559"/>
      <w:bookmarkStart w:id="199" w:name="_Toc26575"/>
      <w:bookmarkStart w:id="200" w:name="_Toc772"/>
      <w:bookmarkStart w:id="201" w:name="_Toc21222"/>
      <w:bookmarkStart w:id="202" w:name="_Toc15096"/>
      <w:bookmarkStart w:id="203" w:name="_Toc1090"/>
      <w:bookmarkStart w:id="204" w:name="_Toc11777"/>
      <w:r>
        <w:rPr>
          <w:rFonts w:hint="eastAsia" w:asciiTheme="minorEastAsia" w:hAnsiTheme="minorEastAsia" w:eastAsiaTheme="minorEastAsia" w:cstheme="minorEastAsia"/>
          <w:color w:val="auto"/>
          <w:sz w:val="21"/>
          <w:szCs w:val="21"/>
          <w:highlight w:val="none"/>
        </w:rPr>
        <w:t>11.竞争性磋商响应文件编制基本要求</w:t>
      </w:r>
      <w:bookmarkEnd w:id="197"/>
      <w:bookmarkEnd w:id="198"/>
      <w:bookmarkEnd w:id="199"/>
      <w:bookmarkEnd w:id="200"/>
      <w:bookmarkEnd w:id="201"/>
      <w:bookmarkEnd w:id="202"/>
      <w:bookmarkEnd w:id="203"/>
      <w:bookmarkEnd w:id="204"/>
    </w:p>
    <w:p>
      <w:pPr>
        <w:spacing w:line="360" w:lineRule="auto"/>
        <w:ind w:firstLine="420" w:firstLineChars="200"/>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11.1 本项目实行电子投标，供应商应准备电子磋商响应文件：</w:t>
      </w:r>
    </w:p>
    <w:p>
      <w:pPr>
        <w:spacing w:line="360" w:lineRule="auto"/>
        <w:ind w:firstLine="420" w:firstLineChars="200"/>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 xml:space="preserve">11.1.1 电子响应文件按广西政府采购云平台要求及本磋商文件要求制作、加密并递交。具体操作流程可参考《政府采购项目电子交易管理操作指南-供应商》，指南可在 “广西政府采购云平台”下载。 </w:t>
      </w:r>
    </w:p>
    <w:p>
      <w:pPr>
        <w:spacing w:line="360" w:lineRule="auto"/>
        <w:ind w:firstLine="420" w:firstLineChars="200"/>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11.2竞争性磋商响应文件（以下简称响应文件）的组成及要求</w:t>
      </w:r>
    </w:p>
    <w:p>
      <w:pPr>
        <w:spacing w:line="360" w:lineRule="auto"/>
        <w:ind w:firstLine="420" w:firstLineChars="200"/>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11.2.1响应文件组成【格式见第六章“响应文件（格式）”】</w:t>
      </w:r>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11.2.1.1资格性响应证明材料：</w:t>
      </w:r>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（1）供应商相应的法定代表人、负责人、自然人身份证正反两面扫描件</w:t>
      </w:r>
      <w:r>
        <w:rPr>
          <w:rFonts w:hint="eastAsia" w:asciiTheme="minorEastAsia" w:hAnsiTheme="minorEastAsia" w:eastAsiaTheme="minorEastAsia" w:cstheme="minorEastAsia"/>
          <w:b/>
          <w:bCs/>
          <w:color w:val="auto"/>
          <w:szCs w:val="21"/>
          <w:highlight w:val="none"/>
        </w:rPr>
        <w:t>（必须提供）</w:t>
      </w:r>
      <w:r>
        <w:rPr>
          <w:rFonts w:hint="eastAsia" w:asciiTheme="minorEastAsia" w:hAnsiTheme="minorEastAsia" w:eastAsiaTheme="minorEastAsia" w:cstheme="minorEastAsia"/>
          <w:color w:val="auto"/>
          <w:szCs w:val="21"/>
          <w:highlight w:val="none"/>
        </w:rPr>
        <w:t>；</w:t>
      </w:r>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的授权委托书原件、委托代理人身份证正反面扫描件以及由县级以上（含县级）社会养老保险经办机构出具的供应商为委托代理人交纳的响应文件递交截止时间前三个月内任意一个月养老保险证明扫描件，除供应商为以下四种情形的：</w:t>
      </w:r>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①如供应商为截标时间前60日以内成立的公司，可以提供供应商与委托代理人签订的劳动合同扫描件代替养老保险证明扫描件；</w:t>
      </w:r>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②如供应商为事业单位，可以提供事业单位机构编制管理证扫描件或事业单位机构为其发放工资的工资条扫描件代替养老保险证明扫描件；</w:t>
      </w:r>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③如委托代理人为免缴纳养老保险人员，提供免缴纳养老保险的证明材料扫描件及供应商与委托代理人签订的劳动合同扫描件代替养老保险证明扫描件；</w:t>
      </w:r>
    </w:p>
    <w:p>
      <w:pPr>
        <w:spacing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pPr>
        <w:spacing w:line="360" w:lineRule="auto"/>
        <w:ind w:firstLine="420" w:firstLineChars="200"/>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属自然人的应提供由县级以上（含县级）社会养老保险经办机构出具的自然人本人及委托代理人所交纳的响应文件递交截止时间前三个月内任意一个月养老保险证明扫描件，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bCs/>
          <w:color w:val="auto"/>
          <w:szCs w:val="21"/>
          <w:highlight w:val="none"/>
        </w:rPr>
        <w:t>（委托代理时必须提供；如为联合体的，授权委托书原件须由牵头人出具）</w:t>
      </w:r>
    </w:p>
    <w:p>
      <w:pPr>
        <w:numPr>
          <w:ilvl w:val="255"/>
          <w:numId w:val="0"/>
        </w:numPr>
        <w:spacing w:line="360" w:lineRule="auto"/>
        <w:ind w:firstLine="210" w:firstLineChars="1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（3）供应商参加政府采购活动前3年内在经营活动中没有重大违法记录及有关信用信息的书面声明或专项信用报告</w:t>
      </w:r>
      <w:r>
        <w:rPr>
          <w:rFonts w:hint="eastAsia" w:asciiTheme="minorEastAsia" w:hAnsiTheme="minorEastAsia" w:eastAsiaTheme="minorEastAsia" w:cstheme="minorEastAsia"/>
          <w:b/>
          <w:bCs/>
          <w:color w:val="auto"/>
          <w:szCs w:val="21"/>
          <w:highlight w:val="none"/>
        </w:rPr>
        <w:t>（必须提供）；</w:t>
      </w:r>
    </w:p>
    <w:p>
      <w:pPr>
        <w:pStyle w:val="11"/>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注：供应商为广西经营主体的，可通过信用中国(广西)网站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供应商根据注册地信用中国网站的要求获取。</w:t>
      </w:r>
    </w:p>
    <w:p>
      <w:pPr>
        <w:numPr>
          <w:ilvl w:val="0"/>
          <w:numId w:val="4"/>
        </w:num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供应商的法人或者其他组织营业执照等证明文件扫描件</w:t>
      </w:r>
      <w:r>
        <w:rPr>
          <w:rFonts w:hint="eastAsia" w:asciiTheme="minorEastAsia" w:hAnsiTheme="minorEastAsia" w:eastAsiaTheme="minorEastAsia" w:cstheme="minorEastAsia"/>
          <w:b/>
          <w:bCs/>
          <w:color w:val="auto"/>
          <w:szCs w:val="21"/>
          <w:highlight w:val="none"/>
        </w:rPr>
        <w:t>（必须提供，自然人除外）；</w:t>
      </w:r>
    </w:p>
    <w:p>
      <w:pPr>
        <w:tabs>
          <w:tab w:val="left" w:pos="1305"/>
        </w:tabs>
        <w:spacing w:line="400" w:lineRule="exact"/>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b/>
          <w:color w:val="auto"/>
          <w:szCs w:val="21"/>
          <w:highlight w:val="none"/>
        </w:rPr>
        <w:t>注：供应商为企业（包括合伙企业），应提供市场监管部门（登记机关）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r>
        <w:rPr>
          <w:rFonts w:hint="eastAsia" w:asciiTheme="minorEastAsia" w:hAnsiTheme="minorEastAsia" w:eastAsiaTheme="minorEastAsia" w:cstheme="minorEastAsia"/>
          <w:b/>
          <w:bCs/>
          <w:color w:val="auto"/>
          <w:szCs w:val="21"/>
          <w:highlight w:val="none"/>
        </w:rPr>
        <w:t>分支机构或分公司投标时，需提供具有法人资格的总公司的营业执照扫描件及授权书，授权书须加盖总公司的公章。总公司可就本项目在一定范围及时间内出具授权书。已由总公司授权的，总公司取得的相关资质证书对分支机构或分公司有效。</w:t>
      </w:r>
      <w:r>
        <w:rPr>
          <w:rFonts w:hint="eastAsia" w:asciiTheme="minorEastAsia" w:hAnsiTheme="minorEastAsia" w:eastAsiaTheme="minorEastAsia" w:cstheme="minorEastAsia"/>
          <w:b/>
          <w:color w:val="auto"/>
          <w:szCs w:val="21"/>
          <w:highlight w:val="none"/>
        </w:rPr>
        <w:t>（所需材料均为扫描件）</w:t>
      </w:r>
    </w:p>
    <w:p>
      <w:pPr>
        <w:numPr>
          <w:ilvl w:val="0"/>
          <w:numId w:val="4"/>
        </w:numPr>
        <w:spacing w:line="360" w:lineRule="auto"/>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财务状况报告</w:t>
      </w:r>
      <w:r>
        <w:rPr>
          <w:rFonts w:hint="eastAsia" w:asciiTheme="minorEastAsia" w:hAnsiTheme="minorEastAsia" w:eastAsiaTheme="minorEastAsia" w:cstheme="minorEastAsia"/>
          <w:b/>
          <w:bCs/>
          <w:color w:val="auto"/>
          <w:szCs w:val="21"/>
          <w:highlight w:val="none"/>
        </w:rPr>
        <w:t>（格式自拟，必须提供）</w:t>
      </w:r>
      <w:r>
        <w:rPr>
          <w:rFonts w:hint="eastAsia" w:asciiTheme="minorEastAsia" w:hAnsiTheme="minorEastAsia" w:eastAsiaTheme="minorEastAsia" w:cstheme="minorEastAsia"/>
          <w:color w:val="auto"/>
          <w:szCs w:val="21"/>
          <w:highlight w:val="none"/>
        </w:rPr>
        <w:t>；</w:t>
      </w:r>
    </w:p>
    <w:p>
      <w:pPr>
        <w:numPr>
          <w:ilvl w:val="0"/>
          <w:numId w:val="4"/>
        </w:numPr>
        <w:spacing w:line="360" w:lineRule="auto"/>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供应商在磋商当天前近半年内任意一个月或任一季度依法缴纳税收的证明材料【增值税发票(税收完税证明)或企业所得税完税证明或税务部门出具的免税证明或税务部门出具的无欠税证明】扫描件</w:t>
      </w:r>
      <w:r>
        <w:rPr>
          <w:rFonts w:hint="eastAsia" w:asciiTheme="minorEastAsia" w:hAnsiTheme="minorEastAsia" w:eastAsiaTheme="minorEastAsia" w:cstheme="minorEastAsia"/>
          <w:b/>
          <w:bCs/>
          <w:color w:val="auto"/>
          <w:szCs w:val="21"/>
          <w:highlight w:val="none"/>
        </w:rPr>
        <w:t>（必须提供）。</w:t>
      </w:r>
    </w:p>
    <w:p>
      <w:pPr>
        <w:pStyle w:val="23"/>
        <w:ind w:left="0" w:leftChars="0" w:firstLine="422"/>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Cs w:val="21"/>
          <w:highlight w:val="none"/>
        </w:rPr>
        <w:t>11.2.1.2符合性响应证明材料：</w:t>
      </w:r>
    </w:p>
    <w:p>
      <w:pPr>
        <w:ind w:firstLine="420" w:firstLineChars="200"/>
        <w:jc w:val="left"/>
        <w:rPr>
          <w:rFonts w:hint="eastAsia" w:asciiTheme="minorEastAsia" w:hAnsiTheme="minorEastAsia" w:eastAsiaTheme="minorEastAsia" w:cstheme="minorEastAsia"/>
          <w:color w:val="auto"/>
          <w:szCs w:val="21"/>
          <w:highlight w:val="none"/>
        </w:rPr>
      </w:pPr>
      <w:bookmarkStart w:id="205" w:name="_Toc16312"/>
      <w:bookmarkStart w:id="206" w:name="_Toc294"/>
      <w:bookmarkStart w:id="207" w:name="_Toc2809"/>
      <w:bookmarkStart w:id="208" w:name="_Toc28932"/>
      <w:r>
        <w:rPr>
          <w:rFonts w:hint="eastAsia" w:asciiTheme="minorEastAsia" w:hAnsiTheme="minorEastAsia" w:eastAsiaTheme="minorEastAsia" w:cstheme="minorEastAsia"/>
          <w:color w:val="auto"/>
          <w:szCs w:val="21"/>
          <w:highlight w:val="none"/>
        </w:rPr>
        <w:t>（1）响应函（格式见附件）</w:t>
      </w:r>
      <w:r>
        <w:rPr>
          <w:rFonts w:hint="eastAsia" w:asciiTheme="minorEastAsia" w:hAnsiTheme="minorEastAsia" w:eastAsiaTheme="minorEastAsia" w:cstheme="minorEastAsia"/>
          <w:b/>
          <w:bCs/>
          <w:color w:val="auto"/>
          <w:szCs w:val="21"/>
          <w:highlight w:val="none"/>
        </w:rPr>
        <w:t>（必须提供）</w:t>
      </w:r>
      <w:bookmarkEnd w:id="205"/>
      <w:r>
        <w:rPr>
          <w:rFonts w:hint="eastAsia" w:asciiTheme="minorEastAsia" w:hAnsiTheme="minorEastAsia" w:eastAsiaTheme="minorEastAsia" w:cstheme="minorEastAsia"/>
          <w:b/>
          <w:bCs/>
          <w:color w:val="auto"/>
          <w:szCs w:val="21"/>
          <w:highlight w:val="none"/>
        </w:rPr>
        <w:t>；</w:t>
      </w:r>
      <w:bookmarkEnd w:id="206"/>
      <w:bookmarkEnd w:id="207"/>
      <w:bookmarkEnd w:id="208"/>
    </w:p>
    <w:p>
      <w:pPr>
        <w:spacing w:line="360" w:lineRule="auto"/>
        <w:ind w:firstLine="420" w:firstLineChars="200"/>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（2）磋商报价表（格式见附件）</w:t>
      </w:r>
      <w:r>
        <w:rPr>
          <w:rFonts w:hint="eastAsia" w:asciiTheme="minorEastAsia" w:hAnsiTheme="minorEastAsia" w:eastAsiaTheme="minorEastAsia" w:cstheme="minorEastAsia"/>
          <w:b/>
          <w:bCs/>
          <w:color w:val="auto"/>
          <w:szCs w:val="21"/>
          <w:highlight w:val="none"/>
        </w:rPr>
        <w:t>（必须提供）；</w:t>
      </w:r>
    </w:p>
    <w:p>
      <w:pPr>
        <w:tabs>
          <w:tab w:val="left" w:pos="1305"/>
        </w:tabs>
        <w:spacing w:line="3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（3）服务响应表</w:t>
      </w:r>
      <w:r>
        <w:rPr>
          <w:rFonts w:hint="eastAsia" w:asciiTheme="minorEastAsia" w:hAnsiTheme="minorEastAsia" w:eastAsiaTheme="minorEastAsia" w:cstheme="minorEastAsia"/>
          <w:b/>
          <w:bCs/>
          <w:color w:val="auto"/>
          <w:szCs w:val="21"/>
          <w:highlight w:val="none"/>
        </w:rPr>
        <w:t>（格式见附件）（必须提供）</w:t>
      </w:r>
      <w:r>
        <w:rPr>
          <w:rFonts w:hint="eastAsia" w:asciiTheme="minorEastAsia" w:hAnsiTheme="minorEastAsia" w:eastAsiaTheme="minorEastAsia" w:cstheme="minorEastAsia"/>
          <w:bCs/>
          <w:color w:val="auto"/>
          <w:szCs w:val="21"/>
          <w:highlight w:val="none"/>
        </w:rPr>
        <w:t>；</w:t>
      </w:r>
    </w:p>
    <w:p>
      <w:pPr>
        <w:tabs>
          <w:tab w:val="left" w:pos="1305"/>
        </w:tabs>
        <w:spacing w:line="3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（4）商务响应表</w:t>
      </w:r>
      <w:r>
        <w:rPr>
          <w:rFonts w:hint="eastAsia" w:asciiTheme="minorEastAsia" w:hAnsiTheme="minorEastAsia" w:eastAsiaTheme="minorEastAsia" w:cstheme="minorEastAsia"/>
          <w:b/>
          <w:bCs/>
          <w:color w:val="auto"/>
          <w:szCs w:val="21"/>
          <w:highlight w:val="none"/>
        </w:rPr>
        <w:t>（格式见附件）（必须提供）</w:t>
      </w:r>
      <w:r>
        <w:rPr>
          <w:rFonts w:hint="eastAsia" w:asciiTheme="minorEastAsia" w:hAnsiTheme="minorEastAsia" w:eastAsiaTheme="minorEastAsia" w:cstheme="minorEastAsia"/>
          <w:bCs/>
          <w:color w:val="auto"/>
          <w:szCs w:val="21"/>
          <w:highlight w:val="none"/>
        </w:rPr>
        <w:t>；</w:t>
      </w:r>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（5）服务承诺书（由供应商根据本项目采购需求、特点及供应商自身的处理能力自行编写，承诺书内容至少应包括“采购需求”中的所有服务条款）（格式见附件）</w:t>
      </w:r>
      <w:r>
        <w:rPr>
          <w:rFonts w:hint="eastAsia" w:asciiTheme="minorEastAsia" w:hAnsiTheme="minorEastAsia" w:eastAsiaTheme="minorEastAsia" w:cstheme="minorEastAsia"/>
          <w:b/>
          <w:bCs/>
          <w:color w:val="auto"/>
          <w:szCs w:val="21"/>
          <w:highlight w:val="none"/>
        </w:rPr>
        <w:t>（必须提供）；</w:t>
      </w:r>
    </w:p>
    <w:p>
      <w:pPr>
        <w:spacing w:line="360" w:lineRule="auto"/>
        <w:ind w:firstLine="420" w:firstLineChars="200"/>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（6）针对本项目的服务方案，含“信创云搬迁实施方案”、“机房配套设施改造方案”、“信创云运维方案”。（格式见附件）（必须提供）。</w:t>
      </w:r>
    </w:p>
    <w:p>
      <w:pPr>
        <w:pStyle w:val="23"/>
        <w:ind w:left="0" w:leftChars="0" w:firstLine="422"/>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11.2.1.3其他有效证明材料</w:t>
      </w:r>
    </w:p>
    <w:p>
      <w:pPr>
        <w:spacing w:line="360" w:lineRule="auto"/>
        <w:ind w:firstLine="420" w:firstLineChars="200"/>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（1）项目实施人员一览表（格式见附件）</w:t>
      </w:r>
      <w:r>
        <w:rPr>
          <w:rFonts w:hint="eastAsia" w:asciiTheme="minorEastAsia" w:hAnsiTheme="minorEastAsia" w:eastAsiaTheme="minorEastAsia" w:cstheme="minorEastAsia"/>
          <w:b/>
          <w:bCs/>
          <w:color w:val="auto"/>
          <w:szCs w:val="21"/>
          <w:highlight w:val="none"/>
        </w:rPr>
        <w:t>（如有，请提供）；</w:t>
      </w:r>
    </w:p>
    <w:p>
      <w:pPr>
        <w:spacing w:line="360" w:lineRule="auto"/>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（2）“采购需求”需提供的有效证明文件</w:t>
      </w:r>
      <w:r>
        <w:rPr>
          <w:rFonts w:hint="eastAsia" w:asciiTheme="minorEastAsia" w:hAnsiTheme="minorEastAsia" w:eastAsiaTheme="minorEastAsia" w:cstheme="minorEastAsia"/>
          <w:b/>
          <w:bCs/>
          <w:color w:val="auto"/>
          <w:szCs w:val="21"/>
          <w:highlight w:val="none"/>
        </w:rPr>
        <w:t>（如有，请提供）；</w:t>
      </w:r>
    </w:p>
    <w:p>
      <w:pPr>
        <w:tabs>
          <w:tab w:val="left" w:pos="1305"/>
        </w:tabs>
        <w:spacing w:line="400" w:lineRule="exact"/>
        <w:ind w:firstLine="420"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（3）供应商自2023年1月1日以来同类业绩的相关证明材料（以中标、成交通知书或签订的采购合同扫描件为准，并能清晰反映所提供的服务类型、种类、金额）</w:t>
      </w:r>
      <w:r>
        <w:rPr>
          <w:rFonts w:hint="eastAsia" w:asciiTheme="minorEastAsia" w:hAnsiTheme="minorEastAsia" w:eastAsiaTheme="minorEastAsia" w:cstheme="minorEastAsia"/>
          <w:b/>
          <w:bCs/>
          <w:color w:val="auto"/>
          <w:szCs w:val="21"/>
          <w:highlight w:val="none"/>
        </w:rPr>
        <w:t>（如有，请提供）；</w:t>
      </w:r>
    </w:p>
    <w:p>
      <w:pPr>
        <w:spacing w:line="360" w:lineRule="auto"/>
        <w:ind w:firstLine="420" w:firstLineChars="200"/>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（4）供应商可结合本项目的评审办法视自身情况自行提交其它相关证明材料</w:t>
      </w:r>
      <w:r>
        <w:rPr>
          <w:rFonts w:hint="eastAsia" w:asciiTheme="minorEastAsia" w:hAnsiTheme="minorEastAsia" w:eastAsiaTheme="minorEastAsia" w:cstheme="minorEastAsia"/>
          <w:b/>
          <w:bCs/>
          <w:color w:val="auto"/>
          <w:szCs w:val="21"/>
          <w:highlight w:val="none"/>
        </w:rPr>
        <w:t>（如有，请提供）；</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（5）《中小企业声明函》（见附件）</w:t>
      </w:r>
      <w:r>
        <w:rPr>
          <w:rFonts w:hint="eastAsia" w:asciiTheme="minorEastAsia" w:hAnsiTheme="minorEastAsia" w:eastAsiaTheme="minorEastAsia" w:cstheme="minorEastAsia"/>
          <w:b/>
          <w:bCs/>
          <w:color w:val="auto"/>
          <w:szCs w:val="21"/>
          <w:highlight w:val="none"/>
        </w:rPr>
        <w:t>（除监狱企业及残疾人福利性单位外，如有，请提供）；</w:t>
      </w:r>
    </w:p>
    <w:p>
      <w:pPr>
        <w:spacing w:line="360" w:lineRule="auto"/>
        <w:ind w:firstLine="420"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（6）如提供服务的供应商属于监狱企业的，应当提供由省级以上监狱管理局、戒毒管理局等（含新疆生产建设兵团）出具的属于监狱企业的证明文件, 否则不予享受优惠政策</w:t>
      </w:r>
      <w:r>
        <w:rPr>
          <w:rFonts w:hint="eastAsia" w:asciiTheme="minorEastAsia" w:hAnsiTheme="minorEastAsia" w:eastAsiaTheme="minorEastAsia" w:cstheme="minorEastAsia"/>
          <w:b/>
          <w:bCs/>
          <w:color w:val="auto"/>
          <w:szCs w:val="21"/>
          <w:highlight w:val="none"/>
        </w:rPr>
        <w:t>（如供应商属于监狱企业的，如有，请提供）；</w:t>
      </w:r>
    </w:p>
    <w:p>
      <w:pPr>
        <w:spacing w:line="360" w:lineRule="auto"/>
        <w:ind w:firstLine="420"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（7）符合条件的残疾人福利性单位在参加政府采购活动时，应当提供《残疾人福利性单位声明函》（见附件），并对声明的真实性负责；</w:t>
      </w:r>
      <w:r>
        <w:rPr>
          <w:rFonts w:hint="eastAsia" w:asciiTheme="minorEastAsia" w:hAnsiTheme="minorEastAsia" w:eastAsiaTheme="minorEastAsia" w:cstheme="minorEastAsia"/>
          <w:b/>
          <w:bCs/>
          <w:color w:val="auto"/>
          <w:szCs w:val="21"/>
          <w:highlight w:val="none"/>
        </w:rPr>
        <w:t>（如供应商属于残疾人福利性单位的，如有，请提供）。</w:t>
      </w:r>
    </w:p>
    <w:p>
      <w:pPr>
        <w:spacing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供应商</w:t>
      </w:r>
      <w:r>
        <w:rPr>
          <w:rFonts w:hint="eastAsia" w:asciiTheme="minorEastAsia" w:hAnsiTheme="minorEastAsia" w:eastAsiaTheme="minorEastAsia" w:cstheme="minorEastAsia"/>
          <w:b/>
          <w:bCs/>
          <w:color w:val="auto"/>
          <w:highlight w:val="none"/>
        </w:rPr>
        <w:t>提供的以上相关证明材料属于“必须提供”的文件应加盖磋商供应商公章（CA签章）/自然人签字或个人CA签章，否则响应无效。</w:t>
      </w:r>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11.3 供应商应按竞争性磋商文件第六章“响应文件（格式）”编制响应文件。</w:t>
      </w:r>
    </w:p>
    <w:p>
      <w:pPr>
        <w:spacing w:line="360" w:lineRule="exact"/>
        <w:ind w:firstLine="420" w:firstLineChars="200"/>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特别说明：</w:t>
      </w:r>
    </w:p>
    <w:p>
      <w:pPr>
        <w:spacing w:line="360" w:lineRule="exact"/>
        <w:ind w:firstLine="420" w:firstLineChars="200"/>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bCs/>
          <w:color w:val="auto"/>
          <w:szCs w:val="21"/>
          <w:highlight w:val="none"/>
        </w:rPr>
        <w:t>（1）响</w:t>
      </w:r>
      <w:r>
        <w:rPr>
          <w:rFonts w:hint="eastAsia" w:asciiTheme="minorEastAsia" w:hAnsiTheme="minorEastAsia" w:eastAsiaTheme="minorEastAsia" w:cstheme="minorEastAsia"/>
          <w:b/>
          <w:color w:val="auto"/>
          <w:szCs w:val="21"/>
          <w:highlight w:val="none"/>
        </w:rPr>
        <w:t>应文件（电子响应文件），其中电子响应文件中所须加盖公章部分均采用CA签章。若磋商文件中有专门标注的某关联点，并要求供应商在电子投标系统中作出磋商响应的，如供应商未对关联点进行响应或者在响应文件其它内容进行描述，造成电子评审不能查询的责任由供应商自行承担。</w:t>
      </w:r>
    </w:p>
    <w:p>
      <w:pPr>
        <w:numPr>
          <w:ilvl w:val="0"/>
          <w:numId w:val="5"/>
        </w:numPr>
        <w:spacing w:line="360" w:lineRule="exact"/>
        <w:ind w:firstLine="420" w:firstLineChars="200"/>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bCs/>
          <w:color w:val="auto"/>
          <w:szCs w:val="21"/>
          <w:highlight w:val="none"/>
        </w:rPr>
        <w:t>磋商文件要求法定代表人（负责人）或委托代理人签字的部分必须签字然后扫描或者拍照做成 pdf 格式上传（或加盖个人CA签章），无签字的视为响应无效。</w:t>
      </w:r>
    </w:p>
    <w:p>
      <w:pPr>
        <w:pStyle w:val="5"/>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bookmarkStart w:id="209" w:name="_Toc13440"/>
      <w:bookmarkStart w:id="210" w:name="_Toc31718"/>
      <w:bookmarkStart w:id="211" w:name="_Toc2180"/>
      <w:bookmarkStart w:id="212" w:name="_Toc714"/>
      <w:bookmarkStart w:id="213" w:name="_Toc3148"/>
      <w:bookmarkStart w:id="214" w:name="_Toc14873"/>
      <w:bookmarkStart w:id="215" w:name="_Toc6845"/>
      <w:bookmarkStart w:id="216" w:name="_Toc6200"/>
      <w:bookmarkStart w:id="217" w:name="_Toc14945"/>
      <w:r>
        <w:rPr>
          <w:rFonts w:hint="eastAsia" w:asciiTheme="minorEastAsia" w:hAnsiTheme="minorEastAsia" w:eastAsiaTheme="minorEastAsia" w:cstheme="minorEastAsia"/>
          <w:color w:val="auto"/>
          <w:sz w:val="21"/>
          <w:szCs w:val="21"/>
          <w:highlight w:val="none"/>
        </w:rPr>
        <w:t>12. 响应文件的语言及计量</w:t>
      </w:r>
      <w:bookmarkEnd w:id="209"/>
      <w:bookmarkEnd w:id="210"/>
      <w:bookmarkEnd w:id="211"/>
      <w:bookmarkEnd w:id="212"/>
      <w:bookmarkEnd w:id="213"/>
      <w:bookmarkEnd w:id="214"/>
      <w:bookmarkEnd w:id="215"/>
      <w:bookmarkEnd w:id="216"/>
      <w:bookmarkEnd w:id="217"/>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12.2 磋商计量单位，磋商文件已有明确规定的，使用磋商文件规定的计量单位；磋商文件没有规定的，应采用中华人民共和国法定计量单位（货币单位：人民币元），否则视同未响应。</w:t>
      </w:r>
    </w:p>
    <w:p>
      <w:pPr>
        <w:pStyle w:val="5"/>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bookmarkStart w:id="218" w:name="_Toc30930"/>
      <w:bookmarkStart w:id="219" w:name="_Toc25878"/>
      <w:bookmarkStart w:id="220" w:name="_Toc13385"/>
      <w:bookmarkStart w:id="221" w:name="_Toc31546"/>
      <w:bookmarkStart w:id="222" w:name="_Toc10838"/>
      <w:bookmarkStart w:id="223" w:name="_Toc31582"/>
      <w:bookmarkStart w:id="224" w:name="_Toc31576"/>
      <w:bookmarkStart w:id="225" w:name="_Toc27987"/>
      <w:bookmarkStart w:id="226" w:name="_Toc22465"/>
      <w:r>
        <w:rPr>
          <w:rFonts w:hint="eastAsia" w:asciiTheme="minorEastAsia" w:hAnsiTheme="minorEastAsia" w:eastAsiaTheme="minorEastAsia" w:cstheme="minorEastAsia"/>
          <w:color w:val="auto"/>
          <w:sz w:val="21"/>
          <w:szCs w:val="21"/>
          <w:highlight w:val="none"/>
        </w:rPr>
        <w:t>13. 磋商报价及采购预算金额</w:t>
      </w:r>
      <w:bookmarkEnd w:id="218"/>
      <w:bookmarkEnd w:id="219"/>
      <w:bookmarkEnd w:id="220"/>
      <w:bookmarkEnd w:id="221"/>
      <w:bookmarkEnd w:id="222"/>
      <w:bookmarkEnd w:id="223"/>
      <w:bookmarkEnd w:id="224"/>
      <w:bookmarkEnd w:id="225"/>
      <w:bookmarkEnd w:id="226"/>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13.1 磋商报价应按磋商文件中相关附表格式填写。采购预算金额（人民币）：</w:t>
      </w:r>
      <w:r>
        <w:rPr>
          <w:rFonts w:hint="eastAsia" w:asciiTheme="minorEastAsia" w:hAnsiTheme="minorEastAsia" w:eastAsiaTheme="minorEastAsia" w:cstheme="minorEastAsia"/>
          <w:b/>
          <w:bCs/>
          <w:color w:val="auto"/>
          <w:szCs w:val="21"/>
          <w:highlight w:val="none"/>
        </w:rPr>
        <w:t>人民币壹佰贰拾伍万壹仟柒佰元整（¥1251700.00元）。</w:t>
      </w:r>
      <w:r>
        <w:rPr>
          <w:rFonts w:hint="eastAsia" w:asciiTheme="minorEastAsia" w:hAnsiTheme="minorEastAsia" w:eastAsiaTheme="minorEastAsia" w:cstheme="minorEastAsia"/>
          <w:color w:val="auto"/>
          <w:szCs w:val="21"/>
          <w:highlight w:val="none"/>
        </w:rPr>
        <w:t>报价超过</w:t>
      </w:r>
      <w:r>
        <w:rPr>
          <w:rFonts w:hint="eastAsia" w:asciiTheme="minorEastAsia" w:hAnsiTheme="minorEastAsia" w:eastAsiaTheme="minorEastAsia" w:cstheme="minorEastAsia"/>
          <w:color w:val="auto"/>
          <w:kern w:val="0"/>
          <w:szCs w:val="21"/>
          <w:highlight w:val="none"/>
          <w:lang w:eastAsia="zh-CN"/>
        </w:rPr>
        <w:t>采购预算</w:t>
      </w:r>
      <w:r>
        <w:rPr>
          <w:rFonts w:hint="eastAsia" w:asciiTheme="minorEastAsia" w:hAnsiTheme="minorEastAsia" w:eastAsiaTheme="minorEastAsia" w:cstheme="minorEastAsia"/>
          <w:color w:val="auto"/>
          <w:szCs w:val="21"/>
          <w:highlight w:val="none"/>
        </w:rPr>
        <w:t>金额的，响应文件按无效处理。</w:t>
      </w:r>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13.2供应商必须就“采购需求”中所竞所有内容作完整唯一报价，否则，其响应文件无效。响应文件只允许有一个报价，有选择的或有条件的报价将不予接受。</w:t>
      </w:r>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13.3 磋商报价应包括本次采购范围内所有成本费用的总和；供应商综合考虑在报价中。</w:t>
      </w:r>
    </w:p>
    <w:p>
      <w:pPr>
        <w:spacing w:line="360" w:lineRule="auto"/>
        <w:ind w:firstLine="420" w:firstLineChars="200"/>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13.4供应商应在规定时间内在广西政府采购云平台系统上提交最后报价，超出评委设定的最后报价时限或其最后报价超出采购预算导致已通过评审的响应文件无效的，按供应商在提交响应文件截止时间后撤回响应文件处理。</w:t>
      </w:r>
    </w:p>
    <w:p>
      <w:pPr>
        <w:pStyle w:val="5"/>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bookmarkStart w:id="227" w:name="_Toc3662"/>
      <w:bookmarkStart w:id="228" w:name="_Toc26881"/>
      <w:bookmarkStart w:id="229" w:name="_Toc31270"/>
      <w:bookmarkStart w:id="230" w:name="_Toc10782"/>
      <w:bookmarkStart w:id="231" w:name="_Toc9708"/>
      <w:bookmarkStart w:id="232" w:name="_Toc2608"/>
      <w:bookmarkStart w:id="233" w:name="_Toc23597"/>
      <w:bookmarkStart w:id="234" w:name="_Toc27015"/>
      <w:bookmarkStart w:id="235" w:name="_Toc4210"/>
      <w:r>
        <w:rPr>
          <w:rFonts w:hint="eastAsia" w:asciiTheme="minorEastAsia" w:hAnsiTheme="minorEastAsia" w:eastAsiaTheme="minorEastAsia" w:cstheme="minorEastAsia"/>
          <w:color w:val="auto"/>
          <w:sz w:val="21"/>
          <w:szCs w:val="21"/>
          <w:highlight w:val="none"/>
        </w:rPr>
        <w:t>14. 响应文件有效期</w:t>
      </w:r>
      <w:bookmarkEnd w:id="227"/>
      <w:bookmarkEnd w:id="228"/>
      <w:bookmarkEnd w:id="229"/>
      <w:bookmarkEnd w:id="230"/>
      <w:bookmarkEnd w:id="231"/>
      <w:bookmarkEnd w:id="232"/>
      <w:bookmarkEnd w:id="233"/>
      <w:bookmarkEnd w:id="234"/>
      <w:bookmarkEnd w:id="235"/>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14.1 响应文件有效期：响应文件递交截止时间之日起90天，有效期不足的响应文件将被拒绝。</w:t>
      </w:r>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14.2 出现特殊情况下，需要延长响应文件有效期的，采购代理机构通知供应商延长响应文件有效期。供应商同意延长的，但不能修改响应文件。供应商拒绝延长的，其响应文件无效。</w:t>
      </w:r>
    </w:p>
    <w:p>
      <w:pPr>
        <w:pStyle w:val="5"/>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bookmarkStart w:id="236" w:name="_Toc872"/>
      <w:bookmarkStart w:id="237" w:name="_Toc22805"/>
      <w:bookmarkStart w:id="238" w:name="_Toc18771"/>
      <w:bookmarkStart w:id="239" w:name="_Toc24706"/>
      <w:bookmarkStart w:id="240" w:name="_Toc444"/>
      <w:bookmarkStart w:id="241" w:name="_Toc7565"/>
      <w:bookmarkStart w:id="242" w:name="_Toc12696"/>
      <w:bookmarkStart w:id="243" w:name="_Toc17703"/>
      <w:bookmarkStart w:id="244" w:name="_Toc22602"/>
      <w:r>
        <w:rPr>
          <w:rFonts w:hint="eastAsia" w:asciiTheme="minorEastAsia" w:hAnsiTheme="minorEastAsia" w:eastAsiaTheme="minorEastAsia" w:cstheme="minorEastAsia"/>
          <w:color w:val="auto"/>
          <w:sz w:val="21"/>
          <w:szCs w:val="21"/>
          <w:highlight w:val="none"/>
        </w:rPr>
        <w:t>15. 保证金</w:t>
      </w:r>
      <w:bookmarkEnd w:id="236"/>
      <w:bookmarkEnd w:id="237"/>
      <w:bookmarkEnd w:id="238"/>
      <w:bookmarkEnd w:id="239"/>
      <w:bookmarkEnd w:id="240"/>
      <w:bookmarkEnd w:id="241"/>
      <w:bookmarkEnd w:id="242"/>
      <w:bookmarkEnd w:id="243"/>
      <w:bookmarkEnd w:id="244"/>
    </w:p>
    <w:p>
      <w:pPr>
        <w:spacing w:line="360" w:lineRule="auto"/>
        <w:ind w:firstLine="420" w:firstLineChars="200"/>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本项目无需缴纳磋商保证金。</w:t>
      </w:r>
    </w:p>
    <w:p>
      <w:pPr>
        <w:pStyle w:val="5"/>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bookmarkStart w:id="245" w:name="_Toc387"/>
      <w:bookmarkStart w:id="246" w:name="_Toc6148"/>
      <w:bookmarkStart w:id="247" w:name="_Toc9328"/>
      <w:bookmarkStart w:id="248" w:name="_Toc25647"/>
      <w:bookmarkStart w:id="249" w:name="_Toc8815"/>
      <w:bookmarkStart w:id="250" w:name="_Toc17790"/>
      <w:bookmarkStart w:id="251" w:name="_Toc27824"/>
      <w:bookmarkStart w:id="252" w:name="_Toc3348"/>
      <w:bookmarkStart w:id="253" w:name="_Toc32621"/>
      <w:r>
        <w:rPr>
          <w:rFonts w:hint="eastAsia" w:asciiTheme="minorEastAsia" w:hAnsiTheme="minorEastAsia" w:eastAsiaTheme="minorEastAsia" w:cstheme="minorEastAsia"/>
          <w:color w:val="auto"/>
          <w:sz w:val="21"/>
          <w:szCs w:val="21"/>
          <w:highlight w:val="none"/>
        </w:rPr>
        <w:t>16. 竞争性磋商响应文件的</w:t>
      </w:r>
      <w:bookmarkEnd w:id="245"/>
      <w:r>
        <w:rPr>
          <w:rFonts w:hint="eastAsia" w:asciiTheme="minorEastAsia" w:hAnsiTheme="minorEastAsia" w:eastAsiaTheme="minorEastAsia" w:cstheme="minorEastAsia"/>
          <w:color w:val="auto"/>
          <w:sz w:val="21"/>
          <w:szCs w:val="21"/>
          <w:highlight w:val="none"/>
        </w:rPr>
        <w:t>制作</w:t>
      </w:r>
      <w:bookmarkEnd w:id="246"/>
      <w:bookmarkEnd w:id="247"/>
      <w:bookmarkEnd w:id="248"/>
      <w:bookmarkEnd w:id="249"/>
      <w:bookmarkEnd w:id="250"/>
      <w:bookmarkEnd w:id="251"/>
      <w:bookmarkEnd w:id="252"/>
      <w:bookmarkEnd w:id="253"/>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16.1 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16.2供应商法人（负责人）或授权代表持有广西政府采购云平台个人CA签章的，应在响应文件中涉及到签字的位置使用个人CA签章，没有办理广西政府采购云平台个人CA签章的可在响应文件中涉及到签字的位置手写签字后扫描或者拍照做成 PDF 的格式上传即可。</w:t>
      </w:r>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16.3 磋商响应文件不得涂改，若有修改错漏处，须法定代表人（负责人）或授权委托人签字（或个人CA签章）。磋商响应文件因字迹潦草或表达不清所引起的后果由供应商负责。</w:t>
      </w:r>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16.4磋商前准备 </w:t>
      </w:r>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16.4.1本项目实行在线磋商，采用电子磋商响应文件。若供应商参与磋商，自行承担磋商一切费用。 </w:t>
      </w:r>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16.4.2各供应商应在截标前应确保成为广西政府采购云平台正式注册入库供应商，并完成 CA 数字证书申领。因未注册入库、未办理 CA 数字证书等原因造成无法磋商或磋商失败等后果由供应商自行承担。 </w:t>
      </w:r>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16.4.3供应商将广西政府采购云平台电子交易客户端下载、安装完成后，可通过账号密码或 CA 登录客户端进行响应文件制作。客户端请至网站下载专区查看，如有问题可拨打广西政府采购云平台客户服务热线 95763 进行咨询。</w:t>
      </w:r>
    </w:p>
    <w:p>
      <w:pPr>
        <w:pStyle w:val="5"/>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bookmarkStart w:id="254" w:name="_Toc18154"/>
      <w:bookmarkStart w:id="255" w:name="_Toc8570"/>
      <w:bookmarkStart w:id="256" w:name="_Toc1031"/>
      <w:bookmarkStart w:id="257" w:name="_Toc25208"/>
      <w:bookmarkStart w:id="258" w:name="_Toc22794"/>
      <w:bookmarkStart w:id="259" w:name="_Toc16545"/>
      <w:bookmarkStart w:id="260" w:name="_Toc1970"/>
      <w:bookmarkStart w:id="261" w:name="_Toc13909"/>
      <w:r>
        <w:rPr>
          <w:rFonts w:hint="eastAsia" w:asciiTheme="minorEastAsia" w:hAnsiTheme="minorEastAsia" w:eastAsiaTheme="minorEastAsia" w:cstheme="minorEastAsia"/>
          <w:color w:val="auto"/>
          <w:sz w:val="21"/>
          <w:szCs w:val="21"/>
          <w:highlight w:val="none"/>
        </w:rPr>
        <w:t>17. 响应文件的修改和撤回</w:t>
      </w:r>
      <w:bookmarkEnd w:id="254"/>
      <w:bookmarkEnd w:id="255"/>
      <w:bookmarkEnd w:id="256"/>
      <w:bookmarkEnd w:id="257"/>
      <w:bookmarkEnd w:id="258"/>
      <w:bookmarkEnd w:id="259"/>
      <w:bookmarkEnd w:id="260"/>
      <w:bookmarkEnd w:id="261"/>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17.1 响应文件递交截止时间前可以撤回电子磋商响应文件。补充或者修改电子磋商响应文件的，应当先行撤回原文件，补充、修改后重新传输递交，磋商响应文件递交截止时间前未完成传输的，视为撤回磋商响应文件。</w:t>
      </w:r>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17.2 在响应文件递交截止时间后的响应文件有效期内，供应商不得撤回其响应文件。</w:t>
      </w:r>
    </w:p>
    <w:p>
      <w:pPr>
        <w:pStyle w:val="5"/>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bookmarkStart w:id="262" w:name="_Toc8409"/>
      <w:bookmarkStart w:id="263" w:name="_Toc21490"/>
      <w:bookmarkStart w:id="264" w:name="_Toc5236"/>
      <w:bookmarkStart w:id="265" w:name="_Toc27030"/>
      <w:bookmarkStart w:id="266" w:name="_Toc11330"/>
      <w:bookmarkStart w:id="267" w:name="_Toc19173"/>
      <w:bookmarkStart w:id="268" w:name="_Toc30156"/>
      <w:bookmarkStart w:id="269" w:name="_Toc11097"/>
      <w:bookmarkStart w:id="270" w:name="_Toc5295"/>
      <w:r>
        <w:rPr>
          <w:rFonts w:hint="eastAsia" w:asciiTheme="minorEastAsia" w:hAnsiTheme="minorEastAsia" w:eastAsiaTheme="minorEastAsia" w:cstheme="minorEastAsia"/>
          <w:color w:val="auto"/>
          <w:sz w:val="21"/>
          <w:szCs w:val="21"/>
          <w:highlight w:val="none"/>
        </w:rPr>
        <w:t>18. 响应文件的递交和解密</w:t>
      </w:r>
      <w:bookmarkEnd w:id="262"/>
      <w:bookmarkEnd w:id="263"/>
      <w:bookmarkEnd w:id="264"/>
      <w:bookmarkEnd w:id="265"/>
      <w:bookmarkEnd w:id="266"/>
      <w:bookmarkEnd w:id="267"/>
      <w:bookmarkEnd w:id="268"/>
      <w:bookmarkEnd w:id="269"/>
      <w:bookmarkEnd w:id="270"/>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18.1响应文件递交截止时间：于</w:t>
      </w:r>
      <w:r>
        <w:rPr>
          <w:rFonts w:hint="eastAsia" w:asciiTheme="minorEastAsia" w:hAnsiTheme="minorEastAsia" w:eastAsiaTheme="minorEastAsia" w:cstheme="minorEastAsia"/>
          <w:color w:val="auto"/>
          <w:szCs w:val="21"/>
          <w:highlight w:val="none"/>
          <w:u w:val="single"/>
          <w:lang w:eastAsia="zh-CN"/>
        </w:rPr>
        <w:t>2026年05月07日09时30分</w:t>
      </w:r>
      <w:r>
        <w:rPr>
          <w:rFonts w:hint="eastAsia" w:asciiTheme="minorEastAsia" w:hAnsiTheme="minorEastAsia" w:eastAsiaTheme="minorEastAsia" w:cstheme="minorEastAsia"/>
          <w:color w:val="auto"/>
          <w:szCs w:val="21"/>
          <w:highlight w:val="none"/>
        </w:rPr>
        <w:t>之前将电子磋商响应文件上传到广西政府采购云平台。应按照本项目磋商文件和广西政府采购云平台的要求编制、加密传输磋商响应文件。供应商在使用系统进行投标的过程中遇到涉及平台使用的任何问题，可致电广西政府采购云平台技术支持热线咨询，联系方式：95763。</w:t>
      </w:r>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18.2磋商响应文件解密时间：截标时间后</w:t>
      </w:r>
      <w:r>
        <w:rPr>
          <w:rFonts w:hint="eastAsia" w:asciiTheme="minorEastAsia" w:hAnsiTheme="minorEastAsia" w:eastAsiaTheme="minorEastAsia" w:cstheme="minorEastAsia"/>
          <w:color w:val="auto"/>
          <w:szCs w:val="21"/>
          <w:highlight w:val="none"/>
          <w:u w:val="single"/>
        </w:rPr>
        <w:t>30</w:t>
      </w:r>
      <w:r>
        <w:rPr>
          <w:rFonts w:hint="eastAsia" w:asciiTheme="minorEastAsia" w:hAnsiTheme="minorEastAsia" w:eastAsiaTheme="minorEastAsia" w:cstheme="minorEastAsia"/>
          <w:color w:val="auto"/>
          <w:szCs w:val="21"/>
          <w:highlight w:val="none"/>
        </w:rPr>
        <w:t>分钟内（</w:t>
      </w:r>
      <w:r>
        <w:rPr>
          <w:rFonts w:hint="eastAsia" w:asciiTheme="minorEastAsia" w:hAnsiTheme="minorEastAsia" w:eastAsiaTheme="minorEastAsia" w:cstheme="minorEastAsia"/>
          <w:color w:val="auto"/>
          <w:szCs w:val="21"/>
          <w:highlight w:val="none"/>
          <w:u w:val="single"/>
          <w:lang w:eastAsia="zh-CN"/>
        </w:rPr>
        <w:t>2026年05月07日09时30分</w:t>
      </w:r>
      <w:r>
        <w:rPr>
          <w:rFonts w:hint="eastAsia" w:asciiTheme="minorEastAsia" w:hAnsiTheme="minorEastAsia" w:eastAsiaTheme="minorEastAsia" w:cstheme="minorEastAsia"/>
          <w:color w:val="auto"/>
          <w:szCs w:val="21"/>
          <w:highlight w:val="none"/>
          <w:u w:val="single"/>
        </w:rPr>
        <w:t>至10时00分</w:t>
      </w:r>
      <w:r>
        <w:rPr>
          <w:rFonts w:hint="eastAsia" w:asciiTheme="minorEastAsia" w:hAnsiTheme="minorEastAsia" w:eastAsiaTheme="minorEastAsia" w:cstheme="minorEastAsia"/>
          <w:color w:val="auto"/>
          <w:szCs w:val="21"/>
          <w:highlight w:val="none"/>
        </w:rPr>
        <w:t>)磋商供应商可以登录广西政府采购云平台，用“项目采购-开标评标”功能进行解密磋商文件。</w:t>
      </w:r>
    </w:p>
    <w:p>
      <w:pPr>
        <w:spacing w:line="360" w:lineRule="auto"/>
        <w:ind w:firstLine="420" w:firstLineChars="200"/>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注：响应文件网上递交截止时间后，各供应商须在解密时限内对上传广西政府采购云平台的响应文件进行解密，所有供应商在规定的解密时限内解密完成或解密时限结束后，我中心开启已解密的响应文件。供应商超过解密时限未解密的，系统默认自动放弃，造成响应无效的后果由供应商自行承担（解密响应文件后，30分钟内在线签字确认，超过时间没有在线签字确认的系统将自动视为供应商认可）。</w:t>
      </w:r>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18.3 除竞争性磋商文件另有规定外，供应商所递交的响应文件不予退还。</w:t>
      </w:r>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18.4 电子响应文件的相关说明</w:t>
      </w:r>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1）供应商进行电子投标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 </w:t>
      </w:r>
    </w:p>
    <w:p>
      <w:pPr>
        <w:spacing w:line="360" w:lineRule="auto"/>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（2）如有特殊情况，采购代理机构延长截止时间和开标时间，采购代理机构和供应商的权利和义务将受到新的截止时间和开标时间的约束。</w:t>
      </w:r>
    </w:p>
    <w:p>
      <w:pPr>
        <w:pStyle w:val="4"/>
        <w:jc w:val="center"/>
        <w:rPr>
          <w:rFonts w:hint="eastAsia" w:asciiTheme="minorEastAsia" w:hAnsiTheme="minorEastAsia" w:eastAsiaTheme="minorEastAsia" w:cstheme="minorEastAsia"/>
          <w:b/>
          <w:bCs w:val="0"/>
          <w:color w:val="auto"/>
          <w:szCs w:val="28"/>
          <w:highlight w:val="none"/>
        </w:rPr>
      </w:pPr>
      <w:bookmarkStart w:id="271" w:name="_Toc18044"/>
      <w:bookmarkStart w:id="272" w:name="_Toc28417"/>
      <w:bookmarkStart w:id="273" w:name="_Toc23738"/>
      <w:bookmarkStart w:id="274" w:name="_Toc21163"/>
      <w:bookmarkStart w:id="275" w:name="_Toc13269"/>
      <w:bookmarkStart w:id="276" w:name="_Toc30862"/>
      <w:bookmarkStart w:id="277" w:name="_Toc27413"/>
      <w:bookmarkStart w:id="278" w:name="_Toc2433"/>
      <w:bookmarkStart w:id="279" w:name="_Toc31400"/>
      <w:r>
        <w:rPr>
          <w:rFonts w:hint="eastAsia" w:asciiTheme="minorEastAsia" w:hAnsiTheme="minorEastAsia" w:eastAsiaTheme="minorEastAsia" w:cstheme="minorEastAsia"/>
          <w:b/>
          <w:bCs w:val="0"/>
          <w:color w:val="auto"/>
          <w:szCs w:val="28"/>
          <w:highlight w:val="none"/>
        </w:rPr>
        <w:t>四、竞争性磋商（简称磋商）与评审</w:t>
      </w:r>
      <w:bookmarkEnd w:id="271"/>
      <w:bookmarkEnd w:id="272"/>
      <w:bookmarkEnd w:id="273"/>
      <w:bookmarkEnd w:id="274"/>
      <w:bookmarkEnd w:id="275"/>
      <w:bookmarkEnd w:id="276"/>
      <w:bookmarkEnd w:id="277"/>
      <w:bookmarkEnd w:id="278"/>
      <w:bookmarkEnd w:id="279"/>
    </w:p>
    <w:p>
      <w:pPr>
        <w:pStyle w:val="5"/>
        <w:spacing w:line="360" w:lineRule="auto"/>
        <w:ind w:firstLine="420" w:firstLineChars="200"/>
        <w:rPr>
          <w:rFonts w:hint="eastAsia" w:asciiTheme="minorEastAsia" w:hAnsiTheme="minorEastAsia" w:eastAsiaTheme="minorEastAsia" w:cstheme="minorEastAsia"/>
          <w:color w:val="auto"/>
          <w:sz w:val="21"/>
          <w:szCs w:val="21"/>
          <w:highlight w:val="none"/>
        </w:rPr>
      </w:pPr>
      <w:bookmarkStart w:id="280" w:name="_Toc32675"/>
      <w:bookmarkStart w:id="281" w:name="_Toc336"/>
      <w:bookmarkStart w:id="282" w:name="_Toc18214"/>
      <w:bookmarkStart w:id="283" w:name="_Toc16910"/>
      <w:bookmarkStart w:id="284" w:name="_Toc16035"/>
      <w:bookmarkStart w:id="285" w:name="_Toc23846"/>
      <w:bookmarkStart w:id="286" w:name="_Toc16714"/>
      <w:bookmarkStart w:id="287" w:name="_Toc31588"/>
      <w:bookmarkStart w:id="288" w:name="_Toc7152"/>
      <w:r>
        <w:rPr>
          <w:rFonts w:hint="eastAsia" w:asciiTheme="minorEastAsia" w:hAnsiTheme="minorEastAsia" w:eastAsiaTheme="minorEastAsia" w:cstheme="minorEastAsia"/>
          <w:color w:val="auto"/>
          <w:sz w:val="21"/>
          <w:szCs w:val="21"/>
          <w:highlight w:val="none"/>
        </w:rPr>
        <w:t>19. 磋商小组组成及磋商时间、地点、人员</w:t>
      </w:r>
      <w:bookmarkEnd w:id="280"/>
      <w:bookmarkEnd w:id="281"/>
      <w:bookmarkEnd w:id="282"/>
      <w:bookmarkEnd w:id="283"/>
      <w:bookmarkEnd w:id="284"/>
      <w:bookmarkEnd w:id="285"/>
      <w:bookmarkEnd w:id="286"/>
      <w:bookmarkEnd w:id="287"/>
      <w:bookmarkEnd w:id="288"/>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19.1 磋商小组组成：</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磋商及评审工作由采购代理机构负责组织，具体磋商、评审工作由依法组建的磋商小组负责，磋商小组由采购人代表和评审专家组成。磋商小组的构成：</w:t>
      </w:r>
      <w:r>
        <w:rPr>
          <w:rFonts w:hint="eastAsia" w:asciiTheme="minorEastAsia" w:hAnsiTheme="minorEastAsia" w:eastAsiaTheme="minorEastAsia" w:cstheme="minorEastAsia"/>
          <w:color w:val="auto"/>
          <w:szCs w:val="21"/>
          <w:highlight w:val="none"/>
          <w:u w:val="single"/>
        </w:rPr>
        <w:t xml:space="preserve"> 3 </w:t>
      </w:r>
      <w:r>
        <w:rPr>
          <w:rFonts w:hint="eastAsia" w:asciiTheme="minorEastAsia" w:hAnsiTheme="minorEastAsia" w:eastAsiaTheme="minorEastAsia" w:cstheme="minorEastAsia"/>
          <w:color w:val="auto"/>
          <w:szCs w:val="21"/>
          <w:highlight w:val="none"/>
        </w:rPr>
        <w:t>人，其中采购人代表</w:t>
      </w:r>
      <w:r>
        <w:rPr>
          <w:rFonts w:hint="eastAsia" w:asciiTheme="minorEastAsia" w:hAnsiTheme="minorEastAsia" w:eastAsiaTheme="minorEastAsia" w:cstheme="minorEastAsia"/>
          <w:color w:val="auto"/>
          <w:szCs w:val="21"/>
          <w:highlight w:val="none"/>
          <w:u w:val="single"/>
        </w:rPr>
        <w:t xml:space="preserve">1 </w:t>
      </w:r>
      <w:r>
        <w:rPr>
          <w:rFonts w:hint="eastAsia" w:asciiTheme="minorEastAsia" w:hAnsiTheme="minorEastAsia" w:eastAsiaTheme="minorEastAsia" w:cstheme="minorEastAsia"/>
          <w:color w:val="auto"/>
          <w:szCs w:val="21"/>
          <w:highlight w:val="none"/>
        </w:rPr>
        <w:t>人， 专家</w:t>
      </w:r>
      <w:r>
        <w:rPr>
          <w:rFonts w:hint="eastAsia" w:asciiTheme="minorEastAsia" w:hAnsiTheme="minorEastAsia" w:eastAsiaTheme="minorEastAsia" w:cstheme="minorEastAsia"/>
          <w:color w:val="auto"/>
          <w:szCs w:val="21"/>
          <w:highlight w:val="none"/>
          <w:u w:val="single"/>
        </w:rPr>
        <w:t xml:space="preserve">2 </w:t>
      </w:r>
      <w:r>
        <w:rPr>
          <w:rFonts w:hint="eastAsia" w:asciiTheme="minorEastAsia" w:hAnsiTheme="minorEastAsia" w:eastAsiaTheme="minorEastAsia" w:cstheme="minorEastAsia"/>
          <w:color w:val="auto"/>
          <w:szCs w:val="21"/>
          <w:highlight w:val="none"/>
        </w:rPr>
        <w:t>人。</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19.2 磋商时间、地点、人员：</w:t>
      </w:r>
    </w:p>
    <w:p>
      <w:pPr>
        <w:spacing w:line="360" w:lineRule="auto"/>
        <w:ind w:firstLine="420" w:firstLineChars="200"/>
        <w:rPr>
          <w:rFonts w:hint="eastAsia" w:asciiTheme="minorEastAsia" w:hAnsiTheme="minorEastAsia" w:eastAsiaTheme="minorEastAsia" w:cstheme="minorEastAsia"/>
          <w:color w:val="auto"/>
          <w:szCs w:val="21"/>
          <w:highlight w:val="none"/>
        </w:rPr>
      </w:pPr>
      <w:bookmarkStart w:id="289" w:name="_Toc9878"/>
      <w:r>
        <w:rPr>
          <w:rFonts w:hint="eastAsia" w:asciiTheme="minorEastAsia" w:hAnsiTheme="minorEastAsia" w:eastAsiaTheme="minorEastAsia" w:cstheme="minorEastAsia"/>
          <w:color w:val="auto"/>
          <w:szCs w:val="21"/>
          <w:highlight w:val="none"/>
        </w:rPr>
        <w:t>19.2.1磋商时间：响应文件递交截止时间后。</w:t>
      </w:r>
      <w:bookmarkEnd w:id="289"/>
    </w:p>
    <w:p>
      <w:pPr>
        <w:spacing w:line="360" w:lineRule="auto"/>
        <w:ind w:firstLine="420" w:firstLineChars="200"/>
        <w:rPr>
          <w:rFonts w:hint="eastAsia" w:asciiTheme="minorEastAsia" w:hAnsiTheme="minorEastAsia" w:eastAsiaTheme="minorEastAsia" w:cstheme="minorEastAsia"/>
          <w:color w:val="auto"/>
          <w:szCs w:val="21"/>
          <w:highlight w:val="none"/>
        </w:rPr>
      </w:pPr>
      <w:bookmarkStart w:id="290" w:name="_Toc29268"/>
      <w:r>
        <w:rPr>
          <w:rFonts w:hint="eastAsia" w:asciiTheme="minorEastAsia" w:hAnsiTheme="minorEastAsia" w:eastAsiaTheme="minorEastAsia" w:cstheme="minorEastAsia"/>
          <w:color w:val="auto"/>
          <w:szCs w:val="21"/>
          <w:highlight w:val="none"/>
        </w:rPr>
        <w:t>19.2.2磋商地点：</w:t>
      </w:r>
      <w:bookmarkEnd w:id="290"/>
      <w:r>
        <w:rPr>
          <w:rFonts w:hint="eastAsia" w:asciiTheme="minorEastAsia" w:hAnsiTheme="minorEastAsia" w:eastAsiaTheme="minorEastAsia" w:cstheme="minorEastAsia"/>
          <w:color w:val="auto"/>
          <w:szCs w:val="21"/>
          <w:highlight w:val="none"/>
        </w:rPr>
        <w:t>本项目需要磋商供应商代表在截标当天截标后，按磋商小组要求及时</w:t>
      </w:r>
      <w:r>
        <w:rPr>
          <w:rFonts w:hint="eastAsia" w:asciiTheme="minorEastAsia" w:hAnsiTheme="minorEastAsia" w:eastAsiaTheme="minorEastAsia" w:cstheme="minorEastAsia"/>
          <w:color w:val="auto"/>
          <w:szCs w:val="21"/>
          <w:highlight w:val="none"/>
          <w:lang w:eastAsia="zh-CN"/>
        </w:rPr>
        <w:t>登录</w:t>
      </w:r>
      <w:r>
        <w:rPr>
          <w:rFonts w:hint="eastAsia" w:asciiTheme="minorEastAsia" w:hAnsiTheme="minorEastAsia" w:eastAsiaTheme="minorEastAsia" w:cstheme="minorEastAsia"/>
          <w:color w:val="auto"/>
          <w:szCs w:val="21"/>
          <w:highlight w:val="none"/>
        </w:rPr>
        <w:t>广西政府采购云平台等候在线磋商。</w:t>
      </w:r>
    </w:p>
    <w:p>
      <w:pPr>
        <w:spacing w:line="360" w:lineRule="auto"/>
        <w:ind w:firstLine="420" w:firstLineChars="200"/>
        <w:rPr>
          <w:rFonts w:hint="eastAsia" w:asciiTheme="minorEastAsia" w:hAnsiTheme="minorEastAsia" w:eastAsiaTheme="minorEastAsia" w:cstheme="minorEastAsia"/>
          <w:bCs/>
          <w:color w:val="auto"/>
          <w:szCs w:val="21"/>
          <w:highlight w:val="none"/>
        </w:rPr>
      </w:pPr>
      <w:bookmarkStart w:id="291" w:name="_Toc21307"/>
      <w:r>
        <w:rPr>
          <w:rFonts w:hint="eastAsia" w:asciiTheme="minorEastAsia" w:hAnsiTheme="minorEastAsia" w:eastAsiaTheme="minorEastAsia" w:cstheme="minorEastAsia"/>
          <w:color w:val="auto"/>
          <w:szCs w:val="21"/>
          <w:highlight w:val="none"/>
        </w:rPr>
        <w:t>19</w:t>
      </w:r>
      <w:r>
        <w:rPr>
          <w:rFonts w:hint="eastAsia" w:asciiTheme="minorEastAsia" w:hAnsiTheme="minorEastAsia" w:eastAsiaTheme="minorEastAsia" w:cstheme="minorEastAsia"/>
          <w:bCs/>
          <w:color w:val="auto"/>
          <w:szCs w:val="21"/>
          <w:highlight w:val="none"/>
        </w:rPr>
        <w:t>.2.3磋商参加人员：供应商法定代表人、负责人、自然人或相应的委托代理人持</w:t>
      </w:r>
      <w:r>
        <w:rPr>
          <w:rFonts w:hint="eastAsia" w:asciiTheme="minorEastAsia" w:hAnsiTheme="minorEastAsia" w:eastAsiaTheme="minorEastAsia" w:cstheme="minorEastAsia"/>
          <w:bCs/>
          <w:color w:val="auto"/>
          <w:szCs w:val="21"/>
          <w:highlight w:val="none"/>
          <w:u w:val="single"/>
        </w:rPr>
        <w:t>有效身份证原件</w:t>
      </w:r>
      <w:r>
        <w:rPr>
          <w:rFonts w:hint="eastAsia" w:asciiTheme="minorEastAsia" w:hAnsiTheme="minorEastAsia" w:eastAsiaTheme="minorEastAsia" w:cstheme="minorEastAsia"/>
          <w:bCs/>
          <w:color w:val="auto"/>
          <w:szCs w:val="21"/>
          <w:highlight w:val="none"/>
        </w:rPr>
        <w:t>和供应商</w:t>
      </w:r>
      <w:r>
        <w:rPr>
          <w:rFonts w:hint="eastAsia" w:asciiTheme="minorEastAsia" w:hAnsiTheme="minorEastAsia" w:eastAsiaTheme="minorEastAsia" w:cstheme="minorEastAsia"/>
          <w:bCs/>
          <w:color w:val="auto"/>
          <w:szCs w:val="21"/>
          <w:highlight w:val="none"/>
          <w:u w:val="single"/>
        </w:rPr>
        <w:t>广西政府采购云平台CA数字证书</w:t>
      </w:r>
      <w:r>
        <w:rPr>
          <w:rFonts w:hint="eastAsia" w:asciiTheme="minorEastAsia" w:hAnsiTheme="minorEastAsia" w:eastAsiaTheme="minorEastAsia" w:cstheme="minorEastAsia"/>
          <w:bCs/>
          <w:color w:val="auto"/>
          <w:szCs w:val="21"/>
          <w:highlight w:val="none"/>
        </w:rPr>
        <w:t>参加磋商。</w:t>
      </w:r>
    </w:p>
    <w:bookmarkEnd w:id="291"/>
    <w:p>
      <w:pPr>
        <w:spacing w:line="360" w:lineRule="auto"/>
        <w:ind w:firstLine="420" w:firstLineChars="200"/>
        <w:rPr>
          <w:rFonts w:hint="eastAsia" w:asciiTheme="minorEastAsia" w:hAnsiTheme="minorEastAsia" w:eastAsiaTheme="minorEastAsia" w:cstheme="minorEastAsia"/>
          <w:bCs/>
          <w:color w:val="auto"/>
          <w:szCs w:val="21"/>
          <w:highlight w:val="none"/>
        </w:rPr>
      </w:pPr>
      <w:bookmarkStart w:id="292" w:name="_Toc6288"/>
      <w:r>
        <w:rPr>
          <w:rFonts w:hint="eastAsia" w:asciiTheme="minorEastAsia" w:hAnsiTheme="minorEastAsia" w:eastAsiaTheme="minorEastAsia" w:cstheme="minorEastAsia"/>
          <w:bCs/>
          <w:color w:val="auto"/>
          <w:szCs w:val="21"/>
          <w:highlight w:val="none"/>
        </w:rPr>
        <w:t>19.2.4响应文件递交截止时间后，由磋商小组在评标室内线上开启响应文件。</w:t>
      </w:r>
      <w:bookmarkEnd w:id="292"/>
    </w:p>
    <w:p>
      <w:pPr>
        <w:pStyle w:val="5"/>
        <w:spacing w:line="360" w:lineRule="auto"/>
        <w:ind w:firstLine="420" w:firstLineChars="200"/>
        <w:rPr>
          <w:rFonts w:hint="eastAsia" w:asciiTheme="minorEastAsia" w:hAnsiTheme="minorEastAsia" w:eastAsiaTheme="minorEastAsia" w:cstheme="minorEastAsia"/>
          <w:color w:val="auto"/>
          <w:sz w:val="21"/>
          <w:szCs w:val="21"/>
          <w:highlight w:val="none"/>
        </w:rPr>
      </w:pPr>
      <w:bookmarkStart w:id="293" w:name="_Toc16833"/>
      <w:bookmarkStart w:id="294" w:name="_Toc25258"/>
      <w:bookmarkStart w:id="295" w:name="_Toc17452"/>
      <w:bookmarkStart w:id="296" w:name="_Toc11375"/>
      <w:bookmarkStart w:id="297" w:name="_Toc6109"/>
      <w:bookmarkStart w:id="298" w:name="_Toc18640"/>
      <w:bookmarkStart w:id="299" w:name="_Toc23717"/>
      <w:bookmarkStart w:id="300" w:name="_Toc29833"/>
      <w:bookmarkStart w:id="301" w:name="_Toc13847"/>
      <w:r>
        <w:rPr>
          <w:rFonts w:hint="eastAsia" w:asciiTheme="minorEastAsia" w:hAnsiTheme="minorEastAsia" w:eastAsiaTheme="minorEastAsia" w:cstheme="minorEastAsia"/>
          <w:color w:val="auto"/>
          <w:sz w:val="21"/>
          <w:szCs w:val="21"/>
          <w:highlight w:val="none"/>
        </w:rPr>
        <w:t>20. 评审原则</w:t>
      </w:r>
      <w:bookmarkEnd w:id="293"/>
      <w:bookmarkEnd w:id="294"/>
      <w:bookmarkEnd w:id="295"/>
      <w:bookmarkEnd w:id="296"/>
      <w:bookmarkEnd w:id="297"/>
      <w:bookmarkEnd w:id="298"/>
      <w:bookmarkEnd w:id="299"/>
      <w:bookmarkEnd w:id="300"/>
      <w:bookmarkEnd w:id="301"/>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20.1 磋商小组必须坚持公平、公正、科学和择优的原则。</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20.2 评审办法：综合评分法，具体详见第四章评审办法。</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20.3 磋商小组应按磋商文件进行评审，不得擅自更改评审办法。</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20.4 在评审过程中，磋商小组任何人不得对某个供应商发表任何倾向性意见，不得向其他磋商小组成员明示或者暗示自己的评审意见。</w:t>
      </w:r>
    </w:p>
    <w:p>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20.5 磋商小组成员对需要共同认定的事项存在争议的，按照少数服从多数的原则作出结论。持不同意见的磋商小组成员应当在评审报告上签署不同意见并说明理由，否则视为同意。</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20.6 响应文件最后报价出现前后不一致的，除竞争性磋商文件另有规定外，按照下列规定修正：</w:t>
      </w:r>
    </w:p>
    <w:p>
      <w:pPr>
        <w:pStyle w:val="37"/>
        <w:tabs>
          <w:tab w:val="left" w:pos="1099"/>
        </w:tabs>
        <w:spacing w:before="130"/>
        <w:ind w:left="420" w:leftChars="200"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 xml:space="preserve">(1) </w:t>
      </w:r>
      <w:r>
        <w:rPr>
          <w:rFonts w:hint="eastAsia" w:asciiTheme="minorEastAsia" w:hAnsiTheme="minorEastAsia" w:eastAsiaTheme="minorEastAsia" w:cstheme="minorEastAsia"/>
          <w:color w:val="auto"/>
          <w:highlight w:val="none"/>
        </w:rPr>
        <w:t>响应文件中磋商报价表内容与响应文件中相应内容不一致的，以最后磋商报价表为准；</w:t>
      </w:r>
    </w:p>
    <w:p>
      <w:pPr>
        <w:pStyle w:val="37"/>
        <w:tabs>
          <w:tab w:val="left" w:pos="1099"/>
        </w:tabs>
        <w:spacing w:before="130"/>
        <w:ind w:left="420" w:leftChars="200"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highlight w:val="none"/>
        </w:rPr>
        <w:t xml:space="preserve"> 大写金额和小写金额不一致的，以大写金额为准；</w:t>
      </w:r>
    </w:p>
    <w:p>
      <w:pPr>
        <w:pStyle w:val="37"/>
        <w:tabs>
          <w:tab w:val="left" w:pos="1099"/>
        </w:tabs>
        <w:spacing w:before="130"/>
        <w:ind w:left="420" w:leftChars="200"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highlight w:val="none"/>
        </w:rPr>
        <w:t xml:space="preserve"> 单价金额小数点或者百分比有明显错位的，以报价表的总价为准，并修改单价；</w:t>
      </w:r>
    </w:p>
    <w:p>
      <w:pPr>
        <w:pStyle w:val="37"/>
        <w:tabs>
          <w:tab w:val="left" w:pos="1099"/>
        </w:tabs>
        <w:spacing w:before="130"/>
        <w:ind w:left="420" w:leftChars="200"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 xml:space="preserve">(4) </w:t>
      </w:r>
      <w:r>
        <w:rPr>
          <w:rFonts w:hint="eastAsia" w:asciiTheme="minorEastAsia" w:hAnsiTheme="minorEastAsia" w:eastAsiaTheme="minorEastAsia" w:cstheme="minorEastAsia"/>
          <w:color w:val="auto"/>
          <w:highlight w:val="none"/>
        </w:rPr>
        <w:t>总价金额与按单价汇总金额不一致的，以单价金额计算结果为准。</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pPr>
        <w:pStyle w:val="5"/>
        <w:spacing w:line="360" w:lineRule="auto"/>
        <w:ind w:firstLine="420" w:firstLineChars="200"/>
        <w:rPr>
          <w:rFonts w:hint="eastAsia" w:asciiTheme="minorEastAsia" w:hAnsiTheme="minorEastAsia" w:eastAsiaTheme="minorEastAsia" w:cstheme="minorEastAsia"/>
          <w:color w:val="auto"/>
          <w:sz w:val="21"/>
          <w:szCs w:val="21"/>
          <w:highlight w:val="none"/>
        </w:rPr>
      </w:pPr>
      <w:bookmarkStart w:id="302" w:name="_Toc17571"/>
      <w:bookmarkStart w:id="303" w:name="_Toc21555"/>
      <w:bookmarkStart w:id="304" w:name="_Toc1312"/>
      <w:bookmarkStart w:id="305" w:name="_Toc2937"/>
      <w:bookmarkStart w:id="306" w:name="_Toc23675"/>
      <w:bookmarkStart w:id="307" w:name="_Toc27779"/>
      <w:bookmarkStart w:id="308" w:name="_Toc12941"/>
      <w:bookmarkStart w:id="309" w:name="_Toc15890"/>
      <w:bookmarkStart w:id="310" w:name="_Toc27193"/>
      <w:r>
        <w:rPr>
          <w:rFonts w:hint="eastAsia" w:asciiTheme="minorEastAsia" w:hAnsiTheme="minorEastAsia" w:eastAsiaTheme="minorEastAsia" w:cstheme="minorEastAsia"/>
          <w:color w:val="auto"/>
          <w:sz w:val="21"/>
          <w:szCs w:val="21"/>
          <w:highlight w:val="none"/>
        </w:rPr>
        <w:t>21. 评审程序及磋商要求</w:t>
      </w:r>
      <w:bookmarkEnd w:id="302"/>
      <w:bookmarkEnd w:id="303"/>
      <w:bookmarkEnd w:id="304"/>
      <w:bookmarkEnd w:id="305"/>
      <w:bookmarkEnd w:id="306"/>
      <w:bookmarkEnd w:id="307"/>
      <w:bookmarkEnd w:id="308"/>
      <w:bookmarkEnd w:id="309"/>
      <w:bookmarkEnd w:id="310"/>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21.1磋商小组成员的通讯工具或相关电子设备交由桂林市公共资源交易中心统一保管后到达评标室，采购 </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代理机构核实磋商小组成员身份，告知回避要求，宣布评审工作纪律和程序，推选磋商小组组长。</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21.3 磋商小组依据竞争性磋商文件的规定，首先对响应文件进行资格性审查，以确定供应商是否具备本项 目供应商资格；再对通过资格性审查的供应商响应文件的有效性、完整性和对磋商文件的响应程度进行符合性 审查，以确定是否对磋商文件的实质性要求做出响应。 </w:t>
      </w:r>
    </w:p>
    <w:p>
      <w:pPr>
        <w:spacing w:line="360" w:lineRule="auto"/>
        <w:ind w:firstLine="420"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 。</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21.4.1 查询渠道：《国家企业信用信息公示系统》（网址：www.gsxt.gov.cn/index.html）</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21.4.2 审查流程：</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（1）进入《国家企业信用信息公示系统》（网址：www.gsxt.gov.cn/index.html），输入企业名称，进入企业信息主页面；</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（2）查看主页“股东及出资信息”栏，或年报中的“股东及出资信息”栏信息；</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（3）将各供应商的股东及出资信息进行比对，得出审查结论；</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（4）将相关资料作为评审资料打印存档。</w:t>
      </w:r>
    </w:p>
    <w:p>
      <w:pPr>
        <w:spacing w:line="360" w:lineRule="auto"/>
        <w:ind w:firstLine="420"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21.5 磋商小组如发现供应商提供的证明文件不齐全或不符合规定格式的，应一次性告知供应商，供应</w:t>
      </w:r>
    </w:p>
    <w:p>
      <w:pPr>
        <w:spacing w:line="360" w:lineRule="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商应在规定的时间内线上补正或更正。</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21.6 磋商小组在对响应文件的有效性、完整性和响应程度进行审查时，可以要求供应商对响应文件中含义 </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不明确、同类问题表述不一致或者有明显文字和计算错误的内容等作出必要的澄清、说明或者更正。供应商的 </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澄清、说明或者更正不得超出响应文件的范围或者改变响应文件的实质性内容。澄清、说明或者更正应由其法 </w:t>
      </w:r>
    </w:p>
    <w:p>
      <w:pPr>
        <w:pStyle w:val="1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定代表人或相应的授权委托代表签字（</w:t>
      </w:r>
      <w:r>
        <w:rPr>
          <w:rFonts w:hint="eastAsia" w:asciiTheme="minorEastAsia" w:hAnsiTheme="minorEastAsia" w:eastAsiaTheme="minorEastAsia" w:cstheme="minorEastAsia"/>
          <w:color w:val="auto"/>
          <w:highlight w:val="none"/>
        </w:rPr>
        <w:t>个人CA签章)</w:t>
      </w:r>
      <w:r>
        <w:rPr>
          <w:rFonts w:hint="eastAsia" w:asciiTheme="minorEastAsia" w:hAnsiTheme="minorEastAsia" w:eastAsiaTheme="minorEastAsia" w:cstheme="minorEastAsia"/>
          <w:color w:val="auto"/>
          <w:szCs w:val="21"/>
          <w:highlight w:val="none"/>
        </w:rPr>
        <w:t>或者加盖供应商公章(CA签章)。</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根据磋商文件规定的程序、评定成交的标准等事项与实质性响应竞争性磋商文件要求的供应商进行磋商。 </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未实质性响应磋商文件的响应文件按无效处理，磋商小组应当告知有关供应商。 </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磋商小组所有成员应当按已确定的磋商顺序集中与单一供应商分别进行磋商，并给予所有实质性响应竞争 </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性磋商文件要求的供应商平等的磋商机会。 </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磋商中，磋商小组不得透露与磋商有关的其他供应商的技术资料、价格和其他信息。 </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磋商小组对磋商过程和重要磋商内容进行记录，磋商双方在记录上签字确认。 </w:t>
      </w:r>
    </w:p>
    <w:p>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21.7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21.8 在磋商过程中，磋商小组可以根据磋商文件和磋商情况实质性变动项目需求中的技术、服务要求以及 </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合同草案条款，但不得变动磋商文件中的其他内容。实质性变动的内容，须经采购人代表确认。 </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对磋商文件作出的实质性变动是磋商文件的有效组成部分，磋商小组应当及时通过广西政府采购云平台同时通知所有参加磋商的供应商。 </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供应商应当按照磋商文件的变动情况和磋商小组的要求重新提交响应文件，并由其法定代表人、负责人、自然人或相应的授权委托代表签字（个人CA签章）或者加盖供应商公章(CA签章)。逾时不交的，视同放弃磋商。 </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21.9 第二轮磋商</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磋商小组集中就重新提交的响应文件或磋商小组提出的磋商意见与单一响应供应商分别进行磋商。磋商小组对磋商过程和重要磋商内容进行记录，磋商双方在记录上签字确认（CA签章确认）。</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磋商后，供应商根据磋商小组统一整理的磋商记录要求做出书面承诺，并由其法定代表人或授权代表签字或者加盖公章（CA签章）后按时线上提交。</w:t>
      </w:r>
    </w:p>
    <w:p>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21.10 在采购过程中符合竞争要求的供应商或者报价未超过采购预算的供应商不足 3 家的，采购人或者采购代理机构应当终止竞争性磋商采购活动。 </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21.11 最后报价 </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21.11.1 磋商文件能够详细列明采购标的的技术、服务要求的，磋商结束后，磋商小组应当要求所有继续参加磋商的供应商在规定时间内线上提交最后报价，提交最后报价的供应商不得少于 3 家。 </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21.11.2 磋商文件不能详细列明采购标的的技术、服务要求的，需由磋商供应商提供最终设计方案或解决方案的，磋商结束后，磋商小组应当按照少数服从多数的原则投票推荐 3 家以上（含 3 家）供应商的设计方案或者解决方案，并要求其在规定时间内线上提交最后报价。 </w:t>
      </w:r>
    </w:p>
    <w:p>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21.11.3 根据《财政部关于政府采购竞争性磋商采购方式管理暂行办法有关问题的补充通知》(</w:t>
      </w:r>
      <w:r>
        <w:rPr>
          <w:rFonts w:hint="eastAsia" w:asciiTheme="minorEastAsia" w:hAnsiTheme="minorEastAsia" w:eastAsiaTheme="minorEastAsia" w:cstheme="minorEastAsia"/>
          <w:color w:val="auto"/>
          <w:highlight w:val="none"/>
        </w:rPr>
        <w:t>财库</w:t>
      </w:r>
      <w:r>
        <w:rPr>
          <w:rFonts w:hint="eastAsia" w:asciiTheme="minorEastAsia" w:hAnsiTheme="minorEastAsia" w:eastAsiaTheme="minorEastAsia" w:cstheme="minorEastAsia"/>
          <w:color w:val="auto"/>
          <w:szCs w:val="21"/>
          <w:highlight w:val="none"/>
        </w:rPr>
        <w:t xml:space="preserve">〔2015〕124号)的规定，如采购项目为政府购买服务项目（含政府和社会资本合作项目），在采购过程中符合要求的供应商（社会资本）只有 2 家的，竞争性磋商采购活动可以继续进行，并要求其在规定时间内线上提交最后报价；采购过程中符合要求的供应商（社会资本）只有 1 家的，采购人或者采购代理机构应当终止竞争性磋商采购活动，发布项目终止公告并说明原因，重新开展采购活动。 </w:t>
      </w:r>
    </w:p>
    <w:p>
      <w:pPr>
        <w:spacing w:line="360" w:lineRule="auto"/>
        <w:ind w:firstLine="420"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21.11.4 根据《政府采购竞争性磋商采购方式管理暂行办法》(财库〔2014〕214 号)的规定：</w:t>
      </w:r>
      <w:r>
        <w:rPr>
          <w:rFonts w:hint="eastAsia" w:asciiTheme="minorEastAsia" w:hAnsiTheme="minorEastAsia" w:eastAsiaTheme="minorEastAsia" w:cstheme="minorEastAsia"/>
          <w:b/>
          <w:bCs/>
          <w:color w:val="auto"/>
          <w:szCs w:val="21"/>
          <w:highlight w:val="none"/>
        </w:rPr>
        <w:t xml:space="preserve">最后报价是供应商响应文件的有效组成部分。 </w:t>
      </w:r>
      <w:r>
        <w:rPr>
          <w:rFonts w:hint="eastAsia" w:asciiTheme="minorEastAsia" w:hAnsiTheme="minorEastAsia" w:eastAsiaTheme="minorEastAsia" w:cstheme="minorEastAsia"/>
          <w:color w:val="auto"/>
          <w:szCs w:val="21"/>
          <w:highlight w:val="none"/>
        </w:rPr>
        <w:t>符合本办法(财库〔2014〕214号文)第三条第四项情形的，提交最后报价的供应商可以为2家。</w:t>
      </w:r>
      <w:r>
        <w:rPr>
          <w:rFonts w:hint="eastAsia" w:asciiTheme="minorEastAsia" w:hAnsiTheme="minorEastAsia" w:eastAsiaTheme="minorEastAsia" w:cstheme="minorEastAsia"/>
          <w:b/>
          <w:bCs/>
          <w:color w:val="auto"/>
          <w:szCs w:val="21"/>
          <w:highlight w:val="none"/>
        </w:rPr>
        <w:t>（财库〔2014〕214号文第三条第四项：市场竞争不充分的科研项目，以及需要扶持的科技成果转化项目。）</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21.12 已提交响应文件的供应商，在提交最后报价之前，可以根据磋商情况退出磋商。 </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未退出磋商的供应商</w:t>
      </w:r>
      <w:r>
        <w:rPr>
          <w:rFonts w:hint="eastAsia" w:asciiTheme="minorEastAsia" w:hAnsiTheme="minorEastAsia" w:eastAsiaTheme="minorEastAsia" w:cstheme="minorEastAsia"/>
          <w:color w:val="auto"/>
          <w:kern w:val="0"/>
          <w:szCs w:val="21"/>
          <w:highlight w:val="none"/>
        </w:rPr>
        <w:t>应在规定时间内在广西政府采购云平台系统上提交最后报价，超出评委设定的最后报价时限或其最后报价超出采购预算导致已通过评审的响应文件无效的，按供应商在提交响应文件截止时间后撤回响应文件处理。</w:t>
      </w:r>
    </w:p>
    <w:p>
      <w:pPr>
        <w:pStyle w:val="21"/>
        <w:widowControl/>
        <w:shd w:val="clear" w:color="auto" w:fill="FFFFFF"/>
        <w:spacing w:line="360" w:lineRule="exact"/>
        <w:ind w:firstLine="420" w:firstLineChars="200"/>
        <w:jc w:val="both"/>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21.13</w:t>
      </w:r>
      <w:r>
        <w:rPr>
          <w:rFonts w:hint="eastAsia" w:asciiTheme="minorEastAsia" w:hAnsiTheme="minorEastAsia" w:eastAsiaTheme="minorEastAsia" w:cstheme="minorEastAsia"/>
          <w:b/>
          <w:color w:val="auto"/>
          <w:sz w:val="21"/>
          <w:szCs w:val="21"/>
          <w:highlight w:val="none"/>
          <w:shd w:val="clear" w:color="auto" w:fill="FFFFFF"/>
        </w:rPr>
        <w:t>根据</w:t>
      </w:r>
      <w:r>
        <w:rPr>
          <w:rFonts w:hint="eastAsia" w:asciiTheme="minorEastAsia" w:hAnsiTheme="minorEastAsia" w:eastAsiaTheme="minorEastAsia" w:cstheme="minorEastAsia"/>
          <w:b/>
          <w:bCs/>
          <w:color w:val="auto"/>
          <w:sz w:val="21"/>
          <w:szCs w:val="21"/>
          <w:highlight w:val="none"/>
          <w:shd w:val="clear" w:color="auto" w:fill="FFFFFF"/>
        </w:rPr>
        <w:t>《</w:t>
      </w:r>
      <w:r>
        <w:rPr>
          <w:rFonts w:hint="eastAsia" w:asciiTheme="minorEastAsia" w:hAnsiTheme="minorEastAsia" w:eastAsiaTheme="minorEastAsia" w:cstheme="minorEastAsia"/>
          <w:b/>
          <w:color w:val="auto"/>
          <w:sz w:val="21"/>
          <w:szCs w:val="21"/>
          <w:highlight w:val="none"/>
          <w:shd w:val="clear" w:color="auto" w:fill="FFFFFF"/>
        </w:rPr>
        <w:t>关于推动解决政府采购异常低价问题的通知</w:t>
      </w:r>
      <w:r>
        <w:rPr>
          <w:rFonts w:hint="eastAsia" w:asciiTheme="minorEastAsia" w:hAnsiTheme="minorEastAsia" w:eastAsiaTheme="minorEastAsia" w:cstheme="minorEastAsia"/>
          <w:b/>
          <w:bCs/>
          <w:color w:val="auto"/>
          <w:sz w:val="21"/>
          <w:szCs w:val="21"/>
          <w:highlight w:val="none"/>
          <w:shd w:val="clear" w:color="auto" w:fill="FFFFFF"/>
        </w:rPr>
        <w:t>》（财库〔2026〕2号）规定</w:t>
      </w: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b/>
          <w:color w:val="auto"/>
          <w:sz w:val="21"/>
          <w:szCs w:val="21"/>
          <w:highlight w:val="none"/>
          <w:shd w:val="clear" w:color="auto" w:fill="FFFFFF"/>
        </w:rPr>
        <w:t>政府采购评审中出现下列情形之一的，评审委员会应当启动异常低价投标（响应）审查程序： </w:t>
      </w:r>
    </w:p>
    <w:p>
      <w:pPr>
        <w:pStyle w:val="21"/>
        <w:widowControl/>
        <w:shd w:val="clear" w:color="auto" w:fill="FFFFFF"/>
        <w:spacing w:line="360" w:lineRule="exact"/>
        <w:ind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rPr>
        <w:t>（1）投标（响应）报价低于全部通过符合性审查供应商投标（响应）报价平均值50%的，即投标（响应）报价&lt;全部通过符合性审查供应商投标（响应）报价平均值×50%； </w:t>
      </w:r>
    </w:p>
    <w:p>
      <w:pPr>
        <w:pStyle w:val="21"/>
        <w:widowControl/>
        <w:shd w:val="clear" w:color="auto" w:fill="FFFFFF"/>
        <w:spacing w:line="360" w:lineRule="exact"/>
        <w:ind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rPr>
        <w:t>（2）投标（响应）报价低于通过符合性审查的次低报价供应商投标（响应）报价50%的，即投标（响应）报价&lt;通过符合性审查的次低报价供应商投标（响应）报价×50%； </w:t>
      </w:r>
    </w:p>
    <w:p>
      <w:pPr>
        <w:pStyle w:val="21"/>
        <w:widowControl/>
        <w:shd w:val="clear" w:color="auto" w:fill="FFFFFF"/>
        <w:spacing w:line="360" w:lineRule="exact"/>
        <w:ind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rPr>
        <w:t>（3）投标（响应）报价低于采购项目最高限价45%的，即投标（响应）报价&lt;采购项目最高限价×45%； </w:t>
      </w:r>
    </w:p>
    <w:p>
      <w:pPr>
        <w:pStyle w:val="21"/>
        <w:widowControl/>
        <w:shd w:val="clear" w:color="auto" w:fill="FFFFFF"/>
        <w:spacing w:line="360" w:lineRule="exact"/>
        <w:ind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rPr>
        <w:t>（4）评审委员会基于专业判断，认为供应商报价过低，有可能影响产品质量或者不能诚信履约的其他情形。 </w:t>
      </w:r>
    </w:p>
    <w:p>
      <w:pPr>
        <w:spacing w:line="3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shd w:val="clear" w:color="auto" w:fill="FFFFFF"/>
        </w:rPr>
        <w:t>评审委员会启动异常低价投标（响应）审查后，属于前述第1项至第4项情形的，应当要求相关供应商</w:t>
      </w:r>
      <w:r>
        <w:rPr>
          <w:rFonts w:hint="eastAsia" w:asciiTheme="minorEastAsia" w:hAnsiTheme="minorEastAsia" w:eastAsiaTheme="minorEastAsia" w:cstheme="minorEastAsia"/>
          <w:color w:val="auto"/>
          <w:szCs w:val="21"/>
          <w:highlight w:val="none"/>
        </w:rPr>
        <w:t>在评审委员会要求的时间内</w:t>
      </w:r>
      <w:r>
        <w:rPr>
          <w:rFonts w:hint="eastAsia" w:asciiTheme="minorEastAsia" w:hAnsiTheme="minorEastAsia" w:eastAsiaTheme="minorEastAsia" w:cstheme="minorEastAsia"/>
          <w:color w:val="auto"/>
          <w:szCs w:val="21"/>
          <w:highlight w:val="none"/>
          <w:shd w:val="clear" w:color="auto" w:fill="FFFFFF"/>
        </w:rPr>
        <w:t>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投标（响应）供应商不能提供书面说明、证明材料，或者提供的书面说明、证明材料不能证明其报价合理性的，评审委员会应当将其作为无效投标（响应）处理。</w:t>
      </w:r>
      <w:r>
        <w:rPr>
          <w:rFonts w:hint="eastAsia" w:asciiTheme="minorEastAsia" w:hAnsiTheme="minorEastAsia" w:eastAsiaTheme="minorEastAsia" w:cstheme="minorEastAsia"/>
          <w:color w:val="auto"/>
          <w:szCs w:val="21"/>
          <w:highlight w:val="none"/>
        </w:rPr>
        <w:t> 异常低价投标（响应）审查的启动原因、审查意见和审查结果应当在评审报告中记录。</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21.14评审报告 </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磋商小组应当从质量和服务均能满足磋商文件全部实质性响应要求的供应商中，按照最后综合得分由高到低的顺序提出 3 名以上（含 3 名）成交候选人，并编写评审报告。</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21.15在评审过程中出现法律法规和磋商文件均没有明确规定的情形时，由磋商小组现场协商解决，协商 </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不一致的，由全体磋商小组投票表决，以得票率二分之一以上磋商小组成员的意见为准。 </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21.16 采购代理机构发现磋商小组有明显的违规倾向或歧视现象，或不按评审办法进行，或其他不正常行 </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为的，应当及时制止。如制止无效，应及时向桂林市政府采购监督管理机构报告。</w:t>
      </w:r>
    </w:p>
    <w:p>
      <w:pPr>
        <w:spacing w:line="360" w:lineRule="auto"/>
        <w:ind w:firstLine="420" w:firstLineChars="20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szCs w:val="21"/>
          <w:highlight w:val="none"/>
        </w:rPr>
        <w:t>21.17 本采购项目的评审依据为竞争性磋商文件和竞争性磋商响应文件，采用的评审方法为</w:t>
      </w:r>
      <w:r>
        <w:rPr>
          <w:rFonts w:hint="eastAsia" w:asciiTheme="minorEastAsia" w:hAnsiTheme="minorEastAsia" w:eastAsiaTheme="minorEastAsia" w:cstheme="minorEastAsia"/>
          <w:b/>
          <w:bCs/>
          <w:color w:val="auto"/>
          <w:szCs w:val="21"/>
          <w:highlight w:val="none"/>
        </w:rPr>
        <w:t>综合评分法。</w:t>
      </w:r>
    </w:p>
    <w:p>
      <w:pPr>
        <w:pStyle w:val="5"/>
        <w:spacing w:line="360" w:lineRule="auto"/>
        <w:ind w:firstLine="420" w:firstLineChars="200"/>
        <w:rPr>
          <w:rFonts w:hint="eastAsia" w:asciiTheme="minorEastAsia" w:hAnsiTheme="minorEastAsia" w:eastAsiaTheme="minorEastAsia" w:cstheme="minorEastAsia"/>
          <w:color w:val="auto"/>
          <w:sz w:val="21"/>
          <w:szCs w:val="21"/>
          <w:highlight w:val="none"/>
        </w:rPr>
      </w:pPr>
      <w:bookmarkStart w:id="311" w:name="_Toc26487"/>
      <w:bookmarkStart w:id="312" w:name="_Toc31912"/>
      <w:bookmarkStart w:id="313" w:name="_Toc23844"/>
      <w:bookmarkStart w:id="314" w:name="_Toc29029"/>
      <w:bookmarkStart w:id="315" w:name="_Toc19728"/>
      <w:bookmarkStart w:id="316" w:name="_Toc3915"/>
      <w:bookmarkStart w:id="317" w:name="_Toc1005"/>
      <w:bookmarkStart w:id="318" w:name="_Toc32470"/>
      <w:bookmarkStart w:id="319" w:name="_Toc2149"/>
      <w:r>
        <w:rPr>
          <w:rFonts w:hint="eastAsia" w:asciiTheme="minorEastAsia" w:hAnsiTheme="minorEastAsia" w:eastAsiaTheme="minorEastAsia" w:cstheme="minorEastAsia"/>
          <w:color w:val="auto"/>
          <w:sz w:val="21"/>
          <w:szCs w:val="21"/>
          <w:highlight w:val="none"/>
        </w:rPr>
        <w:t>22. 确定成交供应商</w:t>
      </w:r>
      <w:bookmarkEnd w:id="311"/>
      <w:bookmarkEnd w:id="312"/>
      <w:bookmarkEnd w:id="313"/>
      <w:bookmarkEnd w:id="314"/>
      <w:bookmarkEnd w:id="315"/>
      <w:bookmarkEnd w:id="316"/>
      <w:bookmarkEnd w:id="317"/>
      <w:bookmarkEnd w:id="318"/>
      <w:bookmarkEnd w:id="319"/>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22.1磋商小组应当根据综合得分情况，按照综合得分由高到低顺序推荐成交候选人，并编写评审报告。磋商小组根据综合得分由高到低排列次序，若得分相同时，以评审报价由低到高顺序排列；若得分相同且评审报价相同的，以最后报价由低到高顺序排列；若仍相同的，由磋商小组按照抽签的方式决定排列次序。</w:t>
      </w:r>
    </w:p>
    <w:p>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22.2采购单位应当确定磋商小组推荐排名第一的成交候选人为成交供应商。</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22.3排名第一的成交候选人放弃成交、因不可抗力提出不能履行合同，或信用信息记录不符合相关规定的，或者磋商文件规定应当提交履约保证金而在规定的期限内未能提交的（本项目免收履约保证金），采购单位可以确定排名第二的成交候选人为成交供应商。</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22.4排名第二的成交候选人因前款规定的同样原因不能签订合同的，采购单位可以确定排名第三的成交候选人为成交供应商。</w:t>
      </w:r>
    </w:p>
    <w:p>
      <w:pPr>
        <w:pStyle w:val="5"/>
        <w:spacing w:line="360" w:lineRule="auto"/>
        <w:ind w:firstLine="420" w:firstLineChars="200"/>
        <w:rPr>
          <w:rFonts w:hint="eastAsia" w:asciiTheme="minorEastAsia" w:hAnsiTheme="minorEastAsia" w:eastAsiaTheme="minorEastAsia" w:cstheme="minorEastAsia"/>
          <w:color w:val="auto"/>
          <w:sz w:val="21"/>
          <w:szCs w:val="21"/>
          <w:highlight w:val="none"/>
        </w:rPr>
      </w:pPr>
      <w:bookmarkStart w:id="320" w:name="_Toc2221"/>
      <w:bookmarkStart w:id="321" w:name="_Toc21715"/>
      <w:bookmarkStart w:id="322" w:name="_Toc9598"/>
      <w:bookmarkStart w:id="323" w:name="_Toc7831"/>
      <w:bookmarkStart w:id="324" w:name="_Toc2766"/>
      <w:bookmarkStart w:id="325" w:name="_Toc28790"/>
      <w:bookmarkStart w:id="326" w:name="_Toc19046"/>
      <w:bookmarkStart w:id="327" w:name="_Toc24390"/>
      <w:bookmarkStart w:id="328" w:name="_Toc4682"/>
      <w:r>
        <w:rPr>
          <w:rFonts w:hint="eastAsia" w:asciiTheme="minorEastAsia" w:hAnsiTheme="minorEastAsia" w:eastAsiaTheme="minorEastAsia" w:cstheme="minorEastAsia"/>
          <w:color w:val="auto"/>
          <w:sz w:val="21"/>
          <w:szCs w:val="21"/>
          <w:highlight w:val="none"/>
        </w:rPr>
        <w:t>23. 属于下列情况之一者，响应文件无效</w:t>
      </w:r>
      <w:bookmarkEnd w:id="320"/>
      <w:bookmarkEnd w:id="321"/>
      <w:bookmarkEnd w:id="322"/>
      <w:bookmarkEnd w:id="323"/>
      <w:bookmarkEnd w:id="324"/>
      <w:bookmarkEnd w:id="325"/>
      <w:bookmarkEnd w:id="326"/>
      <w:bookmarkEnd w:id="327"/>
      <w:bookmarkEnd w:id="328"/>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（1）未按磋商文件规定完整线上提交响应文件或未按规定要求线上签字、签章的；</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（2）不具备磋商文件规定的资格要求的；</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（3）响应文件未按磋商文件的内容和要求编制，或提供虚假材料的；</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（4）响应文件有效期、交货时间、免费保修期（升级、维护）期/维护期、售后服务不能满足磋商文件要求的；</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（5）供应商未就“采购需求”中的所有内容作完整唯一报价的，或报价超出采购预算总金额的；</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（6）未在磋商小组规定的时间内提交响应文件(包括最后报价)的；</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（7）超越了按照法律法规规定必须获得行政许可或者行政审批的经营范围的；</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（8）未满足磋商文件实质性要求的或者响应文件有采购人不能接受的附加条件的；</w:t>
      </w:r>
    </w:p>
    <w:p>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（9）响应文件实质性要求未做变动，供应商最后报价高于第一次报价的；</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（10）不符合法律、法规和磋商文件规定的其他实质性要求和条件的。</w:t>
      </w:r>
    </w:p>
    <w:p>
      <w:pPr>
        <w:spacing w:line="360" w:lineRule="auto"/>
        <w:ind w:firstLine="420"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供应商有下列情形之一的视为供应商相互串通磋商，响应文件将被视为无效</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（1）不同供应商的响应文件由同一单位或者个人编制；或不同供应商报名的IP地址一致的；</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（2）不同供应商委托同一单位或者个人办理磋商事宜；</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（3）不同的供应商的响应文件载明的项目管理员为同一个人；</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（4）不同供应商的响应文件异常一致或竞标报价呈规律性差异；</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（5）不同供应商的响应文件相互混编；</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（6）不同供应商的磋商保证金从同一单位或者个人账户转出。</w:t>
      </w:r>
    </w:p>
    <w:p>
      <w:pPr>
        <w:pStyle w:val="5"/>
        <w:spacing w:line="360" w:lineRule="auto"/>
        <w:ind w:firstLine="420" w:firstLineChars="200"/>
        <w:rPr>
          <w:rFonts w:hint="eastAsia" w:asciiTheme="minorEastAsia" w:hAnsiTheme="minorEastAsia" w:eastAsiaTheme="minorEastAsia" w:cstheme="minorEastAsia"/>
          <w:color w:val="auto"/>
          <w:sz w:val="21"/>
          <w:szCs w:val="21"/>
          <w:highlight w:val="none"/>
        </w:rPr>
      </w:pPr>
      <w:bookmarkStart w:id="329" w:name="_Toc29016"/>
      <w:bookmarkStart w:id="330" w:name="_Toc20770"/>
      <w:bookmarkStart w:id="331" w:name="_Toc5714"/>
      <w:bookmarkStart w:id="332" w:name="_Toc1425"/>
      <w:bookmarkStart w:id="333" w:name="_Toc5168"/>
      <w:bookmarkStart w:id="334" w:name="_Toc17971"/>
      <w:bookmarkStart w:id="335" w:name="_Toc15929"/>
      <w:bookmarkStart w:id="336" w:name="_Toc17161"/>
      <w:bookmarkStart w:id="337" w:name="_Toc5833"/>
      <w:r>
        <w:rPr>
          <w:rFonts w:hint="eastAsia" w:asciiTheme="minorEastAsia" w:hAnsiTheme="minorEastAsia" w:eastAsiaTheme="minorEastAsia" w:cstheme="minorEastAsia"/>
          <w:color w:val="auto"/>
          <w:sz w:val="21"/>
          <w:szCs w:val="21"/>
          <w:highlight w:val="none"/>
        </w:rPr>
        <w:t>24. 出现下列情形之一的，采购人或者采购代理机构应当终止竞争性磋商采购活动，发布项目终止公告并说明原因，重新开展采购活动</w:t>
      </w:r>
      <w:bookmarkEnd w:id="329"/>
      <w:bookmarkEnd w:id="330"/>
      <w:bookmarkEnd w:id="331"/>
      <w:bookmarkEnd w:id="332"/>
      <w:bookmarkEnd w:id="333"/>
      <w:bookmarkEnd w:id="334"/>
      <w:bookmarkEnd w:id="335"/>
      <w:bookmarkEnd w:id="336"/>
      <w:bookmarkEnd w:id="337"/>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（1）因情况变化，不再符合规定的竞争性磋商采购方式适用情形的；</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（2）出现影响采购公正的违法、违规行为的； </w:t>
      </w:r>
    </w:p>
    <w:p>
      <w:pPr>
        <w:spacing w:line="360" w:lineRule="auto"/>
        <w:ind w:firstLine="420"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（3）在采购过程中符合竞争要求的供应商或者报价未超过采购预算的供应商不足3家的。</w:t>
      </w:r>
      <w:r>
        <w:rPr>
          <w:rFonts w:hint="eastAsia" w:asciiTheme="minorEastAsia" w:hAnsiTheme="minorEastAsia" w:eastAsiaTheme="minorEastAsia" w:cstheme="minorEastAsia"/>
          <w:b/>
          <w:bCs/>
          <w:color w:val="auto"/>
          <w:szCs w:val="21"/>
          <w:highlight w:val="none"/>
        </w:rPr>
        <w:t>（除财库〔2014〕214 号《政府采购竞争性磋商采购方式管理暂行办法》第二十一条第三款规定的情形外）。</w:t>
      </w:r>
    </w:p>
    <w:p>
      <w:pPr>
        <w:pStyle w:val="5"/>
        <w:spacing w:line="360" w:lineRule="auto"/>
        <w:ind w:firstLine="420" w:firstLineChars="200"/>
        <w:rPr>
          <w:rFonts w:hint="eastAsia" w:asciiTheme="minorEastAsia" w:hAnsiTheme="minorEastAsia" w:eastAsiaTheme="minorEastAsia" w:cstheme="minorEastAsia"/>
          <w:color w:val="auto"/>
          <w:sz w:val="21"/>
          <w:szCs w:val="21"/>
          <w:highlight w:val="none"/>
        </w:rPr>
      </w:pPr>
      <w:bookmarkStart w:id="338" w:name="_Toc14092"/>
      <w:bookmarkStart w:id="339" w:name="_Toc32461"/>
      <w:bookmarkStart w:id="340" w:name="_Toc14354"/>
      <w:bookmarkStart w:id="341" w:name="_Toc26609"/>
      <w:bookmarkStart w:id="342" w:name="_Toc15936"/>
      <w:bookmarkStart w:id="343" w:name="_Toc23896"/>
      <w:bookmarkStart w:id="344" w:name="_Toc19105"/>
      <w:bookmarkStart w:id="345" w:name="_Toc380"/>
      <w:bookmarkStart w:id="346" w:name="_Toc25539"/>
      <w:r>
        <w:rPr>
          <w:rFonts w:hint="eastAsia" w:asciiTheme="minorEastAsia" w:hAnsiTheme="minorEastAsia" w:eastAsiaTheme="minorEastAsia" w:cstheme="minorEastAsia"/>
          <w:color w:val="auto"/>
          <w:sz w:val="21"/>
          <w:szCs w:val="21"/>
          <w:highlight w:val="none"/>
        </w:rPr>
        <w:t>25. 磋商过程的监控</w:t>
      </w:r>
      <w:bookmarkEnd w:id="338"/>
      <w:bookmarkEnd w:id="339"/>
      <w:bookmarkEnd w:id="340"/>
      <w:bookmarkEnd w:id="341"/>
      <w:bookmarkEnd w:id="342"/>
      <w:bookmarkEnd w:id="343"/>
      <w:bookmarkEnd w:id="344"/>
      <w:bookmarkEnd w:id="345"/>
      <w:bookmarkEnd w:id="346"/>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本项目磋商过程实行全程录音、录像监控，供应商在磋商过程中所进行的试图影响磋商结果的不公正活动，可能导致其磋商被拒绝。</w:t>
      </w:r>
    </w:p>
    <w:p>
      <w:pPr>
        <w:pStyle w:val="5"/>
        <w:numPr>
          <w:ilvl w:val="0"/>
          <w:numId w:val="6"/>
        </w:numPr>
        <w:spacing w:line="360" w:lineRule="auto"/>
        <w:ind w:firstLine="420" w:firstLineChars="200"/>
        <w:rPr>
          <w:rFonts w:hint="eastAsia" w:asciiTheme="minorEastAsia" w:hAnsiTheme="minorEastAsia" w:eastAsiaTheme="minorEastAsia" w:cstheme="minorEastAsia"/>
          <w:color w:val="auto"/>
          <w:sz w:val="21"/>
          <w:szCs w:val="21"/>
          <w:highlight w:val="none"/>
        </w:rPr>
      </w:pPr>
      <w:bookmarkStart w:id="347" w:name="_Toc654"/>
      <w:bookmarkStart w:id="348" w:name="_Toc11525"/>
      <w:bookmarkStart w:id="349" w:name="_Toc1024"/>
      <w:bookmarkStart w:id="350" w:name="_Toc14787"/>
      <w:bookmarkStart w:id="351" w:name="_Toc17445"/>
      <w:bookmarkStart w:id="352" w:name="_Toc5667"/>
      <w:bookmarkStart w:id="353" w:name="_Toc6437"/>
      <w:bookmarkStart w:id="354" w:name="_Toc32457"/>
      <w:bookmarkStart w:id="355" w:name="_Toc27175"/>
      <w:r>
        <w:rPr>
          <w:rFonts w:hint="eastAsia" w:asciiTheme="minorEastAsia" w:hAnsiTheme="minorEastAsia" w:eastAsiaTheme="minorEastAsia" w:cstheme="minorEastAsia"/>
          <w:color w:val="auto"/>
          <w:sz w:val="21"/>
          <w:szCs w:val="21"/>
          <w:highlight w:val="none"/>
        </w:rPr>
        <w:t>信用查询</w:t>
      </w:r>
      <w:bookmarkEnd w:id="347"/>
      <w:bookmarkEnd w:id="348"/>
      <w:bookmarkEnd w:id="349"/>
      <w:bookmarkEnd w:id="350"/>
      <w:bookmarkEnd w:id="351"/>
      <w:bookmarkEnd w:id="352"/>
      <w:bookmarkEnd w:id="353"/>
      <w:bookmarkEnd w:id="354"/>
      <w:bookmarkEnd w:id="355"/>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根据《关于做好政府采购有关信用主体标识码登记及在政府采购活动中查询使用信用记录有关问题的通知》(桂财采〔2016〕37号)，采购代理机构对成交人的成交资格进行信用查询：</w:t>
      </w:r>
    </w:p>
    <w:p>
      <w:pPr>
        <w:spacing w:line="360"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（1）查询渠道：“信用中国”网站(www.creditchina.gov.cn)、中国政府采购网(www.ccgp.gov.cn)等；</w:t>
      </w:r>
    </w:p>
    <w:p>
      <w:pPr>
        <w:spacing w:line="360"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（2）查询时间：成交通知书发出前；</w:t>
      </w:r>
    </w:p>
    <w:p>
      <w:pPr>
        <w:spacing w:line="360"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（3）信用信息查询记录和证据留存方式：在查询网站中直接打印查询记录，打印材料作为采购活动资料保存。</w:t>
      </w:r>
    </w:p>
    <w:p>
      <w:pPr>
        <w:spacing w:line="360"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5"/>
        <w:spacing w:line="360" w:lineRule="auto"/>
        <w:ind w:firstLine="420" w:firstLineChars="200"/>
        <w:rPr>
          <w:rFonts w:hint="eastAsia" w:asciiTheme="minorEastAsia" w:hAnsiTheme="minorEastAsia" w:eastAsiaTheme="minorEastAsia" w:cstheme="minorEastAsia"/>
          <w:color w:val="auto"/>
          <w:sz w:val="21"/>
          <w:szCs w:val="21"/>
          <w:highlight w:val="none"/>
        </w:rPr>
      </w:pPr>
      <w:bookmarkStart w:id="356" w:name="_Toc4006"/>
      <w:bookmarkStart w:id="357" w:name="_Toc29453"/>
      <w:bookmarkStart w:id="358" w:name="_Toc23899"/>
      <w:bookmarkStart w:id="359" w:name="_Toc18494"/>
      <w:bookmarkStart w:id="360" w:name="_Toc7273"/>
      <w:bookmarkStart w:id="361" w:name="_Toc9438"/>
      <w:bookmarkStart w:id="362" w:name="_Toc6319"/>
      <w:bookmarkStart w:id="363" w:name="_Toc778"/>
      <w:bookmarkStart w:id="364" w:name="_Toc29429"/>
      <w:r>
        <w:rPr>
          <w:rFonts w:hint="eastAsia" w:asciiTheme="minorEastAsia" w:hAnsiTheme="minorEastAsia" w:eastAsiaTheme="minorEastAsia" w:cstheme="minorEastAsia"/>
          <w:color w:val="auto"/>
          <w:sz w:val="21"/>
          <w:szCs w:val="21"/>
          <w:highlight w:val="none"/>
        </w:rPr>
        <w:t>27. 成交结果公告及成交通知书</w:t>
      </w:r>
      <w:bookmarkEnd w:id="356"/>
      <w:bookmarkEnd w:id="357"/>
      <w:bookmarkEnd w:id="358"/>
      <w:bookmarkEnd w:id="359"/>
      <w:bookmarkEnd w:id="360"/>
      <w:bookmarkEnd w:id="361"/>
      <w:bookmarkEnd w:id="362"/>
      <w:bookmarkEnd w:id="363"/>
      <w:bookmarkEnd w:id="364"/>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27.2 成交公告发布的同时，采购代理机构在线向成交供应商发出电子成交通知书。</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27.3 采购代理机构无义务向未成交的供应商解释未成交原因和退还响应文件。</w:t>
      </w:r>
    </w:p>
    <w:p>
      <w:pPr>
        <w:pStyle w:val="4"/>
        <w:jc w:val="center"/>
        <w:rPr>
          <w:rFonts w:hint="eastAsia" w:asciiTheme="minorEastAsia" w:hAnsiTheme="minorEastAsia" w:eastAsiaTheme="minorEastAsia" w:cstheme="minorEastAsia"/>
          <w:b/>
          <w:bCs w:val="0"/>
          <w:color w:val="auto"/>
          <w:szCs w:val="28"/>
          <w:highlight w:val="none"/>
        </w:rPr>
      </w:pPr>
      <w:bookmarkStart w:id="365" w:name="_Toc19479"/>
      <w:bookmarkStart w:id="366" w:name="_Toc6469"/>
      <w:bookmarkStart w:id="367" w:name="_Toc31778"/>
      <w:bookmarkStart w:id="368" w:name="_Toc10340"/>
      <w:bookmarkStart w:id="369" w:name="_Toc31764"/>
      <w:bookmarkStart w:id="370" w:name="_Toc25593"/>
      <w:bookmarkStart w:id="371" w:name="_Toc10354"/>
      <w:bookmarkStart w:id="372" w:name="_Toc29242"/>
      <w:bookmarkStart w:id="373" w:name="_Toc18122"/>
      <w:r>
        <w:rPr>
          <w:rFonts w:hint="eastAsia" w:asciiTheme="minorEastAsia" w:hAnsiTheme="minorEastAsia" w:eastAsiaTheme="minorEastAsia" w:cstheme="minorEastAsia"/>
          <w:b/>
          <w:bCs w:val="0"/>
          <w:color w:val="auto"/>
          <w:szCs w:val="28"/>
          <w:highlight w:val="none"/>
        </w:rPr>
        <w:t>五、签订合同</w:t>
      </w:r>
      <w:bookmarkEnd w:id="365"/>
      <w:bookmarkEnd w:id="366"/>
      <w:bookmarkEnd w:id="367"/>
      <w:bookmarkEnd w:id="368"/>
      <w:bookmarkEnd w:id="369"/>
      <w:bookmarkEnd w:id="370"/>
      <w:bookmarkEnd w:id="371"/>
      <w:bookmarkEnd w:id="372"/>
      <w:bookmarkEnd w:id="373"/>
    </w:p>
    <w:p>
      <w:pPr>
        <w:pStyle w:val="5"/>
        <w:spacing w:line="360" w:lineRule="auto"/>
        <w:ind w:firstLine="420" w:firstLineChars="200"/>
        <w:rPr>
          <w:rFonts w:hint="eastAsia" w:asciiTheme="minorEastAsia" w:hAnsiTheme="minorEastAsia" w:eastAsiaTheme="minorEastAsia" w:cstheme="minorEastAsia"/>
          <w:color w:val="auto"/>
          <w:sz w:val="21"/>
          <w:szCs w:val="21"/>
          <w:highlight w:val="none"/>
        </w:rPr>
      </w:pPr>
      <w:bookmarkStart w:id="374" w:name="_Toc26520"/>
      <w:bookmarkStart w:id="375" w:name="_Toc6873"/>
      <w:bookmarkStart w:id="376" w:name="_Toc7574"/>
      <w:bookmarkStart w:id="377" w:name="_Toc2100"/>
      <w:bookmarkStart w:id="378" w:name="_Toc9892"/>
      <w:bookmarkStart w:id="379" w:name="_Toc6518"/>
      <w:bookmarkStart w:id="380" w:name="_Toc734"/>
      <w:bookmarkStart w:id="381" w:name="_Toc19408"/>
      <w:bookmarkStart w:id="382" w:name="_Toc29247"/>
      <w:r>
        <w:rPr>
          <w:rFonts w:hint="eastAsia" w:asciiTheme="minorEastAsia" w:hAnsiTheme="minorEastAsia" w:eastAsiaTheme="minorEastAsia" w:cstheme="minorEastAsia"/>
          <w:color w:val="auto"/>
          <w:sz w:val="21"/>
          <w:szCs w:val="21"/>
          <w:highlight w:val="none"/>
        </w:rPr>
        <w:t>28. 履约保证金</w:t>
      </w:r>
      <w:bookmarkEnd w:id="374"/>
      <w:bookmarkEnd w:id="375"/>
      <w:bookmarkEnd w:id="376"/>
      <w:bookmarkEnd w:id="377"/>
      <w:bookmarkEnd w:id="378"/>
      <w:bookmarkEnd w:id="379"/>
      <w:bookmarkEnd w:id="380"/>
      <w:bookmarkEnd w:id="381"/>
      <w:bookmarkEnd w:id="382"/>
    </w:p>
    <w:p>
      <w:pPr>
        <w:ind w:firstLine="420"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本项目无需缴纳履约保证金。</w:t>
      </w:r>
    </w:p>
    <w:p>
      <w:pPr>
        <w:pStyle w:val="5"/>
        <w:spacing w:line="360" w:lineRule="auto"/>
        <w:ind w:firstLine="420" w:firstLineChars="200"/>
        <w:rPr>
          <w:rFonts w:hint="eastAsia" w:asciiTheme="minorEastAsia" w:hAnsiTheme="minorEastAsia" w:eastAsiaTheme="minorEastAsia" w:cstheme="minorEastAsia"/>
          <w:color w:val="auto"/>
          <w:sz w:val="21"/>
          <w:szCs w:val="21"/>
          <w:highlight w:val="none"/>
        </w:rPr>
      </w:pPr>
      <w:bookmarkStart w:id="383" w:name="_Toc6482"/>
      <w:bookmarkStart w:id="384" w:name="_Toc23309"/>
      <w:bookmarkStart w:id="385" w:name="_Toc24052"/>
      <w:bookmarkStart w:id="386" w:name="_Toc4956"/>
      <w:bookmarkStart w:id="387" w:name="_Toc5987"/>
      <w:bookmarkStart w:id="388" w:name="_Toc4237"/>
      <w:bookmarkStart w:id="389" w:name="_Toc2947"/>
      <w:bookmarkStart w:id="390" w:name="_Toc24716"/>
      <w:bookmarkStart w:id="391" w:name="_Toc1023"/>
      <w:r>
        <w:rPr>
          <w:rFonts w:hint="eastAsia" w:asciiTheme="minorEastAsia" w:hAnsiTheme="minorEastAsia" w:eastAsiaTheme="minorEastAsia" w:cstheme="minorEastAsia"/>
          <w:color w:val="auto"/>
          <w:sz w:val="21"/>
          <w:szCs w:val="21"/>
          <w:highlight w:val="none"/>
        </w:rPr>
        <w:t>29. 签订合同</w:t>
      </w:r>
      <w:bookmarkEnd w:id="383"/>
      <w:bookmarkEnd w:id="384"/>
      <w:bookmarkEnd w:id="385"/>
      <w:bookmarkEnd w:id="386"/>
      <w:bookmarkEnd w:id="387"/>
      <w:bookmarkEnd w:id="388"/>
      <w:bookmarkEnd w:id="389"/>
      <w:bookmarkEnd w:id="390"/>
      <w:bookmarkEnd w:id="391"/>
    </w:p>
    <w:p>
      <w:pPr>
        <w:spacing w:line="360" w:lineRule="auto"/>
        <w:ind w:firstLine="420"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29.1 签订合同时间：成交通知书发出之日起八个工作日内签订合同。成交供应商收到成交通知书后，应按规定与采购人在“广西政府采购云平台”上在线签订电子合同。</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（1）成交后不与采购人签订合同的（不可抗力除外）；</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（2）将成交项目转让给他人，或者在响应文件中未说明，且未经采购人同意，将成交项目分包给他人的；</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（3）拒绝履行合同义务的。</w:t>
      </w:r>
    </w:p>
    <w:p>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29.3 合同备案存档：政府采购合同双方自签订之日起将自动存档于“广西政府采购云平台”上，采购人于合同签订之日起七个工作日内将一份合同原件送本级财政部门备案。</w:t>
      </w:r>
    </w:p>
    <w:p>
      <w:pPr>
        <w:pStyle w:val="4"/>
        <w:jc w:val="center"/>
        <w:rPr>
          <w:rFonts w:hint="eastAsia" w:asciiTheme="minorEastAsia" w:hAnsiTheme="minorEastAsia" w:eastAsiaTheme="minorEastAsia" w:cstheme="minorEastAsia"/>
          <w:b/>
          <w:bCs w:val="0"/>
          <w:color w:val="auto"/>
          <w:szCs w:val="28"/>
          <w:highlight w:val="none"/>
        </w:rPr>
      </w:pPr>
      <w:bookmarkStart w:id="392" w:name="_Toc26484"/>
      <w:bookmarkStart w:id="393" w:name="_Toc11433"/>
      <w:bookmarkStart w:id="394" w:name="_Toc2951"/>
      <w:bookmarkStart w:id="395" w:name="_Toc16348"/>
      <w:bookmarkStart w:id="396" w:name="_Toc3007"/>
      <w:bookmarkStart w:id="397" w:name="_Toc24170"/>
      <w:bookmarkStart w:id="398" w:name="_Toc9915"/>
      <w:bookmarkStart w:id="399" w:name="_Toc10213"/>
      <w:bookmarkStart w:id="400" w:name="_Toc25182"/>
      <w:r>
        <w:rPr>
          <w:rFonts w:hint="eastAsia" w:asciiTheme="minorEastAsia" w:hAnsiTheme="minorEastAsia" w:eastAsiaTheme="minorEastAsia" w:cstheme="minorEastAsia"/>
          <w:b/>
          <w:bCs w:val="0"/>
          <w:color w:val="auto"/>
          <w:szCs w:val="28"/>
          <w:highlight w:val="none"/>
        </w:rPr>
        <w:t>六、其他事项</w:t>
      </w:r>
      <w:bookmarkEnd w:id="392"/>
      <w:bookmarkEnd w:id="393"/>
      <w:bookmarkEnd w:id="394"/>
      <w:bookmarkEnd w:id="395"/>
      <w:bookmarkEnd w:id="396"/>
      <w:bookmarkEnd w:id="397"/>
      <w:bookmarkEnd w:id="398"/>
      <w:bookmarkEnd w:id="399"/>
      <w:bookmarkEnd w:id="400"/>
    </w:p>
    <w:p>
      <w:pPr>
        <w:pStyle w:val="5"/>
        <w:spacing w:line="360" w:lineRule="auto"/>
        <w:ind w:firstLine="420" w:firstLineChars="200"/>
        <w:rPr>
          <w:rFonts w:hint="eastAsia" w:asciiTheme="minorEastAsia" w:hAnsiTheme="minorEastAsia" w:eastAsiaTheme="minorEastAsia" w:cstheme="minorEastAsia"/>
          <w:color w:val="auto"/>
          <w:sz w:val="21"/>
          <w:szCs w:val="21"/>
          <w:highlight w:val="none"/>
        </w:rPr>
      </w:pPr>
      <w:bookmarkStart w:id="401" w:name="_Toc31010"/>
      <w:bookmarkStart w:id="402" w:name="_Toc6783"/>
      <w:bookmarkStart w:id="403" w:name="_Toc20023"/>
      <w:bookmarkStart w:id="404" w:name="_Toc13477"/>
      <w:bookmarkStart w:id="405" w:name="_Toc17996"/>
      <w:bookmarkStart w:id="406" w:name="_Toc10627"/>
      <w:bookmarkStart w:id="407" w:name="_Toc2872"/>
      <w:bookmarkStart w:id="408" w:name="_Toc17188"/>
      <w:bookmarkStart w:id="409" w:name="_Toc28647"/>
      <w:r>
        <w:rPr>
          <w:rFonts w:hint="eastAsia" w:asciiTheme="minorEastAsia" w:hAnsiTheme="minorEastAsia" w:eastAsiaTheme="minorEastAsia" w:cstheme="minorEastAsia"/>
          <w:color w:val="auto"/>
          <w:sz w:val="21"/>
          <w:szCs w:val="21"/>
          <w:highlight w:val="none"/>
        </w:rPr>
        <w:t>30. 采购代理服务费</w:t>
      </w:r>
      <w:bookmarkEnd w:id="401"/>
      <w:bookmarkEnd w:id="402"/>
      <w:bookmarkEnd w:id="403"/>
      <w:bookmarkEnd w:id="404"/>
      <w:bookmarkEnd w:id="405"/>
      <w:bookmarkEnd w:id="406"/>
      <w:bookmarkEnd w:id="407"/>
      <w:bookmarkEnd w:id="408"/>
      <w:bookmarkEnd w:id="409"/>
    </w:p>
    <w:p>
      <w:pPr>
        <w:pStyle w:val="23"/>
        <w:ind w:left="0" w:leftChars="0" w:firstLine="840" w:firstLineChars="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本项目不收取采购代理服务费。</w:t>
      </w:r>
    </w:p>
    <w:p>
      <w:pPr>
        <w:spacing w:line="380" w:lineRule="exact"/>
        <w:ind w:firstLine="420" w:firstLineChars="200"/>
        <w:rPr>
          <w:rFonts w:hint="eastAsia" w:asciiTheme="minorEastAsia" w:hAnsiTheme="minorEastAsia" w:eastAsiaTheme="minorEastAsia" w:cstheme="minorEastAsia"/>
          <w:color w:val="auto"/>
          <w:szCs w:val="21"/>
          <w:highlight w:val="none"/>
        </w:rPr>
      </w:pPr>
      <w:bookmarkStart w:id="410" w:name="_Toc6373"/>
      <w:bookmarkStart w:id="411" w:name="_Toc12162"/>
      <w:bookmarkStart w:id="412" w:name="_Toc5947"/>
      <w:bookmarkStart w:id="413" w:name="_Toc17583"/>
      <w:bookmarkStart w:id="414" w:name="_Toc26367"/>
      <w:bookmarkStart w:id="415" w:name="_Toc9307"/>
      <w:r>
        <w:rPr>
          <w:rFonts w:hint="eastAsia" w:asciiTheme="minorEastAsia" w:hAnsiTheme="minorEastAsia" w:eastAsiaTheme="minorEastAsia" w:cstheme="minorEastAsia"/>
          <w:b/>
          <w:color w:val="auto"/>
          <w:szCs w:val="21"/>
          <w:highlight w:val="none"/>
        </w:rPr>
        <w:t>31.</w:t>
      </w:r>
      <w:bookmarkEnd w:id="410"/>
      <w:bookmarkEnd w:id="411"/>
      <w:bookmarkEnd w:id="412"/>
      <w:bookmarkEnd w:id="413"/>
      <w:bookmarkEnd w:id="414"/>
      <w:bookmarkEnd w:id="415"/>
      <w:bookmarkStart w:id="416" w:name="_Toc19135"/>
      <w:bookmarkEnd w:id="416"/>
      <w:bookmarkStart w:id="417" w:name="_Toc17414"/>
      <w:bookmarkEnd w:id="417"/>
      <w:bookmarkStart w:id="418" w:name="_Toc8271"/>
      <w:bookmarkEnd w:id="418"/>
      <w:bookmarkStart w:id="419" w:name="_Toc10842"/>
      <w:bookmarkEnd w:id="419"/>
      <w:bookmarkStart w:id="420" w:name="_Toc12374"/>
      <w:bookmarkEnd w:id="420"/>
      <w:bookmarkStart w:id="421" w:name="_Toc9783"/>
      <w:bookmarkStart w:id="422" w:name="_Toc7991"/>
      <w:bookmarkStart w:id="423" w:name="_Toc10267"/>
      <w:bookmarkStart w:id="424" w:name="_Toc1975"/>
      <w:r>
        <w:rPr>
          <w:rFonts w:hint="eastAsia" w:asciiTheme="minorEastAsia" w:hAnsiTheme="minorEastAsia" w:eastAsiaTheme="minorEastAsia" w:cstheme="minorEastAsia"/>
          <w:b/>
          <w:color w:val="auto"/>
          <w:szCs w:val="21"/>
          <w:highlight w:val="none"/>
        </w:rPr>
        <w:t>编制依据</w:t>
      </w:r>
      <w:bookmarkEnd w:id="421"/>
      <w:bookmarkEnd w:id="422"/>
      <w:bookmarkEnd w:id="423"/>
      <w:bookmarkEnd w:id="424"/>
    </w:p>
    <w:p>
      <w:pPr>
        <w:spacing w:line="360" w:lineRule="auto"/>
        <w:ind w:firstLine="840" w:firstLineChars="4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本竞争性磋商文件是根据《中华人民共和国政府采购法》《中华人民共和国政府采购法实施条例》《政府采购竞争性磋商采购方式管理暂行办法》和政府采购管理有关规定编制。</w:t>
      </w:r>
    </w:p>
    <w:p>
      <w:pPr>
        <w:snapToGrid w:val="0"/>
        <w:spacing w:line="400" w:lineRule="exact"/>
        <w:ind w:firstLine="420" w:firstLineChars="200"/>
        <w:outlineLvl w:val="2"/>
        <w:rPr>
          <w:rFonts w:hint="eastAsia" w:asciiTheme="minorEastAsia" w:hAnsiTheme="minorEastAsia" w:eastAsiaTheme="minorEastAsia" w:cstheme="minorEastAsia"/>
          <w:color w:val="auto"/>
          <w:szCs w:val="21"/>
          <w:highlight w:val="none"/>
        </w:rPr>
      </w:pPr>
      <w:bookmarkStart w:id="425" w:name="_Toc1147"/>
      <w:bookmarkStart w:id="426" w:name="_Toc21062"/>
      <w:bookmarkStart w:id="427" w:name="_Toc11326"/>
      <w:bookmarkStart w:id="428" w:name="_Toc2590"/>
      <w:bookmarkStart w:id="429" w:name="_Toc31913"/>
      <w:bookmarkStart w:id="430" w:name="_Toc16307"/>
      <w:bookmarkStart w:id="431" w:name="_Toc9303"/>
      <w:bookmarkStart w:id="432" w:name="_Toc24443"/>
      <w:r>
        <w:rPr>
          <w:rFonts w:hint="eastAsia" w:asciiTheme="minorEastAsia" w:hAnsiTheme="minorEastAsia" w:eastAsiaTheme="minorEastAsia" w:cstheme="minorEastAsia"/>
          <w:b/>
          <w:color w:val="auto"/>
          <w:szCs w:val="21"/>
          <w:highlight w:val="none"/>
        </w:rPr>
        <w:t>32. 监督管理机构</w:t>
      </w:r>
      <w:bookmarkEnd w:id="425"/>
      <w:bookmarkEnd w:id="426"/>
      <w:bookmarkEnd w:id="427"/>
      <w:bookmarkEnd w:id="428"/>
      <w:bookmarkEnd w:id="429"/>
      <w:bookmarkEnd w:id="430"/>
      <w:bookmarkEnd w:id="431"/>
      <w:bookmarkEnd w:id="432"/>
    </w:p>
    <w:p>
      <w:pPr>
        <w:snapToGrid w:val="0"/>
        <w:spacing w:line="400" w:lineRule="exact"/>
        <w:ind w:firstLine="840" w:firstLineChars="4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桂林市财政局电话：0773-2862142 。</w:t>
      </w:r>
      <w:bookmarkStart w:id="433" w:name="_Toc20144"/>
      <w:bookmarkStart w:id="434" w:name="_Toc4906"/>
      <w:bookmarkStart w:id="435" w:name="_Toc8410"/>
      <w:bookmarkStart w:id="436" w:name="_Toc29649"/>
    </w:p>
    <w:p>
      <w:pPr>
        <w:pStyle w:val="23"/>
        <w:rPr>
          <w:rFonts w:hint="eastAsia" w:asciiTheme="minorEastAsia" w:hAnsiTheme="minorEastAsia" w:eastAsiaTheme="minorEastAsia" w:cstheme="minorEastAsia"/>
          <w:color w:val="auto"/>
          <w:szCs w:val="21"/>
          <w:highlight w:val="none"/>
        </w:rPr>
      </w:pPr>
    </w:p>
    <w:p>
      <w:pPr>
        <w:rPr>
          <w:rFonts w:hint="eastAsia" w:asciiTheme="minorEastAsia" w:hAnsiTheme="minorEastAsia" w:eastAsiaTheme="minorEastAsia" w:cstheme="minorEastAsia"/>
          <w:color w:val="auto"/>
          <w:szCs w:val="21"/>
          <w:highlight w:val="none"/>
        </w:rPr>
      </w:pPr>
    </w:p>
    <w:p>
      <w:pPr>
        <w:pStyle w:val="23"/>
        <w:rPr>
          <w:rFonts w:hint="eastAsia" w:asciiTheme="minorEastAsia" w:hAnsiTheme="minorEastAsia" w:eastAsiaTheme="minorEastAsia" w:cstheme="minorEastAsia"/>
          <w:color w:val="auto"/>
          <w:szCs w:val="21"/>
          <w:highlight w:val="none"/>
        </w:rPr>
      </w:pPr>
    </w:p>
    <w:p>
      <w:pPr>
        <w:rPr>
          <w:rFonts w:hint="eastAsia" w:asciiTheme="minorEastAsia" w:hAnsiTheme="minorEastAsia" w:eastAsiaTheme="minorEastAsia" w:cstheme="minorEastAsia"/>
          <w:color w:val="auto"/>
          <w:szCs w:val="21"/>
          <w:highlight w:val="none"/>
        </w:rPr>
      </w:pPr>
    </w:p>
    <w:p>
      <w:pPr>
        <w:pStyle w:val="23"/>
        <w:rPr>
          <w:rFonts w:hint="eastAsia" w:asciiTheme="minorEastAsia" w:hAnsiTheme="minorEastAsia" w:eastAsiaTheme="minorEastAsia" w:cstheme="minorEastAsia"/>
          <w:color w:val="auto"/>
          <w:szCs w:val="21"/>
          <w:highlight w:val="none"/>
        </w:rPr>
      </w:pPr>
    </w:p>
    <w:p>
      <w:pPr>
        <w:rPr>
          <w:rFonts w:hint="eastAsia" w:asciiTheme="minorEastAsia" w:hAnsiTheme="minorEastAsia" w:eastAsiaTheme="minorEastAsia" w:cstheme="minorEastAsia"/>
          <w:color w:val="auto"/>
          <w:szCs w:val="21"/>
          <w:highlight w:val="none"/>
        </w:rPr>
      </w:pPr>
    </w:p>
    <w:p>
      <w:pPr>
        <w:pStyle w:val="23"/>
        <w:rPr>
          <w:rFonts w:hint="eastAsia" w:asciiTheme="minorEastAsia" w:hAnsiTheme="minorEastAsia" w:eastAsiaTheme="minorEastAsia" w:cstheme="minorEastAsia"/>
          <w:color w:val="auto"/>
          <w:szCs w:val="21"/>
          <w:highlight w:val="none"/>
        </w:rPr>
      </w:pPr>
    </w:p>
    <w:p>
      <w:pPr>
        <w:rPr>
          <w:rFonts w:hint="eastAsia" w:asciiTheme="minorEastAsia" w:hAnsiTheme="minorEastAsia" w:eastAsiaTheme="minorEastAsia" w:cstheme="minorEastAsia"/>
          <w:color w:val="auto"/>
          <w:szCs w:val="21"/>
          <w:highlight w:val="none"/>
        </w:rPr>
      </w:pPr>
    </w:p>
    <w:p>
      <w:pPr>
        <w:snapToGrid w:val="0"/>
        <w:spacing w:line="400" w:lineRule="exact"/>
        <w:rPr>
          <w:rFonts w:hint="eastAsia" w:asciiTheme="minorEastAsia" w:hAnsiTheme="minorEastAsia" w:eastAsiaTheme="minorEastAsia" w:cstheme="minorEastAsia"/>
          <w:color w:val="auto"/>
          <w:szCs w:val="21"/>
          <w:highlight w:val="none"/>
        </w:rPr>
      </w:pPr>
    </w:p>
    <w:p>
      <w:pPr>
        <w:pStyle w:val="3"/>
        <w:autoSpaceDE w:val="0"/>
        <w:autoSpaceDN w:val="0"/>
        <w:adjustRightInd w:val="0"/>
        <w:spacing w:before="0" w:after="0"/>
        <w:jc w:val="center"/>
        <w:rPr>
          <w:rFonts w:hint="eastAsia" w:asciiTheme="minorEastAsia" w:hAnsiTheme="minorEastAsia" w:eastAsiaTheme="minorEastAsia" w:cstheme="minorEastAsia"/>
          <w:color w:val="auto"/>
          <w:highlight w:val="none"/>
        </w:rPr>
      </w:pPr>
      <w:bookmarkStart w:id="437" w:name="_Toc26795"/>
      <w:bookmarkStart w:id="438" w:name="_Toc19784"/>
      <w:bookmarkStart w:id="439" w:name="_Toc8550"/>
      <w:bookmarkStart w:id="440" w:name="_Toc29445"/>
      <w:r>
        <w:rPr>
          <w:rFonts w:hint="eastAsia" w:asciiTheme="minorEastAsia" w:hAnsiTheme="minorEastAsia" w:eastAsiaTheme="minorEastAsia" w:cstheme="minorEastAsia"/>
          <w:color w:val="auto"/>
          <w:sz w:val="32"/>
          <w:szCs w:val="32"/>
          <w:highlight w:val="none"/>
        </w:rPr>
        <w:t>第三章</w:t>
      </w:r>
      <w:bookmarkStart w:id="441" w:name="_Toc22353"/>
      <w:bookmarkStart w:id="442" w:name="_Toc24601"/>
      <w:r>
        <w:rPr>
          <w:rFonts w:hint="eastAsia" w:asciiTheme="minorEastAsia" w:hAnsiTheme="minorEastAsia" w:eastAsiaTheme="minorEastAsia" w:cstheme="minorEastAsia"/>
          <w:color w:val="auto"/>
          <w:sz w:val="32"/>
          <w:szCs w:val="32"/>
          <w:highlight w:val="none"/>
          <w:lang w:val="en-US" w:eastAsia="zh-CN"/>
        </w:rPr>
        <w:t xml:space="preserve">  </w:t>
      </w:r>
      <w:r>
        <w:rPr>
          <w:rFonts w:hint="eastAsia" w:asciiTheme="minorEastAsia" w:hAnsiTheme="minorEastAsia" w:eastAsiaTheme="minorEastAsia" w:cstheme="minorEastAsia"/>
          <w:color w:val="auto"/>
          <w:sz w:val="32"/>
          <w:szCs w:val="32"/>
          <w:highlight w:val="none"/>
        </w:rPr>
        <w:t>采购需求</w:t>
      </w:r>
      <w:bookmarkEnd w:id="433"/>
      <w:bookmarkEnd w:id="434"/>
      <w:bookmarkEnd w:id="435"/>
      <w:bookmarkEnd w:id="436"/>
      <w:bookmarkEnd w:id="437"/>
      <w:bookmarkEnd w:id="438"/>
      <w:bookmarkEnd w:id="439"/>
      <w:bookmarkEnd w:id="440"/>
      <w:bookmarkEnd w:id="441"/>
      <w:bookmarkEnd w:id="442"/>
      <w:bookmarkStart w:id="443" w:name="_Toc20868"/>
      <w:bookmarkStart w:id="444" w:name="_Toc18464"/>
      <w:bookmarkStart w:id="445" w:name="_Toc23712"/>
      <w:bookmarkStart w:id="446" w:name="_Toc6574"/>
      <w:bookmarkStart w:id="447" w:name="_Toc2989"/>
    </w:p>
    <w:p>
      <w:pPr>
        <w:rPr>
          <w:rFonts w:hint="eastAsia" w:asciiTheme="minorEastAsia" w:hAnsiTheme="minorEastAsia" w:eastAsiaTheme="minorEastAsia" w:cstheme="minorEastAsia"/>
          <w:b/>
          <w:bCs/>
          <w:color w:val="auto"/>
          <w:szCs w:val="21"/>
          <w:highlight w:val="none"/>
        </w:rPr>
      </w:pPr>
    </w:p>
    <w:p>
      <w:pPr>
        <w:adjustRightInd w:val="0"/>
        <w:spacing w:line="120" w:lineRule="auto"/>
        <w:ind w:firstLine="431"/>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bCs/>
          <w:color w:val="auto"/>
          <w:szCs w:val="21"/>
          <w:highlight w:val="none"/>
        </w:rPr>
        <w:t>说明：“采购需求”中除现场勘察相关要求外</w:t>
      </w:r>
      <w:r>
        <w:rPr>
          <w:rFonts w:hint="eastAsia" w:asciiTheme="minorEastAsia" w:hAnsiTheme="minorEastAsia" w:eastAsiaTheme="minorEastAsia" w:cstheme="minorEastAsia"/>
          <w:b/>
          <w:bCs/>
          <w:color w:val="auto"/>
          <w:szCs w:val="21"/>
          <w:highlight w:val="none"/>
          <w:lang w:eastAsia="zh-CN"/>
        </w:rPr>
        <w:t>，其他</w:t>
      </w:r>
      <w:r>
        <w:rPr>
          <w:rFonts w:hint="eastAsia" w:asciiTheme="minorEastAsia" w:hAnsiTheme="minorEastAsia" w:eastAsiaTheme="minorEastAsia" w:cstheme="minorEastAsia"/>
          <w:b/>
          <w:bCs/>
          <w:color w:val="auto"/>
          <w:szCs w:val="21"/>
          <w:highlight w:val="none"/>
        </w:rPr>
        <w:t>均为实质性要求，供应商</w:t>
      </w:r>
      <w:r>
        <w:rPr>
          <w:rFonts w:hint="eastAsia" w:asciiTheme="minorEastAsia" w:hAnsiTheme="minorEastAsia" w:eastAsiaTheme="minorEastAsia" w:cstheme="minorEastAsia"/>
          <w:b/>
          <w:color w:val="auto"/>
          <w:szCs w:val="21"/>
          <w:highlight w:val="none"/>
        </w:rPr>
        <w:t>须满足或响应，</w:t>
      </w:r>
      <w:r>
        <w:rPr>
          <w:rFonts w:hint="eastAsia" w:asciiTheme="minorEastAsia" w:hAnsiTheme="minorEastAsia" w:eastAsiaTheme="minorEastAsia" w:cstheme="minorEastAsia"/>
          <w:b/>
          <w:bCs/>
          <w:color w:val="auto"/>
          <w:szCs w:val="21"/>
          <w:highlight w:val="none"/>
        </w:rPr>
        <w:t>不允许负偏离，否则视为无效响应</w:t>
      </w:r>
      <w:r>
        <w:rPr>
          <w:rFonts w:hint="eastAsia" w:asciiTheme="minorEastAsia" w:hAnsiTheme="minorEastAsia" w:eastAsiaTheme="minorEastAsia" w:cstheme="minorEastAsia"/>
          <w:b/>
          <w:bCs/>
          <w:color w:val="auto"/>
          <w:sz w:val="24"/>
          <w:highlight w:val="none"/>
        </w:rPr>
        <w:t>。</w:t>
      </w:r>
    </w:p>
    <w:p>
      <w:pPr>
        <w:pStyle w:val="8"/>
        <w:numPr>
          <w:ilvl w:val="0"/>
          <w:numId w:val="7"/>
        </w:numPr>
        <w:spacing w:line="44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项目背景</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桂林</w:t>
      </w:r>
      <w:r>
        <w:rPr>
          <w:rFonts w:hint="eastAsia" w:asciiTheme="minorEastAsia" w:hAnsiTheme="minorEastAsia" w:eastAsiaTheme="minorEastAsia" w:cstheme="minorEastAsia"/>
          <w:color w:val="auto"/>
          <w:szCs w:val="21"/>
          <w:highlight w:val="none"/>
        </w:rPr>
        <w:t>市信创云由自治区大数据局于2020年建设，为</w:t>
      </w:r>
      <w:r>
        <w:rPr>
          <w:rFonts w:hint="eastAsia" w:asciiTheme="minorEastAsia" w:hAnsiTheme="minorEastAsia" w:eastAsiaTheme="minorEastAsia" w:cstheme="minorEastAsia"/>
          <w:color w:val="auto"/>
          <w:szCs w:val="21"/>
          <w:highlight w:val="none"/>
          <w:lang w:eastAsia="zh-CN"/>
        </w:rPr>
        <w:t>桂林</w:t>
      </w:r>
      <w:r>
        <w:rPr>
          <w:rFonts w:hint="eastAsia" w:asciiTheme="minorEastAsia" w:hAnsiTheme="minorEastAsia" w:eastAsiaTheme="minorEastAsia" w:cstheme="minorEastAsia"/>
          <w:color w:val="auto"/>
          <w:szCs w:val="21"/>
          <w:highlight w:val="none"/>
        </w:rPr>
        <w:t>市党政机关信息系统提供国产化运行平台。该平台系统设备共有100台，租赁12个机柜，现托管于桂林（华为）云数据计算中心机房。平台部署有24家单位的26套信息系统，分配虚拟机140台。现根据业务需要，需将信创云整体搬迁至市信息中心网络机房A区。信创云采用华为自主知识产权的FusionSphere 8.1，将服务器、存储设备虚拟化为云平台资源池；通过华为ManageOne8.1提供运维管理和资源监控平台，采用华为eSight网管系统对平台所有设备进行实时健康监控。</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现拟通过本次采购完成以下工作：</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（一）信创云搬迁：将信创云整体搬迁至市信息中心网络机房A区，提供方案制定、数据备份、停机、拆机、运输搬运、重新组装、恢复运行以及应急处置等服务。</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（二）机房配套设施改造：市信息中心网络机房A区目前主要承载市电子政务网核心交换与安全设备运行，在线功率约为70k</w:t>
      </w:r>
      <w:r>
        <w:rPr>
          <w:rFonts w:hint="eastAsia" w:asciiTheme="minorEastAsia" w:hAnsiTheme="minorEastAsia" w:eastAsiaTheme="minorEastAsia" w:cstheme="minorEastAsia"/>
          <w:color w:val="auto"/>
          <w:szCs w:val="21"/>
          <w:highlight w:val="none"/>
          <w:lang w:val="en-US" w:eastAsia="zh-CN"/>
        </w:rPr>
        <w:t>W</w:t>
      </w:r>
      <w:r>
        <w:rPr>
          <w:rFonts w:hint="eastAsia" w:asciiTheme="minorEastAsia" w:hAnsiTheme="minorEastAsia" w:eastAsiaTheme="minorEastAsia" w:cstheme="minorEastAsia"/>
          <w:color w:val="auto"/>
          <w:szCs w:val="21"/>
          <w:highlight w:val="none"/>
        </w:rPr>
        <w:t>，为满足信创云整体部署要求，采购一台250</w:t>
      </w:r>
      <w:bookmarkStart w:id="448" w:name="OLE_LINK2"/>
      <w:r>
        <w:rPr>
          <w:rFonts w:hint="eastAsia" w:asciiTheme="minorEastAsia" w:hAnsiTheme="minorEastAsia" w:eastAsiaTheme="minorEastAsia" w:cstheme="minorEastAsia"/>
          <w:color w:val="auto"/>
          <w:szCs w:val="21"/>
          <w:highlight w:val="none"/>
          <w:lang w:val="en-US" w:eastAsia="zh-CN"/>
        </w:rPr>
        <w:t>kVA</w:t>
      </w:r>
      <w:bookmarkEnd w:id="448"/>
      <w:r>
        <w:rPr>
          <w:rFonts w:hint="eastAsia" w:asciiTheme="minorEastAsia" w:hAnsiTheme="minorEastAsia" w:eastAsiaTheme="minorEastAsia" w:cstheme="minorEastAsia"/>
          <w:color w:val="auto"/>
          <w:szCs w:val="21"/>
          <w:highlight w:val="none"/>
        </w:rPr>
        <w:t>的UPS主机及其它配套设备（配电柜、电量仪、电缆、开关及其它辅材等），对现有机房配电设施进行改造，增加一路UPS供电，与现有UPS组成双路供电实现线路冗余和负载分担。同时采购128块200Ah蓄电池，满足设备备用电要求。</w:t>
      </w:r>
    </w:p>
    <w:p>
      <w:pPr>
        <w:pStyle w:val="11"/>
        <w:spacing w:line="44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（三）信创云运维：确保</w:t>
      </w:r>
      <w:r>
        <w:rPr>
          <w:rFonts w:hint="eastAsia" w:asciiTheme="minorEastAsia" w:hAnsiTheme="minorEastAsia" w:eastAsiaTheme="minorEastAsia" w:cstheme="minorEastAsia"/>
          <w:color w:val="auto"/>
          <w:szCs w:val="21"/>
          <w:highlight w:val="none"/>
          <w:lang w:val="hr-HR"/>
        </w:rPr>
        <w:t>桂林市信创云</w:t>
      </w:r>
      <w:r>
        <w:rPr>
          <w:rFonts w:hint="eastAsia" w:asciiTheme="minorEastAsia" w:hAnsiTheme="minorEastAsia" w:eastAsiaTheme="minorEastAsia" w:cstheme="minorEastAsia"/>
          <w:color w:val="auto"/>
          <w:szCs w:val="21"/>
          <w:highlight w:val="none"/>
        </w:rPr>
        <w:t>的安全稳定运行，在保障云平台基础架构和业务系统运行环境持续、稳定且安全可靠的条件下，提供包括云主机、云宿主机、云存储、云网络、云安全、云监控等在内的各项资源规划分配、租户应用上云资源分配等运维服务服务，满足各部门业务的各项需求，配合采购人做好平台所属设备系统软件的维保与升级。服务期12个月。</w:t>
      </w:r>
    </w:p>
    <w:p>
      <w:pPr>
        <w:adjustRightInd w:val="0"/>
        <w:spacing w:line="440" w:lineRule="exact"/>
        <w:ind w:firstLine="420" w:firstLineChars="200"/>
        <w:rPr>
          <w:rFonts w:hint="eastAsia" w:asciiTheme="minorEastAsia" w:hAnsiTheme="minorEastAsia" w:eastAsiaTheme="minorEastAsia" w:cstheme="minorEastAsia"/>
          <w:b/>
          <w:bCs/>
          <w:color w:val="auto"/>
          <w:szCs w:val="21"/>
          <w:highlight w:val="none"/>
        </w:rPr>
      </w:pPr>
    </w:p>
    <w:p>
      <w:pPr>
        <w:adjustRightInd w:val="0"/>
        <w:spacing w:line="440" w:lineRule="exact"/>
        <w:ind w:firstLine="420"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二、详细需求</w:t>
      </w:r>
    </w:p>
    <w:p>
      <w:pPr>
        <w:pStyle w:val="8"/>
        <w:spacing w:line="440" w:lineRule="exact"/>
        <w:rPr>
          <w:rFonts w:hint="eastAsia" w:asciiTheme="minorEastAsia" w:hAnsiTheme="minorEastAsia" w:eastAsiaTheme="minorEastAsia" w:cstheme="minorEastAsia"/>
          <w:b/>
          <w:bCs/>
          <w:color w:val="auto"/>
          <w:szCs w:val="21"/>
          <w:highlight w:val="none"/>
        </w:rPr>
      </w:pP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4"/>
        <w:gridCol w:w="8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（一）信创云搬迁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服务内容和要求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ign w:val="center"/>
          </w:tcPr>
          <w:p>
            <w:pPr>
              <w:pStyle w:val="11"/>
              <w:spacing w:line="440" w:lineRule="exact"/>
              <w:ind w:firstLine="420"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一、服务说明</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为确保</w:t>
            </w:r>
            <w:r>
              <w:rPr>
                <w:rFonts w:hint="eastAsia" w:asciiTheme="minorEastAsia" w:hAnsiTheme="minorEastAsia" w:eastAsiaTheme="minorEastAsia" w:cstheme="minorEastAsia"/>
                <w:color w:val="auto"/>
                <w:szCs w:val="21"/>
                <w:highlight w:val="none"/>
                <w:lang w:val="hr-HR"/>
              </w:rPr>
              <w:t>桂林市信创云</w:t>
            </w:r>
            <w:r>
              <w:rPr>
                <w:rFonts w:hint="eastAsia" w:asciiTheme="minorEastAsia" w:hAnsiTheme="minorEastAsia" w:eastAsiaTheme="minorEastAsia" w:cstheme="minorEastAsia"/>
                <w:color w:val="auto"/>
                <w:szCs w:val="21"/>
                <w:highlight w:val="none"/>
              </w:rPr>
              <w:t xml:space="preserve">的安全实施搬迁工作并保证后续稳定运行，计划通过服务采购的形式，选择搬迁服务单位（下称“供应商”）按照统一规划、平稳高效过渡、最大限度降低业务影响的原则，将信创云所有设备（如服务器、存储设备、交换设备、安全设备等）搬迁至市信息中心网络机房A区。服务内容包含项目规划以及上述所有设备的搬运、 安装和调试工作，须确保信创云整体搬迁后所有信息系统及网络能及时恢复安全稳定运行。 </w:t>
            </w:r>
          </w:p>
          <w:p>
            <w:pPr>
              <w:pStyle w:val="11"/>
              <w:spacing w:line="440" w:lineRule="exact"/>
              <w:ind w:firstLine="420"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二、搬迁设备清单</w:t>
            </w:r>
          </w:p>
          <w:p>
            <w:pPr>
              <w:pStyle w:val="19"/>
              <w:spacing w:line="440" w:lineRule="exact"/>
              <w:ind w:left="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见附件1《信创云设备清单》。</w:t>
            </w:r>
          </w:p>
          <w:p>
            <w:pPr>
              <w:pStyle w:val="11"/>
              <w:spacing w:line="440" w:lineRule="exact"/>
              <w:ind w:firstLine="420"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三、服务内容</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bookmarkStart w:id="449" w:name="_Toc13365"/>
            <w:bookmarkStart w:id="450" w:name="_Toc10225"/>
            <w:r>
              <w:rPr>
                <w:rFonts w:hint="eastAsia" w:asciiTheme="minorEastAsia" w:hAnsiTheme="minorEastAsia" w:eastAsiaTheme="minorEastAsia" w:cstheme="minorEastAsia"/>
                <w:color w:val="auto"/>
                <w:szCs w:val="21"/>
                <w:highlight w:val="none"/>
              </w:rPr>
              <w:t>（一）搬迁总体原则</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安全第一、数据完整、分步实施。</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（二）搬迁总体要求</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供应商须完成以下工作：</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1、完成位于桂林（华为）云计算中心机房的市信创云所有设备搬迁到市信息中心网络机房A区，以及网络、传输、信创云软硬件设备等重新部署所需要的调研、评估、系统关联分析、风险分析，形成相关报告。</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2、对搬迁方案进行规划设计，制订详细的实施步骤和应急预案，并通过采购人审核通过后方能进行下一步工作。</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正式搬迁前，应对原机房强弱电、机柜布局等进行再次确认；应对所需的搬迁设备做好详细的标记，详细记录原来的设备关联结构图及相关的配置参数。在完成设备搬迁后，绘制新的设备布局图、设备关联结构图、网络架构图。</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4、正式搬迁前，应按采购人要求做好系统数据的备份。对接软硬件供应商或厂家确认平台数据备份内容和备份方式，并根据搬迁时间窗口要求和数据规模，做好合理的备份计划。</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5、搬迁过程中，要对搬迁设备进行妥善包装和安全运输，所有搬迁的设备必须加装防潮、防震等装置。</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6、按照采购人的要求对设备进行上架操作，负责机房机柜内设备之间的接线以及设备标签的整理工作，所有辅材由供应商提供，包括光纤尾纤、双绞线等确保搬迁后设备正常运行的配套辅材。</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7、搬迁后，做好设备安装和加电工作。应完成设备系统的搭建安装，对系统一致性、完好性、可用性进行测试，保证设备的正常运行。</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恢复云平台服务，确认系统成功加电并无故障后，立即协调设备、系统软件供应商或厂家等，做好云平台及配属的交换、安全设备的必要的配置工作，对接至市信息中心网络机房A区的电子政务外网核心节点，完成网络的联通和云平台恢复服务。</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9、待云平台成功接入电子政务外网并成功恢复服务后，进行系统功能协调云平台用户单位做好搬迁后系统恢复工作。</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10、负责配合市信息中心、各云平台用户将互联网业务割接到市信息中心网络机房A区，包含光纤线路熔接。</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11、搬迁完成后，供应商应提供完整的搬迁文档，包含但不限于设备台帐、设备连接图表、机柜布局图、系统架构图等搬迁相关文档。</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12、具体搬迁方案由供应商提交并得到采购人确认后方可施行。供应商必须对搬迁方案负责，由此引发的任何责任均由供应商承担。</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13、验收要求</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按采购人对项目验收管理要求，由采购人及相关人员组成验收小组，对供应商提供服务期间的工作和所产生的文档等内容进行验收。在项目服务过程中出现不符合采购文件或合同要求的情况时，由供应商负责解决。</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（三）搬迁项目详细要求</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1、搬迁准备阶段的要求</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1.1、供应商负责信创云原所在机房内设备的详细梳理、系统的调研、标签登记、系统关联分析、风险分析等工作。</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供应商根据功能分布架构，合理规划、设计搬迁后的各设备在市信息中心网络机房A区内的位置分布，对各设备的部署架构进行合理优化，提供新机房系统及网络架构图；根据机房规划预安装分布图，完成市信息中心网络机房A区系统集成所需的布线系统建设，要求提供搬迁前后所需的辅材，包括但不仅限于以下产品：与平台设备性能匹配的网线、光纤、防水耐磨标签等。</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1.3、物理环境确认。供应商搬迁前需确认市信息中心网络机房A区供电空调是否就绪，机柜位置及数量规划设计，确认设备标签等；</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供应商应通过对应用关联、业务影响、风险等的分析，提供针对本项目的全套搬迁方案，并得到采购人确认后方可施行。包括但不限于以下内容：前期调研、规划设计、出图、编制详细的设备放置及连线设计图；进行IP地址的重新规划、网络对接方案、搬迁准备、数据备份、设备搬迁实施、系统测试、安全策略配置、机房整理、应急预案等，并列明所需的材料和整个项目的搬迁时间计划安排表，系统搬迁后应恢复设备的各项性能和系统的功能及运行状态。对关键节点需进行实地预演，并提供详细的回退方案。备份技术方案需切实可行，包括备份架构、备份手段、备份时间以及恢复预案等。</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1.5、正式搬迁前，应对所需的搬迁设备做好详细的标记， 设备拆卸前，对前后接口、线缆连接情况进行拍照记录，作为恢复安装时的参考。详细记录原来的设备关联结构及相关的配置参数，所有设备清单需经供应商与采购方共同确认；</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1.6、搬运前需要对设备进行健康检查，包括读取分析设备运行日志、观察设备运行指示标志等，与采购人对设备健康状况进行确认，如发现故障现象，应及时通知采购人，确认是否符合搬迁条件。</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正式搬迁前，应按采购方要求做好搬迁前管理面、业务面以及网络设备的数据备份，并协助采购方通知各云平台用户对本单位应用系统进行数据备份及其他相关工作（例如：修改IP备案信息等）。备份工作完成后需与采购人进行确认。</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2.搬迁阶段的要求</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2.1、搬迁阶段指自系统和设备开始下电，至设备搬迁到市信息中心网络机房A区，全部安装调试完毕并通过业务验证并移交为止。</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确保在采购人规定的各时间窗口内完成机房设备的搬迁工作。设备下架前供应商须核对标签，设备全部下电、连线拆除、从机柜中下架、分类打包、安全防护，经采购人确认后，由供应商进行核心系统和设备及其附件的下电、拆除、包装、运输、安装、上电、调试等搬迁全过程。搬迁过程中，要对搬迁设备进行妥善包装和安全运输，所有搬运的设备必须采用专用减震抗压材料包装。设备搬运过程中损坏的设备，均由供应商负责免费维修或更换备件。</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2.3、机房搬迁的包装要求需重点关注防静电、防震、标识规范及材料选择：</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2.3.1</w:t>
            </w:r>
            <w:r>
              <w:rPr>
                <w:rFonts w:hint="eastAsia" w:asciiTheme="minorEastAsia" w:hAnsiTheme="minorEastAsia" w:eastAsiaTheme="minorEastAsia" w:cstheme="minorEastAsia"/>
                <w:color w:val="auto"/>
                <w:szCs w:val="21"/>
                <w:highlight w:val="none"/>
              </w:rPr>
              <w:t>防静电与防震保护：使用防静电膜包裹服务器及设备，避免静电损坏内部元件；外层加裹多层气垫泡沫、防震泡沫等减震材料，提供充足缓冲；独立包装设备时，纸箱需封底并放置海绵垫，箱内填充物确保设备稳固。</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2.3.2</w:t>
            </w:r>
            <w:r>
              <w:rPr>
                <w:rFonts w:hint="eastAsia" w:asciiTheme="minorEastAsia" w:hAnsiTheme="minorEastAsia" w:eastAsiaTheme="minorEastAsia" w:cstheme="minorEastAsia"/>
                <w:color w:val="auto"/>
                <w:szCs w:val="21"/>
                <w:highlight w:val="none"/>
              </w:rPr>
              <w:t>标识与分类：</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纸箱需标注部门、设备名称、序列号及新机房位置，便于快速定位；采用彩色标签区分优先级（如红色=紧急处理），确保搬运效率。</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2.3.3</w:t>
            </w:r>
            <w:r>
              <w:rPr>
                <w:rFonts w:hint="eastAsia" w:asciiTheme="minorEastAsia" w:hAnsiTheme="minorEastAsia" w:eastAsiaTheme="minorEastAsia" w:cstheme="minorEastAsia"/>
                <w:color w:val="auto"/>
                <w:szCs w:val="21"/>
                <w:highlight w:val="none"/>
              </w:rPr>
              <w:t>材料选择与固定：</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优先使用工业级封箱胶带（宽度≥4.8cm），确保封口牢固；</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重要设备拟采用专用木箱包装，并设计保护底座。</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2.3.4</w:t>
            </w:r>
            <w:r>
              <w:rPr>
                <w:rFonts w:hint="eastAsia" w:asciiTheme="minorEastAsia" w:hAnsiTheme="minorEastAsia" w:eastAsiaTheme="minorEastAsia" w:cstheme="minorEastAsia"/>
                <w:color w:val="auto"/>
                <w:szCs w:val="21"/>
                <w:highlight w:val="none"/>
              </w:rPr>
              <w:t>特殊设备处理：</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服务器、存储等含精密部件的设备需使用专用带内衬的纸箱；</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外连设备（如光纤模块）、存储器件（如硬盘）需单独打包，避免震动损坏接口。 </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2.3.5</w:t>
            </w:r>
            <w:r>
              <w:rPr>
                <w:rFonts w:hint="eastAsia" w:asciiTheme="minorEastAsia" w:hAnsiTheme="minorEastAsia" w:eastAsiaTheme="minorEastAsia" w:cstheme="minorEastAsia"/>
                <w:color w:val="auto"/>
                <w:szCs w:val="21"/>
                <w:highlight w:val="none"/>
              </w:rPr>
              <w:t>搬运注意事项：</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设备平稳放置，重要设备不得堆叠；运输车辆需铺垫泡沫层减震，确保设备固定稳固。</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2.3.6</w:t>
            </w:r>
            <w:r>
              <w:rPr>
                <w:rFonts w:hint="eastAsia" w:asciiTheme="minorEastAsia" w:hAnsiTheme="minorEastAsia" w:eastAsiaTheme="minorEastAsia" w:cstheme="minorEastAsia"/>
                <w:color w:val="auto"/>
                <w:szCs w:val="21"/>
                <w:highlight w:val="none"/>
              </w:rPr>
              <w:t>专业工具： 必须使用液压搬运车（地牛）、带负重轮的设备搬运平板车（承重≥1000kg）和起重机（必要时）。严禁人力徒手搬运重型设备。</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2.3.7</w:t>
            </w:r>
            <w:r>
              <w:rPr>
                <w:rFonts w:hint="eastAsia" w:asciiTheme="minorEastAsia" w:hAnsiTheme="minorEastAsia" w:eastAsiaTheme="minorEastAsia" w:cstheme="minorEastAsia"/>
                <w:color w:val="auto"/>
                <w:szCs w:val="21"/>
                <w:highlight w:val="none"/>
              </w:rPr>
              <w:t>机房防护： 在机房出入口、走廊、电梯厅等区域的墙面、门框易碰撞处，提前安装防撞护角和临时防护板。</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2.3.8</w:t>
            </w:r>
            <w:r>
              <w:rPr>
                <w:rFonts w:hint="eastAsia" w:asciiTheme="minorEastAsia" w:hAnsiTheme="minorEastAsia" w:eastAsiaTheme="minorEastAsia" w:cstheme="minorEastAsia"/>
                <w:color w:val="auto"/>
                <w:szCs w:val="21"/>
                <w:highlight w:val="none"/>
              </w:rPr>
              <w:t>电梯专用： 与物业协调，专用一部货梯，并由专人看守。在电梯轿厢内铺设木板或厚纸板，保护轿厢和内设备。</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2.3.9</w:t>
            </w:r>
            <w:r>
              <w:rPr>
                <w:rFonts w:hint="eastAsia" w:asciiTheme="minorEastAsia" w:hAnsiTheme="minorEastAsia" w:eastAsiaTheme="minorEastAsia" w:cstheme="minorEastAsia"/>
                <w:color w:val="auto"/>
                <w:szCs w:val="21"/>
                <w:highlight w:val="none"/>
              </w:rPr>
              <w:t>运输车辆与押运标准：</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车型：选择吨位合适的厢式货车，厢体必须封闭、干净、无尖锐凸起；</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减震装置： 车辆必须配备良好悬挂系统，能有效过滤路面颠簸、减速带带来的震动；</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通风防雨：车辆应具备通风条件，避免内部凝露。严禁在雨天或极端天气下运输；</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其他： 车辆需配有尾板或液压升降尾板，方便设备平稳装卸，避免直接撞击。</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2.3.10</w:t>
            </w:r>
            <w:r>
              <w:rPr>
                <w:rFonts w:hint="eastAsia" w:asciiTheme="minorEastAsia" w:hAnsiTheme="minorEastAsia" w:eastAsiaTheme="minorEastAsia" w:cstheme="minorEastAsia"/>
                <w:color w:val="auto"/>
                <w:szCs w:val="21"/>
                <w:highlight w:val="none"/>
              </w:rPr>
              <w:t>人员照明与安全：</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照明： 在源机房、目的机房、装卸区设置大功率LED照明灯（至少2盏），确保整个作业区域无阴影死角；</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个人防护装备（PPE）： 所有人员必须佩戴；</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反光背心：确保在昏暗环境和车流中被清楚看到；</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防砸防刺穿安全鞋：防止设备坠落或踩到钉子等伤害；</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手套：防滑手套（搬运时）和防静电手套（安装设备时）；</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安全帽：在机房内和装卸区必须佩戴；</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通道安全：清理并明确标识出设备搬运路径，移除所有障碍物。湿滑路面需铺设防滑垫。</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确保设备搬迁完成后各类硬件、系统及数据的完整性、可用性和一致性。设备搬迁期间由于运输原因出现故障或不可预测的意外情况，要求供应商按照事先的应急预案在采购人规定的时间窗口内恢复系统正常运行，并尽快完成故障件修复。</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2.5、供应商须提前规划好搬迁运输路线，并根据当天交通及天气情况实时调整。需准备两条以上运输线路，并提前进行勘察，记录所有减速带、井盖、坑洼的位置，规划绕过或缓慢通过的方案。如遇交通拥堵、施工断路等特殊情况，与采购人确认后选择备用线路。</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2.6、供应商须对搬迁的设备按照预先规划的布局进行上架服务。所有上架设备的接线必须由供应商根据标签进行核对，由采购人与设备原维保服务方共同确认后方可开机。</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2.7、进行设备上架及布线、贴新标签等工作；对照连线设计图核对标签。按顺序依次对设备加电，验证设备、服务、报警是否正常。平台功能环境正常后将网络割接至市信息中心网络机房A区相应交换机。</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3.搬迁后的要求</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供应商对所有设备加电开机启动：检查系统错误日志以及存储识别情况；检查市信息中心网络机房A区网络是否连接正常。配合采购人完成业务验证工作，采购人与设备原维保供应商一起负责对应用系统可用性的最终确认。</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3.3、上述工作完成后，通知各用户单位启动业务系统，跟踪运行情况及时排除故障。如涉及互联网业务系统，还需用户单位进行互联网应用备案变更程序。</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3.4、供应商负责提供包括云平台机房设备部署图、网络拓扑图、网络连线图、设备配置等技术文档及相关资料。</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（四）工作边界界定</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参与搬迁工作的单位包括采购人、供应商、技术支持人员等，在搬迁过程中的工作分工界定如下：</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1、供应商是第一责任人，负责总协调。</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2、供应商要按采购方要求做好搬迁前管理面、业务面以及网络设备的数据备份。云上各信息系统的数据备份由信创云用户单位负责。</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3、设备搬迁前的健康检查由采购人组织完成，并经采购人、供应商共同签字确认。</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4、搬迁设备的下电、拆卸、包装、运输、在新机房的安装、上电等工作均由供应商负责完成。</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5、搬迁设备正常下电后，到在新机房重新安装上电检查通过前，所有硬件故障由供应商负责。</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6、设备维保服务商有权对搬迁、运输等过程提出防护措施要求，并进行监督。</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7、云平台用户各应用系统的停用和启用由应用系统建设单位负责。</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（五）时间要求</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按商务要求相关条款执行。</w:t>
            </w:r>
          </w:p>
          <w:p>
            <w:pPr>
              <w:pStyle w:val="11"/>
              <w:numPr>
                <w:ilvl w:val="0"/>
                <w:numId w:val="8"/>
              </w:num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搬迁服务供应商要求</w:t>
            </w:r>
          </w:p>
          <w:p>
            <w:pPr>
              <w:spacing w:line="4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1、总体要求</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1.1、具备技术服务能力，能快速响应用户要求，并建立完善的备品备件库；熟悉主机、存储、网络安全等环境和安全要求，有相关搬迁项目实施经验；</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1.2、具备系统集成技术服务能力，能熟练完成系统升级、系统迁移、系统优化、技术问题排除等各项工作。</w:t>
            </w:r>
            <w:bookmarkEnd w:id="449"/>
            <w:bookmarkEnd w:id="450"/>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2、搬迁技术团队要求</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搬迁中必须具备下列人员，但不仅限于下列人员。其中核心技术团队包括搬迁项目经理1人、</w:t>
            </w:r>
            <w:r>
              <w:rPr>
                <w:rFonts w:hint="eastAsia" w:asciiTheme="minorEastAsia" w:hAnsiTheme="minorEastAsia" w:eastAsiaTheme="minorEastAsia" w:cstheme="minorEastAsia"/>
                <w:color w:val="auto"/>
                <w:highlight w:val="none"/>
              </w:rPr>
              <w:t>搬迁技术负责人、</w:t>
            </w:r>
            <w:r>
              <w:rPr>
                <w:rFonts w:hint="eastAsia" w:asciiTheme="minorEastAsia" w:hAnsiTheme="minorEastAsia" w:eastAsiaTheme="minorEastAsia" w:cstheme="minorEastAsia"/>
                <w:color w:val="auto"/>
                <w:szCs w:val="21"/>
                <w:highlight w:val="none"/>
              </w:rPr>
              <w:t>搬迁项目工程师。</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2.1、搬迁项目经理至少1人，具有项目管理能力，具备信息系统搬迁项目实施经验。</w:t>
            </w:r>
          </w:p>
          <w:p>
            <w:pPr>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2.2、搬迁技术负责人1人，具备项目技术总体把控能力。</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2.3、搬迁项目团队技术工程师不少于8人，熟悉云平台设计的各类软硬件产品。供应商应保持上述技术工程师团队的稳定，在进行人员更换及分工调整时，需提前征得采购人的同意。</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（七）重大事件技术支撑服务</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由于信创云系统软件已过维保期，因此服务供应商须提供信创云系统软件搬迁重大事件保障服务，保障信创云正常恢复，主要服务内容如下：</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1、搬迁风险评估：对此次搬迁中平台系统软件做整体搬迁风险点评估，包括：平台系统云平台版本、搬迁所涉及的信创云系统软件及数据备份情况、业务窗口期、各团队人员协作配合等；</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2、搬迁方案协助制定：包括搬迁各工作项，局点基本信息，具体的运维操作等。搬迁方案涉及搬迁的具体的工作项，并由一线技术支撑人员明确，每一工作项的具体责任方，以及完成标准和完成时间；</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搬迁各过程节点评审：平台系统软件搬迁涉及搬迁各阶段流程，每一步都需要严格及明确的可实施性。如搬迁前搬迁可行性评估，搬迁前搬迁方案评审，搬迁前各阶段工作目标的实现进度及问题评审，搬迁中的工作进度评审，以及搬迁后的工作总结评审等。在搬迁各过程中，都需要研发参与评估与评审；</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平台系统软件搬迁上下电保障：平台系统软件搬迁中最重要的步骤就是搬迁过程中的上下电保障。平台系统软件在下电以及上电过程中，都需要按产品手册说明或是研发要求进行下电和上电。在下电前，需首先对整个系统进行下电前数据备份，以及下电演练。在上电后，各平台系统产品服务按照指导手册进行服务启动与数据恢复。整个过程需严格按照操作指导手册，按步骤操作。系统上电以及业务启动恢复后，现场工程师按照checklist表逐项进行系统检查，确认各系统以及业务恢复后可确定此次搬迁完成；</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5、需求分析及业务收集：根据计划和双方约定的重大事件保障的范围，收集现网数据，进行客户业务调研，与客户制定保障计划；</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6、平台健康检查：平台健康检查服务是指向客户提供的对云平台运行状态、系统安全及性能等方面进行检查的预防性服务，以便及时发现并排除隐患，为云平台稳定运行提供前提；</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7、风险管理：对客户现网进行过平台健康检查以及业务分析后，针对客户现网已存在的告警、故障和预警进行清理、处理和整改。如受限客户资源无法清理，输出风险管理建议；</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8、应急预案：针对云平台现状和业务剧增后可能出现的问题，制定基于场景化的应急预案，保障平台及业务出现问题后能尽快恢复，保证云平台稳定运行；应急预案制定责任分工；</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搬迁前数据备份，如：管理面数据备份：需要进行管理面数据备份，通过SFTP服务器进行备份；业务面数据：业务租户虚拟机通过快照的方式进行备份；网络设备（TOR交换机、核心交换机、防火墙）配置备份等；</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事件值守：协助采购人、供应商监控云平台运行状态，根据监控得到的数据，对云平台运行状态进行分析，及时发现问题，评估风险，提前预警；在发生故障时提供最快的现场响应和支持，协助供应商实施应急预案，尽快排除故障，保证云平台稳定运行。</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11、人员要求：搬迁现场云平台重大事件技术支撑服务团队不少于3人，云平台安全设备技术支撑团队不少于1人。</w:t>
            </w:r>
          </w:p>
          <w:p>
            <w:pPr>
              <w:pStyle w:val="11"/>
              <w:spacing w:line="440" w:lineRule="exact"/>
              <w:ind w:firstLine="420"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四、安全要求</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1、数据安全及保密要求：成交供应商在项目服务过程中，必须对本项目所有项目信息以及接触到数据予以保密，未经采购人书面许可，成交供应商不得以任何形式向第三方透露的关于本项目的任何内容或数据。</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2、成交供应商需与采购人签订保密协议，履行数据与网络安全保密；成交供应商负责实施人员的数据与网络安全管理，若实施人员未按要求，泄露本项目信息或者数据，采购人有权对成交供应商进行处罚。</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五、其他要求</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信创云重新上架互联所需超六类线缆、光缆、线缆标识等辅材，以及线材敷设施工由成交供应商免费提供。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91" w:type="pct"/>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信创云搬迁预算</w:t>
            </w:r>
          </w:p>
        </w:tc>
        <w:tc>
          <w:tcPr>
            <w:tcW w:w="3908" w:type="pct"/>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kern w:val="0"/>
                <w:szCs w:val="21"/>
                <w:highlight w:val="none"/>
              </w:rPr>
              <w:t>人民币叁拾贰万伍仟柒佰壹拾肆元</w:t>
            </w:r>
            <w:r>
              <w:rPr>
                <w:rFonts w:hint="eastAsia" w:asciiTheme="minorEastAsia" w:hAnsiTheme="minorEastAsia" w:eastAsiaTheme="minorEastAsia" w:cstheme="minorEastAsia"/>
                <w:b/>
                <w:bCs/>
                <w:color w:val="auto"/>
                <w:highlight w:val="none"/>
              </w:rPr>
              <w:t>整</w:t>
            </w:r>
            <w:r>
              <w:rPr>
                <w:rFonts w:hint="eastAsia" w:asciiTheme="minorEastAsia" w:hAnsiTheme="minorEastAsia" w:eastAsiaTheme="minorEastAsia" w:cstheme="minorEastAsia"/>
                <w:b/>
                <w:bCs/>
                <w:color w:val="auto"/>
                <w:kern w:val="0"/>
                <w:szCs w:val="21"/>
                <w:highlight w:val="none"/>
              </w:rPr>
              <w:t>（</w:t>
            </w:r>
            <w:r>
              <w:rPr>
                <w:rFonts w:hint="eastAsia" w:asciiTheme="minorEastAsia" w:hAnsiTheme="minorEastAsia" w:eastAsiaTheme="minorEastAsia" w:cstheme="minorEastAsia"/>
                <w:b/>
                <w:bCs/>
                <w:color w:val="auto"/>
                <w:highlight w:val="none"/>
              </w:rPr>
              <w:t>¥</w:t>
            </w:r>
            <w:r>
              <w:rPr>
                <w:rFonts w:hint="eastAsia" w:asciiTheme="minorEastAsia" w:hAnsiTheme="minorEastAsia" w:eastAsiaTheme="minorEastAsia" w:cstheme="minorEastAsia"/>
                <w:b/>
                <w:bCs/>
                <w:color w:val="auto"/>
                <w:kern w:val="0"/>
                <w:szCs w:val="21"/>
                <w:highlight w:val="none"/>
              </w:rPr>
              <w:t>325714.00元）</w:t>
            </w:r>
          </w:p>
        </w:tc>
      </w:tr>
    </w:tbl>
    <w:tbl>
      <w:tblPr>
        <w:tblStyle w:val="24"/>
        <w:tblpPr w:leftFromText="180" w:rightFromText="180" w:vertAnchor="text" w:horzAnchor="page" w:tblpX="789" w:tblpY="7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4"/>
        <w:gridCol w:w="7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0395" w:type="dxa"/>
            <w:gridSpan w:val="2"/>
            <w:noWrap/>
            <w:vAlign w:val="center"/>
          </w:tcPr>
          <w:p>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Cs w:val="21"/>
                <w:highlight w:val="none"/>
              </w:rPr>
              <w:t>（二）机房配套设施改造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10395" w:type="dxa"/>
            <w:gridSpan w:val="2"/>
            <w:noWrap/>
            <w:vAlign w:val="center"/>
          </w:tcPr>
          <w:p>
            <w:pPr>
              <w:pStyle w:val="11"/>
              <w:spacing w:line="380" w:lineRule="exac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供应商须为采购人提供机房配套设施改造服务。</w:t>
            </w:r>
          </w:p>
          <w:p>
            <w:pPr>
              <w:pStyle w:val="11"/>
              <w:spacing w:line="3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一、服务内容和要求</w:t>
            </w:r>
          </w:p>
          <w:p>
            <w:pPr>
              <w:pStyle w:val="11"/>
              <w:spacing w:line="3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1、按照数据中心建设的要求，增加一路UPS供电。拟配置一台250</w:t>
            </w:r>
            <w:r>
              <w:rPr>
                <w:rFonts w:hint="eastAsia" w:asciiTheme="minorEastAsia" w:hAnsiTheme="minorEastAsia" w:eastAsiaTheme="minorEastAsia" w:cstheme="minorEastAsia"/>
                <w:color w:val="auto"/>
                <w:szCs w:val="21"/>
                <w:highlight w:val="none"/>
                <w:lang w:val="en-US" w:eastAsia="zh-CN"/>
              </w:rPr>
              <w:t>k</w:t>
            </w:r>
            <w:r>
              <w:rPr>
                <w:rFonts w:hint="eastAsia" w:asciiTheme="minorEastAsia" w:hAnsiTheme="minorEastAsia" w:eastAsiaTheme="minorEastAsia" w:cstheme="minorEastAsia"/>
                <w:color w:val="auto"/>
                <w:szCs w:val="21"/>
                <w:highlight w:val="none"/>
              </w:rPr>
              <w:t>VA的UPS主机及其它配套设备（配电柜、电量仪、电缆、开关及其它辅材等），同时对现有机房供电系统进行改造，实现双路供电冗余和和负载分担。</w:t>
            </w:r>
          </w:p>
          <w:p>
            <w:pPr>
              <w:pStyle w:val="11"/>
              <w:spacing w:line="38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2、配置128块200Ah蓄电池，满足信创云系统设备迁入后新增设备用电要求，达到市电断电后连续工作的要求。</w:t>
            </w:r>
          </w:p>
          <w:p>
            <w:pPr>
              <w:rPr>
                <w:rFonts w:hint="eastAsia" w:asciiTheme="minorEastAsia" w:hAnsiTheme="minorEastAsia" w:eastAsiaTheme="minorEastAsia" w:cstheme="minorEastAsia"/>
                <w:color w:val="auto"/>
                <w:highlight w:val="none"/>
              </w:rPr>
            </w:pPr>
          </w:p>
          <w:p>
            <w:pPr>
              <w:numPr>
                <w:ilvl w:val="255"/>
                <w:numId w:val="0"/>
              </w:numPr>
              <w:spacing w:line="380" w:lineRule="exac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二、</w:t>
            </w:r>
            <w:r>
              <w:rPr>
                <w:rFonts w:hint="eastAsia" w:asciiTheme="minorEastAsia" w:hAnsiTheme="minorEastAsia" w:eastAsiaTheme="minorEastAsia" w:cstheme="minorEastAsia"/>
                <w:color w:val="auto"/>
                <w:szCs w:val="21"/>
                <w:highlight w:val="none"/>
              </w:rPr>
              <w:t>本项服务需要提供的设备及技术要求如下：</w:t>
            </w:r>
          </w:p>
          <w:p>
            <w:pPr>
              <w:numPr>
                <w:ilvl w:val="255"/>
                <w:numId w:val="0"/>
              </w:numPr>
              <w:spacing w:line="380" w:lineRule="exac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1、提供UPS主机1台，技术要求如下：</w:t>
            </w:r>
          </w:p>
          <w:p>
            <w:pPr>
              <w:spacing w:line="380" w:lineRule="exact"/>
              <w:ind w:left="425" w:hanging="42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(1)UPS采用高频塔式设计，机框及配置模块容量：≥250</w:t>
            </w:r>
            <w:r>
              <w:rPr>
                <w:rFonts w:hint="eastAsia" w:asciiTheme="minorEastAsia" w:hAnsiTheme="minorEastAsia" w:eastAsiaTheme="minorEastAsia" w:cstheme="minorEastAsia"/>
                <w:color w:val="auto"/>
                <w:szCs w:val="21"/>
                <w:highlight w:val="none"/>
                <w:lang w:val="en-US" w:eastAsia="zh-CN"/>
              </w:rPr>
              <w:t>k</w:t>
            </w:r>
            <w:r>
              <w:rPr>
                <w:rFonts w:hint="eastAsia" w:asciiTheme="minorEastAsia" w:hAnsiTheme="minorEastAsia" w:eastAsiaTheme="minorEastAsia" w:cstheme="minorEastAsia"/>
                <w:color w:val="auto"/>
                <w:szCs w:val="21"/>
                <w:highlight w:val="none"/>
              </w:rPr>
              <w:t>VA。</w:t>
            </w:r>
          </w:p>
          <w:p>
            <w:pPr>
              <w:pStyle w:val="37"/>
              <w:spacing w:line="380" w:lineRule="exact"/>
              <w:ind w:left="357" w:hanging="357"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(2)UPS包含主路、旁路、维修、输出开关。</w:t>
            </w:r>
          </w:p>
          <w:p>
            <w:pPr>
              <w:spacing w:line="380" w:lineRule="exact"/>
              <w:ind w:left="425" w:hanging="42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(3)UPS至少可满足4台并机，以满足系统扩容或冗余的需求。</w:t>
            </w:r>
          </w:p>
          <w:p>
            <w:pPr>
              <w:spacing w:line="380" w:lineRule="exact"/>
              <w:ind w:left="425" w:hanging="42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)效率：为保证UPS产品的高效节能、绿色环保，UPS的系统效率在线模式：≥96%</w:t>
            </w:r>
            <w:r>
              <w:rPr>
                <w:rFonts w:hint="eastAsia" w:asciiTheme="minorEastAsia" w:hAnsiTheme="minorEastAsia" w:eastAsiaTheme="minorEastAsia" w:cstheme="minorEastAsia"/>
                <w:b/>
                <w:bCs/>
                <w:color w:val="auto"/>
                <w:szCs w:val="21"/>
                <w:highlight w:val="none"/>
              </w:rPr>
              <w:t>（提供以下证明材料：第三方检测机构出具的带（CMA或CNAS）标识的检测报告扫描件，或者官网相关功能页面截图（提供完整网页网址），或者产品功能截图，并加盖供应商电子签章。）。</w:t>
            </w:r>
          </w:p>
          <w:p>
            <w:pPr>
              <w:spacing w:line="380" w:lineRule="exact"/>
              <w:ind w:left="425" w:hanging="42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)输入功率因数：≥0.99</w:t>
            </w:r>
            <w:r>
              <w:rPr>
                <w:rFonts w:hint="eastAsia" w:asciiTheme="minorEastAsia" w:hAnsiTheme="minorEastAsia" w:eastAsiaTheme="minorEastAsia" w:cstheme="minorEastAsia"/>
                <w:b/>
                <w:bCs/>
                <w:color w:val="auto"/>
                <w:szCs w:val="21"/>
                <w:highlight w:val="none"/>
              </w:rPr>
              <w:t>（提供以下证明材料：第三方检测机构出具的带（CMA或CNAS）标识的检测报告扫描件，或者官网相关功能页面截图（提供完整网页网址），或者产品功能截图，并加盖供应商电子签章。）。</w:t>
            </w:r>
          </w:p>
          <w:p>
            <w:pPr>
              <w:pStyle w:val="37"/>
              <w:spacing w:line="380" w:lineRule="exact"/>
              <w:ind w:left="357" w:hanging="357"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)输入电流谐波成分：≤5％</w:t>
            </w:r>
            <w:r>
              <w:rPr>
                <w:rFonts w:hint="eastAsia" w:asciiTheme="minorEastAsia" w:hAnsiTheme="minorEastAsia" w:eastAsiaTheme="minorEastAsia" w:cstheme="minorEastAsia"/>
                <w:b/>
                <w:bCs/>
                <w:color w:val="auto"/>
                <w:szCs w:val="21"/>
                <w:highlight w:val="none"/>
              </w:rPr>
              <w:t>。</w:t>
            </w:r>
          </w:p>
          <w:p>
            <w:pPr>
              <w:spacing w:line="380" w:lineRule="exact"/>
              <w:ind w:left="425" w:hanging="42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)输入电压范围应不窄于380V±15%（323V-437V），输入频率范围应不窄于50Hz±10%（45Hz-55Hz）。</w:t>
            </w:r>
          </w:p>
          <w:p>
            <w:pPr>
              <w:spacing w:line="380" w:lineRule="exact"/>
              <w:ind w:left="425" w:hanging="42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)输出功率因数需≥0.9，以便与负载完美匹配，需提供相关证明材料</w:t>
            </w:r>
            <w:r>
              <w:rPr>
                <w:rFonts w:hint="eastAsia" w:asciiTheme="minorEastAsia" w:hAnsiTheme="minorEastAsia" w:eastAsiaTheme="minorEastAsia" w:cstheme="minorEastAsia"/>
                <w:b/>
                <w:bCs/>
                <w:color w:val="auto"/>
                <w:szCs w:val="21"/>
                <w:highlight w:val="none"/>
              </w:rPr>
              <w:t>（提供以下证明材料：第三方检测机构出具的带（CMA或CNAS）标识的检测报告扫描件，或者官网相关功能页面截图（提供完整网页网址），或者产品功能截图，并加盖供应商电子签章。）</w:t>
            </w:r>
          </w:p>
          <w:p>
            <w:pPr>
              <w:spacing w:line="380" w:lineRule="exact"/>
              <w:ind w:left="425" w:hanging="42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9</w:t>
            </w:r>
            <w:r>
              <w:rPr>
                <w:rFonts w:hint="eastAsia" w:asciiTheme="minorEastAsia" w:hAnsiTheme="minorEastAsia" w:eastAsiaTheme="minorEastAsia" w:cstheme="minorEastAsia"/>
                <w:color w:val="auto"/>
                <w:szCs w:val="21"/>
                <w:highlight w:val="none"/>
              </w:rPr>
              <w:t>)输出稳压精度应＜±1%。</w:t>
            </w:r>
          </w:p>
          <w:p>
            <w:pPr>
              <w:spacing w:line="380" w:lineRule="exact"/>
              <w:ind w:left="425" w:hanging="42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0</w:t>
            </w:r>
            <w:r>
              <w:rPr>
                <w:rFonts w:hint="eastAsia" w:asciiTheme="minorEastAsia" w:hAnsiTheme="minorEastAsia" w:eastAsiaTheme="minorEastAsia" w:cstheme="minorEastAsia"/>
                <w:color w:val="auto"/>
                <w:szCs w:val="21"/>
                <w:highlight w:val="none"/>
              </w:rPr>
              <w:t>)在电池逆变工作方式下，输出频率范围应不宽于50Hz±0.5Hz。</w:t>
            </w:r>
          </w:p>
          <w:p>
            <w:pPr>
              <w:spacing w:line="380" w:lineRule="exact"/>
              <w:ind w:left="425" w:hanging="42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)输出波形失真度：≤1%(阻性负载）；≤3%（非线性负载）。</w:t>
            </w:r>
          </w:p>
          <w:p>
            <w:pPr>
              <w:spacing w:line="380" w:lineRule="exact"/>
              <w:ind w:left="425" w:hanging="42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)动态电压瞬变范围：在正常工作方式时，输出接阻性负载，使输出电流由零至100%额定电流和100%额定电流至零突变，两次电流突变时输出电压的变化量均应＜5.0%。</w:t>
            </w:r>
          </w:p>
          <w:p>
            <w:pPr>
              <w:spacing w:line="380" w:lineRule="exact"/>
              <w:ind w:left="425" w:hanging="42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)电压瞬变恢复时间：在输入电压为额定值，输出接阻性负载，输出电流由零至100%额定电流和100%额定电流至零突变，两次电流突变时输出电压恢复到（220±4.4）V范围内所需要的时间均应≤30ms。</w:t>
            </w:r>
          </w:p>
          <w:p>
            <w:pPr>
              <w:spacing w:line="380" w:lineRule="exact"/>
              <w:ind w:left="425" w:hanging="42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)市电与电池切换时间：UPS在正常工作方式和电池逆变工作方式两种状态间切换的时间应为0ms。</w:t>
            </w:r>
          </w:p>
          <w:p>
            <w:pPr>
              <w:spacing w:line="380" w:lineRule="exact"/>
              <w:ind w:left="425" w:hanging="42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)逆变旁路转换时间：输入电压为额定值、输出为50%额定阻性负载，正常工作方式与旁路工作相互转换时间应为0ms。</w:t>
            </w:r>
          </w:p>
          <w:p>
            <w:pPr>
              <w:spacing w:line="380" w:lineRule="exact"/>
              <w:ind w:left="425" w:hanging="42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)过载能力：UPS在正常工作方式情况下，过载125%的工作时间应≥10分钟。</w:t>
            </w:r>
          </w:p>
          <w:p>
            <w:pPr>
              <w:spacing w:line="380" w:lineRule="exact"/>
              <w:ind w:left="425" w:hanging="42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17</w:t>
            </w:r>
            <w:r>
              <w:rPr>
                <w:rFonts w:hint="eastAsia" w:asciiTheme="minorEastAsia" w:hAnsiTheme="minorEastAsia" w:eastAsiaTheme="minorEastAsia" w:cstheme="minorEastAsia"/>
                <w:color w:val="auto"/>
                <w:szCs w:val="21"/>
                <w:highlight w:val="none"/>
              </w:rPr>
              <w:t>)系统对蓄电池进行均充充电及浮充充电时具备手动或自动转换功能（当系统在断电之后重新启动时，应按电池的放电容量或放电时间确定进行均充或浮充，均充结束后自动转入浮充状态，充电过程自动控制）。</w:t>
            </w:r>
          </w:p>
          <w:p>
            <w:pPr>
              <w:pStyle w:val="37"/>
              <w:spacing w:line="380" w:lineRule="exact"/>
              <w:ind w:left="357" w:hanging="357"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18</w:t>
            </w:r>
            <w:r>
              <w:rPr>
                <w:rFonts w:hint="eastAsia" w:asciiTheme="minorEastAsia" w:hAnsiTheme="minorEastAsia" w:eastAsiaTheme="minorEastAsia" w:cstheme="minorEastAsia"/>
                <w:color w:val="auto"/>
                <w:szCs w:val="21"/>
                <w:highlight w:val="none"/>
              </w:rPr>
              <w:t>)标配智能化电池管理功能，UPS主机具备直接通过面板功能对电池组进行浅度和深度放电检测，不需切断市电开关，避免放电时因电池组故障造成</w:t>
            </w:r>
            <w:r>
              <w:rPr>
                <w:rFonts w:hint="eastAsia" w:asciiTheme="minorEastAsia" w:hAnsiTheme="minorEastAsia" w:eastAsiaTheme="minorEastAsia" w:cstheme="minorEastAsia"/>
                <w:color w:val="auto"/>
                <w:szCs w:val="21"/>
                <w:highlight w:val="none"/>
                <w:lang w:eastAsia="zh-CN"/>
              </w:rPr>
              <w:t>意</w:t>
            </w:r>
            <w:r>
              <w:rPr>
                <w:rFonts w:hint="eastAsia" w:asciiTheme="minorEastAsia" w:hAnsiTheme="minorEastAsia" w:eastAsiaTheme="minorEastAsia" w:cstheme="minorEastAsia"/>
                <w:color w:val="auto"/>
                <w:szCs w:val="21"/>
                <w:highlight w:val="none"/>
              </w:rPr>
              <w:t>外掉电。</w:t>
            </w:r>
          </w:p>
          <w:p>
            <w:pPr>
              <w:pStyle w:val="37"/>
              <w:spacing w:line="380" w:lineRule="exact"/>
              <w:ind w:left="357" w:hanging="357"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19</w:t>
            </w:r>
            <w:r>
              <w:rPr>
                <w:rFonts w:hint="eastAsia" w:asciiTheme="minorEastAsia" w:hAnsiTheme="minorEastAsia" w:eastAsiaTheme="minorEastAsia" w:cstheme="minorEastAsia"/>
                <w:color w:val="auto"/>
                <w:szCs w:val="21"/>
                <w:highlight w:val="none"/>
              </w:rPr>
              <w:t>)交流输入过、欠电压保护：当UPS系统输入电压超出允许变化范围时，UPS系统应自动转为电池供电；当输入电压恢复到正常范围之内时，UPS系统应自动从电池逆变转为正常工作方式，同时UPS系统旁路输入电压允许变化范围可根据用户要求设置，上限可设为10%、15%、25%，下限可设为-20%、-30%。</w:t>
            </w:r>
            <w:r>
              <w:rPr>
                <w:rFonts w:hint="eastAsia" w:asciiTheme="minorEastAsia" w:hAnsiTheme="minorEastAsia" w:eastAsiaTheme="minorEastAsia" w:cstheme="minorEastAsia"/>
                <w:b/>
                <w:bCs/>
                <w:color w:val="auto"/>
                <w:szCs w:val="21"/>
                <w:highlight w:val="none"/>
              </w:rPr>
              <w:t>（提供以下证明材料：第三方检测机构出具的带（CMA或CNAS）标识的检测报告扫描件，或者官网相关功能页面截图（提供完整网页网址），或者产品功能截图，并加盖供应商电子签章。）</w:t>
            </w:r>
          </w:p>
          <w:p>
            <w:pPr>
              <w:pStyle w:val="37"/>
              <w:spacing w:line="380" w:lineRule="exact"/>
              <w:ind w:left="357" w:hanging="357"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en-US" w:eastAsia="zh-CN"/>
              </w:rPr>
              <w:t>0</w:t>
            </w:r>
            <w:r>
              <w:rPr>
                <w:rFonts w:hint="eastAsia" w:asciiTheme="minorEastAsia" w:hAnsiTheme="minorEastAsia" w:eastAsiaTheme="minorEastAsia" w:cstheme="minorEastAsia"/>
                <w:color w:val="auto"/>
                <w:szCs w:val="21"/>
                <w:highlight w:val="none"/>
              </w:rPr>
              <w:t>)UPS系统应具备RS485和SNMP标准通信接口，并提供与通讯接口配套使用的通讯线缆和各种告警信号输出端子，通信协议应符合MODBUS的要求。</w:t>
            </w:r>
          </w:p>
          <w:p>
            <w:pPr>
              <w:spacing w:line="380" w:lineRule="exact"/>
              <w:ind w:left="425" w:hanging="425"/>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2、提供UPS电池128块，技术要求如下：</w:t>
            </w:r>
          </w:p>
          <w:p>
            <w:pPr>
              <w:spacing w:line="380" w:lineRule="exact"/>
              <w:ind w:left="425" w:hanging="42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(1)12V UPS专用胶体单体电池，200Ah。</w:t>
            </w:r>
          </w:p>
          <w:p>
            <w:pPr>
              <w:spacing w:line="380" w:lineRule="exact"/>
              <w:ind w:left="425" w:hanging="42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(2)单体电池额定电压：12V。</w:t>
            </w:r>
          </w:p>
          <w:p>
            <w:pPr>
              <w:spacing w:line="380" w:lineRule="exact"/>
              <w:ind w:left="425" w:hanging="42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(3)单体电池浮充电电压： 13.5V。</w:t>
            </w:r>
          </w:p>
          <w:p>
            <w:pPr>
              <w:spacing w:line="380" w:lineRule="exact"/>
              <w:ind w:left="425" w:hanging="42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(4)单体电池均衡充电电压： 14.1-14.4V。</w:t>
            </w:r>
          </w:p>
          <w:p>
            <w:pPr>
              <w:spacing w:line="380" w:lineRule="exact"/>
              <w:ind w:left="425" w:hanging="42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(5)蓄电池在环境温度-20～40℃条件下正常使用。</w:t>
            </w:r>
          </w:p>
          <w:p>
            <w:pPr>
              <w:spacing w:line="380" w:lineRule="exact"/>
              <w:ind w:left="425" w:hanging="42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(6)电池阻燃性能，蓄电池壳、盖、连接条保护罩应</w:t>
            </w:r>
            <w:r>
              <w:rPr>
                <w:rStyle w:val="26"/>
                <w:rFonts w:hint="eastAsia" w:asciiTheme="minorEastAsia" w:hAnsiTheme="minorEastAsia" w:eastAsiaTheme="minorEastAsia" w:cstheme="minorEastAsia"/>
                <w:color w:val="auto"/>
                <w:sz w:val="21"/>
                <w:szCs w:val="21"/>
                <w:highlight w:val="none"/>
              </w:rPr>
              <w:t>符合 GB/T 2408-2021 中</w:t>
            </w:r>
            <w:r>
              <w:rPr>
                <w:rFonts w:hint="eastAsia" w:asciiTheme="minorEastAsia" w:hAnsiTheme="minorEastAsia" w:eastAsiaTheme="minorEastAsia" w:cstheme="minorEastAsia"/>
                <w:color w:val="auto"/>
                <w:sz w:val="21"/>
                <w:szCs w:val="21"/>
                <w:highlight w:val="none"/>
              </w:rPr>
              <w:t>V-0 级</w:t>
            </w:r>
            <w:r>
              <w:rPr>
                <w:rStyle w:val="26"/>
                <w:rFonts w:hint="eastAsia" w:asciiTheme="minorEastAsia" w:hAnsiTheme="minorEastAsia" w:eastAsiaTheme="minorEastAsia" w:cstheme="minorEastAsia"/>
                <w:color w:val="auto"/>
                <w:sz w:val="21"/>
                <w:szCs w:val="21"/>
                <w:highlight w:val="none"/>
              </w:rPr>
              <w:t>的阻燃要求</w:t>
            </w:r>
            <w:r>
              <w:rPr>
                <w:rFonts w:hint="eastAsia" w:asciiTheme="minorEastAsia" w:hAnsiTheme="minorEastAsia" w:eastAsiaTheme="minorEastAsia" w:cstheme="minorEastAsia"/>
                <w:color w:val="auto"/>
                <w:szCs w:val="21"/>
                <w:highlight w:val="none"/>
              </w:rPr>
              <w:t>。</w:t>
            </w:r>
          </w:p>
          <w:p>
            <w:pPr>
              <w:spacing w:line="380" w:lineRule="exact"/>
              <w:ind w:left="425" w:hanging="42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(7)气密性：蓄电池应能承受50</w:t>
            </w:r>
            <w:r>
              <w:rPr>
                <w:rFonts w:hint="eastAsia" w:asciiTheme="minorEastAsia" w:hAnsiTheme="minorEastAsia" w:eastAsiaTheme="minorEastAsia" w:cstheme="minorEastAsia"/>
                <w:color w:val="auto"/>
                <w:szCs w:val="21"/>
                <w:highlight w:val="none"/>
                <w:lang w:val="en-US" w:eastAsia="zh-CN"/>
              </w:rPr>
              <w:t>kP</w:t>
            </w:r>
            <w:r>
              <w:rPr>
                <w:rFonts w:hint="eastAsia" w:asciiTheme="minorEastAsia" w:hAnsiTheme="minorEastAsia" w:eastAsiaTheme="minorEastAsia" w:cstheme="minorEastAsia"/>
                <w:color w:val="auto"/>
                <w:szCs w:val="21"/>
                <w:highlight w:val="none"/>
              </w:rPr>
              <w:t>a的正压或负压而不破裂、不开胶，压力释放后壳体无残余变形。</w:t>
            </w:r>
          </w:p>
          <w:p>
            <w:pPr>
              <w:spacing w:line="380" w:lineRule="exact"/>
              <w:ind w:left="425" w:hanging="425"/>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(8)蓄电池的密封反应效率不低于95%</w:t>
            </w:r>
            <w:r>
              <w:rPr>
                <w:rFonts w:hint="eastAsia" w:asciiTheme="minorEastAsia" w:hAnsiTheme="minorEastAsia" w:eastAsiaTheme="minorEastAsia" w:cstheme="minorEastAsia"/>
                <w:color w:val="auto"/>
                <w:szCs w:val="21"/>
                <w:highlight w:val="none"/>
                <w:lang w:eastAsia="zh-CN"/>
              </w:rPr>
              <w:t>。</w:t>
            </w:r>
          </w:p>
          <w:p>
            <w:pPr>
              <w:spacing w:line="380" w:lineRule="exact"/>
              <w:ind w:left="425" w:hanging="42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(9)安全阀应具有自动开启和自动关闭的功能，其开阀压力应在0kPa~35kPa范围内，闭阀压力应在3kPa~30kPa范围内。</w:t>
            </w:r>
          </w:p>
          <w:p>
            <w:pPr>
              <w:spacing w:line="380" w:lineRule="exact"/>
              <w:ind w:left="425" w:hanging="42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(10)电池间连接电压降：蓄电池间的连接电压降△U≤10mV</w:t>
            </w:r>
          </w:p>
          <w:p>
            <w:pPr>
              <w:spacing w:line="380" w:lineRule="exact"/>
              <w:ind w:left="425" w:hanging="42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(11)防爆性能：蓄电池在充电过程中遇有明火，内部应不引燃、不引爆。</w:t>
            </w:r>
          </w:p>
          <w:p>
            <w:pPr>
              <w:ind w:left="425" w:hanging="42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(12)容量保存率：蓄电池静置28天后其容量保存率应不低于96%。</w:t>
            </w:r>
          </w:p>
          <w:p>
            <w:pPr>
              <w:ind w:left="425" w:hanging="42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(13)循环寿命：≥500次50%(C10)DOD</w:t>
            </w:r>
            <w:r>
              <w:rPr>
                <w:rFonts w:hint="eastAsia" w:asciiTheme="minorEastAsia" w:hAnsiTheme="minorEastAsia" w:eastAsiaTheme="minorEastAsia" w:cstheme="minorEastAsia"/>
                <w:color w:val="auto"/>
                <w:szCs w:val="21"/>
                <w:highlight w:val="none"/>
                <w:lang w:eastAsia="zh-CN"/>
              </w:rPr>
              <w:t>。</w:t>
            </w:r>
          </w:p>
          <w:p>
            <w:pPr>
              <w:jc w:val="left"/>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3、提供国标4×120+1×70平方电缆120米，无氧铜，阻燃低烟电缆，阻燃等级达到B级(ZB)或以上。</w:t>
            </w:r>
          </w:p>
          <w:p>
            <w:pPr>
              <w:jc w:val="left"/>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4、提供国标4×25+1×16平方电缆100米，无氧铜，阻燃低烟电缆，阻燃等级达到B级(ZB)或以上。</w:t>
            </w:r>
          </w:p>
          <w:p>
            <w:pPr>
              <w:jc w:val="left"/>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5、提供380V 4P，40</w:t>
            </w:r>
            <w:r>
              <w:rPr>
                <w:rFonts w:hint="eastAsia" w:asciiTheme="minorEastAsia" w:hAnsiTheme="minorEastAsia" w:eastAsiaTheme="minorEastAsia" w:cstheme="minorEastAsia"/>
                <w:b/>
                <w:bCs/>
                <w:color w:val="auto"/>
                <w:highlight w:val="none"/>
                <w:lang w:val="en-US" w:eastAsia="zh-CN"/>
              </w:rPr>
              <w:t>k</w:t>
            </w:r>
            <w:r>
              <w:rPr>
                <w:rFonts w:hint="eastAsia" w:asciiTheme="minorEastAsia" w:hAnsiTheme="minorEastAsia" w:eastAsiaTheme="minorEastAsia" w:cstheme="minorEastAsia"/>
                <w:b/>
                <w:bCs/>
                <w:color w:val="auto"/>
                <w:highlight w:val="none"/>
              </w:rPr>
              <w:t>A浪涌防雷保护器1套。</w:t>
            </w:r>
          </w:p>
          <w:p>
            <w:pPr>
              <w:jc w:val="left"/>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6、提供380V 4P，20</w:t>
            </w:r>
            <w:r>
              <w:rPr>
                <w:rFonts w:hint="eastAsia" w:asciiTheme="minorEastAsia" w:hAnsiTheme="minorEastAsia" w:eastAsiaTheme="minorEastAsia" w:cstheme="minorEastAsia"/>
                <w:b/>
                <w:bCs/>
                <w:color w:val="auto"/>
                <w:highlight w:val="none"/>
                <w:lang w:val="en-US" w:eastAsia="zh-CN"/>
              </w:rPr>
              <w:t>k</w:t>
            </w:r>
            <w:r>
              <w:rPr>
                <w:rFonts w:hint="eastAsia" w:asciiTheme="minorEastAsia" w:hAnsiTheme="minorEastAsia" w:eastAsiaTheme="minorEastAsia" w:cstheme="minorEastAsia"/>
                <w:b/>
                <w:bCs/>
                <w:color w:val="auto"/>
                <w:highlight w:val="none"/>
              </w:rPr>
              <w:t>A浪涌防雷保护器4套。</w:t>
            </w:r>
          </w:p>
          <w:p>
            <w:pPr>
              <w:jc w:val="left"/>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7、提供电量仪8套，满足三相电压、三相电流、有功功率、无功功率、频率、功率因数、四象限电能等电量参数实时测量、显示，可通过RS485通讯接口与动力环境监控系统完全对接。</w:t>
            </w:r>
          </w:p>
          <w:p>
            <w:pPr>
              <w:jc w:val="left"/>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8、提供可穿25平方线电流互感器12个。</w:t>
            </w:r>
          </w:p>
          <w:p>
            <w:pPr>
              <w:pStyle w:val="54"/>
              <w:spacing w:line="380" w:lineRule="exact"/>
              <w:jc w:val="left"/>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9、提供直流空开4只，满足如下要求：</w:t>
            </w:r>
          </w:p>
          <w:p>
            <w:pPr>
              <w:pStyle w:val="54"/>
              <w:spacing w:line="38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(1)4P DC500A直流空开；</w:t>
            </w:r>
          </w:p>
          <w:p>
            <w:pPr>
              <w:pStyle w:val="54"/>
              <w:spacing w:line="38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(2)额定冲击耐受电压:6</w:t>
            </w:r>
            <w:r>
              <w:rPr>
                <w:rFonts w:hint="eastAsia" w:asciiTheme="minorEastAsia" w:hAnsiTheme="minorEastAsia" w:eastAsiaTheme="minorEastAsia" w:cstheme="minorEastAsia"/>
                <w:color w:val="auto"/>
                <w:highlight w:val="none"/>
                <w:lang w:val="en-US" w:eastAsia="zh-CN"/>
              </w:rPr>
              <w:t>k</w:t>
            </w:r>
            <w:r>
              <w:rPr>
                <w:rFonts w:hint="eastAsia" w:asciiTheme="minorEastAsia" w:hAnsiTheme="minorEastAsia" w:eastAsiaTheme="minorEastAsia" w:cstheme="minorEastAsia"/>
                <w:color w:val="auto"/>
                <w:highlight w:val="none"/>
              </w:rPr>
              <w:t>V；</w:t>
            </w:r>
          </w:p>
          <w:p>
            <w:pPr>
              <w:pStyle w:val="54"/>
              <w:spacing w:line="38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(3)额定极限短路分断能力:50</w:t>
            </w:r>
            <w:r>
              <w:rPr>
                <w:rFonts w:hint="eastAsia" w:asciiTheme="minorEastAsia" w:hAnsiTheme="minorEastAsia" w:eastAsiaTheme="minorEastAsia" w:cstheme="minorEastAsia"/>
                <w:color w:val="auto"/>
                <w:highlight w:val="none"/>
                <w:lang w:val="en-US" w:eastAsia="zh-CN"/>
              </w:rPr>
              <w:t>k</w:t>
            </w:r>
            <w:r>
              <w:rPr>
                <w:rFonts w:hint="eastAsia" w:asciiTheme="minorEastAsia" w:hAnsiTheme="minorEastAsia" w:eastAsiaTheme="minorEastAsia" w:cstheme="minorEastAsia"/>
                <w:color w:val="auto"/>
                <w:highlight w:val="none"/>
              </w:rPr>
              <w:t>A；</w:t>
            </w:r>
          </w:p>
          <w:p>
            <w:pPr>
              <w:pStyle w:val="54"/>
              <w:spacing w:line="38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(4)额定绝缘电压:1000V；</w:t>
            </w:r>
          </w:p>
          <w:p>
            <w:pPr>
              <w:pStyle w:val="54"/>
              <w:spacing w:line="38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(5)导件材质:银触点；</w:t>
            </w:r>
          </w:p>
          <w:p>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(6)产品功能:过载、短路保护。</w:t>
            </w:r>
          </w:p>
          <w:p>
            <w:pPr>
              <w:jc w:val="left"/>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10、提供1×150平方电缆150米，无氧铜，阻燃低烟电缆,阻燃等级达到B级(ZB)或以上。</w:t>
            </w:r>
          </w:p>
          <w:p>
            <w:pPr>
              <w:spacing w:line="380" w:lineRule="exact"/>
              <w:ind w:left="425" w:hanging="425"/>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11、提供配电柜1只，满足如下要求：</w:t>
            </w:r>
          </w:p>
          <w:p>
            <w:pPr>
              <w:spacing w:line="380" w:lineRule="exact"/>
              <w:ind w:left="425" w:hanging="42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(1)直流空开配电柜；</w:t>
            </w:r>
          </w:p>
          <w:p>
            <w:pPr>
              <w:spacing w:line="380" w:lineRule="exact"/>
              <w:ind w:left="425" w:hanging="42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(2)尺寸：1000mm×600mm×400mm（以上尺寸允许偏差±5mm）；</w:t>
            </w:r>
          </w:p>
          <w:p>
            <w:pPr>
              <w:spacing w:line="380" w:lineRule="exact"/>
              <w:ind w:left="425" w:hanging="42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(3)材质：冷轧钢板；</w:t>
            </w:r>
          </w:p>
          <w:p>
            <w:pPr>
              <w:spacing w:line="380" w:lineRule="exact"/>
              <w:ind w:left="425" w:hanging="42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(4)工艺：静电喷塑；</w:t>
            </w:r>
          </w:p>
          <w:p>
            <w:pPr>
              <w:spacing w:line="380" w:lineRule="exact"/>
              <w:ind w:left="425" w:hanging="42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(5)厚度：门板≥1.2mm，箱体≥1.0mm；</w:t>
            </w: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(6)配件：横梁6根。</w:t>
            </w:r>
          </w:p>
          <w:p>
            <w:pPr>
              <w:spacing w:line="380" w:lineRule="exact"/>
              <w:ind w:left="425" w:hanging="425"/>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12、提供UPS输入配电柜1只，满足如下要求：</w:t>
            </w:r>
          </w:p>
          <w:p>
            <w:pPr>
              <w:numPr>
                <w:ilvl w:val="255"/>
                <w:numId w:val="0"/>
              </w:numPr>
              <w:spacing w:line="3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(1)UPS输入配电柜；</w:t>
            </w:r>
          </w:p>
          <w:p>
            <w:pPr>
              <w:spacing w:line="380" w:lineRule="exact"/>
              <w:ind w:left="425" w:hanging="42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(2)尺寸：宽600</w:t>
            </w:r>
            <w:r>
              <w:rPr>
                <w:rFonts w:hint="eastAsia" w:asciiTheme="minorEastAsia" w:hAnsiTheme="minorEastAsia" w:eastAsiaTheme="minorEastAsia" w:cstheme="minorEastAsia"/>
                <w:color w:val="auto"/>
                <w:szCs w:val="21"/>
                <w:highlight w:val="none"/>
                <w:lang w:val="en-US" w:eastAsia="zh-CN"/>
              </w:rPr>
              <w:t>mm</w:t>
            </w:r>
            <w:r>
              <w:rPr>
                <w:rFonts w:hint="eastAsia" w:asciiTheme="minorEastAsia" w:hAnsiTheme="minorEastAsia" w:eastAsiaTheme="minorEastAsia" w:cstheme="minorEastAsia"/>
                <w:color w:val="auto"/>
                <w:szCs w:val="21"/>
                <w:highlight w:val="none"/>
              </w:rPr>
              <w:t>×高800mm×深250mm</w:t>
            </w:r>
            <w:r>
              <w:rPr>
                <w:rFonts w:hint="eastAsia" w:asciiTheme="minorEastAsia" w:hAnsiTheme="minorEastAsia" w:eastAsiaTheme="minorEastAsia" w:cstheme="minorEastAsia"/>
                <w:color w:val="auto"/>
                <w:highlight w:val="none"/>
              </w:rPr>
              <w:t>（以上尺寸允许偏差±5mm）</w:t>
            </w:r>
            <w:r>
              <w:rPr>
                <w:rFonts w:hint="eastAsia" w:asciiTheme="minorEastAsia" w:hAnsiTheme="minorEastAsia" w:eastAsiaTheme="minorEastAsia" w:cstheme="minorEastAsia"/>
                <w:color w:val="auto"/>
                <w:szCs w:val="21"/>
                <w:highlight w:val="none"/>
              </w:rPr>
              <w:t>；</w:t>
            </w:r>
          </w:p>
          <w:p>
            <w:pPr>
              <w:spacing w:line="380" w:lineRule="exact"/>
              <w:ind w:left="425" w:hanging="42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(3)双开门；</w:t>
            </w:r>
          </w:p>
          <w:p>
            <w:pPr>
              <w:spacing w:line="380" w:lineRule="exact"/>
              <w:ind w:left="425" w:hanging="42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(4)材质:冷轧钢板；</w:t>
            </w:r>
          </w:p>
          <w:p>
            <w:pPr>
              <w:spacing w:line="380" w:lineRule="exact"/>
              <w:ind w:left="425" w:hanging="42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(5)工艺:静电喷塑；</w:t>
            </w:r>
          </w:p>
          <w:p>
            <w:pPr>
              <w:spacing w:line="380" w:lineRule="exact"/>
              <w:ind w:left="425" w:hanging="42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(6)厚度:门板</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Cs w:val="21"/>
                <w:highlight w:val="none"/>
              </w:rPr>
              <w:t>1.2mm,箱体</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Cs w:val="21"/>
                <w:highlight w:val="none"/>
              </w:rPr>
              <w:t>1.0mm；</w:t>
            </w:r>
          </w:p>
          <w:p>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(7)空开:1个4P630A。</w:t>
            </w:r>
          </w:p>
          <w:p>
            <w:pPr>
              <w:jc w:val="left"/>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13、提供3×30mm紫铜带汇流排12米。</w:t>
            </w:r>
          </w:p>
          <w:p>
            <w:pPr>
              <w:spacing w:line="360" w:lineRule="exact"/>
              <w:jc w:val="left"/>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14、服务实施要求：</w:t>
            </w:r>
          </w:p>
          <w:p>
            <w:pPr>
              <w:spacing w:line="36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（1）含UPS主机和电池等设备的安装更换和连接电缆铺设、UPS主机至网络机房的电缆敷设和安装、机房列头柜改造和电缆连接、电池拆运、动环监控系统对接费用等；</w:t>
            </w:r>
          </w:p>
          <w:p>
            <w:pPr>
              <w:spacing w:line="36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UPS主机和电池需按业主方要求安装到位，铺设电源房UPS主机至机房的一路电缆并完成连接，对机房列头柜进行改造并完成电缆连接，完成整套UPS系统的安装调试，达到为机柜提供两路独立供电的要求,电源房原电池由成交供应商负责拆运到指定位置，安装所需线材、辅材、人工、现有电池的拆运包含在项目预算当中，采购人无需额外付费。辅材包括120铜鼻子、70铜鼻子、25铜鼻子、16铜鼻子、热缩管、5色电工胶布、扎带、线槽、线管、标签、螺丝、螺帽、接地线等，所有辅材要求符合相关国家标准；</w:t>
            </w:r>
          </w:p>
          <w:p>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（3）采购成交价中已包括送货上门及安装（含拆除原有设备及安装新设备所需输入输出电缆线、辅材）等费用；</w:t>
            </w:r>
          </w:p>
          <w:p>
            <w:pPr>
              <w:spacing w:line="36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（4）UPS主机、UPS电池、线路的主要安装、调试工作应由具备中华人民共和国特种作业操作证（操作项目：低压电工作业）人员实施。</w:t>
            </w:r>
          </w:p>
          <w:p>
            <w:pPr>
              <w:spacing w:line="36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（5）供应商需组建人数和技能满足机房配套设施要求的实施队伍，并设立机房配套设施改造项目经理1人。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3364" w:type="dxa"/>
            <w:noWrap/>
            <w:vAlign w:val="center"/>
          </w:tcPr>
          <w:p>
            <w:pPr>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szCs w:val="21"/>
                <w:highlight w:val="none"/>
              </w:rPr>
              <w:t>机房配套设施改造预算</w:t>
            </w:r>
          </w:p>
        </w:tc>
        <w:tc>
          <w:tcPr>
            <w:tcW w:w="7031" w:type="dxa"/>
            <w:noWrap/>
            <w:vAlign w:val="center"/>
          </w:tcPr>
          <w:p>
            <w:pPr>
              <w:widowControl/>
              <w:jc w:val="center"/>
              <w:textAlignment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szCs w:val="21"/>
                <w:highlight w:val="none"/>
              </w:rPr>
              <w:t>人民币‌伍拾叁万肆仟贰佰捌拾陆元整（¥534286.00元）</w:t>
            </w:r>
          </w:p>
        </w:tc>
      </w:tr>
    </w:tbl>
    <w:p>
      <w:pPr>
        <w:widowControl/>
        <w:jc w:val="left"/>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ind w:firstLine="0"/>
        <w:rPr>
          <w:rFonts w:hint="eastAsia" w:asciiTheme="minorEastAsia" w:hAnsiTheme="minorEastAsia" w:eastAsiaTheme="minorEastAsia" w:cstheme="minorEastAsia"/>
          <w:color w:val="auto"/>
          <w:highlight w:val="none"/>
        </w:rPr>
      </w:pPr>
    </w:p>
    <w:p>
      <w:pPr>
        <w:pStyle w:val="8"/>
        <w:ind w:firstLine="0"/>
        <w:rPr>
          <w:rFonts w:hint="eastAsia" w:asciiTheme="minorEastAsia" w:hAnsiTheme="minorEastAsia" w:eastAsiaTheme="minorEastAsia" w:cstheme="minorEastAsia"/>
          <w:color w:val="auto"/>
          <w:highlight w:val="none"/>
        </w:rPr>
      </w:pPr>
    </w:p>
    <w:p>
      <w:pPr>
        <w:pStyle w:val="9"/>
        <w:rPr>
          <w:rFonts w:hint="eastAsia" w:asciiTheme="minorEastAsia" w:hAnsiTheme="minorEastAsia" w:eastAsiaTheme="minorEastAsia" w:cstheme="minorEastAsia"/>
          <w:color w:val="auto"/>
          <w:highlight w:val="none"/>
        </w:rPr>
      </w:pPr>
    </w:p>
    <w:tbl>
      <w:tblPr>
        <w:tblStyle w:val="24"/>
        <w:tblpPr w:leftFromText="180" w:rightFromText="180" w:vertAnchor="text" w:horzAnchor="page" w:tblpX="804" w:tblpY="3212"/>
        <w:tblOverlap w:val="never"/>
        <w:tblW w:w="49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0"/>
        <w:gridCol w:w="7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bCs/>
                <w:color w:val="auto"/>
                <w:szCs w:val="21"/>
                <w:highlight w:val="none"/>
              </w:rPr>
              <w:t>（三）信创云运维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2"/>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服务内容和要求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2"/>
            <w:tcBorders>
              <w:top w:val="single" w:color="auto" w:sz="4" w:space="0"/>
              <w:left w:val="single" w:color="auto" w:sz="4" w:space="0"/>
              <w:bottom w:val="single" w:color="auto" w:sz="4" w:space="0"/>
              <w:right w:val="single" w:color="auto" w:sz="4" w:space="0"/>
            </w:tcBorders>
            <w:noWrap/>
            <w:vAlign w:val="center"/>
          </w:tcPr>
          <w:p>
            <w:pPr>
              <w:pStyle w:val="11"/>
              <w:spacing w:line="440" w:lineRule="exact"/>
              <w:ind w:firstLine="420"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一、服务说明</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为确保</w:t>
            </w:r>
            <w:r>
              <w:rPr>
                <w:rFonts w:hint="eastAsia" w:asciiTheme="minorEastAsia" w:hAnsiTheme="minorEastAsia" w:eastAsiaTheme="minorEastAsia" w:cstheme="minorEastAsia"/>
                <w:color w:val="auto"/>
                <w:highlight w:val="none"/>
                <w:lang w:val="hr-HR"/>
              </w:rPr>
              <w:t>桂林市信创云</w:t>
            </w:r>
            <w:r>
              <w:rPr>
                <w:rFonts w:hint="eastAsia" w:asciiTheme="minorEastAsia" w:hAnsiTheme="minorEastAsia" w:eastAsiaTheme="minorEastAsia" w:cstheme="minorEastAsia"/>
                <w:color w:val="auto"/>
                <w:szCs w:val="21"/>
                <w:highlight w:val="none"/>
              </w:rPr>
              <w:t>的安全稳定运行，计划通过服务采购的形式，选择和确定具备经验及实力的云平台运维服务单位（下称“运维服务商”）。运维服务商必须在保障现有云平台基础架构和业务系统运行环境持续不间断、稳定且安全可靠的条件下，提供包括云主机、云宿主机、云存储、云网络、云安全、云监控等在内的各项资源规划分配、租户应用上云资源分配等运维服务，满足各部门业务的各项需求，配合采购人做好平台所属设备系统软件的维保与升级。</w:t>
            </w:r>
          </w:p>
          <w:p>
            <w:pPr>
              <w:pStyle w:val="11"/>
              <w:spacing w:line="440" w:lineRule="exact"/>
              <w:ind w:firstLine="420"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二、服务内容</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市信创云所属设备资产包括主要包括服务器、存储、网络及安全设备100台（见附件1），以及配套的杀毒软件、云平台管理软件、虚拟化软件等系统软件。运维服务商需对设备配置、安装位置、IP地址、用途、厂商等信息进行统一登记，建立和维护资产台账表。本项目主要运维内容包括运维体系建立和优化、云平台日常运维、云平台安全运维、故障处理、重保运维服务、应急演练、安全运营服务、相关系统运营支撑服务等。服务期内，信创云如有扩容（设备增加约70台），供应商应按照采购人要求将运维服务覆盖至新增设备和配套软件。</w:t>
            </w:r>
          </w:p>
          <w:p>
            <w:pPr>
              <w:pStyle w:val="11"/>
              <w:spacing w:line="440" w:lineRule="exact"/>
              <w:ind w:firstLine="420"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（一） 运维体系建立和优化</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运维体系建立与优化。为实现市信创云安全、运维策略的统一管理，提高云平台整体的安全、运维水平，建立一套符合信息系统等级保护三级的体系化管理目标和要求的安全运维管理制度与管理办法，如云平台安全运维管理制度、云平台运维管理制度，进一步防范和控制系统故障和信息安全风险，保证云平台整体安全、可靠。</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bookmarkStart w:id="451" w:name="_Toc17835"/>
            <w:r>
              <w:rPr>
                <w:rFonts w:hint="eastAsia" w:asciiTheme="minorEastAsia" w:hAnsiTheme="minorEastAsia" w:eastAsiaTheme="minorEastAsia" w:cstheme="minorEastAsia"/>
                <w:color w:val="auto"/>
                <w:szCs w:val="21"/>
                <w:highlight w:val="none"/>
              </w:rPr>
              <w:t>运维服务管理流程建立与优化</w:t>
            </w:r>
            <w:bookmarkEnd w:id="451"/>
            <w:r>
              <w:rPr>
                <w:rFonts w:hint="eastAsia" w:asciiTheme="minorEastAsia" w:hAnsiTheme="minorEastAsia" w:eastAsiaTheme="minorEastAsia" w:cstheme="minorEastAsia"/>
                <w:color w:val="auto"/>
                <w:szCs w:val="21"/>
                <w:highlight w:val="none"/>
              </w:rPr>
              <w:t>。为加强和规范市信创云运维管理工作，将运维工作标准化、流程化，制定运维服务管理流程并设计管理流程图与管理表单，内容包括：事件管理、问题管理、变更管理、人员管理、安全管理、故障与应急管理等。</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bookmarkStart w:id="452" w:name="_Toc8829"/>
            <w:r>
              <w:rPr>
                <w:rFonts w:hint="eastAsia" w:asciiTheme="minorEastAsia" w:hAnsiTheme="minorEastAsia" w:eastAsiaTheme="minorEastAsia" w:cstheme="minorEastAsia"/>
                <w:color w:val="auto"/>
                <w:szCs w:val="21"/>
                <w:highlight w:val="none"/>
              </w:rPr>
              <w:t>运维管理方案制定与优化</w:t>
            </w:r>
            <w:bookmarkEnd w:id="452"/>
            <w:r>
              <w:rPr>
                <w:rFonts w:hint="eastAsia" w:asciiTheme="minorEastAsia" w:hAnsiTheme="minorEastAsia" w:eastAsiaTheme="minorEastAsia" w:cstheme="minorEastAsia"/>
                <w:color w:val="auto"/>
                <w:szCs w:val="21"/>
                <w:highlight w:val="none"/>
              </w:rPr>
              <w:t>。制定运维服务管理方案，结合项目实际情况不断深入优化、完善运维服务管理内容与范围，内容包括运维团队岗位职责规范、云平台资源服务管理办法、云平台安全管理办法和应急处置预案、云平台故障管理方案和故障处置预案、制定云平台高可用演练与管理方案、制定云平台备份与恢复管理方案等。</w:t>
            </w:r>
          </w:p>
          <w:p>
            <w:pPr>
              <w:pStyle w:val="11"/>
              <w:spacing w:line="440" w:lineRule="exact"/>
              <w:ind w:firstLine="420" w:firstLineChars="200"/>
              <w:rPr>
                <w:rFonts w:hint="eastAsia" w:asciiTheme="minorEastAsia" w:hAnsiTheme="minorEastAsia" w:eastAsiaTheme="minorEastAsia" w:cstheme="minorEastAsia"/>
                <w:b/>
                <w:bCs/>
                <w:color w:val="auto"/>
                <w:szCs w:val="21"/>
                <w:highlight w:val="none"/>
              </w:rPr>
            </w:pPr>
            <w:bookmarkStart w:id="453" w:name="_Toc25624"/>
            <w:r>
              <w:rPr>
                <w:rFonts w:hint="eastAsia" w:asciiTheme="minorEastAsia" w:hAnsiTheme="minorEastAsia" w:eastAsiaTheme="minorEastAsia" w:cstheme="minorEastAsia"/>
                <w:b/>
                <w:bCs/>
                <w:color w:val="auto"/>
                <w:szCs w:val="21"/>
                <w:highlight w:val="none"/>
              </w:rPr>
              <w:t>（二）云平台日常运维</w:t>
            </w:r>
            <w:bookmarkEnd w:id="453"/>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市信创云面向全市17县（市、区）和全市党政机关及其直属事业单位提供云资源服务，每套系统和虚拟机均涉及云平台日常运维工作</w:t>
            </w:r>
            <w:bookmarkStart w:id="454" w:name="_Toc11932"/>
            <w:r>
              <w:rPr>
                <w:rFonts w:hint="eastAsia" w:asciiTheme="minorEastAsia" w:hAnsiTheme="minorEastAsia" w:eastAsiaTheme="minorEastAsia" w:cstheme="minorEastAsia"/>
                <w:color w:val="auto"/>
                <w:szCs w:val="21"/>
                <w:highlight w:val="none"/>
              </w:rPr>
              <w:t>，包含如下方面：</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1、业务上云支持</w:t>
            </w:r>
            <w:bookmarkEnd w:id="454"/>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提供云平台业务上云的业务咨询、资源分配建议及相关技术支持。接收、规划并落实资源需求，包括计算、存储、网络、安全等云平台资源，以及堡垒机、云租户管理员、VPN等账号或权限资源。</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响应采购人安排的对云平台资源的服务需求，提供技术咨询和资源分配服务，并协助使用单位进行业务应用的部署、调试、使用和管理相关资源。包括计算资源池、网络资源池服务、存储资源池等。</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云平台操作系统模板安全加固，指导和协助业务系统进行安全加固、漏洞修复、安全资源池配置。</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bookmarkStart w:id="455" w:name="_Toc30701"/>
            <w:r>
              <w:rPr>
                <w:rFonts w:hint="eastAsia" w:asciiTheme="minorEastAsia" w:hAnsiTheme="minorEastAsia" w:eastAsiaTheme="minorEastAsia" w:cstheme="minorEastAsia"/>
                <w:color w:val="auto"/>
                <w:szCs w:val="21"/>
                <w:highlight w:val="none"/>
              </w:rPr>
              <w:t>2、运行健康监控和处理</w:t>
            </w:r>
            <w:bookmarkEnd w:id="455"/>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运维服务商须7×24小时对云平台的资源、告警、性能、容量、应用等使用情况进行全方面集中监控，对云平台管理平面、网络平面、业务平面和存储平面进行健康检查和问题处理；当发生异常时及时通知相关人员；配合采购人进行配件更换、补丁升级等操作。</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bookmarkStart w:id="456" w:name="_Toc32395"/>
            <w:r>
              <w:rPr>
                <w:rFonts w:hint="eastAsia" w:asciiTheme="minorEastAsia" w:hAnsiTheme="minorEastAsia" w:eastAsiaTheme="minorEastAsia" w:cstheme="minorEastAsia"/>
                <w:color w:val="auto"/>
                <w:szCs w:val="21"/>
                <w:highlight w:val="none"/>
              </w:rPr>
              <w:t>3、云平台运行分析</w:t>
            </w:r>
            <w:bookmarkEnd w:id="456"/>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针对云平台IaaS资源池、租户VDC资源分析，根据历史数据报表信息，了解并分析设备数量、资源利用率、容量统计、告警趋势等的分布、趋势。对于频发告警的部件或节点要进行分析，提出优化建议，提高系统稳定性，并按月、年输出资源使用情况报告。</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bookmarkStart w:id="457" w:name="_Toc12113"/>
            <w:r>
              <w:rPr>
                <w:rFonts w:hint="eastAsia" w:asciiTheme="minorEastAsia" w:hAnsiTheme="minorEastAsia" w:eastAsiaTheme="minorEastAsia" w:cstheme="minorEastAsia"/>
                <w:color w:val="auto"/>
                <w:szCs w:val="21"/>
                <w:highlight w:val="none"/>
              </w:rPr>
              <w:t>4、云平台优化与改进</w:t>
            </w:r>
            <w:bookmarkEnd w:id="457"/>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能及时发现云平台存在的安全运行隐患，如云平台、服务器、安全、网络、存储等设备存在的配置不合理问题或产品潜在BUG等，及时提出相关优化改进建议。</w:t>
            </w:r>
          </w:p>
          <w:p>
            <w:pPr>
              <w:pStyle w:val="11"/>
              <w:spacing w:line="440" w:lineRule="exact"/>
              <w:ind w:firstLine="420" w:firstLineChars="200"/>
              <w:rPr>
                <w:rFonts w:hint="eastAsia" w:asciiTheme="minorEastAsia" w:hAnsiTheme="minorEastAsia" w:eastAsiaTheme="minorEastAsia" w:cstheme="minorEastAsia"/>
                <w:b/>
                <w:bCs/>
                <w:color w:val="auto"/>
                <w:szCs w:val="21"/>
                <w:highlight w:val="none"/>
              </w:rPr>
            </w:pPr>
            <w:bookmarkStart w:id="458" w:name="_Toc25282"/>
            <w:r>
              <w:rPr>
                <w:rFonts w:hint="eastAsia" w:asciiTheme="minorEastAsia" w:hAnsiTheme="minorEastAsia" w:eastAsiaTheme="minorEastAsia" w:cstheme="minorEastAsia"/>
                <w:b/>
                <w:bCs/>
                <w:color w:val="auto"/>
                <w:szCs w:val="21"/>
                <w:highlight w:val="none"/>
              </w:rPr>
              <w:t>（三）云平台安全运维</w:t>
            </w:r>
            <w:bookmarkEnd w:id="458"/>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bookmarkStart w:id="459" w:name="_Toc31808"/>
            <w:r>
              <w:rPr>
                <w:rFonts w:hint="eastAsia" w:asciiTheme="minorEastAsia" w:hAnsiTheme="minorEastAsia" w:eastAsiaTheme="minorEastAsia" w:cstheme="minorEastAsia"/>
                <w:color w:val="auto"/>
                <w:szCs w:val="21"/>
                <w:highlight w:val="none"/>
              </w:rPr>
              <w:t>1、租户安全运维</w:t>
            </w:r>
            <w:bookmarkEnd w:id="459"/>
          </w:p>
          <w:p>
            <w:pPr>
              <w:pStyle w:val="11"/>
              <w:spacing w:line="440" w:lineRule="exact"/>
              <w:ind w:firstLine="420" w:firstLineChars="200"/>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根据云平台租户申请及业务需求，</w:t>
            </w:r>
            <w:r>
              <w:rPr>
                <w:rFonts w:hint="eastAsia" w:asciiTheme="minorEastAsia" w:hAnsiTheme="minorEastAsia" w:eastAsiaTheme="minorEastAsia" w:cstheme="minorEastAsia"/>
                <w:color w:val="auto"/>
                <w:szCs w:val="21"/>
                <w:highlight w:val="none"/>
              </w:rPr>
              <w:t>负责开通安全资源池策略</w:t>
            </w:r>
            <w:r>
              <w:rPr>
                <w:rFonts w:hint="eastAsia" w:asciiTheme="minorEastAsia" w:hAnsiTheme="minorEastAsia" w:eastAsiaTheme="minorEastAsia" w:cstheme="minorEastAsia"/>
                <w:color w:val="auto"/>
                <w:szCs w:val="21"/>
                <w:highlight w:val="none"/>
                <w:lang w:val="zh-CN"/>
              </w:rPr>
              <w:t>。</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每月对云平台租户虚拟云主机进行漏洞扫描，输出漏洞扫描报告，并通过邮件等方式发送租户。</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7×24小时对云平台进出数据流量进行</w:t>
            </w:r>
            <w:r>
              <w:rPr>
                <w:rFonts w:hint="eastAsia" w:asciiTheme="minorEastAsia" w:hAnsiTheme="minorEastAsia" w:eastAsiaTheme="minorEastAsia" w:cstheme="minorEastAsia"/>
                <w:color w:val="auto"/>
                <w:szCs w:val="21"/>
                <w:highlight w:val="none"/>
                <w:lang w:val="zh-CN"/>
              </w:rPr>
              <w:t>风险监控（通过</w:t>
            </w:r>
            <w:r>
              <w:rPr>
                <w:rFonts w:hint="eastAsia" w:asciiTheme="minorEastAsia" w:hAnsiTheme="minorEastAsia" w:eastAsiaTheme="minorEastAsia" w:cstheme="minorEastAsia"/>
                <w:color w:val="auto"/>
                <w:szCs w:val="21"/>
                <w:highlight w:val="none"/>
              </w:rPr>
              <w:t>云平台配属的</w:t>
            </w:r>
            <w:r>
              <w:rPr>
                <w:rFonts w:hint="eastAsia" w:asciiTheme="minorEastAsia" w:hAnsiTheme="minorEastAsia" w:eastAsiaTheme="minorEastAsia" w:cstheme="minorEastAsia"/>
                <w:color w:val="auto"/>
                <w:szCs w:val="21"/>
                <w:highlight w:val="none"/>
                <w:lang w:val="zh-CN"/>
              </w:rPr>
              <w:t>防火墙、IPS等安全设备/系统），对发现的风险</w:t>
            </w:r>
            <w:r>
              <w:rPr>
                <w:rFonts w:hint="eastAsia" w:asciiTheme="minorEastAsia" w:hAnsiTheme="minorEastAsia" w:eastAsiaTheme="minorEastAsia" w:cstheme="minorEastAsia"/>
                <w:color w:val="auto"/>
                <w:szCs w:val="21"/>
                <w:highlight w:val="none"/>
              </w:rPr>
              <w:t>行为按照云平台安全管理办法的处理流程及时调整安全策略进行阻断</w:t>
            </w:r>
            <w:r>
              <w:rPr>
                <w:rFonts w:hint="eastAsia" w:asciiTheme="minorEastAsia" w:hAnsiTheme="minorEastAsia" w:eastAsiaTheme="minorEastAsia" w:cstheme="minorEastAsia"/>
                <w:color w:val="auto"/>
                <w:szCs w:val="21"/>
                <w:highlight w:val="none"/>
                <w:lang w:val="zh-CN"/>
              </w:rPr>
              <w:t>以防止其扩散，进行必要的调查取证以确定攻击来源和性质，</w:t>
            </w:r>
            <w:r>
              <w:rPr>
                <w:rFonts w:hint="eastAsia" w:asciiTheme="minorEastAsia" w:hAnsiTheme="minorEastAsia" w:eastAsiaTheme="minorEastAsia" w:cstheme="minorEastAsia"/>
                <w:color w:val="auto"/>
                <w:szCs w:val="21"/>
                <w:highlight w:val="none"/>
              </w:rPr>
              <w:t>并主动上报采购单位，必要时联系</w:t>
            </w:r>
            <w:r>
              <w:rPr>
                <w:rFonts w:hint="eastAsia" w:asciiTheme="minorEastAsia" w:hAnsiTheme="minorEastAsia" w:eastAsiaTheme="minorEastAsia" w:cstheme="minorEastAsia"/>
                <w:color w:val="auto"/>
                <w:szCs w:val="21"/>
                <w:highlight w:val="none"/>
                <w:lang w:val="zh-CN"/>
              </w:rPr>
              <w:t>安全厂商进行风险评估；根据风险评估情况协调租户、安全厂商</w:t>
            </w:r>
            <w:r>
              <w:rPr>
                <w:rFonts w:hint="eastAsia" w:asciiTheme="minorEastAsia" w:hAnsiTheme="minorEastAsia" w:eastAsiaTheme="minorEastAsia" w:cstheme="minorEastAsia"/>
                <w:color w:val="auto"/>
                <w:szCs w:val="21"/>
                <w:highlight w:val="none"/>
              </w:rPr>
              <w:t>商定</w:t>
            </w:r>
            <w:r>
              <w:rPr>
                <w:rFonts w:hint="eastAsia" w:asciiTheme="minorEastAsia" w:hAnsiTheme="minorEastAsia" w:eastAsiaTheme="minorEastAsia" w:cstheme="minorEastAsia"/>
                <w:color w:val="auto"/>
                <w:szCs w:val="21"/>
                <w:highlight w:val="none"/>
                <w:lang w:val="zh-CN"/>
              </w:rPr>
              <w:t>并</w:t>
            </w:r>
            <w:r>
              <w:rPr>
                <w:rFonts w:hint="eastAsia" w:asciiTheme="minorEastAsia" w:hAnsiTheme="minorEastAsia" w:eastAsiaTheme="minorEastAsia" w:cstheme="minorEastAsia"/>
                <w:color w:val="auto"/>
                <w:szCs w:val="21"/>
                <w:highlight w:val="none"/>
              </w:rPr>
              <w:t>制定</w:t>
            </w:r>
            <w:r>
              <w:rPr>
                <w:rFonts w:hint="eastAsia" w:asciiTheme="minorEastAsia" w:hAnsiTheme="minorEastAsia" w:eastAsiaTheme="minorEastAsia" w:cstheme="minorEastAsia"/>
                <w:color w:val="auto"/>
                <w:szCs w:val="21"/>
                <w:highlight w:val="none"/>
                <w:lang w:val="zh-CN"/>
              </w:rPr>
              <w:t>风险处理</w:t>
            </w:r>
            <w:r>
              <w:rPr>
                <w:rFonts w:hint="eastAsia" w:asciiTheme="minorEastAsia" w:hAnsiTheme="minorEastAsia" w:eastAsiaTheme="minorEastAsia" w:cstheme="minorEastAsia"/>
                <w:color w:val="auto"/>
                <w:szCs w:val="21"/>
                <w:highlight w:val="none"/>
              </w:rPr>
              <w:t>措施</w:t>
            </w:r>
            <w:r>
              <w:rPr>
                <w:rFonts w:hint="eastAsia" w:asciiTheme="minorEastAsia" w:hAnsiTheme="minorEastAsia" w:eastAsiaTheme="minorEastAsia" w:cstheme="minorEastAsia"/>
                <w:color w:val="auto"/>
                <w:szCs w:val="21"/>
                <w:highlight w:val="none"/>
                <w:lang w:val="zh-CN"/>
              </w:rPr>
              <w:t>，协助采购单位对风险进行控制。</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签订合同后，在合同有效期内按照采购人要求，负责购买平台各区安全设备（防火墙）有效期为12个月的病毒特征库，保障网络安全。</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及时跟进各产品的安全漏洞信息和产品厂商发布的安全补丁信息。</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及时</w:t>
            </w:r>
            <w:r>
              <w:rPr>
                <w:rFonts w:hint="eastAsia" w:asciiTheme="minorEastAsia" w:hAnsiTheme="minorEastAsia" w:eastAsiaTheme="minorEastAsia" w:cstheme="minorEastAsia"/>
                <w:color w:val="auto"/>
                <w:szCs w:val="21"/>
                <w:highlight w:val="none"/>
              </w:rPr>
              <w:t>通知云平台</w:t>
            </w:r>
            <w:r>
              <w:rPr>
                <w:rFonts w:hint="eastAsia" w:asciiTheme="minorEastAsia" w:hAnsiTheme="minorEastAsia" w:eastAsiaTheme="minorEastAsia" w:cstheme="minorEastAsia"/>
                <w:color w:val="auto"/>
                <w:szCs w:val="21"/>
                <w:highlight w:val="none"/>
                <w:lang w:val="zh-CN"/>
              </w:rPr>
              <w:t>租户操作系统补丁，</w:t>
            </w:r>
            <w:r>
              <w:rPr>
                <w:rFonts w:hint="eastAsia" w:asciiTheme="minorEastAsia" w:hAnsiTheme="minorEastAsia" w:eastAsiaTheme="minorEastAsia" w:cstheme="minorEastAsia"/>
                <w:color w:val="auto"/>
                <w:szCs w:val="21"/>
                <w:highlight w:val="none"/>
              </w:rPr>
              <w:t>指导和协助</w:t>
            </w:r>
            <w:r>
              <w:rPr>
                <w:rFonts w:hint="eastAsia" w:asciiTheme="minorEastAsia" w:hAnsiTheme="minorEastAsia" w:eastAsiaTheme="minorEastAsia" w:cstheme="minorEastAsia"/>
                <w:color w:val="auto"/>
                <w:szCs w:val="21"/>
                <w:highlight w:val="none"/>
                <w:lang w:val="zh-CN"/>
              </w:rPr>
              <w:t>租户开展</w:t>
            </w:r>
            <w:r>
              <w:rPr>
                <w:rFonts w:hint="eastAsia" w:asciiTheme="minorEastAsia" w:hAnsiTheme="minorEastAsia" w:eastAsiaTheme="minorEastAsia" w:cstheme="minorEastAsia"/>
                <w:color w:val="auto"/>
                <w:szCs w:val="21"/>
                <w:highlight w:val="none"/>
              </w:rPr>
              <w:t>补丁修复工作</w:t>
            </w:r>
            <w:r>
              <w:rPr>
                <w:rFonts w:hint="eastAsia" w:asciiTheme="minorEastAsia" w:hAnsiTheme="minorEastAsia" w:eastAsiaTheme="minorEastAsia" w:cstheme="minorEastAsia"/>
                <w:color w:val="auto"/>
                <w:szCs w:val="21"/>
                <w:highlight w:val="none"/>
                <w:lang w:val="zh-CN"/>
              </w:rPr>
              <w:t>。</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bookmarkStart w:id="460" w:name="_Toc214"/>
            <w:r>
              <w:rPr>
                <w:rFonts w:hint="eastAsia" w:asciiTheme="minorEastAsia" w:hAnsiTheme="minorEastAsia" w:eastAsiaTheme="minorEastAsia" w:cstheme="minorEastAsia"/>
                <w:color w:val="auto"/>
                <w:szCs w:val="21"/>
                <w:highlight w:val="none"/>
              </w:rPr>
              <w:t>2、 配合开展</w:t>
            </w:r>
            <w:r>
              <w:rPr>
                <w:rFonts w:hint="eastAsia" w:asciiTheme="minorEastAsia" w:hAnsiTheme="minorEastAsia" w:eastAsiaTheme="minorEastAsia" w:cstheme="minorEastAsia"/>
                <w:color w:val="auto"/>
                <w:szCs w:val="21"/>
                <w:highlight w:val="none"/>
                <w:lang w:val="zh-CN"/>
              </w:rPr>
              <w:t>网络安全</w:t>
            </w:r>
            <w:r>
              <w:rPr>
                <w:rFonts w:hint="eastAsia" w:asciiTheme="minorEastAsia" w:hAnsiTheme="minorEastAsia" w:eastAsiaTheme="minorEastAsia" w:cstheme="minorEastAsia"/>
                <w:color w:val="auto"/>
                <w:szCs w:val="21"/>
                <w:highlight w:val="none"/>
              </w:rPr>
              <w:t>攻防</w:t>
            </w:r>
            <w:bookmarkEnd w:id="460"/>
            <w:r>
              <w:rPr>
                <w:rFonts w:hint="eastAsia" w:asciiTheme="minorEastAsia" w:hAnsiTheme="minorEastAsia" w:eastAsiaTheme="minorEastAsia" w:cstheme="minorEastAsia"/>
                <w:color w:val="auto"/>
                <w:szCs w:val="21"/>
                <w:highlight w:val="none"/>
              </w:rPr>
              <w:t>演练</w:t>
            </w:r>
          </w:p>
          <w:p>
            <w:pPr>
              <w:pStyle w:val="11"/>
              <w:spacing w:line="44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配合开展各级网信、公安、数据局等部门组织的网络安全攻防演练</w:t>
            </w:r>
            <w:r>
              <w:rPr>
                <w:rFonts w:hint="eastAsia" w:asciiTheme="minorEastAsia" w:hAnsiTheme="minorEastAsia" w:eastAsia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rPr>
              <w:t>在攻防演练过程中充分发挥技术能力和优势，做好平台防护工作，</w:t>
            </w:r>
            <w:r>
              <w:rPr>
                <w:rFonts w:hint="eastAsia" w:asciiTheme="minorEastAsia" w:hAnsiTheme="minorEastAsia" w:eastAsiaTheme="minorEastAsia" w:cstheme="minorEastAsia"/>
                <w:color w:val="auto"/>
                <w:szCs w:val="21"/>
                <w:highlight w:val="none"/>
                <w:lang w:val="zh-CN"/>
              </w:rPr>
              <w:t>并提供一系列关键服务：包括制定详尽的</w:t>
            </w:r>
            <w:r>
              <w:rPr>
                <w:rFonts w:hint="eastAsia" w:asciiTheme="minorEastAsia" w:hAnsiTheme="minorEastAsia" w:eastAsiaTheme="minorEastAsia" w:cstheme="minorEastAsia"/>
                <w:color w:val="auto"/>
                <w:szCs w:val="21"/>
                <w:highlight w:val="none"/>
              </w:rPr>
              <w:t>云平台</w:t>
            </w:r>
            <w:r>
              <w:rPr>
                <w:rFonts w:hint="eastAsia" w:asciiTheme="minorEastAsia" w:hAnsiTheme="minorEastAsia" w:eastAsiaTheme="minorEastAsia" w:cstheme="minorEastAsia"/>
                <w:color w:val="auto"/>
                <w:szCs w:val="21"/>
                <w:highlight w:val="none"/>
                <w:lang w:val="zh-CN"/>
              </w:rPr>
              <w:t>安全攻防演练</w:t>
            </w:r>
            <w:r>
              <w:rPr>
                <w:rFonts w:hint="eastAsia" w:asciiTheme="minorEastAsia" w:hAnsiTheme="minorEastAsia" w:eastAsiaTheme="minorEastAsia" w:cstheme="minorEastAsia"/>
                <w:color w:val="auto"/>
                <w:szCs w:val="21"/>
                <w:highlight w:val="none"/>
              </w:rPr>
              <w:t>防守</w:t>
            </w:r>
            <w:r>
              <w:rPr>
                <w:rFonts w:hint="eastAsia" w:asciiTheme="minorEastAsia" w:hAnsiTheme="minorEastAsia" w:eastAsiaTheme="minorEastAsia" w:cstheme="minorEastAsia"/>
                <w:color w:val="auto"/>
                <w:szCs w:val="21"/>
                <w:highlight w:val="none"/>
                <w:lang w:val="zh-CN"/>
              </w:rPr>
              <w:t>方案，实施攻击监测以迅速发现潜在威胁，进行必要的调查取证以确定攻击来源和性质，迅速抑制</w:t>
            </w:r>
            <w:r>
              <w:rPr>
                <w:rFonts w:hint="eastAsia" w:asciiTheme="minorEastAsia" w:hAnsiTheme="minorEastAsia" w:eastAsiaTheme="minorEastAsia" w:cstheme="minorEastAsia"/>
                <w:color w:val="auto"/>
                <w:szCs w:val="21"/>
                <w:highlight w:val="none"/>
              </w:rPr>
              <w:t>攻击</w:t>
            </w:r>
            <w:r>
              <w:rPr>
                <w:rFonts w:hint="eastAsia" w:asciiTheme="minorEastAsia" w:hAnsiTheme="minorEastAsia" w:eastAsiaTheme="minorEastAsia" w:cstheme="minorEastAsia"/>
                <w:color w:val="auto"/>
                <w:szCs w:val="21"/>
                <w:highlight w:val="none"/>
                <w:lang w:val="zh-CN"/>
              </w:rPr>
              <w:t>以防止其扩散，并最终对整个演练过程进行深度分析总结</w:t>
            </w:r>
            <w:r>
              <w:rPr>
                <w:rFonts w:hint="eastAsia" w:asciiTheme="minorEastAsia" w:hAnsiTheme="minorEastAsia" w:eastAsiaTheme="minorEastAsia" w:cstheme="minorEastAsia"/>
                <w:color w:val="auto"/>
                <w:szCs w:val="21"/>
                <w:highlight w:val="none"/>
              </w:rPr>
              <w:t>并配合落实云平台安全整改，提升平台整体安全防护水平。</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3、安全应急处置</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云平台安全管理办法做好事前预警和安全防护，按计划完成日常巡检及信息通报，及时根据巡检结果及权威部门发布的最新的安全通报，做好云平台安全自查和租户安全整改督促工作，确保信创云能够更加稳定运行。</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当发生安全事故时，要立即按照应急处置预案，立即启动应急处置流程，上报采购单位组织先期处置，控制事态，消除隐患，同时配合采购单位组织研判，注意保存证据，并及时向公安、网信、业主单位通报信息。</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定期组织有关人员分析研究应急管理工作中出现或可能出现的新情况、新问题，及时更新应急方案，保证应急措施的切实有效，能够达到实际目的和预期应用效果。</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bookmarkStart w:id="461" w:name="_Toc25380"/>
            <w:bookmarkStart w:id="462" w:name="_Toc5156"/>
            <w:r>
              <w:rPr>
                <w:rFonts w:hint="eastAsia" w:asciiTheme="minorEastAsia" w:hAnsiTheme="minorEastAsia" w:eastAsiaTheme="minorEastAsia" w:cstheme="minorEastAsia"/>
                <w:color w:val="auto"/>
                <w:szCs w:val="21"/>
                <w:highlight w:val="none"/>
              </w:rPr>
              <w:t>4、开展网络安全等级保护测评</w:t>
            </w:r>
            <w:bookmarkEnd w:id="461"/>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依据GB∕T 22239-2019《信息安全技术 网络安全等级保护基本要求》及《网络安全等级保护2.0指导规范》，按照采购人的时间要求，负责开展云平台的网络安全等级测评并配合业主单位完成相应整改。同时配合云资源使用单位开展业务系统的网络安全等级测评。</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bookmarkStart w:id="463" w:name="_Toc12936"/>
            <w:r>
              <w:rPr>
                <w:rFonts w:hint="eastAsia" w:asciiTheme="minorEastAsia" w:hAnsiTheme="minorEastAsia" w:eastAsiaTheme="minorEastAsia" w:cstheme="minorEastAsia"/>
                <w:color w:val="auto"/>
                <w:szCs w:val="21"/>
                <w:highlight w:val="none"/>
              </w:rPr>
              <w:t>5、开展密码应用与安全性年度测评</w:t>
            </w:r>
            <w:bookmarkEnd w:id="463"/>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依据GB/T39786-2021《信息安全技术 信息系统密码应用基本要求》及信息系统等级保护要求，按照采购人的时间要求，负责开展云平台的密码应用与安全性测评并配合业主单位完成相应整改。同时配合云资源使用单位开展业务系统的商用密码应用安全性评估。</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（四）故障处理</w:t>
            </w:r>
            <w:bookmarkEnd w:id="462"/>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当云平台出现故障，运维服务商应根据云平台故障管理方案和故障处置预案，30分钟内完成故障排查定位，并将故障排查结果通报采购人，并立即启动故障处置预案，在尽短时间内回复云平台服务。运维服务商是平台软件系统（含云平台管理软件、虚拟化软件以及所配套的存储、交换、安全设备内置的软件及配置参数等）故障处理主要责任人，并协助采购人进行硬件故障处理和恢复，必要时联系云平台软硬件厂家协助进行故障处理。</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1、发生云平台或核心业务系统完全无法正常运行或停止服务等严重故障恢复时间为60分钟内（由于硬件损坏或软件损坏且无厂家质保导致故障时间超时例外）；</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2、发生平台部分核心业务系统中断、部分设备或服务运行不稳定等故障恢复时间为90分钟内（由于硬件损坏或软件损坏且无厂家质保导致故障时间超时例外）；</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3、发生非关键应用、服务无法启动造成使用不便、操作不畅等故障恢复时间为120分钟内（由于硬件损坏或软件损坏且无厂家质保导致故障时间超时例外）。</w:t>
            </w:r>
          </w:p>
          <w:p>
            <w:pPr>
              <w:pStyle w:val="11"/>
              <w:spacing w:line="440" w:lineRule="exact"/>
              <w:ind w:firstLine="420"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（五）重要保障运维服务</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运维服务商需对重要保障时期（国家和自治区各种重大活动、会议、节假日等，包含：元旦假期、春节假期、清明假期、五一假期、全国人大、政协两会期间、端午假期、广西护网、国庆假期、中秋假期、东盟会议期间重要事件节点等以及临时指定的安全重点保障任务）对可能出现影响信息安全的安全风险进行前期风险排查和处置，包含安全漏洞扫描和检测、升级系统补丁、加固安全防护策略等。在重要保障期间内，进行全天安全监测、安全分析、事件应急等工作。完成重保后的重保总结报告输出。每次保障至少安排2名网络安全方面的技术人员提供专业技术支撑，必要时负责联系专业安全厂家或服务商提供安全保障技术支持。</w:t>
            </w:r>
            <w:bookmarkStart w:id="464" w:name="_Toc2836"/>
          </w:p>
          <w:p>
            <w:pPr>
              <w:pStyle w:val="11"/>
              <w:spacing w:line="440" w:lineRule="exact"/>
              <w:ind w:firstLine="420"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（六）应急演练</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编制云平台相关产品，包括基础设施、网络系统、安全系统、云平台侧的高可用演练、应急演练和故障处理演练方案。服务期内至少开展2次信息安全应急演练，组织1次高可用及故障处理演练，并配合云资源使用单位开展自身应用系统的应急演练工作。</w:t>
            </w:r>
          </w:p>
          <w:bookmarkEnd w:id="464"/>
          <w:p>
            <w:pPr>
              <w:pStyle w:val="11"/>
              <w:spacing w:line="440" w:lineRule="exact"/>
              <w:ind w:firstLine="420" w:firstLineChars="200"/>
              <w:rPr>
                <w:rFonts w:hint="eastAsia" w:asciiTheme="minorEastAsia" w:hAnsiTheme="minorEastAsia" w:eastAsiaTheme="minorEastAsia" w:cstheme="minorEastAsia"/>
                <w:b/>
                <w:bCs/>
                <w:color w:val="auto"/>
                <w:szCs w:val="21"/>
                <w:highlight w:val="none"/>
              </w:rPr>
            </w:pPr>
            <w:bookmarkStart w:id="465" w:name="_Toc25775"/>
            <w:r>
              <w:rPr>
                <w:rFonts w:hint="eastAsia" w:asciiTheme="minorEastAsia" w:hAnsiTheme="minorEastAsia" w:eastAsiaTheme="minorEastAsia" w:cstheme="minorEastAsia"/>
                <w:b/>
                <w:bCs/>
                <w:color w:val="auto"/>
                <w:szCs w:val="21"/>
                <w:highlight w:val="none"/>
              </w:rPr>
              <w:t>（七）相关系统运营支撑服务</w:t>
            </w:r>
            <w:bookmarkEnd w:id="465"/>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1、产品供应商管理。负责对云平台所涉及的产品或服务供应商进行管理，包括人员监管、配置核查监管、方案文档审核、操作设置监管、备品备件监管、培训管理、产品升级管理等。</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2、日常维护文档管理。</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收集本项目的日常运维工作中所产生的过程文档，包括电子类文档和纸质类文档，例如：各项制度、应急预案、运维日报、项目相关报告及材料、维护工单、系统升级文件、机房巡检单、安全扫描报告、资源申请、故障处理工单、故障和安全事件处理记录等。针对日常运维、定期巡检等主要工作内容编制维护手册，建立完备的维护过程文档资料，统一格式、做好分类，根据信息技术和信息安全的发展趋势和运维工作的实际情况定期更新手册内容，最终建成维护文档库。</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3、云平台监测文档和报告管理</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（1）当云平台运行异常、出现故障或突发事件时，须第一时间向采购人报告并按故障处理流程和应急预案及时处理且做好详细记录。</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运维服务商须及时记录云平台运行情况，每月提供报告。例如：云平台服务器、网络设备、安全设备、存储设备运行指标和告警信息；云平台底座软件各项指标数据监控，包括云资源负载、带宽使用情况、网络流量和告警等信息等。</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（3）运维服务商须按月/年度向采购人提交云平台运维服务报告，报告应包括：</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云平台各租户上云情况和虚拟资源使用率，形成资源使用率高、低TOP排名，供采购人决策参考；</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对月/年度故障告警和故障处理情况进行报表统计，组织学习和研究各事件及问题处置过程和处理结果，建立知识库和日常培训机制等；</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对新增、变更、注销的资源需求进行统计，并形成报表；</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年度运维工作总结、服务满意度等。</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4、运维服务商的其他服务报告，包括但不限于：</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（1）重要时间节点（如全国“两会”、国庆、东盟博览会等）安全保障专项服务报告；</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（2）其他涉及云平台整体网络架构、安全服务、平台和软硬件升级的重大调整的实施方案。</w:t>
            </w:r>
          </w:p>
          <w:p>
            <w:pPr>
              <w:pStyle w:val="11"/>
              <w:spacing w:line="440" w:lineRule="exact"/>
              <w:ind w:firstLine="420"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（八）用户响应要求</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1、运维服务商应对</w:t>
            </w:r>
            <w:r>
              <w:rPr>
                <w:rFonts w:hint="eastAsia" w:asciiTheme="minorEastAsia" w:hAnsiTheme="minorEastAsia" w:eastAsiaTheme="minorEastAsia" w:cstheme="minorEastAsia"/>
                <w:color w:val="auto"/>
                <w:szCs w:val="21"/>
                <w:highlight w:val="none"/>
                <w:lang w:val="zh-CN"/>
              </w:rPr>
              <w:t>云平台租户申请及业务需求</w:t>
            </w:r>
            <w:r>
              <w:rPr>
                <w:rFonts w:hint="eastAsia" w:asciiTheme="minorEastAsia" w:hAnsiTheme="minorEastAsia" w:eastAsiaTheme="minorEastAsia" w:cstheme="minorEastAsia"/>
                <w:color w:val="auto"/>
                <w:szCs w:val="21"/>
                <w:highlight w:val="none"/>
              </w:rPr>
              <w:t>或故障进行立即响应并处理；进行远程技术支持期间内，当远程技术支持不能解决问题，应在90分钟内赶到现场进行应急处置。</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zh-CN"/>
              </w:rPr>
              <w:t>云平台租户申请及业务需求</w:t>
            </w:r>
            <w:r>
              <w:rPr>
                <w:rFonts w:hint="eastAsia" w:asciiTheme="minorEastAsia" w:hAnsiTheme="minorEastAsia" w:eastAsiaTheme="minorEastAsia" w:cstheme="minorEastAsia"/>
                <w:color w:val="auto"/>
                <w:szCs w:val="21"/>
                <w:highlight w:val="none"/>
              </w:rPr>
              <w:t>应在2个工作日内处理完毕。</w:t>
            </w:r>
          </w:p>
          <w:p>
            <w:pPr>
              <w:pStyle w:val="11"/>
              <w:spacing w:line="440" w:lineRule="exact"/>
              <w:ind w:firstLine="420"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三、服务考核与评价</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为调动运维服务商服务积极性，提高执行力，切实保障市信创云运行维护工作的持续稳定运行，打造优质的运维服务质量，根据实际情况，采购人按年度对中标人从运维各方面工作进行运维绩效考核。采购人提供运维服务考核细则，中标人运维服务考核结果作为云运维服务质量评估和运维服务费用支付的主要依据。在考核期内，采购人根据中标人运维服务考核分数支付相应的运维服务费用；如达不到考核合格线，则采购人有权启动熔断机制进行合同终止并更换服务商。</w:t>
            </w:r>
          </w:p>
          <w:p>
            <w:pPr>
              <w:pStyle w:val="11"/>
              <w:spacing w:line="440" w:lineRule="exact"/>
              <w:ind w:firstLine="420"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（一）团队要求</w:t>
            </w:r>
          </w:p>
          <w:p>
            <w:pPr>
              <w:pStyle w:val="10"/>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服务期内，要求投入不少于4名运维人员（含项目经理），提供7×24小时运维服务响应，其中工作日、工作时间（如8:00-18:00）以及重保服务期间至少2人现场值守；非工作时间及节假日通过电话、网络值守，提供远程运维服务与应急现场支持。</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成交供应商须于签订合同后10个工作日内提供响应文件中承诺拟投入人员的证明材料（包括但不限于身份证、学历证、职称证、资格证）原件，经采购人审核无误后方可进驻上班。拟投入本项目的运维人员必需全部按采购文件承诺到位，在三个月内不得更换人员，且一年内更换人员不得超过2人（对更换的人员必需提供相关证明材料，包括身份证、毕业证书及学历、资格证明材料、社会养老保险记录等由采购人审核同意后方可上岗），否则均视为违约，提前解除服务合同。</w:t>
            </w:r>
          </w:p>
          <w:p>
            <w:pPr>
              <w:numPr>
                <w:ilvl w:val="0"/>
                <w:numId w:val="9"/>
              </w:numPr>
              <w:spacing w:line="440" w:lineRule="exact"/>
              <w:ind w:firstLine="420"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详细岗位要求</w:t>
            </w:r>
          </w:p>
          <w:p>
            <w:pPr>
              <w:widowControl/>
              <w:spacing w:line="440" w:lineRule="exact"/>
              <w:jc w:val="left"/>
              <w:textAlignment w:val="center"/>
              <w:rPr>
                <w:rFonts w:hint="eastAsia" w:asciiTheme="minorEastAsia" w:hAnsiTheme="minorEastAsia" w:eastAsiaTheme="minorEastAsia" w:cstheme="minorEastAsia"/>
                <w:color w:val="auto"/>
                <w:highlight w:val="none"/>
              </w:rPr>
            </w:pP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1640"/>
              <w:gridCol w:w="6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069" w:type="pct"/>
                  <w:noWrap/>
                  <w:vAlign w:val="center"/>
                </w:tcPr>
                <w:p>
                  <w:pPr>
                    <w:widowControl/>
                    <w:spacing w:line="440" w:lineRule="exact"/>
                    <w:jc w:val="center"/>
                    <w:textAlignment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岗位名称</w:t>
                  </w:r>
                </w:p>
              </w:tc>
              <w:tc>
                <w:tcPr>
                  <w:tcW w:w="808" w:type="pct"/>
                  <w:noWrap/>
                  <w:vAlign w:val="center"/>
                </w:tcPr>
                <w:p>
                  <w:pPr>
                    <w:widowControl/>
                    <w:spacing w:line="440" w:lineRule="exact"/>
                    <w:jc w:val="center"/>
                    <w:textAlignment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kern w:val="0"/>
                      <w:szCs w:val="21"/>
                      <w:highlight w:val="none"/>
                    </w:rPr>
                    <w:t>岗位定员</w:t>
                  </w:r>
                </w:p>
              </w:tc>
              <w:tc>
                <w:tcPr>
                  <w:tcW w:w="3122" w:type="pct"/>
                  <w:noWrap/>
                  <w:vAlign w:val="center"/>
                </w:tcPr>
                <w:p>
                  <w:pPr>
                    <w:widowControl/>
                    <w:spacing w:line="440" w:lineRule="exact"/>
                    <w:jc w:val="center"/>
                    <w:textAlignment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kern w:val="0"/>
                      <w:szCs w:val="21"/>
                      <w:highlight w:val="none"/>
                    </w:rPr>
                    <w:t>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9" w:hRule="atLeast"/>
                <w:jc w:val="center"/>
              </w:trPr>
              <w:tc>
                <w:tcPr>
                  <w:tcW w:w="1069" w:type="pct"/>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项目经理</w:t>
                  </w:r>
                </w:p>
              </w:tc>
              <w:tc>
                <w:tcPr>
                  <w:tcW w:w="808" w:type="pct"/>
                  <w:noWrap/>
                  <w:vAlign w:val="center"/>
                </w:tcPr>
                <w:p>
                  <w:pPr>
                    <w:widowControl/>
                    <w:spacing w:line="440" w:lineRule="exact"/>
                    <w:jc w:val="center"/>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1</w:t>
                  </w:r>
                </w:p>
              </w:tc>
              <w:tc>
                <w:tcPr>
                  <w:tcW w:w="3122" w:type="pct"/>
                  <w:noWrap/>
                  <w:vAlign w:val="center"/>
                </w:tcPr>
                <w:p>
                  <w:pPr>
                    <w:widowControl/>
                    <w:spacing w:line="440" w:lineRule="exact"/>
                    <w:jc w:val="left"/>
                    <w:textAlignment w:val="center"/>
                    <w:rPr>
                      <w:rFonts w:hint="eastAsia" w:asciiTheme="minorEastAsia" w:hAnsiTheme="minorEastAsia" w:eastAsiaTheme="minorEastAsia" w:cstheme="minorEastAsia"/>
                      <w:color w:val="auto"/>
                      <w:kern w:val="0"/>
                      <w:szCs w:val="21"/>
                      <w:highlight w:val="none"/>
                    </w:rPr>
                  </w:pPr>
                </w:p>
                <w:p>
                  <w:pPr>
                    <w:widowControl/>
                    <w:spacing w:line="440" w:lineRule="exact"/>
                    <w:jc w:val="left"/>
                    <w:textAlignment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1)本科及以上学历，掌握服务规划、设计、管理等方面的专业知识。</w:t>
                  </w:r>
                </w:p>
                <w:p>
                  <w:pPr>
                    <w:pStyle w:val="23"/>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Cs w:val="21"/>
                      <w:highlight w:val="none"/>
                    </w:rPr>
                    <w:t>2)具有3年及以上网络、虚拟化、云计算实施管理经验。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1" w:hRule="atLeast"/>
                <w:jc w:val="center"/>
              </w:trPr>
              <w:tc>
                <w:tcPr>
                  <w:tcW w:w="1069" w:type="pct"/>
                  <w:noWrap/>
                  <w:vAlign w:val="center"/>
                </w:tcPr>
                <w:p>
                  <w:pPr>
                    <w:widowControl/>
                    <w:spacing w:line="440" w:lineRule="exact"/>
                    <w:jc w:val="center"/>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运维人员</w:t>
                  </w:r>
                </w:p>
              </w:tc>
              <w:tc>
                <w:tcPr>
                  <w:tcW w:w="808" w:type="pct"/>
                  <w:noWrap/>
                  <w:vAlign w:val="center"/>
                </w:tcPr>
                <w:p>
                  <w:pPr>
                    <w:widowControl/>
                    <w:spacing w:line="440" w:lineRule="exact"/>
                    <w:jc w:val="center"/>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3122" w:type="pct"/>
                  <w:noWrap/>
                  <w:vAlign w:val="center"/>
                </w:tcPr>
                <w:p>
                  <w:pPr>
                    <w:widowControl/>
                    <w:spacing w:line="440" w:lineRule="exact"/>
                    <w:textAlignment w:val="center"/>
                    <w:rPr>
                      <w:rFonts w:hint="eastAsia" w:asciiTheme="minorEastAsia" w:hAnsiTheme="minorEastAsia" w:eastAsiaTheme="minorEastAsia" w:cstheme="minorEastAsia"/>
                      <w:color w:val="auto"/>
                      <w:kern w:val="0"/>
                      <w:szCs w:val="21"/>
                      <w:highlight w:val="none"/>
                    </w:rPr>
                  </w:pPr>
                </w:p>
                <w:p>
                  <w:pPr>
                    <w:widowControl/>
                    <w:spacing w:line="440" w:lineRule="exact"/>
                    <w:textAlignment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1)本科及以上学历，具备计算机网络、信息安全、云计算相关专业知识。</w:t>
                  </w:r>
                </w:p>
                <w:p>
                  <w:pPr>
                    <w:widowControl/>
                    <w:spacing w:line="440" w:lineRule="exact"/>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2)具有1年及以上弱电工程实施经验。</w:t>
                  </w:r>
                </w:p>
                <w:p>
                  <w:pPr>
                    <w:pStyle w:val="23"/>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Cs w:val="21"/>
                      <w:highlight w:val="none"/>
                    </w:rPr>
                    <w:t>3)具有1年及以上数据中心网络规划、实施、运维经验。</w:t>
                  </w:r>
                </w:p>
              </w:tc>
            </w:tr>
          </w:tbl>
          <w:p>
            <w:pPr>
              <w:pStyle w:val="11"/>
              <w:spacing w:line="440" w:lineRule="exact"/>
              <w:ind w:firstLine="420"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（三）考核要求</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1.服务期间服务供应商需接受采购人对服务质量进行考核评估。</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2.市信创云运维年度考核指标基本分为100分，加分项10分，详细指标见附件2（如因政务云相关政策和要求调整需修改指标内容，需供应商和采购人双方协商一致同意修改）。年度考核最终结果按以下公式计算：</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3.供应商对照考核指标定期开展自评工作，按采购人要求提交考核指标自评表和自评总结报告，并提供相关佐证材料。</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4.采购人根据服务考核内容，采用逐项检查供应商考核指标完成情况，并进行评定，确定最终考核结果。</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5.年度最终考核结果通过A、B、C三个等次定级，详见下表：</w:t>
            </w:r>
          </w:p>
          <w:tbl>
            <w:tblPr>
              <w:tblStyle w:val="24"/>
              <w:tblW w:w="0" w:type="auto"/>
              <w:tblInd w:w="4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24"/>
              <w:gridCol w:w="31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624" w:type="dxa"/>
                  <w:noWrap/>
                </w:tcPr>
                <w:p>
                  <w:pPr>
                    <w:pStyle w:val="2"/>
                    <w:spacing w:line="440" w:lineRule="exact"/>
                    <w:ind w:firstLine="420" w:firstLineChars="200"/>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级别</w:t>
                  </w:r>
                </w:p>
              </w:tc>
              <w:tc>
                <w:tcPr>
                  <w:tcW w:w="3116" w:type="dxa"/>
                  <w:noWrap/>
                </w:tcPr>
                <w:p>
                  <w:pPr>
                    <w:pStyle w:val="2"/>
                    <w:spacing w:line="440" w:lineRule="exact"/>
                    <w:ind w:firstLine="420" w:firstLineChars="200"/>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对应实际评估值区间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624" w:type="dxa"/>
                  <w:noWrap/>
                </w:tcPr>
                <w:p>
                  <w:pPr>
                    <w:pStyle w:val="2"/>
                    <w:spacing w:line="440" w:lineRule="exact"/>
                    <w:ind w:firstLine="420" w:firstLineChars="20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A 级</w:t>
                  </w:r>
                </w:p>
              </w:tc>
              <w:tc>
                <w:tcPr>
                  <w:tcW w:w="3116" w:type="dxa"/>
                  <w:noWrap/>
                </w:tcPr>
                <w:p>
                  <w:pPr>
                    <w:pStyle w:val="2"/>
                    <w:spacing w:line="440" w:lineRule="exact"/>
                    <w:ind w:firstLine="420" w:firstLineChars="20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X≥90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624" w:type="dxa"/>
                  <w:noWrap/>
                </w:tcPr>
                <w:p>
                  <w:pPr>
                    <w:pStyle w:val="2"/>
                    <w:spacing w:line="440" w:lineRule="exact"/>
                    <w:ind w:firstLine="420" w:firstLineChars="20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B 级</w:t>
                  </w:r>
                </w:p>
              </w:tc>
              <w:tc>
                <w:tcPr>
                  <w:tcW w:w="3116" w:type="dxa"/>
                  <w:noWrap/>
                </w:tcPr>
                <w:p>
                  <w:pPr>
                    <w:pStyle w:val="2"/>
                    <w:spacing w:line="440" w:lineRule="exact"/>
                    <w:ind w:firstLine="420" w:firstLineChars="20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80≤X＜90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624" w:type="dxa"/>
                  <w:noWrap/>
                </w:tcPr>
                <w:p>
                  <w:pPr>
                    <w:pStyle w:val="2"/>
                    <w:spacing w:line="440" w:lineRule="exact"/>
                    <w:ind w:firstLine="420" w:firstLineChars="20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C 级</w:t>
                  </w:r>
                </w:p>
              </w:tc>
              <w:tc>
                <w:tcPr>
                  <w:tcW w:w="3116" w:type="dxa"/>
                  <w:noWrap/>
                </w:tcPr>
                <w:p>
                  <w:pPr>
                    <w:pStyle w:val="2"/>
                    <w:spacing w:line="440" w:lineRule="exact"/>
                    <w:ind w:firstLine="420" w:firstLineChars="20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X＜80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740" w:type="dxa"/>
                  <w:gridSpan w:val="2"/>
                  <w:noWrap/>
                </w:tcPr>
                <w:p>
                  <w:pPr>
                    <w:pStyle w:val="2"/>
                    <w:spacing w:line="440" w:lineRule="exact"/>
                    <w:ind w:firstLine="420" w:firstLineChars="20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注：X 为年度考核最终结果。</w:t>
                  </w:r>
                </w:p>
              </w:tc>
            </w:tr>
          </w:tbl>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6.合同付款金额与年度最终考核结果挂钩：</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运维最终考核结果为A级，按“信创云运维”分项合同金额的100%支付；</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运维最终考核结果为B级，按“信创云运维”分项合同金额的80%支付；</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运维最终考核结果为C级，则按实际年度最终考核结果分值作为该年度支付金额的支付比例进行支付。</w:t>
            </w:r>
          </w:p>
          <w:p>
            <w:pPr>
              <w:pStyle w:val="11"/>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考核结果由甲乙双方盖章确认，如乙方对考核结果有异议，应在考核结束后10日内以书面形式向采购人提出异议并提供佐证材料，采购人有权决定最终考核结果。乙方未在上述期限内或未按上述要求提出异议的，视为无异议。</w:t>
            </w:r>
          </w:p>
          <w:p>
            <w:pPr>
              <w:pStyle w:val="11"/>
              <w:spacing w:line="440" w:lineRule="exact"/>
              <w:ind w:firstLine="420"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四、其他要求</w:t>
            </w:r>
          </w:p>
          <w:p>
            <w:pPr>
              <w:widowControl/>
              <w:spacing w:line="44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信创云运维服务费包含云平台运维服务费用、信息系统安全评测三级等保测评费用、商用密码应用安全性评估费用、防火墙防病毒库升级费用；采购人根据采购需求</w:t>
            </w:r>
            <w:r>
              <w:rPr>
                <w:rFonts w:hint="eastAsia" w:asciiTheme="minorEastAsia" w:hAnsiTheme="minorEastAsia" w:eastAsiaTheme="minorEastAsia" w:cstheme="minorEastAsia"/>
                <w:color w:val="auto"/>
                <w:highlight w:val="none"/>
                <w:lang w:val="hr-HR"/>
              </w:rPr>
              <w:t>对</w:t>
            </w:r>
            <w:r>
              <w:rPr>
                <w:rFonts w:hint="eastAsia" w:asciiTheme="minorEastAsia" w:hAnsiTheme="minorEastAsia" w:eastAsiaTheme="minorEastAsia" w:cstheme="minorEastAsia"/>
                <w:color w:val="auto"/>
                <w:szCs w:val="21"/>
                <w:highlight w:val="none"/>
              </w:rPr>
              <w:t>成交供应商</w:t>
            </w:r>
            <w:r>
              <w:rPr>
                <w:rFonts w:hint="eastAsia" w:asciiTheme="minorEastAsia" w:hAnsiTheme="minorEastAsia" w:eastAsiaTheme="minorEastAsia" w:cstheme="minorEastAsia"/>
                <w:color w:val="auto"/>
                <w:highlight w:val="none"/>
                <w:lang w:val="hr-HR"/>
              </w:rPr>
              <w:t>从运维各方面工作进行运维绩效考核</w:t>
            </w:r>
            <w:r>
              <w:rPr>
                <w:rFonts w:hint="eastAsia" w:asciiTheme="minorEastAsia" w:hAnsiTheme="minorEastAsia" w:eastAsiaTheme="minorEastAsia" w:cstheme="minorEastAsia"/>
                <w:color w:val="auto"/>
                <w:highlight w:val="none"/>
              </w:rPr>
              <w:t>，考核结果作为</w:t>
            </w:r>
            <w:r>
              <w:rPr>
                <w:rFonts w:hint="eastAsia" w:asciiTheme="minorEastAsia" w:hAnsiTheme="minorEastAsia" w:eastAsiaTheme="minorEastAsia" w:cstheme="minorEastAsia"/>
                <w:color w:val="auto"/>
                <w:szCs w:val="21"/>
                <w:highlight w:val="none"/>
              </w:rPr>
              <w:t>成交供应商</w:t>
            </w:r>
            <w:r>
              <w:rPr>
                <w:rFonts w:hint="eastAsia" w:asciiTheme="minorEastAsia" w:hAnsiTheme="minorEastAsia" w:eastAsiaTheme="minorEastAsia" w:cstheme="minorEastAsia"/>
                <w:color w:val="auto"/>
                <w:highlight w:val="none"/>
                <w:lang w:val="hr-HR"/>
              </w:rPr>
              <w:t>履约情况</w:t>
            </w:r>
            <w:r>
              <w:rPr>
                <w:rFonts w:hint="eastAsia" w:asciiTheme="minorEastAsia" w:hAnsiTheme="minorEastAsia" w:eastAsiaTheme="minorEastAsia" w:cstheme="minorEastAsia"/>
                <w:color w:val="auto"/>
                <w:highlight w:val="none"/>
              </w:rPr>
              <w:t>的主要依据；因成交供应商原因造成设备损坏等经济损失的成交供应商应予以全额赔偿。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9" w:type="pct"/>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
                <w:bCs/>
                <w:color w:val="auto"/>
                <w:kern w:val="0"/>
                <w:szCs w:val="21"/>
                <w:highlight w:val="none"/>
              </w:rPr>
              <w:t>信创云运维预算</w:t>
            </w:r>
          </w:p>
        </w:tc>
        <w:tc>
          <w:tcPr>
            <w:tcW w:w="3780" w:type="pct"/>
            <w:tcBorders>
              <w:top w:val="single" w:color="auto" w:sz="4" w:space="0"/>
              <w:left w:val="single" w:color="auto" w:sz="4" w:space="0"/>
              <w:right w:val="single" w:color="auto"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人民币叁拾玖万壹仟柒佰元整（¥391700.00元）</w:t>
            </w:r>
          </w:p>
        </w:tc>
      </w:tr>
    </w:tbl>
    <w:p>
      <w:pPr>
        <w:pStyle w:val="3"/>
        <w:spacing w:before="0" w:after="0" w:line="440" w:lineRule="exact"/>
        <w:rPr>
          <w:rFonts w:hint="eastAsia" w:asciiTheme="minorEastAsia" w:hAnsiTheme="minorEastAsia" w:eastAsiaTheme="minorEastAsia" w:cstheme="minorEastAsia"/>
          <w:color w:val="auto"/>
          <w:sz w:val="32"/>
          <w:szCs w:val="32"/>
          <w:highlight w:val="none"/>
        </w:rPr>
      </w:pPr>
    </w:p>
    <w:p>
      <w:pPr>
        <w:adjustRightInd w:val="0"/>
        <w:spacing w:line="440" w:lineRule="exac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三、商务要求</w:t>
      </w:r>
    </w:p>
    <w:p>
      <w:pPr>
        <w:pStyle w:val="11"/>
        <w:spacing w:line="440" w:lineRule="exact"/>
        <w:ind w:firstLine="420" w:firstLineChars="200"/>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（一）预算金额</w:t>
      </w:r>
    </w:p>
    <w:p>
      <w:pPr>
        <w:snapToGrid w:val="0"/>
        <w:spacing w:line="44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1、本项目预算金额（人民币）：</w:t>
      </w:r>
      <w:r>
        <w:rPr>
          <w:rFonts w:hint="eastAsia" w:asciiTheme="minorEastAsia" w:hAnsiTheme="minorEastAsia" w:eastAsiaTheme="minorEastAsia" w:cstheme="minorEastAsia"/>
          <w:color w:val="auto"/>
          <w:highlight w:val="none"/>
          <w:u w:val="single"/>
        </w:rPr>
        <w:t>壹佰贰拾伍万壹仟柒佰元整（</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u w:val="single"/>
        </w:rPr>
        <w:t>1251700.00</w:t>
      </w:r>
      <w:r>
        <w:rPr>
          <w:rFonts w:hint="eastAsia" w:asciiTheme="minorEastAsia" w:hAnsiTheme="minorEastAsia" w:eastAsiaTheme="minorEastAsia" w:cstheme="minorEastAsia"/>
          <w:color w:val="auto"/>
          <w:highlight w:val="none"/>
          <w:u w:val="single"/>
          <w:lang w:eastAsia="zh-CN"/>
        </w:rPr>
        <w:t>元</w:t>
      </w:r>
      <w:r>
        <w:rPr>
          <w:rFonts w:hint="eastAsia" w:asciiTheme="minorEastAsia" w:hAnsiTheme="minorEastAsia" w:eastAsiaTheme="minorEastAsia" w:cstheme="minorEastAsia"/>
          <w:color w:val="auto"/>
          <w:highlight w:val="none"/>
          <w:u w:val="single"/>
        </w:rPr>
        <w:t>）。</w:t>
      </w:r>
      <w:r>
        <w:rPr>
          <w:rFonts w:hint="eastAsia" w:asciiTheme="minorEastAsia" w:hAnsiTheme="minorEastAsia" w:eastAsiaTheme="minorEastAsia" w:cstheme="minorEastAsia"/>
          <w:color w:val="auto"/>
          <w:highlight w:val="none"/>
        </w:rPr>
        <w:t>其中，</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bCs/>
          <w:color w:val="auto"/>
          <w:szCs w:val="21"/>
          <w:highlight w:val="none"/>
        </w:rPr>
        <w:t>（一）信创云搬迁”、“（二）机房配套设施改造”、“（三）信创云运维”</w:t>
      </w:r>
      <w:r>
        <w:rPr>
          <w:rFonts w:hint="eastAsia" w:asciiTheme="minorEastAsia" w:hAnsiTheme="minorEastAsia" w:eastAsiaTheme="minorEastAsia" w:cstheme="minorEastAsia"/>
          <w:color w:val="auto"/>
          <w:szCs w:val="21"/>
          <w:highlight w:val="none"/>
        </w:rPr>
        <w:t>三个分项的预算金额</w:t>
      </w:r>
      <w:r>
        <w:rPr>
          <w:rFonts w:hint="eastAsia" w:asciiTheme="minorEastAsia" w:hAnsiTheme="minorEastAsia" w:eastAsiaTheme="minorEastAsia" w:cstheme="minorEastAsia"/>
          <w:color w:val="auto"/>
          <w:highlight w:val="none"/>
        </w:rPr>
        <w:t>（人民币）</w:t>
      </w:r>
      <w:r>
        <w:rPr>
          <w:rFonts w:hint="eastAsia" w:asciiTheme="minorEastAsia" w:hAnsiTheme="minorEastAsia" w:eastAsiaTheme="minorEastAsia" w:cstheme="minorEastAsia"/>
          <w:color w:val="auto"/>
          <w:szCs w:val="21"/>
          <w:highlight w:val="none"/>
        </w:rPr>
        <w:t>分别为</w:t>
      </w:r>
      <w:r>
        <w:rPr>
          <w:rFonts w:hint="eastAsia" w:asciiTheme="minorEastAsia" w:hAnsiTheme="minorEastAsia" w:eastAsiaTheme="minorEastAsia" w:cstheme="minorEastAsia"/>
          <w:color w:val="auto"/>
          <w:highlight w:val="none"/>
        </w:rPr>
        <w:t>：叁拾贰万伍仟柒佰壹拾肆元整（¥325714.00元）、‌伍拾叁万肆仟贰佰捌拾陆元整（¥534286.00元）、叁拾玖万壹仟柒佰元整（¥391700.00元）。</w:t>
      </w:r>
      <w:r>
        <w:rPr>
          <w:rFonts w:hint="eastAsia" w:asciiTheme="minorEastAsia" w:hAnsiTheme="minorEastAsia" w:eastAsiaTheme="minorEastAsia" w:cstheme="minorEastAsia"/>
          <w:color w:val="auto"/>
          <w:szCs w:val="21"/>
          <w:highlight w:val="none"/>
        </w:rPr>
        <w:t>投标总报价或</w:t>
      </w:r>
      <w:r>
        <w:rPr>
          <w:rFonts w:hint="eastAsia" w:asciiTheme="minorEastAsia" w:hAnsiTheme="minorEastAsia" w:eastAsiaTheme="minorEastAsia" w:cstheme="minorEastAsia"/>
          <w:color w:val="auto"/>
          <w:highlight w:val="none"/>
        </w:rPr>
        <w:t>投标</w:t>
      </w:r>
      <w:r>
        <w:rPr>
          <w:rFonts w:hint="eastAsia" w:asciiTheme="minorEastAsia" w:hAnsiTheme="minorEastAsia" w:eastAsiaTheme="minorEastAsia" w:cstheme="minorEastAsia"/>
          <w:color w:val="auto"/>
          <w:szCs w:val="21"/>
          <w:highlight w:val="none"/>
        </w:rPr>
        <w:t>分项报价超过采购预算金额的，响应文件按无效处理。</w:t>
      </w:r>
    </w:p>
    <w:p>
      <w:pPr>
        <w:snapToGrid w:val="0"/>
        <w:spacing w:line="440" w:lineRule="exact"/>
        <w:ind w:firstLine="420" w:firstLineChars="200"/>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（二）报价要求</w:t>
      </w:r>
    </w:p>
    <w:p>
      <w:pPr>
        <w:snapToGrid w:val="0"/>
        <w:spacing w:line="440" w:lineRule="exact"/>
        <w:ind w:firstLine="420" w:firstLineChars="200"/>
        <w:jc w:val="left"/>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须按照“信创云搬迁”、“机房配套设施改造”、“信创云运维”三个分项</w:t>
      </w:r>
      <w:r>
        <w:rPr>
          <w:rFonts w:hint="eastAsia" w:asciiTheme="minorEastAsia" w:hAnsiTheme="minorEastAsia" w:eastAsiaTheme="minorEastAsia" w:cstheme="minorEastAsia"/>
          <w:color w:val="auto"/>
          <w:szCs w:val="21"/>
          <w:highlight w:val="none"/>
          <w:lang w:eastAsia="zh-CN"/>
        </w:rPr>
        <w:t>在《</w:t>
      </w:r>
      <w:r>
        <w:rPr>
          <w:rFonts w:hint="eastAsia" w:asciiTheme="minorEastAsia" w:hAnsiTheme="minorEastAsia" w:eastAsiaTheme="minorEastAsia" w:cstheme="minorEastAsia"/>
          <w:b/>
          <w:color w:val="auto"/>
          <w:szCs w:val="21"/>
          <w:highlight w:val="none"/>
        </w:rPr>
        <w:t>磋商报价表</w:t>
      </w:r>
      <w:r>
        <w:rPr>
          <w:rFonts w:hint="eastAsia" w:asciiTheme="minorEastAsia" w:hAnsiTheme="minorEastAsia" w:eastAsiaTheme="minorEastAsia" w:cstheme="minorEastAsia"/>
          <w:color w:val="auto"/>
          <w:szCs w:val="21"/>
          <w:highlight w:val="none"/>
          <w:lang w:eastAsia="zh-CN"/>
        </w:rPr>
        <w:t>》中</w:t>
      </w:r>
      <w:r>
        <w:rPr>
          <w:rFonts w:hint="eastAsia" w:asciiTheme="minorEastAsia" w:hAnsiTheme="minorEastAsia" w:eastAsiaTheme="minorEastAsia" w:cstheme="minorEastAsia"/>
          <w:color w:val="auto"/>
          <w:szCs w:val="21"/>
          <w:highlight w:val="none"/>
        </w:rPr>
        <w:t>进行单项报价，并对项目进行总报价；报价包含必要的保险费用和各项税金。</w:t>
      </w:r>
    </w:p>
    <w:p>
      <w:pPr>
        <w:pStyle w:val="23"/>
        <w:ind w:left="0" w:left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szCs w:val="21"/>
          <w:highlight w:val="none"/>
        </w:rPr>
        <w:t>“机房配套设施改造”分项须按照</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b/>
          <w:bCs/>
          <w:color w:val="auto"/>
          <w:szCs w:val="21"/>
          <w:highlight w:val="none"/>
        </w:rPr>
        <w:t>磋商报价表附表（机房配套设施改造）</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进行细项再次报价。该项所有设备、配套材料、建设成果均属采购人所有。</w:t>
      </w:r>
    </w:p>
    <w:p>
      <w:pPr>
        <w:pStyle w:val="11"/>
        <w:spacing w:line="440" w:lineRule="exact"/>
        <w:ind w:firstLine="420" w:firstLineChars="200"/>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（三）现场勘察</w:t>
      </w:r>
    </w:p>
    <w:p>
      <w:pPr>
        <w:pStyle w:val="10"/>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如对本项目软硬件部署及部署环境有现场勘察需求，请安排人员（每名供应商可派不超过2人）前往参加。本现场考察非强制要求（即非实质性要求），供应商可自行决定是否前往参加。实地勘察所发生的一切费用由供应商自行承担。</w:t>
      </w:r>
    </w:p>
    <w:p>
      <w:pPr>
        <w:snapToGrid w:val="0"/>
        <w:spacing w:line="44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现场</w:t>
      </w:r>
      <w:r>
        <w:rPr>
          <w:rFonts w:hint="eastAsia" w:asciiTheme="minorEastAsia" w:hAnsiTheme="minorEastAsia" w:eastAsiaTheme="minorEastAsia" w:cstheme="minorEastAsia"/>
          <w:color w:val="auto"/>
          <w:highlight w:val="none"/>
        </w:rPr>
        <w:t>勘察</w:t>
      </w:r>
      <w:r>
        <w:rPr>
          <w:rFonts w:hint="eastAsia" w:asciiTheme="minorEastAsia" w:hAnsiTheme="minorEastAsia" w:eastAsiaTheme="minorEastAsia" w:cstheme="minorEastAsia"/>
          <w:color w:val="auto"/>
          <w:szCs w:val="21"/>
          <w:highlight w:val="none"/>
        </w:rPr>
        <w:t>时间为：于2026年</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lang w:val="en-US" w:eastAsia="zh-CN"/>
        </w:rPr>
        <w:t>28</w:t>
      </w:r>
      <w:r>
        <w:rPr>
          <w:rFonts w:hint="eastAsia" w:asciiTheme="minorEastAsia" w:hAnsiTheme="minorEastAsia" w:eastAsiaTheme="minorEastAsia" w:cstheme="minorEastAsia"/>
          <w:color w:val="auto"/>
          <w:szCs w:val="21"/>
          <w:highlight w:val="none"/>
        </w:rPr>
        <w:t>日</w:t>
      </w:r>
      <w:r>
        <w:rPr>
          <w:rFonts w:hint="eastAsia" w:asciiTheme="minorEastAsia" w:hAnsiTheme="minorEastAsia" w:eastAsiaTheme="minorEastAsia" w:cstheme="minorEastAsia"/>
          <w:color w:val="auto"/>
          <w:szCs w:val="21"/>
          <w:highlight w:val="none"/>
          <w:lang w:eastAsia="zh-CN"/>
        </w:rPr>
        <w:t>上午</w:t>
      </w:r>
      <w:r>
        <w:rPr>
          <w:rFonts w:hint="eastAsia" w:asciiTheme="minorEastAsia" w:hAnsiTheme="minorEastAsia" w:eastAsiaTheme="minorEastAsia" w:cstheme="minorEastAsia"/>
          <w:color w:val="auto"/>
          <w:szCs w:val="21"/>
          <w:highlight w:val="none"/>
          <w:lang w:val="en-US" w:eastAsia="zh-CN"/>
        </w:rPr>
        <w:t>9:00</w:t>
      </w:r>
      <w:r>
        <w:rPr>
          <w:rFonts w:hint="eastAsia" w:asciiTheme="minorEastAsia" w:hAnsiTheme="minorEastAsia" w:eastAsiaTheme="minorEastAsia" w:cstheme="minorEastAsia"/>
          <w:color w:val="auto"/>
          <w:szCs w:val="21"/>
          <w:highlight w:val="none"/>
        </w:rPr>
        <w:t>。</w:t>
      </w:r>
    </w:p>
    <w:p>
      <w:pPr>
        <w:snapToGrid w:val="0"/>
        <w:spacing w:line="440" w:lineRule="exact"/>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现场</w:t>
      </w:r>
      <w:r>
        <w:rPr>
          <w:rFonts w:hint="eastAsia" w:asciiTheme="minorEastAsia" w:hAnsiTheme="minorEastAsia" w:eastAsiaTheme="minorEastAsia" w:cstheme="minorEastAsia"/>
          <w:color w:val="auto"/>
          <w:highlight w:val="none"/>
        </w:rPr>
        <w:t>勘察</w:t>
      </w:r>
      <w:r>
        <w:rPr>
          <w:rFonts w:hint="eastAsia" w:asciiTheme="minorEastAsia" w:hAnsiTheme="minorEastAsia" w:eastAsiaTheme="minorEastAsia" w:cstheme="minorEastAsia"/>
          <w:color w:val="auto"/>
          <w:szCs w:val="21"/>
          <w:highlight w:val="none"/>
        </w:rPr>
        <w:t>地点为：</w:t>
      </w:r>
      <w:r>
        <w:rPr>
          <w:rFonts w:hint="eastAsia" w:asciiTheme="minorEastAsia" w:hAnsiTheme="minorEastAsia" w:eastAsiaTheme="minorEastAsia" w:cstheme="minorEastAsia"/>
          <w:color w:val="auto"/>
          <w:szCs w:val="21"/>
          <w:highlight w:val="none"/>
          <w:lang w:eastAsia="zh-CN"/>
        </w:rPr>
        <w:t>临桂区西城中路</w:t>
      </w:r>
      <w:r>
        <w:rPr>
          <w:rFonts w:hint="eastAsia" w:asciiTheme="minorEastAsia" w:hAnsiTheme="minorEastAsia" w:eastAsiaTheme="minorEastAsia" w:cstheme="minorEastAsia"/>
          <w:color w:val="auto"/>
          <w:szCs w:val="21"/>
          <w:highlight w:val="none"/>
          <w:lang w:val="en-US" w:eastAsia="zh-CN"/>
        </w:rPr>
        <w:t>69号创业大厦西附楼537室</w:t>
      </w:r>
      <w:r>
        <w:rPr>
          <w:rFonts w:hint="eastAsia" w:asciiTheme="minorEastAsia" w:hAnsiTheme="minorEastAsia" w:eastAsiaTheme="minorEastAsia" w:cstheme="minorEastAsia"/>
          <w:color w:val="auto"/>
          <w:szCs w:val="21"/>
          <w:highlight w:val="none"/>
        </w:rPr>
        <w:t xml:space="preserve"> 。</w:t>
      </w:r>
    </w:p>
    <w:p>
      <w:pPr>
        <w:pStyle w:val="10"/>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联系电话：</w:t>
      </w:r>
      <w:r>
        <w:rPr>
          <w:rFonts w:hint="eastAsia" w:asciiTheme="minorEastAsia" w:hAnsiTheme="minorEastAsia" w:eastAsiaTheme="minorEastAsia" w:cstheme="minorEastAsia"/>
          <w:color w:val="auto"/>
          <w:highlight w:val="none"/>
          <w:lang w:val="en-US" w:eastAsia="zh-CN"/>
        </w:rPr>
        <w:t>0773-2533261，张工</w:t>
      </w:r>
      <w:r>
        <w:rPr>
          <w:rFonts w:hint="eastAsia" w:asciiTheme="minorEastAsia" w:hAnsiTheme="minorEastAsia" w:eastAsiaTheme="minorEastAsia" w:cstheme="minorEastAsia"/>
          <w:color w:val="auto"/>
          <w:highlight w:val="none"/>
        </w:rPr>
        <w:t>。</w:t>
      </w:r>
    </w:p>
    <w:p>
      <w:pPr>
        <w:pStyle w:val="11"/>
        <w:spacing w:line="440" w:lineRule="exact"/>
        <w:ind w:firstLine="420" w:firstLineChars="200"/>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（四）交付时间、地点及售后服务</w:t>
      </w:r>
    </w:p>
    <w:p>
      <w:pPr>
        <w:pStyle w:val="11"/>
        <w:spacing w:line="44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1、交付使用时间：</w:t>
      </w:r>
    </w:p>
    <w:p>
      <w:pPr>
        <w:snapToGrid w:val="0"/>
        <w:spacing w:line="44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（1）成交供应商应在合同签订之日起15个工作日内完成针对“</w:t>
      </w:r>
      <w:r>
        <w:rPr>
          <w:rFonts w:hint="eastAsia" w:asciiTheme="minorEastAsia" w:hAnsiTheme="minorEastAsia" w:eastAsiaTheme="minorEastAsia" w:cstheme="minorEastAsia"/>
          <w:b/>
          <w:bCs/>
          <w:color w:val="auto"/>
          <w:szCs w:val="21"/>
          <w:highlight w:val="none"/>
        </w:rPr>
        <w:t>信创云搬迁</w:t>
      </w:r>
      <w:r>
        <w:rPr>
          <w:rFonts w:hint="eastAsia" w:asciiTheme="minorEastAsia" w:hAnsiTheme="minorEastAsia" w:eastAsiaTheme="minorEastAsia" w:cstheme="minorEastAsia"/>
          <w:color w:val="auto"/>
          <w:szCs w:val="21"/>
          <w:highlight w:val="none"/>
        </w:rPr>
        <w:t>”分项所需的项目准备工作，包含：项目团队组建、现场勘查、制定搬迁方案（必须包括前期调研、规划设计、出图、编制详细的设备放置及连线设计图；进行IP地址的重新规划、网络对接方案、搬迁准备、数据备份、设备搬迁实施、系统测试、安全策略配置、机房整理、应急预案等）、负责落实搬迁所需的软硬件、人员、技术支持、交通工具、辅材等搬迁一切前置条件，并将相关落实情况报采购人审定后实施。</w:t>
      </w:r>
    </w:p>
    <w:p>
      <w:pPr>
        <w:snapToGrid w:val="0"/>
        <w:spacing w:line="44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搬迁实施日由采购人根据实际情况指定，成交供应商应在采购人指定的搬迁实施日起2个日历日内完成搬迁实施（含设备下电、下架、包装、运输、上架、加电、恢复服务等）。</w:t>
      </w:r>
    </w:p>
    <w:p>
      <w:pPr>
        <w:snapToGrid w:val="0"/>
        <w:spacing w:line="44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（2）自合同签订之日起30个日历日内完成</w:t>
      </w:r>
      <w:r>
        <w:rPr>
          <w:rFonts w:hint="eastAsia" w:asciiTheme="minorEastAsia" w:hAnsiTheme="minorEastAsia" w:eastAsiaTheme="minorEastAsia" w:cstheme="minorEastAsia"/>
          <w:b/>
          <w:bCs/>
          <w:color w:val="auto"/>
          <w:szCs w:val="21"/>
          <w:highlight w:val="none"/>
        </w:rPr>
        <w:t>“机房配套设施改造”</w:t>
      </w:r>
      <w:r>
        <w:rPr>
          <w:rFonts w:hint="eastAsia" w:asciiTheme="minorEastAsia" w:hAnsiTheme="minorEastAsia" w:eastAsiaTheme="minorEastAsia" w:cstheme="minorEastAsia"/>
          <w:color w:val="auto"/>
          <w:szCs w:val="21"/>
          <w:highlight w:val="none"/>
        </w:rPr>
        <w:t>分项中所有货物的到货并安装完毕、完成新增供电线路。成交供应商需按采购人指定的时间（晚间或节假日），对UPS和电池进行更换工作，设备更换和线路改造期间应尽可能减少机房停电时间。</w:t>
      </w:r>
    </w:p>
    <w:p>
      <w:pPr>
        <w:tabs>
          <w:tab w:val="left" w:pos="180"/>
          <w:tab w:val="left" w:pos="1620"/>
        </w:tabs>
        <w:spacing w:line="440" w:lineRule="exact"/>
        <w:ind w:firstLine="420" w:firstLineChars="200"/>
        <w:jc w:val="lef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b/>
          <w:bCs/>
          <w:color w:val="auto"/>
          <w:szCs w:val="21"/>
          <w:highlight w:val="none"/>
        </w:rPr>
        <w:t>“信创云运维”</w:t>
      </w:r>
      <w:r>
        <w:rPr>
          <w:rFonts w:hint="eastAsia" w:asciiTheme="minorEastAsia" w:hAnsiTheme="minorEastAsia" w:eastAsiaTheme="minorEastAsia" w:cstheme="minorEastAsia"/>
          <w:color w:val="auto"/>
          <w:szCs w:val="21"/>
          <w:highlight w:val="none"/>
        </w:rPr>
        <w:t>分项服务期：服务期为12个月，具体服务起算时间按经采购人确认的团队进场后服务开始时间进行起算。成交供应商应在签订合同之日起</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0个工作日内完成运维团队组建，进场前需提交相关进场材料。信创云运维须提供7×24现场服务、电话、E-mail等方式为用户提供完善的技术支持</w:t>
      </w:r>
      <w:r>
        <w:rPr>
          <w:rFonts w:hint="eastAsia" w:asciiTheme="minorEastAsia" w:hAnsiTheme="minorEastAsia" w:eastAsiaTheme="minorEastAsia" w:cstheme="minorEastAsia"/>
          <w:color w:val="auto"/>
          <w:szCs w:val="21"/>
          <w:highlight w:val="none"/>
          <w:lang w:eastAsia="zh-CN"/>
        </w:rPr>
        <w:t>。</w:t>
      </w:r>
    </w:p>
    <w:p>
      <w:pPr>
        <w:pStyle w:val="11"/>
        <w:spacing w:line="440" w:lineRule="exact"/>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2、服务地点：广西桂林市（采购人指定地点）。</w:t>
      </w:r>
    </w:p>
    <w:p>
      <w:pPr>
        <w:pStyle w:val="11"/>
        <w:spacing w:line="440" w:lineRule="exact"/>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3、售后服务</w:t>
      </w:r>
    </w:p>
    <w:p>
      <w:pPr>
        <w:pStyle w:val="11"/>
        <w:spacing w:line="44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val="0"/>
          <w:bCs w:val="0"/>
          <w:color w:val="auto"/>
          <w:szCs w:val="21"/>
          <w:highlight w:val="none"/>
        </w:rPr>
        <w:t>（1）信创云搬迁实施完成之日起进入为期1个月的云平台试运行期</w:t>
      </w:r>
      <w:r>
        <w:rPr>
          <w:rFonts w:hint="eastAsia" w:asciiTheme="minorEastAsia" w:hAnsiTheme="minorEastAsia" w:eastAsiaTheme="minorEastAsia" w:cstheme="minorEastAsia"/>
          <w:color w:val="auto"/>
          <w:szCs w:val="21"/>
          <w:highlight w:val="none"/>
        </w:rPr>
        <w:t>，试运行期内，着重配合各用户单位恢复业务系统运行、进行7×24小时云平台运行监控、故障排除等，直至平台实现平稳运行、用户业务系统恢复正常运行。</w:t>
      </w:r>
      <w:r>
        <w:rPr>
          <w:rFonts w:hint="eastAsia" w:asciiTheme="minorEastAsia" w:hAnsiTheme="minorEastAsia" w:eastAsiaTheme="minorEastAsia" w:cstheme="minorEastAsia"/>
          <w:b w:val="0"/>
          <w:bCs w:val="0"/>
          <w:color w:val="auto"/>
          <w:szCs w:val="21"/>
          <w:highlight w:val="none"/>
        </w:rPr>
        <w:t>试运行期结束后，进入为期3个月的免费维护期</w:t>
      </w:r>
      <w:r>
        <w:rPr>
          <w:rFonts w:hint="eastAsia" w:asciiTheme="minorEastAsia" w:hAnsiTheme="minorEastAsia" w:eastAsiaTheme="minorEastAsia" w:cstheme="minorEastAsia"/>
          <w:color w:val="auto"/>
          <w:szCs w:val="21"/>
          <w:highlight w:val="none"/>
        </w:rPr>
        <w:t>，维护期内成交供应商安排专人进行7×24小时云平台运行监控、故障排除等工作。</w:t>
      </w:r>
    </w:p>
    <w:p>
      <w:pPr>
        <w:pStyle w:val="11"/>
        <w:spacing w:line="440" w:lineRule="exact"/>
        <w:ind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机房配套设施改造涉及的UPS主机、UPS电池提供不少于3年原厂质保，及其他设备提供不少于1年原厂质保。在本项目验收通过之日起实行三年的免费运维服务期，成交供应商在免费运维服务期内需每个月对UPS主机及电池进行不少于一次的巡检（包括UPS主机工作状态是否正常，电池物理状况、电池电压、电池内阻等情况）并出具巡检报告。免费运维服务期内UPS系统出现故障，要求20分钟内响应，1小时内到达现场，一般故障2个小时内完成修复， 重大故障8个小时内完成修复， 若无法及时修复需提供备用设备保障机房供电。</w:t>
      </w:r>
    </w:p>
    <w:p>
      <w:pPr>
        <w:pStyle w:val="11"/>
        <w:spacing w:line="440" w:lineRule="exact"/>
        <w:ind w:firstLine="420" w:firstLineChars="200"/>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（五）安全要求</w:t>
      </w:r>
    </w:p>
    <w:p>
      <w:pPr>
        <w:snapToGrid w:val="0"/>
        <w:spacing w:line="44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1、数据安全及保密要求：成交供应商在项目服务过程中，必须对本项目所有项目信息以及接触到数据予以保密，未经采购人书面许可，成交供应商不得以任何形式向第三方透露的关于本项目的任何内容或数据。</w:t>
      </w:r>
    </w:p>
    <w:p>
      <w:pPr>
        <w:pStyle w:val="11"/>
        <w:spacing w:line="44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成交供应商需与采购人签订保密协议，履行数据与网络安全保密；实际运维人员与成交供应商签订保密协议，成交供应商负责实际运维人员的数据与网络安全管理，若实际运维人员未按要求，随意泄露本项目信息或者数据，采购人有权对成交供应商进行处罚。</w:t>
      </w:r>
    </w:p>
    <w:p>
      <w:pPr>
        <w:pStyle w:val="11"/>
        <w:spacing w:line="440" w:lineRule="exact"/>
        <w:ind w:firstLine="420" w:firstLineChars="200"/>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（六）验收方式</w:t>
      </w:r>
    </w:p>
    <w:p>
      <w:pPr>
        <w:spacing w:line="44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1、采购人将根据项目完成情况，分别组织对 </w:t>
      </w:r>
      <w:r>
        <w:rPr>
          <w:rFonts w:hint="eastAsia" w:asciiTheme="minorEastAsia" w:hAnsiTheme="minorEastAsia" w:eastAsiaTheme="minorEastAsia" w:cstheme="minorEastAsia"/>
          <w:b/>
          <w:bCs/>
          <w:color w:val="auto"/>
          <w:szCs w:val="21"/>
          <w:highlight w:val="none"/>
        </w:rPr>
        <w:t xml:space="preserve">“信创云搬迁”、“机房配套设施改造”、“信创云运维” </w:t>
      </w:r>
      <w:r>
        <w:rPr>
          <w:rFonts w:hint="eastAsia" w:asciiTheme="minorEastAsia" w:hAnsiTheme="minorEastAsia" w:eastAsiaTheme="minorEastAsia" w:cstheme="minorEastAsia"/>
          <w:color w:val="auto"/>
          <w:szCs w:val="21"/>
          <w:highlight w:val="none"/>
        </w:rPr>
        <w:t>进行验收。验收将严格按照磋商文件的规定和响应文件的响应及承诺执行，验收不合格的将根据合同有关条款进行处理。</w:t>
      </w:r>
    </w:p>
    <w:p>
      <w:pPr>
        <w:spacing w:line="44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验收依据：采购文件、响应文件、成交通知书、采购合同及补充协议；过程文件（如施工日志、设备迁移台账、月度运维报告、故障处置记录等）；专项文件（如商用密码应用安全性评估报告、等保三级测评报告、软硬件原厂合格证明等）。</w:t>
      </w:r>
    </w:p>
    <w:p>
      <w:pPr>
        <w:spacing w:line="44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3、验收组织架构：验收小组由采购单位组织 3 人或以上单数专业技术人员组成。</w:t>
      </w:r>
    </w:p>
    <w:p>
      <w:pPr>
        <w:snapToGrid w:val="0"/>
        <w:spacing w:line="44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成交供应商必须提供原装正品的、全新的、符合有关质量标准的产品和按要求提供资料。验收时，采购人现场根据采购文件要求及响应文件承诺逐条对应进行核验，若发现服务、产品不符合采购文件和响应文件承诺要求的，采购人不予验收，同时报相关监督管理部门处理，由此造成采购人经济损失的由成交供应商负责承担全部赔偿责任。</w:t>
      </w:r>
    </w:p>
    <w:p>
      <w:pPr>
        <w:snapToGrid w:val="0"/>
        <w:spacing w:line="44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5、验收时间：（1）</w:t>
      </w:r>
      <w:r>
        <w:rPr>
          <w:rFonts w:hint="eastAsia" w:asciiTheme="minorEastAsia" w:hAnsiTheme="minorEastAsia" w:eastAsiaTheme="minorEastAsia" w:cstheme="minorEastAsia"/>
          <w:b/>
          <w:bCs/>
          <w:color w:val="auto"/>
          <w:szCs w:val="21"/>
          <w:highlight w:val="none"/>
        </w:rPr>
        <w:t>信创云搬迁</w:t>
      </w:r>
      <w:r>
        <w:rPr>
          <w:rFonts w:hint="eastAsia" w:asciiTheme="minorEastAsia" w:hAnsiTheme="minorEastAsia" w:eastAsiaTheme="minorEastAsia" w:cstheme="minorEastAsia"/>
          <w:color w:val="auto"/>
          <w:szCs w:val="21"/>
          <w:highlight w:val="none"/>
        </w:rPr>
        <w:t>：搬迁实施完成，系统试运行 1 个月（无业务中断、数据丢失）后组织验收。（2）</w:t>
      </w:r>
      <w:r>
        <w:rPr>
          <w:rFonts w:hint="eastAsia" w:asciiTheme="minorEastAsia" w:hAnsiTheme="minorEastAsia" w:eastAsiaTheme="minorEastAsia" w:cstheme="minorEastAsia"/>
          <w:b/>
          <w:bCs/>
          <w:color w:val="auto"/>
          <w:szCs w:val="21"/>
          <w:highlight w:val="none"/>
        </w:rPr>
        <w:t>机房配套设施改造</w:t>
      </w:r>
      <w:r>
        <w:rPr>
          <w:rFonts w:hint="eastAsia" w:asciiTheme="minorEastAsia" w:hAnsiTheme="minorEastAsia" w:eastAsiaTheme="minorEastAsia" w:cstheme="minorEastAsia"/>
          <w:color w:val="auto"/>
          <w:szCs w:val="21"/>
          <w:highlight w:val="none"/>
        </w:rPr>
        <w:t>：改造施工全部完成，通电持续运行 72 小时无故障（含 UPS 负载、供电稳定性测试）后组织验收。（3）</w:t>
      </w:r>
      <w:r>
        <w:rPr>
          <w:rFonts w:hint="eastAsia" w:asciiTheme="minorEastAsia" w:hAnsiTheme="minorEastAsia" w:eastAsiaTheme="minorEastAsia" w:cstheme="minorEastAsia"/>
          <w:b/>
          <w:bCs/>
          <w:color w:val="auto"/>
          <w:szCs w:val="21"/>
          <w:highlight w:val="none"/>
        </w:rPr>
        <w:t>信创云运维</w:t>
      </w:r>
      <w:r>
        <w:rPr>
          <w:rFonts w:hint="eastAsia" w:asciiTheme="minorEastAsia" w:hAnsiTheme="minorEastAsia" w:eastAsiaTheme="minorEastAsia" w:cstheme="minorEastAsia"/>
          <w:color w:val="auto"/>
          <w:szCs w:val="21"/>
          <w:highlight w:val="none"/>
        </w:rPr>
        <w:t>：服务期届满后10 个工作日内组织验收。</w:t>
      </w:r>
    </w:p>
    <w:p>
      <w:pPr>
        <w:snapToGrid w:val="0"/>
        <w:spacing w:line="44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6、供应商对验收结果有异议的，需在收到验收意见后 5 个工作日内提交书面异议及佐证材料，采购人在 10 个工作日内组织复核，必要时委托第三方机构重新检测，检测费用由责任方承担。</w:t>
      </w:r>
    </w:p>
    <w:p>
      <w:pPr>
        <w:snapToGrid w:val="0"/>
        <w:spacing w:line="440" w:lineRule="exact"/>
        <w:ind w:firstLine="420" w:firstLineChars="200"/>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（七）违约责任</w:t>
      </w:r>
    </w:p>
    <w:p>
      <w:pPr>
        <w:pStyle w:val="11"/>
        <w:spacing w:line="44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以下扣款条款，均为扣完分项合同金额为止。</w:t>
      </w:r>
    </w:p>
    <w:p>
      <w:pPr>
        <w:pStyle w:val="11"/>
        <w:spacing w:line="44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1、成交供应商未在合同签订之日起15个工作日内完成“</w:t>
      </w:r>
      <w:r>
        <w:rPr>
          <w:rFonts w:hint="eastAsia" w:asciiTheme="minorEastAsia" w:hAnsiTheme="minorEastAsia" w:eastAsiaTheme="minorEastAsia" w:cstheme="minorEastAsia"/>
          <w:b/>
          <w:bCs/>
          <w:color w:val="auto"/>
          <w:szCs w:val="21"/>
          <w:highlight w:val="none"/>
        </w:rPr>
        <w:t>信创云搬迁</w:t>
      </w:r>
      <w:r>
        <w:rPr>
          <w:rFonts w:hint="eastAsia" w:asciiTheme="minorEastAsia" w:hAnsiTheme="minorEastAsia" w:eastAsiaTheme="minorEastAsia" w:cstheme="minorEastAsia"/>
          <w:color w:val="auto"/>
          <w:szCs w:val="21"/>
          <w:highlight w:val="none"/>
        </w:rPr>
        <w:t>”分项内容所涉及的前期规划（包含项目团队组建、现场勘查、制定搬迁方案、负责落实搬迁所需的软硬件、人员、技术支持、交通工具、辅材等搬迁一切前置条件）并将相关落实情况报采购人审核，每延期1日，扣减“</w:t>
      </w:r>
      <w:r>
        <w:rPr>
          <w:rFonts w:hint="eastAsia" w:asciiTheme="minorEastAsia" w:hAnsiTheme="minorEastAsia" w:eastAsiaTheme="minorEastAsia" w:cstheme="minorEastAsia"/>
          <w:b/>
          <w:bCs/>
          <w:color w:val="auto"/>
          <w:szCs w:val="21"/>
          <w:highlight w:val="none"/>
        </w:rPr>
        <w:t>信创云搬迁</w:t>
      </w:r>
      <w:r>
        <w:rPr>
          <w:rFonts w:hint="eastAsia" w:asciiTheme="minorEastAsia" w:hAnsiTheme="minorEastAsia" w:eastAsiaTheme="minorEastAsia" w:cstheme="minorEastAsia"/>
          <w:color w:val="auto"/>
          <w:szCs w:val="21"/>
          <w:highlight w:val="none"/>
        </w:rPr>
        <w:t>”分项合同金额的5%。成交供应商未在采购人指定的搬迁实施日起2个日历日内完成搬迁实施（含设备下电、下架、包装、运输、上架、加电、恢复服务等）的，延期3日内的（含3日），每延期1日扣减“</w:t>
      </w:r>
      <w:r>
        <w:rPr>
          <w:rFonts w:hint="eastAsia" w:asciiTheme="minorEastAsia" w:hAnsiTheme="minorEastAsia" w:eastAsiaTheme="minorEastAsia" w:cstheme="minorEastAsia"/>
          <w:b/>
          <w:bCs/>
          <w:color w:val="auto"/>
          <w:szCs w:val="21"/>
          <w:highlight w:val="none"/>
        </w:rPr>
        <w:t>信创云搬迁</w:t>
      </w:r>
      <w:r>
        <w:rPr>
          <w:rFonts w:hint="eastAsia" w:asciiTheme="minorEastAsia" w:hAnsiTheme="minorEastAsia" w:eastAsiaTheme="minorEastAsia" w:cstheme="minorEastAsia"/>
          <w:color w:val="auto"/>
          <w:szCs w:val="21"/>
          <w:highlight w:val="none"/>
        </w:rPr>
        <w:t>”分项合同金额的10%；延期超过3日后，每延期1日扣减“</w:t>
      </w:r>
      <w:r>
        <w:rPr>
          <w:rFonts w:hint="eastAsia" w:asciiTheme="minorEastAsia" w:hAnsiTheme="minorEastAsia" w:eastAsiaTheme="minorEastAsia" w:cstheme="minorEastAsia"/>
          <w:b/>
          <w:bCs/>
          <w:color w:val="auto"/>
          <w:szCs w:val="21"/>
          <w:highlight w:val="none"/>
        </w:rPr>
        <w:t>信创云搬迁</w:t>
      </w:r>
      <w:r>
        <w:rPr>
          <w:rFonts w:hint="eastAsia" w:asciiTheme="minorEastAsia" w:hAnsiTheme="minorEastAsia" w:eastAsiaTheme="minorEastAsia" w:cstheme="minorEastAsia"/>
          <w:color w:val="auto"/>
          <w:szCs w:val="21"/>
          <w:highlight w:val="none"/>
        </w:rPr>
        <w:t>”分项合同金额的15%。</w:t>
      </w:r>
    </w:p>
    <w:p>
      <w:pPr>
        <w:pStyle w:val="11"/>
        <w:spacing w:line="44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bCs/>
          <w:color w:val="auto"/>
          <w:szCs w:val="21"/>
          <w:highlight w:val="none"/>
        </w:rPr>
        <w:t>信创云搬迁</w:t>
      </w:r>
      <w:r>
        <w:rPr>
          <w:rFonts w:hint="eastAsia" w:asciiTheme="minorEastAsia" w:hAnsiTheme="minorEastAsia" w:eastAsiaTheme="minorEastAsia" w:cstheme="minorEastAsia"/>
          <w:color w:val="auto"/>
          <w:szCs w:val="21"/>
          <w:highlight w:val="none"/>
        </w:rPr>
        <w:t>”验收中发现设备搬迁过程中造成损坏或缺失，成交供应商需 24 小时内免费提供同型号备用设备替代，7 个工作日内免费完成损坏设备修复；造成业务中断的，每延期1日扣减“</w:t>
      </w:r>
      <w:r>
        <w:rPr>
          <w:rFonts w:hint="eastAsia" w:asciiTheme="minorEastAsia" w:hAnsiTheme="minorEastAsia" w:eastAsiaTheme="minorEastAsia" w:cstheme="minorEastAsia"/>
          <w:b/>
          <w:bCs/>
          <w:color w:val="auto"/>
          <w:szCs w:val="21"/>
          <w:highlight w:val="none"/>
        </w:rPr>
        <w:t>信创云搬迁</w:t>
      </w:r>
      <w:r>
        <w:rPr>
          <w:rFonts w:hint="eastAsia" w:asciiTheme="minorEastAsia" w:hAnsiTheme="minorEastAsia" w:eastAsiaTheme="minorEastAsia" w:cstheme="minorEastAsia"/>
          <w:color w:val="auto"/>
          <w:szCs w:val="21"/>
          <w:highlight w:val="none"/>
        </w:rPr>
        <w:t>”分项合同金额的5%；搬迁过程中造成数据丢失的，损失由成交供应商承担。</w:t>
      </w:r>
    </w:p>
    <w:p>
      <w:pPr>
        <w:spacing w:line="44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2、成交供应商应自合同签订之日起30个日历日内完成</w:t>
      </w:r>
      <w:r>
        <w:rPr>
          <w:rFonts w:hint="eastAsia" w:asciiTheme="minorEastAsia" w:hAnsiTheme="minorEastAsia" w:eastAsiaTheme="minorEastAsia" w:cstheme="minorEastAsia"/>
          <w:b/>
          <w:bCs/>
          <w:color w:val="auto"/>
          <w:szCs w:val="21"/>
          <w:highlight w:val="none"/>
        </w:rPr>
        <w:t>“机房配套设施改造”分项</w:t>
      </w:r>
      <w:r>
        <w:rPr>
          <w:rFonts w:hint="eastAsia" w:asciiTheme="minorEastAsia" w:hAnsiTheme="minorEastAsia" w:eastAsiaTheme="minorEastAsia" w:cstheme="minorEastAsia"/>
          <w:color w:val="auto"/>
          <w:szCs w:val="21"/>
          <w:highlight w:val="none"/>
        </w:rPr>
        <w:t>中所有货物的到货并安装调试完毕、完成新增供电线路施工，机房供电设施投入正常运行。每延期1日扣减</w:t>
      </w:r>
      <w:r>
        <w:rPr>
          <w:rFonts w:hint="eastAsia" w:asciiTheme="minorEastAsia" w:hAnsiTheme="minorEastAsia" w:eastAsiaTheme="minorEastAsia" w:cstheme="minorEastAsia"/>
          <w:b/>
          <w:bCs/>
          <w:color w:val="auto"/>
          <w:szCs w:val="21"/>
          <w:highlight w:val="none"/>
        </w:rPr>
        <w:t>“机房配套设施改造”</w:t>
      </w:r>
      <w:r>
        <w:rPr>
          <w:rFonts w:hint="eastAsia" w:asciiTheme="minorEastAsia" w:hAnsiTheme="minorEastAsia" w:eastAsiaTheme="minorEastAsia" w:cstheme="minorEastAsia"/>
          <w:color w:val="auto"/>
          <w:szCs w:val="21"/>
          <w:highlight w:val="none"/>
        </w:rPr>
        <w:t>分项合同金额的3%。</w:t>
      </w:r>
    </w:p>
    <w:p>
      <w:pPr>
        <w:spacing w:line="440" w:lineRule="exact"/>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Cs w:val="21"/>
          <w:highlight w:val="none"/>
        </w:rPr>
        <w:t>“机房配套设施改造”</w:t>
      </w:r>
      <w:r>
        <w:rPr>
          <w:rFonts w:hint="eastAsia" w:asciiTheme="minorEastAsia" w:hAnsiTheme="minorEastAsia" w:eastAsiaTheme="minorEastAsia" w:cstheme="minorEastAsia"/>
          <w:color w:val="auto"/>
          <w:szCs w:val="21"/>
          <w:highlight w:val="none"/>
        </w:rPr>
        <w:t>验收中检测出参数不达标，成交供应商需 10 个工作日内完成设备更换及调试，逾期未达标则扣除</w:t>
      </w:r>
      <w:r>
        <w:rPr>
          <w:rFonts w:hint="eastAsia" w:asciiTheme="minorEastAsia" w:hAnsiTheme="minorEastAsia" w:eastAsiaTheme="minorEastAsia" w:cstheme="minorEastAsia"/>
          <w:b/>
          <w:bCs/>
          <w:color w:val="auto"/>
          <w:szCs w:val="21"/>
          <w:highlight w:val="none"/>
        </w:rPr>
        <w:t>“机房配套设施改造”</w:t>
      </w:r>
      <w:r>
        <w:rPr>
          <w:rFonts w:hint="eastAsia" w:asciiTheme="minorEastAsia" w:hAnsiTheme="minorEastAsia" w:eastAsiaTheme="minorEastAsia" w:cstheme="minorEastAsia"/>
          <w:color w:val="auto"/>
          <w:szCs w:val="21"/>
          <w:highlight w:val="none"/>
        </w:rPr>
        <w:t>分项合同金额的 15%；若提供非全新或非正品设备，采购人直接不予验收，同时成交供应商需承担</w:t>
      </w:r>
      <w:r>
        <w:rPr>
          <w:rFonts w:hint="eastAsia" w:asciiTheme="minorEastAsia" w:hAnsiTheme="minorEastAsia" w:eastAsiaTheme="minorEastAsia" w:cstheme="minorEastAsia"/>
          <w:b/>
          <w:bCs/>
          <w:color w:val="auto"/>
          <w:szCs w:val="21"/>
          <w:highlight w:val="none"/>
        </w:rPr>
        <w:t>“机房配套设施改造”</w:t>
      </w:r>
      <w:r>
        <w:rPr>
          <w:rFonts w:hint="eastAsia" w:asciiTheme="minorEastAsia" w:hAnsiTheme="minorEastAsia" w:eastAsiaTheme="minorEastAsia" w:cstheme="minorEastAsia"/>
          <w:color w:val="auto"/>
          <w:szCs w:val="21"/>
          <w:highlight w:val="none"/>
        </w:rPr>
        <w:t>分项合同金额 20% 的违约金。</w:t>
      </w:r>
    </w:p>
    <w:p>
      <w:pPr>
        <w:pStyle w:val="11"/>
        <w:numPr>
          <w:ilvl w:val="0"/>
          <w:numId w:val="10"/>
        </w:numPr>
        <w:spacing w:line="44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“信创云运维”</w:t>
      </w:r>
      <w:r>
        <w:rPr>
          <w:rFonts w:hint="eastAsia" w:asciiTheme="minorEastAsia" w:hAnsiTheme="minorEastAsia" w:eastAsiaTheme="minorEastAsia" w:cstheme="minorEastAsia"/>
          <w:color w:val="auto"/>
          <w:szCs w:val="21"/>
          <w:highlight w:val="none"/>
        </w:rPr>
        <w:t>按该分项采购需求“</w:t>
      </w:r>
      <w:r>
        <w:rPr>
          <w:rFonts w:hint="eastAsia" w:asciiTheme="minorEastAsia" w:hAnsiTheme="minorEastAsia" w:eastAsiaTheme="minorEastAsia" w:cstheme="minorEastAsia"/>
          <w:b/>
          <w:bCs/>
          <w:color w:val="auto"/>
          <w:szCs w:val="21"/>
          <w:highlight w:val="none"/>
        </w:rPr>
        <w:t>三、服务考核与评价</w:t>
      </w:r>
      <w:r>
        <w:rPr>
          <w:rFonts w:hint="eastAsia" w:asciiTheme="minorEastAsia" w:hAnsiTheme="minorEastAsia" w:eastAsiaTheme="minorEastAsia" w:cstheme="minorEastAsia"/>
          <w:color w:val="auto"/>
          <w:szCs w:val="21"/>
          <w:highlight w:val="none"/>
        </w:rPr>
        <w:t>”中规定执行。</w:t>
      </w:r>
    </w:p>
    <w:p>
      <w:pPr>
        <w:snapToGrid w:val="0"/>
        <w:spacing w:line="440" w:lineRule="exact"/>
        <w:ind w:firstLine="420" w:firstLineChars="200"/>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（八）付款方式</w:t>
      </w:r>
    </w:p>
    <w:p>
      <w:pPr>
        <w:pStyle w:val="11"/>
        <w:spacing w:line="44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1、信创云搬迁</w:t>
      </w:r>
    </w:p>
    <w:p>
      <w:pPr>
        <w:pStyle w:val="11"/>
        <w:spacing w:line="44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搬迁实施完成后起进入为期1个月的平台试运行期，试运行期结束并由采购人组织对“信创云搬迁”服务内容进行分项验收，验收合格</w:t>
      </w:r>
      <w:r>
        <w:rPr>
          <w:rFonts w:hint="eastAsia" w:asciiTheme="minorEastAsia" w:hAnsiTheme="minorEastAsia" w:eastAsiaTheme="minorEastAsia" w:cstheme="minorEastAsia"/>
          <w:color w:val="auto"/>
          <w:kern w:val="0"/>
          <w:szCs w:val="21"/>
          <w:highlight w:val="none"/>
        </w:rPr>
        <w:t>后1个月内</w:t>
      </w:r>
      <w:r>
        <w:rPr>
          <w:rFonts w:hint="eastAsia" w:asciiTheme="minorEastAsia" w:hAnsiTheme="minorEastAsia" w:eastAsiaTheme="minorEastAsia" w:cstheme="minorEastAsia"/>
          <w:color w:val="auto"/>
          <w:szCs w:val="21"/>
          <w:highlight w:val="none"/>
        </w:rPr>
        <w:t>支付应付款=合同</w:t>
      </w:r>
      <w:r>
        <w:rPr>
          <w:rFonts w:hint="eastAsia" w:asciiTheme="minorEastAsia" w:hAnsiTheme="minorEastAsia" w:eastAsiaTheme="minorEastAsia" w:cstheme="minorEastAsia"/>
          <w:b/>
          <w:bCs/>
          <w:color w:val="auto"/>
          <w:szCs w:val="21"/>
          <w:highlight w:val="none"/>
        </w:rPr>
        <w:t>“信创云搬迁</w:t>
      </w:r>
      <w:r>
        <w:rPr>
          <w:rFonts w:hint="eastAsia" w:asciiTheme="minorEastAsia" w:hAnsiTheme="minorEastAsia" w:eastAsiaTheme="minorEastAsia" w:cstheme="minorEastAsia"/>
          <w:color w:val="auto"/>
          <w:szCs w:val="21"/>
          <w:highlight w:val="none"/>
        </w:rPr>
        <w:t>”分项金额的100%-“信创云搬迁”分项扣减金额</w:t>
      </w:r>
      <w:r>
        <w:rPr>
          <w:rFonts w:hint="eastAsia" w:asciiTheme="minorEastAsia" w:hAnsiTheme="minorEastAsia" w:eastAsiaTheme="minorEastAsia" w:cstheme="minorEastAsia"/>
          <w:color w:val="auto"/>
          <w:kern w:val="0"/>
          <w:szCs w:val="21"/>
          <w:highlight w:val="none"/>
        </w:rPr>
        <w:t>，具体以财政拨款时间为准。</w:t>
      </w:r>
    </w:p>
    <w:p>
      <w:pPr>
        <w:pStyle w:val="11"/>
        <w:spacing w:line="44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2、机房配套设施改造</w:t>
      </w:r>
    </w:p>
    <w:p>
      <w:pPr>
        <w:pStyle w:val="11"/>
        <w:spacing w:line="44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“机房配套设施改造”</w:t>
      </w:r>
      <w:r>
        <w:rPr>
          <w:rFonts w:hint="eastAsia" w:asciiTheme="minorEastAsia" w:hAnsiTheme="minorEastAsia" w:eastAsiaTheme="minorEastAsia" w:cstheme="minorEastAsia"/>
          <w:color w:val="auto"/>
          <w:szCs w:val="21"/>
          <w:highlight w:val="none"/>
        </w:rPr>
        <w:t>结束后由采购人组织对该分项进行验收，</w:t>
      </w:r>
      <w:r>
        <w:rPr>
          <w:rFonts w:hint="eastAsia" w:asciiTheme="minorEastAsia" w:hAnsiTheme="minorEastAsia" w:eastAsiaTheme="minorEastAsia" w:cstheme="minorEastAsia"/>
          <w:color w:val="auto"/>
          <w:kern w:val="0"/>
          <w:szCs w:val="21"/>
          <w:highlight w:val="none"/>
        </w:rPr>
        <w:t>验收合格之后1个月内支付应付金额=合同</w:t>
      </w:r>
      <w:r>
        <w:rPr>
          <w:rFonts w:hint="eastAsia" w:asciiTheme="minorEastAsia" w:hAnsiTheme="minorEastAsia" w:eastAsiaTheme="minorEastAsia" w:cstheme="minorEastAsia"/>
          <w:b/>
          <w:bCs/>
          <w:color w:val="auto"/>
          <w:szCs w:val="21"/>
          <w:highlight w:val="none"/>
        </w:rPr>
        <w:t>“机房配套设施改造”</w:t>
      </w:r>
      <w:r>
        <w:rPr>
          <w:rFonts w:hint="eastAsia" w:asciiTheme="minorEastAsia" w:hAnsiTheme="minorEastAsia" w:eastAsiaTheme="minorEastAsia" w:cstheme="minorEastAsia"/>
          <w:color w:val="auto"/>
          <w:szCs w:val="21"/>
          <w:highlight w:val="none"/>
        </w:rPr>
        <w:t>分项</w:t>
      </w:r>
      <w:r>
        <w:rPr>
          <w:rFonts w:hint="eastAsia" w:asciiTheme="minorEastAsia" w:hAnsiTheme="minorEastAsia" w:eastAsiaTheme="minorEastAsia" w:cstheme="minorEastAsia"/>
          <w:color w:val="auto"/>
          <w:kern w:val="0"/>
          <w:szCs w:val="21"/>
          <w:highlight w:val="none"/>
        </w:rPr>
        <w:t>金额100%-</w:t>
      </w:r>
      <w:r>
        <w:rPr>
          <w:rFonts w:hint="eastAsia" w:asciiTheme="minorEastAsia" w:hAnsiTheme="minorEastAsia" w:eastAsiaTheme="minorEastAsia" w:cstheme="minorEastAsia"/>
          <w:b/>
          <w:bCs/>
          <w:color w:val="auto"/>
          <w:szCs w:val="21"/>
          <w:highlight w:val="none"/>
        </w:rPr>
        <w:t>“机房配套设施改造”分项</w:t>
      </w:r>
      <w:r>
        <w:rPr>
          <w:rFonts w:hint="eastAsia" w:asciiTheme="minorEastAsia" w:hAnsiTheme="minorEastAsia" w:eastAsiaTheme="minorEastAsia" w:cstheme="minorEastAsia"/>
          <w:color w:val="auto"/>
          <w:kern w:val="0"/>
          <w:szCs w:val="21"/>
          <w:highlight w:val="none"/>
        </w:rPr>
        <w:t>扣减金额，具体以财政拨款时间为准。</w:t>
      </w:r>
    </w:p>
    <w:p>
      <w:pPr>
        <w:snapToGrid w:val="0"/>
        <w:spacing w:line="440" w:lineRule="exact"/>
        <w:ind w:firstLine="420" w:firstLineChars="200"/>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3、信创云运维</w:t>
      </w:r>
    </w:p>
    <w:p>
      <w:pPr>
        <w:snapToGrid w:val="0"/>
        <w:spacing w:line="44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highlight w:val="none"/>
        </w:rPr>
        <w:t>经采购人确认的运维团队运维完成5</w:t>
      </w:r>
      <w:r>
        <w:rPr>
          <w:rFonts w:hint="eastAsia" w:asciiTheme="minorEastAsia" w:hAnsiTheme="minorEastAsia" w:eastAsiaTheme="minorEastAsia" w:cstheme="minorEastAsia"/>
          <w:color w:val="auto"/>
          <w:kern w:val="0"/>
          <w:szCs w:val="21"/>
          <w:highlight w:val="none"/>
        </w:rPr>
        <w:t>个月后</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Cs w:val="21"/>
          <w:highlight w:val="none"/>
        </w:rPr>
        <w:t>采购人向</w:t>
      </w:r>
      <w:r>
        <w:rPr>
          <w:rFonts w:hint="eastAsia" w:asciiTheme="minorEastAsia" w:hAnsiTheme="minorEastAsia" w:eastAsiaTheme="minorEastAsia" w:cstheme="minorEastAsia"/>
          <w:color w:val="auto"/>
          <w:kern w:val="0"/>
          <w:szCs w:val="21"/>
          <w:highlight w:val="none"/>
        </w:rPr>
        <w:t>成交供应商支付</w:t>
      </w:r>
      <w:r>
        <w:rPr>
          <w:rFonts w:hint="eastAsia" w:asciiTheme="minorEastAsia" w:hAnsiTheme="minorEastAsia" w:eastAsiaTheme="minorEastAsia" w:cstheme="minorEastAsia"/>
          <w:b/>
          <w:bCs/>
          <w:color w:val="auto"/>
          <w:szCs w:val="21"/>
          <w:highlight w:val="none"/>
        </w:rPr>
        <w:t>“信创云运维”</w:t>
      </w:r>
      <w:r>
        <w:rPr>
          <w:rFonts w:hint="eastAsia" w:asciiTheme="minorEastAsia" w:hAnsiTheme="minorEastAsia" w:eastAsiaTheme="minorEastAsia" w:cstheme="minorEastAsia"/>
          <w:color w:val="auto"/>
          <w:szCs w:val="21"/>
          <w:highlight w:val="none"/>
        </w:rPr>
        <w:t>分项</w:t>
      </w:r>
      <w:r>
        <w:rPr>
          <w:rFonts w:hint="eastAsia" w:asciiTheme="minorEastAsia" w:hAnsiTheme="minorEastAsia" w:eastAsiaTheme="minorEastAsia" w:cstheme="minorEastAsia"/>
          <w:color w:val="auto"/>
          <w:kern w:val="0"/>
          <w:szCs w:val="21"/>
          <w:highlight w:val="none"/>
        </w:rPr>
        <w:t>合同金额的40%（第一笔支付金额），具体以财政拨款时间为准。</w:t>
      </w:r>
    </w:p>
    <w:p>
      <w:pPr>
        <w:snapToGrid w:val="0"/>
        <w:spacing w:line="440" w:lineRule="exact"/>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（2）服务期结束由采购人组织对本项目进行合同验收，验收工作合格</w:t>
      </w:r>
      <w:r>
        <w:rPr>
          <w:rFonts w:hint="eastAsia" w:asciiTheme="minorEastAsia" w:hAnsiTheme="minorEastAsia" w:eastAsiaTheme="minorEastAsia" w:cstheme="minorEastAsia"/>
          <w:color w:val="auto"/>
          <w:kern w:val="0"/>
          <w:szCs w:val="21"/>
          <w:highlight w:val="none"/>
        </w:rPr>
        <w:t>之后1个月内</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根据运维服务考核结果支付剩余合同</w:t>
      </w:r>
      <w:r>
        <w:rPr>
          <w:rFonts w:hint="eastAsia" w:asciiTheme="minorEastAsia" w:hAnsiTheme="minorEastAsia" w:eastAsiaTheme="minorEastAsia" w:cstheme="minorEastAsia"/>
          <w:b/>
          <w:bCs/>
          <w:color w:val="auto"/>
          <w:szCs w:val="21"/>
          <w:highlight w:val="none"/>
        </w:rPr>
        <w:t>“信创云运维”</w:t>
      </w:r>
      <w:r>
        <w:rPr>
          <w:rFonts w:hint="eastAsia" w:asciiTheme="minorEastAsia" w:hAnsiTheme="minorEastAsia" w:eastAsiaTheme="minorEastAsia" w:cstheme="minorEastAsia"/>
          <w:color w:val="auto"/>
          <w:szCs w:val="21"/>
          <w:highlight w:val="none"/>
        </w:rPr>
        <w:t>分项应付</w:t>
      </w:r>
      <w:r>
        <w:rPr>
          <w:rFonts w:hint="eastAsia" w:asciiTheme="minorEastAsia" w:hAnsiTheme="minorEastAsia" w:eastAsiaTheme="minorEastAsia" w:cstheme="minorEastAsia"/>
          <w:color w:val="auto"/>
          <w:kern w:val="0"/>
          <w:szCs w:val="21"/>
          <w:highlight w:val="none"/>
        </w:rPr>
        <w:t>金额（第二笔支付金额），具体以财政拨款时间为准。第二笔支付金额=合同</w:t>
      </w:r>
      <w:r>
        <w:rPr>
          <w:rFonts w:hint="eastAsia" w:asciiTheme="minorEastAsia" w:hAnsiTheme="minorEastAsia" w:eastAsiaTheme="minorEastAsia" w:cstheme="minorEastAsia"/>
          <w:b/>
          <w:bCs/>
          <w:color w:val="auto"/>
          <w:szCs w:val="21"/>
          <w:highlight w:val="none"/>
        </w:rPr>
        <w:t>“信创云运维”</w:t>
      </w:r>
      <w:r>
        <w:rPr>
          <w:rFonts w:hint="eastAsia" w:asciiTheme="minorEastAsia" w:hAnsiTheme="minorEastAsia" w:eastAsiaTheme="minorEastAsia" w:cstheme="minorEastAsia"/>
          <w:color w:val="auto"/>
          <w:szCs w:val="21"/>
          <w:highlight w:val="none"/>
        </w:rPr>
        <w:t>分项</w:t>
      </w:r>
      <w:r>
        <w:rPr>
          <w:rFonts w:hint="eastAsia" w:asciiTheme="minorEastAsia" w:hAnsiTheme="minorEastAsia" w:eastAsiaTheme="minorEastAsia" w:cstheme="minorEastAsia"/>
          <w:color w:val="auto"/>
          <w:kern w:val="0"/>
          <w:szCs w:val="21"/>
          <w:highlight w:val="none"/>
        </w:rPr>
        <w:t>金额×0.6-</w:t>
      </w:r>
      <w:r>
        <w:rPr>
          <w:rFonts w:hint="eastAsia" w:asciiTheme="minorEastAsia" w:hAnsiTheme="minorEastAsia" w:eastAsiaTheme="minorEastAsia" w:cstheme="minorEastAsia"/>
          <w:b/>
          <w:bCs/>
          <w:color w:val="auto"/>
          <w:szCs w:val="21"/>
          <w:highlight w:val="none"/>
        </w:rPr>
        <w:t>“信创云运维”</w:t>
      </w:r>
      <w:r>
        <w:rPr>
          <w:rFonts w:hint="eastAsia" w:asciiTheme="minorEastAsia" w:hAnsiTheme="minorEastAsia" w:eastAsiaTheme="minorEastAsia" w:cstheme="minorEastAsia"/>
          <w:color w:val="auto"/>
          <w:szCs w:val="21"/>
          <w:highlight w:val="none"/>
        </w:rPr>
        <w:t>分项</w:t>
      </w:r>
      <w:r>
        <w:rPr>
          <w:rFonts w:hint="eastAsia" w:asciiTheme="minorEastAsia" w:hAnsiTheme="minorEastAsia" w:eastAsiaTheme="minorEastAsia" w:cstheme="minorEastAsia"/>
          <w:color w:val="auto"/>
          <w:kern w:val="0"/>
          <w:szCs w:val="21"/>
          <w:highlight w:val="none"/>
        </w:rPr>
        <w:t>扣减的考核金额。</w:t>
      </w:r>
    </w:p>
    <w:p>
      <w:pPr>
        <w:snapToGrid w:val="0"/>
        <w:spacing w:line="440" w:lineRule="exact"/>
        <w:ind w:firstLine="420" w:firstLineChars="200"/>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kern w:val="0"/>
          <w:szCs w:val="21"/>
          <w:highlight w:val="none"/>
        </w:rPr>
        <w:t>（九）本项目所属行业为软件和信息技术服务业。</w:t>
      </w:r>
    </w:p>
    <w:p>
      <w:pPr>
        <w:spacing w:line="4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p>
    <w:p>
      <w:pPr>
        <w:pStyle w:val="3"/>
        <w:spacing w:before="0" w:after="0" w:line="440" w:lineRule="exact"/>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附件1：信创云设备清单</w:t>
      </w:r>
    </w:p>
    <w:tbl>
      <w:tblPr>
        <w:tblStyle w:val="24"/>
        <w:tblW w:w="4827" w:type="pct"/>
        <w:tblInd w:w="0" w:type="dxa"/>
        <w:tblLayout w:type="fixed"/>
        <w:tblCellMar>
          <w:top w:w="0" w:type="dxa"/>
          <w:left w:w="108" w:type="dxa"/>
          <w:bottom w:w="0" w:type="dxa"/>
          <w:right w:w="108" w:type="dxa"/>
        </w:tblCellMar>
      </w:tblPr>
      <w:tblGrid>
        <w:gridCol w:w="723"/>
        <w:gridCol w:w="3281"/>
        <w:gridCol w:w="1246"/>
        <w:gridCol w:w="1520"/>
        <w:gridCol w:w="3280"/>
      </w:tblGrid>
      <w:tr>
        <w:tblPrEx>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kern w:val="0"/>
                <w:sz w:val="22"/>
                <w:szCs w:val="22"/>
                <w:highlight w:val="none"/>
              </w:rPr>
              <w:t>序号</w:t>
            </w:r>
          </w:p>
        </w:tc>
        <w:tc>
          <w:tcPr>
            <w:tcW w:w="1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设备名称</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kern w:val="0"/>
                <w:sz w:val="22"/>
                <w:szCs w:val="22"/>
                <w:highlight w:val="none"/>
              </w:rPr>
              <w:t>数量</w:t>
            </w:r>
          </w:p>
        </w:tc>
        <w:tc>
          <w:tcPr>
            <w:tcW w:w="756"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kern w:val="0"/>
                <w:sz w:val="22"/>
                <w:szCs w:val="22"/>
                <w:highlight w:val="none"/>
              </w:rPr>
              <w:t>单位</w:t>
            </w:r>
          </w:p>
        </w:tc>
        <w:tc>
          <w:tcPr>
            <w:tcW w:w="1631"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kern w:val="0"/>
                <w:sz w:val="22"/>
                <w:szCs w:val="22"/>
                <w:highlight w:val="none"/>
              </w:rPr>
              <w:t>厂商</w:t>
            </w:r>
          </w:p>
        </w:tc>
      </w:tr>
      <w:tr>
        <w:tblPrEx>
          <w:tblCellMar>
            <w:top w:w="0" w:type="dxa"/>
            <w:left w:w="108" w:type="dxa"/>
            <w:bottom w:w="0" w:type="dxa"/>
            <w:right w:w="10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1</w:t>
            </w:r>
          </w:p>
        </w:tc>
        <w:tc>
          <w:tcPr>
            <w:tcW w:w="1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管理服务器</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8</w:t>
            </w:r>
          </w:p>
        </w:tc>
        <w:tc>
          <w:tcPr>
            <w:tcW w:w="756"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台</w:t>
            </w:r>
          </w:p>
        </w:tc>
        <w:tc>
          <w:tcPr>
            <w:tcW w:w="1631"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宝德</w:t>
            </w:r>
          </w:p>
        </w:tc>
      </w:tr>
      <w:tr>
        <w:tblPrEx>
          <w:tblCellMar>
            <w:top w:w="0" w:type="dxa"/>
            <w:left w:w="108" w:type="dxa"/>
            <w:bottom w:w="0" w:type="dxa"/>
            <w:right w:w="10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2</w:t>
            </w:r>
          </w:p>
        </w:tc>
        <w:tc>
          <w:tcPr>
            <w:tcW w:w="1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入侵防御</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2</w:t>
            </w:r>
          </w:p>
        </w:tc>
        <w:tc>
          <w:tcPr>
            <w:tcW w:w="756"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台</w:t>
            </w:r>
          </w:p>
        </w:tc>
        <w:tc>
          <w:tcPr>
            <w:tcW w:w="1631"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天融信</w:t>
            </w:r>
          </w:p>
        </w:tc>
      </w:tr>
      <w:tr>
        <w:tblPrEx>
          <w:tblCellMar>
            <w:top w:w="0" w:type="dxa"/>
            <w:left w:w="108" w:type="dxa"/>
            <w:bottom w:w="0" w:type="dxa"/>
            <w:right w:w="10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3</w:t>
            </w:r>
          </w:p>
        </w:tc>
        <w:tc>
          <w:tcPr>
            <w:tcW w:w="1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入侵检测</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2</w:t>
            </w:r>
          </w:p>
        </w:tc>
        <w:tc>
          <w:tcPr>
            <w:tcW w:w="756"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台</w:t>
            </w:r>
          </w:p>
        </w:tc>
        <w:tc>
          <w:tcPr>
            <w:tcW w:w="1631"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天融信</w:t>
            </w:r>
          </w:p>
        </w:tc>
      </w:tr>
      <w:tr>
        <w:tblPrEx>
          <w:tblCellMar>
            <w:top w:w="0" w:type="dxa"/>
            <w:left w:w="108" w:type="dxa"/>
            <w:bottom w:w="0" w:type="dxa"/>
            <w:right w:w="10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4</w:t>
            </w:r>
          </w:p>
        </w:tc>
        <w:tc>
          <w:tcPr>
            <w:tcW w:w="1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防火墙</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4</w:t>
            </w:r>
          </w:p>
        </w:tc>
        <w:tc>
          <w:tcPr>
            <w:tcW w:w="756"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台</w:t>
            </w:r>
          </w:p>
        </w:tc>
        <w:tc>
          <w:tcPr>
            <w:tcW w:w="1631"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天融信</w:t>
            </w:r>
          </w:p>
        </w:tc>
      </w:tr>
      <w:tr>
        <w:tblPrEx>
          <w:tblCellMar>
            <w:top w:w="0" w:type="dxa"/>
            <w:left w:w="108" w:type="dxa"/>
            <w:bottom w:w="0" w:type="dxa"/>
            <w:right w:w="10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5</w:t>
            </w:r>
          </w:p>
        </w:tc>
        <w:tc>
          <w:tcPr>
            <w:tcW w:w="1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WEB应用防火墙</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2</w:t>
            </w:r>
          </w:p>
        </w:tc>
        <w:tc>
          <w:tcPr>
            <w:tcW w:w="756"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台</w:t>
            </w:r>
          </w:p>
        </w:tc>
        <w:tc>
          <w:tcPr>
            <w:tcW w:w="1631"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天融信</w:t>
            </w:r>
          </w:p>
        </w:tc>
      </w:tr>
      <w:tr>
        <w:tblPrEx>
          <w:tblCellMar>
            <w:top w:w="0" w:type="dxa"/>
            <w:left w:w="108" w:type="dxa"/>
            <w:bottom w:w="0" w:type="dxa"/>
            <w:right w:w="10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6</w:t>
            </w:r>
          </w:p>
        </w:tc>
        <w:tc>
          <w:tcPr>
            <w:tcW w:w="1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安全隔离与信息交换系统</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2</w:t>
            </w:r>
          </w:p>
        </w:tc>
        <w:tc>
          <w:tcPr>
            <w:tcW w:w="756"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台</w:t>
            </w:r>
          </w:p>
        </w:tc>
        <w:tc>
          <w:tcPr>
            <w:tcW w:w="1631"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天融信</w:t>
            </w:r>
          </w:p>
        </w:tc>
      </w:tr>
      <w:tr>
        <w:tblPrEx>
          <w:tblCellMar>
            <w:top w:w="0" w:type="dxa"/>
            <w:left w:w="108" w:type="dxa"/>
            <w:bottom w:w="0" w:type="dxa"/>
            <w:right w:w="10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7</w:t>
            </w:r>
          </w:p>
        </w:tc>
        <w:tc>
          <w:tcPr>
            <w:tcW w:w="1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数据库审计系统</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2</w:t>
            </w:r>
          </w:p>
        </w:tc>
        <w:tc>
          <w:tcPr>
            <w:tcW w:w="756"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台</w:t>
            </w:r>
          </w:p>
        </w:tc>
        <w:tc>
          <w:tcPr>
            <w:tcW w:w="1631"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天融信</w:t>
            </w:r>
          </w:p>
        </w:tc>
      </w:tr>
      <w:tr>
        <w:tblPrEx>
          <w:tblCellMar>
            <w:top w:w="0" w:type="dxa"/>
            <w:left w:w="108" w:type="dxa"/>
            <w:bottom w:w="0" w:type="dxa"/>
            <w:right w:w="10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8</w:t>
            </w:r>
          </w:p>
        </w:tc>
        <w:tc>
          <w:tcPr>
            <w:tcW w:w="1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网络安全审计系统</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2</w:t>
            </w:r>
          </w:p>
        </w:tc>
        <w:tc>
          <w:tcPr>
            <w:tcW w:w="756"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台</w:t>
            </w:r>
          </w:p>
        </w:tc>
        <w:tc>
          <w:tcPr>
            <w:tcW w:w="1631"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天融信</w:t>
            </w:r>
          </w:p>
        </w:tc>
      </w:tr>
      <w:tr>
        <w:tblPrEx>
          <w:tblCellMar>
            <w:top w:w="0" w:type="dxa"/>
            <w:left w:w="108" w:type="dxa"/>
            <w:bottom w:w="0" w:type="dxa"/>
            <w:right w:w="10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9</w:t>
            </w:r>
          </w:p>
        </w:tc>
        <w:tc>
          <w:tcPr>
            <w:tcW w:w="1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漏洞扫描系统</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2</w:t>
            </w:r>
          </w:p>
        </w:tc>
        <w:tc>
          <w:tcPr>
            <w:tcW w:w="756"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台</w:t>
            </w:r>
          </w:p>
        </w:tc>
        <w:tc>
          <w:tcPr>
            <w:tcW w:w="1631"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天融信</w:t>
            </w:r>
          </w:p>
        </w:tc>
      </w:tr>
      <w:tr>
        <w:tblPrEx>
          <w:tblCellMar>
            <w:top w:w="0" w:type="dxa"/>
            <w:left w:w="108" w:type="dxa"/>
            <w:bottom w:w="0" w:type="dxa"/>
            <w:right w:w="10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10</w:t>
            </w:r>
          </w:p>
        </w:tc>
        <w:tc>
          <w:tcPr>
            <w:tcW w:w="1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负载均衡</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4</w:t>
            </w:r>
          </w:p>
        </w:tc>
        <w:tc>
          <w:tcPr>
            <w:tcW w:w="756"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台</w:t>
            </w:r>
          </w:p>
        </w:tc>
        <w:tc>
          <w:tcPr>
            <w:tcW w:w="1631"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天融信</w:t>
            </w:r>
          </w:p>
        </w:tc>
      </w:tr>
      <w:tr>
        <w:tblPrEx>
          <w:tblCellMar>
            <w:top w:w="0" w:type="dxa"/>
            <w:left w:w="108" w:type="dxa"/>
            <w:bottom w:w="0" w:type="dxa"/>
            <w:right w:w="10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11</w:t>
            </w:r>
          </w:p>
        </w:tc>
        <w:tc>
          <w:tcPr>
            <w:tcW w:w="1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堡垒机</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2</w:t>
            </w:r>
          </w:p>
        </w:tc>
        <w:tc>
          <w:tcPr>
            <w:tcW w:w="756"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台</w:t>
            </w:r>
          </w:p>
        </w:tc>
        <w:tc>
          <w:tcPr>
            <w:tcW w:w="1631"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天融信</w:t>
            </w:r>
          </w:p>
        </w:tc>
      </w:tr>
      <w:tr>
        <w:tblPrEx>
          <w:tblCellMar>
            <w:top w:w="0" w:type="dxa"/>
            <w:left w:w="108" w:type="dxa"/>
            <w:bottom w:w="0" w:type="dxa"/>
            <w:right w:w="10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12</w:t>
            </w:r>
          </w:p>
        </w:tc>
        <w:tc>
          <w:tcPr>
            <w:tcW w:w="1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VPN网关</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1</w:t>
            </w:r>
          </w:p>
        </w:tc>
        <w:tc>
          <w:tcPr>
            <w:tcW w:w="756"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台</w:t>
            </w:r>
          </w:p>
        </w:tc>
        <w:tc>
          <w:tcPr>
            <w:tcW w:w="1631"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紫光恒越</w:t>
            </w:r>
          </w:p>
        </w:tc>
      </w:tr>
      <w:tr>
        <w:tblPrEx>
          <w:tblCellMar>
            <w:top w:w="0" w:type="dxa"/>
            <w:left w:w="108" w:type="dxa"/>
            <w:bottom w:w="0" w:type="dxa"/>
            <w:right w:w="10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13</w:t>
            </w:r>
          </w:p>
        </w:tc>
        <w:tc>
          <w:tcPr>
            <w:tcW w:w="1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核心交换机</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4</w:t>
            </w:r>
          </w:p>
        </w:tc>
        <w:tc>
          <w:tcPr>
            <w:tcW w:w="756"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台</w:t>
            </w:r>
          </w:p>
        </w:tc>
        <w:tc>
          <w:tcPr>
            <w:tcW w:w="1631"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迈普</w:t>
            </w:r>
          </w:p>
        </w:tc>
      </w:tr>
      <w:tr>
        <w:tblPrEx>
          <w:tblCellMar>
            <w:top w:w="0" w:type="dxa"/>
            <w:left w:w="108" w:type="dxa"/>
            <w:bottom w:w="0" w:type="dxa"/>
            <w:right w:w="10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14</w:t>
            </w:r>
          </w:p>
        </w:tc>
        <w:tc>
          <w:tcPr>
            <w:tcW w:w="1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数据中心交换机</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18</w:t>
            </w:r>
          </w:p>
        </w:tc>
        <w:tc>
          <w:tcPr>
            <w:tcW w:w="756"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台</w:t>
            </w:r>
          </w:p>
        </w:tc>
        <w:tc>
          <w:tcPr>
            <w:tcW w:w="1631"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迈普</w:t>
            </w:r>
          </w:p>
        </w:tc>
      </w:tr>
      <w:tr>
        <w:tblPrEx>
          <w:tblCellMar>
            <w:top w:w="0" w:type="dxa"/>
            <w:left w:w="108" w:type="dxa"/>
            <w:bottom w:w="0" w:type="dxa"/>
            <w:right w:w="10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15</w:t>
            </w:r>
          </w:p>
        </w:tc>
        <w:tc>
          <w:tcPr>
            <w:tcW w:w="1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云计算服务器</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17</w:t>
            </w:r>
          </w:p>
        </w:tc>
        <w:tc>
          <w:tcPr>
            <w:tcW w:w="756"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台</w:t>
            </w:r>
          </w:p>
        </w:tc>
        <w:tc>
          <w:tcPr>
            <w:tcW w:w="1631"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宝德</w:t>
            </w:r>
          </w:p>
        </w:tc>
      </w:tr>
      <w:tr>
        <w:tblPrEx>
          <w:tblCellMar>
            <w:top w:w="0" w:type="dxa"/>
            <w:left w:w="108" w:type="dxa"/>
            <w:bottom w:w="0" w:type="dxa"/>
            <w:right w:w="10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16</w:t>
            </w:r>
          </w:p>
        </w:tc>
        <w:tc>
          <w:tcPr>
            <w:tcW w:w="1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磁盘阵列</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2</w:t>
            </w:r>
          </w:p>
        </w:tc>
        <w:tc>
          <w:tcPr>
            <w:tcW w:w="756"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台</w:t>
            </w:r>
          </w:p>
        </w:tc>
        <w:tc>
          <w:tcPr>
            <w:tcW w:w="1631"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东海存储</w:t>
            </w:r>
          </w:p>
        </w:tc>
      </w:tr>
      <w:tr>
        <w:tblPrEx>
          <w:tblCellMar>
            <w:top w:w="0" w:type="dxa"/>
            <w:left w:w="108" w:type="dxa"/>
            <w:bottom w:w="0" w:type="dxa"/>
            <w:right w:w="10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17</w:t>
            </w:r>
          </w:p>
        </w:tc>
        <w:tc>
          <w:tcPr>
            <w:tcW w:w="1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数据备份一体机</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2</w:t>
            </w:r>
          </w:p>
        </w:tc>
        <w:tc>
          <w:tcPr>
            <w:tcW w:w="756"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台</w:t>
            </w:r>
          </w:p>
        </w:tc>
        <w:tc>
          <w:tcPr>
            <w:tcW w:w="1631"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微创</w:t>
            </w:r>
          </w:p>
        </w:tc>
      </w:tr>
      <w:tr>
        <w:tblPrEx>
          <w:tblCellMar>
            <w:top w:w="0" w:type="dxa"/>
            <w:left w:w="108" w:type="dxa"/>
            <w:bottom w:w="0" w:type="dxa"/>
            <w:right w:w="10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18</w:t>
            </w:r>
          </w:p>
        </w:tc>
        <w:tc>
          <w:tcPr>
            <w:tcW w:w="1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光纤交换机</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2</w:t>
            </w:r>
          </w:p>
        </w:tc>
        <w:tc>
          <w:tcPr>
            <w:tcW w:w="756"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台</w:t>
            </w:r>
          </w:p>
        </w:tc>
        <w:tc>
          <w:tcPr>
            <w:tcW w:w="1631"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紫光</w:t>
            </w:r>
          </w:p>
        </w:tc>
      </w:tr>
      <w:tr>
        <w:tblPrEx>
          <w:tblCellMar>
            <w:top w:w="0" w:type="dxa"/>
            <w:left w:w="108" w:type="dxa"/>
            <w:bottom w:w="0" w:type="dxa"/>
            <w:right w:w="10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19</w:t>
            </w:r>
          </w:p>
        </w:tc>
        <w:tc>
          <w:tcPr>
            <w:tcW w:w="1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密钥管理系统</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2</w:t>
            </w:r>
          </w:p>
        </w:tc>
        <w:tc>
          <w:tcPr>
            <w:tcW w:w="756"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台</w:t>
            </w:r>
          </w:p>
        </w:tc>
        <w:tc>
          <w:tcPr>
            <w:tcW w:w="1631"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highlight w:val="none"/>
              </w:rPr>
              <w:t>北京数字认证</w:t>
            </w:r>
          </w:p>
        </w:tc>
      </w:tr>
      <w:tr>
        <w:tblPrEx>
          <w:tblCellMar>
            <w:top w:w="0" w:type="dxa"/>
            <w:left w:w="108" w:type="dxa"/>
            <w:bottom w:w="0" w:type="dxa"/>
            <w:right w:w="10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20</w:t>
            </w:r>
          </w:p>
        </w:tc>
        <w:tc>
          <w:tcPr>
            <w:tcW w:w="1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网络节点</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4</w:t>
            </w:r>
          </w:p>
        </w:tc>
        <w:tc>
          <w:tcPr>
            <w:tcW w:w="756"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台</w:t>
            </w:r>
          </w:p>
        </w:tc>
        <w:tc>
          <w:tcPr>
            <w:tcW w:w="1631"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宝德</w:t>
            </w:r>
          </w:p>
        </w:tc>
      </w:tr>
      <w:tr>
        <w:tblPrEx>
          <w:tblCellMar>
            <w:top w:w="0" w:type="dxa"/>
            <w:left w:w="108" w:type="dxa"/>
            <w:bottom w:w="0" w:type="dxa"/>
            <w:right w:w="10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21</w:t>
            </w:r>
          </w:p>
        </w:tc>
        <w:tc>
          <w:tcPr>
            <w:tcW w:w="1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运维平台</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3</w:t>
            </w:r>
          </w:p>
        </w:tc>
        <w:tc>
          <w:tcPr>
            <w:tcW w:w="756"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台</w:t>
            </w:r>
          </w:p>
        </w:tc>
        <w:tc>
          <w:tcPr>
            <w:tcW w:w="1631"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宝德</w:t>
            </w:r>
          </w:p>
        </w:tc>
      </w:tr>
      <w:tr>
        <w:tblPrEx>
          <w:tblCellMar>
            <w:top w:w="0" w:type="dxa"/>
            <w:left w:w="108" w:type="dxa"/>
            <w:bottom w:w="0" w:type="dxa"/>
            <w:right w:w="10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22</w:t>
            </w:r>
          </w:p>
        </w:tc>
        <w:tc>
          <w:tcPr>
            <w:tcW w:w="1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防病毒控制中心</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2</w:t>
            </w:r>
          </w:p>
        </w:tc>
        <w:tc>
          <w:tcPr>
            <w:tcW w:w="756"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台</w:t>
            </w:r>
          </w:p>
        </w:tc>
        <w:tc>
          <w:tcPr>
            <w:tcW w:w="1631"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宝德</w:t>
            </w:r>
          </w:p>
        </w:tc>
      </w:tr>
      <w:tr>
        <w:tblPrEx>
          <w:tblCellMar>
            <w:top w:w="0" w:type="dxa"/>
            <w:left w:w="108" w:type="dxa"/>
            <w:bottom w:w="0" w:type="dxa"/>
            <w:right w:w="10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23</w:t>
            </w:r>
          </w:p>
        </w:tc>
        <w:tc>
          <w:tcPr>
            <w:tcW w:w="1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网络设备带外管理</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2</w:t>
            </w:r>
          </w:p>
        </w:tc>
        <w:tc>
          <w:tcPr>
            <w:tcW w:w="756"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台</w:t>
            </w:r>
          </w:p>
        </w:tc>
        <w:tc>
          <w:tcPr>
            <w:tcW w:w="1631"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迈普</w:t>
            </w:r>
          </w:p>
        </w:tc>
      </w:tr>
      <w:tr>
        <w:tblPrEx>
          <w:tblCellMar>
            <w:top w:w="0" w:type="dxa"/>
            <w:left w:w="108" w:type="dxa"/>
            <w:bottom w:w="0" w:type="dxa"/>
            <w:right w:w="10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24</w:t>
            </w:r>
          </w:p>
        </w:tc>
        <w:tc>
          <w:tcPr>
            <w:tcW w:w="1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协同签名服务器</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1</w:t>
            </w:r>
          </w:p>
        </w:tc>
        <w:tc>
          <w:tcPr>
            <w:tcW w:w="756"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台</w:t>
            </w:r>
          </w:p>
        </w:tc>
        <w:tc>
          <w:tcPr>
            <w:tcW w:w="1631"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北京数字认证</w:t>
            </w:r>
          </w:p>
        </w:tc>
      </w:tr>
      <w:tr>
        <w:tblPrEx>
          <w:tblCellMar>
            <w:top w:w="0" w:type="dxa"/>
            <w:left w:w="108" w:type="dxa"/>
            <w:bottom w:w="0" w:type="dxa"/>
            <w:right w:w="10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25</w:t>
            </w:r>
          </w:p>
        </w:tc>
        <w:tc>
          <w:tcPr>
            <w:tcW w:w="1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国密SSL VPN</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4</w:t>
            </w:r>
          </w:p>
        </w:tc>
        <w:tc>
          <w:tcPr>
            <w:tcW w:w="756"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台</w:t>
            </w:r>
          </w:p>
        </w:tc>
        <w:tc>
          <w:tcPr>
            <w:tcW w:w="1631"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北京数字认证</w:t>
            </w:r>
          </w:p>
        </w:tc>
      </w:tr>
      <w:tr>
        <w:tblPrEx>
          <w:tblCellMar>
            <w:top w:w="0" w:type="dxa"/>
            <w:left w:w="108" w:type="dxa"/>
            <w:bottom w:w="0" w:type="dxa"/>
            <w:right w:w="10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26</w:t>
            </w:r>
          </w:p>
        </w:tc>
        <w:tc>
          <w:tcPr>
            <w:tcW w:w="1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云服务器密码机</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4</w:t>
            </w:r>
          </w:p>
        </w:tc>
        <w:tc>
          <w:tcPr>
            <w:tcW w:w="756"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台</w:t>
            </w:r>
          </w:p>
        </w:tc>
        <w:tc>
          <w:tcPr>
            <w:tcW w:w="1631" w:type="pc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兴唐通信科技有限公司</w:t>
            </w:r>
          </w:p>
        </w:tc>
      </w:tr>
    </w:tbl>
    <w:p>
      <w:pPr>
        <w:pStyle w:val="4"/>
        <w:ind w:left="0" w:firstLine="0"/>
        <w:rPr>
          <w:rFonts w:hint="eastAsia" w:asciiTheme="minorEastAsia" w:hAnsiTheme="minorEastAsia" w:eastAsiaTheme="minorEastAsia" w:cstheme="minorEastAsia"/>
          <w:color w:val="auto"/>
          <w:highlight w:val="none"/>
          <w:lang w:val="en-US"/>
        </w:rPr>
      </w:pPr>
    </w:p>
    <w:p>
      <w:pPr>
        <w:spacing w:line="440" w:lineRule="exact"/>
        <w:jc w:val="left"/>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附件2</w:t>
      </w:r>
    </w:p>
    <w:p>
      <w:pPr>
        <w:spacing w:line="440" w:lineRule="exact"/>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桂林市信创云运维服务年度考核指标</w:t>
      </w:r>
    </w:p>
    <w:tbl>
      <w:tblPr>
        <w:tblStyle w:val="24"/>
        <w:tblW w:w="10346" w:type="dxa"/>
        <w:tblInd w:w="0" w:type="dxa"/>
        <w:tblLayout w:type="fixed"/>
        <w:tblCellMar>
          <w:top w:w="0" w:type="dxa"/>
          <w:left w:w="108" w:type="dxa"/>
          <w:bottom w:w="0" w:type="dxa"/>
          <w:right w:w="108" w:type="dxa"/>
        </w:tblCellMar>
      </w:tblPr>
      <w:tblGrid>
        <w:gridCol w:w="997"/>
        <w:gridCol w:w="1609"/>
        <w:gridCol w:w="3450"/>
        <w:gridCol w:w="3510"/>
        <w:gridCol w:w="780"/>
      </w:tblGrid>
      <w:tr>
        <w:tblPrEx>
          <w:tblCellMar>
            <w:top w:w="0" w:type="dxa"/>
            <w:left w:w="108" w:type="dxa"/>
            <w:bottom w:w="0" w:type="dxa"/>
            <w:right w:w="108" w:type="dxa"/>
          </w:tblCellMar>
        </w:tblPrEx>
        <w:trPr>
          <w:trHeight w:val="591" w:hRule="atLeast"/>
        </w:trPr>
        <w:tc>
          <w:tcPr>
            <w:tcW w:w="997" w:type="dxa"/>
            <w:tcBorders>
              <w:top w:val="single" w:color="000000" w:sz="8" w:space="0"/>
              <w:left w:val="single" w:color="000000" w:sz="8" w:space="0"/>
              <w:bottom w:val="single" w:color="000000" w:sz="8" w:space="0"/>
              <w:right w:val="single" w:color="000000" w:sz="8" w:space="0"/>
            </w:tcBorders>
            <w:noWrap/>
            <w:vAlign w:val="center"/>
          </w:tcPr>
          <w:p>
            <w:pPr>
              <w:widowControl/>
              <w:spacing w:line="440" w:lineRule="exact"/>
              <w:jc w:val="center"/>
              <w:textAlignment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kern w:val="0"/>
                <w:szCs w:val="21"/>
                <w:highlight w:val="none"/>
              </w:rPr>
              <w:t>一级指标</w:t>
            </w:r>
          </w:p>
        </w:tc>
        <w:tc>
          <w:tcPr>
            <w:tcW w:w="1609" w:type="dxa"/>
            <w:tcBorders>
              <w:top w:val="single" w:color="000000" w:sz="8" w:space="0"/>
              <w:left w:val="nil"/>
              <w:bottom w:val="single" w:color="000000" w:sz="8" w:space="0"/>
              <w:right w:val="single" w:color="000000" w:sz="8" w:space="0"/>
            </w:tcBorders>
            <w:noWrap/>
            <w:vAlign w:val="center"/>
          </w:tcPr>
          <w:p>
            <w:pPr>
              <w:widowControl/>
              <w:spacing w:line="440" w:lineRule="exact"/>
              <w:jc w:val="center"/>
              <w:textAlignment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kern w:val="0"/>
                <w:szCs w:val="21"/>
                <w:highlight w:val="none"/>
              </w:rPr>
              <w:t>二级指标</w:t>
            </w:r>
          </w:p>
        </w:tc>
        <w:tc>
          <w:tcPr>
            <w:tcW w:w="3450" w:type="dxa"/>
            <w:tcBorders>
              <w:top w:val="single" w:color="000000" w:sz="8" w:space="0"/>
              <w:left w:val="nil"/>
              <w:bottom w:val="single" w:color="000000" w:sz="8" w:space="0"/>
              <w:right w:val="single" w:color="000000" w:sz="8" w:space="0"/>
            </w:tcBorders>
            <w:noWrap/>
            <w:vAlign w:val="center"/>
          </w:tcPr>
          <w:p>
            <w:pPr>
              <w:widowControl/>
              <w:spacing w:line="440" w:lineRule="exact"/>
              <w:jc w:val="center"/>
              <w:textAlignment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kern w:val="0"/>
                <w:szCs w:val="21"/>
                <w:highlight w:val="none"/>
              </w:rPr>
              <w:t>考核内容</w:t>
            </w:r>
          </w:p>
        </w:tc>
        <w:tc>
          <w:tcPr>
            <w:tcW w:w="3510" w:type="dxa"/>
            <w:tcBorders>
              <w:top w:val="single" w:color="000000" w:sz="8" w:space="0"/>
              <w:left w:val="nil"/>
              <w:bottom w:val="single" w:color="000000" w:sz="8" w:space="0"/>
              <w:right w:val="single" w:color="000000" w:sz="8" w:space="0"/>
            </w:tcBorders>
            <w:noWrap/>
            <w:vAlign w:val="center"/>
          </w:tcPr>
          <w:p>
            <w:pPr>
              <w:widowControl/>
              <w:spacing w:line="440" w:lineRule="exact"/>
              <w:jc w:val="center"/>
              <w:textAlignment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kern w:val="0"/>
                <w:szCs w:val="21"/>
                <w:highlight w:val="none"/>
              </w:rPr>
              <w:t>评分细则</w:t>
            </w:r>
          </w:p>
        </w:tc>
        <w:tc>
          <w:tcPr>
            <w:tcW w:w="780" w:type="dxa"/>
            <w:tcBorders>
              <w:top w:val="single" w:color="000000" w:sz="8" w:space="0"/>
              <w:left w:val="nil"/>
              <w:bottom w:val="single" w:color="000000" w:sz="8" w:space="0"/>
              <w:right w:val="single" w:color="000000" w:sz="8" w:space="0"/>
            </w:tcBorders>
            <w:noWrap/>
            <w:vAlign w:val="center"/>
          </w:tcPr>
          <w:p>
            <w:pPr>
              <w:widowControl/>
              <w:spacing w:line="440" w:lineRule="exact"/>
              <w:jc w:val="center"/>
              <w:textAlignment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kern w:val="0"/>
                <w:szCs w:val="21"/>
                <w:highlight w:val="none"/>
              </w:rPr>
              <w:t>分值</w:t>
            </w:r>
          </w:p>
        </w:tc>
      </w:tr>
      <w:tr>
        <w:tblPrEx>
          <w:tblCellMar>
            <w:top w:w="0" w:type="dxa"/>
            <w:left w:w="108" w:type="dxa"/>
            <w:bottom w:w="0" w:type="dxa"/>
            <w:right w:w="108" w:type="dxa"/>
          </w:tblCellMar>
        </w:tblPrEx>
        <w:trPr>
          <w:trHeight w:val="879" w:hRule="atLeast"/>
        </w:trPr>
        <w:tc>
          <w:tcPr>
            <w:tcW w:w="997" w:type="dxa"/>
            <w:vMerge w:val="restart"/>
            <w:tcBorders>
              <w:top w:val="single" w:color="000000" w:sz="8" w:space="0"/>
              <w:left w:val="single" w:color="000000" w:sz="8" w:space="0"/>
              <w:bottom w:val="single" w:color="000000" w:sz="4" w:space="0"/>
              <w:right w:val="single" w:color="000000" w:sz="8"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云平台管理</w:t>
            </w:r>
          </w:p>
        </w:tc>
        <w:tc>
          <w:tcPr>
            <w:tcW w:w="1609" w:type="dxa"/>
            <w:tcBorders>
              <w:top w:val="nil"/>
              <w:left w:val="nil"/>
              <w:bottom w:val="single" w:color="000000" w:sz="8" w:space="0"/>
              <w:right w:val="single" w:color="000000" w:sz="8"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虚拟机服务可用性</w:t>
            </w:r>
          </w:p>
        </w:tc>
        <w:tc>
          <w:tcPr>
            <w:tcW w:w="3450" w:type="dxa"/>
            <w:tcBorders>
              <w:top w:val="nil"/>
              <w:left w:val="nil"/>
              <w:bottom w:val="single" w:color="000000" w:sz="8" w:space="0"/>
              <w:right w:val="single" w:color="000000" w:sz="8" w:space="0"/>
            </w:tcBorders>
            <w:noWrap/>
            <w:vAlign w:val="center"/>
          </w:tcPr>
          <w:p>
            <w:pPr>
              <w:widowControl/>
              <w:spacing w:line="440" w:lineRule="exact"/>
              <w:jc w:val="left"/>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考核云平台虚拟机的可用性，确保虚拟机不出现故障或不因故障而影响业务运行。</w:t>
            </w:r>
          </w:p>
        </w:tc>
        <w:tc>
          <w:tcPr>
            <w:tcW w:w="3510" w:type="dxa"/>
            <w:tcBorders>
              <w:top w:val="nil"/>
              <w:left w:val="nil"/>
              <w:bottom w:val="single" w:color="000000" w:sz="8" w:space="0"/>
              <w:right w:val="single" w:color="000000" w:sz="8" w:space="0"/>
            </w:tcBorders>
            <w:noWrap/>
            <w:vAlign w:val="center"/>
          </w:tcPr>
          <w:p>
            <w:pPr>
              <w:widowControl/>
              <w:spacing w:line="440" w:lineRule="exact"/>
              <w:jc w:val="left"/>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无虚拟机中断得满分，造成虚拟机业务中断2小时内，每次扣1分。每超过2小时，加扣1分（</w:t>
            </w:r>
            <w:r>
              <w:rPr>
                <w:rFonts w:hint="eastAsia" w:asciiTheme="minorEastAsia" w:hAnsiTheme="minorEastAsia" w:eastAsiaTheme="minorEastAsia" w:cstheme="minorEastAsia"/>
                <w:color w:val="auto"/>
                <w:szCs w:val="21"/>
                <w:highlight w:val="none"/>
              </w:rPr>
              <w:t>由于硬件损坏或软件损坏且无厂家质保导致故障时间超时例外；</w:t>
            </w:r>
            <w:r>
              <w:rPr>
                <w:rFonts w:hint="eastAsia" w:asciiTheme="minorEastAsia" w:hAnsiTheme="minorEastAsia" w:eastAsiaTheme="minorEastAsia" w:cstheme="minorEastAsia"/>
                <w:color w:val="auto"/>
                <w:kern w:val="0"/>
                <w:szCs w:val="21"/>
                <w:highlight w:val="none"/>
              </w:rPr>
              <w:t>硬件故障引起的虚拟机正常漂移不算中断时间，计划内的虚拟机关停不算中断时间）。</w:t>
            </w:r>
          </w:p>
        </w:tc>
        <w:tc>
          <w:tcPr>
            <w:tcW w:w="780" w:type="dxa"/>
            <w:tcBorders>
              <w:top w:val="nil"/>
              <w:left w:val="nil"/>
              <w:bottom w:val="single" w:color="000000" w:sz="8" w:space="0"/>
              <w:right w:val="single" w:color="000000" w:sz="8"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10</w:t>
            </w:r>
          </w:p>
        </w:tc>
      </w:tr>
      <w:tr>
        <w:tblPrEx>
          <w:tblCellMar>
            <w:top w:w="0" w:type="dxa"/>
            <w:left w:w="108" w:type="dxa"/>
            <w:bottom w:w="0" w:type="dxa"/>
            <w:right w:w="108" w:type="dxa"/>
          </w:tblCellMar>
        </w:tblPrEx>
        <w:trPr>
          <w:trHeight w:val="879" w:hRule="atLeast"/>
        </w:trPr>
        <w:tc>
          <w:tcPr>
            <w:tcW w:w="997" w:type="dxa"/>
            <w:vMerge w:val="continue"/>
            <w:tcBorders>
              <w:top w:val="single" w:color="000000" w:sz="8" w:space="0"/>
              <w:left w:val="single" w:color="000000" w:sz="8" w:space="0"/>
              <w:bottom w:val="single" w:color="000000" w:sz="4" w:space="0"/>
              <w:right w:val="single" w:color="000000" w:sz="8" w:space="0"/>
            </w:tcBorders>
            <w:noWrap/>
            <w:vAlign w:val="center"/>
          </w:tcPr>
          <w:p>
            <w:pPr>
              <w:spacing w:line="440" w:lineRule="exact"/>
              <w:jc w:val="center"/>
              <w:rPr>
                <w:rFonts w:hint="eastAsia" w:asciiTheme="minorEastAsia" w:hAnsiTheme="minorEastAsia" w:eastAsiaTheme="minorEastAsia" w:cstheme="minorEastAsia"/>
                <w:color w:val="auto"/>
                <w:szCs w:val="21"/>
                <w:highlight w:val="none"/>
              </w:rPr>
            </w:pPr>
          </w:p>
        </w:tc>
        <w:tc>
          <w:tcPr>
            <w:tcW w:w="1609" w:type="dxa"/>
            <w:tcBorders>
              <w:top w:val="nil"/>
              <w:left w:val="nil"/>
              <w:bottom w:val="single" w:color="000000" w:sz="8" w:space="0"/>
              <w:right w:val="single" w:color="000000" w:sz="8"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云平台与多云共治平台对接</w:t>
            </w:r>
          </w:p>
        </w:tc>
        <w:tc>
          <w:tcPr>
            <w:tcW w:w="3450" w:type="dxa"/>
            <w:tcBorders>
              <w:top w:val="nil"/>
              <w:left w:val="nil"/>
              <w:bottom w:val="single" w:color="000000" w:sz="8" w:space="0"/>
              <w:right w:val="single" w:color="000000" w:sz="8"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考核运维服务商对多云共治管理的配合程度，提供资源监控接口与多云共治平台对接，保障接口稳定。</w:t>
            </w:r>
          </w:p>
        </w:tc>
        <w:tc>
          <w:tcPr>
            <w:tcW w:w="3510" w:type="dxa"/>
            <w:tcBorders>
              <w:top w:val="nil"/>
              <w:left w:val="nil"/>
              <w:bottom w:val="single" w:color="000000" w:sz="8" w:space="0"/>
              <w:right w:val="single" w:color="000000" w:sz="8" w:space="0"/>
            </w:tcBorders>
            <w:noWrap/>
            <w:vAlign w:val="center"/>
          </w:tcPr>
          <w:p>
            <w:pPr>
              <w:widowControl/>
              <w:spacing w:line="440" w:lineRule="exact"/>
              <w:jc w:val="left"/>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多云平台通告接口异常后，</w:t>
            </w:r>
            <w:r>
              <w:rPr>
                <w:rFonts w:hint="eastAsia" w:asciiTheme="minorEastAsia" w:hAnsiTheme="minorEastAsia" w:eastAsiaTheme="minorEastAsia" w:cstheme="minorEastAsia"/>
                <w:color w:val="auto"/>
                <w:kern w:val="0"/>
                <w:szCs w:val="21"/>
                <w:highlight w:val="none"/>
              </w:rPr>
              <w:t>监控数据中断超过1天的，不得分（</w:t>
            </w:r>
            <w:r>
              <w:rPr>
                <w:rFonts w:hint="eastAsia" w:asciiTheme="minorEastAsia" w:hAnsiTheme="minorEastAsia" w:eastAsiaTheme="minorEastAsia" w:cstheme="minorEastAsia"/>
                <w:color w:val="auto"/>
                <w:szCs w:val="21"/>
                <w:highlight w:val="none"/>
              </w:rPr>
              <w:t>由于硬件损坏或软件损坏且无厂家质保导致故障时间超时例外</w:t>
            </w:r>
            <w:r>
              <w:rPr>
                <w:rFonts w:hint="eastAsia" w:asciiTheme="minorEastAsia" w:hAnsiTheme="minorEastAsia" w:eastAsiaTheme="minorEastAsia" w:cstheme="minorEastAsia"/>
                <w:color w:val="auto"/>
                <w:kern w:val="0"/>
                <w:szCs w:val="21"/>
                <w:highlight w:val="none"/>
              </w:rPr>
              <w:t>）。</w:t>
            </w:r>
          </w:p>
        </w:tc>
        <w:tc>
          <w:tcPr>
            <w:tcW w:w="780" w:type="dxa"/>
            <w:tcBorders>
              <w:top w:val="nil"/>
              <w:left w:val="nil"/>
              <w:bottom w:val="single" w:color="000000" w:sz="8" w:space="0"/>
              <w:right w:val="single" w:color="000000" w:sz="8"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10</w:t>
            </w:r>
          </w:p>
        </w:tc>
      </w:tr>
      <w:tr>
        <w:tblPrEx>
          <w:tblCellMar>
            <w:top w:w="0" w:type="dxa"/>
            <w:left w:w="108" w:type="dxa"/>
            <w:bottom w:w="0" w:type="dxa"/>
            <w:right w:w="108" w:type="dxa"/>
          </w:tblCellMar>
        </w:tblPrEx>
        <w:trPr>
          <w:trHeight w:val="591" w:hRule="atLeast"/>
        </w:trPr>
        <w:tc>
          <w:tcPr>
            <w:tcW w:w="997" w:type="dxa"/>
            <w:vMerge w:val="continue"/>
            <w:tcBorders>
              <w:top w:val="single" w:color="000000" w:sz="8" w:space="0"/>
              <w:left w:val="single" w:color="000000" w:sz="8" w:space="0"/>
              <w:bottom w:val="single" w:color="000000" w:sz="4" w:space="0"/>
              <w:right w:val="single" w:color="000000" w:sz="8" w:space="0"/>
            </w:tcBorders>
            <w:noWrap/>
            <w:vAlign w:val="center"/>
          </w:tcPr>
          <w:p>
            <w:pPr>
              <w:spacing w:line="440" w:lineRule="exact"/>
              <w:jc w:val="center"/>
              <w:rPr>
                <w:rFonts w:hint="eastAsia" w:asciiTheme="minorEastAsia" w:hAnsiTheme="minorEastAsia" w:eastAsiaTheme="minorEastAsia" w:cstheme="minorEastAsia"/>
                <w:color w:val="auto"/>
                <w:szCs w:val="21"/>
                <w:highlight w:val="none"/>
              </w:rPr>
            </w:pPr>
          </w:p>
        </w:tc>
        <w:tc>
          <w:tcPr>
            <w:tcW w:w="1609" w:type="dxa"/>
            <w:tcBorders>
              <w:top w:val="nil"/>
              <w:left w:val="nil"/>
              <w:bottom w:val="single" w:color="000000" w:sz="8" w:space="0"/>
              <w:right w:val="single" w:color="000000" w:sz="8"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云管理平台服务可用性</w:t>
            </w:r>
          </w:p>
        </w:tc>
        <w:tc>
          <w:tcPr>
            <w:tcW w:w="3450" w:type="dxa"/>
            <w:tcBorders>
              <w:top w:val="nil"/>
              <w:left w:val="nil"/>
              <w:bottom w:val="single" w:color="000000" w:sz="8" w:space="0"/>
              <w:right w:val="single" w:color="000000" w:sz="8" w:space="0"/>
            </w:tcBorders>
            <w:noWrap/>
            <w:vAlign w:val="center"/>
          </w:tcPr>
          <w:p>
            <w:pPr>
              <w:widowControl/>
              <w:spacing w:line="440" w:lineRule="exact"/>
              <w:jc w:val="left"/>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考核云管理平台运行可用性，保障对云资源的正常监控和操控。</w:t>
            </w:r>
          </w:p>
        </w:tc>
        <w:tc>
          <w:tcPr>
            <w:tcW w:w="3510" w:type="dxa"/>
            <w:tcBorders>
              <w:top w:val="nil"/>
              <w:left w:val="nil"/>
              <w:bottom w:val="single" w:color="000000" w:sz="8" w:space="0"/>
              <w:right w:val="single" w:color="000000" w:sz="8" w:space="0"/>
            </w:tcBorders>
            <w:noWrap/>
            <w:vAlign w:val="center"/>
          </w:tcPr>
          <w:p>
            <w:pPr>
              <w:widowControl/>
              <w:spacing w:line="440" w:lineRule="exact"/>
              <w:jc w:val="left"/>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云管理平台发生故障，导致云资源无法正常监控和操控的，每发生一次扣2分（</w:t>
            </w:r>
            <w:r>
              <w:rPr>
                <w:rFonts w:hint="eastAsia" w:asciiTheme="minorEastAsia" w:hAnsiTheme="minorEastAsia" w:eastAsiaTheme="minorEastAsia" w:cstheme="minorEastAsia"/>
                <w:color w:val="auto"/>
                <w:szCs w:val="21"/>
                <w:highlight w:val="none"/>
              </w:rPr>
              <w:t>由于硬件损坏或软件损坏且无厂家质保导致故障时间超时例外</w:t>
            </w:r>
            <w:r>
              <w:rPr>
                <w:rFonts w:hint="eastAsia" w:asciiTheme="minorEastAsia" w:hAnsiTheme="minorEastAsia" w:eastAsiaTheme="minorEastAsia" w:cstheme="minorEastAsia"/>
                <w:color w:val="auto"/>
                <w:kern w:val="0"/>
                <w:szCs w:val="21"/>
                <w:highlight w:val="none"/>
              </w:rPr>
              <w:t>）。</w:t>
            </w:r>
          </w:p>
        </w:tc>
        <w:tc>
          <w:tcPr>
            <w:tcW w:w="780" w:type="dxa"/>
            <w:tcBorders>
              <w:top w:val="nil"/>
              <w:left w:val="nil"/>
              <w:bottom w:val="single" w:color="000000" w:sz="8" w:space="0"/>
              <w:right w:val="single" w:color="000000" w:sz="8"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10</w:t>
            </w:r>
          </w:p>
        </w:tc>
      </w:tr>
      <w:tr>
        <w:tblPrEx>
          <w:tblCellMar>
            <w:top w:w="0" w:type="dxa"/>
            <w:left w:w="108" w:type="dxa"/>
            <w:bottom w:w="0" w:type="dxa"/>
            <w:right w:w="108" w:type="dxa"/>
          </w:tblCellMar>
        </w:tblPrEx>
        <w:trPr>
          <w:trHeight w:val="462" w:hRule="atLeast"/>
        </w:trPr>
        <w:tc>
          <w:tcPr>
            <w:tcW w:w="997" w:type="dxa"/>
            <w:vMerge w:val="continue"/>
            <w:tcBorders>
              <w:top w:val="single" w:color="000000" w:sz="8" w:space="0"/>
              <w:left w:val="single" w:color="000000" w:sz="8" w:space="0"/>
              <w:bottom w:val="single" w:color="000000" w:sz="4" w:space="0"/>
              <w:right w:val="single" w:color="000000" w:sz="8" w:space="0"/>
            </w:tcBorders>
            <w:noWrap/>
            <w:vAlign w:val="center"/>
          </w:tcPr>
          <w:p>
            <w:pPr>
              <w:spacing w:line="440" w:lineRule="exact"/>
              <w:jc w:val="center"/>
              <w:rPr>
                <w:rFonts w:hint="eastAsia" w:asciiTheme="minorEastAsia" w:hAnsiTheme="minorEastAsia" w:eastAsiaTheme="minorEastAsia" w:cstheme="minorEastAsia"/>
                <w:color w:val="auto"/>
                <w:szCs w:val="21"/>
                <w:highlight w:val="none"/>
              </w:rPr>
            </w:pPr>
          </w:p>
        </w:tc>
        <w:tc>
          <w:tcPr>
            <w:tcW w:w="1609" w:type="dxa"/>
            <w:tcBorders>
              <w:top w:val="nil"/>
              <w:left w:val="nil"/>
              <w:bottom w:val="single" w:color="000000" w:sz="8" w:space="0"/>
              <w:right w:val="single" w:color="000000" w:sz="8"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云资源监控</w:t>
            </w:r>
          </w:p>
        </w:tc>
        <w:tc>
          <w:tcPr>
            <w:tcW w:w="3450" w:type="dxa"/>
            <w:tcBorders>
              <w:top w:val="nil"/>
              <w:left w:val="nil"/>
              <w:bottom w:val="single" w:color="000000" w:sz="8" w:space="0"/>
              <w:right w:val="single" w:color="000000" w:sz="8" w:space="0"/>
            </w:tcBorders>
            <w:noWrap/>
            <w:vAlign w:val="center"/>
          </w:tcPr>
          <w:p>
            <w:pPr>
              <w:widowControl/>
              <w:spacing w:line="440" w:lineRule="exact"/>
              <w:jc w:val="left"/>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考核运维服务商对各租户云资源使用情况的监控。对vCPU平均使用率低于5%、内存平均使用率低于30%且内存峰值使用率低于50%的云资源与用户沟通进行缩容（采购人可按相关文件或云平台运行情况对判断标准进行调整）。</w:t>
            </w:r>
          </w:p>
        </w:tc>
        <w:tc>
          <w:tcPr>
            <w:tcW w:w="3510" w:type="dxa"/>
            <w:tcBorders>
              <w:top w:val="nil"/>
              <w:left w:val="nil"/>
              <w:bottom w:val="single" w:color="000000" w:sz="8" w:space="0"/>
              <w:right w:val="single" w:color="000000" w:sz="8" w:space="0"/>
            </w:tcBorders>
            <w:noWrap/>
            <w:vAlign w:val="center"/>
          </w:tcPr>
          <w:p>
            <w:pPr>
              <w:widowControl/>
              <w:spacing w:line="440" w:lineRule="exact"/>
              <w:jc w:val="left"/>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运维服务商输出资源监测记录，提出资源优化建议，提交考核组审核通过得满分，否则不得分。</w:t>
            </w:r>
          </w:p>
        </w:tc>
        <w:tc>
          <w:tcPr>
            <w:tcW w:w="780" w:type="dxa"/>
            <w:tcBorders>
              <w:top w:val="nil"/>
              <w:left w:val="nil"/>
              <w:bottom w:val="single" w:color="000000" w:sz="8" w:space="0"/>
              <w:right w:val="single" w:color="000000" w:sz="8"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10</w:t>
            </w:r>
          </w:p>
        </w:tc>
      </w:tr>
      <w:tr>
        <w:tblPrEx>
          <w:tblCellMar>
            <w:top w:w="0" w:type="dxa"/>
            <w:left w:w="108" w:type="dxa"/>
            <w:bottom w:w="0" w:type="dxa"/>
            <w:right w:w="108" w:type="dxa"/>
          </w:tblCellMar>
        </w:tblPrEx>
        <w:trPr>
          <w:trHeight w:val="879" w:hRule="atLeast"/>
        </w:trPr>
        <w:tc>
          <w:tcPr>
            <w:tcW w:w="997" w:type="dxa"/>
            <w:tcBorders>
              <w:top w:val="single" w:color="000000" w:sz="8" w:space="0"/>
              <w:left w:val="single" w:color="000000" w:sz="8" w:space="0"/>
              <w:bottom w:val="single" w:color="auto" w:sz="4" w:space="0"/>
              <w:right w:val="single" w:color="000000" w:sz="8"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人员管理</w:t>
            </w:r>
          </w:p>
        </w:tc>
        <w:tc>
          <w:tcPr>
            <w:tcW w:w="1609" w:type="dxa"/>
            <w:tcBorders>
              <w:top w:val="nil"/>
              <w:left w:val="nil"/>
              <w:bottom w:val="single" w:color="auto" w:sz="4" w:space="0"/>
              <w:right w:val="single" w:color="000000" w:sz="8"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人员出勤</w:t>
            </w:r>
          </w:p>
        </w:tc>
        <w:tc>
          <w:tcPr>
            <w:tcW w:w="3450" w:type="dxa"/>
            <w:tcBorders>
              <w:top w:val="nil"/>
              <w:left w:val="nil"/>
              <w:bottom w:val="single" w:color="auto" w:sz="4" w:space="0"/>
              <w:right w:val="single" w:color="000000" w:sz="8"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考核运维团队人员的出勤情况，应建立出勤人员名单，每日对出勤人员进行登记，确保人员出勤率100%。</w:t>
            </w:r>
          </w:p>
        </w:tc>
        <w:tc>
          <w:tcPr>
            <w:tcW w:w="3510" w:type="dxa"/>
            <w:tcBorders>
              <w:top w:val="nil"/>
              <w:left w:val="nil"/>
              <w:bottom w:val="single" w:color="auto" w:sz="4" w:space="0"/>
              <w:right w:val="single" w:color="000000" w:sz="8" w:space="0"/>
            </w:tcBorders>
            <w:noWrap/>
            <w:vAlign w:val="center"/>
          </w:tcPr>
          <w:p>
            <w:pPr>
              <w:widowControl/>
              <w:spacing w:line="440" w:lineRule="exact"/>
              <w:jc w:val="left"/>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全勤得满分，出现一次人员在未报备的情况下不在岗，扣1分，直至扣完。</w:t>
            </w:r>
          </w:p>
        </w:tc>
        <w:tc>
          <w:tcPr>
            <w:tcW w:w="780" w:type="dxa"/>
            <w:tcBorders>
              <w:top w:val="nil"/>
              <w:left w:val="nil"/>
              <w:bottom w:val="single" w:color="auto" w:sz="4" w:space="0"/>
              <w:right w:val="single" w:color="000000" w:sz="8"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5</w:t>
            </w:r>
          </w:p>
        </w:tc>
      </w:tr>
      <w:tr>
        <w:tblPrEx>
          <w:tblCellMar>
            <w:top w:w="0" w:type="dxa"/>
            <w:left w:w="108" w:type="dxa"/>
            <w:bottom w:w="0" w:type="dxa"/>
            <w:right w:w="108" w:type="dxa"/>
          </w:tblCellMar>
        </w:tblPrEx>
        <w:trPr>
          <w:trHeight w:val="879" w:hRule="atLeast"/>
        </w:trPr>
        <w:tc>
          <w:tcPr>
            <w:tcW w:w="997" w:type="dxa"/>
            <w:vMerge w:val="restart"/>
            <w:tcBorders>
              <w:top w:val="single" w:color="auto" w:sz="4" w:space="0"/>
              <w:left w:val="single" w:color="auto" w:sz="4" w:space="0"/>
              <w:bottom w:val="single" w:color="auto" w:sz="4" w:space="0"/>
              <w:right w:val="single" w:color="000000" w:sz="8"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运维质量</w:t>
            </w:r>
          </w:p>
        </w:tc>
        <w:tc>
          <w:tcPr>
            <w:tcW w:w="1609" w:type="dxa"/>
            <w:tcBorders>
              <w:top w:val="single" w:color="auto" w:sz="4" w:space="0"/>
              <w:left w:val="nil"/>
              <w:bottom w:val="single" w:color="auto" w:sz="4" w:space="0"/>
              <w:right w:val="single" w:color="000000" w:sz="8"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工单管理</w:t>
            </w:r>
          </w:p>
        </w:tc>
        <w:tc>
          <w:tcPr>
            <w:tcW w:w="3450" w:type="dxa"/>
            <w:tcBorders>
              <w:top w:val="single" w:color="auto" w:sz="4" w:space="0"/>
              <w:left w:val="nil"/>
              <w:bottom w:val="single" w:color="auto" w:sz="4" w:space="0"/>
              <w:right w:val="single" w:color="auto" w:sz="4" w:space="0"/>
            </w:tcBorders>
            <w:noWrap/>
            <w:vAlign w:val="center"/>
          </w:tcPr>
          <w:p>
            <w:pPr>
              <w:widowControl/>
              <w:spacing w:line="440" w:lineRule="exact"/>
              <w:jc w:val="left"/>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考核运维团队工单处理效率，业务开通类工单应在3个工作日内完成。</w:t>
            </w:r>
          </w:p>
        </w:tc>
        <w:tc>
          <w:tcPr>
            <w:tcW w:w="3510" w:type="dxa"/>
            <w:tcBorders>
              <w:top w:val="single" w:color="auto" w:sz="4" w:space="0"/>
              <w:left w:val="single" w:color="auto" w:sz="4" w:space="0"/>
              <w:bottom w:val="single" w:color="000000" w:sz="8" w:space="0"/>
              <w:right w:val="single" w:color="000000" w:sz="8" w:space="0"/>
            </w:tcBorders>
            <w:noWrap/>
            <w:vAlign w:val="center"/>
          </w:tcPr>
          <w:p>
            <w:pPr>
              <w:widowControl/>
              <w:spacing w:line="440" w:lineRule="exact"/>
              <w:jc w:val="left"/>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无特殊原因出现一次工单超时处理扣1分，直至扣完。</w:t>
            </w:r>
          </w:p>
        </w:tc>
        <w:tc>
          <w:tcPr>
            <w:tcW w:w="780" w:type="dxa"/>
            <w:tcBorders>
              <w:top w:val="single" w:color="auto" w:sz="4" w:space="0"/>
              <w:left w:val="nil"/>
              <w:bottom w:val="single" w:color="000000" w:sz="8" w:space="0"/>
              <w:right w:val="single" w:color="auto"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10</w:t>
            </w:r>
          </w:p>
        </w:tc>
      </w:tr>
      <w:tr>
        <w:tblPrEx>
          <w:tblCellMar>
            <w:top w:w="0" w:type="dxa"/>
            <w:left w:w="108" w:type="dxa"/>
            <w:bottom w:w="0" w:type="dxa"/>
            <w:right w:w="108" w:type="dxa"/>
          </w:tblCellMar>
        </w:tblPrEx>
        <w:trPr>
          <w:trHeight w:val="879" w:hRule="atLeast"/>
        </w:trPr>
        <w:tc>
          <w:tcPr>
            <w:tcW w:w="997" w:type="dxa"/>
            <w:vMerge w:val="continue"/>
            <w:tcBorders>
              <w:top w:val="single" w:color="auto" w:sz="4" w:space="0"/>
              <w:left w:val="single" w:color="auto" w:sz="4" w:space="0"/>
              <w:bottom w:val="single" w:color="auto" w:sz="4" w:space="0"/>
              <w:right w:val="single" w:color="000000" w:sz="8" w:space="0"/>
            </w:tcBorders>
            <w:noWrap/>
            <w:vAlign w:val="center"/>
          </w:tcPr>
          <w:p>
            <w:pPr>
              <w:spacing w:line="440" w:lineRule="exact"/>
              <w:jc w:val="center"/>
              <w:rPr>
                <w:rFonts w:hint="eastAsia" w:asciiTheme="minorEastAsia" w:hAnsiTheme="minorEastAsia" w:eastAsiaTheme="minorEastAsia" w:cstheme="minorEastAsia"/>
                <w:color w:val="auto"/>
                <w:szCs w:val="21"/>
                <w:highlight w:val="none"/>
              </w:rPr>
            </w:pPr>
          </w:p>
        </w:tc>
        <w:tc>
          <w:tcPr>
            <w:tcW w:w="1609" w:type="dxa"/>
            <w:tcBorders>
              <w:top w:val="single" w:color="auto" w:sz="4" w:space="0"/>
              <w:left w:val="nil"/>
              <w:bottom w:val="single" w:color="auto" w:sz="4" w:space="0"/>
              <w:right w:val="single" w:color="000000" w:sz="8"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故障修复</w:t>
            </w:r>
          </w:p>
        </w:tc>
        <w:tc>
          <w:tcPr>
            <w:tcW w:w="3450" w:type="dxa"/>
            <w:tcBorders>
              <w:top w:val="single" w:color="auto" w:sz="4" w:space="0"/>
              <w:left w:val="nil"/>
              <w:bottom w:val="single" w:color="auto" w:sz="4" w:space="0"/>
              <w:right w:val="single" w:color="000000" w:sz="8" w:space="0"/>
            </w:tcBorders>
            <w:noWrap/>
            <w:vAlign w:val="center"/>
          </w:tcPr>
          <w:p>
            <w:pPr>
              <w:widowControl/>
              <w:spacing w:line="440" w:lineRule="exact"/>
              <w:jc w:val="left"/>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考核运维服务商对故障修复效率进行考核，确保云平台业务高可靠运行。</w:t>
            </w:r>
          </w:p>
        </w:tc>
        <w:tc>
          <w:tcPr>
            <w:tcW w:w="3510" w:type="dxa"/>
            <w:tcBorders>
              <w:top w:val="nil"/>
              <w:left w:val="nil"/>
              <w:bottom w:val="single" w:color="auto" w:sz="4" w:space="0"/>
              <w:right w:val="single" w:color="000000" w:sz="8" w:space="0"/>
            </w:tcBorders>
            <w:noWrap/>
            <w:vAlign w:val="center"/>
          </w:tcPr>
          <w:p>
            <w:pPr>
              <w:widowControl/>
              <w:spacing w:line="440" w:lineRule="exact"/>
              <w:jc w:val="left"/>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考核期内均能够按照采购需求中规定的故障处理时限完成故障处理得满分，超时一次且未能提供解决方案的扣2分；直至扣完。</w:t>
            </w:r>
          </w:p>
        </w:tc>
        <w:tc>
          <w:tcPr>
            <w:tcW w:w="780" w:type="dxa"/>
            <w:tcBorders>
              <w:top w:val="nil"/>
              <w:left w:val="nil"/>
              <w:bottom w:val="single" w:color="auto" w:sz="4" w:space="0"/>
              <w:right w:val="single" w:color="auto"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10</w:t>
            </w:r>
          </w:p>
        </w:tc>
      </w:tr>
      <w:tr>
        <w:tblPrEx>
          <w:tblCellMar>
            <w:top w:w="0" w:type="dxa"/>
            <w:left w:w="108" w:type="dxa"/>
            <w:bottom w:w="0" w:type="dxa"/>
            <w:right w:w="108" w:type="dxa"/>
          </w:tblCellMar>
        </w:tblPrEx>
        <w:trPr>
          <w:trHeight w:val="1167" w:hRule="atLeast"/>
        </w:trPr>
        <w:tc>
          <w:tcPr>
            <w:tcW w:w="997" w:type="dxa"/>
            <w:vMerge w:val="continue"/>
            <w:tcBorders>
              <w:top w:val="single" w:color="auto" w:sz="4" w:space="0"/>
              <w:left w:val="single" w:color="auto" w:sz="4" w:space="0"/>
              <w:bottom w:val="single" w:color="000000" w:sz="8" w:space="0"/>
              <w:right w:val="single" w:color="000000" w:sz="8" w:space="0"/>
            </w:tcBorders>
            <w:noWrap/>
            <w:vAlign w:val="center"/>
          </w:tcPr>
          <w:p>
            <w:pPr>
              <w:spacing w:line="440" w:lineRule="exact"/>
              <w:jc w:val="center"/>
              <w:rPr>
                <w:rFonts w:hint="eastAsia" w:asciiTheme="minorEastAsia" w:hAnsiTheme="minorEastAsia" w:eastAsiaTheme="minorEastAsia" w:cstheme="minorEastAsia"/>
                <w:color w:val="auto"/>
                <w:szCs w:val="21"/>
                <w:highlight w:val="none"/>
              </w:rPr>
            </w:pPr>
          </w:p>
        </w:tc>
        <w:tc>
          <w:tcPr>
            <w:tcW w:w="1609" w:type="dxa"/>
            <w:tcBorders>
              <w:top w:val="single" w:color="auto" w:sz="4" w:space="0"/>
              <w:left w:val="nil"/>
              <w:bottom w:val="single" w:color="000000" w:sz="8" w:space="0"/>
              <w:right w:val="single" w:color="000000" w:sz="8"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数据报表和运维报告提报</w:t>
            </w:r>
          </w:p>
        </w:tc>
        <w:tc>
          <w:tcPr>
            <w:tcW w:w="3450" w:type="dxa"/>
            <w:tcBorders>
              <w:top w:val="single" w:color="auto" w:sz="4" w:space="0"/>
              <w:left w:val="nil"/>
              <w:bottom w:val="single" w:color="000000" w:sz="8" w:space="0"/>
              <w:right w:val="single" w:color="000000" w:sz="8" w:space="0"/>
            </w:tcBorders>
            <w:noWrap/>
            <w:vAlign w:val="center"/>
          </w:tcPr>
          <w:p>
            <w:pPr>
              <w:widowControl/>
              <w:spacing w:line="440" w:lineRule="exact"/>
              <w:jc w:val="left"/>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考核运维服务商定期向业主单位形成相关资源状态、安全态势的报告，对云平台运行情况、服务情况和安全态势提供监测和预警服务。报告包括主管单位要求的月报、年报以及临时需求报告等。</w:t>
            </w:r>
          </w:p>
        </w:tc>
        <w:tc>
          <w:tcPr>
            <w:tcW w:w="3510" w:type="dxa"/>
            <w:tcBorders>
              <w:top w:val="single" w:color="auto" w:sz="4" w:space="0"/>
              <w:left w:val="nil"/>
              <w:bottom w:val="single" w:color="000000" w:sz="8" w:space="0"/>
              <w:right w:val="single" w:color="000000" w:sz="8" w:space="0"/>
            </w:tcBorders>
            <w:noWrap/>
            <w:vAlign w:val="center"/>
          </w:tcPr>
          <w:p>
            <w:pPr>
              <w:widowControl/>
              <w:spacing w:line="440" w:lineRule="exact"/>
              <w:jc w:val="left"/>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故障报告24小时内提交，月报次月10日前提交，云资源和业务统计报表按需求实时提交。存在故障报告、安全报告、月报、云资源统计报表、业务统计报表、云平台风险评估报告等未及时提交的，每次扣1分。</w:t>
            </w:r>
          </w:p>
        </w:tc>
        <w:tc>
          <w:tcPr>
            <w:tcW w:w="780" w:type="dxa"/>
            <w:tcBorders>
              <w:top w:val="single" w:color="auto" w:sz="4" w:space="0"/>
              <w:left w:val="nil"/>
              <w:bottom w:val="single" w:color="000000" w:sz="8" w:space="0"/>
              <w:right w:val="single" w:color="000000" w:sz="8"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10</w:t>
            </w:r>
          </w:p>
        </w:tc>
      </w:tr>
      <w:tr>
        <w:tblPrEx>
          <w:tblCellMar>
            <w:top w:w="0" w:type="dxa"/>
            <w:left w:w="108" w:type="dxa"/>
            <w:bottom w:w="0" w:type="dxa"/>
            <w:right w:w="108" w:type="dxa"/>
          </w:tblCellMar>
        </w:tblPrEx>
        <w:trPr>
          <w:trHeight w:val="1167" w:hRule="atLeast"/>
        </w:trPr>
        <w:tc>
          <w:tcPr>
            <w:tcW w:w="997" w:type="dxa"/>
            <w:vMerge w:val="restart"/>
            <w:tcBorders>
              <w:top w:val="single" w:color="000000" w:sz="8" w:space="0"/>
              <w:left w:val="single" w:color="000000" w:sz="8" w:space="0"/>
              <w:right w:val="single" w:color="000000" w:sz="8" w:space="0"/>
            </w:tcBorders>
            <w:noWrap/>
            <w:vAlign w:val="center"/>
          </w:tcPr>
          <w:p>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安全管理</w:t>
            </w:r>
          </w:p>
        </w:tc>
        <w:tc>
          <w:tcPr>
            <w:tcW w:w="1609" w:type="dxa"/>
            <w:tcBorders>
              <w:top w:val="nil"/>
              <w:left w:val="nil"/>
              <w:bottom w:val="single" w:color="000000" w:sz="8" w:space="0"/>
              <w:right w:val="single" w:color="000000" w:sz="8"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安全设备管理</w:t>
            </w:r>
          </w:p>
        </w:tc>
        <w:tc>
          <w:tcPr>
            <w:tcW w:w="3450" w:type="dxa"/>
            <w:tcBorders>
              <w:top w:val="nil"/>
              <w:left w:val="nil"/>
              <w:bottom w:val="single" w:color="000000" w:sz="8" w:space="0"/>
              <w:right w:val="single" w:color="000000" w:sz="8" w:space="0"/>
            </w:tcBorders>
            <w:noWrap/>
            <w:vAlign w:val="center"/>
          </w:tcPr>
          <w:p>
            <w:pPr>
              <w:widowControl/>
              <w:spacing w:line="440" w:lineRule="exact"/>
              <w:jc w:val="left"/>
              <w:textAlignment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考核运维服务商对生产环境中安全设备配置定期检查、更新，定期开展安全扫描，确保安全系统防护生效。</w:t>
            </w:r>
          </w:p>
        </w:tc>
        <w:tc>
          <w:tcPr>
            <w:tcW w:w="3510" w:type="dxa"/>
            <w:tcBorders>
              <w:top w:val="nil"/>
              <w:left w:val="nil"/>
              <w:bottom w:val="single" w:color="000000" w:sz="8" w:space="0"/>
              <w:right w:val="single" w:color="000000" w:sz="8" w:space="0"/>
            </w:tcBorders>
            <w:noWrap/>
            <w:vAlign w:val="center"/>
          </w:tcPr>
          <w:p>
            <w:pPr>
              <w:widowControl/>
              <w:spacing w:line="440" w:lineRule="exact"/>
              <w:jc w:val="left"/>
              <w:textAlignment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未定期检查安全设备配置运行情况、未执行每月安全扫描，配置或更改相关系统策略前未提交调整方案的，或未经主管单位审核通过就实施调整方案的，不得分；未按业主要求执行安全策略实施的，每次扣2分。</w:t>
            </w:r>
          </w:p>
        </w:tc>
        <w:tc>
          <w:tcPr>
            <w:tcW w:w="780" w:type="dxa"/>
            <w:tcBorders>
              <w:top w:val="nil"/>
              <w:left w:val="nil"/>
              <w:bottom w:val="single" w:color="000000" w:sz="8" w:space="0"/>
              <w:right w:val="single" w:color="000000" w:sz="8"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w:t>
            </w:r>
          </w:p>
        </w:tc>
      </w:tr>
      <w:tr>
        <w:tblPrEx>
          <w:tblCellMar>
            <w:top w:w="0" w:type="dxa"/>
            <w:left w:w="108" w:type="dxa"/>
            <w:bottom w:w="0" w:type="dxa"/>
            <w:right w:w="108" w:type="dxa"/>
          </w:tblCellMar>
        </w:tblPrEx>
        <w:trPr>
          <w:trHeight w:val="1167" w:hRule="atLeast"/>
        </w:trPr>
        <w:tc>
          <w:tcPr>
            <w:tcW w:w="997" w:type="dxa"/>
            <w:vMerge w:val="continue"/>
            <w:tcBorders>
              <w:left w:val="single" w:color="000000" w:sz="8" w:space="0"/>
              <w:bottom w:val="single" w:color="000000" w:sz="8" w:space="0"/>
              <w:right w:val="single" w:color="000000" w:sz="8" w:space="0"/>
            </w:tcBorders>
            <w:noWrap/>
            <w:vAlign w:val="center"/>
          </w:tcPr>
          <w:p>
            <w:pPr>
              <w:spacing w:line="440" w:lineRule="exact"/>
              <w:jc w:val="center"/>
              <w:rPr>
                <w:rFonts w:hint="eastAsia" w:asciiTheme="minorEastAsia" w:hAnsiTheme="minorEastAsia" w:eastAsiaTheme="minorEastAsia" w:cstheme="minorEastAsia"/>
                <w:color w:val="auto"/>
                <w:szCs w:val="21"/>
                <w:highlight w:val="none"/>
              </w:rPr>
            </w:pPr>
          </w:p>
        </w:tc>
        <w:tc>
          <w:tcPr>
            <w:tcW w:w="1609" w:type="dxa"/>
            <w:tcBorders>
              <w:top w:val="nil"/>
              <w:left w:val="nil"/>
              <w:bottom w:val="single" w:color="000000" w:sz="8" w:space="0"/>
              <w:right w:val="single" w:color="000000" w:sz="8"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安全事件处置</w:t>
            </w:r>
          </w:p>
        </w:tc>
        <w:tc>
          <w:tcPr>
            <w:tcW w:w="3450" w:type="dxa"/>
            <w:tcBorders>
              <w:top w:val="nil"/>
              <w:left w:val="nil"/>
              <w:bottom w:val="single" w:color="000000" w:sz="8" w:space="0"/>
              <w:right w:val="single" w:color="000000" w:sz="8" w:space="0"/>
            </w:tcBorders>
            <w:noWrap/>
            <w:vAlign w:val="center"/>
          </w:tcPr>
          <w:p>
            <w:pPr>
              <w:widowControl/>
              <w:spacing w:line="440" w:lineRule="exact"/>
              <w:jc w:val="left"/>
              <w:textAlignment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考核运维服务商及时监测或对租户、业主通报发现的安全事件进行处置。</w:t>
            </w:r>
          </w:p>
        </w:tc>
        <w:tc>
          <w:tcPr>
            <w:tcW w:w="3510" w:type="dxa"/>
            <w:tcBorders>
              <w:top w:val="nil"/>
              <w:left w:val="nil"/>
              <w:bottom w:val="single" w:color="000000" w:sz="8" w:space="0"/>
              <w:right w:val="single" w:color="000000" w:sz="8" w:space="0"/>
            </w:tcBorders>
            <w:noWrap/>
            <w:vAlign w:val="center"/>
          </w:tcPr>
          <w:p>
            <w:pPr>
              <w:widowControl/>
              <w:spacing w:line="440" w:lineRule="exact"/>
              <w:jc w:val="left"/>
              <w:textAlignment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未出现安全事件或安全事件处理得当的，得满分；发生安全事件未能及时处理的，每次扣5。</w:t>
            </w:r>
          </w:p>
        </w:tc>
        <w:tc>
          <w:tcPr>
            <w:tcW w:w="780" w:type="dxa"/>
            <w:tcBorders>
              <w:top w:val="nil"/>
              <w:left w:val="nil"/>
              <w:bottom w:val="single" w:color="000000" w:sz="8" w:space="0"/>
              <w:right w:val="single" w:color="000000" w:sz="8"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w:t>
            </w:r>
          </w:p>
        </w:tc>
      </w:tr>
      <w:tr>
        <w:tblPrEx>
          <w:tblCellMar>
            <w:top w:w="0" w:type="dxa"/>
            <w:left w:w="108" w:type="dxa"/>
            <w:bottom w:w="0" w:type="dxa"/>
            <w:right w:w="108" w:type="dxa"/>
          </w:tblCellMar>
        </w:tblPrEx>
        <w:trPr>
          <w:trHeight w:val="1167" w:hRule="atLeast"/>
        </w:trPr>
        <w:tc>
          <w:tcPr>
            <w:tcW w:w="997" w:type="dxa"/>
            <w:vMerge w:val="restart"/>
            <w:tcBorders>
              <w:left w:val="single" w:color="auto" w:sz="4" w:space="0"/>
              <w:right w:val="single" w:color="000000" w:sz="8" w:space="0"/>
            </w:tcBorders>
            <w:noWrap/>
            <w:vAlign w:val="center"/>
          </w:tcPr>
          <w:p>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其他服务</w:t>
            </w:r>
          </w:p>
        </w:tc>
        <w:tc>
          <w:tcPr>
            <w:tcW w:w="1609" w:type="dxa"/>
            <w:tcBorders>
              <w:top w:val="nil"/>
              <w:left w:val="nil"/>
              <w:bottom w:val="single" w:color="000000" w:sz="8" w:space="0"/>
              <w:right w:val="single" w:color="000000" w:sz="8"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密码应用安全性评估</w:t>
            </w:r>
          </w:p>
        </w:tc>
        <w:tc>
          <w:tcPr>
            <w:tcW w:w="3450" w:type="dxa"/>
            <w:tcBorders>
              <w:top w:val="nil"/>
              <w:left w:val="nil"/>
              <w:bottom w:val="single" w:color="000000" w:sz="8" w:space="0"/>
              <w:right w:val="single" w:color="000000" w:sz="8" w:space="0"/>
            </w:tcBorders>
            <w:noWrap/>
            <w:vAlign w:val="center"/>
          </w:tcPr>
          <w:p>
            <w:pPr>
              <w:widowControl/>
              <w:spacing w:line="440" w:lineRule="exact"/>
              <w:jc w:val="left"/>
              <w:textAlignment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考核云平台是否按时完成密码应用安全性评估工作，确保测评通过，并提供测评报告。</w:t>
            </w:r>
          </w:p>
        </w:tc>
        <w:tc>
          <w:tcPr>
            <w:tcW w:w="3510" w:type="dxa"/>
            <w:tcBorders>
              <w:top w:val="nil"/>
              <w:left w:val="nil"/>
              <w:bottom w:val="single" w:color="000000" w:sz="8" w:space="0"/>
              <w:right w:val="single" w:color="000000" w:sz="8" w:space="0"/>
            </w:tcBorders>
            <w:noWrap/>
            <w:vAlign w:val="center"/>
          </w:tcPr>
          <w:p>
            <w:pPr>
              <w:widowControl/>
              <w:spacing w:line="440" w:lineRule="exact"/>
              <w:jc w:val="left"/>
              <w:textAlignment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因未组织开展相关工作导致未通过年度密码应用安全性评估，不得分。同时扣减</w:t>
            </w:r>
            <w:r>
              <w:rPr>
                <w:rFonts w:hint="eastAsia" w:asciiTheme="minorEastAsia" w:hAnsiTheme="minorEastAsia" w:eastAsiaTheme="minorEastAsia" w:cstheme="minorEastAsia"/>
                <w:b/>
                <w:bCs/>
                <w:color w:val="auto"/>
                <w:szCs w:val="21"/>
                <w:highlight w:val="none"/>
              </w:rPr>
              <w:t>“信创云运维”</w:t>
            </w:r>
            <w:r>
              <w:rPr>
                <w:rFonts w:hint="eastAsia" w:asciiTheme="minorEastAsia" w:hAnsiTheme="minorEastAsia" w:eastAsiaTheme="minorEastAsia" w:cstheme="minorEastAsia"/>
                <w:color w:val="auto"/>
                <w:szCs w:val="21"/>
                <w:highlight w:val="none"/>
              </w:rPr>
              <w:t>分项</w:t>
            </w:r>
            <w:r>
              <w:rPr>
                <w:rFonts w:hint="eastAsia" w:asciiTheme="minorEastAsia" w:hAnsiTheme="minorEastAsia" w:eastAsiaTheme="minorEastAsia" w:cstheme="minorEastAsia"/>
                <w:color w:val="auto"/>
                <w:kern w:val="0"/>
                <w:szCs w:val="21"/>
                <w:highlight w:val="none"/>
              </w:rPr>
              <w:t>合同金额的10%。</w:t>
            </w:r>
          </w:p>
        </w:tc>
        <w:tc>
          <w:tcPr>
            <w:tcW w:w="780" w:type="dxa"/>
            <w:tcBorders>
              <w:top w:val="nil"/>
              <w:left w:val="nil"/>
              <w:bottom w:val="single" w:color="000000" w:sz="8" w:space="0"/>
              <w:right w:val="single" w:color="000000" w:sz="8"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w:t>
            </w:r>
          </w:p>
        </w:tc>
      </w:tr>
      <w:tr>
        <w:tblPrEx>
          <w:tblCellMar>
            <w:top w:w="0" w:type="dxa"/>
            <w:left w:w="108" w:type="dxa"/>
            <w:bottom w:w="0" w:type="dxa"/>
            <w:right w:w="108" w:type="dxa"/>
          </w:tblCellMar>
        </w:tblPrEx>
        <w:trPr>
          <w:trHeight w:val="1167" w:hRule="atLeast"/>
        </w:trPr>
        <w:tc>
          <w:tcPr>
            <w:tcW w:w="997" w:type="dxa"/>
            <w:vMerge w:val="continue"/>
            <w:tcBorders>
              <w:left w:val="single" w:color="auto" w:sz="4" w:space="0"/>
              <w:bottom w:val="single" w:color="auto" w:sz="4" w:space="0"/>
              <w:right w:val="single" w:color="000000" w:sz="8" w:space="0"/>
            </w:tcBorders>
            <w:noWrap/>
            <w:vAlign w:val="center"/>
          </w:tcPr>
          <w:p>
            <w:pPr>
              <w:spacing w:line="440" w:lineRule="exact"/>
              <w:jc w:val="center"/>
              <w:rPr>
                <w:rFonts w:hint="eastAsia" w:asciiTheme="minorEastAsia" w:hAnsiTheme="minorEastAsia" w:eastAsiaTheme="minorEastAsia" w:cstheme="minorEastAsia"/>
                <w:color w:val="auto"/>
                <w:szCs w:val="21"/>
                <w:highlight w:val="none"/>
              </w:rPr>
            </w:pPr>
          </w:p>
        </w:tc>
        <w:tc>
          <w:tcPr>
            <w:tcW w:w="1609" w:type="dxa"/>
            <w:tcBorders>
              <w:top w:val="nil"/>
              <w:left w:val="nil"/>
              <w:bottom w:val="single" w:color="auto" w:sz="4" w:space="0"/>
              <w:right w:val="single" w:color="000000" w:sz="8"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等级保护三级测评</w:t>
            </w:r>
          </w:p>
        </w:tc>
        <w:tc>
          <w:tcPr>
            <w:tcW w:w="3450" w:type="dxa"/>
            <w:tcBorders>
              <w:top w:val="nil"/>
              <w:left w:val="nil"/>
              <w:bottom w:val="single" w:color="000000" w:sz="8" w:space="0"/>
              <w:right w:val="single" w:color="000000" w:sz="8" w:space="0"/>
            </w:tcBorders>
            <w:noWrap/>
            <w:vAlign w:val="center"/>
          </w:tcPr>
          <w:p>
            <w:pPr>
              <w:widowControl/>
              <w:spacing w:line="440" w:lineRule="exact"/>
              <w:jc w:val="left"/>
              <w:textAlignment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考核云平台是否按时完成等级保护三级测评工作，确保测评通过，并提供等保测评报告。</w:t>
            </w:r>
          </w:p>
        </w:tc>
        <w:tc>
          <w:tcPr>
            <w:tcW w:w="3510" w:type="dxa"/>
            <w:tcBorders>
              <w:top w:val="nil"/>
              <w:left w:val="nil"/>
              <w:bottom w:val="single" w:color="000000" w:sz="8" w:space="0"/>
              <w:right w:val="single" w:color="000000" w:sz="8" w:space="0"/>
            </w:tcBorders>
            <w:noWrap/>
            <w:vAlign w:val="center"/>
          </w:tcPr>
          <w:p>
            <w:pPr>
              <w:widowControl/>
              <w:spacing w:line="440" w:lineRule="exact"/>
              <w:jc w:val="left"/>
              <w:textAlignment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因未组织开展相关工作导致未通过年度等级保护测评，不得分。同时扣减</w:t>
            </w:r>
            <w:r>
              <w:rPr>
                <w:rFonts w:hint="eastAsia" w:asciiTheme="minorEastAsia" w:hAnsiTheme="minorEastAsia" w:eastAsiaTheme="minorEastAsia" w:cstheme="minorEastAsia"/>
                <w:b/>
                <w:bCs/>
                <w:color w:val="auto"/>
                <w:szCs w:val="21"/>
                <w:highlight w:val="none"/>
              </w:rPr>
              <w:t>“信创云运维”</w:t>
            </w:r>
            <w:r>
              <w:rPr>
                <w:rFonts w:hint="eastAsia" w:asciiTheme="minorEastAsia" w:hAnsiTheme="minorEastAsia" w:eastAsiaTheme="minorEastAsia" w:cstheme="minorEastAsia"/>
                <w:color w:val="auto"/>
                <w:szCs w:val="21"/>
                <w:highlight w:val="none"/>
              </w:rPr>
              <w:t>分项</w:t>
            </w:r>
            <w:r>
              <w:rPr>
                <w:rFonts w:hint="eastAsia" w:asciiTheme="minorEastAsia" w:hAnsiTheme="minorEastAsia" w:eastAsiaTheme="minorEastAsia" w:cstheme="minorEastAsia"/>
                <w:color w:val="auto"/>
                <w:kern w:val="0"/>
                <w:szCs w:val="21"/>
                <w:highlight w:val="none"/>
              </w:rPr>
              <w:t>合同金额的10%。</w:t>
            </w:r>
          </w:p>
        </w:tc>
        <w:tc>
          <w:tcPr>
            <w:tcW w:w="780" w:type="dxa"/>
            <w:tcBorders>
              <w:top w:val="nil"/>
              <w:left w:val="nil"/>
              <w:bottom w:val="single" w:color="000000" w:sz="8" w:space="0"/>
              <w:right w:val="single" w:color="000000" w:sz="8"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w:t>
            </w:r>
          </w:p>
        </w:tc>
      </w:tr>
      <w:tr>
        <w:tblPrEx>
          <w:tblCellMar>
            <w:top w:w="0" w:type="dxa"/>
            <w:left w:w="108" w:type="dxa"/>
            <w:bottom w:w="0" w:type="dxa"/>
            <w:right w:w="108" w:type="dxa"/>
          </w:tblCellMar>
        </w:tblPrEx>
        <w:trPr>
          <w:trHeight w:val="1167" w:hRule="atLeast"/>
        </w:trPr>
        <w:tc>
          <w:tcPr>
            <w:tcW w:w="997" w:type="dxa"/>
            <w:vMerge w:val="continue"/>
            <w:tcBorders>
              <w:top w:val="single" w:color="auto" w:sz="4" w:space="0"/>
              <w:left w:val="single" w:color="auto" w:sz="4" w:space="0"/>
              <w:bottom w:val="single" w:color="000000" w:sz="8" w:space="0"/>
              <w:right w:val="single" w:color="000000" w:sz="8" w:space="0"/>
            </w:tcBorders>
            <w:noWrap/>
            <w:vAlign w:val="center"/>
          </w:tcPr>
          <w:p>
            <w:pPr>
              <w:spacing w:line="440" w:lineRule="exact"/>
              <w:jc w:val="center"/>
              <w:rPr>
                <w:rFonts w:hint="eastAsia" w:asciiTheme="minorEastAsia" w:hAnsiTheme="minorEastAsia" w:eastAsiaTheme="minorEastAsia" w:cstheme="minorEastAsia"/>
                <w:color w:val="auto"/>
                <w:szCs w:val="21"/>
                <w:highlight w:val="none"/>
              </w:rPr>
            </w:pPr>
          </w:p>
        </w:tc>
        <w:tc>
          <w:tcPr>
            <w:tcW w:w="1609" w:type="dxa"/>
            <w:tcBorders>
              <w:top w:val="single" w:color="auto" w:sz="4" w:space="0"/>
              <w:left w:val="nil"/>
              <w:bottom w:val="single" w:color="000000" w:sz="8" w:space="0"/>
              <w:right w:val="single" w:color="auto"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highlight w:val="none"/>
              </w:rPr>
              <w:t>防火墙防病毒库升级</w:t>
            </w:r>
          </w:p>
        </w:tc>
        <w:tc>
          <w:tcPr>
            <w:tcW w:w="3450" w:type="dxa"/>
            <w:tcBorders>
              <w:top w:val="nil"/>
              <w:left w:val="single" w:color="auto" w:sz="4" w:space="0"/>
              <w:bottom w:val="single" w:color="000000" w:sz="8" w:space="0"/>
              <w:right w:val="single" w:color="000000" w:sz="8" w:space="0"/>
            </w:tcBorders>
            <w:noWrap/>
            <w:vAlign w:val="center"/>
          </w:tcPr>
          <w:p>
            <w:pPr>
              <w:widowControl/>
              <w:spacing w:line="440" w:lineRule="exact"/>
              <w:jc w:val="left"/>
              <w:textAlignment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对防火墙防病毒库提供升级服务，提供4套（互联网域2套，政务外网域2套）一年授权，授权期内实现防病毒库自动检测自动更新为最新版本。</w:t>
            </w:r>
          </w:p>
        </w:tc>
        <w:tc>
          <w:tcPr>
            <w:tcW w:w="3510" w:type="dxa"/>
            <w:tcBorders>
              <w:top w:val="nil"/>
              <w:left w:val="nil"/>
              <w:bottom w:val="single" w:color="000000" w:sz="8" w:space="0"/>
              <w:right w:val="single" w:color="000000" w:sz="8" w:space="0"/>
            </w:tcBorders>
            <w:noWrap/>
            <w:vAlign w:val="center"/>
          </w:tcPr>
          <w:p>
            <w:pPr>
              <w:widowControl/>
              <w:spacing w:line="440" w:lineRule="exact"/>
              <w:jc w:val="left"/>
              <w:textAlignment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highlight w:val="none"/>
              </w:rPr>
              <w:t>未提供防火墙防病毒库升级授权，不能实现自动升级的不得分。</w:t>
            </w:r>
            <w:r>
              <w:rPr>
                <w:rFonts w:hint="eastAsia" w:asciiTheme="minorEastAsia" w:hAnsiTheme="minorEastAsia" w:eastAsiaTheme="minorEastAsia" w:cstheme="minorEastAsia"/>
                <w:color w:val="auto"/>
                <w:kern w:val="0"/>
                <w:szCs w:val="21"/>
                <w:highlight w:val="none"/>
              </w:rPr>
              <w:t>同时扣减</w:t>
            </w:r>
            <w:r>
              <w:rPr>
                <w:rFonts w:hint="eastAsia" w:asciiTheme="minorEastAsia" w:hAnsiTheme="minorEastAsia" w:eastAsiaTheme="minorEastAsia" w:cstheme="minorEastAsia"/>
                <w:b/>
                <w:bCs/>
                <w:color w:val="auto"/>
                <w:szCs w:val="21"/>
                <w:highlight w:val="none"/>
              </w:rPr>
              <w:t>“信创云运维”</w:t>
            </w:r>
            <w:r>
              <w:rPr>
                <w:rFonts w:hint="eastAsia" w:asciiTheme="minorEastAsia" w:hAnsiTheme="minorEastAsia" w:eastAsiaTheme="minorEastAsia" w:cstheme="minorEastAsia"/>
                <w:color w:val="auto"/>
                <w:szCs w:val="21"/>
                <w:highlight w:val="none"/>
              </w:rPr>
              <w:t>分项</w:t>
            </w:r>
            <w:r>
              <w:rPr>
                <w:rFonts w:hint="eastAsia" w:asciiTheme="minorEastAsia" w:hAnsiTheme="minorEastAsia" w:eastAsiaTheme="minorEastAsia" w:cstheme="minorEastAsia"/>
                <w:color w:val="auto"/>
                <w:kern w:val="0"/>
                <w:szCs w:val="21"/>
                <w:highlight w:val="none"/>
              </w:rPr>
              <w:t>合同金额的15%。</w:t>
            </w:r>
          </w:p>
        </w:tc>
        <w:tc>
          <w:tcPr>
            <w:tcW w:w="780" w:type="dxa"/>
            <w:tcBorders>
              <w:top w:val="nil"/>
              <w:left w:val="nil"/>
              <w:bottom w:val="single" w:color="000000" w:sz="8" w:space="0"/>
              <w:right w:val="single" w:color="000000" w:sz="8"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w:t>
            </w:r>
          </w:p>
        </w:tc>
      </w:tr>
      <w:tr>
        <w:tblPrEx>
          <w:tblCellMar>
            <w:top w:w="0" w:type="dxa"/>
            <w:left w:w="108" w:type="dxa"/>
            <w:bottom w:w="0" w:type="dxa"/>
            <w:right w:w="108" w:type="dxa"/>
          </w:tblCellMar>
        </w:tblPrEx>
        <w:trPr>
          <w:trHeight w:val="591" w:hRule="atLeast"/>
        </w:trPr>
        <w:tc>
          <w:tcPr>
            <w:tcW w:w="997" w:type="dxa"/>
            <w:vMerge w:val="restart"/>
            <w:tcBorders>
              <w:top w:val="single" w:color="000000" w:sz="8" w:space="0"/>
              <w:left w:val="single" w:color="auto" w:sz="4" w:space="0"/>
              <w:bottom w:val="single" w:color="auto" w:sz="4" w:space="0"/>
              <w:right w:val="single" w:color="000000" w:sz="8"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加分指标</w:t>
            </w:r>
          </w:p>
        </w:tc>
        <w:tc>
          <w:tcPr>
            <w:tcW w:w="1609" w:type="dxa"/>
            <w:tcBorders>
              <w:top w:val="single" w:color="000000" w:sz="8" w:space="0"/>
              <w:left w:val="nil"/>
              <w:bottom w:val="single" w:color="auto" w:sz="4" w:space="0"/>
              <w:right w:val="single" w:color="auto" w:sz="4"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业务重保</w:t>
            </w:r>
          </w:p>
        </w:tc>
        <w:tc>
          <w:tcPr>
            <w:tcW w:w="3450" w:type="dxa"/>
            <w:tcBorders>
              <w:top w:val="single" w:color="000000" w:sz="8" w:space="0"/>
              <w:left w:val="single" w:color="auto" w:sz="4" w:space="0"/>
              <w:bottom w:val="single" w:color="000000" w:sz="8" w:space="0"/>
              <w:right w:val="single" w:color="000000" w:sz="8" w:space="0"/>
            </w:tcBorders>
            <w:noWrap/>
            <w:vAlign w:val="center"/>
          </w:tcPr>
          <w:p>
            <w:pPr>
              <w:widowControl/>
              <w:spacing w:line="440" w:lineRule="exact"/>
              <w:jc w:val="left"/>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承担临时性业务重保工作。</w:t>
            </w:r>
          </w:p>
        </w:tc>
        <w:tc>
          <w:tcPr>
            <w:tcW w:w="3510" w:type="dxa"/>
            <w:tcBorders>
              <w:top w:val="single" w:color="000000" w:sz="8" w:space="0"/>
              <w:left w:val="nil"/>
              <w:bottom w:val="single" w:color="000000" w:sz="8" w:space="0"/>
              <w:right w:val="single" w:color="000000" w:sz="8" w:space="0"/>
            </w:tcBorders>
            <w:noWrap/>
            <w:vAlign w:val="center"/>
          </w:tcPr>
          <w:p>
            <w:pPr>
              <w:widowControl/>
              <w:spacing w:line="440" w:lineRule="exact"/>
              <w:jc w:val="left"/>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承担由市信息中心交办的临时性业务重保工作，重保期间未发生任何故障的，每次加1分，最高加5分。</w:t>
            </w:r>
          </w:p>
        </w:tc>
        <w:tc>
          <w:tcPr>
            <w:tcW w:w="780" w:type="dxa"/>
            <w:tcBorders>
              <w:top w:val="single" w:color="000000" w:sz="8" w:space="0"/>
              <w:left w:val="nil"/>
              <w:bottom w:val="single" w:color="000000" w:sz="8" w:space="0"/>
              <w:right w:val="single" w:color="000000" w:sz="8"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5</w:t>
            </w:r>
          </w:p>
        </w:tc>
      </w:tr>
      <w:tr>
        <w:tblPrEx>
          <w:tblCellMar>
            <w:top w:w="0" w:type="dxa"/>
            <w:left w:w="108" w:type="dxa"/>
            <w:bottom w:w="0" w:type="dxa"/>
            <w:right w:w="108" w:type="dxa"/>
          </w:tblCellMar>
        </w:tblPrEx>
        <w:trPr>
          <w:trHeight w:val="879" w:hRule="atLeast"/>
        </w:trPr>
        <w:tc>
          <w:tcPr>
            <w:tcW w:w="997" w:type="dxa"/>
            <w:vMerge w:val="continue"/>
            <w:tcBorders>
              <w:top w:val="single" w:color="auto" w:sz="4" w:space="0"/>
              <w:left w:val="single" w:color="auto" w:sz="4" w:space="0"/>
              <w:bottom w:val="single" w:color="000000" w:sz="8" w:space="0"/>
              <w:right w:val="single" w:color="000000" w:sz="8"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Cs w:val="21"/>
                <w:highlight w:val="none"/>
              </w:rPr>
            </w:pPr>
          </w:p>
        </w:tc>
        <w:tc>
          <w:tcPr>
            <w:tcW w:w="1609" w:type="dxa"/>
            <w:tcBorders>
              <w:top w:val="single" w:color="auto" w:sz="4" w:space="0"/>
              <w:left w:val="nil"/>
              <w:bottom w:val="single" w:color="000000" w:sz="8" w:space="0"/>
              <w:right w:val="single" w:color="000000" w:sz="8"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运维团队人员数量及资质</w:t>
            </w:r>
          </w:p>
        </w:tc>
        <w:tc>
          <w:tcPr>
            <w:tcW w:w="3450" w:type="dxa"/>
            <w:tcBorders>
              <w:top w:val="nil"/>
              <w:left w:val="nil"/>
              <w:bottom w:val="single" w:color="000000" w:sz="8" w:space="0"/>
              <w:right w:val="single" w:color="000000" w:sz="8" w:space="0"/>
            </w:tcBorders>
            <w:noWrap/>
            <w:vAlign w:val="center"/>
          </w:tcPr>
          <w:p>
            <w:pPr>
              <w:widowControl/>
              <w:spacing w:line="440" w:lineRule="exact"/>
              <w:jc w:val="left"/>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运维团队人员数量、资质正偏离合同可加分。</w:t>
            </w:r>
          </w:p>
        </w:tc>
        <w:tc>
          <w:tcPr>
            <w:tcW w:w="3510" w:type="dxa"/>
            <w:tcBorders>
              <w:top w:val="nil"/>
              <w:left w:val="nil"/>
              <w:bottom w:val="single" w:color="000000" w:sz="8" w:space="0"/>
              <w:right w:val="single" w:color="000000" w:sz="8" w:space="0"/>
            </w:tcBorders>
            <w:noWrap/>
            <w:vAlign w:val="center"/>
          </w:tcPr>
          <w:p>
            <w:pPr>
              <w:widowControl/>
              <w:spacing w:line="440" w:lineRule="exact"/>
              <w:jc w:val="left"/>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运维团队现场值守人员超过2人的，每增加1人加0.5分，最高加2分，高级资质人数正偏离合同要求的，每增加1人加1分，最高加3分。</w:t>
            </w:r>
          </w:p>
        </w:tc>
        <w:tc>
          <w:tcPr>
            <w:tcW w:w="780" w:type="dxa"/>
            <w:tcBorders>
              <w:top w:val="nil"/>
              <w:left w:val="nil"/>
              <w:bottom w:val="single" w:color="000000" w:sz="8" w:space="0"/>
              <w:right w:val="single" w:color="000000" w:sz="8" w:space="0"/>
            </w:tcBorders>
            <w:noWrap/>
            <w:vAlign w:val="center"/>
          </w:tcPr>
          <w:p>
            <w:pPr>
              <w:widowControl/>
              <w:spacing w:line="440" w:lineRule="exact"/>
              <w:jc w:val="center"/>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5</w:t>
            </w:r>
          </w:p>
        </w:tc>
      </w:tr>
    </w:tbl>
    <w:p>
      <w:pPr>
        <w:spacing w:line="440" w:lineRule="exact"/>
        <w:rPr>
          <w:rFonts w:hint="eastAsia" w:asciiTheme="minorEastAsia" w:hAnsiTheme="minorEastAsia" w:eastAsiaTheme="minorEastAsia" w:cstheme="minorEastAsia"/>
          <w:color w:val="auto"/>
          <w:highlight w:val="none"/>
        </w:rPr>
      </w:pPr>
    </w:p>
    <w:p>
      <w:pPr>
        <w:pStyle w:val="8"/>
        <w:spacing w:line="440" w:lineRule="exact"/>
        <w:ind w:firstLine="0"/>
        <w:rPr>
          <w:rFonts w:hint="eastAsia" w:asciiTheme="minorEastAsia" w:hAnsiTheme="minorEastAsia" w:eastAsiaTheme="minorEastAsia" w:cstheme="minorEastAsia"/>
          <w:color w:val="auto"/>
          <w:highlight w:val="none"/>
        </w:rPr>
      </w:pPr>
    </w:p>
    <w:p>
      <w:pPr>
        <w:pStyle w:val="23"/>
        <w:ind w:firstLine="422"/>
        <w:rPr>
          <w:rFonts w:hint="eastAsia" w:asciiTheme="minorEastAsia" w:hAnsiTheme="minorEastAsia" w:eastAsiaTheme="minorEastAsia" w:cstheme="minorEastAsia"/>
          <w:b/>
          <w:bCs/>
          <w:color w:val="auto"/>
          <w:szCs w:val="21"/>
          <w:highlight w:val="none"/>
        </w:rPr>
      </w:pPr>
    </w:p>
    <w:p>
      <w:pPr>
        <w:rPr>
          <w:rFonts w:hint="eastAsia" w:asciiTheme="minorEastAsia" w:hAnsiTheme="minorEastAsia" w:eastAsiaTheme="minorEastAsia" w:cstheme="minorEastAsia"/>
          <w:b/>
          <w:bCs/>
          <w:color w:val="auto"/>
          <w:szCs w:val="21"/>
          <w:highlight w:val="none"/>
        </w:rPr>
      </w:pPr>
    </w:p>
    <w:p>
      <w:pPr>
        <w:pStyle w:val="23"/>
        <w:ind w:firstLine="422"/>
        <w:rPr>
          <w:rFonts w:hint="eastAsia" w:asciiTheme="minorEastAsia" w:hAnsiTheme="minorEastAsia" w:eastAsiaTheme="minorEastAsia" w:cstheme="minorEastAsia"/>
          <w:b/>
          <w:bCs/>
          <w:color w:val="auto"/>
          <w:szCs w:val="21"/>
          <w:highlight w:val="none"/>
        </w:rPr>
      </w:pPr>
    </w:p>
    <w:p>
      <w:pPr>
        <w:rPr>
          <w:rFonts w:hint="eastAsia" w:asciiTheme="minorEastAsia" w:hAnsiTheme="minorEastAsia" w:eastAsiaTheme="minorEastAsia" w:cstheme="minorEastAsia"/>
          <w:b/>
          <w:bCs/>
          <w:color w:val="auto"/>
          <w:szCs w:val="21"/>
          <w:highlight w:val="none"/>
        </w:rPr>
      </w:pPr>
    </w:p>
    <w:p>
      <w:pPr>
        <w:pStyle w:val="23"/>
        <w:ind w:firstLine="422"/>
        <w:rPr>
          <w:rFonts w:hint="eastAsia" w:asciiTheme="minorEastAsia" w:hAnsiTheme="minorEastAsia" w:eastAsiaTheme="minorEastAsia" w:cstheme="minorEastAsia"/>
          <w:b/>
          <w:bCs/>
          <w:color w:val="auto"/>
          <w:szCs w:val="21"/>
          <w:highlight w:val="none"/>
        </w:rPr>
      </w:pPr>
    </w:p>
    <w:p>
      <w:pPr>
        <w:rPr>
          <w:rFonts w:hint="eastAsia" w:asciiTheme="minorEastAsia" w:hAnsiTheme="minorEastAsia" w:eastAsiaTheme="minorEastAsia" w:cstheme="minorEastAsia"/>
          <w:b/>
          <w:bCs/>
          <w:color w:val="auto"/>
          <w:szCs w:val="21"/>
          <w:highlight w:val="none"/>
        </w:rPr>
      </w:pPr>
    </w:p>
    <w:p>
      <w:pPr>
        <w:pStyle w:val="23"/>
        <w:ind w:firstLine="422"/>
        <w:rPr>
          <w:rFonts w:hint="eastAsia" w:asciiTheme="minorEastAsia" w:hAnsiTheme="minorEastAsia" w:eastAsiaTheme="minorEastAsia" w:cstheme="minorEastAsia"/>
          <w:b/>
          <w:bCs/>
          <w:color w:val="auto"/>
          <w:szCs w:val="21"/>
          <w:highlight w:val="none"/>
        </w:rPr>
      </w:pPr>
    </w:p>
    <w:p>
      <w:pPr>
        <w:rPr>
          <w:rFonts w:hint="eastAsia" w:asciiTheme="minorEastAsia" w:hAnsiTheme="minorEastAsia" w:eastAsiaTheme="minorEastAsia" w:cstheme="minorEastAsia"/>
          <w:b/>
          <w:bCs/>
          <w:color w:val="auto"/>
          <w:szCs w:val="21"/>
          <w:highlight w:val="none"/>
        </w:rPr>
      </w:pPr>
    </w:p>
    <w:p>
      <w:pPr>
        <w:pStyle w:val="23"/>
        <w:ind w:firstLine="422"/>
        <w:rPr>
          <w:rFonts w:hint="eastAsia" w:asciiTheme="minorEastAsia" w:hAnsiTheme="minorEastAsia" w:eastAsiaTheme="minorEastAsia" w:cstheme="minorEastAsia"/>
          <w:b/>
          <w:bCs/>
          <w:color w:val="auto"/>
          <w:szCs w:val="21"/>
          <w:highlight w:val="none"/>
        </w:rPr>
      </w:pPr>
    </w:p>
    <w:p>
      <w:pPr>
        <w:rPr>
          <w:rFonts w:hint="eastAsia" w:asciiTheme="minorEastAsia" w:hAnsiTheme="minorEastAsia" w:eastAsiaTheme="minorEastAsia" w:cstheme="minorEastAsia"/>
          <w:b/>
          <w:bCs/>
          <w:color w:val="auto"/>
          <w:szCs w:val="21"/>
          <w:highlight w:val="none"/>
        </w:rPr>
      </w:pPr>
    </w:p>
    <w:p>
      <w:pPr>
        <w:pStyle w:val="23"/>
        <w:ind w:firstLine="422"/>
        <w:rPr>
          <w:rFonts w:hint="eastAsia" w:asciiTheme="minorEastAsia" w:hAnsiTheme="minorEastAsia" w:eastAsiaTheme="minorEastAsia" w:cstheme="minorEastAsia"/>
          <w:b/>
          <w:bCs/>
          <w:color w:val="auto"/>
          <w:szCs w:val="21"/>
          <w:highlight w:val="none"/>
        </w:rPr>
      </w:pPr>
    </w:p>
    <w:p>
      <w:pPr>
        <w:rPr>
          <w:rFonts w:hint="eastAsia" w:asciiTheme="minorEastAsia" w:hAnsiTheme="minorEastAsia" w:eastAsiaTheme="minorEastAsia" w:cstheme="minorEastAsia"/>
          <w:b/>
          <w:bCs/>
          <w:color w:val="auto"/>
          <w:szCs w:val="21"/>
          <w:highlight w:val="none"/>
        </w:rPr>
      </w:pPr>
    </w:p>
    <w:p>
      <w:pPr>
        <w:pStyle w:val="23"/>
        <w:ind w:firstLine="422"/>
        <w:rPr>
          <w:rFonts w:hint="eastAsia" w:asciiTheme="minorEastAsia" w:hAnsiTheme="minorEastAsia" w:eastAsiaTheme="minorEastAsia" w:cstheme="minorEastAsia"/>
          <w:b/>
          <w:bCs/>
          <w:color w:val="auto"/>
          <w:szCs w:val="21"/>
          <w:highlight w:val="none"/>
        </w:rPr>
      </w:pPr>
    </w:p>
    <w:p>
      <w:pPr>
        <w:rPr>
          <w:rFonts w:hint="eastAsia" w:asciiTheme="minorEastAsia" w:hAnsiTheme="minorEastAsia" w:eastAsiaTheme="minorEastAsia" w:cstheme="minorEastAsia"/>
          <w:b/>
          <w:bCs/>
          <w:color w:val="auto"/>
          <w:szCs w:val="21"/>
          <w:highlight w:val="none"/>
        </w:rPr>
      </w:pPr>
    </w:p>
    <w:p>
      <w:pPr>
        <w:pStyle w:val="23"/>
        <w:ind w:firstLine="422"/>
        <w:rPr>
          <w:rFonts w:hint="eastAsia" w:asciiTheme="minorEastAsia" w:hAnsiTheme="minorEastAsia" w:eastAsiaTheme="minorEastAsia" w:cstheme="minorEastAsia"/>
          <w:b/>
          <w:bCs/>
          <w:color w:val="auto"/>
          <w:szCs w:val="21"/>
          <w:highlight w:val="none"/>
        </w:rPr>
      </w:pPr>
    </w:p>
    <w:p>
      <w:pPr>
        <w:rPr>
          <w:rFonts w:hint="eastAsia" w:asciiTheme="minorEastAsia" w:hAnsiTheme="minorEastAsia" w:eastAsiaTheme="minorEastAsia" w:cstheme="minorEastAsia"/>
          <w:b/>
          <w:bCs/>
          <w:color w:val="auto"/>
          <w:szCs w:val="21"/>
          <w:highlight w:val="none"/>
        </w:rPr>
      </w:pPr>
    </w:p>
    <w:p>
      <w:pPr>
        <w:pStyle w:val="23"/>
        <w:ind w:firstLine="422"/>
        <w:rPr>
          <w:rFonts w:hint="eastAsia" w:asciiTheme="minorEastAsia" w:hAnsiTheme="minorEastAsia" w:eastAsiaTheme="minorEastAsia" w:cstheme="minorEastAsia"/>
          <w:b/>
          <w:bCs/>
          <w:color w:val="auto"/>
          <w:szCs w:val="21"/>
          <w:highlight w:val="none"/>
        </w:rPr>
      </w:pPr>
    </w:p>
    <w:p>
      <w:pPr>
        <w:rPr>
          <w:rFonts w:hint="eastAsia" w:asciiTheme="minorEastAsia" w:hAnsiTheme="minorEastAsia" w:eastAsiaTheme="minorEastAsia" w:cstheme="minorEastAsia"/>
          <w:b/>
          <w:bCs/>
          <w:color w:val="auto"/>
          <w:szCs w:val="21"/>
          <w:highlight w:val="none"/>
        </w:rPr>
      </w:pPr>
    </w:p>
    <w:p>
      <w:pPr>
        <w:pStyle w:val="23"/>
        <w:ind w:firstLine="422"/>
        <w:rPr>
          <w:rFonts w:hint="eastAsia" w:asciiTheme="minorEastAsia" w:hAnsiTheme="minorEastAsia" w:eastAsiaTheme="minorEastAsia" w:cstheme="minorEastAsia"/>
          <w:b/>
          <w:bCs/>
          <w:color w:val="auto"/>
          <w:szCs w:val="21"/>
          <w:highlight w:val="none"/>
        </w:rPr>
      </w:pPr>
    </w:p>
    <w:p>
      <w:pPr>
        <w:rPr>
          <w:rFonts w:hint="eastAsia" w:asciiTheme="minorEastAsia" w:hAnsiTheme="minorEastAsia" w:eastAsiaTheme="minorEastAsia" w:cstheme="minorEastAsia"/>
          <w:b/>
          <w:bCs/>
          <w:color w:val="auto"/>
          <w:szCs w:val="21"/>
          <w:highlight w:val="none"/>
        </w:rPr>
      </w:pPr>
    </w:p>
    <w:p>
      <w:pPr>
        <w:pStyle w:val="3"/>
        <w:tabs>
          <w:tab w:val="left" w:pos="0"/>
        </w:tabs>
        <w:autoSpaceDE w:val="0"/>
        <w:autoSpaceDN w:val="0"/>
        <w:adjustRightInd w:val="0"/>
        <w:spacing w:before="0" w:after="0" w:line="360" w:lineRule="auto"/>
        <w:jc w:val="center"/>
        <w:rPr>
          <w:rFonts w:hint="eastAsia" w:asciiTheme="minorEastAsia" w:hAnsiTheme="minorEastAsia" w:eastAsiaTheme="minorEastAsia" w:cstheme="minorEastAsia"/>
          <w:color w:val="auto"/>
          <w:sz w:val="32"/>
          <w:szCs w:val="32"/>
          <w:highlight w:val="none"/>
        </w:rPr>
      </w:pPr>
      <w:bookmarkStart w:id="466" w:name="_Toc32554"/>
      <w:bookmarkStart w:id="467" w:name="_Toc30961"/>
      <w:bookmarkStart w:id="468" w:name="_Toc6034"/>
      <w:bookmarkStart w:id="469" w:name="_Toc9887"/>
      <w:r>
        <w:rPr>
          <w:rFonts w:hint="eastAsia" w:asciiTheme="minorEastAsia" w:hAnsiTheme="minorEastAsia" w:eastAsiaTheme="minorEastAsia" w:cstheme="minorEastAsia"/>
          <w:color w:val="auto"/>
          <w:sz w:val="32"/>
          <w:szCs w:val="32"/>
          <w:highlight w:val="none"/>
        </w:rPr>
        <w:t>第四章</w:t>
      </w:r>
      <w:r>
        <w:rPr>
          <w:rFonts w:hint="eastAsia" w:asciiTheme="minorEastAsia" w:hAnsiTheme="minorEastAsia" w:eastAsiaTheme="minorEastAsia" w:cstheme="minorEastAsia"/>
          <w:color w:val="auto"/>
          <w:sz w:val="32"/>
          <w:szCs w:val="32"/>
          <w:highlight w:val="none"/>
          <w:lang w:val="en-US" w:eastAsia="zh-CN"/>
        </w:rPr>
        <w:t xml:space="preserve">  </w:t>
      </w:r>
      <w:r>
        <w:rPr>
          <w:rFonts w:hint="eastAsia" w:asciiTheme="minorEastAsia" w:hAnsiTheme="minorEastAsia" w:eastAsiaTheme="minorEastAsia" w:cstheme="minorEastAsia"/>
          <w:color w:val="auto"/>
          <w:sz w:val="32"/>
          <w:szCs w:val="32"/>
          <w:highlight w:val="none"/>
        </w:rPr>
        <w:t>评审办法</w:t>
      </w:r>
      <w:bookmarkEnd w:id="443"/>
      <w:bookmarkEnd w:id="444"/>
      <w:bookmarkEnd w:id="445"/>
      <w:bookmarkEnd w:id="446"/>
      <w:bookmarkEnd w:id="447"/>
      <w:bookmarkEnd w:id="466"/>
      <w:bookmarkEnd w:id="467"/>
      <w:bookmarkEnd w:id="468"/>
      <w:bookmarkEnd w:id="469"/>
    </w:p>
    <w:p>
      <w:pPr>
        <w:spacing w:line="360" w:lineRule="auto"/>
        <w:ind w:firstLine="420"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一、评审依据</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评审依据：磋商小组以磋商文件和响应文件为评审依据，对供应商的响应文件进行评审。</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评审方式：以封闭方式进行评审。</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3.采购人和采购代理机构、竞争性磋商小组成员要严格遵守政府采购相关法律制度，依法履行各自职责，公正、客观、审慎地组织和参与评审工作。</w:t>
      </w:r>
    </w:p>
    <w:p>
      <w:pPr>
        <w:spacing w:line="360" w:lineRule="auto"/>
        <w:ind w:firstLine="420"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二、评审办法</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（一）对进入详评的，采用</w:t>
      </w:r>
      <w:r>
        <w:rPr>
          <w:rFonts w:hint="eastAsia" w:asciiTheme="minorEastAsia" w:hAnsiTheme="minorEastAsia" w:eastAsiaTheme="minorEastAsia" w:cstheme="minorEastAsia"/>
          <w:b/>
          <w:bCs/>
          <w:color w:val="auto"/>
          <w:szCs w:val="21"/>
          <w:highlight w:val="none"/>
        </w:rPr>
        <w:t>综合评分法</w:t>
      </w:r>
      <w:r>
        <w:rPr>
          <w:rFonts w:hint="eastAsia" w:asciiTheme="minorEastAsia" w:hAnsiTheme="minorEastAsia" w:eastAsiaTheme="minorEastAsia" w:cstheme="minorEastAsia"/>
          <w:color w:val="auto"/>
          <w:szCs w:val="21"/>
          <w:highlight w:val="none"/>
        </w:rPr>
        <w:t>。</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（二）计分办法（</w:t>
      </w:r>
      <w:r>
        <w:rPr>
          <w:rFonts w:hint="eastAsia" w:asciiTheme="minorEastAsia" w:hAnsiTheme="minorEastAsia" w:eastAsiaTheme="minorEastAsia" w:cstheme="minorEastAsia"/>
          <w:bCs/>
          <w:color w:val="auto"/>
          <w:szCs w:val="21"/>
          <w:highlight w:val="none"/>
        </w:rPr>
        <w:t>按四舍五入取至百分位</w:t>
      </w:r>
      <w:r>
        <w:rPr>
          <w:rFonts w:hint="eastAsia" w:asciiTheme="minorEastAsia" w:hAnsiTheme="minorEastAsia" w:eastAsiaTheme="minorEastAsia" w:cstheme="minorEastAsia"/>
          <w:color w:val="auto"/>
          <w:szCs w:val="21"/>
          <w:highlight w:val="none"/>
        </w:rPr>
        <w:t>）</w:t>
      </w:r>
    </w:p>
    <w:p>
      <w:pPr>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Cs w:val="21"/>
          <w:highlight w:val="none"/>
        </w:rPr>
        <w:t>1、价格分……………………………………………………………………………………………………………18分</w:t>
      </w:r>
    </w:p>
    <w:p>
      <w:pPr>
        <w:spacing w:line="360" w:lineRule="auto"/>
        <w:ind w:firstLine="420" w:firstLineChars="200"/>
        <w:rPr>
          <w:rFonts w:hint="eastAsia" w:asciiTheme="minorEastAsia" w:hAnsiTheme="minorEastAsia" w:eastAsiaTheme="minorEastAsia" w:cstheme="minorEastAsia"/>
          <w:bCs/>
          <w:color w:val="auto"/>
          <w:szCs w:val="21"/>
          <w:highlight w:val="none"/>
        </w:rPr>
      </w:pPr>
      <w:bookmarkStart w:id="470" w:name="OLE_LINK19"/>
      <w:bookmarkStart w:id="471" w:name="_Toc14379"/>
      <w:r>
        <w:rPr>
          <w:rFonts w:hint="eastAsia" w:asciiTheme="minorEastAsia" w:hAnsiTheme="minorEastAsia" w:eastAsiaTheme="minorEastAsia" w:cstheme="minorEastAsia"/>
          <w:bCs/>
          <w:color w:val="auto"/>
          <w:szCs w:val="21"/>
          <w:highlight w:val="none"/>
        </w:rPr>
        <w:t>（1）根据《广西壮族自治区财政厅关于持续优化政府采购营商环境推动高质量发展的通知》（桂财采〔2024〕55号），凡符合《政府采购促进中小企业发展管理办法》（财库〔2020〕46号）规定条件且按该办法中规定的格式提供了填写完整的《中小企业声明函》的小型和微型企业，对其最后报价给予20%的扣除，扣除后的价格为评审报价，即供应商的评审报价=最后报价 ×（1-20%）。</w:t>
      </w:r>
    </w:p>
    <w:p>
      <w:pPr>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 xml:space="preserve">（2）根据《关于政府采购支持监狱企业发展有关问题的通知》（财库〔2014〕68 号）和《关于促进残疾 </w:t>
      </w:r>
    </w:p>
    <w:p>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 xml:space="preserve">人就业政府采购政策的通知》（财库〔2017〕141 号），监狱企业和符合条件的残疾人福利性单位视同小型、 微型企业，享受小型、微型企业评审中价格扣除的政府采购政策。残疾人福利性单位属于小型、微型企业的， 不重复享受政策。 </w:t>
      </w:r>
    </w:p>
    <w:p>
      <w:pPr>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
          <w:color w:val="auto"/>
          <w:szCs w:val="21"/>
          <w:highlight w:val="none"/>
        </w:rPr>
        <w:t>注：①除上述情况外，评审报价=最后报价。</w:t>
      </w:r>
    </w:p>
    <w:p>
      <w:pPr>
        <w:spacing w:line="360" w:lineRule="auto"/>
        <w:ind w:firstLine="420"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 xml:space="preserve">②评审报价为供应商的最后报价进行政策性扣除后的价格，评审报价只是作为评标时使用。最终成交供应商的成交金额＝最后报价。 </w:t>
      </w:r>
    </w:p>
    <w:p>
      <w:pPr>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
          <w:color w:val="auto"/>
          <w:szCs w:val="21"/>
          <w:highlight w:val="none"/>
        </w:rPr>
        <w:t>③中小微型企业划分标准按照《国家统计局关于印发〈统计上大中小微型企业划分办法〉〔2017〕的通知》（国统字〔2017〕213号）执行，具体划分标准见附表《统计上大中小微型企业划分标准》。</w:t>
      </w:r>
    </w:p>
    <w:p>
      <w:pPr>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 xml:space="preserve">（3）以进入综合评分环节的最低的评审报价为基准价，基准价报价得分为18分。 </w:t>
      </w:r>
    </w:p>
    <w:p>
      <w:pPr>
        <w:spacing w:line="360" w:lineRule="auto"/>
        <w:ind w:firstLine="420"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Cs/>
          <w:color w:val="auto"/>
          <w:szCs w:val="21"/>
          <w:highlight w:val="none"/>
        </w:rPr>
        <w:t>（4）供应商磋商报价得分=（磋商基准价/供应商的评审报价）×18分。</w:t>
      </w:r>
    </w:p>
    <w:bookmarkEnd w:id="470"/>
    <w:bookmarkEnd w:id="471"/>
    <w:p>
      <w:pPr>
        <w:pStyle w:val="13"/>
        <w:spacing w:line="360" w:lineRule="auto"/>
        <w:ind w:firstLine="420" w:firstLineChars="200"/>
        <w:jc w:val="left"/>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
          <w:bCs/>
          <w:color w:val="auto"/>
          <w:highlight w:val="none"/>
        </w:rPr>
        <w:t>2、服务方案分</w:t>
      </w: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
          <w:bCs/>
          <w:color w:val="auto"/>
          <w:highlight w:val="none"/>
        </w:rPr>
        <w:t>…………………………………………</w:t>
      </w: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
          <w:bCs/>
          <w:color w:val="auto"/>
          <w:highlight w:val="none"/>
        </w:rPr>
        <w:t>………………满分</w:t>
      </w:r>
      <w:r>
        <w:rPr>
          <w:rFonts w:hint="eastAsia" w:asciiTheme="minorEastAsia" w:hAnsiTheme="minorEastAsia" w:eastAsiaTheme="minorEastAsia" w:cstheme="minorEastAsia"/>
          <w:b/>
          <w:bCs/>
          <w:color w:val="auto"/>
          <w:highlight w:val="none"/>
          <w:lang w:val="en-US" w:eastAsia="zh-CN"/>
        </w:rPr>
        <w:t>36</w:t>
      </w:r>
      <w:r>
        <w:rPr>
          <w:rFonts w:hint="eastAsia" w:asciiTheme="minorEastAsia" w:hAnsiTheme="minorEastAsia" w:eastAsiaTheme="minorEastAsia" w:cstheme="minorEastAsia"/>
          <w:b/>
          <w:bCs/>
          <w:color w:val="auto"/>
          <w:highlight w:val="none"/>
        </w:rPr>
        <w:t>分</w:t>
      </w:r>
    </w:p>
    <w:p>
      <w:pPr>
        <w:pStyle w:val="53"/>
        <w:spacing w:line="360" w:lineRule="auto"/>
        <w:ind w:firstLine="420" w:firstLineChars="200"/>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highlight w:val="none"/>
        </w:rPr>
        <w:t>供应商提供的针对本项目分别编制“</w:t>
      </w:r>
      <w:r>
        <w:rPr>
          <w:rFonts w:hint="eastAsia" w:asciiTheme="minorEastAsia" w:hAnsiTheme="minorEastAsia" w:eastAsiaTheme="minorEastAsia" w:cstheme="minorEastAsia"/>
          <w:b/>
          <w:bCs/>
          <w:color w:val="auto"/>
          <w:szCs w:val="21"/>
          <w:highlight w:val="none"/>
        </w:rPr>
        <w:t>信创云搬迁实施方案”、“机房配套设施改造方案”、“信创云运维方案”。</w:t>
      </w:r>
    </w:p>
    <w:p>
      <w:pPr>
        <w:spacing w:line="360" w:lineRule="auto"/>
        <w:ind w:firstLine="420" w:firstLineChars="200"/>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（1）信创云搬迁实施方案（总分18分）</w:t>
      </w:r>
    </w:p>
    <w:p>
      <w:pPr>
        <w:spacing w:line="360" w:lineRule="auto"/>
        <w:ind w:firstLine="420" w:firstLineChars="200"/>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由磋商小组根据各供应商提供的信创云搬迁实施方案进行综合评审独立打分。</w:t>
      </w:r>
    </w:p>
    <w:p>
      <w:pPr>
        <w:spacing w:line="360" w:lineRule="auto"/>
        <w:ind w:firstLine="420" w:firstLineChars="200"/>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A、总体方案与调研评估（5分）</w:t>
      </w:r>
    </w:p>
    <w:p>
      <w:pPr>
        <w:spacing w:line="360" w:lineRule="auto"/>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一档（1分）：方案包含“安全第一、数据完整、分步实施”三项核心原则的表述；方案内容涵盖原机房设备梳理、系统关联分析、业务影响评估、风险点识别四个调研维度；承诺提供7×24小时服务热线； 搬迁项目团队技术工程师人数满足采购需求（不少于8人）。</w:t>
      </w:r>
    </w:p>
    <w:p>
      <w:pPr>
        <w:spacing w:line="360" w:lineRule="auto"/>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二档（3分）：在满足一档条件的基础上，同时满足以下全部条件：方案明确将“安全第一、数据完整、分步实施”三项原则分别对应到具体工作环节中（如安全原则对应备份与防护措施、数据完整原则对应校验机制等）；调研评估内容提供设备台账梳理表、系统关联拓扑图、业务中断影响分级表、风险清单四项成果文件；搬迁项目团队技术工程师人数在9人（含）至10人（含）之间。方案中明确承诺云平台厂家技术工程师在搬迁现场全程值守并提供保障技术。</w:t>
      </w:r>
    </w:p>
    <w:p>
      <w:pPr>
        <w:spacing w:line="360" w:lineRule="auto"/>
        <w:ind w:firstLine="420" w:firstLineChars="200"/>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Cs/>
          <w:color w:val="auto"/>
          <w:szCs w:val="21"/>
          <w:highlight w:val="none"/>
        </w:rPr>
        <w:t>三档（5分）：在满足二档条件的基础上，同时满足以下全部条件：方案以“安全第一、数据完整、分步实施”为章节主线，逐项设计专项保障措施，安全措施包括静电防护、运输减震、人员保险三项及以上具体内容；调研评估部分提供完整的成果文件样例，包括设备资产清单、端口连接记录表、业务依赖关系图、风险评估矩阵、应急预案触发条件表等五项及以上内容；搬迁项目团队技术工程师人数超过10人；“专项技术负责人”岗位职责范围及保障响应机制明确；方案中明确承诺在搬迁各阶段（准备、实施、恢复）分别提供7×24小时服务热线及现场保障人员名单；方案中明确承诺云平台及安全设备厂家技术工程师在搬迁现场全程值守并提供保障技术。</w:t>
      </w:r>
    </w:p>
    <w:p>
      <w:pPr>
        <w:spacing w:line="360" w:lineRule="auto"/>
        <w:ind w:firstLine="420" w:firstLineChars="200"/>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B、实施计划与时间响应（包括准备、搬迁、后续阶段，各阶段工作内容、时间节点、责任分工等内容）（3分）</w:t>
      </w:r>
    </w:p>
    <w:p>
      <w:pPr>
        <w:spacing w:line="360" w:lineRule="auto"/>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一档（1分）：方案中明确划分准备、搬迁、后续三个阶段；各阶段列明主要工作内容及责任岗位（如项目经理、技术工程师等）；整体时间安排符合采购文件要求（合同签订后15个工作日内完成准备工作，搬迁实施日2个日历日内完成）。</w:t>
      </w:r>
    </w:p>
    <w:p>
      <w:pPr>
        <w:spacing w:line="360" w:lineRule="auto"/>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二档（2分）：在满足一档条件的基础上，同时满足以下全部条件：各阶段进一步细化为具体子任务（如准备阶段细化为：现场勘查、方案报审、备件准备、人员培训等）；每个子任务均明确起止时间节点（精确到半日）及责任人员姓名/岗位；整体时间安排中，准备阶段完成时间承诺早于采购文件要求（如合同签订后12个工作日内），搬迁实施阶段完成时间承诺早于采购文件要求（如1.5个日历日内）。</w:t>
      </w:r>
    </w:p>
    <w:p>
      <w:pPr>
        <w:spacing w:line="360" w:lineRule="auto"/>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三档（3分）：在满足二档条件的基础上，同时满足以下全部条件：各阶段子任务细化至具体交付物（如：准备阶段交付《搬迁实施方案》《设备清单确认表》《应急预案》）；时间节点采用“关键路径图”或“甘特图”形式呈现，图中清晰标注各任务之间的依赖关系；责任分工明确到具体人员姓名，并提供人员分工表（含岗位、职责、联系方式）；整体时间安排承诺明显优于采购文件要求（如准备阶段完成时间提前至合同签订后10个工作日内，搬迁实施完成时间提前至1个日历日内）。</w:t>
      </w:r>
    </w:p>
    <w:p>
      <w:pPr>
        <w:spacing w:line="360" w:lineRule="auto"/>
        <w:ind w:firstLine="420" w:firstLineChars="200"/>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C、数据备份与安全保障（5分）</w:t>
      </w:r>
    </w:p>
    <w:p>
      <w:pPr>
        <w:spacing w:line="360" w:lineRule="auto"/>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一档（1分）：备份方案覆盖管理面数据、业务面数据、网络设备配置数据三类数据类型；提出恢复预案和风险防护措施；明确数据备份的责任岗位及操作流程。</w:t>
      </w:r>
    </w:p>
    <w:p>
      <w:pPr>
        <w:spacing w:line="360" w:lineRule="auto"/>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二档（3分）：在满足一档条件的基础上，同时满足以下全部条件：备份方案明确每种数据类型的备份方式（如：管理面通过SFTP备份、业务面通过快照备份、网络设备通过配置文件导出）；恢复预案中包含具体操作步骤、预期恢复时间、验证方法；提出明确的保密管理措施（如签订保密协议、访问权限控制、数据加密传输等）；备份方案针对采购人现有系统进行适配说明（如云平台版本、设备型号）。</w:t>
      </w:r>
    </w:p>
    <w:p>
      <w:pPr>
        <w:spacing w:line="360" w:lineRule="auto"/>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三档（5分）：在满足二档条件的基础上，同时满足以下全部条件：备份方案中明确备份时间窗口、备份频率、备份存储位置及保留周期； 恢复预案包含不同故障场景（如单节点故障、平台整体故障）的差异化恢复流程，并提供恢复时间目标（RTO）和数据恢复点目标（RPO）； 保密措施细化至具体执行层面（如：人员背景审查、操作日志审计、数据脱敏处理等）；方案中提供“备份与恢复演练计划”，明确演练频次、演练内容、验证标准。</w:t>
      </w:r>
    </w:p>
    <w:p>
      <w:pPr>
        <w:spacing w:line="360" w:lineRule="auto"/>
        <w:ind w:firstLine="420" w:firstLineChars="200"/>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D、应急预案与风险防控（5分）</w:t>
      </w:r>
    </w:p>
    <w:p>
      <w:pPr>
        <w:spacing w:line="360" w:lineRule="auto"/>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一档（1分）：具备应急组织架构（明确指挥、执行、联络等角色）； 具备基本应急响应流程（发现→报告→处置→恢复）；风险识别覆盖设备损坏、数据丢失、业务中断、运输故障四类主要风险。</w:t>
      </w:r>
    </w:p>
    <w:p>
      <w:pPr>
        <w:spacing w:line="360" w:lineRule="auto"/>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二档（3分）：在满足一档条件的基础上，同时满足以下全部条件：应急组织架构中明确各角色具体人员岗位及联系方式；应急响应流程中明确各环节的响应时限（一般事件10分钟内响应，2小时内处置完成）；针对至少两类核心风险（如数据迁移、系统开机）制定专项应急预案，明确处置步骤、责任人、备用资源；风险防控措施明确区分“预防措施”与“应急处置措施”，并分别列出具体内容。</w:t>
      </w:r>
    </w:p>
    <w:p>
      <w:pPr>
        <w:spacing w:line="360" w:lineRule="auto"/>
        <w:ind w:firstLine="420" w:firstLineChars="200"/>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Cs/>
          <w:color w:val="auto"/>
          <w:szCs w:val="21"/>
          <w:highlight w:val="none"/>
        </w:rPr>
        <w:t>三档（5分）：在满足二档条件的基础上，同时满足以下全部条件：应急响应流程中明确各环节的响应时限（一般事件5分钟内响应，1小时内处置完成；重大事件立即响应，30分钟内完成处置）；针对所有已识别的四类风险，均制定“预防措施+应急处置措施”组合方案，并明确每项措施的启动条件、执行步骤、验证标准；应急方案中明确分级响应机制（根据故障影响范围、严重程度设定不同响应等级）；提供“应急预案演练计划”，明确演练频次、演练形式（桌面推演/实战演练）、演练记录与改进机制。</w:t>
      </w:r>
    </w:p>
    <w:p>
      <w:pPr>
        <w:spacing w:line="360" w:lineRule="auto"/>
        <w:ind w:firstLine="420" w:firstLineChars="200"/>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（2）机房配套设施改造方案（</w:t>
      </w:r>
      <w:r>
        <w:rPr>
          <w:rFonts w:hint="eastAsia" w:asciiTheme="minorEastAsia" w:hAnsiTheme="minorEastAsia" w:eastAsiaTheme="minorEastAsia" w:cstheme="minorEastAsia"/>
          <w:b/>
          <w:color w:val="auto"/>
          <w:szCs w:val="21"/>
          <w:highlight w:val="none"/>
          <w:lang w:val="en-US" w:eastAsia="zh-CN"/>
        </w:rPr>
        <w:t>6</w:t>
      </w:r>
      <w:r>
        <w:rPr>
          <w:rFonts w:hint="eastAsia" w:asciiTheme="minorEastAsia" w:hAnsiTheme="minorEastAsia" w:eastAsiaTheme="minorEastAsia" w:cstheme="minorEastAsia"/>
          <w:b/>
          <w:color w:val="auto"/>
          <w:szCs w:val="21"/>
          <w:highlight w:val="none"/>
        </w:rPr>
        <w:t>分）</w:t>
      </w:r>
    </w:p>
    <w:p>
      <w:pPr>
        <w:spacing w:line="360" w:lineRule="auto"/>
        <w:ind w:firstLine="420" w:firstLineChars="200"/>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由磋商小组根据各供应商提供的机房配套设施改造方案进行综合评审独立打分。</w:t>
      </w:r>
    </w:p>
    <w:p>
      <w:pPr>
        <w:spacing w:line="360" w:lineRule="auto"/>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一档（</w:t>
      </w:r>
      <w:r>
        <w:rPr>
          <w:rFonts w:hint="eastAsia" w:asciiTheme="minorEastAsia" w:hAnsiTheme="minorEastAsia" w:eastAsiaTheme="minorEastAsia" w:cstheme="minorEastAsia"/>
          <w:bCs/>
          <w:color w:val="auto"/>
          <w:szCs w:val="21"/>
          <w:highlight w:val="none"/>
          <w:lang w:val="en-US" w:eastAsia="zh-CN"/>
        </w:rPr>
        <w:t>2</w:t>
      </w:r>
      <w:r>
        <w:rPr>
          <w:rFonts w:hint="eastAsia" w:asciiTheme="minorEastAsia" w:hAnsiTheme="minorEastAsia" w:eastAsiaTheme="minorEastAsia" w:cstheme="minorEastAsia"/>
          <w:bCs/>
          <w:color w:val="auto"/>
          <w:szCs w:val="21"/>
          <w:highlight w:val="none"/>
        </w:rPr>
        <w:t>分）：方案内容包含设备安装、电缆敷设、列头柜改造、动环监控对接等四项基本流程；施工时间安排有初步考虑（如计划在晚间或节假日施工）；承诺所有设备及辅材符合相关国家标准。</w:t>
      </w:r>
    </w:p>
    <w:p>
      <w:pPr>
        <w:spacing w:line="360" w:lineRule="auto"/>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二档（</w:t>
      </w:r>
      <w:r>
        <w:rPr>
          <w:rFonts w:hint="eastAsia" w:asciiTheme="minorEastAsia" w:hAnsiTheme="minorEastAsia" w:eastAsiaTheme="minorEastAsia" w:cstheme="minorEastAsia"/>
          <w:bCs/>
          <w:color w:val="auto"/>
          <w:szCs w:val="21"/>
          <w:highlight w:val="none"/>
          <w:lang w:val="en-US" w:eastAsia="zh-CN"/>
        </w:rPr>
        <w:t>4</w:t>
      </w:r>
      <w:r>
        <w:rPr>
          <w:rFonts w:hint="eastAsia" w:asciiTheme="minorEastAsia" w:hAnsiTheme="minorEastAsia" w:eastAsiaTheme="minorEastAsia" w:cstheme="minorEastAsia"/>
          <w:bCs/>
          <w:color w:val="auto"/>
          <w:szCs w:val="21"/>
          <w:highlight w:val="none"/>
        </w:rPr>
        <w:t>分）：在满足一档条件的基础上，同时满足以下全部条件：方案中提供机房配套设施改造设计简图（含设备布局、线缆走向示意）；制定详细的施工进度计划表（以天为单位，明确各阶段起止时间）；明确工期保证措施（如：备件提前到位、施工人员分组轮换等）；明确安装调试方案（含设备上电测试步骤、验收标准）；提供的设计简图基本符合建设单位实际机房布局及相关技术规范。</w:t>
      </w:r>
    </w:p>
    <w:p>
      <w:pPr>
        <w:spacing w:line="360" w:lineRule="auto"/>
        <w:ind w:firstLine="420" w:firstLineChars="200"/>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Cs/>
          <w:color w:val="auto"/>
          <w:szCs w:val="21"/>
          <w:highlight w:val="none"/>
        </w:rPr>
        <w:t>三档（</w:t>
      </w:r>
      <w:r>
        <w:rPr>
          <w:rFonts w:hint="eastAsia" w:asciiTheme="minorEastAsia" w:hAnsiTheme="minorEastAsia" w:eastAsiaTheme="minorEastAsia" w:cstheme="minorEastAsia"/>
          <w:bCs/>
          <w:color w:val="auto"/>
          <w:szCs w:val="21"/>
          <w:highlight w:val="none"/>
          <w:lang w:val="en-US" w:eastAsia="zh-CN"/>
        </w:rPr>
        <w:t>6</w:t>
      </w:r>
      <w:r>
        <w:rPr>
          <w:rFonts w:hint="eastAsia" w:asciiTheme="minorEastAsia" w:hAnsiTheme="minorEastAsia" w:eastAsiaTheme="minorEastAsia" w:cstheme="minorEastAsia"/>
          <w:bCs/>
          <w:color w:val="auto"/>
          <w:szCs w:val="21"/>
          <w:highlight w:val="none"/>
        </w:rPr>
        <w:t>分）：在满足二档条件的基础上，同时满足以下全部条件：改造方案条理清晰，按“准备→实施→测试→验收”分阶段编排，每个阶段明确工作内容、责任人、时间节点；施工时间安排明确选择晚间或节假日，并承诺将机房停电时间控制在2小时以内（或更优）；质量控制措施完善，包括材料进场检验记录表、施工过程监督机制、隐蔽工程验收记录、设备上电前检查清单等四项及以上内容；提供符合实际并符合技术规范的机房配套设施改造设计简图、线缆布线图（图中标注设备位置、线缆型号、路由、长度）；方案中明确动环监控系统对接方案（含接口类型、通讯协议、数据对接验证方法）。</w:t>
      </w:r>
    </w:p>
    <w:p>
      <w:pPr>
        <w:spacing w:line="360" w:lineRule="auto"/>
        <w:ind w:firstLine="420" w:firstLineChars="200"/>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（3）信创云运维方案（12分）</w:t>
      </w:r>
    </w:p>
    <w:p>
      <w:pPr>
        <w:spacing w:line="360" w:lineRule="auto"/>
        <w:ind w:firstLine="420" w:firstLineChars="200"/>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由磋商小组根据各供应商提供的信创云运维方案进行综合评审独立打分。</w:t>
      </w:r>
    </w:p>
    <w:p>
      <w:pPr>
        <w:spacing w:line="360" w:lineRule="auto"/>
        <w:ind w:firstLine="420" w:firstLineChars="200"/>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A、运维体系建设（6分）</w:t>
      </w:r>
    </w:p>
    <w:p>
      <w:pPr>
        <w:spacing w:line="360" w:lineRule="auto"/>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一档（2分）：方案中包含运维管理制度、运维工作内容、运维工作安排、应急响应机制四项基本模块，明确运维团队岗位设置（至少包含项目经理、运维工程师）；承诺故障处理时间满足采购需求（严重故障60分钟内恢复、部分业务中断90分钟内恢复、非关键故障120分钟内恢复）。</w:t>
      </w:r>
    </w:p>
    <w:p>
      <w:pPr>
        <w:spacing w:line="360" w:lineRule="auto"/>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二档（4分）：在满足一档条件的基础上，同时满足以下全部条件：运维管理制度细化至具体制度文件名称（如《云平台安全运维管理制度》《云平台运维管理制度》《人员管理制度》）；运维服务流程标准化，包含事件管理、问题管理、变更管理、故障与应急管理等流程，并提供流程图或流程说明；管理表单设计较为完善（如事件记录表、变更申请单、故障处置记录单等）；方案中明确7×24小时响应机制（含响应人员、响应方式、响应时限）。</w:t>
      </w:r>
    </w:p>
    <w:p>
      <w:pPr>
        <w:spacing w:line="360" w:lineRule="auto"/>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三档（6分）：在满足二档条件的基础上，同时满足以下全部条件：建立符合信息系统等级保护三级要求的安全运维管理制度、运维管理制度，制度内容与等保三级要求逐项对应说明；制定标准化服务流程，提供完整的流程图及管理表单模板（如事件管理流程含“发现→登记→分类→处置→关闭→回访”完整闭环）；故障处理时间优于采购需求（如严重故障恢复时间承诺≤45分钟，部分业务中断恢复时间≤60分钟，非关键故障恢复时间≤90分钟）；有特殊、重要时期保障措施，明确重保期间的人员安排（不少于2人现场值守）、保障内容、响应机制；提供的应急预案符合实际情况，明确不同故障场景的处置步骤、责任人、升级机制。</w:t>
      </w:r>
    </w:p>
    <w:p>
      <w:pPr>
        <w:spacing w:line="360" w:lineRule="auto"/>
        <w:ind w:firstLine="420" w:firstLineChars="200"/>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B、日常安全运维（6分）</w:t>
      </w:r>
    </w:p>
    <w:p>
      <w:pPr>
        <w:spacing w:line="360" w:lineRule="auto"/>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一档（2分）：方案包含实施计划、安全管理措施、运维流程、团队配置、应急机制等五项核心要素；明确日常运维工作内容（如资源监控、巡检、故障处理等）；明确安全运维工作内容（如漏洞扫描、安全策略配置等）。</w:t>
      </w:r>
    </w:p>
    <w:p>
      <w:pPr>
        <w:spacing w:line="360" w:lineRule="auto"/>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二档（4分）：在满足一档条件的基础上，同时满足以下全部条件：日常运维明确7×24小时资源监控机制（含监控指标：CPU、内存、存储、网络流量、告警信息等）；包含性能分析和优化改进机制（如每月输出资源使用率分析报告，提出优化建议）；安全运维提出具体的安全技术实施方案，至少包含：安全加固（操作系统/数据库/中间件基线配置）、漏洞管理（每月扫描+报告推送）、高可用设计（主备/集群部署说明）；措施具有针对性，明确每项措施对应的风险点或合规要求。</w:t>
      </w:r>
    </w:p>
    <w:p>
      <w:pPr>
        <w:spacing w:line="360" w:lineRule="auto"/>
        <w:ind w:firstLine="420" w:firstLineChars="200"/>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Cs/>
          <w:color w:val="auto"/>
          <w:szCs w:val="21"/>
          <w:highlight w:val="none"/>
        </w:rPr>
        <w:t>三档（6分）：在满足二档条件的基础上，同时满足以下全部条件：日常运维方案详实、系统，明确7×24小时监控的具体指标、告警阈值、告警处理流程；性能分析包含vCPU使用率、内存使用率、存储使用率、网络带宽利用率等维度，并承诺按月度输出分析报告及资源优化建议；安全运维方案包含资产发现、入侵检测、失陷诊断（挖矿、远控等）及响应处置服务能力；承诺提供安全运营平台（或同类安全工具），实现7×24小时自动化安全监测；提供“发现→防御→检测→响应处置”全生命周期网络安全服务流程说明，明确各环节的技术手段和响应时限。</w:t>
      </w:r>
    </w:p>
    <w:p>
      <w:pPr>
        <w:spacing w:line="360" w:lineRule="auto"/>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
          <w:color w:val="auto"/>
          <w:szCs w:val="21"/>
          <w:highlight w:val="none"/>
        </w:rPr>
        <w:t>3、</w:t>
      </w:r>
      <w:r>
        <w:rPr>
          <w:rFonts w:hint="eastAsia" w:asciiTheme="minorEastAsia" w:hAnsiTheme="minorEastAsia" w:eastAsiaTheme="minorEastAsia" w:cstheme="minorEastAsia"/>
          <w:b/>
          <w:color w:val="auto"/>
          <w:szCs w:val="21"/>
          <w:highlight w:val="none"/>
          <w:lang w:eastAsia="zh-CN"/>
        </w:rPr>
        <w:t>履约能力</w:t>
      </w:r>
      <w:r>
        <w:rPr>
          <w:rFonts w:hint="eastAsia" w:asciiTheme="minorEastAsia" w:hAnsiTheme="minorEastAsia" w:eastAsiaTheme="minorEastAsia" w:cstheme="minorEastAsia"/>
          <w:b/>
          <w:color w:val="auto"/>
          <w:szCs w:val="21"/>
          <w:highlight w:val="none"/>
        </w:rPr>
        <w:t>分 ……………………………………………</w:t>
      </w:r>
      <w:r>
        <w:rPr>
          <w:rFonts w:hint="eastAsia" w:asciiTheme="minorEastAsia" w:hAnsiTheme="minorEastAsia" w:eastAsiaTheme="minorEastAsia" w:cstheme="minorEastAsia"/>
          <w:b/>
          <w:bCs/>
          <w:color w:val="auto"/>
          <w:highlight w:val="none"/>
        </w:rPr>
        <w:t>……………………………</w:t>
      </w:r>
      <w:r>
        <w:rPr>
          <w:rFonts w:hint="eastAsia" w:asciiTheme="minorEastAsia" w:hAnsiTheme="minorEastAsia" w:eastAsiaTheme="minorEastAsia" w:cstheme="minorEastAsia"/>
          <w:b/>
          <w:color w:val="auto"/>
          <w:szCs w:val="21"/>
          <w:highlight w:val="none"/>
        </w:rPr>
        <w:t>………………满分</w:t>
      </w:r>
      <w:r>
        <w:rPr>
          <w:rFonts w:hint="eastAsia" w:asciiTheme="minorEastAsia" w:hAnsiTheme="minorEastAsia" w:eastAsiaTheme="minorEastAsia" w:cstheme="minorEastAsia"/>
          <w:b/>
          <w:color w:val="auto"/>
          <w:szCs w:val="21"/>
          <w:highlight w:val="none"/>
          <w:lang w:val="en-US" w:eastAsia="zh-CN"/>
        </w:rPr>
        <w:t>43</w:t>
      </w:r>
      <w:r>
        <w:rPr>
          <w:rFonts w:hint="eastAsia" w:asciiTheme="minorEastAsia" w:hAnsiTheme="minorEastAsia" w:eastAsiaTheme="minorEastAsia" w:cstheme="minorEastAsia"/>
          <w:b/>
          <w:color w:val="auto"/>
          <w:szCs w:val="21"/>
          <w:highlight w:val="none"/>
        </w:rPr>
        <w:t>分</w:t>
      </w:r>
    </w:p>
    <w:p>
      <w:pPr>
        <w:pStyle w:val="13"/>
        <w:adjustRightInd w:val="0"/>
        <w:snapToGrid w:val="0"/>
        <w:spacing w:line="360" w:lineRule="auto"/>
        <w:ind w:firstLine="420" w:firstLineChars="200"/>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（1）商务资质分（满分</w:t>
      </w:r>
      <w:r>
        <w:rPr>
          <w:rFonts w:hint="eastAsia" w:asciiTheme="minorEastAsia" w:hAnsiTheme="minorEastAsia" w:eastAsiaTheme="minorEastAsia" w:cstheme="minorEastAsia"/>
          <w:b/>
          <w:bCs/>
          <w:color w:val="auto"/>
          <w:szCs w:val="21"/>
          <w:highlight w:val="none"/>
          <w:lang w:val="en-US" w:eastAsia="zh-CN"/>
        </w:rPr>
        <w:t>4</w:t>
      </w:r>
      <w:r>
        <w:rPr>
          <w:rFonts w:hint="eastAsia" w:asciiTheme="minorEastAsia" w:hAnsiTheme="minorEastAsia" w:eastAsiaTheme="minorEastAsia" w:cstheme="minorEastAsia"/>
          <w:b/>
          <w:bCs/>
          <w:color w:val="auto"/>
          <w:szCs w:val="21"/>
          <w:highlight w:val="none"/>
        </w:rPr>
        <w:t>分）</w:t>
      </w:r>
    </w:p>
    <w:p>
      <w:pPr>
        <w:pStyle w:val="53"/>
        <w:spacing w:line="360" w:lineRule="auto"/>
        <w:ind w:firstLine="420" w:firstLineChars="200"/>
        <w:jc w:val="left"/>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color w:val="auto"/>
          <w:highlight w:val="none"/>
        </w:rPr>
        <w:t>供应商</w:t>
      </w:r>
      <w:r>
        <w:rPr>
          <w:rFonts w:hint="eastAsia" w:asciiTheme="minorEastAsia" w:hAnsiTheme="minorEastAsia" w:eastAsiaTheme="minorEastAsia" w:cstheme="minorEastAsia"/>
          <w:color w:val="auto"/>
          <w:highlight w:val="none"/>
          <w:lang w:val="en-US" w:eastAsia="zh-CN"/>
        </w:rPr>
        <w:t>或其总公司</w:t>
      </w:r>
      <w:r>
        <w:rPr>
          <w:rFonts w:hint="eastAsia" w:asciiTheme="minorEastAsia" w:hAnsiTheme="minorEastAsia" w:eastAsiaTheme="minorEastAsia" w:cstheme="minorEastAsia"/>
          <w:color w:val="auto"/>
          <w:highlight w:val="none"/>
        </w:rPr>
        <w:t>具备环境管理体系认证证书（包含云存储和网络安全服务）</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企业诚信管理体系认证证书</w:t>
      </w:r>
      <w:r>
        <w:rPr>
          <w:rFonts w:hint="eastAsia" w:asciiTheme="minorEastAsia" w:hAnsiTheme="minorEastAsia" w:eastAsiaTheme="minorEastAsia" w:cstheme="minorEastAsia"/>
          <w:color w:val="auto"/>
          <w:highlight w:val="none"/>
          <w:lang w:val="en-US" w:eastAsia="zh-CN"/>
        </w:rPr>
        <w:t>的，每个证书得2分，满分4分。</w:t>
      </w:r>
      <w:r>
        <w:rPr>
          <w:rFonts w:hint="eastAsia" w:asciiTheme="minorEastAsia" w:hAnsiTheme="minorEastAsia" w:eastAsiaTheme="minorEastAsia" w:cstheme="minorEastAsia"/>
          <w:b/>
          <w:bCs/>
          <w:color w:val="auto"/>
          <w:highlight w:val="none"/>
        </w:rPr>
        <w:t>证书须在有效期内，提供认证证书扫描件并加盖供应商电子签章，且应在国家市场监督管理总局全国认证认可信息公共服务平台（http://cx.cnca.cn/）可查</w:t>
      </w:r>
      <w:r>
        <w:rPr>
          <w:rFonts w:hint="eastAsia" w:asciiTheme="minorEastAsia" w:hAnsiTheme="minorEastAsia" w:eastAsiaTheme="minorEastAsia" w:cstheme="minorEastAsia"/>
          <w:b/>
          <w:bCs/>
          <w:color w:val="auto"/>
          <w:highlight w:val="none"/>
          <w:lang w:eastAsia="zh-CN"/>
        </w:rPr>
        <w:t>，</w:t>
      </w:r>
      <w:r>
        <w:rPr>
          <w:rFonts w:hint="eastAsia" w:asciiTheme="minorEastAsia" w:hAnsiTheme="minorEastAsia" w:eastAsiaTheme="minorEastAsia" w:cstheme="minorEastAsia"/>
          <w:b/>
          <w:bCs/>
          <w:color w:val="auto"/>
          <w:highlight w:val="none"/>
        </w:rPr>
        <w:t>由国家认监委（CNCA）批准的</w:t>
      </w:r>
      <w:r>
        <w:rPr>
          <w:rFonts w:hint="eastAsia" w:asciiTheme="minorEastAsia" w:hAnsiTheme="minorEastAsia" w:eastAsiaTheme="minorEastAsia" w:cstheme="minorEastAsia"/>
          <w:b/>
          <w:bCs/>
          <w:color w:val="auto"/>
          <w:highlight w:val="none"/>
          <w:lang w:val="en-US" w:eastAsia="zh-CN"/>
        </w:rPr>
        <w:t>认证</w:t>
      </w:r>
      <w:r>
        <w:rPr>
          <w:rFonts w:hint="eastAsia" w:asciiTheme="minorEastAsia" w:hAnsiTheme="minorEastAsia" w:eastAsiaTheme="minorEastAsia" w:cstheme="minorEastAsia"/>
          <w:b/>
          <w:bCs/>
          <w:color w:val="auto"/>
          <w:highlight w:val="none"/>
        </w:rPr>
        <w:t>机构颁发</w:t>
      </w:r>
      <w:r>
        <w:rPr>
          <w:rFonts w:hint="eastAsia" w:asciiTheme="minorEastAsia" w:hAnsiTheme="minorEastAsia" w:eastAsiaTheme="minorEastAsia" w:cstheme="minorEastAsia"/>
          <w:b/>
          <w:bCs/>
          <w:color w:val="auto"/>
          <w:highlight w:val="none"/>
          <w:lang w:eastAsia="zh-CN"/>
        </w:rPr>
        <w:t>。</w:t>
      </w:r>
    </w:p>
    <w:p>
      <w:pPr>
        <w:pStyle w:val="53"/>
        <w:ind w:firstLine="420" w:firstLineChars="200"/>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（2）信创云搬迁人员资质分（满分</w:t>
      </w:r>
      <w:r>
        <w:rPr>
          <w:rFonts w:hint="eastAsia" w:asciiTheme="minorEastAsia" w:hAnsiTheme="minorEastAsia" w:eastAsiaTheme="minorEastAsia" w:cstheme="minorEastAsia"/>
          <w:b/>
          <w:bCs/>
          <w:color w:val="auto"/>
          <w:szCs w:val="21"/>
          <w:highlight w:val="none"/>
          <w:lang w:val="en-US" w:eastAsia="zh-CN"/>
        </w:rPr>
        <w:t>15</w:t>
      </w:r>
      <w:r>
        <w:rPr>
          <w:rFonts w:hint="eastAsia" w:asciiTheme="minorEastAsia" w:hAnsiTheme="minorEastAsia" w:eastAsiaTheme="minorEastAsia" w:cstheme="minorEastAsia"/>
          <w:b/>
          <w:bCs/>
          <w:color w:val="auto"/>
          <w:szCs w:val="21"/>
          <w:highlight w:val="none"/>
        </w:rPr>
        <w:t>分）</w:t>
      </w:r>
    </w:p>
    <w:p>
      <w:pPr>
        <w:pStyle w:val="53"/>
        <w:adjustRightInd w:val="0"/>
        <w:snapToGrid w:val="0"/>
        <w:spacing w:line="360" w:lineRule="auto"/>
        <w:ind w:firstLine="420" w:firstLineChars="200"/>
        <w:jc w:val="lef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供应商拟安排的搬迁</w:t>
      </w:r>
      <w:r>
        <w:rPr>
          <w:rFonts w:hint="eastAsia" w:asciiTheme="minorEastAsia" w:hAnsiTheme="minorEastAsia" w:eastAsiaTheme="minorEastAsia" w:cstheme="minorEastAsia"/>
          <w:color w:val="auto"/>
          <w:highlight w:val="none"/>
          <w:lang w:val="en-US" w:eastAsia="zh-CN"/>
        </w:rPr>
        <w:t>人员（含</w:t>
      </w:r>
      <w:r>
        <w:rPr>
          <w:rFonts w:hint="eastAsia" w:asciiTheme="minorEastAsia" w:hAnsiTheme="minorEastAsia" w:eastAsiaTheme="minorEastAsia" w:cstheme="minorEastAsia"/>
          <w:color w:val="auto"/>
          <w:highlight w:val="none"/>
        </w:rPr>
        <w:t>项目经理</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技术负责人、搬迁人员等）</w:t>
      </w:r>
      <w:r>
        <w:rPr>
          <w:rFonts w:hint="eastAsia" w:asciiTheme="minorEastAsia" w:hAnsiTheme="minorEastAsia" w:eastAsiaTheme="minorEastAsia" w:cstheme="minorEastAsia"/>
          <w:color w:val="auto"/>
          <w:highlight w:val="none"/>
        </w:rPr>
        <w:t>具有</w:t>
      </w:r>
      <w:r>
        <w:rPr>
          <w:rFonts w:hint="eastAsia" w:asciiTheme="minorEastAsia" w:hAnsiTheme="minorEastAsia" w:eastAsiaTheme="minorEastAsia" w:cstheme="minorEastAsia"/>
          <w:color w:val="auto"/>
          <w:highlight w:val="none"/>
          <w:lang w:eastAsia="zh-CN"/>
        </w:rPr>
        <w:t>：</w:t>
      </w:r>
    </w:p>
    <w:p>
      <w:pPr>
        <w:pStyle w:val="53"/>
        <w:adjustRightInd w:val="0"/>
        <w:snapToGrid w:val="0"/>
        <w:spacing w:line="360" w:lineRule="auto"/>
        <w:ind w:firstLine="420" w:firstLineChars="200"/>
        <w:jc w:val="lef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A、</w:t>
      </w:r>
      <w:r>
        <w:rPr>
          <w:rFonts w:hint="eastAsia" w:asciiTheme="minorEastAsia" w:hAnsiTheme="minorEastAsia" w:eastAsiaTheme="minorEastAsia" w:cstheme="minorEastAsia"/>
          <w:color w:val="auto"/>
          <w:highlight w:val="none"/>
        </w:rPr>
        <w:t>《国家职业资格目录（2021年版）》“一、专业技术人员职业资格”第36项的计算机技术与软件专业技术资格证书</w:t>
      </w:r>
      <w:bookmarkStart w:id="472" w:name="OLE_LINK1"/>
      <w:r>
        <w:rPr>
          <w:rFonts w:hint="eastAsia" w:asciiTheme="minorEastAsia" w:hAnsiTheme="minorEastAsia" w:eastAsiaTheme="minorEastAsia" w:cstheme="minorEastAsia"/>
          <w:color w:val="auto"/>
          <w:highlight w:val="none"/>
        </w:rPr>
        <w:t>（信息系统项目管理师）</w:t>
      </w:r>
      <w:bookmarkEnd w:id="472"/>
      <w:r>
        <w:rPr>
          <w:rFonts w:hint="eastAsia" w:asciiTheme="minorEastAsia" w:hAnsiTheme="minorEastAsia" w:eastAsiaTheme="minorEastAsia" w:cstheme="minorEastAsia"/>
          <w:color w:val="auto"/>
          <w:highlight w:val="none"/>
        </w:rPr>
        <w:t>，得3分</w:t>
      </w:r>
      <w:r>
        <w:rPr>
          <w:rFonts w:hint="eastAsia" w:asciiTheme="minorEastAsia" w:hAnsiTheme="minorEastAsia" w:eastAsiaTheme="minorEastAsia" w:cstheme="minorEastAsia"/>
          <w:color w:val="auto"/>
          <w:highlight w:val="none"/>
          <w:lang w:eastAsia="zh-CN"/>
        </w:rPr>
        <w:t>；</w:t>
      </w:r>
    </w:p>
    <w:p>
      <w:pPr>
        <w:pStyle w:val="53"/>
        <w:adjustRightInd w:val="0"/>
        <w:snapToGrid w:val="0"/>
        <w:spacing w:line="360" w:lineRule="auto"/>
        <w:ind w:firstLine="420" w:firstLineChars="200"/>
        <w:jc w:val="lef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B、</w:t>
      </w:r>
      <w:r>
        <w:rPr>
          <w:rFonts w:hint="eastAsia" w:asciiTheme="minorEastAsia" w:hAnsiTheme="minorEastAsia" w:eastAsiaTheme="minorEastAsia" w:cstheme="minorEastAsia"/>
          <w:color w:val="auto"/>
          <w:highlight w:val="none"/>
        </w:rPr>
        <w:t>具有工信部教育与考试中心颁发的专项技术证书（信息安全管理(高级))的得3分</w:t>
      </w:r>
      <w:r>
        <w:rPr>
          <w:rFonts w:hint="eastAsia" w:asciiTheme="minorEastAsia" w:hAnsiTheme="minorEastAsia" w:eastAsiaTheme="minorEastAsia" w:cstheme="minorEastAsia"/>
          <w:color w:val="auto"/>
          <w:highlight w:val="none"/>
          <w:lang w:eastAsia="zh-CN"/>
        </w:rPr>
        <w:t>；</w:t>
      </w:r>
    </w:p>
    <w:p>
      <w:pPr>
        <w:pStyle w:val="53"/>
        <w:adjustRightInd w:val="0"/>
        <w:snapToGrid w:val="0"/>
        <w:spacing w:line="360" w:lineRule="auto"/>
        <w:ind w:firstLine="420" w:firstLineChars="200"/>
        <w:jc w:val="lef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C、</w:t>
      </w:r>
      <w:r>
        <w:rPr>
          <w:rFonts w:hint="eastAsia" w:asciiTheme="minorEastAsia" w:hAnsiTheme="minorEastAsia" w:eastAsiaTheme="minorEastAsia" w:cstheme="minorEastAsia"/>
          <w:color w:val="auto"/>
          <w:highlight w:val="none"/>
        </w:rPr>
        <w:t>具有云安全工程师证书（CISP-CSE）证书，得3分</w:t>
      </w:r>
      <w:r>
        <w:rPr>
          <w:rFonts w:hint="eastAsia" w:asciiTheme="minorEastAsia" w:hAnsiTheme="minorEastAsia" w:eastAsiaTheme="minorEastAsia" w:cstheme="minorEastAsia"/>
          <w:color w:val="auto"/>
          <w:highlight w:val="none"/>
          <w:lang w:eastAsia="zh-CN"/>
        </w:rPr>
        <w:t>；</w:t>
      </w:r>
    </w:p>
    <w:p>
      <w:pPr>
        <w:pStyle w:val="53"/>
        <w:adjustRightInd w:val="0"/>
        <w:snapToGrid w:val="0"/>
        <w:spacing w:line="360" w:lineRule="auto"/>
        <w:ind w:firstLine="420" w:firstLineChars="200"/>
        <w:jc w:val="lef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D、</w:t>
      </w:r>
      <w:r>
        <w:rPr>
          <w:rFonts w:hint="eastAsia" w:asciiTheme="minorEastAsia" w:hAnsiTheme="minorEastAsia" w:eastAsiaTheme="minorEastAsia" w:cstheme="minorEastAsia"/>
          <w:b w:val="0"/>
          <w:bCs w:val="0"/>
          <w:color w:val="auto"/>
          <w:highlight w:val="none"/>
          <w:lang w:val="en-US" w:eastAsia="zh-CN"/>
        </w:rPr>
        <w:t>国家人力资源和社会保障部及工业和信息化部颁发的互联网技术工程师证书的得3分；</w:t>
      </w:r>
    </w:p>
    <w:p>
      <w:pPr>
        <w:pStyle w:val="53"/>
        <w:adjustRightInd w:val="0"/>
        <w:snapToGrid w:val="0"/>
        <w:spacing w:line="360" w:lineRule="auto"/>
        <w:ind w:firstLine="420" w:firstLineChars="200"/>
        <w:jc w:val="lef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E、具有工程师或工程师以上职称证书（计算机技术）得3分。</w:t>
      </w:r>
    </w:p>
    <w:p>
      <w:pPr>
        <w:spacing w:line="360" w:lineRule="auto"/>
        <w:ind w:firstLine="420" w:firstLineChars="200"/>
        <w:jc w:val="left"/>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（3）机房配套设施改造人员资质分（</w:t>
      </w:r>
      <w:r>
        <w:rPr>
          <w:rFonts w:hint="eastAsia" w:asciiTheme="minorEastAsia" w:hAnsiTheme="minorEastAsia" w:eastAsiaTheme="minorEastAsia" w:cstheme="minorEastAsia"/>
          <w:b/>
          <w:bCs/>
          <w:color w:val="auto"/>
          <w:kern w:val="0"/>
          <w:szCs w:val="21"/>
          <w:highlight w:val="none"/>
          <w:lang w:val="en-US" w:eastAsia="zh-CN"/>
        </w:rPr>
        <w:t>3</w:t>
      </w:r>
      <w:r>
        <w:rPr>
          <w:rFonts w:hint="eastAsia" w:asciiTheme="minorEastAsia" w:hAnsiTheme="minorEastAsia" w:eastAsiaTheme="minorEastAsia" w:cstheme="minorEastAsia"/>
          <w:b/>
          <w:bCs/>
          <w:color w:val="auto"/>
          <w:kern w:val="0"/>
          <w:szCs w:val="21"/>
          <w:highlight w:val="none"/>
        </w:rPr>
        <w:t>分）</w:t>
      </w:r>
    </w:p>
    <w:p>
      <w:pPr>
        <w:pStyle w:val="53"/>
        <w:spacing w:line="360" w:lineRule="auto"/>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机房配套设施改造实施队伍人员中，具有《国家职业资格目录（2021年版）》“一、 专业技术人员职业资格”第36项的计算机技术与软件专业技术资格证书（系统架构设计师）得3分，满分3分。</w:t>
      </w:r>
    </w:p>
    <w:p>
      <w:pPr>
        <w:pStyle w:val="13"/>
        <w:numPr>
          <w:ilvl w:val="255"/>
          <w:numId w:val="0"/>
        </w:numPr>
        <w:spacing w:line="360" w:lineRule="auto"/>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Cs w:val="21"/>
          <w:highlight w:val="none"/>
        </w:rPr>
        <w:t>（4）运维人员资质分（满分</w:t>
      </w:r>
      <w:r>
        <w:rPr>
          <w:rFonts w:hint="eastAsia" w:asciiTheme="minorEastAsia" w:hAnsiTheme="minorEastAsia" w:eastAsiaTheme="minorEastAsia" w:cstheme="minorEastAsia"/>
          <w:b/>
          <w:bCs/>
          <w:color w:val="auto"/>
          <w:szCs w:val="21"/>
          <w:highlight w:val="none"/>
          <w:lang w:val="en-US" w:eastAsia="zh-CN"/>
        </w:rPr>
        <w:t>13</w:t>
      </w:r>
      <w:r>
        <w:rPr>
          <w:rFonts w:hint="eastAsia" w:asciiTheme="minorEastAsia" w:hAnsiTheme="minorEastAsia" w:eastAsiaTheme="minorEastAsia" w:cstheme="minorEastAsia"/>
          <w:b/>
          <w:bCs/>
          <w:color w:val="auto"/>
          <w:szCs w:val="21"/>
          <w:highlight w:val="none"/>
        </w:rPr>
        <w:t>分）</w:t>
      </w:r>
    </w:p>
    <w:p>
      <w:pPr>
        <w:pStyle w:val="53"/>
        <w:spacing w:line="360" w:lineRule="auto"/>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A、提供的运维人员在满足采购需求的基础上，每多1名，得2分，满分4分（按照拟投入的运维人员进行评审）；</w:t>
      </w:r>
    </w:p>
    <w:p>
      <w:pPr>
        <w:pStyle w:val="53"/>
        <w:adjustRightInd w:val="0"/>
        <w:snapToGrid w:val="0"/>
        <w:spacing w:line="360" w:lineRule="auto"/>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B、运维人员中</w:t>
      </w:r>
      <w:r>
        <w:rPr>
          <w:rFonts w:hint="eastAsia" w:asciiTheme="minorEastAsia" w:hAnsiTheme="minorEastAsia" w:eastAsiaTheme="minorEastAsia" w:cstheme="minorEastAsia"/>
          <w:color w:val="auto"/>
          <w:highlight w:val="none"/>
          <w:lang w:val="en-US" w:eastAsia="zh-CN"/>
        </w:rPr>
        <w:t>具有</w:t>
      </w:r>
      <w:r>
        <w:rPr>
          <w:rFonts w:hint="eastAsia" w:asciiTheme="minorEastAsia" w:hAnsiTheme="minorEastAsia" w:eastAsiaTheme="minorEastAsia" w:cstheme="minorEastAsia"/>
          <w:color w:val="auto"/>
          <w:highlight w:val="none"/>
        </w:rPr>
        <w:t>注册渗透测试工程师（CISP-PTE)证书得3分</w:t>
      </w:r>
      <w:r>
        <w:rPr>
          <w:rFonts w:hint="eastAsia" w:asciiTheme="minorEastAsia" w:hAnsiTheme="minorEastAsia" w:eastAsiaTheme="minorEastAsia" w:cstheme="minorEastAsia"/>
          <w:color w:val="auto"/>
          <w:highlight w:val="none"/>
          <w:lang w:eastAsia="zh-CN"/>
        </w:rPr>
        <w:t>；</w:t>
      </w:r>
    </w:p>
    <w:p>
      <w:pPr>
        <w:pStyle w:val="53"/>
        <w:adjustRightInd w:val="0"/>
        <w:snapToGrid w:val="0"/>
        <w:spacing w:line="360" w:lineRule="auto"/>
        <w:ind w:firstLine="420" w:firstLineChars="200"/>
        <w:jc w:val="lef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C、运维人员中具有</w:t>
      </w:r>
      <w:r>
        <w:rPr>
          <w:rFonts w:hint="eastAsia" w:asciiTheme="minorEastAsia" w:hAnsiTheme="minorEastAsia" w:eastAsiaTheme="minorEastAsia" w:cstheme="minorEastAsia"/>
          <w:color w:val="auto"/>
          <w:highlight w:val="none"/>
          <w:lang w:val="en-US" w:eastAsia="zh-CN"/>
        </w:rPr>
        <w:t>工程师或工程师以上职称证书（软件工程）得3分</w:t>
      </w:r>
      <w:r>
        <w:rPr>
          <w:rFonts w:hint="eastAsia" w:asciiTheme="minorEastAsia" w:hAnsiTheme="minorEastAsia" w:eastAsiaTheme="minorEastAsia" w:cstheme="minorEastAsia"/>
          <w:color w:val="auto"/>
          <w:highlight w:val="none"/>
          <w:lang w:eastAsia="zh-CN"/>
        </w:rPr>
        <w:t>；</w:t>
      </w:r>
    </w:p>
    <w:p>
      <w:pPr>
        <w:pStyle w:val="53"/>
        <w:adjustRightInd w:val="0"/>
        <w:snapToGrid w:val="0"/>
        <w:spacing w:line="360" w:lineRule="auto"/>
        <w:ind w:firstLine="420" w:firstLineChars="200"/>
        <w:jc w:val="lef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D、</w:t>
      </w:r>
      <w:r>
        <w:rPr>
          <w:rFonts w:hint="eastAsia" w:asciiTheme="minorEastAsia" w:hAnsiTheme="minorEastAsia" w:eastAsiaTheme="minorEastAsia" w:cstheme="minorEastAsia"/>
          <w:color w:val="auto"/>
          <w:highlight w:val="none"/>
        </w:rPr>
        <w:t>运维人员中具有《国家职业资格目录（2021年版）》“一、 专业技术人员职业资格”第36项的计算机技术与软件专业技术资格证书（网络工程师）得</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分</w:t>
      </w:r>
      <w:r>
        <w:rPr>
          <w:rFonts w:hint="eastAsia" w:asciiTheme="minorEastAsia" w:hAnsiTheme="minorEastAsia" w:eastAsiaTheme="minorEastAsia" w:cstheme="minorEastAsia"/>
          <w:color w:val="auto"/>
          <w:highlight w:val="none"/>
          <w:lang w:eastAsia="zh-CN"/>
        </w:rPr>
        <w:t>。</w:t>
      </w:r>
    </w:p>
    <w:p>
      <w:pPr>
        <w:spacing w:line="360" w:lineRule="auto"/>
        <w:ind w:firstLine="420" w:firstLineChars="200"/>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bCs/>
          <w:color w:val="auto"/>
          <w:highlight w:val="none"/>
        </w:rPr>
        <w:t>注：</w:t>
      </w:r>
      <w:r>
        <w:rPr>
          <w:rFonts w:hint="eastAsia" w:asciiTheme="minorEastAsia" w:hAnsiTheme="minorEastAsia" w:eastAsiaTheme="minorEastAsia" w:cstheme="minorEastAsia"/>
          <w:b/>
          <w:bCs/>
          <w:color w:val="auto"/>
          <w:szCs w:val="21"/>
          <w:highlight w:val="none"/>
        </w:rPr>
        <w:t>第（2）、（3）、（4）项同一人员持有同一证书的，不可重复</w:t>
      </w:r>
      <w:r>
        <w:rPr>
          <w:rFonts w:hint="eastAsia" w:asciiTheme="minorEastAsia" w:hAnsiTheme="minorEastAsia" w:eastAsiaTheme="minorEastAsia" w:cstheme="minorEastAsia"/>
          <w:b/>
          <w:bCs/>
          <w:color w:val="auto"/>
          <w:szCs w:val="21"/>
          <w:highlight w:val="none"/>
          <w:lang w:eastAsia="zh-CN"/>
        </w:rPr>
        <w:t>得</w:t>
      </w:r>
      <w:r>
        <w:rPr>
          <w:rFonts w:hint="eastAsia" w:asciiTheme="minorEastAsia" w:hAnsiTheme="minorEastAsia" w:eastAsiaTheme="minorEastAsia" w:cstheme="minorEastAsia"/>
          <w:b/>
          <w:bCs/>
          <w:color w:val="auto"/>
          <w:szCs w:val="21"/>
          <w:highlight w:val="none"/>
        </w:rPr>
        <w:t>分，</w:t>
      </w:r>
      <w:r>
        <w:rPr>
          <w:rFonts w:hint="eastAsia" w:asciiTheme="minorEastAsia" w:hAnsiTheme="minorEastAsia" w:eastAsiaTheme="minorEastAsia" w:cstheme="minorEastAsia"/>
          <w:b/>
          <w:bCs/>
          <w:color w:val="auto"/>
          <w:szCs w:val="21"/>
          <w:highlight w:val="none"/>
          <w:lang w:eastAsia="zh-CN"/>
        </w:rPr>
        <w:t>同一人员</w:t>
      </w:r>
      <w:r>
        <w:rPr>
          <w:rFonts w:hint="eastAsia" w:asciiTheme="minorEastAsia" w:hAnsiTheme="minorEastAsia" w:eastAsiaTheme="minorEastAsia" w:cstheme="minorEastAsia"/>
          <w:b/>
          <w:bCs/>
          <w:color w:val="auto"/>
          <w:szCs w:val="21"/>
          <w:highlight w:val="none"/>
        </w:rPr>
        <w:t>持有不同证书的，可分别</w:t>
      </w:r>
      <w:r>
        <w:rPr>
          <w:rFonts w:hint="eastAsia" w:asciiTheme="minorEastAsia" w:hAnsiTheme="minorEastAsia" w:eastAsiaTheme="minorEastAsia" w:cstheme="minorEastAsia"/>
          <w:b/>
          <w:bCs/>
          <w:color w:val="auto"/>
          <w:szCs w:val="21"/>
          <w:highlight w:val="none"/>
          <w:lang w:eastAsia="zh-CN"/>
        </w:rPr>
        <w:t>得</w:t>
      </w:r>
      <w:r>
        <w:rPr>
          <w:rFonts w:hint="eastAsia" w:asciiTheme="minorEastAsia" w:hAnsiTheme="minorEastAsia" w:eastAsiaTheme="minorEastAsia" w:cstheme="minorEastAsia"/>
          <w:b/>
          <w:bCs/>
          <w:color w:val="auto"/>
          <w:szCs w:val="21"/>
          <w:highlight w:val="none"/>
        </w:rPr>
        <w:t>分；</w:t>
      </w:r>
      <w:r>
        <w:rPr>
          <w:rFonts w:hint="eastAsia" w:asciiTheme="minorEastAsia" w:hAnsiTheme="minorEastAsia" w:eastAsiaTheme="minorEastAsia" w:cstheme="minorEastAsia"/>
          <w:b/>
          <w:bCs/>
          <w:color w:val="auto"/>
          <w:highlight w:val="none"/>
        </w:rPr>
        <w:t>以上证书提供证书扫描件且加盖供应商的CA签章为准；</w:t>
      </w:r>
      <w:r>
        <w:rPr>
          <w:rFonts w:hint="eastAsia" w:asciiTheme="minorEastAsia" w:hAnsiTheme="minorEastAsia" w:eastAsiaTheme="minorEastAsia" w:cstheme="minorEastAsia"/>
          <w:b/>
          <w:color w:val="auto"/>
          <w:szCs w:val="21"/>
          <w:highlight w:val="none"/>
        </w:rPr>
        <w:t>供应商须提供上述人员证书、供应商为其缴纳的最近3个月内任意1个月的社保缴纳证明扫描件并加盖供应商电子签章；属代缴情况时，还应提供相关人事管理及社保缴纳说明材料，并加盖供应商电子</w:t>
      </w:r>
      <w:r>
        <w:rPr>
          <w:rFonts w:hint="eastAsia" w:asciiTheme="minorEastAsia" w:hAnsiTheme="minorEastAsia" w:eastAsiaTheme="minorEastAsia" w:cstheme="minorEastAsia"/>
          <w:b/>
          <w:bCs/>
          <w:color w:val="auto"/>
          <w:highlight w:val="none"/>
        </w:rPr>
        <w:t>签章</w:t>
      </w:r>
      <w:r>
        <w:rPr>
          <w:rFonts w:hint="eastAsia" w:asciiTheme="minorEastAsia" w:hAnsiTheme="minorEastAsia" w:eastAsiaTheme="minorEastAsia" w:cstheme="minorEastAsia"/>
          <w:b/>
          <w:color w:val="auto"/>
          <w:szCs w:val="21"/>
          <w:highlight w:val="none"/>
        </w:rPr>
        <w:t>，否则此项不得分。</w:t>
      </w:r>
    </w:p>
    <w:p>
      <w:pPr>
        <w:spacing w:line="360" w:lineRule="auto"/>
        <w:ind w:firstLine="420" w:firstLineChars="200"/>
        <w:jc w:val="left"/>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eastAsia="zh-CN"/>
        </w:rPr>
        <w:t>（</w:t>
      </w:r>
      <w:r>
        <w:rPr>
          <w:rFonts w:hint="eastAsia" w:asciiTheme="minorEastAsia" w:hAnsiTheme="minorEastAsia" w:eastAsiaTheme="minorEastAsia" w:cstheme="minorEastAsia"/>
          <w:b/>
          <w:color w:val="auto"/>
          <w:szCs w:val="21"/>
          <w:highlight w:val="none"/>
          <w:lang w:val="en-US" w:eastAsia="zh-CN"/>
        </w:rPr>
        <w:t>5</w:t>
      </w:r>
      <w:r>
        <w:rPr>
          <w:rFonts w:hint="eastAsia" w:asciiTheme="minorEastAsia" w:hAnsiTheme="minorEastAsia" w:eastAsiaTheme="minorEastAsia" w:cstheme="minorEastAsia"/>
          <w:b/>
          <w:color w:val="auto"/>
          <w:szCs w:val="21"/>
          <w:highlight w:val="none"/>
          <w:lang w:eastAsia="zh-CN"/>
        </w:rPr>
        <w:t>）</w:t>
      </w:r>
      <w:r>
        <w:rPr>
          <w:rFonts w:hint="eastAsia" w:asciiTheme="minorEastAsia" w:hAnsiTheme="minorEastAsia" w:eastAsiaTheme="minorEastAsia" w:cstheme="minorEastAsia"/>
          <w:b/>
          <w:color w:val="auto"/>
          <w:szCs w:val="21"/>
          <w:highlight w:val="none"/>
          <w:lang w:val="en-US" w:eastAsia="zh-CN"/>
        </w:rPr>
        <w:t>安全资质分（8分）</w:t>
      </w:r>
    </w:p>
    <w:p>
      <w:pPr>
        <w:pStyle w:val="53"/>
        <w:spacing w:line="360" w:lineRule="auto"/>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Cs w:val="21"/>
          <w:highlight w:val="none"/>
          <w:lang w:val="en-US" w:eastAsia="zh-CN"/>
        </w:rPr>
        <w:t>供应商或其总公司具备</w:t>
      </w:r>
      <w:r>
        <w:rPr>
          <w:rFonts w:hint="eastAsia" w:asciiTheme="minorEastAsia" w:hAnsiTheme="minorEastAsia" w:eastAsiaTheme="minorEastAsia" w:cstheme="minorEastAsia"/>
          <w:color w:val="auto"/>
          <w:highlight w:val="none"/>
        </w:rPr>
        <w:t>ISO</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27032网络空间安全管理体系认证证书</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CSA STAR云安全管理体系认证证书</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信息安全管理体系认证证书（包含云存储和网络安全服务）</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云计算安全评估证书（云控制矩阵V4）</w:t>
      </w:r>
      <w:r>
        <w:rPr>
          <w:rFonts w:hint="eastAsia" w:asciiTheme="minorEastAsia" w:hAnsiTheme="minorEastAsia" w:eastAsiaTheme="minorEastAsia" w:cstheme="minorEastAsia"/>
          <w:color w:val="auto"/>
          <w:highlight w:val="none"/>
          <w:lang w:val="en-US" w:eastAsia="zh-CN"/>
        </w:rPr>
        <w:t>的</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每项得2分，满分</w:t>
      </w:r>
      <w:r>
        <w:rPr>
          <w:rFonts w:hint="eastAsia" w:asciiTheme="minorEastAsia" w:hAnsiTheme="minorEastAsia" w:eastAsiaTheme="minorEastAsia" w:cstheme="minorEastAsia"/>
          <w:color w:val="auto"/>
          <w:highlight w:val="none"/>
          <w:lang w:val="en-US" w:eastAsia="zh-CN"/>
        </w:rPr>
        <w:t>8</w:t>
      </w:r>
      <w:r>
        <w:rPr>
          <w:rFonts w:hint="eastAsia" w:asciiTheme="minorEastAsia" w:hAnsiTheme="minorEastAsia" w:eastAsiaTheme="minorEastAsia" w:cstheme="minorEastAsia"/>
          <w:color w:val="auto"/>
          <w:highlight w:val="none"/>
        </w:rPr>
        <w:t>分</w:t>
      </w:r>
      <w:r>
        <w:rPr>
          <w:rFonts w:hint="eastAsia" w:asciiTheme="minorEastAsia" w:hAnsiTheme="minorEastAsia" w:eastAsiaTheme="minorEastAsia" w:cstheme="minorEastAsia"/>
          <w:b/>
          <w:bCs/>
          <w:color w:val="auto"/>
          <w:highlight w:val="none"/>
        </w:rPr>
        <w:t>。</w:t>
      </w:r>
      <w:r>
        <w:rPr>
          <w:rFonts w:hint="eastAsia" w:asciiTheme="minorEastAsia" w:hAnsiTheme="minorEastAsia" w:eastAsiaTheme="minorEastAsia" w:cstheme="minorEastAsia"/>
          <w:b/>
          <w:bCs/>
          <w:color w:val="auto"/>
          <w:highlight w:val="none"/>
          <w:lang w:val="en-US" w:eastAsia="zh-CN"/>
        </w:rPr>
        <w:t>以上</w:t>
      </w:r>
      <w:r>
        <w:rPr>
          <w:rFonts w:hint="eastAsia" w:asciiTheme="minorEastAsia" w:hAnsiTheme="minorEastAsia" w:eastAsiaTheme="minorEastAsia" w:cstheme="minorEastAsia"/>
          <w:b/>
          <w:bCs/>
          <w:color w:val="auto"/>
          <w:highlight w:val="none"/>
        </w:rPr>
        <w:t>证书须在有效期内，提供认证证书扫描件并加盖供应商电子签章。</w:t>
      </w:r>
    </w:p>
    <w:p>
      <w:pPr>
        <w:pStyle w:val="53"/>
        <w:spacing w:line="360" w:lineRule="auto"/>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4. 业绩分…………………………………………………………………………………………………满分3分</w:t>
      </w:r>
    </w:p>
    <w:p>
      <w:pPr>
        <w:pStyle w:val="53"/>
        <w:spacing w:line="360" w:lineRule="auto"/>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提供自2023年1月1日至今承接的机房改造、机房建设、机房或信息系统迁移、信息化运维等类似经营业绩，以中标、成交通知书或签订的服务合同为准，并能清晰反映所服务名称、服务内容、日期，否则将不予评审，同一个编号的项目有两个或两个以上的分标中标的只算一次，证明材料须加盖供应商公章），每个有效业绩得1分，满分3分。</w:t>
      </w:r>
    </w:p>
    <w:p>
      <w:pPr>
        <w:spacing w:line="360" w:lineRule="auto"/>
        <w:ind w:firstLine="420" w:firstLineChars="200"/>
        <w:jc w:val="left"/>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5</w:t>
      </w:r>
      <w:r>
        <w:rPr>
          <w:rFonts w:hint="eastAsia" w:asciiTheme="minorEastAsia" w:hAnsiTheme="minorEastAsia" w:eastAsiaTheme="minorEastAsia" w:cstheme="minorEastAsia"/>
          <w:b/>
          <w:bCs/>
          <w:color w:val="auto"/>
          <w:szCs w:val="21"/>
          <w:highlight w:val="none"/>
        </w:rPr>
        <w:t>、综合得分＝1+2+3</w:t>
      </w:r>
      <w:r>
        <w:rPr>
          <w:rFonts w:hint="eastAsia" w:asciiTheme="minorEastAsia" w:hAnsiTheme="minorEastAsia" w:eastAsiaTheme="minorEastAsia" w:cstheme="minorEastAsia"/>
          <w:b/>
          <w:bCs/>
          <w:color w:val="auto"/>
          <w:szCs w:val="21"/>
          <w:highlight w:val="none"/>
          <w:lang w:val="en-US" w:eastAsia="zh-CN"/>
        </w:rPr>
        <w:t>+4</w:t>
      </w:r>
    </w:p>
    <w:p>
      <w:pPr>
        <w:pStyle w:val="13"/>
        <w:tabs>
          <w:tab w:val="left" w:pos="4214"/>
        </w:tabs>
        <w:spacing w:line="360" w:lineRule="auto"/>
        <w:ind w:firstLine="420" w:firstLineChars="20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三、推荐及确定成交候选供应商原则</w:t>
      </w:r>
    </w:p>
    <w:p>
      <w:pPr>
        <w:pStyle w:val="13"/>
        <w:tabs>
          <w:tab w:val="left" w:pos="4214"/>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（1）磋商小组应当根据综合得分由高到低排列次序，若得分相同时，按评审价由低到高顺序排列；得分相同且评审价也相同的由磋商小组按照抽签的方式决定排次次序。</w:t>
      </w:r>
    </w:p>
    <w:p>
      <w:pPr>
        <w:pStyle w:val="13"/>
        <w:tabs>
          <w:tab w:val="left" w:pos="4214"/>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（2）磋商小组可推荐前三名为成交候选人，采购人应当确定磋商小组推荐排名第一的成交候选人为成交供应商。</w:t>
      </w:r>
    </w:p>
    <w:p>
      <w:pPr>
        <w:pStyle w:val="13"/>
        <w:tabs>
          <w:tab w:val="left" w:pos="4214"/>
        </w:tabs>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3）排名第一的成交候选人放弃成交、因不可抗力提出不能履行合同或未按规定提交履约保证金的，采购人可以按照评审报告推荐的成交候选人名单排序，依法确定下一候选人为成交供应商，也可以重新开展采购活动。</w:t>
      </w:r>
    </w:p>
    <w:p>
      <w:pPr>
        <w:spacing w:line="360" w:lineRule="auto"/>
        <w:ind w:firstLine="424" w:firstLineChars="202"/>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三、特别说明</w:t>
      </w:r>
    </w:p>
    <w:p>
      <w:pPr>
        <w:spacing w:line="360" w:lineRule="auto"/>
        <w:ind w:firstLine="420"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评审时，评标委员会根据《关于推动解决政府采购异常低价问题的通知》（财库〔2026〕2号）相关规定启动异常低价投标（响应）审查程序。启动异常低价投标（响应）审查后，</w:t>
      </w:r>
      <w:r>
        <w:rPr>
          <w:rStyle w:val="39"/>
          <w:rFonts w:hint="eastAsia" w:asciiTheme="minorEastAsia" w:hAnsiTheme="minorEastAsia" w:eastAsiaTheme="minorEastAsia" w:cstheme="minorEastAsia"/>
          <w:b/>
          <w:bCs/>
          <w:color w:val="auto"/>
          <w:szCs w:val="21"/>
          <w:highlight w:val="none"/>
        </w:rPr>
        <w:t>应当要求供应商在谈判小组要求的时间内</w:t>
      </w:r>
      <w:r>
        <w:rPr>
          <w:rFonts w:hint="eastAsia" w:asciiTheme="minorEastAsia" w:hAnsiTheme="minorEastAsia" w:eastAsiaTheme="minorEastAsia" w:cstheme="minorEastAsia"/>
          <w:b/>
          <w:bCs/>
          <w:color w:val="auto"/>
          <w:szCs w:val="21"/>
          <w:highlight w:val="none"/>
        </w:rPr>
        <w:t>对投标（响应）价格作出解释，</w:t>
      </w:r>
      <w:r>
        <w:rPr>
          <w:rFonts w:hint="eastAsia" w:asciiTheme="minorEastAsia" w:hAnsiTheme="minorEastAsia" w:eastAsiaTheme="minorEastAsia" w:cstheme="minorEastAsia"/>
          <w:b/>
          <w:bCs/>
          <w:color w:val="auto"/>
          <w:szCs w:val="21"/>
          <w:highlight w:val="none"/>
          <w:shd w:val="clear" w:color="auto" w:fill="FFFFFF"/>
        </w:rPr>
        <w:t>提供项目具体成本测算等与报价合理性相关的书面说明及必要的证明材料（包括但不限于原材料成本、人工成本、制造费用等）。</w:t>
      </w:r>
      <w:r>
        <w:rPr>
          <w:rFonts w:hint="eastAsia" w:asciiTheme="minorEastAsia" w:hAnsiTheme="minorEastAsia" w:eastAsiaTheme="minorEastAsia" w:cstheme="minorEastAsia"/>
          <w:b/>
          <w:bCs/>
          <w:color w:val="auto"/>
          <w:szCs w:val="21"/>
          <w:highlight w:val="none"/>
        </w:rPr>
        <w:t>投标供应商不能提供书面说明、证明材料，或者提供的书面说明、证明材料不能证明其报价合理性的，评标委员会应当将其作为无效投标（响应）处理。 异常低价投标（响应）审查的启动原因、审查意见和审查结果应当在评审报告中记录。</w:t>
      </w:r>
    </w:p>
    <w:p>
      <w:pPr>
        <w:spacing w:line="360" w:lineRule="auto"/>
        <w:ind w:firstLine="420"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Cs w:val="21"/>
          <w:highlight w:val="none"/>
        </w:rPr>
        <w:t>为避免因未能及时提供说明而导致被评标委员会作为无效投标情形，</w:t>
      </w:r>
      <w:r>
        <w:rPr>
          <w:rFonts w:hint="eastAsia" w:asciiTheme="minorEastAsia" w:hAnsiTheme="minorEastAsia" w:eastAsiaTheme="minorEastAsia" w:cstheme="minorEastAsia"/>
          <w:b/>
          <w:bCs/>
          <w:color w:val="auto"/>
          <w:szCs w:val="21"/>
          <w:highlight w:val="none"/>
          <w:shd w:val="clear" w:color="auto" w:fill="FFFFFF"/>
        </w:rPr>
        <w:t>供应商可提前准备或随投标（响应）文件一并提交相关书面说明及必要的证明材料。</w:t>
      </w:r>
    </w:p>
    <w:p>
      <w:pPr>
        <w:spacing w:line="280" w:lineRule="exac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附表</w:t>
      </w:r>
    </w:p>
    <w:p>
      <w:pPr>
        <w:widowControl/>
        <w:spacing w:beforeLines="50" w:afterLines="50" w:line="280" w:lineRule="exact"/>
        <w:jc w:val="center"/>
        <w:rPr>
          <w:rFonts w:hint="eastAsia" w:asciiTheme="minorEastAsia" w:hAnsiTheme="minorEastAsia" w:eastAsiaTheme="minorEastAsia" w:cstheme="minorEastAsia"/>
          <w:b/>
          <w:bCs/>
          <w:color w:val="auto"/>
          <w:kern w:val="0"/>
          <w:sz w:val="30"/>
          <w:szCs w:val="30"/>
          <w:highlight w:val="none"/>
        </w:rPr>
      </w:pPr>
      <w:bookmarkStart w:id="473" w:name="_Toc28361_WPSOffice_Level2"/>
      <w:r>
        <w:rPr>
          <w:rFonts w:hint="eastAsia" w:asciiTheme="minorEastAsia" w:hAnsiTheme="minorEastAsia" w:eastAsiaTheme="minorEastAsia" w:cstheme="minorEastAsia"/>
          <w:b/>
          <w:bCs/>
          <w:color w:val="auto"/>
          <w:kern w:val="0"/>
          <w:sz w:val="30"/>
          <w:szCs w:val="30"/>
          <w:highlight w:val="none"/>
        </w:rPr>
        <w:t>统计上大中小微型企业划分标准</w:t>
      </w:r>
      <w:bookmarkEnd w:id="473"/>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FFFFFF"/>
            <w:noWrap/>
            <w:vAlign w:val="center"/>
          </w:tcPr>
          <w:p>
            <w:pPr>
              <w:widowControl/>
              <w:spacing w:line="280" w:lineRule="exact"/>
              <w:jc w:val="center"/>
              <w:rPr>
                <w:rFonts w:hint="eastAsia" w:asciiTheme="minorEastAsia" w:hAnsiTheme="minorEastAsia" w:eastAsiaTheme="minorEastAsia" w:cstheme="minorEastAsia"/>
                <w:b/>
                <w:bCs/>
                <w:color w:val="auto"/>
                <w:kern w:val="0"/>
                <w:sz w:val="18"/>
                <w:szCs w:val="21"/>
                <w:highlight w:val="none"/>
              </w:rPr>
            </w:pPr>
            <w:r>
              <w:rPr>
                <w:rFonts w:hint="eastAsia" w:asciiTheme="minorEastAsia" w:hAnsiTheme="minorEastAsia" w:eastAsiaTheme="minorEastAsia" w:cstheme="minorEastAsia"/>
                <w:b/>
                <w:bCs/>
                <w:color w:val="auto"/>
                <w:kern w:val="0"/>
                <w:sz w:val="18"/>
                <w:szCs w:val="21"/>
                <w:highlight w:val="none"/>
              </w:rPr>
              <w:t>行业名称</w:t>
            </w:r>
          </w:p>
        </w:tc>
        <w:tc>
          <w:tcPr>
            <w:tcW w:w="1369" w:type="dxa"/>
            <w:shd w:val="clear" w:color="auto" w:fill="FFFFFF"/>
            <w:noWrap/>
            <w:vAlign w:val="center"/>
          </w:tcPr>
          <w:p>
            <w:pPr>
              <w:widowControl/>
              <w:spacing w:line="280" w:lineRule="exact"/>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指标名称</w:t>
            </w:r>
          </w:p>
        </w:tc>
        <w:tc>
          <w:tcPr>
            <w:tcW w:w="709" w:type="dxa"/>
            <w:shd w:val="clear" w:color="auto" w:fill="FFFFFF"/>
            <w:noWrap/>
            <w:vAlign w:val="center"/>
          </w:tcPr>
          <w:p>
            <w:pPr>
              <w:widowControl/>
              <w:spacing w:line="280" w:lineRule="exact"/>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计量</w:t>
            </w:r>
          </w:p>
          <w:p>
            <w:pPr>
              <w:widowControl/>
              <w:spacing w:line="280" w:lineRule="exact"/>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单位</w:t>
            </w:r>
          </w:p>
        </w:tc>
        <w:tc>
          <w:tcPr>
            <w:tcW w:w="1125" w:type="dxa"/>
            <w:shd w:val="clear" w:color="auto" w:fill="FFFFFF"/>
            <w:noWrap/>
            <w:vAlign w:val="center"/>
          </w:tcPr>
          <w:p>
            <w:pPr>
              <w:widowControl/>
              <w:spacing w:line="280" w:lineRule="exact"/>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大型</w:t>
            </w:r>
          </w:p>
        </w:tc>
        <w:tc>
          <w:tcPr>
            <w:tcW w:w="1701" w:type="dxa"/>
            <w:shd w:val="clear" w:color="auto" w:fill="FFFFFF"/>
            <w:noWrap/>
            <w:vAlign w:val="center"/>
          </w:tcPr>
          <w:p>
            <w:pPr>
              <w:widowControl/>
              <w:spacing w:line="280" w:lineRule="exact"/>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中型</w:t>
            </w:r>
          </w:p>
        </w:tc>
        <w:tc>
          <w:tcPr>
            <w:tcW w:w="1426" w:type="dxa"/>
            <w:shd w:val="clear" w:color="auto" w:fill="FFFFFF"/>
            <w:noWrap/>
            <w:vAlign w:val="center"/>
          </w:tcPr>
          <w:p>
            <w:pPr>
              <w:widowControl/>
              <w:spacing w:line="280" w:lineRule="exact"/>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小型</w:t>
            </w:r>
          </w:p>
        </w:tc>
        <w:tc>
          <w:tcPr>
            <w:tcW w:w="992" w:type="dxa"/>
            <w:shd w:val="clear" w:color="auto" w:fill="FFFFFF"/>
            <w:noWrap/>
            <w:vAlign w:val="center"/>
          </w:tcPr>
          <w:p>
            <w:pPr>
              <w:widowControl/>
              <w:spacing w:line="280" w:lineRule="exact"/>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ign w:val="center"/>
          </w:tcPr>
          <w:p>
            <w:pPr>
              <w:widowControl/>
              <w:spacing w:line="28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农、林、牧、渔业</w:t>
            </w:r>
          </w:p>
        </w:tc>
        <w:tc>
          <w:tcPr>
            <w:tcW w:w="136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Y≥20000</w:t>
            </w:r>
          </w:p>
        </w:tc>
        <w:tc>
          <w:tcPr>
            <w:tcW w:w="1701"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500≤Y＜20000</w:t>
            </w:r>
          </w:p>
        </w:tc>
        <w:tc>
          <w:tcPr>
            <w:tcW w:w="1426"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50≤Y＜500</w:t>
            </w:r>
          </w:p>
        </w:tc>
        <w:tc>
          <w:tcPr>
            <w:tcW w:w="992"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pPr>
              <w:widowControl/>
              <w:spacing w:line="28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工业※</w:t>
            </w:r>
          </w:p>
        </w:tc>
        <w:tc>
          <w:tcPr>
            <w:tcW w:w="136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X≥1000</w:t>
            </w:r>
          </w:p>
        </w:tc>
        <w:tc>
          <w:tcPr>
            <w:tcW w:w="1701"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426"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20≤X＜300</w:t>
            </w:r>
          </w:p>
        </w:tc>
        <w:tc>
          <w:tcPr>
            <w:tcW w:w="992"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pPr>
              <w:widowControl/>
              <w:spacing w:line="280" w:lineRule="exact"/>
              <w:jc w:val="left"/>
              <w:rPr>
                <w:rFonts w:hint="eastAsia" w:asciiTheme="minorEastAsia" w:hAnsiTheme="minorEastAsia" w:eastAsiaTheme="minorEastAsia" w:cstheme="minorEastAsia"/>
                <w:color w:val="auto"/>
                <w:kern w:val="0"/>
                <w:sz w:val="18"/>
                <w:szCs w:val="18"/>
                <w:highlight w:val="none"/>
              </w:rPr>
            </w:pPr>
          </w:p>
        </w:tc>
        <w:tc>
          <w:tcPr>
            <w:tcW w:w="136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Y≥40000</w:t>
            </w:r>
          </w:p>
        </w:tc>
        <w:tc>
          <w:tcPr>
            <w:tcW w:w="1701"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2000≤Y＜40000</w:t>
            </w:r>
          </w:p>
        </w:tc>
        <w:tc>
          <w:tcPr>
            <w:tcW w:w="1426"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300≤Y＜2000</w:t>
            </w:r>
          </w:p>
        </w:tc>
        <w:tc>
          <w:tcPr>
            <w:tcW w:w="992"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pPr>
              <w:widowControl/>
              <w:spacing w:line="28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建筑业</w:t>
            </w:r>
          </w:p>
        </w:tc>
        <w:tc>
          <w:tcPr>
            <w:tcW w:w="136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Y≥80000</w:t>
            </w:r>
          </w:p>
        </w:tc>
        <w:tc>
          <w:tcPr>
            <w:tcW w:w="1701"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6000≤Y＜80000</w:t>
            </w:r>
          </w:p>
        </w:tc>
        <w:tc>
          <w:tcPr>
            <w:tcW w:w="1426"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300≤Y＜6000</w:t>
            </w:r>
          </w:p>
        </w:tc>
        <w:tc>
          <w:tcPr>
            <w:tcW w:w="992"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pPr>
              <w:widowControl/>
              <w:spacing w:line="280" w:lineRule="exact"/>
              <w:jc w:val="left"/>
              <w:rPr>
                <w:rFonts w:hint="eastAsia" w:asciiTheme="minorEastAsia" w:hAnsiTheme="minorEastAsia" w:eastAsiaTheme="minorEastAsia" w:cstheme="minorEastAsia"/>
                <w:color w:val="auto"/>
                <w:kern w:val="0"/>
                <w:sz w:val="18"/>
                <w:szCs w:val="18"/>
                <w:highlight w:val="none"/>
              </w:rPr>
            </w:pPr>
          </w:p>
        </w:tc>
        <w:tc>
          <w:tcPr>
            <w:tcW w:w="136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资产总额(Z)</w:t>
            </w:r>
          </w:p>
        </w:tc>
        <w:tc>
          <w:tcPr>
            <w:tcW w:w="70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Z≥80000</w:t>
            </w:r>
          </w:p>
        </w:tc>
        <w:tc>
          <w:tcPr>
            <w:tcW w:w="1701"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5000≤Z＜80000</w:t>
            </w:r>
          </w:p>
        </w:tc>
        <w:tc>
          <w:tcPr>
            <w:tcW w:w="1426"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300≤Z＜5000</w:t>
            </w:r>
          </w:p>
        </w:tc>
        <w:tc>
          <w:tcPr>
            <w:tcW w:w="992"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pPr>
              <w:widowControl/>
              <w:spacing w:line="28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批发业</w:t>
            </w:r>
          </w:p>
        </w:tc>
        <w:tc>
          <w:tcPr>
            <w:tcW w:w="136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X≥200</w:t>
            </w:r>
          </w:p>
        </w:tc>
        <w:tc>
          <w:tcPr>
            <w:tcW w:w="1701"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20≤X＜200</w:t>
            </w:r>
          </w:p>
        </w:tc>
        <w:tc>
          <w:tcPr>
            <w:tcW w:w="1426"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5≤X＜20</w:t>
            </w:r>
          </w:p>
        </w:tc>
        <w:tc>
          <w:tcPr>
            <w:tcW w:w="992"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pPr>
              <w:widowControl/>
              <w:spacing w:line="280" w:lineRule="exact"/>
              <w:jc w:val="left"/>
              <w:rPr>
                <w:rFonts w:hint="eastAsia" w:asciiTheme="minorEastAsia" w:hAnsiTheme="minorEastAsia" w:eastAsiaTheme="minorEastAsia" w:cstheme="minorEastAsia"/>
                <w:color w:val="auto"/>
                <w:kern w:val="0"/>
                <w:sz w:val="18"/>
                <w:szCs w:val="18"/>
                <w:highlight w:val="none"/>
              </w:rPr>
            </w:pPr>
          </w:p>
        </w:tc>
        <w:tc>
          <w:tcPr>
            <w:tcW w:w="136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Y≥40000</w:t>
            </w:r>
          </w:p>
        </w:tc>
        <w:tc>
          <w:tcPr>
            <w:tcW w:w="1701"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5000≤Y＜40000</w:t>
            </w:r>
          </w:p>
        </w:tc>
        <w:tc>
          <w:tcPr>
            <w:tcW w:w="1426" w:type="dxa"/>
            <w:noWrap/>
            <w:vAlign w:val="center"/>
          </w:tcPr>
          <w:p>
            <w:pPr>
              <w:widowControl/>
              <w:spacing w:line="280" w:lineRule="exact"/>
              <w:ind w:left="-1" w:leftChars="-1" w:hanging="1"/>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1000≤Y＜5000</w:t>
            </w:r>
          </w:p>
        </w:tc>
        <w:tc>
          <w:tcPr>
            <w:tcW w:w="992"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pPr>
              <w:widowControl/>
              <w:spacing w:line="28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零售业</w:t>
            </w:r>
          </w:p>
        </w:tc>
        <w:tc>
          <w:tcPr>
            <w:tcW w:w="136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X≥300</w:t>
            </w:r>
          </w:p>
        </w:tc>
        <w:tc>
          <w:tcPr>
            <w:tcW w:w="1701"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50≤X＜300</w:t>
            </w:r>
          </w:p>
        </w:tc>
        <w:tc>
          <w:tcPr>
            <w:tcW w:w="1426" w:type="dxa"/>
            <w:noWrap/>
            <w:vAlign w:val="center"/>
          </w:tcPr>
          <w:p>
            <w:pPr>
              <w:widowControl/>
              <w:spacing w:line="280" w:lineRule="exact"/>
              <w:ind w:left="-1" w:leftChars="-1" w:hanging="1"/>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10≤X＜50 </w:t>
            </w:r>
          </w:p>
        </w:tc>
        <w:tc>
          <w:tcPr>
            <w:tcW w:w="992"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pPr>
              <w:widowControl/>
              <w:spacing w:line="280" w:lineRule="exact"/>
              <w:jc w:val="left"/>
              <w:rPr>
                <w:rFonts w:hint="eastAsia" w:asciiTheme="minorEastAsia" w:hAnsiTheme="minorEastAsia" w:eastAsiaTheme="minorEastAsia" w:cstheme="minorEastAsia"/>
                <w:color w:val="auto"/>
                <w:kern w:val="0"/>
                <w:sz w:val="18"/>
                <w:szCs w:val="18"/>
                <w:highlight w:val="none"/>
              </w:rPr>
            </w:pPr>
          </w:p>
        </w:tc>
        <w:tc>
          <w:tcPr>
            <w:tcW w:w="136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Y≥20000</w:t>
            </w:r>
          </w:p>
        </w:tc>
        <w:tc>
          <w:tcPr>
            <w:tcW w:w="1701"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500≤Y＜20000</w:t>
            </w:r>
          </w:p>
        </w:tc>
        <w:tc>
          <w:tcPr>
            <w:tcW w:w="1426" w:type="dxa"/>
            <w:noWrap/>
            <w:vAlign w:val="center"/>
          </w:tcPr>
          <w:p>
            <w:pPr>
              <w:widowControl/>
              <w:spacing w:line="280" w:lineRule="exact"/>
              <w:ind w:left="-1" w:leftChars="-1" w:hanging="1"/>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100≤Y＜500</w:t>
            </w:r>
          </w:p>
        </w:tc>
        <w:tc>
          <w:tcPr>
            <w:tcW w:w="992"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pPr>
              <w:widowControl/>
              <w:spacing w:line="28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交通运输业※</w:t>
            </w:r>
          </w:p>
        </w:tc>
        <w:tc>
          <w:tcPr>
            <w:tcW w:w="136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X≥1000</w:t>
            </w:r>
          </w:p>
        </w:tc>
        <w:tc>
          <w:tcPr>
            <w:tcW w:w="1701"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426"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20≤X＜300</w:t>
            </w:r>
          </w:p>
        </w:tc>
        <w:tc>
          <w:tcPr>
            <w:tcW w:w="992"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pPr>
              <w:widowControl/>
              <w:spacing w:line="280" w:lineRule="exact"/>
              <w:jc w:val="left"/>
              <w:rPr>
                <w:rFonts w:hint="eastAsia" w:asciiTheme="minorEastAsia" w:hAnsiTheme="minorEastAsia" w:eastAsiaTheme="minorEastAsia" w:cstheme="minorEastAsia"/>
                <w:color w:val="auto"/>
                <w:kern w:val="0"/>
                <w:sz w:val="18"/>
                <w:szCs w:val="18"/>
                <w:highlight w:val="none"/>
              </w:rPr>
            </w:pPr>
          </w:p>
        </w:tc>
        <w:tc>
          <w:tcPr>
            <w:tcW w:w="136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Y≥30000</w:t>
            </w:r>
          </w:p>
        </w:tc>
        <w:tc>
          <w:tcPr>
            <w:tcW w:w="1701"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3000≤Y＜30000</w:t>
            </w:r>
          </w:p>
        </w:tc>
        <w:tc>
          <w:tcPr>
            <w:tcW w:w="1426"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200≤Y＜3000</w:t>
            </w:r>
          </w:p>
        </w:tc>
        <w:tc>
          <w:tcPr>
            <w:tcW w:w="992"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pPr>
              <w:widowControl/>
              <w:spacing w:line="28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仓储业※</w:t>
            </w:r>
          </w:p>
        </w:tc>
        <w:tc>
          <w:tcPr>
            <w:tcW w:w="136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X≥200</w:t>
            </w:r>
          </w:p>
        </w:tc>
        <w:tc>
          <w:tcPr>
            <w:tcW w:w="1701" w:type="dxa"/>
            <w:noWrap/>
            <w:vAlign w:val="center"/>
          </w:tcPr>
          <w:p>
            <w:pPr>
              <w:widowControl/>
              <w:spacing w:line="280" w:lineRule="exact"/>
              <w:ind w:left="1" w:leftChars="-51" w:hanging="108" w:hangingChars="6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100≤X＜200</w:t>
            </w:r>
          </w:p>
        </w:tc>
        <w:tc>
          <w:tcPr>
            <w:tcW w:w="1426"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20≤X＜100</w:t>
            </w:r>
          </w:p>
        </w:tc>
        <w:tc>
          <w:tcPr>
            <w:tcW w:w="992"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pPr>
              <w:widowControl/>
              <w:spacing w:line="280" w:lineRule="exact"/>
              <w:jc w:val="left"/>
              <w:rPr>
                <w:rFonts w:hint="eastAsia" w:asciiTheme="minorEastAsia" w:hAnsiTheme="minorEastAsia" w:eastAsiaTheme="minorEastAsia" w:cstheme="minorEastAsia"/>
                <w:color w:val="auto"/>
                <w:kern w:val="0"/>
                <w:sz w:val="18"/>
                <w:szCs w:val="18"/>
                <w:highlight w:val="none"/>
              </w:rPr>
            </w:pPr>
          </w:p>
        </w:tc>
        <w:tc>
          <w:tcPr>
            <w:tcW w:w="136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Y≥30000</w:t>
            </w:r>
          </w:p>
        </w:tc>
        <w:tc>
          <w:tcPr>
            <w:tcW w:w="1701"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1000≤Y＜30000</w:t>
            </w:r>
          </w:p>
        </w:tc>
        <w:tc>
          <w:tcPr>
            <w:tcW w:w="1426"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100≤Y＜1000</w:t>
            </w:r>
          </w:p>
        </w:tc>
        <w:tc>
          <w:tcPr>
            <w:tcW w:w="992"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pPr>
              <w:widowControl/>
              <w:spacing w:line="28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邮政业</w:t>
            </w:r>
          </w:p>
        </w:tc>
        <w:tc>
          <w:tcPr>
            <w:tcW w:w="136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X≥1000</w:t>
            </w:r>
          </w:p>
        </w:tc>
        <w:tc>
          <w:tcPr>
            <w:tcW w:w="1701"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426"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20≤X＜300</w:t>
            </w:r>
          </w:p>
        </w:tc>
        <w:tc>
          <w:tcPr>
            <w:tcW w:w="992"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pPr>
              <w:widowControl/>
              <w:spacing w:line="280" w:lineRule="exact"/>
              <w:jc w:val="left"/>
              <w:rPr>
                <w:rFonts w:hint="eastAsia" w:asciiTheme="minorEastAsia" w:hAnsiTheme="minorEastAsia" w:eastAsiaTheme="minorEastAsia" w:cstheme="minorEastAsia"/>
                <w:color w:val="auto"/>
                <w:kern w:val="0"/>
                <w:sz w:val="18"/>
                <w:szCs w:val="18"/>
                <w:highlight w:val="none"/>
              </w:rPr>
            </w:pPr>
          </w:p>
        </w:tc>
        <w:tc>
          <w:tcPr>
            <w:tcW w:w="136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Y≥30000</w:t>
            </w:r>
          </w:p>
        </w:tc>
        <w:tc>
          <w:tcPr>
            <w:tcW w:w="1701"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2000≤Y＜30000</w:t>
            </w:r>
          </w:p>
        </w:tc>
        <w:tc>
          <w:tcPr>
            <w:tcW w:w="1426"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100≤Y＜2000</w:t>
            </w:r>
          </w:p>
        </w:tc>
        <w:tc>
          <w:tcPr>
            <w:tcW w:w="992"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pPr>
              <w:widowControl/>
              <w:spacing w:line="28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住宿业</w:t>
            </w:r>
          </w:p>
        </w:tc>
        <w:tc>
          <w:tcPr>
            <w:tcW w:w="136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X≥300</w:t>
            </w:r>
          </w:p>
        </w:tc>
        <w:tc>
          <w:tcPr>
            <w:tcW w:w="1701" w:type="dxa"/>
            <w:noWrap/>
            <w:vAlign w:val="center"/>
          </w:tcPr>
          <w:p>
            <w:pPr>
              <w:widowControl/>
              <w:spacing w:line="280" w:lineRule="exact"/>
              <w:ind w:left="1" w:leftChars="-51" w:hanging="108" w:hangingChars="6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426"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992"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pPr>
              <w:widowControl/>
              <w:spacing w:line="280" w:lineRule="exact"/>
              <w:jc w:val="left"/>
              <w:rPr>
                <w:rFonts w:hint="eastAsia" w:asciiTheme="minorEastAsia" w:hAnsiTheme="minorEastAsia" w:eastAsiaTheme="minorEastAsia" w:cstheme="minorEastAsia"/>
                <w:color w:val="auto"/>
                <w:kern w:val="0"/>
                <w:sz w:val="18"/>
                <w:szCs w:val="18"/>
                <w:highlight w:val="none"/>
              </w:rPr>
            </w:pPr>
          </w:p>
        </w:tc>
        <w:tc>
          <w:tcPr>
            <w:tcW w:w="136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Y≥10000</w:t>
            </w:r>
          </w:p>
        </w:tc>
        <w:tc>
          <w:tcPr>
            <w:tcW w:w="1701"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2000≤Y＜10000</w:t>
            </w:r>
          </w:p>
        </w:tc>
        <w:tc>
          <w:tcPr>
            <w:tcW w:w="1426"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100≤Y＜2000</w:t>
            </w:r>
          </w:p>
        </w:tc>
        <w:tc>
          <w:tcPr>
            <w:tcW w:w="992"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pPr>
              <w:widowControl/>
              <w:spacing w:line="28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餐饮业</w:t>
            </w:r>
          </w:p>
        </w:tc>
        <w:tc>
          <w:tcPr>
            <w:tcW w:w="136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X≥300</w:t>
            </w:r>
          </w:p>
        </w:tc>
        <w:tc>
          <w:tcPr>
            <w:tcW w:w="1701" w:type="dxa"/>
            <w:noWrap/>
            <w:vAlign w:val="center"/>
          </w:tcPr>
          <w:p>
            <w:pPr>
              <w:widowControl/>
              <w:spacing w:line="280" w:lineRule="exact"/>
              <w:ind w:left="1" w:leftChars="-51" w:hanging="108" w:hangingChars="6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100≤X＜300 </w:t>
            </w:r>
          </w:p>
        </w:tc>
        <w:tc>
          <w:tcPr>
            <w:tcW w:w="1426"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992"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pPr>
              <w:widowControl/>
              <w:spacing w:line="280" w:lineRule="exact"/>
              <w:jc w:val="left"/>
              <w:rPr>
                <w:rFonts w:hint="eastAsia" w:asciiTheme="minorEastAsia" w:hAnsiTheme="minorEastAsia" w:eastAsiaTheme="minorEastAsia" w:cstheme="minorEastAsia"/>
                <w:color w:val="auto"/>
                <w:kern w:val="0"/>
                <w:sz w:val="18"/>
                <w:szCs w:val="18"/>
                <w:highlight w:val="none"/>
              </w:rPr>
            </w:pPr>
          </w:p>
        </w:tc>
        <w:tc>
          <w:tcPr>
            <w:tcW w:w="136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Y≥10000</w:t>
            </w:r>
          </w:p>
        </w:tc>
        <w:tc>
          <w:tcPr>
            <w:tcW w:w="1701"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2000≤Y＜10000</w:t>
            </w:r>
          </w:p>
        </w:tc>
        <w:tc>
          <w:tcPr>
            <w:tcW w:w="1426"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100≤Y＜2000</w:t>
            </w:r>
          </w:p>
        </w:tc>
        <w:tc>
          <w:tcPr>
            <w:tcW w:w="992"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pPr>
              <w:widowControl/>
              <w:spacing w:line="28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信息传输业※</w:t>
            </w:r>
          </w:p>
        </w:tc>
        <w:tc>
          <w:tcPr>
            <w:tcW w:w="136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X≥2000</w:t>
            </w:r>
          </w:p>
        </w:tc>
        <w:tc>
          <w:tcPr>
            <w:tcW w:w="1701"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100≤X＜2000</w:t>
            </w:r>
          </w:p>
        </w:tc>
        <w:tc>
          <w:tcPr>
            <w:tcW w:w="1426"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992"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pPr>
              <w:widowControl/>
              <w:spacing w:line="280" w:lineRule="exact"/>
              <w:jc w:val="left"/>
              <w:rPr>
                <w:rFonts w:hint="eastAsia" w:asciiTheme="minorEastAsia" w:hAnsiTheme="minorEastAsia" w:eastAsiaTheme="minorEastAsia" w:cstheme="minorEastAsia"/>
                <w:color w:val="auto"/>
                <w:kern w:val="0"/>
                <w:sz w:val="18"/>
                <w:szCs w:val="18"/>
                <w:highlight w:val="none"/>
              </w:rPr>
            </w:pPr>
          </w:p>
        </w:tc>
        <w:tc>
          <w:tcPr>
            <w:tcW w:w="136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Y≥100000</w:t>
            </w:r>
          </w:p>
        </w:tc>
        <w:tc>
          <w:tcPr>
            <w:tcW w:w="1701"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1000≤Y＜100000</w:t>
            </w:r>
          </w:p>
        </w:tc>
        <w:tc>
          <w:tcPr>
            <w:tcW w:w="1426"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100≤Y＜1000</w:t>
            </w:r>
          </w:p>
        </w:tc>
        <w:tc>
          <w:tcPr>
            <w:tcW w:w="992"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ign w:val="center"/>
          </w:tcPr>
          <w:p>
            <w:pPr>
              <w:widowControl/>
              <w:spacing w:line="280" w:lineRule="exact"/>
              <w:jc w:val="left"/>
              <w:rPr>
                <w:rFonts w:hint="eastAsia" w:asciiTheme="minorEastAsia" w:hAnsiTheme="minorEastAsia" w:eastAsiaTheme="minorEastAsia" w:cstheme="minorEastAsia"/>
                <w:color w:val="auto"/>
                <w:spacing w:val="-12"/>
                <w:kern w:val="0"/>
                <w:sz w:val="18"/>
                <w:szCs w:val="18"/>
                <w:highlight w:val="none"/>
              </w:rPr>
            </w:pPr>
            <w:r>
              <w:rPr>
                <w:rFonts w:hint="eastAsia" w:asciiTheme="minorEastAsia" w:hAnsiTheme="minorEastAsia" w:eastAsiaTheme="minorEastAsia" w:cstheme="minorEastAsia"/>
                <w:color w:val="auto"/>
                <w:spacing w:val="-12"/>
                <w:kern w:val="0"/>
                <w:sz w:val="18"/>
                <w:szCs w:val="18"/>
                <w:highlight w:val="none"/>
              </w:rPr>
              <w:t>软件和信息技术服</w:t>
            </w:r>
            <w:r>
              <w:rPr>
                <w:rFonts w:hint="eastAsia" w:asciiTheme="minorEastAsia" w:hAnsiTheme="minorEastAsia" w:eastAsiaTheme="minorEastAsia" w:cstheme="minorEastAsia"/>
                <w:color w:val="auto"/>
                <w:kern w:val="0"/>
                <w:sz w:val="18"/>
                <w:szCs w:val="18"/>
                <w:highlight w:val="none"/>
              </w:rPr>
              <w:t>务业</w:t>
            </w:r>
          </w:p>
        </w:tc>
        <w:tc>
          <w:tcPr>
            <w:tcW w:w="136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X≥300</w:t>
            </w:r>
          </w:p>
        </w:tc>
        <w:tc>
          <w:tcPr>
            <w:tcW w:w="1701" w:type="dxa"/>
            <w:noWrap/>
            <w:vAlign w:val="center"/>
          </w:tcPr>
          <w:p>
            <w:pPr>
              <w:widowControl/>
              <w:spacing w:line="280" w:lineRule="exact"/>
              <w:ind w:left="1" w:leftChars="-51" w:hanging="108" w:hangingChars="6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100≤X＜300 </w:t>
            </w:r>
          </w:p>
        </w:tc>
        <w:tc>
          <w:tcPr>
            <w:tcW w:w="1426"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992"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ign w:val="center"/>
          </w:tcPr>
          <w:p>
            <w:pPr>
              <w:widowControl/>
              <w:spacing w:line="280" w:lineRule="exact"/>
              <w:jc w:val="left"/>
              <w:rPr>
                <w:rFonts w:hint="eastAsia" w:asciiTheme="minorEastAsia" w:hAnsiTheme="minorEastAsia" w:eastAsiaTheme="minorEastAsia" w:cstheme="minorEastAsia"/>
                <w:color w:val="auto"/>
                <w:spacing w:val="-12"/>
                <w:kern w:val="0"/>
                <w:sz w:val="18"/>
                <w:szCs w:val="18"/>
                <w:highlight w:val="none"/>
              </w:rPr>
            </w:pPr>
          </w:p>
        </w:tc>
        <w:tc>
          <w:tcPr>
            <w:tcW w:w="136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Y≥10000</w:t>
            </w:r>
          </w:p>
        </w:tc>
        <w:tc>
          <w:tcPr>
            <w:tcW w:w="1701"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1000≤Y＜10000</w:t>
            </w:r>
          </w:p>
        </w:tc>
        <w:tc>
          <w:tcPr>
            <w:tcW w:w="1426"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50≤Y＜1000</w:t>
            </w:r>
          </w:p>
        </w:tc>
        <w:tc>
          <w:tcPr>
            <w:tcW w:w="992"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ign w:val="center"/>
          </w:tcPr>
          <w:p>
            <w:pPr>
              <w:widowControl/>
              <w:spacing w:line="28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房地产开发经营</w:t>
            </w:r>
          </w:p>
        </w:tc>
        <w:tc>
          <w:tcPr>
            <w:tcW w:w="136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Y≥200000</w:t>
            </w:r>
          </w:p>
        </w:tc>
        <w:tc>
          <w:tcPr>
            <w:tcW w:w="1701"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1000≤Y＜200000</w:t>
            </w:r>
          </w:p>
        </w:tc>
        <w:tc>
          <w:tcPr>
            <w:tcW w:w="1426"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100≤Y＜1000</w:t>
            </w:r>
          </w:p>
        </w:tc>
        <w:tc>
          <w:tcPr>
            <w:tcW w:w="992"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ign w:val="center"/>
          </w:tcPr>
          <w:p>
            <w:pPr>
              <w:widowControl/>
              <w:spacing w:line="280" w:lineRule="exact"/>
              <w:jc w:val="left"/>
              <w:rPr>
                <w:rFonts w:hint="eastAsia" w:asciiTheme="minorEastAsia" w:hAnsiTheme="minorEastAsia" w:eastAsiaTheme="minorEastAsia" w:cstheme="minorEastAsia"/>
                <w:color w:val="auto"/>
                <w:kern w:val="0"/>
                <w:sz w:val="18"/>
                <w:szCs w:val="18"/>
                <w:highlight w:val="none"/>
              </w:rPr>
            </w:pPr>
          </w:p>
        </w:tc>
        <w:tc>
          <w:tcPr>
            <w:tcW w:w="136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资产总额(Z)</w:t>
            </w:r>
          </w:p>
        </w:tc>
        <w:tc>
          <w:tcPr>
            <w:tcW w:w="70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Z≥10000</w:t>
            </w:r>
          </w:p>
        </w:tc>
        <w:tc>
          <w:tcPr>
            <w:tcW w:w="1701"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5000≤Z＜10000</w:t>
            </w:r>
          </w:p>
        </w:tc>
        <w:tc>
          <w:tcPr>
            <w:tcW w:w="1426"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2000≤Z＜5000</w:t>
            </w:r>
          </w:p>
        </w:tc>
        <w:tc>
          <w:tcPr>
            <w:tcW w:w="992"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ign w:val="center"/>
          </w:tcPr>
          <w:p>
            <w:pPr>
              <w:widowControl/>
              <w:spacing w:line="28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物业管理</w:t>
            </w:r>
          </w:p>
        </w:tc>
        <w:tc>
          <w:tcPr>
            <w:tcW w:w="136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X≥1000</w:t>
            </w:r>
          </w:p>
        </w:tc>
        <w:tc>
          <w:tcPr>
            <w:tcW w:w="1701"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426"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992"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ign w:val="center"/>
          </w:tcPr>
          <w:p>
            <w:pPr>
              <w:widowControl/>
              <w:spacing w:line="280" w:lineRule="exact"/>
              <w:jc w:val="left"/>
              <w:rPr>
                <w:rFonts w:hint="eastAsia" w:asciiTheme="minorEastAsia" w:hAnsiTheme="minorEastAsia" w:eastAsiaTheme="minorEastAsia" w:cstheme="minorEastAsia"/>
                <w:color w:val="auto"/>
                <w:kern w:val="0"/>
                <w:sz w:val="18"/>
                <w:szCs w:val="18"/>
                <w:highlight w:val="none"/>
              </w:rPr>
            </w:pPr>
          </w:p>
        </w:tc>
        <w:tc>
          <w:tcPr>
            <w:tcW w:w="136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Y≥5000</w:t>
            </w:r>
          </w:p>
        </w:tc>
        <w:tc>
          <w:tcPr>
            <w:tcW w:w="1701" w:type="dxa"/>
            <w:noWrap/>
            <w:vAlign w:val="center"/>
          </w:tcPr>
          <w:p>
            <w:pPr>
              <w:widowControl/>
              <w:spacing w:line="280" w:lineRule="exact"/>
              <w:ind w:left="1" w:leftChars="-51" w:hanging="108" w:hangingChars="6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1000≤Y＜5000</w:t>
            </w:r>
          </w:p>
        </w:tc>
        <w:tc>
          <w:tcPr>
            <w:tcW w:w="1426"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500≤Y＜1000</w:t>
            </w:r>
          </w:p>
        </w:tc>
        <w:tc>
          <w:tcPr>
            <w:tcW w:w="992"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ign w:val="center"/>
          </w:tcPr>
          <w:p>
            <w:pPr>
              <w:widowControl/>
              <w:spacing w:line="28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租赁和商务服务业</w:t>
            </w:r>
          </w:p>
        </w:tc>
        <w:tc>
          <w:tcPr>
            <w:tcW w:w="136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X≥300</w:t>
            </w:r>
          </w:p>
        </w:tc>
        <w:tc>
          <w:tcPr>
            <w:tcW w:w="1701" w:type="dxa"/>
            <w:noWrap/>
            <w:vAlign w:val="center"/>
          </w:tcPr>
          <w:p>
            <w:pPr>
              <w:widowControl/>
              <w:spacing w:line="280" w:lineRule="exact"/>
              <w:ind w:left="1" w:leftChars="-51" w:hanging="108" w:hangingChars="6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426"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992"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ign w:val="center"/>
          </w:tcPr>
          <w:p>
            <w:pPr>
              <w:widowControl/>
              <w:spacing w:line="280" w:lineRule="exact"/>
              <w:jc w:val="left"/>
              <w:rPr>
                <w:rFonts w:hint="eastAsia" w:asciiTheme="minorEastAsia" w:hAnsiTheme="minorEastAsia" w:eastAsiaTheme="minorEastAsia" w:cstheme="minorEastAsia"/>
                <w:color w:val="auto"/>
                <w:kern w:val="0"/>
                <w:sz w:val="18"/>
                <w:szCs w:val="18"/>
                <w:highlight w:val="none"/>
              </w:rPr>
            </w:pPr>
          </w:p>
        </w:tc>
        <w:tc>
          <w:tcPr>
            <w:tcW w:w="136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资产总额(Z)</w:t>
            </w:r>
          </w:p>
        </w:tc>
        <w:tc>
          <w:tcPr>
            <w:tcW w:w="70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Z≥120000</w:t>
            </w:r>
          </w:p>
        </w:tc>
        <w:tc>
          <w:tcPr>
            <w:tcW w:w="1701"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8000≤Z＜120000</w:t>
            </w:r>
          </w:p>
        </w:tc>
        <w:tc>
          <w:tcPr>
            <w:tcW w:w="1426"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100≤Z＜8000</w:t>
            </w:r>
          </w:p>
        </w:tc>
        <w:tc>
          <w:tcPr>
            <w:tcW w:w="992"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ign w:val="center"/>
          </w:tcPr>
          <w:p>
            <w:pPr>
              <w:widowControl/>
              <w:spacing w:line="28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其他未列明行业※</w:t>
            </w:r>
          </w:p>
        </w:tc>
        <w:tc>
          <w:tcPr>
            <w:tcW w:w="136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X≥300</w:t>
            </w:r>
          </w:p>
        </w:tc>
        <w:tc>
          <w:tcPr>
            <w:tcW w:w="1701" w:type="dxa"/>
            <w:noWrap/>
            <w:vAlign w:val="center"/>
          </w:tcPr>
          <w:p>
            <w:pPr>
              <w:widowControl/>
              <w:spacing w:line="280" w:lineRule="exact"/>
              <w:ind w:left="1" w:leftChars="-51" w:hanging="108" w:hangingChars="6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426"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992" w:type="dxa"/>
            <w:noWrap/>
            <w:vAlign w:val="center"/>
          </w:tcPr>
          <w:p>
            <w:pPr>
              <w:widowControl/>
              <w:spacing w:line="280" w:lineRule="exac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bl>
    <w:p>
      <w:pPr>
        <w:widowControl/>
        <w:spacing w:line="280" w:lineRule="exact"/>
        <w:rPr>
          <w:rFonts w:hint="eastAsia" w:asciiTheme="minorEastAsia" w:hAnsiTheme="minorEastAsia" w:eastAsiaTheme="minorEastAsia" w:cstheme="minorEastAsia"/>
          <w:color w:val="auto"/>
          <w:spacing w:val="8"/>
          <w:kern w:val="0"/>
          <w:sz w:val="24"/>
          <w:highlight w:val="none"/>
        </w:rPr>
      </w:pPr>
    </w:p>
    <w:p>
      <w:pPr>
        <w:pStyle w:val="11"/>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widowControl/>
        <w:spacing w:line="280" w:lineRule="exact"/>
        <w:rPr>
          <w:rFonts w:hint="eastAsia" w:asciiTheme="minorEastAsia" w:hAnsiTheme="minorEastAsia" w:eastAsiaTheme="minorEastAsia" w:cstheme="minorEastAsia"/>
          <w:color w:val="auto"/>
          <w:spacing w:val="8"/>
          <w:kern w:val="0"/>
          <w:sz w:val="24"/>
          <w:highlight w:val="none"/>
        </w:rPr>
      </w:pPr>
      <w:r>
        <w:rPr>
          <w:rFonts w:hint="eastAsia" w:asciiTheme="minorEastAsia" w:hAnsiTheme="minorEastAsia" w:eastAsiaTheme="minorEastAsia" w:cstheme="minorEastAsia"/>
          <w:color w:val="auto"/>
          <w:spacing w:val="8"/>
          <w:kern w:val="0"/>
          <w:sz w:val="24"/>
          <w:highlight w:val="none"/>
        </w:rPr>
        <w:t>说明：</w:t>
      </w:r>
    </w:p>
    <w:p>
      <w:pPr>
        <w:pStyle w:val="13"/>
        <w:adjustRightInd w:val="0"/>
        <w:spacing w:line="280" w:lineRule="exact"/>
        <w:ind w:firstLine="512" w:firstLineChars="200"/>
        <w:contextualSpacing/>
        <w:rPr>
          <w:rFonts w:hint="eastAsia" w:asciiTheme="minorEastAsia" w:hAnsiTheme="minorEastAsia" w:eastAsiaTheme="minorEastAsia" w:cstheme="minorEastAsia"/>
          <w:color w:val="auto"/>
          <w:spacing w:val="8"/>
          <w:kern w:val="0"/>
          <w:sz w:val="24"/>
          <w:szCs w:val="24"/>
          <w:highlight w:val="none"/>
        </w:rPr>
      </w:pPr>
      <w:r>
        <w:rPr>
          <w:rFonts w:hint="eastAsia" w:asciiTheme="minorEastAsia" w:hAnsiTheme="minorEastAsia" w:eastAsiaTheme="minorEastAsia" w:cstheme="minorEastAsia"/>
          <w:color w:val="auto"/>
          <w:spacing w:val="8"/>
          <w:kern w:val="0"/>
          <w:sz w:val="24"/>
          <w:szCs w:val="24"/>
          <w:highlight w:val="none"/>
        </w:rPr>
        <w:t>1.大型、中型和小型企业须同时满足所列指标的下限，否则下划一档；微型企业只须满足所列指标中的一项即可。</w:t>
      </w:r>
    </w:p>
    <w:p>
      <w:pPr>
        <w:pStyle w:val="13"/>
        <w:adjustRightInd w:val="0"/>
        <w:spacing w:line="280" w:lineRule="exact"/>
        <w:ind w:firstLine="512" w:firstLineChars="200"/>
        <w:contextualSpacing/>
        <w:rPr>
          <w:rFonts w:hint="eastAsia" w:asciiTheme="minorEastAsia" w:hAnsiTheme="minorEastAsia" w:eastAsiaTheme="minorEastAsia" w:cstheme="minorEastAsia"/>
          <w:color w:val="auto"/>
          <w:spacing w:val="8"/>
          <w:kern w:val="0"/>
          <w:sz w:val="24"/>
          <w:szCs w:val="24"/>
          <w:highlight w:val="none"/>
        </w:rPr>
      </w:pPr>
      <w:r>
        <w:rPr>
          <w:rFonts w:hint="eastAsia" w:asciiTheme="minorEastAsia" w:hAnsiTheme="minorEastAsia" w:eastAsiaTheme="minorEastAsia" w:cstheme="minorEastAsia"/>
          <w:color w:val="auto"/>
          <w:spacing w:val="8"/>
          <w:kern w:val="0"/>
          <w:sz w:val="24"/>
          <w:szCs w:val="24"/>
          <w:highlight w:val="none"/>
        </w:rPr>
        <w:t>2.附表中各行业的范围以《国民经济行业分类》（GB/T4754-2017）为准。带</w:t>
      </w:r>
      <w:r>
        <w:rPr>
          <w:rFonts w:hint="eastAsia" w:asciiTheme="minorEastAsia" w:hAnsiTheme="minorEastAsia" w:eastAsiaTheme="minorEastAsia" w:cstheme="minorEastAsia"/>
          <w:color w:val="auto"/>
          <w:kern w:val="0"/>
          <w:sz w:val="18"/>
          <w:szCs w:val="18"/>
          <w:highlight w:val="none"/>
        </w:rPr>
        <w:t>※</w:t>
      </w:r>
      <w:r>
        <w:rPr>
          <w:rFonts w:hint="eastAsia" w:asciiTheme="minorEastAsia" w:hAnsiTheme="minorEastAsia" w:eastAsiaTheme="minorEastAsia" w:cstheme="minorEastAsia"/>
          <w:color w:val="auto"/>
          <w:spacing w:val="8"/>
          <w:kern w:val="0"/>
          <w:sz w:val="24"/>
          <w:szCs w:val="24"/>
          <w:highlight w:val="none"/>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13"/>
        <w:spacing w:line="280" w:lineRule="exact"/>
        <w:ind w:firstLine="512" w:firstLineChars="200"/>
        <w:rPr>
          <w:rFonts w:hint="eastAsia" w:asciiTheme="minorEastAsia" w:hAnsiTheme="minorEastAsia" w:eastAsiaTheme="minorEastAsia" w:cstheme="minorEastAsia"/>
          <w:color w:val="auto"/>
          <w:spacing w:val="8"/>
          <w:kern w:val="0"/>
          <w:sz w:val="24"/>
          <w:szCs w:val="24"/>
          <w:highlight w:val="none"/>
        </w:rPr>
      </w:pPr>
      <w:r>
        <w:rPr>
          <w:rFonts w:hint="eastAsia" w:asciiTheme="minorEastAsia" w:hAnsiTheme="minorEastAsia" w:eastAsiaTheme="minorEastAsia" w:cstheme="minorEastAsia"/>
          <w:color w:val="auto"/>
          <w:spacing w:val="8"/>
          <w:kern w:val="0"/>
          <w:sz w:val="24"/>
          <w:szCs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474" w:name="_Toc8466"/>
      <w:bookmarkStart w:id="475" w:name="_Toc4774"/>
    </w:p>
    <w:p>
      <w:pPr>
        <w:pStyle w:val="7"/>
        <w:rPr>
          <w:rFonts w:hint="eastAsia" w:asciiTheme="minorEastAsia" w:hAnsiTheme="minorEastAsia" w:eastAsiaTheme="minorEastAsia" w:cstheme="minorEastAsia"/>
          <w:color w:val="auto"/>
          <w:spacing w:val="8"/>
          <w:kern w:val="0"/>
          <w:sz w:val="24"/>
          <w:highlight w:val="none"/>
        </w:rPr>
      </w:pPr>
    </w:p>
    <w:p>
      <w:pPr>
        <w:rPr>
          <w:rFonts w:hint="eastAsia" w:asciiTheme="minorEastAsia" w:hAnsiTheme="minorEastAsia" w:eastAsiaTheme="minorEastAsia" w:cstheme="minorEastAsia"/>
          <w:color w:val="auto"/>
          <w:spacing w:val="8"/>
          <w:kern w:val="0"/>
          <w:sz w:val="24"/>
          <w:highlight w:val="none"/>
        </w:rPr>
      </w:pPr>
    </w:p>
    <w:p>
      <w:pPr>
        <w:rPr>
          <w:rFonts w:hint="eastAsia" w:asciiTheme="minorEastAsia" w:hAnsiTheme="minorEastAsia" w:eastAsiaTheme="minorEastAsia" w:cstheme="minorEastAsia"/>
          <w:color w:val="auto"/>
          <w:sz w:val="32"/>
          <w:szCs w:val="32"/>
          <w:highlight w:val="none"/>
        </w:rPr>
      </w:pPr>
      <w:bookmarkStart w:id="476" w:name="_Toc816"/>
      <w:bookmarkStart w:id="477" w:name="_Toc5351"/>
      <w:bookmarkStart w:id="478" w:name="_Toc25155"/>
      <w:bookmarkStart w:id="479" w:name="_Toc10011"/>
      <w:bookmarkStart w:id="480" w:name="_Toc27721"/>
      <w:bookmarkStart w:id="481" w:name="_Toc21175"/>
      <w:bookmarkStart w:id="482" w:name="_Toc9015"/>
      <w:bookmarkStart w:id="483" w:name="_Toc31521"/>
      <w:r>
        <w:rPr>
          <w:rFonts w:hint="eastAsia" w:asciiTheme="minorEastAsia" w:hAnsiTheme="minorEastAsia" w:eastAsiaTheme="minorEastAsia" w:cstheme="minorEastAsia"/>
          <w:color w:val="auto"/>
          <w:sz w:val="32"/>
          <w:szCs w:val="32"/>
          <w:highlight w:val="none"/>
        </w:rPr>
        <w:br w:type="page"/>
      </w:r>
    </w:p>
    <w:p>
      <w:pPr>
        <w:pStyle w:val="3"/>
        <w:tabs>
          <w:tab w:val="left" w:pos="0"/>
        </w:tabs>
        <w:autoSpaceDE w:val="0"/>
        <w:autoSpaceDN w:val="0"/>
        <w:adjustRightInd w:val="0"/>
        <w:spacing w:before="0" w:after="0" w:line="360" w:lineRule="auto"/>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第五章采购合同（合同主要条款及格式）</w:t>
      </w:r>
      <w:bookmarkEnd w:id="474"/>
      <w:bookmarkEnd w:id="475"/>
      <w:bookmarkEnd w:id="476"/>
      <w:bookmarkEnd w:id="477"/>
      <w:bookmarkEnd w:id="478"/>
      <w:bookmarkEnd w:id="479"/>
      <w:bookmarkEnd w:id="480"/>
      <w:bookmarkEnd w:id="481"/>
      <w:bookmarkEnd w:id="482"/>
      <w:bookmarkEnd w:id="483"/>
    </w:p>
    <w:p>
      <w:pPr>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项目名称：桂林市信创云迁移及运维项目</w:t>
      </w:r>
    </w:p>
    <w:p>
      <w:pPr>
        <w:spacing w:line="42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项目编号：</w:t>
      </w:r>
      <w:r>
        <w:rPr>
          <w:rFonts w:hint="eastAsia" w:asciiTheme="minorEastAsia" w:hAnsiTheme="minorEastAsia" w:eastAsiaTheme="minorEastAsia" w:cstheme="minorEastAsia"/>
          <w:color w:val="auto"/>
          <w:highlight w:val="none"/>
          <w:lang w:eastAsia="zh-CN"/>
        </w:rPr>
        <w:t>GLZC2026-C3-990104-GLSZ</w:t>
      </w:r>
    </w:p>
    <w:p>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甲方：</w:t>
      </w:r>
      <w:r>
        <w:rPr>
          <w:rFonts w:hint="eastAsia" w:asciiTheme="minorEastAsia" w:hAnsiTheme="minorEastAsia" w:eastAsiaTheme="minorEastAsia" w:cstheme="minorEastAsia"/>
          <w:color w:val="auto"/>
          <w:highlight w:val="none"/>
          <w:u w:val="single"/>
        </w:rPr>
        <w:t>桂林市信息中心</w:t>
      </w:r>
      <w:r>
        <w:rPr>
          <w:rFonts w:hint="eastAsia" w:asciiTheme="minorEastAsia" w:hAnsiTheme="minorEastAsia" w:eastAsiaTheme="minorEastAsia" w:cstheme="minorEastAsia"/>
          <w:color w:val="auto"/>
          <w:highlight w:val="none"/>
        </w:rPr>
        <w:t>（采购人）</w:t>
      </w:r>
    </w:p>
    <w:p>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乙方：</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（成交供应商）</w:t>
      </w:r>
    </w:p>
    <w:p>
      <w:pPr>
        <w:widowControl/>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根据《中华人民共和国政府采购法》《中华人民共和国政府采购法实施条例》《中华人民共和国民法典》等法律、法规规定，按照竞争性磋商文件（以下简称磋商文件）、竞争性磋商响应文件（以下简称响应文件）规定条款和成交供应商的承诺、甲乙双方签订本合同。</w:t>
      </w:r>
    </w:p>
    <w:p>
      <w:pPr>
        <w:pStyle w:val="4"/>
        <w:ind w:left="567" w:leftChars="200" w:hanging="147" w:hangingChars="70"/>
        <w:rPr>
          <w:rFonts w:hint="eastAsia" w:asciiTheme="minorEastAsia" w:hAnsiTheme="minorEastAsia" w:eastAsiaTheme="minorEastAsia" w:cstheme="minorEastAsia"/>
          <w:b/>
          <w:bCs w:val="0"/>
          <w:color w:val="auto"/>
          <w:sz w:val="21"/>
          <w:szCs w:val="21"/>
          <w:highlight w:val="none"/>
        </w:rPr>
      </w:pPr>
      <w:bookmarkStart w:id="484" w:name="_Toc1847"/>
      <w:bookmarkStart w:id="485" w:name="_Toc845"/>
      <w:bookmarkStart w:id="486" w:name="_Toc30275"/>
      <w:bookmarkStart w:id="487" w:name="_Toc20217"/>
      <w:bookmarkStart w:id="488" w:name="_Toc32556"/>
      <w:bookmarkStart w:id="489" w:name="_Toc16752"/>
      <w:bookmarkStart w:id="490" w:name="_Toc8094"/>
      <w:bookmarkStart w:id="491" w:name="_Toc19914"/>
      <w:bookmarkStart w:id="492" w:name="_Toc24169"/>
      <w:bookmarkStart w:id="493" w:name="_Toc11123"/>
      <w:r>
        <w:rPr>
          <w:rFonts w:hint="eastAsia" w:asciiTheme="minorEastAsia" w:hAnsiTheme="minorEastAsia" w:eastAsiaTheme="minorEastAsia" w:cstheme="minorEastAsia"/>
          <w:b/>
          <w:bCs w:val="0"/>
          <w:color w:val="auto"/>
          <w:sz w:val="21"/>
          <w:szCs w:val="21"/>
          <w:highlight w:val="none"/>
        </w:rPr>
        <w:t>第一条 合同文件</w:t>
      </w:r>
      <w:bookmarkEnd w:id="484"/>
      <w:bookmarkEnd w:id="485"/>
      <w:bookmarkEnd w:id="486"/>
      <w:bookmarkEnd w:id="487"/>
      <w:bookmarkEnd w:id="488"/>
      <w:bookmarkEnd w:id="489"/>
      <w:bookmarkEnd w:id="490"/>
      <w:bookmarkEnd w:id="491"/>
      <w:bookmarkEnd w:id="492"/>
      <w:bookmarkEnd w:id="493"/>
    </w:p>
    <w:p>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1、本合同所附下列文件是构成本合同不可分割的部分：</w:t>
      </w:r>
    </w:p>
    <w:p>
      <w:pPr>
        <w:spacing w:line="360" w:lineRule="auto"/>
        <w:ind w:firstLine="315" w:firstLineChars="1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（1）成交供应商提交的</w:t>
      </w:r>
      <w:r>
        <w:rPr>
          <w:rFonts w:hint="eastAsia" w:asciiTheme="minorEastAsia" w:hAnsiTheme="minorEastAsia" w:eastAsiaTheme="minorEastAsia" w:cstheme="minorEastAsia"/>
          <w:color w:val="auto"/>
          <w:szCs w:val="21"/>
          <w:highlight w:val="none"/>
        </w:rPr>
        <w:t>磋商</w:t>
      </w:r>
      <w:r>
        <w:rPr>
          <w:rFonts w:hint="eastAsia" w:asciiTheme="minorEastAsia" w:hAnsiTheme="minorEastAsia" w:eastAsiaTheme="minorEastAsia" w:cstheme="minorEastAsia"/>
          <w:color w:val="auto"/>
          <w:highlight w:val="none"/>
        </w:rPr>
        <w:t>报价表、</w:t>
      </w:r>
      <w:r>
        <w:rPr>
          <w:rFonts w:hint="eastAsia" w:asciiTheme="minorEastAsia" w:hAnsiTheme="minorEastAsia" w:eastAsiaTheme="minorEastAsia" w:cstheme="minorEastAsia"/>
          <w:color w:val="auto"/>
          <w:szCs w:val="21"/>
          <w:highlight w:val="none"/>
        </w:rPr>
        <w:t>针对本项目的服务承诺书</w:t>
      </w:r>
      <w:r>
        <w:rPr>
          <w:rFonts w:hint="eastAsia" w:asciiTheme="minorEastAsia" w:hAnsiTheme="minorEastAsia" w:eastAsiaTheme="minorEastAsia" w:cstheme="minorEastAsia"/>
          <w:color w:val="auto"/>
          <w:highlight w:val="none"/>
        </w:rPr>
        <w:t>；</w:t>
      </w:r>
    </w:p>
    <w:p>
      <w:pPr>
        <w:spacing w:line="360" w:lineRule="auto"/>
        <w:ind w:firstLine="315" w:firstLineChars="1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（2）成交通知书；</w:t>
      </w:r>
    </w:p>
    <w:p>
      <w:pPr>
        <w:spacing w:line="360" w:lineRule="auto"/>
        <w:ind w:firstLine="315" w:firstLineChars="1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（3）本合同协议书及有关补充资料；</w:t>
      </w:r>
    </w:p>
    <w:p>
      <w:pPr>
        <w:spacing w:line="360" w:lineRule="auto"/>
        <w:ind w:firstLine="315" w:firstLineChars="1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（4）磋商文件的条款要求。</w:t>
      </w:r>
    </w:p>
    <w:p>
      <w:pPr>
        <w:tabs>
          <w:tab w:val="left" w:pos="1305"/>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2、合同价金额包括：服务过程中相关的一切费用,包含服务过程中的人工、物料、交通、税费、利润等一切费用，甲方无需另行支付任何费用。</w:t>
      </w:r>
    </w:p>
    <w:p>
      <w:pPr>
        <w:pStyle w:val="4"/>
        <w:ind w:left="567" w:leftChars="200" w:hanging="147" w:hangingChars="70"/>
        <w:rPr>
          <w:rFonts w:hint="eastAsia" w:asciiTheme="minorEastAsia" w:hAnsiTheme="minorEastAsia" w:eastAsiaTheme="minorEastAsia" w:cstheme="minorEastAsia"/>
          <w:b/>
          <w:bCs w:val="0"/>
          <w:color w:val="auto"/>
          <w:sz w:val="21"/>
          <w:szCs w:val="21"/>
          <w:highlight w:val="none"/>
        </w:rPr>
      </w:pPr>
      <w:bookmarkStart w:id="494" w:name="_Toc6972"/>
      <w:bookmarkStart w:id="495" w:name="_Toc32626"/>
      <w:bookmarkStart w:id="496" w:name="_Toc1849"/>
      <w:bookmarkStart w:id="497" w:name="_Toc3918"/>
      <w:bookmarkStart w:id="498" w:name="_Toc1488"/>
      <w:bookmarkStart w:id="499" w:name="_Toc22046"/>
      <w:bookmarkStart w:id="500" w:name="_Toc28710"/>
      <w:bookmarkStart w:id="501" w:name="_Toc25572"/>
      <w:bookmarkStart w:id="502" w:name="_Toc3199"/>
      <w:bookmarkStart w:id="503" w:name="_Toc2848"/>
      <w:r>
        <w:rPr>
          <w:rFonts w:hint="eastAsia" w:asciiTheme="minorEastAsia" w:hAnsiTheme="minorEastAsia" w:eastAsiaTheme="minorEastAsia" w:cstheme="minorEastAsia"/>
          <w:b/>
          <w:bCs w:val="0"/>
          <w:color w:val="auto"/>
          <w:sz w:val="21"/>
          <w:szCs w:val="21"/>
          <w:highlight w:val="none"/>
        </w:rPr>
        <w:t>第二条　合同金额</w:t>
      </w:r>
      <w:bookmarkEnd w:id="494"/>
      <w:bookmarkEnd w:id="495"/>
      <w:bookmarkEnd w:id="496"/>
      <w:bookmarkEnd w:id="497"/>
      <w:bookmarkEnd w:id="498"/>
      <w:bookmarkEnd w:id="499"/>
      <w:bookmarkEnd w:id="500"/>
      <w:bookmarkEnd w:id="501"/>
      <w:bookmarkEnd w:id="502"/>
      <w:bookmarkEnd w:id="503"/>
    </w:p>
    <w:p>
      <w:pPr>
        <w:spacing w:line="360" w:lineRule="auto"/>
        <w:ind w:firstLine="411" w:firstLineChars="19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根据《成交通知书》的成交内容，合同的总金额为：（大写）人民币</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元）。其中,“信创云搬迁”分项合同金额（大写）人民币</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元），“机房配套设施改造”分项合同金额（大写）人民币</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元），“信创云运维”分项合同金额（大写）人民币</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元）。</w:t>
      </w:r>
    </w:p>
    <w:p>
      <w:pPr>
        <w:pStyle w:val="4"/>
        <w:ind w:left="567" w:leftChars="200" w:hanging="147" w:hangingChars="70"/>
        <w:rPr>
          <w:rFonts w:hint="eastAsia" w:asciiTheme="minorEastAsia" w:hAnsiTheme="minorEastAsia" w:eastAsiaTheme="minorEastAsia" w:cstheme="minorEastAsia"/>
          <w:b/>
          <w:bCs w:val="0"/>
          <w:color w:val="auto"/>
          <w:sz w:val="21"/>
          <w:szCs w:val="21"/>
          <w:highlight w:val="none"/>
        </w:rPr>
      </w:pPr>
      <w:bookmarkStart w:id="504" w:name="_Toc29481"/>
      <w:bookmarkStart w:id="505" w:name="_Toc9581"/>
      <w:bookmarkStart w:id="506" w:name="_Toc1972"/>
      <w:bookmarkStart w:id="507" w:name="_Toc32374"/>
      <w:bookmarkStart w:id="508" w:name="_Toc11361"/>
      <w:bookmarkStart w:id="509" w:name="_Toc5557"/>
      <w:bookmarkStart w:id="510" w:name="_Toc11263"/>
      <w:bookmarkStart w:id="511" w:name="_Toc16138"/>
      <w:bookmarkStart w:id="512" w:name="_Toc32735"/>
      <w:bookmarkStart w:id="513" w:name="_Toc4662"/>
      <w:r>
        <w:rPr>
          <w:rFonts w:hint="eastAsia" w:asciiTheme="minorEastAsia" w:hAnsiTheme="minorEastAsia" w:eastAsiaTheme="minorEastAsia" w:cstheme="minorEastAsia"/>
          <w:b/>
          <w:bCs w:val="0"/>
          <w:color w:val="auto"/>
          <w:sz w:val="21"/>
          <w:szCs w:val="21"/>
          <w:highlight w:val="none"/>
        </w:rPr>
        <w:t>第三条  服务保证</w:t>
      </w:r>
      <w:bookmarkEnd w:id="504"/>
      <w:bookmarkEnd w:id="505"/>
      <w:bookmarkEnd w:id="506"/>
      <w:bookmarkEnd w:id="507"/>
      <w:bookmarkEnd w:id="508"/>
      <w:bookmarkEnd w:id="509"/>
      <w:bookmarkEnd w:id="510"/>
      <w:bookmarkEnd w:id="511"/>
      <w:bookmarkEnd w:id="512"/>
      <w:bookmarkEnd w:id="513"/>
    </w:p>
    <w:p>
      <w:pPr>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成交供应商应按磋商文件、响应文件和承诺规定的服务内容向采购人提供相应服务。</w:t>
      </w:r>
    </w:p>
    <w:p>
      <w:pPr>
        <w:pStyle w:val="4"/>
        <w:ind w:left="567" w:leftChars="200" w:hanging="147" w:hangingChars="70"/>
        <w:rPr>
          <w:rFonts w:hint="eastAsia" w:asciiTheme="minorEastAsia" w:hAnsiTheme="minorEastAsia" w:eastAsiaTheme="minorEastAsia" w:cstheme="minorEastAsia"/>
          <w:b/>
          <w:bCs w:val="0"/>
          <w:color w:val="auto"/>
          <w:sz w:val="21"/>
          <w:szCs w:val="21"/>
          <w:highlight w:val="none"/>
        </w:rPr>
      </w:pPr>
      <w:bookmarkStart w:id="514" w:name="_Toc7132"/>
      <w:bookmarkStart w:id="515" w:name="_Toc8669"/>
      <w:bookmarkStart w:id="516" w:name="_Toc28884"/>
      <w:bookmarkStart w:id="517" w:name="_Toc14127"/>
      <w:bookmarkStart w:id="518" w:name="_Toc10741"/>
      <w:bookmarkStart w:id="519" w:name="_Toc13680"/>
      <w:bookmarkStart w:id="520" w:name="_Toc16565"/>
      <w:bookmarkStart w:id="521" w:name="_Toc6104"/>
      <w:bookmarkStart w:id="522" w:name="_Toc26250"/>
      <w:bookmarkStart w:id="523" w:name="_Toc25056"/>
      <w:bookmarkStart w:id="640" w:name="_GoBack"/>
      <w:bookmarkEnd w:id="640"/>
      <w:r>
        <w:rPr>
          <w:rFonts w:hint="eastAsia" w:asciiTheme="minorEastAsia" w:hAnsiTheme="minorEastAsia" w:eastAsiaTheme="minorEastAsia" w:cstheme="minorEastAsia"/>
          <w:b/>
          <w:bCs w:val="0"/>
          <w:color w:val="auto"/>
          <w:sz w:val="21"/>
          <w:szCs w:val="21"/>
          <w:highlight w:val="none"/>
        </w:rPr>
        <w:t>第四条  服务期限</w:t>
      </w:r>
      <w:bookmarkEnd w:id="514"/>
      <w:bookmarkEnd w:id="515"/>
      <w:bookmarkEnd w:id="516"/>
      <w:bookmarkEnd w:id="517"/>
      <w:bookmarkEnd w:id="518"/>
      <w:bookmarkEnd w:id="519"/>
      <w:bookmarkEnd w:id="520"/>
      <w:bookmarkEnd w:id="521"/>
      <w:bookmarkEnd w:id="522"/>
      <w:bookmarkEnd w:id="523"/>
    </w:p>
    <w:p>
      <w:pPr>
        <w:spacing w:line="360" w:lineRule="auto"/>
        <w:ind w:firstLine="411" w:firstLineChars="196"/>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服务期限:</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kern w:val="0"/>
          <w:szCs w:val="21"/>
          <w:highlight w:val="none"/>
          <w:u w:val="none"/>
        </w:rPr>
        <w:t>。</w:t>
      </w:r>
    </w:p>
    <w:p>
      <w:pPr>
        <w:pStyle w:val="4"/>
        <w:ind w:left="567" w:leftChars="200" w:hanging="147" w:hangingChars="70"/>
        <w:rPr>
          <w:rFonts w:hint="eastAsia" w:asciiTheme="minorEastAsia" w:hAnsiTheme="minorEastAsia" w:eastAsiaTheme="minorEastAsia" w:cstheme="minorEastAsia"/>
          <w:b/>
          <w:bCs w:val="0"/>
          <w:color w:val="auto"/>
          <w:sz w:val="21"/>
          <w:szCs w:val="21"/>
          <w:highlight w:val="none"/>
        </w:rPr>
      </w:pPr>
      <w:bookmarkStart w:id="524" w:name="_Toc11253"/>
      <w:bookmarkStart w:id="525" w:name="_Toc15896"/>
      <w:bookmarkStart w:id="526" w:name="_Toc9706"/>
      <w:bookmarkStart w:id="527" w:name="_Toc15179"/>
      <w:bookmarkStart w:id="528" w:name="_Toc273"/>
      <w:bookmarkStart w:id="529" w:name="_Toc11250"/>
      <w:bookmarkStart w:id="530" w:name="_Toc3282"/>
      <w:bookmarkStart w:id="531" w:name="_Toc13953"/>
      <w:bookmarkStart w:id="532" w:name="_Toc25521"/>
      <w:bookmarkStart w:id="533" w:name="_Toc3169"/>
      <w:r>
        <w:rPr>
          <w:rFonts w:hint="eastAsia" w:asciiTheme="minorEastAsia" w:hAnsiTheme="minorEastAsia" w:eastAsiaTheme="minorEastAsia" w:cstheme="minorEastAsia"/>
          <w:b/>
          <w:bCs w:val="0"/>
          <w:color w:val="auto"/>
          <w:sz w:val="21"/>
          <w:szCs w:val="21"/>
          <w:highlight w:val="none"/>
        </w:rPr>
        <w:t>第五条  交付</w:t>
      </w:r>
      <w:bookmarkEnd w:id="524"/>
      <w:bookmarkEnd w:id="525"/>
      <w:bookmarkEnd w:id="526"/>
      <w:bookmarkEnd w:id="527"/>
      <w:bookmarkEnd w:id="528"/>
      <w:bookmarkEnd w:id="529"/>
      <w:bookmarkEnd w:id="530"/>
      <w:bookmarkEnd w:id="531"/>
      <w:bookmarkEnd w:id="532"/>
      <w:bookmarkEnd w:id="533"/>
    </w:p>
    <w:p>
      <w:pPr>
        <w:pStyle w:val="11"/>
        <w:spacing w:line="38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1、交付使用时间：</w:t>
      </w:r>
    </w:p>
    <w:p>
      <w:pPr>
        <w:snapToGrid w:val="0"/>
        <w:spacing w:line="44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（1）成交供应商应在合同签订之日起</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个工作日内完成针对“</w:t>
      </w:r>
      <w:r>
        <w:rPr>
          <w:rFonts w:hint="eastAsia" w:asciiTheme="minorEastAsia" w:hAnsiTheme="minorEastAsia" w:eastAsiaTheme="minorEastAsia" w:cstheme="minorEastAsia"/>
          <w:b/>
          <w:bCs/>
          <w:color w:val="auto"/>
          <w:szCs w:val="21"/>
          <w:highlight w:val="none"/>
        </w:rPr>
        <w:t>信创云搬迁</w:t>
      </w:r>
      <w:r>
        <w:rPr>
          <w:rFonts w:hint="eastAsia" w:asciiTheme="minorEastAsia" w:hAnsiTheme="minorEastAsia" w:eastAsiaTheme="minorEastAsia" w:cstheme="minorEastAsia"/>
          <w:color w:val="auto"/>
          <w:szCs w:val="21"/>
          <w:highlight w:val="none"/>
        </w:rPr>
        <w:t>”分项所需的项目准备工作，包含：项目团队组建、现场勘查、制定搬迁方案（必须包括前期调研、规划设计、出图、编制详细的设备放置及连线设计图；进行IP地址的重新规划、网络对接方案、搬迁准备、数据备份、设备搬迁实施、系统测试、安全策略配置、机房整理、应急预案等）、负责落实搬迁所需的软硬件、人员、技术支持、交通工具、辅材等搬迁一切前置条件，并将相关落实情况报采购人审定后实施。</w:t>
      </w:r>
    </w:p>
    <w:p>
      <w:pPr>
        <w:snapToGrid w:val="0"/>
        <w:spacing w:line="44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搬迁实施日由采购人根据实际情况指定，成交供应商应在采购人指定的搬迁实施日起</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个日历日内完成搬迁实施（含设备下电、下架、包装、运输、上架、加电、恢复服务等）。</w:t>
      </w:r>
    </w:p>
    <w:p>
      <w:pPr>
        <w:widowControl/>
        <w:snapToGrid w:val="0"/>
        <w:spacing w:line="44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（2）自合同签订之日起</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个日历日内完成“机房配套设施改造”分项中所有货物的到货并安装完毕、完成新增供电线路。成交供应商需按采购人指定的时间（晚间或节假日），对UPS和电池进行更换工作，设备更换和线路改造期间应尽可能减少机房停电时间。</w:t>
      </w:r>
    </w:p>
    <w:p>
      <w:pPr>
        <w:snapToGrid w:val="0"/>
        <w:spacing w:line="44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(3)“信创云运维”分项服务期：服务期为12个月，具体服务起算时间按经采购人确认的团队进场后服务开始时间进行起算。成交供应商应在签订合同之日起</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个工作日内完成运维团队组建，进场前需提交相关进场材料。信创云运维须提供7×24现场服务、电话、E-mail等方式为用户提供完善的技术支持。</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2、成交供应商提供不符合磋商文件、响应文件和本合同规定的服务，采购人有权拒绝接受。</w:t>
      </w:r>
    </w:p>
    <w:p>
      <w:pPr>
        <w:pStyle w:val="4"/>
        <w:ind w:left="567" w:leftChars="200" w:hanging="147" w:hangingChars="70"/>
        <w:rPr>
          <w:rFonts w:hint="eastAsia" w:asciiTheme="minorEastAsia" w:hAnsiTheme="minorEastAsia" w:eastAsiaTheme="minorEastAsia" w:cstheme="minorEastAsia"/>
          <w:b/>
          <w:bCs w:val="0"/>
          <w:color w:val="auto"/>
          <w:sz w:val="21"/>
          <w:szCs w:val="21"/>
          <w:highlight w:val="none"/>
        </w:rPr>
      </w:pPr>
      <w:bookmarkStart w:id="534" w:name="_Toc18242"/>
      <w:bookmarkStart w:id="535" w:name="_Toc15226"/>
      <w:bookmarkStart w:id="536" w:name="_Toc15606"/>
      <w:bookmarkStart w:id="537" w:name="_Toc15421"/>
      <w:bookmarkStart w:id="538" w:name="_Toc21969"/>
      <w:bookmarkStart w:id="539" w:name="_Toc22884"/>
      <w:bookmarkStart w:id="540" w:name="_Toc8253"/>
      <w:bookmarkStart w:id="541" w:name="_Toc16134"/>
      <w:bookmarkStart w:id="542" w:name="_Toc20060"/>
      <w:bookmarkStart w:id="543" w:name="_Toc22519"/>
      <w:r>
        <w:rPr>
          <w:rFonts w:hint="eastAsia" w:asciiTheme="minorEastAsia" w:hAnsiTheme="minorEastAsia" w:eastAsiaTheme="minorEastAsia" w:cstheme="minorEastAsia"/>
          <w:b/>
          <w:bCs w:val="0"/>
          <w:color w:val="auto"/>
          <w:sz w:val="21"/>
          <w:szCs w:val="21"/>
          <w:highlight w:val="none"/>
        </w:rPr>
        <w:t>第六条  税费</w:t>
      </w:r>
      <w:bookmarkEnd w:id="534"/>
      <w:bookmarkEnd w:id="535"/>
      <w:bookmarkEnd w:id="536"/>
      <w:bookmarkEnd w:id="537"/>
      <w:bookmarkEnd w:id="538"/>
      <w:bookmarkEnd w:id="539"/>
      <w:bookmarkEnd w:id="540"/>
      <w:bookmarkEnd w:id="541"/>
      <w:bookmarkEnd w:id="542"/>
      <w:bookmarkEnd w:id="543"/>
    </w:p>
    <w:p>
      <w:pPr>
        <w:spacing w:line="360" w:lineRule="auto"/>
        <w:ind w:firstLine="411" w:firstLineChars="19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本合同执行中相关的一切税费均由成交供应商负担。</w:t>
      </w:r>
      <w:bookmarkStart w:id="544" w:name="_Toc29885"/>
      <w:bookmarkStart w:id="545" w:name="_Toc31516"/>
      <w:bookmarkStart w:id="546" w:name="_Toc5305"/>
      <w:bookmarkStart w:id="547" w:name="_Toc2313"/>
      <w:bookmarkStart w:id="548" w:name="_Toc19317"/>
      <w:bookmarkStart w:id="549" w:name="_Toc11829"/>
    </w:p>
    <w:p>
      <w:pPr>
        <w:numPr>
          <w:ilvl w:val="0"/>
          <w:numId w:val="11"/>
        </w:numPr>
        <w:spacing w:line="360" w:lineRule="auto"/>
        <w:ind w:firstLine="420"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付款方式</w:t>
      </w:r>
      <w:bookmarkEnd w:id="544"/>
      <w:bookmarkEnd w:id="545"/>
      <w:bookmarkEnd w:id="546"/>
      <w:bookmarkEnd w:id="547"/>
      <w:bookmarkEnd w:id="548"/>
      <w:bookmarkEnd w:id="549"/>
    </w:p>
    <w:p>
      <w:pPr>
        <w:pStyle w:val="11"/>
        <w:spacing w:line="44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1、信创云搬迁</w:t>
      </w:r>
    </w:p>
    <w:p>
      <w:pPr>
        <w:pStyle w:val="11"/>
        <w:spacing w:line="44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搬迁实施完成后起进入为期1个月的平台试运行期，试运行期结束并由采购人组织对“信创云搬迁”服务内容进行分项验收，验收合格</w:t>
      </w:r>
      <w:r>
        <w:rPr>
          <w:rFonts w:hint="eastAsia" w:asciiTheme="minorEastAsia" w:hAnsiTheme="minorEastAsia" w:eastAsiaTheme="minorEastAsia" w:cstheme="minorEastAsia"/>
          <w:color w:val="auto"/>
          <w:kern w:val="0"/>
          <w:szCs w:val="21"/>
          <w:highlight w:val="none"/>
        </w:rPr>
        <w:t>后1个月内</w:t>
      </w:r>
      <w:r>
        <w:rPr>
          <w:rFonts w:hint="eastAsia" w:asciiTheme="minorEastAsia" w:hAnsiTheme="minorEastAsia" w:eastAsiaTheme="minorEastAsia" w:cstheme="minorEastAsia"/>
          <w:color w:val="auto"/>
          <w:szCs w:val="21"/>
          <w:highlight w:val="none"/>
        </w:rPr>
        <w:t>支付应付款=合同</w:t>
      </w:r>
      <w:r>
        <w:rPr>
          <w:rFonts w:hint="eastAsia" w:asciiTheme="minorEastAsia" w:hAnsiTheme="minorEastAsia" w:eastAsiaTheme="minorEastAsia" w:cstheme="minorEastAsia"/>
          <w:b/>
          <w:bCs/>
          <w:color w:val="auto"/>
          <w:szCs w:val="21"/>
          <w:highlight w:val="none"/>
        </w:rPr>
        <w:t>“信创云搬迁</w:t>
      </w:r>
      <w:r>
        <w:rPr>
          <w:rFonts w:hint="eastAsia" w:asciiTheme="minorEastAsia" w:hAnsiTheme="minorEastAsia" w:eastAsiaTheme="minorEastAsia" w:cstheme="minorEastAsia"/>
          <w:color w:val="auto"/>
          <w:szCs w:val="21"/>
          <w:highlight w:val="none"/>
        </w:rPr>
        <w:t>”分项金额的100%-“信创云搬迁”分项扣减金额</w:t>
      </w:r>
      <w:r>
        <w:rPr>
          <w:rFonts w:hint="eastAsia" w:asciiTheme="minorEastAsia" w:hAnsiTheme="minorEastAsia" w:eastAsiaTheme="minorEastAsia" w:cstheme="minorEastAsia"/>
          <w:color w:val="auto"/>
          <w:kern w:val="0"/>
          <w:szCs w:val="21"/>
          <w:highlight w:val="none"/>
        </w:rPr>
        <w:t>，具体以财政拨款时间为准。</w:t>
      </w:r>
    </w:p>
    <w:p>
      <w:pPr>
        <w:pStyle w:val="11"/>
        <w:spacing w:line="44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2、机房配套设施改造</w:t>
      </w:r>
    </w:p>
    <w:p>
      <w:pPr>
        <w:pStyle w:val="11"/>
        <w:spacing w:line="44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“机房配套设施改造”</w:t>
      </w:r>
      <w:r>
        <w:rPr>
          <w:rFonts w:hint="eastAsia" w:asciiTheme="minorEastAsia" w:hAnsiTheme="minorEastAsia" w:eastAsiaTheme="minorEastAsia" w:cstheme="minorEastAsia"/>
          <w:color w:val="auto"/>
          <w:szCs w:val="21"/>
          <w:highlight w:val="none"/>
        </w:rPr>
        <w:t>结束后由采购人组织对该分项进行验收，</w:t>
      </w:r>
      <w:r>
        <w:rPr>
          <w:rFonts w:hint="eastAsia" w:asciiTheme="minorEastAsia" w:hAnsiTheme="minorEastAsia" w:eastAsiaTheme="minorEastAsia" w:cstheme="minorEastAsia"/>
          <w:color w:val="auto"/>
          <w:kern w:val="0"/>
          <w:szCs w:val="21"/>
          <w:highlight w:val="none"/>
        </w:rPr>
        <w:t>验收合格之后1个月内支付应付金额=合同</w:t>
      </w:r>
      <w:r>
        <w:rPr>
          <w:rFonts w:hint="eastAsia" w:asciiTheme="minorEastAsia" w:hAnsiTheme="minorEastAsia" w:eastAsiaTheme="minorEastAsia" w:cstheme="minorEastAsia"/>
          <w:b/>
          <w:bCs/>
          <w:color w:val="auto"/>
          <w:szCs w:val="21"/>
          <w:highlight w:val="none"/>
        </w:rPr>
        <w:t>“机房配套设施改造”</w:t>
      </w:r>
      <w:r>
        <w:rPr>
          <w:rFonts w:hint="eastAsia" w:asciiTheme="minorEastAsia" w:hAnsiTheme="minorEastAsia" w:eastAsiaTheme="minorEastAsia" w:cstheme="minorEastAsia"/>
          <w:color w:val="auto"/>
          <w:szCs w:val="21"/>
          <w:highlight w:val="none"/>
        </w:rPr>
        <w:t>分项</w:t>
      </w:r>
      <w:r>
        <w:rPr>
          <w:rFonts w:hint="eastAsia" w:asciiTheme="minorEastAsia" w:hAnsiTheme="minorEastAsia" w:eastAsiaTheme="minorEastAsia" w:cstheme="minorEastAsia"/>
          <w:color w:val="auto"/>
          <w:kern w:val="0"/>
          <w:szCs w:val="21"/>
          <w:highlight w:val="none"/>
        </w:rPr>
        <w:t>金额100%-</w:t>
      </w:r>
      <w:r>
        <w:rPr>
          <w:rFonts w:hint="eastAsia" w:asciiTheme="minorEastAsia" w:hAnsiTheme="minorEastAsia" w:eastAsiaTheme="minorEastAsia" w:cstheme="minorEastAsia"/>
          <w:b/>
          <w:bCs/>
          <w:color w:val="auto"/>
          <w:szCs w:val="21"/>
          <w:highlight w:val="none"/>
        </w:rPr>
        <w:t>“机房配套设施改造”分项</w:t>
      </w:r>
      <w:r>
        <w:rPr>
          <w:rFonts w:hint="eastAsia" w:asciiTheme="minorEastAsia" w:hAnsiTheme="minorEastAsia" w:eastAsiaTheme="minorEastAsia" w:cstheme="minorEastAsia"/>
          <w:color w:val="auto"/>
          <w:kern w:val="0"/>
          <w:szCs w:val="21"/>
          <w:highlight w:val="none"/>
        </w:rPr>
        <w:t>扣减金额，具体以财政拨款时间为准。</w:t>
      </w:r>
    </w:p>
    <w:p>
      <w:pPr>
        <w:snapToGrid w:val="0"/>
        <w:spacing w:line="440" w:lineRule="exact"/>
        <w:ind w:firstLine="420" w:firstLineChars="200"/>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3、信创云运维</w:t>
      </w:r>
    </w:p>
    <w:p>
      <w:pPr>
        <w:snapToGrid w:val="0"/>
        <w:spacing w:line="44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highlight w:val="none"/>
        </w:rPr>
        <w:t>经采购人确认的运维团队运维完成5</w:t>
      </w:r>
      <w:r>
        <w:rPr>
          <w:rFonts w:hint="eastAsia" w:asciiTheme="minorEastAsia" w:hAnsiTheme="minorEastAsia" w:eastAsiaTheme="minorEastAsia" w:cstheme="minorEastAsia"/>
          <w:color w:val="auto"/>
          <w:kern w:val="0"/>
          <w:szCs w:val="21"/>
          <w:highlight w:val="none"/>
        </w:rPr>
        <w:t>个月后</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Cs w:val="21"/>
          <w:highlight w:val="none"/>
        </w:rPr>
        <w:t>采购人向</w:t>
      </w:r>
      <w:r>
        <w:rPr>
          <w:rFonts w:hint="eastAsia" w:asciiTheme="minorEastAsia" w:hAnsiTheme="minorEastAsia" w:eastAsiaTheme="minorEastAsia" w:cstheme="minorEastAsia"/>
          <w:color w:val="auto"/>
          <w:kern w:val="0"/>
          <w:szCs w:val="21"/>
          <w:highlight w:val="none"/>
        </w:rPr>
        <w:t>成交供应商支付</w:t>
      </w:r>
      <w:r>
        <w:rPr>
          <w:rFonts w:hint="eastAsia" w:asciiTheme="minorEastAsia" w:hAnsiTheme="minorEastAsia" w:eastAsiaTheme="minorEastAsia" w:cstheme="minorEastAsia"/>
          <w:b/>
          <w:bCs/>
          <w:color w:val="auto"/>
          <w:szCs w:val="21"/>
          <w:highlight w:val="none"/>
        </w:rPr>
        <w:t>“信创云运维”</w:t>
      </w:r>
      <w:r>
        <w:rPr>
          <w:rFonts w:hint="eastAsia" w:asciiTheme="minorEastAsia" w:hAnsiTheme="minorEastAsia" w:eastAsiaTheme="minorEastAsia" w:cstheme="minorEastAsia"/>
          <w:color w:val="auto"/>
          <w:szCs w:val="21"/>
          <w:highlight w:val="none"/>
        </w:rPr>
        <w:t>分项</w:t>
      </w:r>
      <w:r>
        <w:rPr>
          <w:rFonts w:hint="eastAsia" w:asciiTheme="minorEastAsia" w:hAnsiTheme="minorEastAsia" w:eastAsiaTheme="minorEastAsia" w:cstheme="minorEastAsia"/>
          <w:color w:val="auto"/>
          <w:kern w:val="0"/>
          <w:szCs w:val="21"/>
          <w:highlight w:val="none"/>
        </w:rPr>
        <w:t>合同金额的40%（第一笔支付金额），具体以财政拨款时间为准。</w:t>
      </w:r>
    </w:p>
    <w:p>
      <w:pPr>
        <w:snapToGrid w:val="0"/>
        <w:spacing w:line="440" w:lineRule="exact"/>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（2）服务期结束由采购人组织对本项目进行合同验收，验收工作合格</w:t>
      </w:r>
      <w:r>
        <w:rPr>
          <w:rFonts w:hint="eastAsia" w:asciiTheme="minorEastAsia" w:hAnsiTheme="minorEastAsia" w:eastAsiaTheme="minorEastAsia" w:cstheme="minorEastAsia"/>
          <w:color w:val="auto"/>
          <w:kern w:val="0"/>
          <w:szCs w:val="21"/>
          <w:highlight w:val="none"/>
        </w:rPr>
        <w:t>之后1个月内</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根据运维服务考核结果支付剩余合同</w:t>
      </w:r>
      <w:r>
        <w:rPr>
          <w:rFonts w:hint="eastAsia" w:asciiTheme="minorEastAsia" w:hAnsiTheme="minorEastAsia" w:eastAsiaTheme="minorEastAsia" w:cstheme="minorEastAsia"/>
          <w:b/>
          <w:bCs/>
          <w:color w:val="auto"/>
          <w:szCs w:val="21"/>
          <w:highlight w:val="none"/>
        </w:rPr>
        <w:t>“信创云运维”</w:t>
      </w:r>
      <w:r>
        <w:rPr>
          <w:rFonts w:hint="eastAsia" w:asciiTheme="minorEastAsia" w:hAnsiTheme="minorEastAsia" w:eastAsiaTheme="minorEastAsia" w:cstheme="minorEastAsia"/>
          <w:color w:val="auto"/>
          <w:szCs w:val="21"/>
          <w:highlight w:val="none"/>
        </w:rPr>
        <w:t>分项应付</w:t>
      </w:r>
      <w:r>
        <w:rPr>
          <w:rFonts w:hint="eastAsia" w:asciiTheme="minorEastAsia" w:hAnsiTheme="minorEastAsia" w:eastAsiaTheme="minorEastAsia" w:cstheme="minorEastAsia"/>
          <w:color w:val="auto"/>
          <w:kern w:val="0"/>
          <w:szCs w:val="21"/>
          <w:highlight w:val="none"/>
        </w:rPr>
        <w:t>金额（第二笔支付金额），具体以财政拨款时间为准。第二笔支付金额=合同</w:t>
      </w:r>
      <w:r>
        <w:rPr>
          <w:rFonts w:hint="eastAsia" w:asciiTheme="minorEastAsia" w:hAnsiTheme="minorEastAsia" w:eastAsiaTheme="minorEastAsia" w:cstheme="minorEastAsia"/>
          <w:b/>
          <w:bCs/>
          <w:color w:val="auto"/>
          <w:szCs w:val="21"/>
          <w:highlight w:val="none"/>
        </w:rPr>
        <w:t>“信创云运维”</w:t>
      </w:r>
      <w:r>
        <w:rPr>
          <w:rFonts w:hint="eastAsia" w:asciiTheme="minorEastAsia" w:hAnsiTheme="minorEastAsia" w:eastAsiaTheme="minorEastAsia" w:cstheme="minorEastAsia"/>
          <w:color w:val="auto"/>
          <w:szCs w:val="21"/>
          <w:highlight w:val="none"/>
        </w:rPr>
        <w:t>分项</w:t>
      </w:r>
      <w:r>
        <w:rPr>
          <w:rFonts w:hint="eastAsia" w:asciiTheme="minorEastAsia" w:hAnsiTheme="minorEastAsia" w:eastAsiaTheme="minorEastAsia" w:cstheme="minorEastAsia"/>
          <w:color w:val="auto"/>
          <w:kern w:val="0"/>
          <w:szCs w:val="21"/>
          <w:highlight w:val="none"/>
        </w:rPr>
        <w:t>金额×0.6-</w:t>
      </w:r>
      <w:r>
        <w:rPr>
          <w:rFonts w:hint="eastAsia" w:asciiTheme="minorEastAsia" w:hAnsiTheme="minorEastAsia" w:eastAsiaTheme="minorEastAsia" w:cstheme="minorEastAsia"/>
          <w:b/>
          <w:bCs/>
          <w:color w:val="auto"/>
          <w:szCs w:val="21"/>
          <w:highlight w:val="none"/>
        </w:rPr>
        <w:t>“信创云运维”</w:t>
      </w:r>
      <w:r>
        <w:rPr>
          <w:rFonts w:hint="eastAsia" w:asciiTheme="minorEastAsia" w:hAnsiTheme="minorEastAsia" w:eastAsiaTheme="minorEastAsia" w:cstheme="minorEastAsia"/>
          <w:color w:val="auto"/>
          <w:szCs w:val="21"/>
          <w:highlight w:val="none"/>
        </w:rPr>
        <w:t>分项</w:t>
      </w:r>
      <w:r>
        <w:rPr>
          <w:rFonts w:hint="eastAsia" w:asciiTheme="minorEastAsia" w:hAnsiTheme="minorEastAsia" w:eastAsiaTheme="minorEastAsia" w:cstheme="minorEastAsia"/>
          <w:color w:val="auto"/>
          <w:kern w:val="0"/>
          <w:szCs w:val="21"/>
          <w:highlight w:val="none"/>
        </w:rPr>
        <w:t>扣减的考核金额。</w:t>
      </w:r>
    </w:p>
    <w:p>
      <w:pPr>
        <w:widowControl/>
        <w:spacing w:line="400" w:lineRule="exact"/>
        <w:ind w:firstLine="422" w:firstLineChars="201"/>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color w:val="auto"/>
          <w:szCs w:val="21"/>
          <w:highlight w:val="none"/>
        </w:rPr>
        <w:t>第八条 履约保证金</w:t>
      </w:r>
    </w:p>
    <w:p>
      <w:pPr>
        <w:ind w:firstLine="420" w:firstLineChars="200"/>
        <w:rPr>
          <w:rFonts w:hint="eastAsia" w:asciiTheme="minorEastAsia" w:hAnsiTheme="minorEastAsia" w:eastAsiaTheme="minorEastAsia" w:cstheme="minorEastAsia"/>
          <w:color w:val="auto"/>
          <w:highlight w:val="none"/>
        </w:rPr>
      </w:pPr>
      <w:bookmarkStart w:id="550" w:name="_Toc18859"/>
      <w:bookmarkStart w:id="551" w:name="_Toc21698"/>
      <w:bookmarkStart w:id="552" w:name="_Toc14371"/>
      <w:bookmarkStart w:id="553" w:name="_Toc17966"/>
      <w:r>
        <w:rPr>
          <w:rFonts w:hint="eastAsia" w:asciiTheme="minorEastAsia" w:hAnsiTheme="minorEastAsia" w:eastAsiaTheme="minorEastAsia" w:cstheme="minorEastAsia"/>
          <w:color w:val="auto"/>
          <w:highlight w:val="none"/>
        </w:rPr>
        <w:t>无。</w:t>
      </w:r>
      <w:bookmarkEnd w:id="550"/>
      <w:bookmarkEnd w:id="551"/>
      <w:bookmarkEnd w:id="552"/>
    </w:p>
    <w:p>
      <w:pPr>
        <w:pStyle w:val="4"/>
        <w:ind w:left="567" w:leftChars="200" w:hanging="147" w:hangingChars="70"/>
        <w:rPr>
          <w:rFonts w:hint="eastAsia" w:asciiTheme="minorEastAsia" w:hAnsiTheme="minorEastAsia" w:eastAsiaTheme="minorEastAsia" w:cstheme="minorEastAsia"/>
          <w:b/>
          <w:bCs w:val="0"/>
          <w:color w:val="auto"/>
          <w:sz w:val="21"/>
          <w:szCs w:val="21"/>
          <w:highlight w:val="none"/>
        </w:rPr>
      </w:pPr>
      <w:bookmarkStart w:id="554" w:name="_Toc29978"/>
      <w:bookmarkStart w:id="555" w:name="_Toc8882"/>
      <w:bookmarkStart w:id="556" w:name="_Toc26604"/>
      <w:bookmarkStart w:id="557" w:name="_Toc26346"/>
      <w:r>
        <w:rPr>
          <w:rFonts w:hint="eastAsia" w:asciiTheme="minorEastAsia" w:hAnsiTheme="minorEastAsia" w:eastAsiaTheme="minorEastAsia" w:cstheme="minorEastAsia"/>
          <w:b/>
          <w:bCs w:val="0"/>
          <w:color w:val="auto"/>
          <w:sz w:val="21"/>
          <w:szCs w:val="21"/>
          <w:highlight w:val="none"/>
        </w:rPr>
        <w:t>第九条  违约责任</w:t>
      </w:r>
      <w:bookmarkEnd w:id="553"/>
      <w:bookmarkEnd w:id="554"/>
      <w:bookmarkEnd w:id="555"/>
      <w:bookmarkEnd w:id="556"/>
      <w:bookmarkEnd w:id="557"/>
    </w:p>
    <w:p>
      <w:pPr>
        <w:pStyle w:val="11"/>
        <w:spacing w:line="38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以下扣款条款，均为扣完分项合同金额为止。</w:t>
      </w:r>
    </w:p>
    <w:p>
      <w:pPr>
        <w:pStyle w:val="11"/>
        <w:spacing w:line="38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1、成交供应商未在合同签订之日起</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个工作日内完成“</w:t>
      </w:r>
      <w:r>
        <w:rPr>
          <w:rFonts w:hint="eastAsia" w:asciiTheme="minorEastAsia" w:hAnsiTheme="minorEastAsia" w:eastAsiaTheme="minorEastAsia" w:cstheme="minorEastAsia"/>
          <w:b/>
          <w:bCs/>
          <w:color w:val="auto"/>
          <w:szCs w:val="21"/>
          <w:highlight w:val="none"/>
        </w:rPr>
        <w:t>信创云搬迁</w:t>
      </w:r>
      <w:r>
        <w:rPr>
          <w:rFonts w:hint="eastAsia" w:asciiTheme="minorEastAsia" w:hAnsiTheme="minorEastAsia" w:eastAsiaTheme="minorEastAsia" w:cstheme="minorEastAsia"/>
          <w:color w:val="auto"/>
          <w:szCs w:val="21"/>
          <w:highlight w:val="none"/>
        </w:rPr>
        <w:t>”分项内容所涉及的前期规划（包含项目团队组建、现场勘查、制定搬迁方案、负责落实搬迁所需的软硬件、人员、技术支持、交通工具、辅材等搬迁一切前置条件）并将相关落实情况报采购人审核，每延期1日，扣减“</w:t>
      </w:r>
      <w:r>
        <w:rPr>
          <w:rFonts w:hint="eastAsia" w:asciiTheme="minorEastAsia" w:hAnsiTheme="minorEastAsia" w:eastAsiaTheme="minorEastAsia" w:cstheme="minorEastAsia"/>
          <w:b/>
          <w:bCs/>
          <w:color w:val="auto"/>
          <w:szCs w:val="21"/>
          <w:highlight w:val="none"/>
        </w:rPr>
        <w:t>信创云搬迁</w:t>
      </w:r>
      <w:r>
        <w:rPr>
          <w:rFonts w:hint="eastAsia" w:asciiTheme="minorEastAsia" w:hAnsiTheme="minorEastAsia" w:eastAsiaTheme="minorEastAsia" w:cstheme="minorEastAsia"/>
          <w:color w:val="auto"/>
          <w:szCs w:val="21"/>
          <w:highlight w:val="none"/>
        </w:rPr>
        <w:t>”分项合同金额的5%。成交供应商未在采购人指定的搬迁实施日起2个日历日内完成搬迁实施（含设备下电、下架、包装、运输、上架、加电、恢复服务等）的，延期3日内的（含3日），每延期1日扣减“</w:t>
      </w:r>
      <w:r>
        <w:rPr>
          <w:rFonts w:hint="eastAsia" w:asciiTheme="minorEastAsia" w:hAnsiTheme="minorEastAsia" w:eastAsiaTheme="minorEastAsia" w:cstheme="minorEastAsia"/>
          <w:b/>
          <w:bCs/>
          <w:color w:val="auto"/>
          <w:szCs w:val="21"/>
          <w:highlight w:val="none"/>
        </w:rPr>
        <w:t>信创云搬迁</w:t>
      </w:r>
      <w:r>
        <w:rPr>
          <w:rFonts w:hint="eastAsia" w:asciiTheme="minorEastAsia" w:hAnsiTheme="minorEastAsia" w:eastAsiaTheme="minorEastAsia" w:cstheme="minorEastAsia"/>
          <w:color w:val="auto"/>
          <w:szCs w:val="21"/>
          <w:highlight w:val="none"/>
        </w:rPr>
        <w:t>”分项合同金额的10%；延期超过3日后，每延期1日扣减“</w:t>
      </w:r>
      <w:r>
        <w:rPr>
          <w:rFonts w:hint="eastAsia" w:asciiTheme="minorEastAsia" w:hAnsiTheme="minorEastAsia" w:eastAsiaTheme="minorEastAsia" w:cstheme="minorEastAsia"/>
          <w:b/>
          <w:bCs/>
          <w:color w:val="auto"/>
          <w:szCs w:val="21"/>
          <w:highlight w:val="none"/>
        </w:rPr>
        <w:t>信创云搬迁</w:t>
      </w:r>
      <w:r>
        <w:rPr>
          <w:rFonts w:hint="eastAsia" w:asciiTheme="minorEastAsia" w:hAnsiTheme="minorEastAsia" w:eastAsiaTheme="minorEastAsia" w:cstheme="minorEastAsia"/>
          <w:color w:val="auto"/>
          <w:szCs w:val="21"/>
          <w:highlight w:val="none"/>
        </w:rPr>
        <w:t>”分项合同金额的15%。</w:t>
      </w:r>
    </w:p>
    <w:p>
      <w:pPr>
        <w:pStyle w:val="11"/>
        <w:spacing w:line="38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bCs/>
          <w:color w:val="auto"/>
          <w:szCs w:val="21"/>
          <w:highlight w:val="none"/>
        </w:rPr>
        <w:t>信创云搬迁</w:t>
      </w:r>
      <w:r>
        <w:rPr>
          <w:rFonts w:hint="eastAsia" w:asciiTheme="minorEastAsia" w:hAnsiTheme="minorEastAsia" w:eastAsiaTheme="minorEastAsia" w:cstheme="minorEastAsia"/>
          <w:color w:val="auto"/>
          <w:szCs w:val="21"/>
          <w:highlight w:val="none"/>
        </w:rPr>
        <w:t>”验收中发现设备搬迁过程中造成损坏或缺失，成交供应商需 24 小时内免费提供同型号备用设备替代，7 个工作日内免费完成损坏设备修复；造成业务中断的，每延期1日扣减“</w:t>
      </w:r>
      <w:r>
        <w:rPr>
          <w:rFonts w:hint="eastAsia" w:asciiTheme="minorEastAsia" w:hAnsiTheme="minorEastAsia" w:eastAsiaTheme="minorEastAsia" w:cstheme="minorEastAsia"/>
          <w:b/>
          <w:bCs/>
          <w:color w:val="auto"/>
          <w:szCs w:val="21"/>
          <w:highlight w:val="none"/>
        </w:rPr>
        <w:t>信创云搬迁</w:t>
      </w:r>
      <w:r>
        <w:rPr>
          <w:rFonts w:hint="eastAsia" w:asciiTheme="minorEastAsia" w:hAnsiTheme="minorEastAsia" w:eastAsiaTheme="minorEastAsia" w:cstheme="minorEastAsia"/>
          <w:color w:val="auto"/>
          <w:szCs w:val="21"/>
          <w:highlight w:val="none"/>
        </w:rPr>
        <w:t>”分项合同金额的5%；搬迁过程中造成数据丢失的，损失由成交供应商承担。</w:t>
      </w:r>
    </w:p>
    <w:p>
      <w:pPr>
        <w:spacing w:line="36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2、成交供应商应自合同签订之日起</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个日历日内完成</w:t>
      </w:r>
      <w:r>
        <w:rPr>
          <w:rFonts w:hint="eastAsia" w:asciiTheme="minorEastAsia" w:hAnsiTheme="minorEastAsia" w:eastAsiaTheme="minorEastAsia" w:cstheme="minorEastAsia"/>
          <w:b/>
          <w:bCs/>
          <w:color w:val="auto"/>
          <w:szCs w:val="21"/>
          <w:highlight w:val="none"/>
        </w:rPr>
        <w:t>“机房配套设施改造”分项</w:t>
      </w:r>
      <w:r>
        <w:rPr>
          <w:rFonts w:hint="eastAsia" w:asciiTheme="minorEastAsia" w:hAnsiTheme="minorEastAsia" w:eastAsiaTheme="minorEastAsia" w:cstheme="minorEastAsia"/>
          <w:color w:val="auto"/>
          <w:szCs w:val="21"/>
          <w:highlight w:val="none"/>
        </w:rPr>
        <w:t>中所有货物的到货并安装调试完毕、完成新增供电线路施工，机房供电设施投入正常运行。每延期1日扣减</w:t>
      </w:r>
      <w:r>
        <w:rPr>
          <w:rFonts w:hint="eastAsia" w:asciiTheme="minorEastAsia" w:hAnsiTheme="minorEastAsia" w:eastAsiaTheme="minorEastAsia" w:cstheme="minorEastAsia"/>
          <w:b/>
          <w:bCs/>
          <w:color w:val="auto"/>
          <w:szCs w:val="21"/>
          <w:highlight w:val="none"/>
        </w:rPr>
        <w:t>“机房配套设施改造”</w:t>
      </w:r>
      <w:r>
        <w:rPr>
          <w:rFonts w:hint="eastAsia" w:asciiTheme="minorEastAsia" w:hAnsiTheme="minorEastAsia" w:eastAsiaTheme="minorEastAsia" w:cstheme="minorEastAsia"/>
          <w:color w:val="auto"/>
          <w:szCs w:val="21"/>
          <w:highlight w:val="none"/>
        </w:rPr>
        <w:t>分项合同金额的3%。</w:t>
      </w:r>
    </w:p>
    <w:p>
      <w:pPr>
        <w:spacing w:line="360" w:lineRule="exact"/>
        <w:ind w:left="199" w:leftChars="95" w:firstLine="210" w:firstLineChars="1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Cs w:val="21"/>
          <w:highlight w:val="none"/>
        </w:rPr>
        <w:t>“机房配套设施改造”</w:t>
      </w:r>
      <w:r>
        <w:rPr>
          <w:rFonts w:hint="eastAsia" w:asciiTheme="minorEastAsia" w:hAnsiTheme="minorEastAsia" w:eastAsiaTheme="minorEastAsia" w:cstheme="minorEastAsia"/>
          <w:color w:val="auto"/>
          <w:szCs w:val="21"/>
          <w:highlight w:val="none"/>
        </w:rPr>
        <w:t>验收中检测出参数不达标，成交供应商需</w:t>
      </w:r>
      <w:r>
        <w:rPr>
          <w:rFonts w:hint="eastAsia" w:asciiTheme="minorEastAsia" w:hAnsiTheme="minorEastAsia" w:eastAsiaTheme="minorEastAsia" w:cstheme="minorEastAsia"/>
          <w:color w:val="auto"/>
          <w:szCs w:val="21"/>
          <w:highlight w:val="none"/>
          <w:lang w:eastAsia="zh-CN"/>
        </w:rPr>
        <w:t>在</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个工作日内完成设备更换及调试，逾期未达标则扣除</w:t>
      </w:r>
      <w:r>
        <w:rPr>
          <w:rFonts w:hint="eastAsia" w:asciiTheme="minorEastAsia" w:hAnsiTheme="minorEastAsia" w:eastAsiaTheme="minorEastAsia" w:cstheme="minorEastAsia"/>
          <w:b/>
          <w:bCs/>
          <w:color w:val="auto"/>
          <w:szCs w:val="21"/>
          <w:highlight w:val="none"/>
        </w:rPr>
        <w:t>“机房配套设施改造”</w:t>
      </w:r>
      <w:r>
        <w:rPr>
          <w:rFonts w:hint="eastAsia" w:asciiTheme="minorEastAsia" w:hAnsiTheme="minorEastAsia" w:eastAsiaTheme="minorEastAsia" w:cstheme="minorEastAsia"/>
          <w:color w:val="auto"/>
          <w:szCs w:val="21"/>
          <w:highlight w:val="none"/>
        </w:rPr>
        <w:t>分项合同金额的 15%；若提供非全新或非正品设备，采购人直接不予验收，同时成交供应商需承担</w:t>
      </w:r>
      <w:r>
        <w:rPr>
          <w:rFonts w:hint="eastAsia" w:asciiTheme="minorEastAsia" w:hAnsiTheme="minorEastAsia" w:eastAsiaTheme="minorEastAsia" w:cstheme="minorEastAsia"/>
          <w:b/>
          <w:bCs/>
          <w:color w:val="auto"/>
          <w:szCs w:val="21"/>
          <w:highlight w:val="none"/>
        </w:rPr>
        <w:t>“机房配套设施改造”</w:t>
      </w:r>
      <w:r>
        <w:rPr>
          <w:rFonts w:hint="eastAsia" w:asciiTheme="minorEastAsia" w:hAnsiTheme="minorEastAsia" w:eastAsiaTheme="minorEastAsia" w:cstheme="minorEastAsia"/>
          <w:color w:val="auto"/>
          <w:szCs w:val="21"/>
          <w:highlight w:val="none"/>
        </w:rPr>
        <w:t>分项合同金额 20% 的违约金。</w:t>
      </w:r>
    </w:p>
    <w:p>
      <w:pPr>
        <w:pStyle w:val="11"/>
        <w:numPr>
          <w:ilvl w:val="255"/>
          <w:numId w:val="0"/>
        </w:numPr>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b/>
          <w:bCs/>
          <w:color w:val="auto"/>
          <w:szCs w:val="21"/>
          <w:highlight w:val="none"/>
        </w:rPr>
        <w:t>“信创云运维”</w:t>
      </w:r>
      <w:r>
        <w:rPr>
          <w:rFonts w:hint="eastAsia" w:asciiTheme="minorEastAsia" w:hAnsiTheme="minorEastAsia" w:eastAsiaTheme="minorEastAsia" w:cstheme="minorEastAsia"/>
          <w:color w:val="auto"/>
          <w:szCs w:val="21"/>
          <w:highlight w:val="none"/>
        </w:rPr>
        <w:t>按该分项采购需求“</w:t>
      </w:r>
      <w:r>
        <w:rPr>
          <w:rFonts w:hint="eastAsia" w:asciiTheme="minorEastAsia" w:hAnsiTheme="minorEastAsia" w:eastAsiaTheme="minorEastAsia" w:cstheme="minorEastAsia"/>
          <w:b/>
          <w:bCs/>
          <w:color w:val="auto"/>
          <w:szCs w:val="21"/>
          <w:highlight w:val="none"/>
        </w:rPr>
        <w:t>三、服务考核与评价</w:t>
      </w:r>
      <w:r>
        <w:rPr>
          <w:rFonts w:hint="eastAsia" w:asciiTheme="minorEastAsia" w:hAnsiTheme="minorEastAsia" w:eastAsiaTheme="minorEastAsia" w:cstheme="minorEastAsia"/>
          <w:color w:val="auto"/>
          <w:szCs w:val="21"/>
          <w:highlight w:val="none"/>
        </w:rPr>
        <w:t>”中规定执行。</w:t>
      </w:r>
    </w:p>
    <w:p>
      <w:pPr>
        <w:pStyle w:val="4"/>
        <w:ind w:left="567" w:leftChars="200" w:hanging="147" w:hangingChars="70"/>
        <w:rPr>
          <w:rFonts w:hint="eastAsia" w:asciiTheme="minorEastAsia" w:hAnsiTheme="minorEastAsia" w:eastAsiaTheme="minorEastAsia" w:cstheme="minorEastAsia"/>
          <w:b/>
          <w:bCs w:val="0"/>
          <w:color w:val="auto"/>
          <w:sz w:val="21"/>
          <w:szCs w:val="21"/>
          <w:highlight w:val="none"/>
        </w:rPr>
      </w:pPr>
      <w:bookmarkStart w:id="558" w:name="_Toc1538"/>
      <w:bookmarkStart w:id="559" w:name="_Toc8363"/>
      <w:bookmarkStart w:id="560" w:name="_Toc21713"/>
      <w:bookmarkStart w:id="561" w:name="_Toc19103"/>
      <w:bookmarkStart w:id="562" w:name="_Toc19224"/>
      <w:bookmarkStart w:id="563" w:name="_Toc32038"/>
      <w:bookmarkStart w:id="564" w:name="_Toc11857"/>
      <w:r>
        <w:rPr>
          <w:rFonts w:hint="eastAsia" w:asciiTheme="minorEastAsia" w:hAnsiTheme="minorEastAsia" w:eastAsiaTheme="minorEastAsia" w:cstheme="minorEastAsia"/>
          <w:b/>
          <w:bCs w:val="0"/>
          <w:color w:val="auto"/>
          <w:sz w:val="21"/>
          <w:szCs w:val="21"/>
          <w:highlight w:val="none"/>
        </w:rPr>
        <w:t>第十条  不可抗力事件处理</w:t>
      </w:r>
      <w:bookmarkEnd w:id="558"/>
      <w:bookmarkEnd w:id="559"/>
      <w:bookmarkEnd w:id="560"/>
      <w:bookmarkEnd w:id="561"/>
      <w:bookmarkEnd w:id="562"/>
      <w:bookmarkEnd w:id="563"/>
      <w:bookmarkEnd w:id="564"/>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1、在合同有效期内，成交供应商因不可抗力事件导致不能履行合同，则合同履行期可延长，其延长期与不可抗力影响期相同。</w:t>
      </w:r>
    </w:p>
    <w:p>
      <w:pPr>
        <w:numPr>
          <w:ilvl w:val="0"/>
          <w:numId w:val="12"/>
        </w:num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不可抗力事件发生后，应立即通知对方，并寄送有关权威机构出具的证明。</w:t>
      </w:r>
    </w:p>
    <w:p>
      <w:pPr>
        <w:numPr>
          <w:ilvl w:val="0"/>
          <w:numId w:val="12"/>
        </w:num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不可抗力事件延续一百二十天以上，双方应通过友好协商，确定是否继续履行合同。</w:t>
      </w:r>
    </w:p>
    <w:p>
      <w:pPr>
        <w:pStyle w:val="4"/>
        <w:ind w:left="567" w:leftChars="200" w:hanging="147" w:hangingChars="70"/>
        <w:rPr>
          <w:rFonts w:hint="eastAsia" w:asciiTheme="minorEastAsia" w:hAnsiTheme="minorEastAsia" w:eastAsiaTheme="minorEastAsia" w:cstheme="minorEastAsia"/>
          <w:b/>
          <w:bCs w:val="0"/>
          <w:color w:val="auto"/>
          <w:sz w:val="21"/>
          <w:szCs w:val="21"/>
          <w:highlight w:val="none"/>
        </w:rPr>
      </w:pPr>
      <w:bookmarkStart w:id="565" w:name="_Toc7311"/>
      <w:bookmarkStart w:id="566" w:name="_Toc17639"/>
      <w:bookmarkStart w:id="567" w:name="_Toc8289"/>
      <w:bookmarkStart w:id="568" w:name="_Toc24635"/>
      <w:bookmarkStart w:id="569" w:name="_Toc20046"/>
      <w:bookmarkStart w:id="570" w:name="_Toc5760"/>
      <w:bookmarkStart w:id="571" w:name="_Toc8638"/>
      <w:r>
        <w:rPr>
          <w:rFonts w:hint="eastAsia" w:asciiTheme="minorEastAsia" w:hAnsiTheme="minorEastAsia" w:eastAsiaTheme="minorEastAsia" w:cstheme="minorEastAsia"/>
          <w:b/>
          <w:bCs w:val="0"/>
          <w:color w:val="auto"/>
          <w:sz w:val="21"/>
          <w:szCs w:val="21"/>
          <w:highlight w:val="none"/>
        </w:rPr>
        <w:t>第十一条  合同争议解决</w:t>
      </w:r>
      <w:bookmarkEnd w:id="565"/>
      <w:bookmarkEnd w:id="566"/>
      <w:bookmarkEnd w:id="567"/>
      <w:bookmarkEnd w:id="568"/>
      <w:bookmarkEnd w:id="569"/>
      <w:bookmarkEnd w:id="570"/>
      <w:bookmarkEnd w:id="571"/>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1、因服务问题发生争议的，应邀请国家认可的相关机构进行鉴定。服务符合要求的，鉴定费由采购人承担；服务不符合要求的，鉴定费由成交供应商承担。</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2、因履行本合同引起的或与本合同有关的争议，甲乙双方应首先通过友好协商解决，如果协商不能解决，可向甲方所在地有管辖权的人民法院提起诉讼。</w:t>
      </w:r>
    </w:p>
    <w:p>
      <w:pPr>
        <w:spacing w:line="360" w:lineRule="auto"/>
        <w:ind w:left="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3、诉讼期间，本合同继续履行。</w:t>
      </w:r>
    </w:p>
    <w:p>
      <w:pPr>
        <w:pStyle w:val="4"/>
        <w:ind w:left="567" w:leftChars="200" w:hanging="147" w:hangingChars="70"/>
        <w:rPr>
          <w:rFonts w:hint="eastAsia" w:asciiTheme="minorEastAsia" w:hAnsiTheme="minorEastAsia" w:eastAsiaTheme="minorEastAsia" w:cstheme="minorEastAsia"/>
          <w:b/>
          <w:color w:val="auto"/>
          <w:sz w:val="21"/>
          <w:szCs w:val="21"/>
          <w:highlight w:val="none"/>
          <w:lang w:val="en-US"/>
        </w:rPr>
      </w:pPr>
      <w:bookmarkStart w:id="572" w:name="_Toc7749"/>
      <w:bookmarkStart w:id="573" w:name="_Toc1909"/>
      <w:r>
        <w:rPr>
          <w:rFonts w:hint="eastAsia" w:asciiTheme="minorEastAsia" w:hAnsiTheme="minorEastAsia" w:eastAsiaTheme="minorEastAsia" w:cstheme="minorEastAsia"/>
          <w:b/>
          <w:color w:val="auto"/>
          <w:sz w:val="21"/>
          <w:szCs w:val="21"/>
          <w:highlight w:val="none"/>
          <w:lang w:val="en-US"/>
        </w:rPr>
        <w:t>第十二条 知识产权</w:t>
      </w:r>
      <w:bookmarkEnd w:id="572"/>
      <w:bookmarkEnd w:id="573"/>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在服务过程中产生的全部工作成果（包括但不限于报告、方案、数据等）的知识产权，除乙方事先声明拥有的专利技术外，归甲方所有。乙方保证其提供的服务及成果不侵犯任何第三方的知识产权，否则承担全部赔偿责任。</w:t>
      </w:r>
    </w:p>
    <w:p>
      <w:pPr>
        <w:pStyle w:val="4"/>
        <w:ind w:left="567" w:leftChars="200" w:hanging="147" w:hangingChars="70"/>
        <w:rPr>
          <w:rFonts w:hint="eastAsia" w:asciiTheme="minorEastAsia" w:hAnsiTheme="minorEastAsia" w:eastAsiaTheme="minorEastAsia" w:cstheme="minorEastAsia"/>
          <w:b/>
          <w:color w:val="auto"/>
          <w:sz w:val="21"/>
          <w:szCs w:val="21"/>
          <w:highlight w:val="none"/>
          <w:lang w:val="en-US"/>
        </w:rPr>
      </w:pPr>
      <w:bookmarkStart w:id="574" w:name="_Toc24620"/>
      <w:r>
        <w:rPr>
          <w:rFonts w:hint="eastAsia" w:asciiTheme="minorEastAsia" w:hAnsiTheme="minorEastAsia" w:eastAsiaTheme="minorEastAsia" w:cstheme="minorEastAsia"/>
          <w:b/>
          <w:color w:val="auto"/>
          <w:sz w:val="21"/>
          <w:szCs w:val="21"/>
          <w:highlight w:val="none"/>
          <w:lang w:val="en-US"/>
        </w:rPr>
        <w:t>第十三条 保密条款</w:t>
      </w:r>
      <w:bookmarkEnd w:id="574"/>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甲乙双方应对在合同履行过程中获悉的对方商业秘密、涉密信息及本合同内容严格保密，未经对方书面同意，不得向任何第三方泄露。保密义务在合同终止后持续有效。</w:t>
      </w:r>
    </w:p>
    <w:p>
      <w:pPr>
        <w:pStyle w:val="4"/>
        <w:ind w:left="567" w:leftChars="200" w:hanging="147" w:hangingChars="70"/>
        <w:rPr>
          <w:rFonts w:hint="eastAsia" w:asciiTheme="minorEastAsia" w:hAnsiTheme="minorEastAsia" w:eastAsiaTheme="minorEastAsia" w:cstheme="minorEastAsia"/>
          <w:b/>
          <w:bCs w:val="0"/>
          <w:color w:val="auto"/>
          <w:sz w:val="21"/>
          <w:szCs w:val="21"/>
          <w:highlight w:val="none"/>
        </w:rPr>
      </w:pPr>
      <w:bookmarkStart w:id="575" w:name="_Toc17823"/>
      <w:bookmarkStart w:id="576" w:name="_Toc24651"/>
      <w:bookmarkStart w:id="577" w:name="_Toc28221"/>
      <w:bookmarkStart w:id="578" w:name="_Toc27483"/>
      <w:bookmarkStart w:id="579" w:name="_Toc259"/>
      <w:bookmarkStart w:id="580" w:name="_Toc12502"/>
      <w:bookmarkStart w:id="581" w:name="_Toc13973"/>
      <w:r>
        <w:rPr>
          <w:rFonts w:hint="eastAsia" w:asciiTheme="minorEastAsia" w:hAnsiTheme="minorEastAsia" w:eastAsiaTheme="minorEastAsia" w:cstheme="minorEastAsia"/>
          <w:b/>
          <w:bCs w:val="0"/>
          <w:color w:val="auto"/>
          <w:sz w:val="21"/>
          <w:szCs w:val="21"/>
          <w:highlight w:val="none"/>
        </w:rPr>
        <w:t>第十四条  合同生效及其它</w:t>
      </w:r>
      <w:bookmarkEnd w:id="575"/>
      <w:bookmarkEnd w:id="576"/>
      <w:bookmarkEnd w:id="577"/>
      <w:bookmarkEnd w:id="578"/>
      <w:bookmarkEnd w:id="579"/>
      <w:bookmarkEnd w:id="580"/>
      <w:bookmarkEnd w:id="581"/>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1、合同经甲乙双方法定代表人或授权代表签字并加盖单位公章后生效。</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2、合同执行中涉及采购资金和采购内容修改或补充的，需本级财政部门审批，并签订书面补充协议报</w:t>
      </w:r>
      <w:r>
        <w:rPr>
          <w:rFonts w:hint="eastAsia" w:asciiTheme="minorEastAsia" w:hAnsiTheme="minorEastAsia" w:eastAsiaTheme="minorEastAsia" w:cstheme="minorEastAsia"/>
          <w:color w:val="auto"/>
          <w:highlight w:val="none"/>
        </w:rPr>
        <w:t>本级财政部门</w:t>
      </w:r>
      <w:r>
        <w:rPr>
          <w:rFonts w:hint="eastAsia" w:asciiTheme="minorEastAsia" w:hAnsiTheme="minorEastAsia" w:eastAsiaTheme="minorEastAsia" w:cstheme="minorEastAsia"/>
          <w:color w:val="auto"/>
          <w:szCs w:val="21"/>
          <w:highlight w:val="none"/>
        </w:rPr>
        <w:t>备案，方可作为主合同不可分割的一部分。</w:t>
      </w:r>
    </w:p>
    <w:p>
      <w:pPr>
        <w:spacing w:line="360" w:lineRule="auto"/>
        <w:ind w:left="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3、本合同未尽事宜，遵照《中华人民共和国民法典》有关条文执行。</w:t>
      </w:r>
    </w:p>
    <w:p>
      <w:pPr>
        <w:pStyle w:val="4"/>
        <w:ind w:left="567" w:leftChars="200" w:hanging="147" w:hangingChars="70"/>
        <w:rPr>
          <w:rFonts w:hint="eastAsia" w:asciiTheme="minorEastAsia" w:hAnsiTheme="minorEastAsia" w:eastAsiaTheme="minorEastAsia" w:cstheme="minorEastAsia"/>
          <w:b/>
          <w:bCs w:val="0"/>
          <w:color w:val="auto"/>
          <w:sz w:val="21"/>
          <w:szCs w:val="21"/>
          <w:highlight w:val="none"/>
        </w:rPr>
      </w:pPr>
      <w:bookmarkStart w:id="582" w:name="_Toc8682"/>
      <w:bookmarkStart w:id="583" w:name="_Toc5612"/>
      <w:bookmarkStart w:id="584" w:name="_Toc19381"/>
      <w:bookmarkStart w:id="585" w:name="_Toc12956"/>
      <w:bookmarkStart w:id="586" w:name="_Toc31438"/>
      <w:bookmarkStart w:id="587" w:name="_Toc18405"/>
      <w:bookmarkStart w:id="588" w:name="_Toc32054"/>
      <w:r>
        <w:rPr>
          <w:rFonts w:hint="eastAsia" w:asciiTheme="minorEastAsia" w:hAnsiTheme="minorEastAsia" w:eastAsiaTheme="minorEastAsia" w:cstheme="minorEastAsia"/>
          <w:b/>
          <w:bCs w:val="0"/>
          <w:color w:val="auto"/>
          <w:sz w:val="21"/>
          <w:szCs w:val="21"/>
          <w:highlight w:val="none"/>
        </w:rPr>
        <w:t>第十五条  合同的变更、终止与转让</w:t>
      </w:r>
      <w:bookmarkEnd w:id="582"/>
      <w:bookmarkEnd w:id="583"/>
      <w:bookmarkEnd w:id="584"/>
      <w:bookmarkEnd w:id="585"/>
      <w:bookmarkEnd w:id="586"/>
      <w:bookmarkEnd w:id="587"/>
      <w:bookmarkEnd w:id="588"/>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1、除《中华人民共和国政府采购法》第五十条规定的情形外，本合同一经签订，甲乙双方不得擅自变更，中止或终止。</w:t>
      </w:r>
    </w:p>
    <w:p>
      <w:pPr>
        <w:numPr>
          <w:ilvl w:val="0"/>
          <w:numId w:val="13"/>
        </w:num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成交供应商不得擅自转让其应履行的合同义务。</w:t>
      </w:r>
    </w:p>
    <w:p>
      <w:pPr>
        <w:pStyle w:val="4"/>
        <w:ind w:left="567" w:leftChars="200" w:hanging="147" w:hangingChars="70"/>
        <w:rPr>
          <w:rFonts w:hint="eastAsia" w:asciiTheme="minorEastAsia" w:hAnsiTheme="minorEastAsia" w:eastAsiaTheme="minorEastAsia" w:cstheme="minorEastAsia"/>
          <w:b/>
          <w:bCs w:val="0"/>
          <w:color w:val="auto"/>
          <w:sz w:val="21"/>
          <w:szCs w:val="21"/>
          <w:highlight w:val="none"/>
        </w:rPr>
      </w:pPr>
      <w:bookmarkStart w:id="589" w:name="_Toc32608"/>
      <w:bookmarkStart w:id="590" w:name="_Toc16926"/>
      <w:bookmarkStart w:id="591" w:name="_Toc29906"/>
      <w:bookmarkStart w:id="592" w:name="_Toc14327"/>
      <w:bookmarkStart w:id="593" w:name="_Toc3377"/>
      <w:bookmarkStart w:id="594" w:name="_Toc29783"/>
      <w:bookmarkStart w:id="595" w:name="_Toc14060"/>
      <w:r>
        <w:rPr>
          <w:rFonts w:hint="eastAsia" w:asciiTheme="minorEastAsia" w:hAnsiTheme="minorEastAsia" w:eastAsiaTheme="minorEastAsia" w:cstheme="minorEastAsia"/>
          <w:b/>
          <w:bCs w:val="0"/>
          <w:color w:val="auto"/>
          <w:sz w:val="21"/>
          <w:szCs w:val="21"/>
          <w:highlight w:val="none"/>
        </w:rPr>
        <w:t>第十六条  签订本合同依据</w:t>
      </w:r>
      <w:bookmarkEnd w:id="589"/>
      <w:bookmarkEnd w:id="590"/>
      <w:bookmarkEnd w:id="591"/>
      <w:bookmarkEnd w:id="592"/>
      <w:bookmarkEnd w:id="593"/>
      <w:bookmarkEnd w:id="594"/>
      <w:bookmarkEnd w:id="595"/>
    </w:p>
    <w:p>
      <w:pPr>
        <w:spacing w:line="360" w:lineRule="auto"/>
        <w:ind w:left="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1、竞争性磋商文件；</w:t>
      </w:r>
    </w:p>
    <w:p>
      <w:pPr>
        <w:spacing w:line="360" w:lineRule="auto"/>
        <w:ind w:left="224" w:leftChars="107"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2、成交供应商的响应（或应答）文件；</w:t>
      </w:r>
    </w:p>
    <w:p>
      <w:pPr>
        <w:spacing w:line="360" w:lineRule="auto"/>
        <w:ind w:left="224" w:leftChars="107"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3、服务承诺书；</w:t>
      </w:r>
    </w:p>
    <w:p>
      <w:pPr>
        <w:spacing w:line="360" w:lineRule="auto"/>
        <w:ind w:left="224" w:leftChars="107"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4、磋商中的磋商记录；</w:t>
      </w:r>
    </w:p>
    <w:p>
      <w:pPr>
        <w:spacing w:line="360" w:lineRule="auto"/>
        <w:ind w:left="224" w:leftChars="107"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5、成交通知书。</w:t>
      </w:r>
    </w:p>
    <w:p>
      <w:pPr>
        <w:spacing w:line="360" w:lineRule="auto"/>
        <w:ind w:firstLine="420" w:firstLineChars="200"/>
        <w:rPr>
          <w:rFonts w:hint="eastAsia" w:asciiTheme="minorEastAsia" w:hAnsiTheme="minorEastAsia" w:eastAsiaTheme="minorEastAsia" w:cstheme="minorEastAsia"/>
          <w:color w:val="auto"/>
          <w:szCs w:val="21"/>
          <w:highlight w:val="none"/>
        </w:rPr>
      </w:pPr>
    </w:p>
    <w:p>
      <w:pPr>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政府采购合同双方自签订之日起将自动存档于“广西政府采购云平台”平台上，采购人于合同签订之日起七个工作日内将一份合同原件送本级财政部门备案。</w:t>
      </w:r>
    </w:p>
    <w:p>
      <w:pPr>
        <w:spacing w:line="360" w:lineRule="auto"/>
        <w:rPr>
          <w:rFonts w:hint="eastAsia" w:asciiTheme="minorEastAsia" w:hAnsiTheme="minorEastAsia" w:eastAsiaTheme="minorEastAsia" w:cstheme="minorEastAsia"/>
          <w:color w:val="auto"/>
          <w:szCs w:val="21"/>
          <w:highlight w:val="none"/>
        </w:rPr>
      </w:pPr>
    </w:p>
    <w:p>
      <w:pPr>
        <w:spacing w:line="360" w:lineRule="auto"/>
        <w:rPr>
          <w:rFonts w:hint="eastAsia" w:asciiTheme="minorEastAsia" w:hAnsiTheme="minorEastAsia" w:eastAsiaTheme="minorEastAsia" w:cstheme="minorEastAsia"/>
          <w:color w:val="auto"/>
          <w:szCs w:val="21"/>
          <w:highlight w:val="none"/>
        </w:rPr>
      </w:pPr>
    </w:p>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采购人名称（公章）：</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成交供应商名称（公章）：</w:t>
      </w:r>
      <w:r>
        <w:rPr>
          <w:rFonts w:hint="eastAsia" w:asciiTheme="minorEastAsia" w:hAnsiTheme="minorEastAsia" w:eastAsiaTheme="minorEastAsia" w:cstheme="minorEastAsia"/>
          <w:color w:val="auto"/>
          <w:szCs w:val="21"/>
          <w:highlight w:val="none"/>
          <w:u w:val="single"/>
        </w:rPr>
        <w:t xml:space="preserve">                                                    </w:t>
      </w:r>
    </w:p>
    <w:p>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法定代表人：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法定代表人：</w:t>
      </w:r>
      <w:r>
        <w:rPr>
          <w:rFonts w:hint="eastAsia" w:asciiTheme="minorEastAsia" w:hAnsiTheme="minorEastAsia" w:eastAsiaTheme="minorEastAsia" w:cstheme="minorEastAsia"/>
          <w:color w:val="auto"/>
          <w:szCs w:val="21"/>
          <w:highlight w:val="none"/>
          <w:u w:val="single"/>
        </w:rPr>
        <w:t xml:space="preserve">                                 </w:t>
      </w:r>
    </w:p>
    <w:p>
      <w:pPr>
        <w:tabs>
          <w:tab w:val="left" w:pos="4680"/>
        </w:tabs>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委托代理人：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委托代理人：</w:t>
      </w:r>
      <w:r>
        <w:rPr>
          <w:rFonts w:hint="eastAsia" w:asciiTheme="minorEastAsia" w:hAnsiTheme="minorEastAsia" w:eastAsiaTheme="minorEastAsia" w:cstheme="minorEastAsia"/>
          <w:color w:val="auto"/>
          <w:szCs w:val="21"/>
          <w:highlight w:val="none"/>
          <w:u w:val="single"/>
        </w:rPr>
        <w:t xml:space="preserve">                                 </w:t>
      </w:r>
    </w:p>
    <w:p>
      <w:pPr>
        <w:tabs>
          <w:tab w:val="left" w:pos="5040"/>
        </w:tabs>
        <w:spacing w:line="360" w:lineRule="auto"/>
        <w:rPr>
          <w:rFonts w:hint="eastAsia" w:asciiTheme="minorEastAsia" w:hAnsiTheme="minorEastAsia" w:eastAsiaTheme="minorEastAsia" w:cstheme="minorEastAsia"/>
          <w:color w:val="auto"/>
          <w:szCs w:val="21"/>
          <w:highlight w:val="none"/>
          <w:u w:val="single"/>
          <w:lang w:val="en-US" w:eastAsia="zh-CN"/>
        </w:rPr>
      </w:pPr>
      <w:r>
        <w:rPr>
          <w:rFonts w:hint="eastAsia" w:asciiTheme="minorEastAsia" w:hAnsiTheme="minorEastAsia" w:eastAsiaTheme="minorEastAsia" w:cstheme="minorEastAsia"/>
          <w:color w:val="auto"/>
          <w:szCs w:val="21"/>
          <w:highlight w:val="none"/>
        </w:rPr>
        <w:t>电  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电   话：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p>
    <w:p>
      <w:pPr>
        <w:tabs>
          <w:tab w:val="left" w:pos="5040"/>
        </w:tabs>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开户名称：</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开户名称：</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pPr>
        <w:tabs>
          <w:tab w:val="left" w:pos="5040"/>
        </w:tabs>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开户银行：</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开户银行：</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pPr>
        <w:tabs>
          <w:tab w:val="left" w:pos="5040"/>
        </w:tabs>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银行账号：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银行账号：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 xml:space="preserve">     </w:t>
      </w:r>
    </w:p>
    <w:p>
      <w:pPr>
        <w:pStyle w:val="33"/>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Cs w:val="21"/>
          <w:highlight w:val="none"/>
        </w:rPr>
        <w:t>日   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 xml:space="preserve">       日   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p>
    <w:p>
      <w:pPr>
        <w:pStyle w:val="33"/>
        <w:rPr>
          <w:rFonts w:hint="eastAsia" w:asciiTheme="minorEastAsia" w:hAnsiTheme="minorEastAsia" w:eastAsiaTheme="minorEastAsia" w:cstheme="minorEastAsia"/>
          <w:color w:val="auto"/>
          <w:highlight w:val="none"/>
        </w:rPr>
      </w:pPr>
    </w:p>
    <w:p>
      <w:pPr>
        <w:pStyle w:val="33"/>
        <w:rPr>
          <w:rFonts w:hint="eastAsia" w:asciiTheme="minorEastAsia" w:hAnsiTheme="minorEastAsia" w:eastAsiaTheme="minorEastAsia" w:cstheme="minorEastAsia"/>
          <w:color w:val="auto"/>
          <w:highlight w:val="none"/>
        </w:rPr>
      </w:pPr>
    </w:p>
    <w:p>
      <w:pPr>
        <w:pStyle w:val="4"/>
        <w:ind w:firstLine="3200" w:firstLineChars="1000"/>
        <w:rPr>
          <w:rFonts w:hint="eastAsia" w:asciiTheme="minorEastAsia" w:hAnsiTheme="minorEastAsia" w:eastAsiaTheme="minorEastAsia" w:cstheme="minorEastAsia"/>
          <w:b/>
          <w:color w:val="auto"/>
          <w:sz w:val="32"/>
          <w:highlight w:val="none"/>
        </w:rPr>
      </w:pPr>
      <w:bookmarkStart w:id="596" w:name="_Toc6713"/>
      <w:bookmarkStart w:id="597" w:name="_Toc15322"/>
      <w:bookmarkStart w:id="598" w:name="_Toc16433"/>
      <w:bookmarkStart w:id="599" w:name="_Toc21552"/>
      <w:bookmarkStart w:id="600" w:name="_Toc13786"/>
      <w:bookmarkStart w:id="601" w:name="_Toc6270"/>
      <w:bookmarkStart w:id="602" w:name="_Toc4018"/>
      <w:bookmarkStart w:id="603" w:name="_Toc497927069"/>
      <w:bookmarkStart w:id="604" w:name="_Toc21496"/>
      <w:bookmarkStart w:id="605" w:name="_Toc18351"/>
      <w:r>
        <w:rPr>
          <w:rFonts w:hint="eastAsia" w:asciiTheme="minorEastAsia" w:hAnsiTheme="minorEastAsia" w:eastAsiaTheme="minorEastAsia" w:cstheme="minorEastAsia"/>
          <w:b/>
          <w:color w:val="auto"/>
          <w:kern w:val="44"/>
          <w:sz w:val="32"/>
          <w:highlight w:val="none"/>
        </w:rPr>
        <w:t xml:space="preserve">第六章  </w:t>
      </w:r>
      <w:r>
        <w:rPr>
          <w:rFonts w:hint="eastAsia" w:asciiTheme="minorEastAsia" w:hAnsiTheme="minorEastAsia" w:eastAsiaTheme="minorEastAsia" w:cstheme="minorEastAsia"/>
          <w:b/>
          <w:color w:val="auto"/>
          <w:sz w:val="32"/>
          <w:highlight w:val="none"/>
        </w:rPr>
        <w:t>响应文件（格式）</w:t>
      </w:r>
      <w:bookmarkEnd w:id="596"/>
      <w:bookmarkEnd w:id="597"/>
      <w:bookmarkEnd w:id="598"/>
      <w:bookmarkEnd w:id="599"/>
      <w:bookmarkEnd w:id="600"/>
      <w:bookmarkEnd w:id="601"/>
      <w:bookmarkEnd w:id="602"/>
    </w:p>
    <w:p>
      <w:pPr>
        <w:pStyle w:val="13"/>
        <w:rPr>
          <w:rFonts w:hint="eastAsia" w:asciiTheme="minorEastAsia" w:hAnsiTheme="minorEastAsia" w:eastAsiaTheme="minorEastAsia" w:cstheme="minorEastAsia"/>
          <w:b/>
          <w:color w:val="auto"/>
          <w:sz w:val="32"/>
          <w:highlight w:val="none"/>
        </w:rPr>
      </w:pPr>
    </w:p>
    <w:p>
      <w:pPr>
        <w:pStyle w:val="13"/>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一、响应文件袋（盒、箱）标记</w:t>
      </w:r>
      <w:bookmarkEnd w:id="603"/>
      <w:bookmarkEnd w:id="604"/>
      <w:bookmarkEnd w:id="605"/>
    </w:p>
    <w:p>
      <w:pPr>
        <w:adjustRightInd w:val="0"/>
        <w:snapToGrid w:val="0"/>
        <w:rPr>
          <w:rFonts w:hint="eastAsia" w:asciiTheme="minorEastAsia" w:hAnsiTheme="minorEastAsia" w:eastAsiaTheme="minorEastAsia" w:cstheme="minorEastAsia"/>
          <w:b/>
          <w:color w:val="auto"/>
          <w:sz w:val="44"/>
          <w:szCs w:val="44"/>
          <w:highlight w:val="none"/>
        </w:rPr>
      </w:pPr>
    </w:p>
    <w:p>
      <w:pPr>
        <w:pStyle w:val="33"/>
        <w:rPr>
          <w:rFonts w:hint="eastAsia" w:asciiTheme="minorEastAsia" w:hAnsiTheme="minorEastAsia" w:eastAsiaTheme="minorEastAsia" w:cstheme="minorEastAsia"/>
          <w:color w:val="auto"/>
          <w:highlight w:val="none"/>
        </w:rPr>
      </w:pPr>
    </w:p>
    <w:p>
      <w:pPr>
        <w:snapToGrid w:val="0"/>
        <w:spacing w:beforeLines="50" w:after="50"/>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响 应 文 件</w:t>
      </w:r>
    </w:p>
    <w:p>
      <w:pPr>
        <w:snapToGrid w:val="0"/>
        <w:spacing w:beforeLines="50" w:after="50"/>
        <w:ind w:firstLine="420" w:firstLineChars="150"/>
        <w:rPr>
          <w:rFonts w:hint="eastAsia" w:asciiTheme="minorEastAsia" w:hAnsiTheme="minorEastAsia" w:eastAsiaTheme="minorEastAsia" w:cstheme="minorEastAsia"/>
          <w:b/>
          <w:color w:val="auto"/>
          <w:sz w:val="28"/>
          <w:szCs w:val="28"/>
          <w:highlight w:val="none"/>
        </w:rPr>
      </w:pPr>
    </w:p>
    <w:p>
      <w:pPr>
        <w:snapToGrid w:val="0"/>
        <w:spacing w:beforeLines="50" w:after="50"/>
        <w:ind w:firstLine="420" w:firstLineChars="150"/>
        <w:rPr>
          <w:rFonts w:hint="eastAsia" w:asciiTheme="minorEastAsia" w:hAnsiTheme="minorEastAsia" w:eastAsiaTheme="minorEastAsia" w:cstheme="minorEastAsia"/>
          <w:b/>
          <w:color w:val="auto"/>
          <w:sz w:val="28"/>
          <w:szCs w:val="28"/>
          <w:highlight w:val="none"/>
        </w:rPr>
      </w:pPr>
    </w:p>
    <w:p>
      <w:pPr>
        <w:snapToGrid w:val="0"/>
        <w:spacing w:beforeLines="50" w:after="50"/>
        <w:ind w:firstLine="420" w:firstLineChars="150"/>
        <w:rPr>
          <w:rFonts w:hint="eastAsia" w:asciiTheme="minorEastAsia" w:hAnsiTheme="minorEastAsia" w:eastAsiaTheme="minorEastAsia" w:cstheme="minorEastAsia"/>
          <w:b/>
          <w:color w:val="auto"/>
          <w:sz w:val="28"/>
          <w:szCs w:val="28"/>
          <w:highlight w:val="none"/>
        </w:rPr>
      </w:pPr>
    </w:p>
    <w:p>
      <w:pPr>
        <w:ind w:left="3913" w:leftChars="1197" w:hanging="1400" w:hangingChars="500"/>
        <w:rPr>
          <w:rStyle w:val="39"/>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 w:val="28"/>
          <w:szCs w:val="28"/>
          <w:highlight w:val="none"/>
        </w:rPr>
        <w:t>项目名称：</w:t>
      </w:r>
      <w:r>
        <w:rPr>
          <w:rFonts w:hint="eastAsia" w:asciiTheme="minorEastAsia" w:hAnsiTheme="minorEastAsia" w:eastAsiaTheme="minorEastAsia" w:cstheme="minorEastAsia"/>
          <w:b/>
          <w:color w:val="auto"/>
          <w:sz w:val="28"/>
          <w:szCs w:val="28"/>
          <w:highlight w:val="none"/>
          <w:u w:val="single"/>
        </w:rPr>
        <w:t>桂林市信创云迁移及运维项目</w:t>
      </w:r>
    </w:p>
    <w:p>
      <w:pPr>
        <w:snapToGrid w:val="0"/>
        <w:spacing w:beforeLines="50" w:after="50"/>
        <w:ind w:left="4310" w:leftChars="1330" w:hanging="1517" w:hangingChars="542"/>
        <w:rPr>
          <w:rFonts w:hint="eastAsia" w:asciiTheme="minorEastAsia" w:hAnsiTheme="minorEastAsia" w:eastAsiaTheme="minorEastAsia" w:cstheme="minorEastAsia"/>
          <w:b/>
          <w:color w:val="auto"/>
          <w:sz w:val="28"/>
          <w:szCs w:val="28"/>
          <w:highlight w:val="none"/>
          <w:u w:val="single"/>
        </w:rPr>
      </w:pPr>
    </w:p>
    <w:p>
      <w:pPr>
        <w:snapToGrid w:val="0"/>
        <w:spacing w:beforeLines="50" w:after="50"/>
        <w:ind w:firstLine="2693" w:firstLineChars="962"/>
        <w:rPr>
          <w:rFonts w:hint="eastAsia" w:asciiTheme="minorEastAsia" w:hAnsiTheme="minorEastAsia" w:eastAsiaTheme="minorEastAsia" w:cstheme="minorEastAsia"/>
          <w:b/>
          <w:color w:val="auto"/>
          <w:sz w:val="28"/>
          <w:szCs w:val="28"/>
          <w:highlight w:val="none"/>
        </w:rPr>
      </w:pPr>
    </w:p>
    <w:p>
      <w:pPr>
        <w:snapToGrid w:val="0"/>
        <w:spacing w:beforeLines="50" w:after="50"/>
        <w:ind w:firstLine="2693" w:firstLineChars="962"/>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color w:val="auto"/>
          <w:sz w:val="28"/>
          <w:szCs w:val="28"/>
          <w:highlight w:val="none"/>
        </w:rPr>
        <w:t>项目编号：</w:t>
      </w:r>
      <w:r>
        <w:rPr>
          <w:rFonts w:hint="eastAsia" w:asciiTheme="minorEastAsia" w:hAnsiTheme="minorEastAsia" w:eastAsiaTheme="minorEastAsia" w:cstheme="minorEastAsia"/>
          <w:b/>
          <w:color w:val="auto"/>
          <w:sz w:val="28"/>
          <w:szCs w:val="28"/>
          <w:highlight w:val="none"/>
          <w:u w:val="single"/>
          <w:lang w:eastAsia="zh-CN"/>
        </w:rPr>
        <w:t>GLZC2026-C3-990104-GLSZ</w:t>
      </w:r>
    </w:p>
    <w:p>
      <w:pPr>
        <w:rPr>
          <w:rFonts w:hint="eastAsia" w:asciiTheme="minorEastAsia" w:hAnsiTheme="minorEastAsia" w:eastAsiaTheme="minorEastAsia" w:cstheme="minorEastAsia"/>
          <w:b/>
          <w:color w:val="auto"/>
          <w:highlight w:val="none"/>
        </w:rPr>
      </w:pPr>
    </w:p>
    <w:p>
      <w:pPr>
        <w:pStyle w:val="33"/>
        <w:rPr>
          <w:rFonts w:hint="eastAsia" w:asciiTheme="minorEastAsia" w:hAnsiTheme="minorEastAsia" w:eastAsiaTheme="minorEastAsia" w:cstheme="minorEastAsia"/>
          <w:b/>
          <w:color w:val="auto"/>
          <w:sz w:val="28"/>
          <w:szCs w:val="28"/>
          <w:highlight w:val="none"/>
        </w:rPr>
      </w:pPr>
    </w:p>
    <w:p>
      <w:pPr>
        <w:pStyle w:val="33"/>
        <w:rPr>
          <w:rFonts w:hint="eastAsia" w:asciiTheme="minorEastAsia" w:hAnsiTheme="minorEastAsia" w:eastAsiaTheme="minorEastAsia" w:cstheme="minorEastAsia"/>
          <w:b/>
          <w:color w:val="auto"/>
          <w:sz w:val="28"/>
          <w:szCs w:val="28"/>
          <w:highlight w:val="none"/>
        </w:rPr>
      </w:pPr>
    </w:p>
    <w:p>
      <w:pPr>
        <w:snapToGrid w:val="0"/>
        <w:spacing w:beforeLines="50" w:after="50"/>
        <w:ind w:firstLine="2693" w:firstLineChars="962"/>
        <w:rPr>
          <w:rFonts w:hint="eastAsia" w:asciiTheme="minorEastAsia" w:hAnsiTheme="minorEastAsia" w:eastAsiaTheme="minorEastAsia" w:cstheme="minorEastAsia"/>
          <w:b/>
          <w:color w:val="auto"/>
          <w:sz w:val="28"/>
          <w:szCs w:val="28"/>
          <w:highlight w:val="none"/>
          <w:u w:val="single"/>
        </w:rPr>
      </w:pPr>
      <w:r>
        <w:rPr>
          <w:rFonts w:hint="eastAsia" w:asciiTheme="minorEastAsia" w:hAnsiTheme="minorEastAsia" w:eastAsiaTheme="minorEastAsia" w:cstheme="minorEastAsia"/>
          <w:b/>
          <w:color w:val="auto"/>
          <w:sz w:val="28"/>
          <w:szCs w:val="28"/>
          <w:highlight w:val="none"/>
        </w:rPr>
        <w:t>采购代理机构：</w:t>
      </w:r>
      <w:r>
        <w:rPr>
          <w:rFonts w:hint="eastAsia" w:asciiTheme="minorEastAsia" w:hAnsiTheme="minorEastAsia" w:eastAsiaTheme="minorEastAsia" w:cstheme="minorEastAsia"/>
          <w:b/>
          <w:color w:val="auto"/>
          <w:sz w:val="28"/>
          <w:szCs w:val="28"/>
          <w:highlight w:val="none"/>
          <w:u w:val="single"/>
        </w:rPr>
        <w:t xml:space="preserve"> 桂林市政府集中采购中心   </w:t>
      </w:r>
    </w:p>
    <w:p>
      <w:pPr>
        <w:pStyle w:val="9"/>
        <w:ind w:left="0" w:leftChars="0"/>
        <w:rPr>
          <w:rFonts w:hint="eastAsia" w:asciiTheme="minorEastAsia" w:hAnsiTheme="minorEastAsia" w:eastAsiaTheme="minorEastAsia" w:cstheme="minorEastAsia"/>
          <w:bCs/>
          <w:color w:val="auto"/>
          <w:sz w:val="28"/>
          <w:szCs w:val="28"/>
          <w:highlight w:val="none"/>
        </w:rPr>
      </w:pPr>
      <w:bookmarkStart w:id="606" w:name="_Toc20319_WPSOffice_Level2"/>
      <w:bookmarkStart w:id="607" w:name="_Toc4932_WPSOffice_Level2"/>
    </w:p>
    <w:bookmarkEnd w:id="606"/>
    <w:bookmarkEnd w:id="607"/>
    <w:p>
      <w:pPr>
        <w:pStyle w:val="9"/>
        <w:ind w:left="980" w:hanging="560" w:hangingChars="200"/>
        <w:rPr>
          <w:rFonts w:hint="eastAsia" w:asciiTheme="minorEastAsia" w:hAnsiTheme="minorEastAsia" w:eastAsiaTheme="minorEastAsia" w:cstheme="minorEastAsia"/>
          <w:bCs/>
          <w:color w:val="auto"/>
          <w:sz w:val="28"/>
          <w:szCs w:val="28"/>
          <w:highlight w:val="none"/>
        </w:rPr>
      </w:pPr>
      <w:bookmarkStart w:id="608" w:name="_Toc497927070"/>
      <w:bookmarkStart w:id="609" w:name="_Toc19430"/>
      <w:bookmarkStart w:id="610" w:name="_Toc21615"/>
      <w:r>
        <w:rPr>
          <w:rFonts w:hint="eastAsia" w:asciiTheme="minorEastAsia" w:hAnsiTheme="minorEastAsia" w:eastAsiaTheme="minorEastAsia" w:cstheme="minorEastAsia"/>
          <w:bCs/>
          <w:color w:val="auto"/>
          <w:sz w:val="28"/>
          <w:szCs w:val="28"/>
          <w:highlight w:val="none"/>
          <w:lang w:eastAsia="zh-CN"/>
        </w:rPr>
        <w:t>磋商</w:t>
      </w:r>
      <w:r>
        <w:rPr>
          <w:rFonts w:hint="eastAsia" w:asciiTheme="minorEastAsia" w:hAnsiTheme="minorEastAsia" w:eastAsiaTheme="minorEastAsia" w:cstheme="minorEastAsia"/>
          <w:bCs/>
          <w:color w:val="auto"/>
          <w:sz w:val="28"/>
          <w:szCs w:val="28"/>
          <w:highlight w:val="none"/>
        </w:rPr>
        <w:t>供应商[公章(CA签章)、自然人除外]：</w:t>
      </w:r>
      <w:r>
        <w:rPr>
          <w:rFonts w:hint="eastAsia" w:asciiTheme="minorEastAsia" w:hAnsiTheme="minorEastAsia" w:eastAsiaTheme="minorEastAsia" w:cstheme="minorEastAsia"/>
          <w:bCs/>
          <w:color w:val="auto"/>
          <w:sz w:val="28"/>
          <w:szCs w:val="28"/>
          <w:highlight w:val="none"/>
          <w:u w:val="single"/>
        </w:rPr>
        <w:t xml:space="preserve">                              </w:t>
      </w:r>
    </w:p>
    <w:p>
      <w:pPr>
        <w:pStyle w:val="13"/>
        <w:spacing w:line="320" w:lineRule="exact"/>
        <w:ind w:firstLine="42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法定代表人、负责人、自然人或相应的委托代理人签字[或盖章(CA签章)]</w:t>
      </w:r>
    </w:p>
    <w:p>
      <w:pPr>
        <w:pStyle w:val="9"/>
        <w:ind w:left="980" w:hanging="560" w:hangingChars="200"/>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（属自然人的应在签名处加盖大拇指指印或个人CA签章）：</w:t>
      </w:r>
      <w:r>
        <w:rPr>
          <w:rFonts w:hint="eastAsia" w:asciiTheme="minorEastAsia" w:hAnsiTheme="minorEastAsia" w:eastAsiaTheme="minorEastAsia" w:cstheme="minorEastAsia"/>
          <w:color w:val="auto"/>
          <w:sz w:val="28"/>
          <w:szCs w:val="28"/>
          <w:highlight w:val="none"/>
          <w:u w:val="single"/>
        </w:rPr>
        <w:t xml:space="preserve">              </w:t>
      </w:r>
    </w:p>
    <w:p>
      <w:pPr>
        <w:pStyle w:val="9"/>
        <w:ind w:left="0" w:leftChars="0" w:firstLine="560" w:firstLineChars="200"/>
        <w:rPr>
          <w:rFonts w:hint="eastAsia" w:asciiTheme="minorEastAsia" w:hAnsiTheme="minorEastAsia" w:eastAsiaTheme="minorEastAsia" w:cstheme="minorEastAsia"/>
          <w:bCs/>
          <w:color w:val="auto"/>
          <w:sz w:val="28"/>
          <w:szCs w:val="28"/>
          <w:highlight w:val="none"/>
          <w:u w:val="single"/>
        </w:rPr>
      </w:pPr>
      <w:r>
        <w:rPr>
          <w:rFonts w:hint="eastAsia" w:asciiTheme="minorEastAsia" w:hAnsiTheme="minorEastAsia" w:eastAsiaTheme="minorEastAsia" w:cstheme="minorEastAsia"/>
          <w:bCs/>
          <w:color w:val="auto"/>
          <w:sz w:val="28"/>
          <w:szCs w:val="28"/>
          <w:highlight w:val="none"/>
        </w:rPr>
        <w:t>联系电话：</w:t>
      </w:r>
      <w:r>
        <w:rPr>
          <w:rFonts w:hint="eastAsia" w:asciiTheme="minorEastAsia" w:hAnsiTheme="minorEastAsia" w:eastAsiaTheme="minorEastAsia" w:cstheme="minorEastAsia"/>
          <w:bCs/>
          <w:color w:val="auto"/>
          <w:sz w:val="28"/>
          <w:szCs w:val="28"/>
          <w:highlight w:val="none"/>
          <w:u w:val="single"/>
        </w:rPr>
        <w:t xml:space="preserve">                                                </w:t>
      </w:r>
    </w:p>
    <w:p>
      <w:pPr>
        <w:pStyle w:val="16"/>
        <w:ind w:firstLine="56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 w:val="28"/>
          <w:szCs w:val="28"/>
          <w:highlight w:val="none"/>
        </w:rPr>
        <w:t>日期：</w:t>
      </w:r>
      <w:r>
        <w:rPr>
          <w:rFonts w:hint="eastAsia" w:asciiTheme="minorEastAsia" w:hAnsiTheme="minorEastAsia" w:eastAsiaTheme="minorEastAsia" w:cstheme="minorEastAsia"/>
          <w:bCs/>
          <w:color w:val="auto"/>
          <w:sz w:val="28"/>
          <w:szCs w:val="28"/>
          <w:highlight w:val="none"/>
          <w:u w:val="single"/>
        </w:rPr>
        <w:t xml:space="preserve">              </w:t>
      </w:r>
      <w:r>
        <w:rPr>
          <w:rFonts w:hint="eastAsia" w:asciiTheme="minorEastAsia" w:hAnsiTheme="minorEastAsia" w:eastAsiaTheme="minorEastAsia" w:cstheme="minorEastAsia"/>
          <w:bCs/>
          <w:color w:val="auto"/>
          <w:sz w:val="28"/>
          <w:szCs w:val="28"/>
          <w:highlight w:val="none"/>
        </w:rPr>
        <w:t>年</w:t>
      </w:r>
      <w:r>
        <w:rPr>
          <w:rFonts w:hint="eastAsia" w:asciiTheme="minorEastAsia" w:hAnsiTheme="minorEastAsia" w:eastAsiaTheme="minorEastAsia" w:cstheme="minorEastAsia"/>
          <w:bCs/>
          <w:color w:val="auto"/>
          <w:sz w:val="28"/>
          <w:szCs w:val="28"/>
          <w:highlight w:val="none"/>
          <w:u w:val="single"/>
        </w:rPr>
        <w:t xml:space="preserve">           </w:t>
      </w:r>
      <w:r>
        <w:rPr>
          <w:rFonts w:hint="eastAsia" w:asciiTheme="minorEastAsia" w:hAnsiTheme="minorEastAsia" w:eastAsiaTheme="minorEastAsia" w:cstheme="minorEastAsia"/>
          <w:bCs/>
          <w:color w:val="auto"/>
          <w:sz w:val="28"/>
          <w:szCs w:val="28"/>
          <w:highlight w:val="none"/>
        </w:rPr>
        <w:t>月</w:t>
      </w:r>
      <w:r>
        <w:rPr>
          <w:rFonts w:hint="eastAsia" w:asciiTheme="minorEastAsia" w:hAnsiTheme="minorEastAsia" w:eastAsiaTheme="minorEastAsia" w:cstheme="minorEastAsia"/>
          <w:bCs/>
          <w:color w:val="auto"/>
          <w:sz w:val="28"/>
          <w:szCs w:val="28"/>
          <w:highlight w:val="none"/>
          <w:u w:val="single"/>
        </w:rPr>
        <w:t xml:space="preserve">           </w:t>
      </w:r>
      <w:r>
        <w:rPr>
          <w:rFonts w:hint="eastAsia" w:asciiTheme="minorEastAsia" w:hAnsiTheme="minorEastAsia" w:eastAsiaTheme="minorEastAsia" w:cstheme="minorEastAsia"/>
          <w:bCs/>
          <w:color w:val="auto"/>
          <w:sz w:val="28"/>
          <w:szCs w:val="28"/>
          <w:highlight w:val="none"/>
        </w:rPr>
        <w:t>日</w:t>
      </w:r>
    </w:p>
    <w:p>
      <w:pPr>
        <w:pStyle w:val="16"/>
        <w:rPr>
          <w:rFonts w:hint="eastAsia" w:asciiTheme="minorEastAsia" w:hAnsiTheme="minorEastAsia" w:eastAsiaTheme="minorEastAsia" w:cstheme="minorEastAsia"/>
          <w:color w:val="auto"/>
          <w:highlight w:val="none"/>
        </w:rPr>
      </w:pPr>
    </w:p>
    <w:p>
      <w:pPr>
        <w:pStyle w:val="16"/>
        <w:rPr>
          <w:rFonts w:hint="eastAsia" w:asciiTheme="minorEastAsia" w:hAnsiTheme="minorEastAsia" w:eastAsiaTheme="minorEastAsia" w:cstheme="minorEastAsia"/>
          <w:color w:val="auto"/>
          <w:highlight w:val="none"/>
        </w:rPr>
      </w:pPr>
    </w:p>
    <w:p>
      <w:pPr>
        <w:pStyle w:val="16"/>
        <w:rPr>
          <w:rFonts w:hint="eastAsia" w:asciiTheme="minorEastAsia" w:hAnsiTheme="minorEastAsia" w:eastAsiaTheme="minorEastAsia" w:cstheme="minorEastAsia"/>
          <w:color w:val="auto"/>
          <w:highlight w:val="none"/>
        </w:rPr>
      </w:pPr>
    </w:p>
    <w:p>
      <w:pPr>
        <w:numPr>
          <w:ilvl w:val="0"/>
          <w:numId w:val="14"/>
        </w:numP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响应文件组成</w:t>
      </w:r>
      <w:bookmarkEnd w:id="608"/>
      <w:bookmarkEnd w:id="609"/>
      <w:bookmarkEnd w:id="610"/>
    </w:p>
    <w:p>
      <w:pPr>
        <w:pStyle w:val="11"/>
        <w:rPr>
          <w:rFonts w:hint="eastAsia" w:asciiTheme="minorEastAsia" w:hAnsiTheme="minorEastAsia" w:eastAsiaTheme="minorEastAsia" w:cstheme="minorEastAsia"/>
          <w:color w:val="auto"/>
          <w:highlight w:val="none"/>
        </w:rPr>
      </w:pPr>
    </w:p>
    <w:p>
      <w:pPr>
        <w:pStyle w:val="11"/>
        <w:rPr>
          <w:rFonts w:hint="eastAsia" w:asciiTheme="minorEastAsia" w:hAnsiTheme="minorEastAsia" w:eastAsiaTheme="minorEastAsia" w:cstheme="minorEastAsia"/>
          <w:color w:val="auto"/>
          <w:highlight w:val="none"/>
        </w:rPr>
      </w:pPr>
    </w:p>
    <w:p>
      <w:pPr>
        <w:spacing w:line="400" w:lineRule="exact"/>
        <w:rPr>
          <w:rFonts w:hint="eastAsia" w:asciiTheme="minorEastAsia" w:hAnsiTheme="minorEastAsia" w:eastAsiaTheme="minorEastAsia" w:cstheme="minorEastAsia"/>
          <w:b/>
          <w:bCs/>
          <w:color w:val="auto"/>
          <w:sz w:val="28"/>
          <w:szCs w:val="28"/>
          <w:highlight w:val="none"/>
        </w:rPr>
      </w:pPr>
    </w:p>
    <w:p>
      <w:pPr>
        <w:pStyle w:val="11"/>
        <w:rPr>
          <w:rFonts w:hint="eastAsia" w:asciiTheme="minorEastAsia" w:hAnsiTheme="minorEastAsia" w:eastAsiaTheme="minorEastAsia" w:cstheme="minorEastAsia"/>
          <w:b/>
          <w:bCs/>
          <w:color w:val="auto"/>
          <w:sz w:val="28"/>
          <w:szCs w:val="28"/>
          <w:highlight w:val="none"/>
        </w:rPr>
      </w:pPr>
    </w:p>
    <w:p>
      <w:pPr>
        <w:numPr>
          <w:ilvl w:val="0"/>
          <w:numId w:val="15"/>
        </w:numPr>
        <w:spacing w:line="400" w:lineRule="exact"/>
        <w:ind w:firstLine="565" w:firstLineChars="202"/>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资格性响应证明材料</w:t>
      </w:r>
    </w:p>
    <w:p>
      <w:pPr>
        <w:pStyle w:val="11"/>
        <w:rPr>
          <w:rFonts w:hint="eastAsia" w:asciiTheme="minorEastAsia" w:hAnsiTheme="minorEastAsia" w:eastAsiaTheme="minorEastAsia" w:cstheme="minorEastAsia"/>
          <w:b/>
          <w:bCs/>
          <w:color w:val="auto"/>
          <w:sz w:val="28"/>
          <w:szCs w:val="28"/>
          <w:highlight w:val="none"/>
        </w:rPr>
      </w:pPr>
    </w:p>
    <w:p>
      <w:pPr>
        <w:pStyle w:val="11"/>
        <w:rPr>
          <w:rFonts w:hint="eastAsia" w:asciiTheme="minorEastAsia" w:hAnsiTheme="minorEastAsia" w:eastAsiaTheme="minorEastAsia" w:cstheme="minorEastAsia"/>
          <w:b/>
          <w:bCs/>
          <w:color w:val="auto"/>
          <w:sz w:val="28"/>
          <w:szCs w:val="28"/>
          <w:highlight w:val="none"/>
        </w:rPr>
      </w:pPr>
    </w:p>
    <w:p>
      <w:pPr>
        <w:numPr>
          <w:ilvl w:val="0"/>
          <w:numId w:val="15"/>
        </w:numPr>
        <w:spacing w:line="400" w:lineRule="exact"/>
        <w:ind w:firstLine="565" w:firstLineChars="202"/>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符合性响应证明材料</w:t>
      </w:r>
    </w:p>
    <w:p>
      <w:pPr>
        <w:pStyle w:val="11"/>
        <w:rPr>
          <w:rFonts w:hint="eastAsia" w:asciiTheme="minorEastAsia" w:hAnsiTheme="minorEastAsia" w:eastAsiaTheme="minorEastAsia" w:cstheme="minorEastAsia"/>
          <w:b/>
          <w:bCs/>
          <w:color w:val="auto"/>
          <w:sz w:val="28"/>
          <w:szCs w:val="28"/>
          <w:highlight w:val="none"/>
        </w:rPr>
      </w:pPr>
    </w:p>
    <w:p>
      <w:pPr>
        <w:pStyle w:val="11"/>
        <w:rPr>
          <w:rFonts w:hint="eastAsia" w:asciiTheme="minorEastAsia" w:hAnsiTheme="minorEastAsia" w:eastAsiaTheme="minorEastAsia" w:cstheme="minorEastAsia"/>
          <w:b/>
          <w:bCs/>
          <w:color w:val="auto"/>
          <w:sz w:val="28"/>
          <w:szCs w:val="28"/>
          <w:highlight w:val="none"/>
        </w:rPr>
      </w:pPr>
    </w:p>
    <w:p>
      <w:pPr>
        <w:numPr>
          <w:ilvl w:val="0"/>
          <w:numId w:val="15"/>
        </w:numPr>
        <w:spacing w:line="400" w:lineRule="exact"/>
        <w:ind w:firstLine="565" w:firstLineChars="202"/>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其他有效证明材料</w:t>
      </w:r>
    </w:p>
    <w:p>
      <w:pPr>
        <w:pStyle w:val="33"/>
        <w:rPr>
          <w:rFonts w:hint="eastAsia" w:asciiTheme="minorEastAsia" w:hAnsiTheme="minorEastAsia" w:eastAsiaTheme="minorEastAsia" w:cstheme="minorEastAsia"/>
          <w:color w:val="auto"/>
          <w:highlight w:val="none"/>
        </w:rPr>
      </w:pPr>
    </w:p>
    <w:p>
      <w:pPr>
        <w:tabs>
          <w:tab w:val="left" w:pos="5040"/>
        </w:tabs>
        <w:spacing w:line="400" w:lineRule="exact"/>
        <w:rPr>
          <w:rFonts w:hint="eastAsia" w:asciiTheme="minorEastAsia" w:hAnsiTheme="minorEastAsia" w:eastAsiaTheme="minorEastAsia" w:cstheme="minorEastAsia"/>
          <w:color w:val="auto"/>
          <w:szCs w:val="21"/>
          <w:highlight w:val="none"/>
        </w:rPr>
      </w:pPr>
    </w:p>
    <w:p>
      <w:pPr>
        <w:pStyle w:val="11"/>
        <w:rPr>
          <w:rFonts w:hint="eastAsia" w:asciiTheme="minorEastAsia" w:hAnsiTheme="minorEastAsia" w:eastAsiaTheme="minorEastAsia" w:cstheme="minorEastAsia"/>
          <w:color w:val="auto"/>
          <w:szCs w:val="21"/>
          <w:highlight w:val="none"/>
        </w:rPr>
      </w:pPr>
    </w:p>
    <w:p>
      <w:pPr>
        <w:pStyle w:val="11"/>
        <w:rPr>
          <w:rFonts w:hint="eastAsia" w:asciiTheme="minorEastAsia" w:hAnsiTheme="minorEastAsia" w:eastAsiaTheme="minorEastAsia" w:cstheme="minorEastAsia"/>
          <w:color w:val="auto"/>
          <w:szCs w:val="21"/>
          <w:highlight w:val="none"/>
        </w:rPr>
      </w:pPr>
    </w:p>
    <w:p>
      <w:pPr>
        <w:pStyle w:val="11"/>
        <w:rPr>
          <w:rFonts w:hint="eastAsia" w:asciiTheme="minorEastAsia" w:hAnsiTheme="minorEastAsia" w:eastAsiaTheme="minorEastAsia" w:cstheme="minorEastAsia"/>
          <w:color w:val="auto"/>
          <w:szCs w:val="21"/>
          <w:highlight w:val="none"/>
        </w:rPr>
      </w:pPr>
    </w:p>
    <w:p>
      <w:pPr>
        <w:pStyle w:val="11"/>
        <w:rPr>
          <w:rFonts w:hint="eastAsia" w:asciiTheme="minorEastAsia" w:hAnsiTheme="minorEastAsia" w:eastAsiaTheme="minorEastAsia" w:cstheme="minorEastAsia"/>
          <w:color w:val="auto"/>
          <w:szCs w:val="21"/>
          <w:highlight w:val="none"/>
        </w:rPr>
      </w:pPr>
    </w:p>
    <w:p>
      <w:pPr>
        <w:rPr>
          <w:rFonts w:hint="eastAsia" w:asciiTheme="minorEastAsia" w:hAnsiTheme="minorEastAsia" w:eastAsiaTheme="minorEastAsia" w:cstheme="minorEastAsia"/>
          <w:color w:val="auto"/>
          <w:szCs w:val="21"/>
          <w:highlight w:val="none"/>
        </w:rPr>
      </w:pPr>
    </w:p>
    <w:p>
      <w:pPr>
        <w:pStyle w:val="4"/>
        <w:rPr>
          <w:rFonts w:hint="eastAsia" w:asciiTheme="minorEastAsia" w:hAnsiTheme="minorEastAsia" w:eastAsiaTheme="minorEastAsia" w:cstheme="minorEastAsia"/>
          <w:color w:val="auto"/>
          <w:szCs w:val="21"/>
          <w:highlight w:val="none"/>
        </w:rPr>
      </w:pPr>
    </w:p>
    <w:p>
      <w:pPr>
        <w:rPr>
          <w:rFonts w:hint="eastAsia" w:asciiTheme="minorEastAsia" w:hAnsiTheme="minorEastAsia" w:eastAsiaTheme="minorEastAsia" w:cstheme="minorEastAsia"/>
          <w:color w:val="auto"/>
          <w:szCs w:val="21"/>
          <w:highlight w:val="none"/>
        </w:rPr>
      </w:pPr>
    </w:p>
    <w:p>
      <w:pPr>
        <w:pStyle w:val="4"/>
        <w:rPr>
          <w:rFonts w:hint="eastAsia" w:asciiTheme="minorEastAsia" w:hAnsiTheme="minorEastAsia" w:eastAsiaTheme="minorEastAsia" w:cstheme="minorEastAsia"/>
          <w:color w:val="auto"/>
          <w:szCs w:val="21"/>
          <w:highlight w:val="none"/>
        </w:rPr>
      </w:pPr>
    </w:p>
    <w:p>
      <w:pPr>
        <w:rPr>
          <w:rFonts w:hint="eastAsia" w:asciiTheme="minorEastAsia" w:hAnsiTheme="minorEastAsia" w:eastAsiaTheme="minorEastAsia" w:cstheme="minorEastAsia"/>
          <w:color w:val="auto"/>
          <w:szCs w:val="21"/>
          <w:highlight w:val="none"/>
        </w:rPr>
      </w:pPr>
    </w:p>
    <w:p>
      <w:pPr>
        <w:pStyle w:val="4"/>
        <w:rPr>
          <w:rFonts w:hint="eastAsia" w:asciiTheme="minorEastAsia" w:hAnsiTheme="minorEastAsia" w:eastAsiaTheme="minorEastAsia" w:cstheme="minorEastAsia"/>
          <w:color w:val="auto"/>
          <w:szCs w:val="21"/>
          <w:highlight w:val="none"/>
        </w:rPr>
      </w:pPr>
    </w:p>
    <w:p>
      <w:pPr>
        <w:rPr>
          <w:rFonts w:hint="eastAsia" w:asciiTheme="minorEastAsia" w:hAnsiTheme="minorEastAsia" w:eastAsiaTheme="minorEastAsia" w:cstheme="minorEastAsia"/>
          <w:color w:val="auto"/>
          <w:szCs w:val="21"/>
          <w:highlight w:val="none"/>
        </w:rPr>
      </w:pPr>
    </w:p>
    <w:p>
      <w:pPr>
        <w:pStyle w:val="4"/>
        <w:rPr>
          <w:rFonts w:hint="eastAsia" w:asciiTheme="minorEastAsia" w:hAnsiTheme="minorEastAsia" w:eastAsiaTheme="minorEastAsia" w:cstheme="minorEastAsia"/>
          <w:color w:val="auto"/>
          <w:szCs w:val="21"/>
          <w:highlight w:val="none"/>
        </w:rPr>
      </w:pPr>
    </w:p>
    <w:p>
      <w:pPr>
        <w:rPr>
          <w:rFonts w:hint="eastAsia" w:asciiTheme="minorEastAsia" w:hAnsiTheme="minorEastAsia" w:eastAsiaTheme="minorEastAsia" w:cstheme="minorEastAsia"/>
          <w:color w:val="auto"/>
          <w:szCs w:val="21"/>
          <w:highlight w:val="none"/>
        </w:rPr>
      </w:pPr>
    </w:p>
    <w:p>
      <w:pPr>
        <w:pStyle w:val="4"/>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bookmarkStart w:id="611" w:name="_Toc11067"/>
      <w:bookmarkStart w:id="612" w:name="_Toc497927071"/>
      <w:bookmarkStart w:id="613" w:name="_Toc7185"/>
    </w:p>
    <w:p>
      <w:pPr>
        <w:pStyle w:val="6"/>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（一）资格性响应证明材料目录</w:t>
      </w:r>
      <w:bookmarkEnd w:id="611"/>
      <w:bookmarkEnd w:id="612"/>
      <w:bookmarkEnd w:id="613"/>
    </w:p>
    <w:p>
      <w:pPr>
        <w:rPr>
          <w:rFonts w:hint="eastAsia" w:asciiTheme="minorEastAsia" w:hAnsiTheme="minorEastAsia" w:eastAsiaTheme="minorEastAsia" w:cstheme="minorEastAsia"/>
          <w:color w:val="auto"/>
          <w:highlight w:val="none"/>
        </w:rPr>
      </w:pP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1.供应商相应的法定代表人、负责人、自然人身份证正反两面扫描件</w:t>
      </w:r>
      <w:r>
        <w:rPr>
          <w:rFonts w:hint="eastAsia" w:asciiTheme="minorEastAsia" w:hAnsiTheme="minorEastAsia" w:eastAsiaTheme="minorEastAsia" w:cstheme="minorEastAsia"/>
          <w:b/>
          <w:bCs/>
          <w:color w:val="auto"/>
          <w:sz w:val="24"/>
          <w:highlight w:val="none"/>
        </w:rPr>
        <w:t>（必须提供）</w:t>
      </w:r>
      <w:r>
        <w:rPr>
          <w:rFonts w:hint="eastAsia" w:asciiTheme="minorEastAsia" w:hAnsiTheme="minorEastAsia" w:eastAsiaTheme="minorEastAsia" w:cstheme="minorEastAsia"/>
          <w:color w:val="auto"/>
          <w:sz w:val="24"/>
          <w:highlight w:val="none"/>
        </w:rPr>
        <w:t>；</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供应商的授权委托书原件、委托代理人身份证正反面扫描件以及由县级以上（含县级）社会养老保险经办机构出具的供应商为委托代理人交纳的响应文件递交截止时间前三个月内任意一个月养老保险证明扫描件，除供应商为以下四种情形的：</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 如供应商为截标时间前60日以内成立的公司，可以提供供应商与委托代理人签订的劳动合同扫描件代替养老保险证明扫描件；</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（2）如供应商为事业单位，可以提供事业单位机构编制管理证扫描件或事业单位机构为其发放工资的工资条扫描件代替养老保险证明扫描件；</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（3）如委托代理人为免缴纳养老保险人员，提供免缴纳养老保险的证明材料扫描件及供应商与委托代理人签订的劳动合同扫描件代替养老保险证明扫描件；</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pPr>
        <w:spacing w:line="360" w:lineRule="auto"/>
        <w:ind w:firstLine="480"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属自然人的应提供由县级以上（含县级）社会养老保险经办机构出具的自然人本人及委托代理人所交纳的响应文件递交截止时间前三个月内任意一个月养老保险证明扫描件，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
          <w:bCs/>
          <w:color w:val="auto"/>
          <w:sz w:val="24"/>
          <w:highlight w:val="none"/>
        </w:rPr>
        <w:t>（委托代理时必须提供）；</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3.供应商参加政府采购活动前3年内在经营活动中没有重大违法记录及有关信用信息的书面声明或专项信用报告</w:t>
      </w:r>
      <w:r>
        <w:rPr>
          <w:rFonts w:hint="eastAsia" w:asciiTheme="minorEastAsia" w:hAnsiTheme="minorEastAsia" w:eastAsiaTheme="minorEastAsia" w:cstheme="minorEastAsia"/>
          <w:b/>
          <w:bCs/>
          <w:color w:val="auto"/>
          <w:sz w:val="24"/>
          <w:highlight w:val="none"/>
        </w:rPr>
        <w:t>（必须提供）；</w:t>
      </w:r>
    </w:p>
    <w:p>
      <w:pPr>
        <w:spacing w:line="360" w:lineRule="auto"/>
        <w:ind w:firstLine="420"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注：供应商为广西经营主体的，可通过信用中国(广西)网站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供应商根据注册地信用中国网站的要求获取。</w:t>
      </w:r>
    </w:p>
    <w:p>
      <w:pPr>
        <w:spacing w:line="360" w:lineRule="auto"/>
        <w:ind w:firstLine="480"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4.供应商的法人或者其他组织营业执照等证明文件扫描件</w:t>
      </w:r>
      <w:r>
        <w:rPr>
          <w:rFonts w:hint="eastAsia" w:asciiTheme="minorEastAsia" w:hAnsiTheme="minorEastAsia" w:eastAsiaTheme="minorEastAsia" w:cstheme="minorEastAsia"/>
          <w:b/>
          <w:bCs/>
          <w:color w:val="auto"/>
          <w:sz w:val="24"/>
          <w:highlight w:val="none"/>
        </w:rPr>
        <w:t>（必须提供，自然人除外）；</w:t>
      </w:r>
    </w:p>
    <w:p>
      <w:pPr>
        <w:tabs>
          <w:tab w:val="left" w:pos="1305"/>
        </w:tabs>
        <w:spacing w:line="400" w:lineRule="exact"/>
        <w:ind w:firstLine="42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Cs w:val="21"/>
          <w:highlight w:val="none"/>
        </w:rPr>
        <w:t>注：供应商为企业（包括合伙企业），应提供市场监管部门（登记机关）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r>
        <w:rPr>
          <w:rFonts w:hint="eastAsia" w:asciiTheme="minorEastAsia" w:hAnsiTheme="minorEastAsia" w:eastAsiaTheme="minorEastAsia" w:cstheme="minorEastAsia"/>
          <w:b/>
          <w:bCs/>
          <w:color w:val="auto"/>
          <w:szCs w:val="21"/>
          <w:highlight w:val="none"/>
        </w:rPr>
        <w:t>分支机构或分公司投标时，需提供具有法人资格的总公司的营业执照扫描件及授权书，授权书须加盖总公司的公章。总公司可就本项目在一定范围及时间内出具授权书。已由总公司授权的，总公司取得的相关资质证书对分支机构或分公司有效。</w:t>
      </w:r>
      <w:r>
        <w:rPr>
          <w:rFonts w:hint="eastAsia" w:asciiTheme="minorEastAsia" w:hAnsiTheme="minorEastAsia" w:eastAsiaTheme="minorEastAsia" w:cstheme="minorEastAsia"/>
          <w:b/>
          <w:color w:val="auto"/>
          <w:szCs w:val="21"/>
          <w:highlight w:val="none"/>
        </w:rPr>
        <w:t>（所需材料均为扫描件）</w:t>
      </w:r>
    </w:p>
    <w:p>
      <w:pPr>
        <w:spacing w:line="360" w:lineRule="auto"/>
        <w:ind w:firstLine="480"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5.财务状况报告</w:t>
      </w:r>
      <w:r>
        <w:rPr>
          <w:rFonts w:hint="eastAsia" w:asciiTheme="minorEastAsia" w:hAnsiTheme="minorEastAsia" w:eastAsiaTheme="minorEastAsia" w:cstheme="minorEastAsia"/>
          <w:b/>
          <w:bCs/>
          <w:color w:val="auto"/>
          <w:sz w:val="24"/>
          <w:highlight w:val="none"/>
        </w:rPr>
        <w:t>（格式自拟，必须提供）；</w:t>
      </w:r>
    </w:p>
    <w:p>
      <w:pPr>
        <w:spacing w:line="360" w:lineRule="auto"/>
        <w:ind w:firstLine="480"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6.供应商在磋商当天前近半年内任意一个月或任一季度依法缴纳税收的证明材料（增值税发票(税收完税证明)或企业所得税完税证明或税务部门出具的免税证明或税务部门出具的无欠税证明）扫描件</w:t>
      </w:r>
      <w:r>
        <w:rPr>
          <w:rFonts w:hint="eastAsia" w:asciiTheme="minorEastAsia" w:hAnsiTheme="minorEastAsia" w:eastAsiaTheme="minorEastAsia" w:cstheme="minorEastAsia"/>
          <w:b/>
          <w:bCs/>
          <w:color w:val="auto"/>
          <w:sz w:val="24"/>
          <w:highlight w:val="none"/>
        </w:rPr>
        <w:t>（必须提供）；</w:t>
      </w:r>
    </w:p>
    <w:p>
      <w:pPr>
        <w:spacing w:line="360" w:lineRule="auto"/>
        <w:ind w:firstLine="480" w:firstLineChars="200"/>
        <w:rPr>
          <w:rFonts w:hint="eastAsia" w:asciiTheme="minorEastAsia" w:hAnsiTheme="minorEastAsia" w:eastAsiaTheme="minorEastAsia" w:cstheme="minorEastAsia"/>
          <w:b/>
          <w:bCs/>
          <w:color w:val="auto"/>
          <w:sz w:val="24"/>
          <w:highlight w:val="none"/>
        </w:rPr>
      </w:pPr>
    </w:p>
    <w:p>
      <w:pPr>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4"/>
        <w:rPr>
          <w:rFonts w:hint="eastAsia" w:asciiTheme="minorEastAsia" w:hAnsiTheme="minorEastAsia" w:eastAsiaTheme="minorEastAsia" w:cstheme="minorEastAsia"/>
          <w:color w:val="auto"/>
          <w:sz w:val="24"/>
          <w:highlight w:val="none"/>
          <w:lang w:val="en-US"/>
        </w:rPr>
      </w:pPr>
    </w:p>
    <w:p>
      <w:pPr>
        <w:rPr>
          <w:rFonts w:hint="eastAsia" w:asciiTheme="minorEastAsia" w:hAnsiTheme="minorEastAsia" w:eastAsiaTheme="minorEastAsia" w:cstheme="minorEastAsia"/>
          <w:color w:val="auto"/>
          <w:sz w:val="24"/>
          <w:highlight w:val="none"/>
        </w:rPr>
      </w:pPr>
    </w:p>
    <w:p>
      <w:pPr>
        <w:pStyle w:val="4"/>
        <w:rPr>
          <w:rFonts w:hint="eastAsia" w:asciiTheme="minorEastAsia" w:hAnsiTheme="minorEastAsia" w:eastAsiaTheme="minorEastAsia" w:cstheme="minorEastAsia"/>
          <w:color w:val="auto"/>
          <w:sz w:val="24"/>
          <w:highlight w:val="none"/>
          <w:lang w:val="en-US"/>
        </w:rPr>
      </w:pPr>
    </w:p>
    <w:p>
      <w:pPr>
        <w:rPr>
          <w:rFonts w:hint="eastAsia" w:asciiTheme="minorEastAsia" w:hAnsiTheme="minorEastAsia" w:eastAsiaTheme="minorEastAsia" w:cstheme="minorEastAsia"/>
          <w:color w:val="auto"/>
          <w:sz w:val="24"/>
          <w:highlight w:val="none"/>
        </w:rPr>
      </w:pPr>
    </w:p>
    <w:p>
      <w:pPr>
        <w:pStyle w:val="4"/>
        <w:rPr>
          <w:rFonts w:hint="eastAsia" w:asciiTheme="minorEastAsia" w:hAnsiTheme="minorEastAsia" w:eastAsiaTheme="minorEastAsia" w:cstheme="minorEastAsia"/>
          <w:color w:val="auto"/>
          <w:sz w:val="24"/>
          <w:highlight w:val="none"/>
          <w:lang w:val="en-US"/>
        </w:rPr>
      </w:pPr>
    </w:p>
    <w:p>
      <w:pPr>
        <w:rPr>
          <w:rFonts w:hint="eastAsia" w:asciiTheme="minorEastAsia" w:hAnsiTheme="minorEastAsia" w:eastAsiaTheme="minorEastAsia" w:cstheme="minorEastAsia"/>
          <w:color w:val="auto"/>
          <w:sz w:val="24"/>
          <w:highlight w:val="none"/>
        </w:rPr>
      </w:pPr>
    </w:p>
    <w:p>
      <w:pPr>
        <w:pStyle w:val="4"/>
        <w:rPr>
          <w:rFonts w:hint="eastAsia" w:asciiTheme="minorEastAsia" w:hAnsiTheme="minorEastAsia" w:eastAsiaTheme="minorEastAsia" w:cstheme="minorEastAsia"/>
          <w:color w:val="auto"/>
          <w:sz w:val="24"/>
          <w:highlight w:val="none"/>
          <w:lang w:val="en-US"/>
        </w:rPr>
      </w:pPr>
    </w:p>
    <w:p>
      <w:pPr>
        <w:rPr>
          <w:rFonts w:hint="eastAsia" w:asciiTheme="minorEastAsia" w:hAnsiTheme="minorEastAsia" w:eastAsiaTheme="minorEastAsia" w:cstheme="minorEastAsia"/>
          <w:color w:val="auto"/>
          <w:sz w:val="24"/>
          <w:highlight w:val="none"/>
        </w:rPr>
      </w:pPr>
    </w:p>
    <w:p>
      <w:pPr>
        <w:pStyle w:val="4"/>
        <w:rPr>
          <w:rFonts w:hint="eastAsia" w:asciiTheme="minorEastAsia" w:hAnsiTheme="minorEastAsia" w:eastAsiaTheme="minorEastAsia" w:cstheme="minorEastAsia"/>
          <w:color w:val="auto"/>
          <w:sz w:val="24"/>
          <w:highlight w:val="none"/>
          <w:lang w:val="en-US"/>
        </w:rPr>
      </w:pPr>
    </w:p>
    <w:p>
      <w:pPr>
        <w:rPr>
          <w:rFonts w:hint="eastAsia" w:asciiTheme="minorEastAsia" w:hAnsiTheme="minorEastAsia" w:eastAsiaTheme="minorEastAsia" w:cstheme="minorEastAsia"/>
          <w:color w:val="auto"/>
          <w:sz w:val="24"/>
          <w:highlight w:val="none"/>
        </w:rPr>
      </w:pPr>
    </w:p>
    <w:p>
      <w:pPr>
        <w:pStyle w:val="4"/>
        <w:rPr>
          <w:rFonts w:hint="eastAsia" w:asciiTheme="minorEastAsia" w:hAnsiTheme="minorEastAsia" w:eastAsiaTheme="minorEastAsia" w:cstheme="minorEastAsia"/>
          <w:color w:val="auto"/>
          <w:sz w:val="24"/>
          <w:highlight w:val="none"/>
          <w:lang w:val="en-US"/>
        </w:rPr>
      </w:pPr>
    </w:p>
    <w:p>
      <w:pPr>
        <w:rPr>
          <w:rFonts w:hint="eastAsia" w:asciiTheme="minorEastAsia" w:hAnsiTheme="minorEastAsia" w:eastAsiaTheme="minorEastAsia" w:cstheme="minorEastAsia"/>
          <w:color w:val="auto"/>
          <w:sz w:val="24"/>
          <w:highlight w:val="none"/>
        </w:rPr>
      </w:pPr>
    </w:p>
    <w:p>
      <w:pPr>
        <w:pStyle w:val="4"/>
        <w:rPr>
          <w:rFonts w:hint="eastAsia" w:asciiTheme="minorEastAsia" w:hAnsiTheme="minorEastAsia" w:eastAsiaTheme="minorEastAsia" w:cstheme="minorEastAsia"/>
          <w:color w:val="auto"/>
          <w:sz w:val="24"/>
          <w:highlight w:val="none"/>
          <w:lang w:val="en-US"/>
        </w:rPr>
      </w:pPr>
    </w:p>
    <w:p>
      <w:pPr>
        <w:rPr>
          <w:rFonts w:hint="eastAsia" w:asciiTheme="minorEastAsia" w:hAnsiTheme="minorEastAsia" w:eastAsiaTheme="minorEastAsia" w:cstheme="minorEastAsia"/>
          <w:color w:val="auto"/>
          <w:sz w:val="24"/>
          <w:highlight w:val="none"/>
        </w:rPr>
      </w:pPr>
    </w:p>
    <w:p>
      <w:pPr>
        <w:pStyle w:val="4"/>
        <w:rPr>
          <w:rFonts w:hint="eastAsia" w:asciiTheme="minorEastAsia" w:hAnsiTheme="minorEastAsia" w:eastAsiaTheme="minorEastAsia" w:cstheme="minorEastAsia"/>
          <w:color w:val="auto"/>
          <w:sz w:val="24"/>
          <w:highlight w:val="none"/>
          <w:lang w:val="en-US"/>
        </w:rPr>
      </w:pPr>
    </w:p>
    <w:p>
      <w:pPr>
        <w:rPr>
          <w:rFonts w:hint="eastAsia" w:asciiTheme="minorEastAsia" w:hAnsiTheme="minorEastAsia" w:eastAsiaTheme="minorEastAsia" w:cstheme="minorEastAsia"/>
          <w:color w:val="auto"/>
          <w:sz w:val="24"/>
          <w:highlight w:val="none"/>
        </w:rPr>
      </w:pPr>
    </w:p>
    <w:p>
      <w:pPr>
        <w:pStyle w:val="4"/>
        <w:rPr>
          <w:rFonts w:hint="eastAsia" w:asciiTheme="minorEastAsia" w:hAnsiTheme="minorEastAsia" w:eastAsiaTheme="minorEastAsia" w:cstheme="minorEastAsia"/>
          <w:color w:val="auto"/>
          <w:sz w:val="24"/>
          <w:highlight w:val="none"/>
          <w:lang w:val="en-US"/>
        </w:rPr>
      </w:pPr>
    </w:p>
    <w:p>
      <w:pPr>
        <w:rPr>
          <w:rFonts w:hint="eastAsia" w:asciiTheme="minorEastAsia" w:hAnsiTheme="minorEastAsia" w:eastAsiaTheme="minorEastAsia" w:cstheme="minorEastAsia"/>
          <w:color w:val="auto"/>
          <w:sz w:val="24"/>
          <w:highlight w:val="none"/>
        </w:rPr>
      </w:pPr>
    </w:p>
    <w:p>
      <w:pPr>
        <w:pStyle w:val="4"/>
        <w:rPr>
          <w:rFonts w:hint="eastAsia" w:asciiTheme="minorEastAsia" w:hAnsiTheme="minorEastAsia" w:eastAsiaTheme="minorEastAsia" w:cstheme="minorEastAsia"/>
          <w:color w:val="auto"/>
          <w:sz w:val="24"/>
          <w:highlight w:val="none"/>
          <w:lang w:val="en-US"/>
        </w:rPr>
      </w:pPr>
    </w:p>
    <w:p>
      <w:pPr>
        <w:rPr>
          <w:rFonts w:hint="eastAsia" w:asciiTheme="minorEastAsia" w:hAnsiTheme="minorEastAsia" w:eastAsiaTheme="minorEastAsia" w:cstheme="minorEastAsia"/>
          <w:color w:val="auto"/>
          <w:sz w:val="24"/>
          <w:highlight w:val="none"/>
        </w:rPr>
      </w:pPr>
    </w:p>
    <w:p>
      <w:pPr>
        <w:pStyle w:val="33"/>
        <w:rPr>
          <w:rFonts w:hint="eastAsia" w:asciiTheme="minorEastAsia" w:hAnsiTheme="minorEastAsia" w:eastAsiaTheme="minorEastAsia" w:cstheme="minorEastAsia"/>
          <w:color w:val="auto"/>
          <w:highlight w:val="none"/>
        </w:rPr>
      </w:pPr>
    </w:p>
    <w:p>
      <w:pPr>
        <w:spacing w:line="440" w:lineRule="atLeas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1.供应商相应的法定代表人、负责人、自然人身份证正反两面扫描件（必须提供）；</w:t>
      </w:r>
    </w:p>
    <w:p>
      <w:pPr>
        <w:spacing w:line="440" w:lineRule="atLeast"/>
        <w:rPr>
          <w:rFonts w:hint="eastAsia" w:asciiTheme="minorEastAsia" w:hAnsiTheme="minorEastAsia" w:eastAsiaTheme="minorEastAsia" w:cstheme="minorEastAsia"/>
          <w:b/>
          <w:color w:val="auto"/>
          <w:sz w:val="28"/>
          <w:szCs w:val="28"/>
          <w:highlight w:val="none"/>
        </w:rPr>
      </w:pPr>
    </w:p>
    <w:p>
      <w:pPr>
        <w:spacing w:line="440" w:lineRule="atLeas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2.供应商的授权委托书原件、委托代理人身份证正反面扫描件以及由县级以上（含县级）社会养老保险经办机构出具的供应商为委托代理人交纳的响应文件递交截止时间前三个月内任意一个月养老保险证明扫描件，除供应商为以下四种情形的：</w:t>
      </w:r>
    </w:p>
    <w:p>
      <w:pPr>
        <w:spacing w:line="440" w:lineRule="atLeas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（1） 如供应商为截标时间前60日以内成立的公司，可以提供供应商与委托代理人签订的劳动合同扫描件代替养老保险证明扫描件；</w:t>
      </w:r>
    </w:p>
    <w:p>
      <w:pPr>
        <w:spacing w:line="440" w:lineRule="atLeas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（2）如供应商为事业单位，可以提供事业单位机构编制管理证扫描件或事业单位机构为其发放工资的工资条扫描件代替养老保险证明扫描件；</w:t>
      </w:r>
    </w:p>
    <w:p>
      <w:pPr>
        <w:spacing w:line="440" w:lineRule="atLeas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（3）如委托代理人为免缴纳养老保险人员，提供免缴纳养老保险的证明材料扫描件及供应商与委托代理人签订的劳动合同扫描件代替养老保险证明扫描件；</w:t>
      </w:r>
    </w:p>
    <w:p>
      <w:pPr>
        <w:pStyle w:val="1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szCs w:val="28"/>
          <w:highlight w:val="none"/>
        </w:rPr>
        <w:t>（4）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pPr>
        <w:spacing w:line="440" w:lineRule="atLeas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属自然人的应提供由县级以上（含县级）社会养老保险经办机构出具的自然人本人及委托代理人所交纳的响应文件递交截止时间前三个月内任意一个月养老保险证明扫描件，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委托代理时必须提供；如为联合体的，授权委托书原件须由牵头人出具）</w:t>
      </w:r>
    </w:p>
    <w:p>
      <w:pPr>
        <w:pStyle w:val="13"/>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 xml:space="preserve">附件：            </w:t>
      </w:r>
    </w:p>
    <w:p>
      <w:pPr>
        <w:pStyle w:val="13"/>
        <w:ind w:firstLine="627" w:firstLineChars="196"/>
        <w:jc w:val="center"/>
        <w:rPr>
          <w:rFonts w:hint="eastAsia" w:asciiTheme="minorEastAsia" w:hAnsiTheme="minorEastAsia" w:eastAsiaTheme="minorEastAsia" w:cstheme="minorEastAsia"/>
          <w:b/>
          <w:color w:val="auto"/>
          <w:sz w:val="32"/>
          <w:highlight w:val="none"/>
        </w:rPr>
      </w:pPr>
      <w:bookmarkStart w:id="614" w:name="_Toc964_WPSOffice_Level1"/>
      <w:bookmarkStart w:id="615" w:name="_Toc5420_WPSOffice_Level1"/>
      <w:r>
        <w:rPr>
          <w:rFonts w:hint="eastAsia" w:asciiTheme="minorEastAsia" w:hAnsiTheme="minorEastAsia" w:eastAsiaTheme="minorEastAsia" w:cstheme="minorEastAsia"/>
          <w:b/>
          <w:color w:val="auto"/>
          <w:sz w:val="32"/>
          <w:highlight w:val="none"/>
        </w:rPr>
        <w:t>授权委托书（格式一）</w:t>
      </w:r>
      <w:bookmarkEnd w:id="614"/>
      <w:bookmarkEnd w:id="615"/>
    </w:p>
    <w:p>
      <w:pPr>
        <w:pStyle w:val="13"/>
        <w:rPr>
          <w:rFonts w:hint="eastAsia" w:asciiTheme="minorEastAsia" w:hAnsiTheme="minorEastAsia" w:eastAsiaTheme="minorEastAsia" w:cstheme="minorEastAsia"/>
          <w:color w:val="auto"/>
          <w:highlight w:val="none"/>
        </w:rPr>
      </w:pPr>
    </w:p>
    <w:p>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致：</w:t>
      </w:r>
      <w:r>
        <w:rPr>
          <w:rFonts w:hint="eastAsia" w:asciiTheme="minorEastAsia" w:hAnsiTheme="minorEastAsia" w:eastAsiaTheme="minorEastAsia" w:cstheme="minorEastAsia"/>
          <w:color w:val="auto"/>
          <w:szCs w:val="21"/>
          <w:highlight w:val="none"/>
          <w:u w:val="single"/>
        </w:rPr>
        <w:t xml:space="preserve"> 桂林市政府集中采购中心 </w:t>
      </w:r>
    </w:p>
    <w:p>
      <w:pPr>
        <w:spacing w:line="400" w:lineRule="exact"/>
        <w:rPr>
          <w:rFonts w:hint="eastAsia" w:asciiTheme="minorEastAsia" w:hAnsiTheme="minorEastAsia" w:eastAsiaTheme="minorEastAsia" w:cstheme="minorEastAsia"/>
          <w:color w:val="auto"/>
          <w:szCs w:val="21"/>
          <w:highlight w:val="none"/>
        </w:rPr>
      </w:pPr>
    </w:p>
    <w:p>
      <w:pPr>
        <w:pStyle w:val="13"/>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我（姓名）系（供应商名称）的法定代表人（负责人），现授权委托本单位在职职工（姓 名）以我公司名义参加</w:t>
      </w:r>
      <w:r>
        <w:rPr>
          <w:rFonts w:hint="eastAsia" w:asciiTheme="minorEastAsia" w:hAnsiTheme="minorEastAsia" w:eastAsiaTheme="minorEastAsia" w:cstheme="minorEastAsia"/>
          <w:color w:val="auto"/>
          <w:highlight w:val="none"/>
          <w:u w:val="single"/>
        </w:rPr>
        <w:t xml:space="preserve">（项目名称及项目编号）        </w:t>
      </w:r>
      <w:r>
        <w:rPr>
          <w:rFonts w:hint="eastAsia" w:asciiTheme="minorEastAsia" w:hAnsiTheme="minorEastAsia" w:eastAsiaTheme="minorEastAsia" w:cstheme="minorEastAsia"/>
          <w:color w:val="auto"/>
          <w:highlight w:val="none"/>
        </w:rPr>
        <w:t>项目的磋商活动，并代表我方全权办理针对上述项目的磋商、签约等具体事务和签署相关文件。</w:t>
      </w:r>
    </w:p>
    <w:p>
      <w:pPr>
        <w:pStyle w:val="13"/>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我方对被授权人的签字事项负全部责任。</w:t>
      </w:r>
    </w:p>
    <w:p>
      <w:pPr>
        <w:pStyle w:val="13"/>
        <w:spacing w:line="400" w:lineRule="exact"/>
        <w:ind w:firstLine="420" w:firstLineChars="200"/>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授权委托代理期限：从年月  日起至年月 日止。</w:t>
      </w:r>
    </w:p>
    <w:p>
      <w:pPr>
        <w:pStyle w:val="13"/>
        <w:spacing w:line="400" w:lineRule="exact"/>
        <w:rPr>
          <w:rFonts w:hint="eastAsia" w:asciiTheme="minorEastAsia" w:hAnsiTheme="minorEastAsia" w:eastAsiaTheme="minorEastAsia" w:cstheme="minorEastAsia"/>
          <w:color w:val="auto"/>
          <w:highlight w:val="none"/>
          <w:u w:val="single"/>
        </w:rPr>
      </w:pPr>
    </w:p>
    <w:p>
      <w:pPr>
        <w:spacing w:line="400" w:lineRule="exact"/>
        <w:ind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代理人无转委托权,特此委托。 </w:t>
      </w:r>
    </w:p>
    <w:p>
      <w:pPr>
        <w:spacing w:line="400" w:lineRule="exact"/>
        <w:ind w:firstLine="420" w:firstLineChars="200"/>
        <w:rPr>
          <w:rFonts w:hint="eastAsia" w:asciiTheme="minorEastAsia" w:hAnsiTheme="minorEastAsia" w:eastAsiaTheme="minorEastAsia" w:cstheme="minorEastAsia"/>
          <w:color w:val="auto"/>
          <w:kern w:val="0"/>
          <w:highlight w:val="none"/>
        </w:rPr>
      </w:pPr>
    </w:p>
    <w:p>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我已在下面签字，以资证明。</w:t>
      </w:r>
    </w:p>
    <w:p>
      <w:pPr>
        <w:spacing w:line="400" w:lineRule="exact"/>
        <w:ind w:firstLine="420" w:firstLineChars="200"/>
        <w:rPr>
          <w:rFonts w:hint="eastAsia" w:asciiTheme="minorEastAsia" w:hAnsiTheme="minorEastAsia" w:eastAsiaTheme="minorEastAsia" w:cstheme="minorEastAsia"/>
          <w:color w:val="auto"/>
          <w:szCs w:val="21"/>
          <w:highlight w:val="none"/>
        </w:rPr>
      </w:pPr>
    </w:p>
    <w:p>
      <w:pPr>
        <w:spacing w:line="400" w:lineRule="exact"/>
        <w:ind w:firstLine="420" w:firstLineChars="200"/>
        <w:rPr>
          <w:rFonts w:hint="eastAsia" w:asciiTheme="minorEastAsia" w:hAnsiTheme="minorEastAsia" w:eastAsiaTheme="minorEastAsia" w:cstheme="minorEastAsia"/>
          <w:color w:val="auto"/>
          <w:szCs w:val="21"/>
          <w:highlight w:val="none"/>
        </w:rPr>
      </w:pPr>
    </w:p>
    <w:p>
      <w:pPr>
        <w:snapToGrid w:val="0"/>
        <w:spacing w:line="400" w:lineRule="exact"/>
        <w:ind w:firstLine="42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磋商供应商[公章（CA签章）]：</w:t>
      </w:r>
    </w:p>
    <w:p>
      <w:pPr>
        <w:snapToGrid w:val="0"/>
        <w:spacing w:line="400" w:lineRule="exact"/>
        <w:ind w:firstLine="420"/>
        <w:rPr>
          <w:rFonts w:hint="eastAsia" w:asciiTheme="minorEastAsia" w:hAnsiTheme="minorEastAsia" w:eastAsiaTheme="minorEastAsia" w:cstheme="minorEastAsia"/>
          <w:color w:val="auto"/>
          <w:szCs w:val="21"/>
          <w:highlight w:val="none"/>
        </w:rPr>
      </w:pPr>
    </w:p>
    <w:p>
      <w:pPr>
        <w:snapToGrid w:val="0"/>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法定代表人（负责人）签字（或个人CA签章）：     　　 年月日</w:t>
      </w:r>
    </w:p>
    <w:p>
      <w:pPr>
        <w:snapToGrid w:val="0"/>
        <w:spacing w:line="400" w:lineRule="exact"/>
        <w:ind w:firstLine="420"/>
        <w:rPr>
          <w:rFonts w:hint="eastAsia" w:asciiTheme="minorEastAsia" w:hAnsiTheme="minorEastAsia" w:eastAsiaTheme="minorEastAsia" w:cstheme="minorEastAsia"/>
          <w:color w:val="auto"/>
          <w:szCs w:val="21"/>
          <w:highlight w:val="none"/>
        </w:rPr>
      </w:pPr>
    </w:p>
    <w:p>
      <w:pPr>
        <w:pStyle w:val="11"/>
        <w:rPr>
          <w:rFonts w:hint="eastAsia" w:asciiTheme="minorEastAsia" w:hAnsiTheme="minorEastAsia" w:eastAsiaTheme="minorEastAsia" w:cstheme="minorEastAsia"/>
          <w:color w:val="auto"/>
          <w:highlight w:val="none"/>
        </w:rPr>
      </w:pPr>
    </w:p>
    <w:p>
      <w:pPr>
        <w:pStyle w:val="13"/>
        <w:spacing w:line="340" w:lineRule="exact"/>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注：供应商的授权委托书原件、委托代理人身份证正反面扫描件以及由县级以上（含县级）社会养老保险经办机构出具的供应商为委托代理人交纳的开标截止时间前三个月内任意一个月养老保险证明扫描件（如供应商为截标时间前60日以内成立的公司，可以提供供应商与委托代理人签订的劳动合同扫描件代替养老保险证明扫描件；如供应商为事业单位，可以提供事业单位机构编制管理证扫描件或事业单位机构为其发放工资的工资条扫描件代替养老保险证明扫描件；如委托代理人为免缴纳养老保险人员，提供免缴纳养老保险的证明材料扫描件及供应商与委托代理人签订的劳动合同扫描件代替养老保险证明扫描件；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委托代理时必须提供。</w:t>
      </w:r>
    </w:p>
    <w:p>
      <w:pPr>
        <w:pStyle w:val="7"/>
        <w:rPr>
          <w:rFonts w:hint="eastAsia" w:asciiTheme="minorEastAsia" w:hAnsiTheme="minorEastAsia" w:eastAsiaTheme="minorEastAsia" w:cstheme="minorEastAsia"/>
          <w:b/>
          <w:color w:val="auto"/>
          <w:sz w:val="24"/>
          <w:highlight w:val="none"/>
        </w:rPr>
      </w:pPr>
    </w:p>
    <w:p>
      <w:pPr>
        <w:rPr>
          <w:rFonts w:hint="eastAsia" w:asciiTheme="minorEastAsia" w:hAnsiTheme="minorEastAsia" w:eastAsiaTheme="minorEastAsia" w:cstheme="minorEastAsia"/>
          <w:b/>
          <w:color w:val="auto"/>
          <w:sz w:val="24"/>
          <w:highlight w:val="none"/>
        </w:rPr>
      </w:pPr>
    </w:p>
    <w:p>
      <w:pPr>
        <w:pStyle w:val="13"/>
        <w:spacing w:line="340" w:lineRule="exact"/>
        <w:ind w:firstLine="420" w:firstLineChars="200"/>
        <w:rPr>
          <w:rFonts w:hint="eastAsia" w:asciiTheme="minorEastAsia" w:hAnsiTheme="minorEastAsia" w:eastAsiaTheme="minorEastAsia" w:cstheme="minorEastAsia"/>
          <w:color w:val="auto"/>
          <w:highlight w:val="none"/>
        </w:rPr>
      </w:pPr>
    </w:p>
    <w:p>
      <w:pPr>
        <w:pStyle w:val="7"/>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13"/>
        <w:jc w:val="center"/>
        <w:rPr>
          <w:rFonts w:hint="eastAsia" w:asciiTheme="minorEastAsia" w:hAnsiTheme="minorEastAsia" w:eastAsiaTheme="minorEastAsia" w:cstheme="minorEastAsia"/>
          <w:b/>
          <w:color w:val="auto"/>
          <w:sz w:val="32"/>
          <w:highlight w:val="none"/>
        </w:rPr>
      </w:pPr>
      <w:bookmarkStart w:id="616" w:name="_Toc21370_WPSOffice_Level1"/>
      <w:bookmarkStart w:id="617" w:name="_Toc6975_WPSOffice_Level1"/>
      <w:r>
        <w:rPr>
          <w:rFonts w:hint="eastAsia" w:asciiTheme="minorEastAsia" w:hAnsiTheme="minorEastAsia" w:eastAsiaTheme="minorEastAsia" w:cstheme="minorEastAsia"/>
          <w:b/>
          <w:color w:val="auto"/>
          <w:sz w:val="32"/>
          <w:highlight w:val="none"/>
        </w:rPr>
        <w:t>授权委托书（格式二）</w:t>
      </w:r>
      <w:bookmarkEnd w:id="616"/>
      <w:bookmarkEnd w:id="617"/>
    </w:p>
    <w:p>
      <w:pPr>
        <w:pStyle w:val="13"/>
        <w:rPr>
          <w:rFonts w:hint="eastAsia" w:asciiTheme="minorEastAsia" w:hAnsiTheme="minorEastAsia" w:eastAsiaTheme="minorEastAsia" w:cstheme="minorEastAsia"/>
          <w:b/>
          <w:color w:val="auto"/>
          <w:sz w:val="32"/>
          <w:highlight w:val="none"/>
        </w:rPr>
      </w:pPr>
    </w:p>
    <w:p>
      <w:pPr>
        <w:pStyle w:val="13"/>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b/>
          <w:color w:val="auto"/>
          <w:szCs w:val="21"/>
          <w:highlight w:val="none"/>
        </w:rPr>
        <w:t>致</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rPr>
        <w:t xml:space="preserve"> 桂林市政府集中采购中心 </w:t>
      </w:r>
    </w:p>
    <w:p>
      <w:pPr>
        <w:rPr>
          <w:rFonts w:hint="eastAsia" w:asciiTheme="minorEastAsia" w:hAnsiTheme="minorEastAsia" w:eastAsiaTheme="minorEastAsia" w:cstheme="minorEastAsia"/>
          <w:color w:val="auto"/>
          <w:highlight w:val="none"/>
        </w:rPr>
      </w:pPr>
    </w:p>
    <w:p>
      <w:pPr>
        <w:pStyle w:val="13"/>
        <w:spacing w:line="34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我（姓名）系自然人，现授权委托（姓 名）以本人名义参加</w:t>
      </w:r>
      <w:r>
        <w:rPr>
          <w:rFonts w:hint="eastAsia" w:asciiTheme="minorEastAsia" w:hAnsiTheme="minorEastAsia" w:eastAsiaTheme="minorEastAsia" w:cstheme="minorEastAsia"/>
          <w:color w:val="auto"/>
          <w:highlight w:val="none"/>
          <w:u w:val="single"/>
        </w:rPr>
        <w:t xml:space="preserve">（项目名称及项目编号）        </w:t>
      </w:r>
      <w:r>
        <w:rPr>
          <w:rFonts w:hint="eastAsia" w:asciiTheme="minorEastAsia" w:hAnsiTheme="minorEastAsia" w:eastAsiaTheme="minorEastAsia" w:cstheme="minorEastAsia"/>
          <w:color w:val="auto"/>
          <w:highlight w:val="none"/>
        </w:rPr>
        <w:t>项目的磋商活动，并代表本人全权办理针对上述项目的磋商、签约等具体事务和签署相关文件。</w:t>
      </w:r>
    </w:p>
    <w:p>
      <w:pPr>
        <w:pStyle w:val="13"/>
        <w:spacing w:line="34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本人对被授权人的签字事项负全部责任。</w:t>
      </w:r>
    </w:p>
    <w:p>
      <w:pPr>
        <w:pStyle w:val="13"/>
        <w:spacing w:line="340" w:lineRule="exact"/>
        <w:ind w:firstLine="420" w:firstLineChars="200"/>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授权委托代理期限：从年月  日起至年月 日止。</w:t>
      </w:r>
    </w:p>
    <w:p>
      <w:pPr>
        <w:pStyle w:val="13"/>
        <w:spacing w:line="340" w:lineRule="exact"/>
        <w:rPr>
          <w:rFonts w:hint="eastAsia" w:asciiTheme="minorEastAsia" w:hAnsiTheme="minorEastAsia" w:eastAsiaTheme="minorEastAsia" w:cstheme="minorEastAsia"/>
          <w:color w:val="auto"/>
          <w:highlight w:val="none"/>
          <w:u w:val="single"/>
        </w:rPr>
      </w:pPr>
    </w:p>
    <w:p>
      <w:pPr>
        <w:spacing w:line="340" w:lineRule="exact"/>
        <w:ind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代理人无转委托权,特此委托。 </w:t>
      </w:r>
    </w:p>
    <w:p>
      <w:pPr>
        <w:spacing w:line="340" w:lineRule="exact"/>
        <w:ind w:firstLine="420" w:firstLineChars="200"/>
        <w:rPr>
          <w:rFonts w:hint="eastAsia" w:asciiTheme="minorEastAsia" w:hAnsiTheme="minorEastAsia" w:eastAsiaTheme="minorEastAsia" w:cstheme="minorEastAsia"/>
          <w:color w:val="auto"/>
          <w:kern w:val="0"/>
          <w:highlight w:val="none"/>
        </w:rPr>
      </w:pPr>
    </w:p>
    <w:p>
      <w:pPr>
        <w:spacing w:line="3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我已在下面签字，以资证明。</w:t>
      </w:r>
    </w:p>
    <w:p>
      <w:pPr>
        <w:spacing w:line="340" w:lineRule="exact"/>
        <w:ind w:firstLine="420" w:firstLineChars="200"/>
        <w:rPr>
          <w:rFonts w:hint="eastAsia" w:asciiTheme="minorEastAsia" w:hAnsiTheme="minorEastAsia" w:eastAsiaTheme="minorEastAsia" w:cstheme="minorEastAsia"/>
          <w:color w:val="auto"/>
          <w:szCs w:val="21"/>
          <w:highlight w:val="none"/>
        </w:rPr>
      </w:pPr>
    </w:p>
    <w:p>
      <w:pPr>
        <w:snapToGrid w:val="0"/>
        <w:spacing w:line="34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自然人签字并在签名处加盖大拇指指印或个人CA签章：年月日</w:t>
      </w:r>
    </w:p>
    <w:p>
      <w:pPr>
        <w:pStyle w:val="13"/>
        <w:spacing w:line="400" w:lineRule="exact"/>
        <w:ind w:left="420" w:leftChars="200"/>
        <w:rPr>
          <w:rFonts w:hint="eastAsia" w:asciiTheme="minorEastAsia" w:hAnsiTheme="minorEastAsia" w:eastAsiaTheme="minorEastAsia" w:cstheme="minorEastAsia"/>
          <w:color w:val="auto"/>
          <w:szCs w:val="21"/>
          <w:highlight w:val="none"/>
        </w:rPr>
      </w:pPr>
    </w:p>
    <w:p>
      <w:pPr>
        <w:pStyle w:val="13"/>
        <w:spacing w:line="40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附：委托代理人身份证正反面扫描件</w:t>
      </w:r>
    </w:p>
    <w:p>
      <w:pPr>
        <w:rPr>
          <w:rFonts w:hint="eastAsia" w:asciiTheme="minorEastAsia" w:hAnsiTheme="minorEastAsia" w:eastAsiaTheme="minorEastAsia" w:cstheme="minorEastAsia"/>
          <w:b/>
          <w:color w:val="auto"/>
          <w:szCs w:val="21"/>
          <w:highlight w:val="none"/>
        </w:rPr>
      </w:pPr>
    </w:p>
    <w:p>
      <w:pPr>
        <w:pStyle w:val="11"/>
        <w:rPr>
          <w:rFonts w:hint="eastAsia" w:asciiTheme="minorEastAsia" w:hAnsiTheme="minorEastAsia" w:eastAsiaTheme="minorEastAsia" w:cstheme="minorEastAsia"/>
          <w:b/>
          <w:color w:val="auto"/>
          <w:szCs w:val="21"/>
          <w:highlight w:val="none"/>
        </w:rPr>
      </w:pPr>
    </w:p>
    <w:p>
      <w:pPr>
        <w:pStyle w:val="11"/>
        <w:rPr>
          <w:rFonts w:hint="eastAsia" w:asciiTheme="minorEastAsia" w:hAnsiTheme="minorEastAsia" w:eastAsiaTheme="minorEastAsia" w:cstheme="minorEastAsia"/>
          <w:b/>
          <w:color w:val="auto"/>
          <w:szCs w:val="21"/>
          <w:highlight w:val="none"/>
        </w:rPr>
      </w:pPr>
    </w:p>
    <w:p>
      <w:pPr>
        <w:pStyle w:val="11"/>
        <w:rPr>
          <w:rFonts w:hint="eastAsia" w:asciiTheme="minorEastAsia" w:hAnsiTheme="minorEastAsia" w:eastAsiaTheme="minorEastAsia" w:cstheme="minorEastAsia"/>
          <w:b/>
          <w:color w:val="auto"/>
          <w:szCs w:val="21"/>
          <w:highlight w:val="none"/>
        </w:rPr>
      </w:pPr>
    </w:p>
    <w:p>
      <w:pPr>
        <w:pStyle w:val="11"/>
        <w:rPr>
          <w:rFonts w:hint="eastAsia" w:asciiTheme="minorEastAsia" w:hAnsiTheme="minorEastAsia" w:eastAsiaTheme="minorEastAsia" w:cstheme="minorEastAsia"/>
          <w:b/>
          <w:color w:val="auto"/>
          <w:szCs w:val="21"/>
          <w:highlight w:val="none"/>
        </w:rPr>
      </w:pPr>
    </w:p>
    <w:p>
      <w:pPr>
        <w:pStyle w:val="11"/>
        <w:rPr>
          <w:rFonts w:hint="eastAsia" w:asciiTheme="minorEastAsia" w:hAnsiTheme="minorEastAsia" w:eastAsiaTheme="minorEastAsia" w:cstheme="minorEastAsia"/>
          <w:b/>
          <w:color w:val="auto"/>
          <w:szCs w:val="21"/>
          <w:highlight w:val="none"/>
        </w:rPr>
      </w:pPr>
    </w:p>
    <w:p>
      <w:pPr>
        <w:pStyle w:val="11"/>
        <w:rPr>
          <w:rFonts w:hint="eastAsia" w:asciiTheme="minorEastAsia" w:hAnsiTheme="minorEastAsia" w:eastAsiaTheme="minorEastAsia" w:cstheme="minorEastAsia"/>
          <w:b/>
          <w:color w:val="auto"/>
          <w:szCs w:val="21"/>
          <w:highlight w:val="none"/>
        </w:rPr>
      </w:pPr>
    </w:p>
    <w:p>
      <w:pPr>
        <w:pStyle w:val="11"/>
        <w:rPr>
          <w:rFonts w:hint="eastAsia" w:asciiTheme="minorEastAsia" w:hAnsiTheme="minorEastAsia" w:eastAsiaTheme="minorEastAsia" w:cstheme="minorEastAsia"/>
          <w:b/>
          <w:color w:val="auto"/>
          <w:szCs w:val="21"/>
          <w:highlight w:val="none"/>
        </w:rPr>
      </w:pPr>
    </w:p>
    <w:p>
      <w:pPr>
        <w:pStyle w:val="11"/>
        <w:rPr>
          <w:rFonts w:hint="eastAsia" w:asciiTheme="minorEastAsia" w:hAnsiTheme="minorEastAsia" w:eastAsiaTheme="minorEastAsia" w:cstheme="minorEastAsia"/>
          <w:b/>
          <w:color w:val="auto"/>
          <w:szCs w:val="21"/>
          <w:highlight w:val="none"/>
        </w:rPr>
      </w:pPr>
    </w:p>
    <w:p>
      <w:pPr>
        <w:pStyle w:val="11"/>
        <w:rPr>
          <w:rFonts w:hint="eastAsia" w:asciiTheme="minorEastAsia" w:hAnsiTheme="minorEastAsia" w:eastAsiaTheme="minorEastAsia" w:cstheme="minorEastAsia"/>
          <w:b/>
          <w:color w:val="auto"/>
          <w:szCs w:val="21"/>
          <w:highlight w:val="none"/>
        </w:rPr>
      </w:pPr>
    </w:p>
    <w:p>
      <w:pPr>
        <w:pStyle w:val="11"/>
        <w:rPr>
          <w:rFonts w:hint="eastAsia" w:asciiTheme="minorEastAsia" w:hAnsiTheme="minorEastAsia" w:eastAsiaTheme="minorEastAsia" w:cstheme="minorEastAsia"/>
          <w:b/>
          <w:color w:val="auto"/>
          <w:szCs w:val="21"/>
          <w:highlight w:val="none"/>
        </w:rPr>
      </w:pPr>
    </w:p>
    <w:p>
      <w:pPr>
        <w:pStyle w:val="11"/>
        <w:rPr>
          <w:rFonts w:hint="eastAsia" w:asciiTheme="minorEastAsia" w:hAnsiTheme="minorEastAsia" w:eastAsiaTheme="minorEastAsia" w:cstheme="minorEastAsia"/>
          <w:b/>
          <w:color w:val="auto"/>
          <w:szCs w:val="21"/>
          <w:highlight w:val="none"/>
        </w:rPr>
      </w:pPr>
    </w:p>
    <w:p>
      <w:pPr>
        <w:pStyle w:val="11"/>
        <w:rPr>
          <w:rFonts w:hint="eastAsia" w:asciiTheme="minorEastAsia" w:hAnsiTheme="minorEastAsia" w:eastAsiaTheme="minorEastAsia" w:cstheme="minorEastAsia"/>
          <w:b/>
          <w:color w:val="auto"/>
          <w:szCs w:val="21"/>
          <w:highlight w:val="none"/>
        </w:rPr>
      </w:pPr>
    </w:p>
    <w:p>
      <w:pPr>
        <w:pStyle w:val="11"/>
        <w:rPr>
          <w:rFonts w:hint="eastAsia" w:asciiTheme="minorEastAsia" w:hAnsiTheme="minorEastAsia" w:eastAsiaTheme="minorEastAsia" w:cstheme="minorEastAsia"/>
          <w:b/>
          <w:color w:val="auto"/>
          <w:szCs w:val="21"/>
          <w:highlight w:val="none"/>
        </w:rPr>
      </w:pPr>
    </w:p>
    <w:p>
      <w:pPr>
        <w:rPr>
          <w:rFonts w:hint="eastAsia" w:asciiTheme="minorEastAsia" w:hAnsiTheme="minorEastAsia" w:eastAsiaTheme="minorEastAsia" w:cstheme="minorEastAsia"/>
          <w:color w:val="auto"/>
          <w:highlight w:val="none"/>
        </w:rPr>
      </w:pPr>
    </w:p>
    <w:p>
      <w:pPr>
        <w:pStyle w:val="11"/>
        <w:rPr>
          <w:rFonts w:hint="eastAsia" w:asciiTheme="minorEastAsia" w:hAnsiTheme="minorEastAsia" w:eastAsiaTheme="minorEastAsia" w:cstheme="minorEastAsia"/>
          <w:b/>
          <w:color w:val="auto"/>
          <w:szCs w:val="21"/>
          <w:highlight w:val="none"/>
        </w:rPr>
      </w:pPr>
    </w:p>
    <w:p>
      <w:pPr>
        <w:rPr>
          <w:rFonts w:hint="eastAsia" w:asciiTheme="minorEastAsia" w:hAnsiTheme="minorEastAsia" w:eastAsiaTheme="minorEastAsia" w:cstheme="minorEastAsia"/>
          <w:b/>
          <w:color w:val="auto"/>
          <w:szCs w:val="21"/>
          <w:highlight w:val="none"/>
        </w:rPr>
      </w:pPr>
    </w:p>
    <w:p>
      <w:pPr>
        <w:pStyle w:val="3"/>
        <w:rPr>
          <w:rFonts w:hint="eastAsia" w:asciiTheme="minorEastAsia" w:hAnsiTheme="minorEastAsia" w:eastAsiaTheme="minorEastAsia" w:cstheme="minorEastAsia"/>
          <w:color w:val="auto"/>
          <w:highlight w:val="none"/>
        </w:rPr>
      </w:pPr>
    </w:p>
    <w:p>
      <w:pPr>
        <w:spacing w:line="440" w:lineRule="atLeast"/>
        <w:rPr>
          <w:rFonts w:hint="eastAsia" w:asciiTheme="minorEastAsia" w:hAnsiTheme="minorEastAsia" w:eastAsiaTheme="minorEastAsia" w:cstheme="minorEastAsia"/>
          <w:b/>
          <w:color w:val="auto"/>
          <w:sz w:val="28"/>
          <w:szCs w:val="28"/>
          <w:highlight w:val="none"/>
        </w:rPr>
      </w:pPr>
    </w:p>
    <w:p>
      <w:pPr>
        <w:numPr>
          <w:ilvl w:val="255"/>
          <w:numId w:val="0"/>
        </w:numPr>
        <w:spacing w:line="360" w:lineRule="auto"/>
        <w:rPr>
          <w:rFonts w:hint="eastAsia" w:asciiTheme="minorEastAsia" w:hAnsiTheme="minorEastAsia" w:eastAsiaTheme="minorEastAsia" w:cstheme="minorEastAsia"/>
          <w:b/>
          <w:color w:val="auto"/>
          <w:sz w:val="28"/>
          <w:szCs w:val="28"/>
          <w:highlight w:val="none"/>
        </w:rPr>
      </w:pPr>
    </w:p>
    <w:p>
      <w:pPr>
        <w:numPr>
          <w:ilvl w:val="255"/>
          <w:numId w:val="0"/>
        </w:numPr>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color w:val="auto"/>
          <w:sz w:val="28"/>
          <w:szCs w:val="28"/>
          <w:highlight w:val="none"/>
        </w:rPr>
        <w:t>3.</w:t>
      </w:r>
      <w:r>
        <w:rPr>
          <w:rFonts w:hint="eastAsia" w:asciiTheme="minorEastAsia" w:hAnsiTheme="minorEastAsia" w:eastAsiaTheme="minorEastAsia" w:cstheme="minorEastAsia"/>
          <w:b/>
          <w:bCs/>
          <w:color w:val="auto"/>
          <w:sz w:val="28"/>
          <w:szCs w:val="28"/>
          <w:highlight w:val="none"/>
        </w:rPr>
        <w:t>供应商参加政府采购活动前3年内在经营活动中没有重大违法记录及有关信用信息的书面声明或专项信用报告（必须提供）；</w:t>
      </w:r>
    </w:p>
    <w:p>
      <w:pPr>
        <w:pStyle w:val="13"/>
        <w:spacing w:line="340" w:lineRule="exact"/>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注：供应商为广西经营主体的，可通过信用中国(广西)网站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供应商根据注册地信用中国网站的要求获取。</w:t>
      </w:r>
    </w:p>
    <w:p>
      <w:pPr>
        <w:pStyle w:val="13"/>
        <w:spacing w:line="400" w:lineRule="exact"/>
        <w:ind w:left="420" w:leftChars="200" w:firstLine="156" w:firstLineChars="49"/>
        <w:rPr>
          <w:rFonts w:hint="eastAsia" w:asciiTheme="minorEastAsia" w:hAnsiTheme="minorEastAsia" w:eastAsiaTheme="minorEastAsia" w:cstheme="minorEastAsia"/>
          <w:b/>
          <w:color w:val="auto"/>
          <w:sz w:val="32"/>
          <w:szCs w:val="32"/>
          <w:highlight w:val="none"/>
        </w:rPr>
      </w:pPr>
    </w:p>
    <w:p>
      <w:pPr>
        <w:pStyle w:val="13"/>
        <w:spacing w:line="400" w:lineRule="exac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附件：</w:t>
      </w:r>
    </w:p>
    <w:p>
      <w:pPr>
        <w:pStyle w:val="13"/>
        <w:spacing w:line="400" w:lineRule="exact"/>
        <w:jc w:val="center"/>
        <w:rPr>
          <w:rFonts w:hint="eastAsia" w:asciiTheme="minorEastAsia" w:hAnsiTheme="minorEastAsia" w:eastAsiaTheme="minorEastAsia" w:cstheme="minorEastAsia"/>
          <w:b/>
          <w:color w:val="auto"/>
          <w:sz w:val="32"/>
          <w:szCs w:val="32"/>
          <w:highlight w:val="none"/>
        </w:rPr>
      </w:pPr>
      <w:bookmarkStart w:id="618" w:name="_Toc30890_WPSOffice_Level1"/>
      <w:bookmarkStart w:id="619" w:name="_Toc30304_WPSOffice_Level1"/>
      <w:r>
        <w:rPr>
          <w:rFonts w:hint="eastAsia" w:asciiTheme="minorEastAsia" w:hAnsiTheme="minorEastAsia" w:eastAsiaTheme="minorEastAsia" w:cstheme="minorEastAsia"/>
          <w:b/>
          <w:color w:val="auto"/>
          <w:sz w:val="32"/>
          <w:szCs w:val="32"/>
          <w:highlight w:val="none"/>
        </w:rPr>
        <w:t>声   明</w:t>
      </w:r>
      <w:bookmarkEnd w:id="618"/>
      <w:bookmarkEnd w:id="619"/>
    </w:p>
    <w:p>
      <w:pPr>
        <w:pStyle w:val="13"/>
        <w:spacing w:line="400" w:lineRule="exact"/>
        <w:rPr>
          <w:rFonts w:hint="eastAsia" w:asciiTheme="minorEastAsia" w:hAnsiTheme="minorEastAsia" w:eastAsiaTheme="minorEastAsia" w:cstheme="minorEastAsia"/>
          <w:b/>
          <w:color w:val="auto"/>
          <w:sz w:val="32"/>
          <w:szCs w:val="32"/>
          <w:highlight w:val="none"/>
        </w:rPr>
      </w:pPr>
    </w:p>
    <w:p>
      <w:pPr>
        <w:pStyle w:val="7"/>
        <w:rPr>
          <w:rFonts w:hint="eastAsia" w:asciiTheme="minorEastAsia" w:hAnsiTheme="minorEastAsia" w:eastAsiaTheme="minorEastAsia" w:cstheme="minorEastAsia"/>
          <w:color w:val="auto"/>
          <w:highlight w:val="none"/>
        </w:rPr>
      </w:pPr>
    </w:p>
    <w:p>
      <w:pPr>
        <w:pStyle w:val="13"/>
        <w:spacing w:line="400" w:lineRule="exac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b/>
          <w:color w:val="auto"/>
          <w:szCs w:val="21"/>
          <w:highlight w:val="none"/>
        </w:rPr>
        <w:t>致</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rPr>
        <w:t xml:space="preserve"> 桂林市政府集中采购中心 </w:t>
      </w:r>
    </w:p>
    <w:p>
      <w:pPr>
        <w:rPr>
          <w:rFonts w:hint="eastAsia" w:asciiTheme="minorEastAsia" w:hAnsiTheme="minorEastAsia" w:eastAsiaTheme="minorEastAsia" w:cstheme="minorEastAsia"/>
          <w:color w:val="auto"/>
          <w:szCs w:val="21"/>
          <w:highlight w:val="none"/>
          <w:u w:val="single"/>
        </w:rPr>
      </w:pPr>
    </w:p>
    <w:p>
      <w:pPr>
        <w:pStyle w:val="11"/>
        <w:rPr>
          <w:rFonts w:hint="eastAsia" w:asciiTheme="minorEastAsia" w:hAnsiTheme="minorEastAsia" w:eastAsiaTheme="minorEastAsia" w:cstheme="minorEastAsia"/>
          <w:color w:val="auto"/>
          <w:highlight w:val="none"/>
        </w:rPr>
      </w:pPr>
    </w:p>
    <w:p>
      <w:pPr>
        <w:pStyle w:val="13"/>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rPr>
          <w:rFonts w:hint="eastAsia" w:asciiTheme="minorEastAsia" w:hAnsiTheme="minorEastAsia" w:eastAsiaTheme="minorEastAsia" w:cstheme="minorEastAsia"/>
          <w:color w:val="auto"/>
          <w:highlight w:val="none"/>
        </w:rPr>
      </w:pPr>
    </w:p>
    <w:p>
      <w:pPr>
        <w:snapToGrid w:val="0"/>
        <w:spacing w:line="400" w:lineRule="exact"/>
        <w:ind w:firstLine="1890" w:firstLineChars="9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磋商供应商[公章(CA签章)，自然人签字或个人CA签章]：</w:t>
      </w:r>
    </w:p>
    <w:p>
      <w:pPr>
        <w:pStyle w:val="13"/>
        <w:ind w:firstLine="3990" w:firstLineChars="1900"/>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日          期：</w:t>
      </w:r>
    </w:p>
    <w:p>
      <w:pPr>
        <w:pStyle w:val="13"/>
        <w:spacing w:line="340" w:lineRule="exact"/>
        <w:rPr>
          <w:rFonts w:hint="eastAsia" w:asciiTheme="minorEastAsia" w:hAnsiTheme="minorEastAsia" w:eastAsiaTheme="minorEastAsia" w:cstheme="minorEastAsia"/>
          <w:b/>
          <w:color w:val="auto"/>
          <w:sz w:val="28"/>
          <w:szCs w:val="28"/>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4.供应商的法人或者其他组织营业执照等证明文件扫描件（必须提供，自然人除外）；</w:t>
      </w:r>
    </w:p>
    <w:p>
      <w:pPr>
        <w:tabs>
          <w:tab w:val="left" w:pos="1305"/>
        </w:tabs>
        <w:spacing w:line="340" w:lineRule="exact"/>
        <w:rPr>
          <w:rFonts w:hint="eastAsia" w:asciiTheme="minorEastAsia" w:hAnsiTheme="minorEastAsia" w:eastAsiaTheme="minorEastAsia" w:cstheme="minorEastAsia"/>
          <w:b/>
          <w:color w:val="auto"/>
          <w:szCs w:val="21"/>
          <w:highlight w:val="none"/>
        </w:rPr>
      </w:pPr>
    </w:p>
    <w:p>
      <w:pPr>
        <w:pStyle w:val="13"/>
        <w:spacing w:line="340" w:lineRule="exact"/>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注：供应商为企业（包括合伙企业），应提供市场监管部门（登记机关）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r>
        <w:rPr>
          <w:rFonts w:hint="eastAsia" w:asciiTheme="minorEastAsia" w:hAnsiTheme="minorEastAsia" w:eastAsiaTheme="minorEastAsia" w:cstheme="minorEastAsia"/>
          <w:b/>
          <w:bCs/>
          <w:color w:val="auto"/>
          <w:sz w:val="24"/>
          <w:szCs w:val="24"/>
          <w:highlight w:val="none"/>
        </w:rPr>
        <w:t>分支机构或分公司投标时，需提供具有法人资格的总公司的营业执照扫描件及授权书，授权书须加盖总公司的公章。总公司可就本项目在一定范围及时间内出具授权书。已由总公司授权的，总公司取得的相关资质证书对分支机构或分公司有效。</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highlight w:val="none"/>
        </w:rPr>
        <w:t>所需材料均为扫描件）</w:t>
      </w:r>
    </w:p>
    <w:p>
      <w:pPr>
        <w:pStyle w:val="7"/>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5.财务状况报告（格式自拟，必须提供）；</w:t>
      </w:r>
    </w:p>
    <w:p>
      <w:pPr>
        <w:pStyle w:val="7"/>
        <w:ind w:left="0"/>
        <w:rPr>
          <w:rFonts w:hint="eastAsia" w:asciiTheme="minorEastAsia" w:hAnsiTheme="minorEastAsia" w:eastAsiaTheme="minorEastAsia" w:cstheme="minorEastAsia"/>
          <w:b/>
          <w:color w:val="auto"/>
          <w:sz w:val="28"/>
          <w:szCs w:val="28"/>
          <w:highlight w:val="none"/>
        </w:rPr>
      </w:pPr>
    </w:p>
    <w:p>
      <w:pPr>
        <w:pStyle w:val="7"/>
        <w:ind w:left="0"/>
        <w:rPr>
          <w:rFonts w:hint="eastAsia" w:asciiTheme="minorEastAsia" w:hAnsiTheme="minorEastAsia" w:eastAsiaTheme="minorEastAsia" w:cstheme="minorEastAsia"/>
          <w:b/>
          <w:color w:val="auto"/>
          <w:sz w:val="28"/>
          <w:szCs w:val="28"/>
          <w:highlight w:val="none"/>
        </w:rPr>
      </w:pPr>
    </w:p>
    <w:p>
      <w:pPr>
        <w:pStyle w:val="7"/>
        <w:ind w:left="0"/>
        <w:rPr>
          <w:rFonts w:hint="eastAsia" w:asciiTheme="minorEastAsia" w:hAnsiTheme="minorEastAsia" w:eastAsiaTheme="minorEastAsia" w:cstheme="minorEastAsia"/>
          <w:b/>
          <w:color w:val="auto"/>
          <w:sz w:val="28"/>
          <w:szCs w:val="28"/>
          <w:highlight w:val="none"/>
        </w:rPr>
      </w:pPr>
    </w:p>
    <w:p>
      <w:pPr>
        <w:pStyle w:val="7"/>
        <w:ind w:left="0"/>
        <w:rPr>
          <w:rFonts w:hint="eastAsia" w:asciiTheme="minorEastAsia" w:hAnsiTheme="minorEastAsia" w:eastAsiaTheme="minorEastAsia" w:cstheme="minorEastAsia"/>
          <w:b/>
          <w:color w:val="auto"/>
          <w:sz w:val="28"/>
          <w:szCs w:val="28"/>
          <w:highlight w:val="none"/>
        </w:rPr>
      </w:pPr>
    </w:p>
    <w:p>
      <w:pPr>
        <w:pStyle w:val="7"/>
        <w:ind w:left="0"/>
        <w:rPr>
          <w:rFonts w:hint="eastAsia" w:asciiTheme="minorEastAsia" w:hAnsiTheme="minorEastAsia" w:eastAsiaTheme="minorEastAsia" w:cstheme="minorEastAsia"/>
          <w:b/>
          <w:color w:val="auto"/>
          <w:sz w:val="28"/>
          <w:szCs w:val="28"/>
          <w:highlight w:val="none"/>
        </w:rPr>
      </w:pPr>
    </w:p>
    <w:p>
      <w:pPr>
        <w:pStyle w:val="7"/>
        <w:ind w:left="0"/>
        <w:rPr>
          <w:rFonts w:hint="eastAsia" w:asciiTheme="minorEastAsia" w:hAnsiTheme="minorEastAsia" w:eastAsiaTheme="minorEastAsia" w:cstheme="minorEastAsia"/>
          <w:b/>
          <w:color w:val="auto"/>
          <w:sz w:val="28"/>
          <w:szCs w:val="28"/>
          <w:highlight w:val="none"/>
        </w:rPr>
      </w:pPr>
    </w:p>
    <w:p>
      <w:pPr>
        <w:pStyle w:val="7"/>
        <w:ind w:left="0"/>
        <w:rPr>
          <w:rFonts w:hint="eastAsia" w:asciiTheme="minorEastAsia" w:hAnsiTheme="minorEastAsia" w:eastAsiaTheme="minorEastAsia" w:cstheme="minorEastAsia"/>
          <w:b/>
          <w:color w:val="auto"/>
          <w:sz w:val="28"/>
          <w:szCs w:val="28"/>
          <w:highlight w:val="none"/>
        </w:rPr>
      </w:pPr>
    </w:p>
    <w:p>
      <w:pPr>
        <w:pStyle w:val="7"/>
        <w:ind w:left="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6.供应商在磋商当天前近半年内任意一个月或任一季度依法缴纳税收的证明材料（增值税发票(税收完税证明)或企业所得税完税证明或税务部门出具的免税证明或税务部门出具的无欠税证明）扫描件（必须提供）。</w:t>
      </w:r>
    </w:p>
    <w:p>
      <w:pPr>
        <w:pStyle w:val="13"/>
        <w:spacing w:line="340" w:lineRule="exact"/>
        <w:rPr>
          <w:rFonts w:hint="eastAsia" w:asciiTheme="minorEastAsia" w:hAnsiTheme="minorEastAsia" w:eastAsiaTheme="minorEastAsia" w:cstheme="minorEastAsia"/>
          <w:b/>
          <w:color w:val="auto"/>
          <w:sz w:val="28"/>
          <w:szCs w:val="28"/>
          <w:highlight w:val="none"/>
        </w:rPr>
      </w:pPr>
    </w:p>
    <w:p>
      <w:pPr>
        <w:pStyle w:val="7"/>
        <w:rPr>
          <w:rFonts w:hint="eastAsia" w:asciiTheme="minorEastAsia" w:hAnsiTheme="minorEastAsia" w:eastAsiaTheme="minorEastAsia" w:cstheme="minorEastAsia"/>
          <w:color w:val="auto"/>
          <w:highlight w:val="none"/>
        </w:rPr>
      </w:pPr>
    </w:p>
    <w:p>
      <w:pPr>
        <w:ind w:left="420"/>
        <w:jc w:val="center"/>
        <w:rPr>
          <w:rFonts w:hint="eastAsia" w:asciiTheme="minorEastAsia" w:hAnsiTheme="minorEastAsia" w:eastAsiaTheme="minorEastAsia" w:cstheme="minorEastAsia"/>
          <w:b/>
          <w:bCs/>
          <w:color w:val="auto"/>
          <w:sz w:val="32"/>
          <w:szCs w:val="32"/>
          <w:highlight w:val="none"/>
        </w:rPr>
      </w:pPr>
    </w:p>
    <w:p>
      <w:pPr>
        <w:rPr>
          <w:rFonts w:hint="eastAsia" w:asciiTheme="minorEastAsia" w:hAnsiTheme="minorEastAsia" w:eastAsiaTheme="minorEastAsia" w:cstheme="minorEastAsia"/>
          <w:color w:val="auto"/>
          <w:highlight w:val="none"/>
        </w:rPr>
      </w:pPr>
    </w:p>
    <w:p>
      <w:pPr>
        <w:ind w:left="420"/>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（二）符合性响应证明材料目录</w:t>
      </w:r>
    </w:p>
    <w:p>
      <w:pPr>
        <w:spacing w:line="360" w:lineRule="auto"/>
        <w:ind w:left="-60"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1．响应函</w:t>
      </w:r>
      <w:r>
        <w:rPr>
          <w:rFonts w:hint="eastAsia" w:asciiTheme="minorEastAsia" w:hAnsiTheme="minorEastAsia" w:eastAsiaTheme="minorEastAsia" w:cstheme="minorEastAsia"/>
          <w:b/>
          <w:bCs/>
          <w:color w:val="auto"/>
          <w:sz w:val="24"/>
          <w:highlight w:val="none"/>
        </w:rPr>
        <w:t>（格式见附件）（必须提供</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b/>
          <w:bCs/>
          <w:color w:val="auto"/>
          <w:sz w:val="24"/>
          <w:highlight w:val="none"/>
        </w:rPr>
        <w:t>；</w:t>
      </w:r>
    </w:p>
    <w:p>
      <w:pPr>
        <w:spacing w:line="360" w:lineRule="auto"/>
        <w:rPr>
          <w:rFonts w:hint="eastAsia" w:asciiTheme="minorEastAsia" w:hAnsiTheme="minorEastAsia" w:eastAsiaTheme="minorEastAsia" w:cstheme="minorEastAsia"/>
          <w:color w:val="auto"/>
          <w:sz w:val="24"/>
          <w:highlight w:val="none"/>
        </w:rPr>
      </w:pPr>
    </w:p>
    <w:p>
      <w:pPr>
        <w:spacing w:line="360" w:lineRule="auto"/>
        <w:ind w:left="-60" w:firstLine="48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2．磋商报价表</w:t>
      </w:r>
      <w:r>
        <w:rPr>
          <w:rFonts w:hint="eastAsia" w:asciiTheme="minorEastAsia" w:hAnsiTheme="minorEastAsia" w:eastAsiaTheme="minorEastAsia" w:cstheme="minorEastAsia"/>
          <w:b/>
          <w:bCs/>
          <w:color w:val="auto"/>
          <w:sz w:val="24"/>
          <w:highlight w:val="none"/>
        </w:rPr>
        <w:t>（格式见附件）（必须提供）；</w:t>
      </w:r>
    </w:p>
    <w:p>
      <w:pPr>
        <w:pStyle w:val="11"/>
        <w:rPr>
          <w:rFonts w:hint="eastAsia" w:asciiTheme="minorEastAsia" w:hAnsiTheme="minorEastAsia" w:eastAsiaTheme="minorEastAsia" w:cstheme="minorEastAsia"/>
          <w:color w:val="auto"/>
          <w:highlight w:val="none"/>
        </w:rPr>
      </w:pPr>
    </w:p>
    <w:p>
      <w:pPr>
        <w:tabs>
          <w:tab w:val="left" w:pos="1305"/>
        </w:tabs>
        <w:spacing w:line="360" w:lineRule="exact"/>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4"/>
          <w:highlight w:val="none"/>
        </w:rPr>
        <w:t>3.服务响应表</w:t>
      </w:r>
      <w:r>
        <w:rPr>
          <w:rFonts w:hint="eastAsia" w:asciiTheme="minorEastAsia" w:hAnsiTheme="minorEastAsia" w:eastAsiaTheme="minorEastAsia" w:cstheme="minorEastAsia"/>
          <w:b/>
          <w:bCs/>
          <w:color w:val="auto"/>
          <w:sz w:val="24"/>
          <w:highlight w:val="none"/>
        </w:rPr>
        <w:t>（格式见附件）（必须提供）</w:t>
      </w:r>
      <w:r>
        <w:rPr>
          <w:rFonts w:hint="eastAsia" w:asciiTheme="minorEastAsia" w:hAnsiTheme="minorEastAsia" w:eastAsiaTheme="minorEastAsia" w:cstheme="minorEastAsia"/>
          <w:bCs/>
          <w:color w:val="auto"/>
          <w:szCs w:val="21"/>
          <w:highlight w:val="none"/>
        </w:rPr>
        <w:t>；</w:t>
      </w:r>
    </w:p>
    <w:p>
      <w:pPr>
        <w:tabs>
          <w:tab w:val="left" w:pos="1305"/>
        </w:tabs>
        <w:spacing w:line="360" w:lineRule="exact"/>
        <w:ind w:firstLine="420" w:firstLineChars="200"/>
        <w:rPr>
          <w:rFonts w:hint="eastAsia" w:asciiTheme="minorEastAsia" w:hAnsiTheme="minorEastAsia" w:eastAsiaTheme="minorEastAsia" w:cstheme="minorEastAsia"/>
          <w:color w:val="auto"/>
          <w:szCs w:val="21"/>
          <w:highlight w:val="none"/>
        </w:rPr>
      </w:pPr>
    </w:p>
    <w:p>
      <w:pPr>
        <w:tabs>
          <w:tab w:val="left" w:pos="1305"/>
        </w:tabs>
        <w:spacing w:line="360" w:lineRule="exact"/>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4"/>
          <w:highlight w:val="none"/>
        </w:rPr>
        <w:t>4.商务响应表</w:t>
      </w:r>
      <w:r>
        <w:rPr>
          <w:rFonts w:hint="eastAsia" w:asciiTheme="minorEastAsia" w:hAnsiTheme="minorEastAsia" w:eastAsiaTheme="minorEastAsia" w:cstheme="minorEastAsia"/>
          <w:b/>
          <w:bCs/>
          <w:color w:val="auto"/>
          <w:sz w:val="24"/>
          <w:highlight w:val="none"/>
        </w:rPr>
        <w:t>（格式见附件）（必须提供）</w:t>
      </w:r>
      <w:r>
        <w:rPr>
          <w:rFonts w:hint="eastAsia" w:asciiTheme="minorEastAsia" w:hAnsiTheme="minorEastAsia" w:eastAsiaTheme="minorEastAsia" w:cstheme="minorEastAsia"/>
          <w:bCs/>
          <w:color w:val="auto"/>
          <w:szCs w:val="21"/>
          <w:highlight w:val="none"/>
        </w:rPr>
        <w:t>；</w:t>
      </w:r>
    </w:p>
    <w:p>
      <w:pPr>
        <w:pStyle w:val="11"/>
        <w:rPr>
          <w:rFonts w:hint="eastAsia" w:asciiTheme="minorEastAsia" w:hAnsiTheme="minorEastAsia" w:eastAsiaTheme="minorEastAsia" w:cstheme="minorEastAsia"/>
          <w:color w:val="auto"/>
          <w:highlight w:val="none"/>
        </w:rPr>
      </w:pP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5．服务承诺书（由供应商根据本项目采购需求、特点及供应商自身的处理能力自行编写，承诺书内容至少应包括“采购需求”的所有服务条款）</w:t>
      </w:r>
      <w:r>
        <w:rPr>
          <w:rFonts w:hint="eastAsia" w:asciiTheme="minorEastAsia" w:hAnsiTheme="minorEastAsia" w:eastAsiaTheme="minorEastAsia" w:cstheme="minorEastAsia"/>
          <w:b/>
          <w:bCs/>
          <w:color w:val="auto"/>
          <w:sz w:val="24"/>
          <w:highlight w:val="none"/>
        </w:rPr>
        <w:t>（格式见附件）（必须提供）；</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6．针对本项目的服务方案，含“信创云搬迁实施方案”、“机房配套设施改造方案”、“信创云运维方案”。</w:t>
      </w:r>
      <w:r>
        <w:rPr>
          <w:rFonts w:hint="eastAsia" w:asciiTheme="minorEastAsia" w:hAnsiTheme="minorEastAsia" w:eastAsiaTheme="minorEastAsia" w:cstheme="minorEastAsia"/>
          <w:b/>
          <w:bCs/>
          <w:color w:val="auto"/>
          <w:sz w:val="24"/>
          <w:highlight w:val="none"/>
        </w:rPr>
        <w:t>（格式见附件）（必须提供）。</w:t>
      </w:r>
    </w:p>
    <w:p>
      <w:pPr>
        <w:pStyle w:val="11"/>
        <w:rPr>
          <w:rFonts w:hint="eastAsia" w:asciiTheme="minorEastAsia" w:hAnsiTheme="minorEastAsia" w:eastAsiaTheme="minorEastAsia" w:cstheme="minorEastAsia"/>
          <w:color w:val="auto"/>
          <w:highlight w:val="none"/>
        </w:rPr>
      </w:pPr>
    </w:p>
    <w:p>
      <w:pPr>
        <w:pStyle w:val="33"/>
        <w:rPr>
          <w:rFonts w:hint="eastAsia" w:asciiTheme="minorEastAsia" w:hAnsiTheme="minorEastAsia" w:eastAsiaTheme="minorEastAsia" w:cstheme="minorEastAsia"/>
          <w:color w:val="auto"/>
          <w:highlight w:val="none"/>
        </w:rPr>
      </w:pPr>
    </w:p>
    <w:p>
      <w:pPr>
        <w:pStyle w:val="11"/>
        <w:rPr>
          <w:rFonts w:hint="eastAsia" w:asciiTheme="minorEastAsia" w:hAnsiTheme="minorEastAsia" w:eastAsiaTheme="minorEastAsia" w:cstheme="minorEastAsia"/>
          <w:color w:val="auto"/>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p>
    <w:p>
      <w:pPr>
        <w:rPr>
          <w:rFonts w:hint="eastAsia" w:asciiTheme="minorEastAsia" w:hAnsiTheme="minorEastAsia" w:eastAsiaTheme="minorEastAsia" w:cstheme="minorEastAsia"/>
          <w:b/>
          <w:color w:val="auto"/>
          <w:sz w:val="28"/>
          <w:szCs w:val="28"/>
          <w:highlight w:val="none"/>
        </w:rPr>
      </w:pPr>
    </w:p>
    <w:p>
      <w:pPr>
        <w:pStyle w:val="11"/>
        <w:rPr>
          <w:rFonts w:hint="eastAsia" w:asciiTheme="minorEastAsia" w:hAnsiTheme="minorEastAsia" w:eastAsiaTheme="minorEastAsia" w:cstheme="minorEastAsia"/>
          <w:color w:val="auto"/>
          <w:highlight w:val="none"/>
        </w:rPr>
      </w:pPr>
    </w:p>
    <w:p>
      <w:pPr>
        <w:spacing w:line="400" w:lineRule="exact"/>
        <w:rPr>
          <w:rFonts w:hint="eastAsia" w:asciiTheme="minorEastAsia" w:hAnsiTheme="minorEastAsia" w:eastAsiaTheme="minorEastAsia" w:cstheme="minorEastAsia"/>
          <w:b/>
          <w:bCs/>
          <w:color w:val="auto"/>
          <w:sz w:val="28"/>
          <w:szCs w:val="28"/>
          <w:highlight w:val="none"/>
        </w:rPr>
      </w:pPr>
      <w:bookmarkStart w:id="620" w:name="_Toc497927072"/>
      <w:bookmarkStart w:id="621" w:name="_Toc17617"/>
      <w:bookmarkStart w:id="622" w:name="_Toc12920"/>
      <w:r>
        <w:rPr>
          <w:rFonts w:hint="eastAsia" w:asciiTheme="minorEastAsia" w:hAnsiTheme="minorEastAsia" w:eastAsiaTheme="minorEastAsia" w:cstheme="minorEastAsia"/>
          <w:b/>
          <w:bCs/>
          <w:color w:val="auto"/>
          <w:sz w:val="28"/>
          <w:szCs w:val="28"/>
          <w:highlight w:val="none"/>
        </w:rPr>
        <w:t>1.响应函（格式见附件）（必须提供）</w:t>
      </w:r>
      <w:bookmarkEnd w:id="620"/>
      <w:bookmarkEnd w:id="621"/>
      <w:bookmarkEnd w:id="622"/>
      <w:r>
        <w:rPr>
          <w:rFonts w:hint="eastAsia" w:asciiTheme="minorEastAsia" w:hAnsiTheme="minorEastAsia" w:eastAsiaTheme="minorEastAsia" w:cstheme="minorEastAsia"/>
          <w:b/>
          <w:bCs/>
          <w:color w:val="auto"/>
          <w:sz w:val="28"/>
          <w:szCs w:val="28"/>
          <w:highlight w:val="none"/>
        </w:rPr>
        <w:t>；</w:t>
      </w:r>
    </w:p>
    <w:p>
      <w:pPr>
        <w:pStyle w:val="33"/>
        <w:rPr>
          <w:rFonts w:hint="eastAsia" w:asciiTheme="minorEastAsia" w:hAnsiTheme="minorEastAsia" w:eastAsiaTheme="minorEastAsia" w:cstheme="minorEastAsia"/>
          <w:color w:val="auto"/>
          <w:highlight w:val="none"/>
        </w:rPr>
      </w:pPr>
    </w:p>
    <w:p>
      <w:pPr>
        <w:pStyle w:val="13"/>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附件：</w:t>
      </w:r>
    </w:p>
    <w:p>
      <w:pPr>
        <w:pStyle w:val="13"/>
        <w:ind w:firstLine="800" w:firstLineChars="250"/>
        <w:jc w:val="center"/>
        <w:rPr>
          <w:rFonts w:hint="eastAsia" w:asciiTheme="minorEastAsia" w:hAnsiTheme="minorEastAsia" w:eastAsiaTheme="minorEastAsia" w:cstheme="minorEastAsia"/>
          <w:b/>
          <w:color w:val="auto"/>
          <w:sz w:val="32"/>
          <w:highlight w:val="none"/>
        </w:rPr>
      </w:pPr>
      <w:bookmarkStart w:id="623" w:name="_Toc7273_WPSOffice_Level1"/>
      <w:bookmarkStart w:id="624" w:name="_Toc17832_WPSOffice_Level1"/>
      <w:r>
        <w:rPr>
          <w:rFonts w:hint="eastAsia" w:asciiTheme="minorEastAsia" w:hAnsiTheme="minorEastAsia" w:eastAsiaTheme="minorEastAsia" w:cstheme="minorEastAsia"/>
          <w:b/>
          <w:color w:val="auto"/>
          <w:sz w:val="32"/>
          <w:highlight w:val="none"/>
        </w:rPr>
        <w:t>响 应 函 （格 式）</w:t>
      </w:r>
      <w:bookmarkEnd w:id="623"/>
      <w:bookmarkEnd w:id="624"/>
    </w:p>
    <w:p>
      <w:pPr>
        <w:spacing w:line="240" w:lineRule="exact"/>
        <w:jc w:val="center"/>
        <w:rPr>
          <w:rFonts w:hint="eastAsia" w:asciiTheme="minorEastAsia" w:hAnsiTheme="minorEastAsia" w:eastAsiaTheme="minorEastAsia" w:cstheme="minorEastAsia"/>
          <w:color w:val="auto"/>
          <w:sz w:val="32"/>
          <w:highlight w:val="none"/>
        </w:rPr>
      </w:pPr>
    </w:p>
    <w:p>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致</w:t>
      </w:r>
      <w:r>
        <w:rPr>
          <w:rFonts w:hint="eastAsia" w:asciiTheme="minorEastAsia" w:hAnsiTheme="minorEastAsia" w:eastAsiaTheme="minorEastAsia" w:cstheme="minorEastAsia"/>
          <w:color w:val="auto"/>
          <w:szCs w:val="21"/>
          <w:highlight w:val="none"/>
          <w:u w:val="single"/>
        </w:rPr>
        <w:t>：桂林市政府集中采购中心</w:t>
      </w:r>
    </w:p>
    <w:p>
      <w:pPr>
        <w:spacing w:line="400" w:lineRule="exact"/>
        <w:rPr>
          <w:rFonts w:hint="eastAsia" w:asciiTheme="minorEastAsia" w:hAnsiTheme="minorEastAsia" w:eastAsiaTheme="minorEastAsia" w:cstheme="minorEastAsia"/>
          <w:color w:val="auto"/>
          <w:szCs w:val="21"/>
          <w:highlight w:val="none"/>
        </w:rPr>
      </w:pPr>
    </w:p>
    <w:p>
      <w:pPr>
        <w:pStyle w:val="13"/>
        <w:spacing w:line="36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根据贵方项目竞争性磋商文件，项目编号：</w:t>
      </w:r>
      <w:r>
        <w:rPr>
          <w:rFonts w:hint="eastAsia" w:asciiTheme="minorEastAsia" w:hAnsiTheme="minorEastAsia" w:eastAsiaTheme="minorEastAsia" w:cstheme="minorEastAsia"/>
          <w:color w:val="auto"/>
          <w:szCs w:val="21"/>
          <w:highlight w:val="none"/>
        </w:rPr>
        <w:t>，签字代表</w:t>
      </w:r>
      <w:r>
        <w:rPr>
          <w:rFonts w:hint="eastAsia" w:asciiTheme="minorEastAsia" w:hAnsiTheme="minorEastAsia" w:eastAsiaTheme="minorEastAsia" w:cstheme="minorEastAsia"/>
          <w:color w:val="auto"/>
          <w:highlight w:val="none"/>
        </w:rPr>
        <w:t xml:space="preserve">（姓名）经正式授权并代表供应商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供应商单位名称），提交电子响应文件。</w:t>
      </w:r>
    </w:p>
    <w:p>
      <w:pPr>
        <w:pStyle w:val="13"/>
        <w:spacing w:line="36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据此函，签字代表宣布同意如下：</w:t>
      </w:r>
    </w:p>
    <w:p>
      <w:pPr>
        <w:pStyle w:val="13"/>
        <w:spacing w:line="36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 按磋商文件采购需求和磋商报价表：</w:t>
      </w:r>
    </w:p>
    <w:p>
      <w:pPr>
        <w:pStyle w:val="13"/>
        <w:spacing w:line="36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磋商总报价（大写）元人民币(￥)。</w:t>
      </w:r>
    </w:p>
    <w:p>
      <w:pPr>
        <w:pStyle w:val="13"/>
        <w:spacing w:line="36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2.我方承诺已具备磋商文件规定的供应商资格条件。</w:t>
      </w:r>
    </w:p>
    <w:p>
      <w:pPr>
        <w:pStyle w:val="13"/>
        <w:spacing w:line="36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3.我方已详细审核磋商文件，包括修改文件（如有的话）和有关附件，将自行承担因对全部磋商文件理解不正确或误解而产生的相应后果。</w:t>
      </w:r>
    </w:p>
    <w:p>
      <w:pPr>
        <w:pStyle w:val="13"/>
        <w:spacing w:line="36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 响应文件有效期为</w:t>
      </w:r>
      <w:r>
        <w:rPr>
          <w:rFonts w:hint="eastAsia" w:asciiTheme="minorEastAsia" w:hAnsiTheme="minorEastAsia" w:eastAsiaTheme="minorEastAsia" w:cstheme="minorEastAsia"/>
          <w:color w:val="auto"/>
          <w:szCs w:val="21"/>
          <w:highlight w:val="none"/>
        </w:rPr>
        <w:t>响应文件递交截止时间之日起90天。</w:t>
      </w:r>
    </w:p>
    <w:p>
      <w:pPr>
        <w:pStyle w:val="13"/>
        <w:spacing w:line="36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 如我方成交：</w:t>
      </w:r>
    </w:p>
    <w:p>
      <w:pPr>
        <w:pStyle w:val="13"/>
        <w:spacing w:line="36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（1）我方承诺在收到成交通知书后，在成交通知书规定的期限内与采购人签订合同。</w:t>
      </w:r>
    </w:p>
    <w:p>
      <w:pPr>
        <w:pStyle w:val="13"/>
        <w:spacing w:line="36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（2）我方承诺按照磋商文件规定递交履约担保。</w:t>
      </w:r>
    </w:p>
    <w:p>
      <w:pPr>
        <w:pStyle w:val="13"/>
        <w:spacing w:line="36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（3）我方承诺本响应文件至本项目合同履行完毕止均保持有效，按磋商文件及政府采购法律、法规的规定履行合同责任和义务。</w:t>
      </w:r>
    </w:p>
    <w:p>
      <w:pPr>
        <w:pStyle w:val="13"/>
        <w:spacing w:line="36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与本项目有关的正式通讯地址为：</w:t>
      </w:r>
    </w:p>
    <w:p>
      <w:pPr>
        <w:rPr>
          <w:rFonts w:hint="eastAsia" w:asciiTheme="minorEastAsia" w:hAnsiTheme="minorEastAsia" w:eastAsiaTheme="minorEastAsia" w:cstheme="minorEastAsia"/>
          <w:color w:val="auto"/>
          <w:szCs w:val="21"/>
          <w:highlight w:val="none"/>
        </w:rPr>
      </w:pPr>
    </w:p>
    <w:p>
      <w:pPr>
        <w:pStyle w:val="13"/>
        <w:spacing w:line="320" w:lineRule="exact"/>
        <w:ind w:firstLine="42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地址： 邮编：  电话、传真：</w:t>
      </w:r>
    </w:p>
    <w:p>
      <w:pPr>
        <w:pStyle w:val="13"/>
        <w:spacing w:line="32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开户名称：</w:t>
      </w:r>
    </w:p>
    <w:p>
      <w:pPr>
        <w:pStyle w:val="13"/>
        <w:spacing w:line="32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开户银行：</w:t>
      </w:r>
      <w:r>
        <w:rPr>
          <w:rFonts w:hint="eastAsia" w:asciiTheme="minorEastAsia" w:hAnsiTheme="minorEastAsia" w:eastAsiaTheme="minorEastAsia" w:cstheme="minorEastAsia"/>
          <w:color w:val="auto"/>
          <w:szCs w:val="21"/>
          <w:highlight w:val="none"/>
          <w:u w:val="single"/>
        </w:rPr>
        <w:t xml:space="preserve">                               　       </w:t>
      </w:r>
    </w:p>
    <w:p>
      <w:pPr>
        <w:pStyle w:val="13"/>
        <w:spacing w:line="32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账号：</w:t>
      </w:r>
      <w:r>
        <w:rPr>
          <w:rFonts w:hint="eastAsia" w:asciiTheme="minorEastAsia" w:hAnsiTheme="minorEastAsia" w:eastAsiaTheme="minorEastAsia" w:cstheme="minorEastAsia"/>
          <w:color w:val="auto"/>
          <w:szCs w:val="21"/>
          <w:highlight w:val="none"/>
          <w:u w:val="single"/>
        </w:rPr>
        <w:t xml:space="preserve">                                   　　　   </w:t>
      </w:r>
    </w:p>
    <w:p>
      <w:pPr>
        <w:pStyle w:val="13"/>
        <w:spacing w:line="320" w:lineRule="exact"/>
        <w:ind w:firstLine="420"/>
        <w:rPr>
          <w:rFonts w:hint="eastAsia"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bCs/>
          <w:color w:val="auto"/>
          <w:szCs w:val="21"/>
          <w:highlight w:val="none"/>
        </w:rPr>
        <w:t>供应商[公章(CA签章)、自然人除外]：</w:t>
      </w:r>
    </w:p>
    <w:p>
      <w:pPr>
        <w:pStyle w:val="13"/>
        <w:spacing w:line="320" w:lineRule="exact"/>
        <w:ind w:firstLine="42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法定代表人、负责人、自然人或相应的委托代理人签字[或盖章(CA签章)]（属自然人的应在签名处加盖大拇指指印或个人CA签章）：</w:t>
      </w:r>
    </w:p>
    <w:p>
      <w:pPr>
        <w:pStyle w:val="13"/>
        <w:spacing w:line="320" w:lineRule="exact"/>
        <w:ind w:firstLine="42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bCs/>
          <w:color w:val="auto"/>
          <w:szCs w:val="21"/>
          <w:highlight w:val="none"/>
        </w:rPr>
        <w:t>响应</w:t>
      </w:r>
      <w:r>
        <w:rPr>
          <w:rFonts w:hint="eastAsia" w:asciiTheme="minorEastAsia" w:hAnsiTheme="minorEastAsia" w:eastAsiaTheme="minorEastAsia" w:cstheme="minorEastAsia"/>
          <w:color w:val="auto"/>
          <w:szCs w:val="21"/>
          <w:highlight w:val="none"/>
        </w:rPr>
        <w:t>日期：</w:t>
      </w:r>
    </w:p>
    <w:p>
      <w:pPr>
        <w:pStyle w:val="7"/>
        <w:rPr>
          <w:rFonts w:hint="eastAsia" w:asciiTheme="minorEastAsia" w:hAnsiTheme="minorEastAsia" w:eastAsiaTheme="minorEastAsia" w:cstheme="minorEastAsia"/>
          <w:color w:val="auto"/>
          <w:szCs w:val="21"/>
          <w:highlight w:val="none"/>
          <w:u w:val="single"/>
        </w:rPr>
      </w:pPr>
    </w:p>
    <w:p>
      <w:pPr>
        <w:rPr>
          <w:rFonts w:hint="eastAsia" w:asciiTheme="minorEastAsia" w:hAnsiTheme="minorEastAsia" w:eastAsiaTheme="minorEastAsia" w:cstheme="minorEastAsia"/>
          <w:color w:val="auto"/>
          <w:szCs w:val="21"/>
          <w:highlight w:val="none"/>
          <w:u w:val="single"/>
        </w:rPr>
      </w:pPr>
    </w:p>
    <w:p>
      <w:pPr>
        <w:pStyle w:val="4"/>
        <w:rPr>
          <w:rFonts w:hint="eastAsia" w:asciiTheme="minorEastAsia" w:hAnsiTheme="minorEastAsia" w:eastAsiaTheme="minorEastAsia" w:cstheme="minorEastAsia"/>
          <w:color w:val="auto"/>
          <w:sz w:val="21"/>
          <w:szCs w:val="21"/>
          <w:highlight w:val="none"/>
          <w:u w:val="single"/>
        </w:rPr>
      </w:pPr>
    </w:p>
    <w:p>
      <w:pPr>
        <w:rPr>
          <w:rFonts w:hint="eastAsia" w:asciiTheme="minorEastAsia" w:hAnsiTheme="minorEastAsia" w:eastAsiaTheme="minorEastAsia" w:cstheme="minorEastAsia"/>
          <w:color w:val="auto"/>
          <w:szCs w:val="21"/>
          <w:highlight w:val="none"/>
          <w:u w:val="single"/>
        </w:rPr>
      </w:pPr>
    </w:p>
    <w:p>
      <w:pPr>
        <w:pStyle w:val="4"/>
        <w:ind w:left="0" w:firstLine="0"/>
        <w:rPr>
          <w:rFonts w:hint="eastAsia" w:asciiTheme="minorEastAsia" w:hAnsiTheme="minorEastAsia" w:eastAsiaTheme="minorEastAsia" w:cstheme="minorEastAsia"/>
          <w:color w:val="auto"/>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p>
    <w:p>
      <w:pPr>
        <w:pStyle w:val="13"/>
        <w:spacing w:line="34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szCs w:val="28"/>
          <w:highlight w:val="none"/>
        </w:rPr>
        <w:t>2. 磋商报价表（必须提供）；</w:t>
      </w:r>
    </w:p>
    <w:p>
      <w:pPr>
        <w:pStyle w:val="13"/>
        <w:spacing w:line="320" w:lineRule="exact"/>
        <w:jc w:val="left"/>
        <w:rPr>
          <w:rFonts w:hint="eastAsia" w:asciiTheme="minorEastAsia" w:hAnsiTheme="minorEastAsia" w:eastAsiaTheme="minorEastAsia" w:cstheme="minorEastAsia"/>
          <w:b/>
          <w:color w:val="auto"/>
          <w:sz w:val="28"/>
          <w:szCs w:val="28"/>
          <w:highlight w:val="none"/>
        </w:rPr>
      </w:pPr>
    </w:p>
    <w:p>
      <w:pPr>
        <w:pStyle w:val="7"/>
        <w:ind w:lef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30"/>
          <w:szCs w:val="30"/>
          <w:highlight w:val="none"/>
        </w:rPr>
        <w:t>附件：</w:t>
      </w:r>
    </w:p>
    <w:p>
      <w:pPr>
        <w:pStyle w:val="13"/>
        <w:spacing w:line="480" w:lineRule="exact"/>
        <w:ind w:left="420"/>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磋商报价表（格式）</w:t>
      </w:r>
    </w:p>
    <w:p>
      <w:pPr>
        <w:pStyle w:val="7"/>
        <w:rPr>
          <w:rFonts w:hint="eastAsia" w:asciiTheme="minorEastAsia" w:hAnsiTheme="minorEastAsia" w:eastAsiaTheme="minorEastAsia" w:cstheme="minorEastAsia"/>
          <w:color w:val="auto"/>
          <w:highlight w:val="none"/>
        </w:rPr>
      </w:pPr>
    </w:p>
    <w:tbl>
      <w:tblPr>
        <w:tblStyle w:val="24"/>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1985"/>
        <w:gridCol w:w="1325"/>
        <w:gridCol w:w="780"/>
        <w:gridCol w:w="855"/>
        <w:gridCol w:w="810"/>
        <w:gridCol w:w="1785"/>
        <w:gridCol w:w="17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26" w:type="dxa"/>
            <w:tcBorders>
              <w:top w:val="single" w:color="auto" w:sz="4" w:space="0"/>
              <w:bottom w:val="single" w:color="auto" w:sz="4" w:space="0"/>
              <w:right w:val="single" w:color="auto" w:sz="4" w:space="0"/>
            </w:tcBorders>
            <w:noWrap/>
            <w:vAlign w:val="center"/>
          </w:tcPr>
          <w:p>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项号</w:t>
            </w:r>
          </w:p>
        </w:tc>
        <w:tc>
          <w:tcPr>
            <w:tcW w:w="1985" w:type="dxa"/>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采购内容名称</w:t>
            </w:r>
          </w:p>
        </w:tc>
        <w:tc>
          <w:tcPr>
            <w:tcW w:w="132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服务内容及承诺</w:t>
            </w:r>
          </w:p>
        </w:tc>
        <w:tc>
          <w:tcPr>
            <w:tcW w:w="78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数量①</w:t>
            </w:r>
          </w:p>
        </w:tc>
        <w:tc>
          <w:tcPr>
            <w:tcW w:w="85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w:t>
            </w:r>
          </w:p>
        </w:tc>
        <w:tc>
          <w:tcPr>
            <w:tcW w:w="81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单价②</w:t>
            </w:r>
          </w:p>
        </w:tc>
        <w:tc>
          <w:tcPr>
            <w:tcW w:w="178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单项合计=数量×单价</w:t>
            </w:r>
          </w:p>
          <w:p>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③=</w:t>
            </w:r>
            <w:r>
              <w:rPr>
                <w:rFonts w:hint="eastAsia" w:asciiTheme="minorEastAsia" w:hAnsiTheme="minorEastAsia" w:eastAsiaTheme="minorEastAsia" w:cstheme="minorEastAsia"/>
                <w:color w:val="auto"/>
                <w:szCs w:val="21"/>
                <w:highlight w:val="none"/>
              </w:rPr>
              <w:t>①</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Cs w:val="21"/>
                <w:highlight w:val="none"/>
              </w:rPr>
              <w:t>②</w:t>
            </w:r>
          </w:p>
        </w:tc>
        <w:tc>
          <w:tcPr>
            <w:tcW w:w="1710" w:type="dxa"/>
            <w:tcBorders>
              <w:top w:val="single" w:color="auto" w:sz="4" w:space="0"/>
              <w:bottom w:val="single" w:color="auto" w:sz="4" w:space="0"/>
            </w:tcBorders>
            <w:noWrap/>
            <w:vAlign w:val="center"/>
          </w:tcPr>
          <w:p>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9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信创云搬迁</w:t>
            </w:r>
          </w:p>
        </w:tc>
        <w:tc>
          <w:tcPr>
            <w:tcW w:w="132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Theme="minorEastAsia" w:hAnsiTheme="minorEastAsia" w:eastAsiaTheme="minorEastAsia" w:cstheme="minorEastAsia"/>
                <w:b/>
                <w:bCs/>
                <w:color w:val="auto"/>
                <w:szCs w:val="21"/>
                <w:highlight w:val="none"/>
              </w:rPr>
            </w:pPr>
          </w:p>
        </w:tc>
        <w:tc>
          <w:tcPr>
            <w:tcW w:w="1710" w:type="dxa"/>
            <w:tcBorders>
              <w:top w:val="single" w:color="auto" w:sz="4" w:space="0"/>
              <w:bottom w:val="single" w:color="auto" w:sz="4" w:space="0"/>
            </w:tcBorders>
            <w:noWrap/>
            <w:vAlign w:val="center"/>
          </w:tcPr>
          <w:p>
            <w:pPr>
              <w:spacing w:line="300" w:lineRule="exact"/>
              <w:jc w:val="center"/>
              <w:rPr>
                <w:rFonts w:hint="eastAsia" w:asciiTheme="minorEastAsia" w:hAnsiTheme="minorEastAsia" w:eastAsiaTheme="minorEastAsia" w:cstheme="minorEastAsi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19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机房配套设施改造</w:t>
            </w:r>
          </w:p>
        </w:tc>
        <w:tc>
          <w:tcPr>
            <w:tcW w:w="132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Theme="minorEastAsia" w:hAnsiTheme="minorEastAsia" w:eastAsiaTheme="minorEastAsia" w:cstheme="minorEastAsia"/>
                <w:b/>
                <w:bCs/>
                <w:color w:val="auto"/>
                <w:szCs w:val="21"/>
                <w:highlight w:val="none"/>
              </w:rPr>
            </w:pPr>
          </w:p>
        </w:tc>
        <w:tc>
          <w:tcPr>
            <w:tcW w:w="1710" w:type="dxa"/>
            <w:tcBorders>
              <w:top w:val="single" w:color="auto" w:sz="4" w:space="0"/>
              <w:bottom w:val="single" w:color="auto" w:sz="4" w:space="0"/>
            </w:tcBorders>
            <w:noWrap/>
            <w:vAlign w:val="center"/>
          </w:tcPr>
          <w:p>
            <w:pPr>
              <w:spacing w:line="300" w:lineRule="exact"/>
              <w:jc w:val="center"/>
              <w:rPr>
                <w:rFonts w:hint="eastAsia" w:asciiTheme="minorEastAsia" w:hAnsiTheme="minorEastAsia" w:eastAsiaTheme="minorEastAsia" w:cstheme="minorEastAsi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19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信创云运维</w:t>
            </w:r>
          </w:p>
        </w:tc>
        <w:tc>
          <w:tcPr>
            <w:tcW w:w="132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Theme="minorEastAsia" w:hAnsiTheme="minorEastAsia" w:eastAsiaTheme="minorEastAsia" w:cstheme="minorEastAsia"/>
                <w:b/>
                <w:bCs/>
                <w:color w:val="auto"/>
                <w:szCs w:val="21"/>
                <w:highlight w:val="none"/>
              </w:rPr>
            </w:pPr>
          </w:p>
        </w:tc>
        <w:tc>
          <w:tcPr>
            <w:tcW w:w="1710" w:type="dxa"/>
            <w:tcBorders>
              <w:top w:val="single" w:color="auto" w:sz="4" w:space="0"/>
              <w:bottom w:val="single" w:color="auto" w:sz="4" w:space="0"/>
            </w:tcBorders>
            <w:noWrap/>
            <w:vAlign w:val="center"/>
          </w:tcPr>
          <w:p>
            <w:pPr>
              <w:spacing w:line="300" w:lineRule="exact"/>
              <w:jc w:val="center"/>
              <w:rPr>
                <w:rFonts w:hint="eastAsia" w:asciiTheme="minorEastAsia" w:hAnsiTheme="minorEastAsia" w:eastAsiaTheme="minorEastAsia" w:cstheme="minorEastAsi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9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Theme="minorEastAsia" w:hAnsiTheme="minorEastAsia" w:eastAsiaTheme="minorEastAsia" w:cstheme="minorEastAsia"/>
                <w:color w:val="auto"/>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Theme="minorEastAsia" w:hAnsiTheme="minorEastAsia" w:eastAsiaTheme="minorEastAsia" w:cstheme="minorEastAsia"/>
                <w:b/>
                <w:bCs/>
                <w:color w:val="auto"/>
                <w:szCs w:val="21"/>
                <w:highlight w:val="none"/>
              </w:rPr>
            </w:pPr>
          </w:p>
        </w:tc>
        <w:tc>
          <w:tcPr>
            <w:tcW w:w="1710" w:type="dxa"/>
            <w:tcBorders>
              <w:top w:val="single" w:color="auto" w:sz="4" w:space="0"/>
              <w:bottom w:val="single" w:color="auto" w:sz="4" w:space="0"/>
            </w:tcBorders>
            <w:noWrap/>
            <w:vAlign w:val="center"/>
          </w:tcPr>
          <w:p>
            <w:pPr>
              <w:spacing w:line="300" w:lineRule="exact"/>
              <w:jc w:val="center"/>
              <w:rPr>
                <w:rFonts w:hint="eastAsia" w:asciiTheme="minorEastAsia" w:hAnsiTheme="minorEastAsia" w:eastAsiaTheme="minorEastAsia" w:cstheme="minorEastAsi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9676" w:type="dxa"/>
            <w:gridSpan w:val="8"/>
            <w:tcBorders>
              <w:top w:val="single" w:color="auto" w:sz="4" w:space="0"/>
              <w:bottom w:val="single" w:color="auto" w:sz="4" w:space="0"/>
            </w:tcBorders>
            <w:noWrap/>
            <w:vAlign w:val="center"/>
          </w:tcPr>
          <w:p>
            <w:pPr>
              <w:spacing w:line="300" w:lineRule="exact"/>
              <w:rPr>
                <w:rFonts w:hint="eastAsia"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pacing w:val="-6"/>
                <w:szCs w:val="21"/>
                <w:highlight w:val="none"/>
              </w:rPr>
              <w:t>磋商总报价（大写）：人民币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1" w:hRule="atLeast"/>
        </w:trPr>
        <w:tc>
          <w:tcPr>
            <w:tcW w:w="9676" w:type="dxa"/>
            <w:gridSpan w:val="8"/>
            <w:tcBorders>
              <w:top w:val="single" w:color="auto" w:sz="4" w:space="0"/>
              <w:bottom w:val="single" w:color="auto" w:sz="4" w:space="0"/>
            </w:tcBorders>
            <w:noWrap/>
            <w:vAlign w:val="center"/>
          </w:tcPr>
          <w:p>
            <w:pPr>
              <w:spacing w:line="3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说明：</w:t>
            </w:r>
            <w:r>
              <w:rPr>
                <w:rFonts w:hint="eastAsia" w:asciiTheme="minorEastAsia" w:hAnsiTheme="minorEastAsia" w:eastAsiaTheme="minorEastAsia" w:cstheme="minorEastAsia"/>
                <w:color w:val="auto"/>
                <w:spacing w:val="-6"/>
                <w:szCs w:val="21"/>
                <w:highlight w:val="none"/>
              </w:rPr>
              <w:t>磋商</w:t>
            </w:r>
            <w:r>
              <w:rPr>
                <w:rFonts w:hint="eastAsia" w:asciiTheme="minorEastAsia" w:hAnsiTheme="minorEastAsia" w:eastAsiaTheme="minorEastAsia" w:cstheme="minorEastAsia"/>
                <w:color w:val="auto"/>
                <w:szCs w:val="21"/>
                <w:highlight w:val="none"/>
              </w:rPr>
              <w:t>报价包括服务过程中相关的一切费用,包含服务过程中的人工、物料、交通、税费、利润等一切费用；供应商综合考虑在报价中。</w:t>
            </w:r>
          </w:p>
        </w:tc>
      </w:tr>
    </w:tbl>
    <w:p>
      <w:pPr>
        <w:spacing w:line="340" w:lineRule="exact"/>
        <w:ind w:firstLine="0" w:firstLineChars="0"/>
        <w:rPr>
          <w:rFonts w:hint="eastAsia" w:asciiTheme="minorEastAsia" w:hAnsiTheme="minorEastAsia" w:eastAsiaTheme="minorEastAsia" w:cstheme="minorEastAsia"/>
          <w:color w:val="auto"/>
          <w:szCs w:val="21"/>
          <w:highlight w:val="none"/>
        </w:rPr>
      </w:pPr>
    </w:p>
    <w:p>
      <w:pPr>
        <w:spacing w:line="340" w:lineRule="exact"/>
        <w:ind w:firstLine="0" w:firstLineChars="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供应商（CA签章，自然人除外）：</w:t>
      </w:r>
    </w:p>
    <w:p>
      <w:pPr>
        <w:spacing w:line="340" w:lineRule="exac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highlight w:val="none"/>
        </w:rPr>
        <w:t>法定代表人、负责人、自然人或相应的委托代理人签字或个人CA签章（属自然人的应在签名处加盖食指指印或个人CA签章）：</w:t>
      </w:r>
    </w:p>
    <w:p>
      <w:pPr>
        <w:tabs>
          <w:tab w:val="left" w:pos="1305"/>
        </w:tabs>
        <w:spacing w:line="340" w:lineRule="exact"/>
        <w:rPr>
          <w:rFonts w:hint="eastAsia" w:asciiTheme="minorEastAsia" w:hAnsiTheme="minorEastAsia" w:eastAsiaTheme="minorEastAsia" w:cstheme="minorEastAsia"/>
          <w:bCs/>
          <w:color w:val="auto"/>
          <w:szCs w:val="21"/>
          <w:highlight w:val="none"/>
        </w:rPr>
      </w:pPr>
    </w:p>
    <w:p>
      <w:pPr>
        <w:tabs>
          <w:tab w:val="left" w:pos="1305"/>
        </w:tabs>
        <w:spacing w:line="24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
          <w:bCs w:val="0"/>
          <w:color w:val="auto"/>
          <w:szCs w:val="21"/>
          <w:highlight w:val="none"/>
        </w:rPr>
        <w:t>注：</w:t>
      </w:r>
      <w:r>
        <w:rPr>
          <w:rFonts w:hint="eastAsia" w:asciiTheme="minorEastAsia" w:hAnsiTheme="minorEastAsia" w:eastAsiaTheme="minorEastAsia" w:cstheme="minorEastAsia"/>
          <w:bCs/>
          <w:color w:val="auto"/>
          <w:szCs w:val="21"/>
          <w:highlight w:val="none"/>
        </w:rPr>
        <w:t>1.各</w:t>
      </w:r>
      <w:r>
        <w:rPr>
          <w:rFonts w:hint="eastAsia" w:asciiTheme="minorEastAsia" w:hAnsiTheme="minorEastAsia" w:eastAsiaTheme="minorEastAsia" w:cstheme="minorEastAsia"/>
          <w:color w:val="auto"/>
          <w:szCs w:val="21"/>
          <w:highlight w:val="none"/>
        </w:rPr>
        <w:t>供应商必须就“采购需求”中所投分标的所有内容作完整唯一报价，否则，其投标将被拒绝。投标文件只允许有一个报价。</w:t>
      </w:r>
    </w:p>
    <w:p>
      <w:pPr>
        <w:pStyle w:val="13"/>
        <w:spacing w:line="24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2.供应商应根据所投项目如实填写投标报价表</w:t>
      </w:r>
      <w:r>
        <w:rPr>
          <w:rFonts w:hint="eastAsia" w:asciiTheme="minorEastAsia" w:hAnsiTheme="minorEastAsia" w:eastAsiaTheme="minorEastAsia" w:cstheme="minorEastAsia"/>
          <w:bCs/>
          <w:color w:val="auto"/>
          <w:szCs w:val="21"/>
          <w:highlight w:val="none"/>
        </w:rPr>
        <w:t>的各项内容。</w:t>
      </w:r>
    </w:p>
    <w:p>
      <w:pPr>
        <w:spacing w:line="24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highlight w:val="none"/>
        </w:rPr>
        <w:t>磋商报价表须由法定代表人负责人、自然人或相应的委托代理人签字或个人CA签章（属自然人的应在签名处加盖食指指印或个人CA签章）并加盖供应商CA签章（自然人除外）。</w:t>
      </w:r>
      <w:r>
        <w:rPr>
          <w:rFonts w:hint="eastAsia" w:asciiTheme="minorEastAsia" w:hAnsiTheme="minorEastAsia" w:eastAsiaTheme="minorEastAsia" w:cstheme="minorEastAsia"/>
          <w:b/>
          <w:color w:val="auto"/>
          <w:highlight w:val="none"/>
        </w:rPr>
        <w:t>当本表由多页构成时，需逐页加盖供应商公章（属自然人的须逐页签字或个人CA签章）</w:t>
      </w:r>
    </w:p>
    <w:p>
      <w:pPr>
        <w:pStyle w:val="13"/>
        <w:spacing w:line="240" w:lineRule="auto"/>
        <w:ind w:left="0"/>
        <w:jc w:val="left"/>
        <w:rPr>
          <w:rFonts w:hint="eastAsia" w:asciiTheme="minorEastAsia" w:hAnsiTheme="minorEastAsia" w:eastAsiaTheme="minorEastAsia" w:cstheme="minorEastAsia"/>
          <w:color w:val="auto"/>
          <w:highlight w:val="none"/>
          <w:lang w:val="en-US" w:eastAsia="zh-CN"/>
        </w:rPr>
        <w:sectPr>
          <w:footerReference r:id="rId7" w:type="default"/>
          <w:pgSz w:w="11906" w:h="16838"/>
          <w:pgMar w:top="1440" w:right="935" w:bottom="1440" w:left="777" w:header="851" w:footer="992" w:gutter="0"/>
          <w:pgNumType w:fmt="numberInDash" w:start="1"/>
          <w:cols w:space="720" w:num="1"/>
          <w:docGrid w:type="linesAndChars" w:linePitch="312" w:charSpace="0"/>
        </w:sectPr>
      </w:pP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b/>
          <w:bCs/>
          <w:color w:val="auto"/>
          <w:highlight w:val="none"/>
          <w:lang w:val="en-US" w:eastAsia="zh-CN"/>
        </w:rPr>
        <w:t xml:space="preserve"> 4.</w:t>
      </w:r>
      <w:r>
        <w:rPr>
          <w:rFonts w:hint="eastAsia" w:asciiTheme="minorEastAsia" w:hAnsiTheme="minorEastAsia" w:eastAsiaTheme="minorEastAsia" w:cstheme="minorEastAsia"/>
          <w:b/>
          <w:bCs/>
          <w:color w:val="auto"/>
          <w:szCs w:val="21"/>
          <w:highlight w:val="none"/>
        </w:rPr>
        <w:t>磋商报价表附表（机房配套设施改造）</w:t>
      </w:r>
      <w:r>
        <w:rPr>
          <w:rFonts w:hint="eastAsia" w:asciiTheme="minorEastAsia" w:hAnsiTheme="minorEastAsia" w:eastAsiaTheme="minorEastAsia" w:cstheme="minorEastAsia"/>
          <w:b/>
          <w:bCs/>
          <w:color w:val="auto"/>
          <w:spacing w:val="-6"/>
          <w:szCs w:val="21"/>
          <w:highlight w:val="none"/>
        </w:rPr>
        <w:t>分项总报价</w:t>
      </w:r>
      <w:r>
        <w:rPr>
          <w:rFonts w:hint="eastAsia" w:asciiTheme="minorEastAsia" w:hAnsiTheme="minorEastAsia" w:eastAsiaTheme="minorEastAsia" w:cstheme="minorEastAsia"/>
          <w:b/>
          <w:bCs/>
          <w:color w:val="auto"/>
          <w:spacing w:val="-6"/>
          <w:szCs w:val="21"/>
          <w:highlight w:val="none"/>
          <w:lang w:eastAsia="zh-CN"/>
        </w:rPr>
        <w:t>须与</w:t>
      </w:r>
      <w:r>
        <w:rPr>
          <w:rFonts w:hint="eastAsia" w:asciiTheme="minorEastAsia" w:hAnsiTheme="minorEastAsia" w:eastAsiaTheme="minorEastAsia" w:cstheme="minorEastAsia"/>
          <w:b/>
          <w:bCs/>
          <w:color w:val="auto"/>
          <w:szCs w:val="21"/>
          <w:highlight w:val="none"/>
        </w:rPr>
        <w:t>磋商报价表</w:t>
      </w:r>
      <w:r>
        <w:rPr>
          <w:rFonts w:hint="eastAsia" w:asciiTheme="minorEastAsia" w:hAnsiTheme="minorEastAsia" w:eastAsiaTheme="minorEastAsia" w:cstheme="minorEastAsia"/>
          <w:b/>
          <w:bCs/>
          <w:color w:val="auto"/>
          <w:szCs w:val="21"/>
          <w:highlight w:val="none"/>
          <w:lang w:eastAsia="zh-CN"/>
        </w:rPr>
        <w:t>中</w:t>
      </w:r>
      <w:r>
        <w:rPr>
          <w:rFonts w:hint="eastAsia" w:asciiTheme="minorEastAsia" w:hAnsiTheme="minorEastAsia" w:eastAsiaTheme="minorEastAsia" w:cstheme="minorEastAsia"/>
          <w:b/>
          <w:bCs/>
          <w:color w:val="auto"/>
          <w:szCs w:val="21"/>
          <w:highlight w:val="none"/>
        </w:rPr>
        <w:t>机房配套设施改造</w:t>
      </w:r>
      <w:r>
        <w:rPr>
          <w:rFonts w:hint="eastAsia" w:asciiTheme="minorEastAsia" w:hAnsiTheme="minorEastAsia" w:eastAsiaTheme="minorEastAsia" w:cstheme="minorEastAsia"/>
          <w:b/>
          <w:bCs/>
          <w:color w:val="auto"/>
          <w:szCs w:val="21"/>
          <w:highlight w:val="none"/>
          <w:lang w:eastAsia="zh-CN"/>
        </w:rPr>
        <w:t>的单项合计报价一致。</w:t>
      </w:r>
    </w:p>
    <w:p>
      <w:pPr>
        <w:spacing w:line="340" w:lineRule="exact"/>
        <w:jc w:val="both"/>
        <w:rPr>
          <w:rFonts w:hint="eastAsia" w:asciiTheme="minorEastAsia" w:hAnsiTheme="minorEastAsia" w:eastAsiaTheme="minorEastAsia" w:cstheme="minorEastAsia"/>
          <w:b/>
          <w:bCs/>
          <w:color w:val="auto"/>
          <w:szCs w:val="21"/>
          <w:highlight w:val="none"/>
        </w:rPr>
      </w:pPr>
    </w:p>
    <w:p>
      <w:pPr>
        <w:spacing w:line="340" w:lineRule="exact"/>
        <w:jc w:val="center"/>
        <w:rPr>
          <w:rFonts w:hint="eastAsia" w:asciiTheme="minorEastAsia" w:hAnsiTheme="minorEastAsia" w:eastAsiaTheme="minorEastAsia" w:cstheme="minorEastAsia"/>
          <w:b/>
          <w:bCs/>
          <w:color w:val="auto"/>
          <w:szCs w:val="21"/>
          <w:highlight w:val="none"/>
        </w:rPr>
      </w:pPr>
    </w:p>
    <w:p>
      <w:pPr>
        <w:spacing w:line="34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磋商报价表附表（机房配套设施改造）</w:t>
      </w:r>
    </w:p>
    <w:tbl>
      <w:tblPr>
        <w:tblStyle w:val="24"/>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1937"/>
        <w:gridCol w:w="1373"/>
        <w:gridCol w:w="780"/>
        <w:gridCol w:w="855"/>
        <w:gridCol w:w="810"/>
        <w:gridCol w:w="1785"/>
        <w:gridCol w:w="17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26" w:type="dxa"/>
            <w:tcBorders>
              <w:top w:val="single" w:color="auto" w:sz="4" w:space="0"/>
              <w:bottom w:val="single" w:color="auto" w:sz="4" w:space="0"/>
              <w:right w:val="single" w:color="auto" w:sz="4" w:space="0"/>
            </w:tcBorders>
            <w:noWrap/>
            <w:vAlign w:val="center"/>
          </w:tcPr>
          <w:p>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项号</w:t>
            </w:r>
          </w:p>
        </w:tc>
        <w:tc>
          <w:tcPr>
            <w:tcW w:w="1937" w:type="dxa"/>
            <w:tcBorders>
              <w:top w:val="single" w:color="auto" w:sz="4" w:space="0"/>
              <w:left w:val="single" w:color="auto" w:sz="4" w:space="0"/>
              <w:bottom w:val="single" w:color="auto" w:sz="4" w:space="0"/>
              <w:right w:val="single" w:color="auto" w:sz="4" w:space="0"/>
            </w:tcBorders>
            <w:noWrap/>
            <w:vAlign w:val="center"/>
          </w:tcPr>
          <w:p>
            <w:pPr>
              <w:spacing w:line="28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采购内容名称</w:t>
            </w:r>
          </w:p>
        </w:tc>
        <w:tc>
          <w:tcPr>
            <w:tcW w:w="137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品牌、型号、技术参数及性能(配置)</w:t>
            </w:r>
          </w:p>
        </w:tc>
        <w:tc>
          <w:tcPr>
            <w:tcW w:w="78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数量①</w:t>
            </w:r>
          </w:p>
        </w:tc>
        <w:tc>
          <w:tcPr>
            <w:tcW w:w="85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w:t>
            </w:r>
          </w:p>
        </w:tc>
        <w:tc>
          <w:tcPr>
            <w:tcW w:w="81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单价②</w:t>
            </w:r>
          </w:p>
        </w:tc>
        <w:tc>
          <w:tcPr>
            <w:tcW w:w="178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单项合计=数量×单价</w:t>
            </w:r>
          </w:p>
          <w:p>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③=</w:t>
            </w:r>
            <w:r>
              <w:rPr>
                <w:rFonts w:hint="eastAsia" w:asciiTheme="minorEastAsia" w:hAnsiTheme="minorEastAsia" w:eastAsiaTheme="minorEastAsia" w:cstheme="minorEastAsia"/>
                <w:color w:val="auto"/>
                <w:szCs w:val="21"/>
                <w:highlight w:val="none"/>
              </w:rPr>
              <w:t>①</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Cs w:val="21"/>
                <w:highlight w:val="none"/>
              </w:rPr>
              <w:t>②</w:t>
            </w:r>
          </w:p>
        </w:tc>
        <w:tc>
          <w:tcPr>
            <w:tcW w:w="1710" w:type="dxa"/>
            <w:tcBorders>
              <w:top w:val="single" w:color="auto" w:sz="4" w:space="0"/>
              <w:bottom w:val="single" w:color="auto" w:sz="4" w:space="0"/>
            </w:tcBorders>
            <w:noWrap/>
            <w:vAlign w:val="center"/>
          </w:tcPr>
          <w:p>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exact"/>
        </w:trPr>
        <w:tc>
          <w:tcPr>
            <w:tcW w:w="426" w:type="dxa"/>
            <w:tcBorders>
              <w:top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93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UPS主机</w:t>
            </w:r>
          </w:p>
        </w:tc>
        <w:tc>
          <w:tcPr>
            <w:tcW w:w="137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85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台</w:t>
            </w:r>
          </w:p>
        </w:tc>
        <w:tc>
          <w:tcPr>
            <w:tcW w:w="81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Theme="minorEastAsia" w:hAnsiTheme="minorEastAsia" w:eastAsiaTheme="minorEastAsia" w:cstheme="minorEastAsia"/>
                <w:b/>
                <w:bCs/>
                <w:color w:val="auto"/>
                <w:szCs w:val="21"/>
                <w:highlight w:val="none"/>
              </w:rPr>
            </w:pPr>
          </w:p>
        </w:tc>
        <w:tc>
          <w:tcPr>
            <w:tcW w:w="1710" w:type="dxa"/>
            <w:tcBorders>
              <w:top w:val="single" w:color="auto" w:sz="4" w:space="0"/>
              <w:bottom w:val="single" w:color="auto" w:sz="4" w:space="0"/>
            </w:tcBorders>
            <w:noWrap/>
            <w:vAlign w:val="center"/>
          </w:tcPr>
          <w:p>
            <w:pPr>
              <w:spacing w:line="300" w:lineRule="exact"/>
              <w:jc w:val="center"/>
              <w:rPr>
                <w:rFonts w:hint="eastAsia" w:asciiTheme="minorEastAsia" w:hAnsiTheme="minorEastAsia" w:eastAsiaTheme="minorEastAsia" w:cstheme="minorEastAsi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193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UPS电池</w:t>
            </w:r>
          </w:p>
        </w:tc>
        <w:tc>
          <w:tcPr>
            <w:tcW w:w="137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128</w:t>
            </w:r>
          </w:p>
        </w:tc>
        <w:tc>
          <w:tcPr>
            <w:tcW w:w="85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块</w:t>
            </w:r>
          </w:p>
        </w:tc>
        <w:tc>
          <w:tcPr>
            <w:tcW w:w="81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Theme="minorEastAsia" w:hAnsiTheme="minorEastAsia" w:eastAsiaTheme="minorEastAsia" w:cstheme="minorEastAsia"/>
                <w:b/>
                <w:bCs/>
                <w:color w:val="auto"/>
                <w:szCs w:val="21"/>
                <w:highlight w:val="none"/>
              </w:rPr>
            </w:pPr>
          </w:p>
        </w:tc>
        <w:tc>
          <w:tcPr>
            <w:tcW w:w="1710" w:type="dxa"/>
            <w:tcBorders>
              <w:top w:val="single" w:color="auto" w:sz="4" w:space="0"/>
              <w:bottom w:val="single" w:color="auto" w:sz="4" w:space="0"/>
            </w:tcBorders>
            <w:noWrap/>
            <w:vAlign w:val="center"/>
          </w:tcPr>
          <w:p>
            <w:pPr>
              <w:spacing w:line="300" w:lineRule="exact"/>
              <w:jc w:val="center"/>
              <w:rPr>
                <w:rFonts w:hint="eastAsia" w:asciiTheme="minorEastAsia" w:hAnsiTheme="minorEastAsia" w:eastAsiaTheme="minorEastAsia" w:cstheme="minorEastAsi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26" w:type="dxa"/>
            <w:tcBorders>
              <w:top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193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4"/>
              <w:spacing w:line="24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电缆1(国标4×120+1×70平方电缆)</w:t>
            </w:r>
          </w:p>
        </w:tc>
        <w:tc>
          <w:tcPr>
            <w:tcW w:w="137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120</w:t>
            </w:r>
          </w:p>
        </w:tc>
        <w:tc>
          <w:tcPr>
            <w:tcW w:w="85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米</w:t>
            </w:r>
          </w:p>
        </w:tc>
        <w:tc>
          <w:tcPr>
            <w:tcW w:w="81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Theme="minorEastAsia" w:hAnsiTheme="minorEastAsia" w:eastAsiaTheme="minorEastAsia" w:cstheme="minorEastAsia"/>
                <w:b/>
                <w:bCs/>
                <w:color w:val="auto"/>
                <w:szCs w:val="21"/>
                <w:highlight w:val="none"/>
              </w:rPr>
            </w:pPr>
          </w:p>
        </w:tc>
        <w:tc>
          <w:tcPr>
            <w:tcW w:w="1710" w:type="dxa"/>
            <w:tcBorders>
              <w:top w:val="single" w:color="auto" w:sz="4" w:space="0"/>
              <w:bottom w:val="single" w:color="auto" w:sz="4" w:space="0"/>
            </w:tcBorders>
            <w:noWrap/>
            <w:vAlign w:val="center"/>
          </w:tcPr>
          <w:p>
            <w:pPr>
              <w:spacing w:line="300" w:lineRule="exact"/>
              <w:jc w:val="center"/>
              <w:rPr>
                <w:rFonts w:hint="eastAsia" w:asciiTheme="minorEastAsia" w:hAnsiTheme="minorEastAsia" w:eastAsiaTheme="minorEastAsia" w:cstheme="minorEastAsi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exact"/>
        </w:trPr>
        <w:tc>
          <w:tcPr>
            <w:tcW w:w="426" w:type="dxa"/>
            <w:tcBorders>
              <w:top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193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4"/>
              <w:spacing w:line="24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电缆2(国标4×25+1×16平方电缆)</w:t>
            </w:r>
          </w:p>
        </w:tc>
        <w:tc>
          <w:tcPr>
            <w:tcW w:w="137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100</w:t>
            </w:r>
          </w:p>
        </w:tc>
        <w:tc>
          <w:tcPr>
            <w:tcW w:w="85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米</w:t>
            </w:r>
          </w:p>
        </w:tc>
        <w:tc>
          <w:tcPr>
            <w:tcW w:w="81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Theme="minorEastAsia" w:hAnsiTheme="minorEastAsia" w:eastAsiaTheme="minorEastAsia" w:cstheme="minorEastAsia"/>
                <w:b/>
                <w:bCs/>
                <w:color w:val="auto"/>
                <w:szCs w:val="21"/>
                <w:highlight w:val="none"/>
              </w:rPr>
            </w:pPr>
          </w:p>
        </w:tc>
        <w:tc>
          <w:tcPr>
            <w:tcW w:w="1710" w:type="dxa"/>
            <w:tcBorders>
              <w:top w:val="single" w:color="auto" w:sz="4" w:space="0"/>
              <w:bottom w:val="single" w:color="auto" w:sz="4" w:space="0"/>
            </w:tcBorders>
            <w:noWrap/>
            <w:vAlign w:val="center"/>
          </w:tcPr>
          <w:p>
            <w:pPr>
              <w:spacing w:line="300" w:lineRule="exact"/>
              <w:jc w:val="center"/>
              <w:rPr>
                <w:rFonts w:hint="eastAsia" w:asciiTheme="minorEastAsia" w:hAnsiTheme="minorEastAsia" w:eastAsiaTheme="minorEastAsia" w:cstheme="minorEastAsi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193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4"/>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防浪涌保护器1</w:t>
            </w:r>
          </w:p>
        </w:tc>
        <w:tc>
          <w:tcPr>
            <w:tcW w:w="137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85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套</w:t>
            </w:r>
          </w:p>
        </w:tc>
        <w:tc>
          <w:tcPr>
            <w:tcW w:w="81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Theme="minorEastAsia" w:hAnsiTheme="minorEastAsia" w:eastAsiaTheme="minorEastAsia" w:cstheme="minorEastAsia"/>
                <w:b/>
                <w:bCs/>
                <w:color w:val="auto"/>
                <w:szCs w:val="21"/>
                <w:highlight w:val="none"/>
              </w:rPr>
            </w:pPr>
          </w:p>
        </w:tc>
        <w:tc>
          <w:tcPr>
            <w:tcW w:w="1710" w:type="dxa"/>
            <w:tcBorders>
              <w:top w:val="single" w:color="auto" w:sz="4" w:space="0"/>
              <w:bottom w:val="single" w:color="auto" w:sz="4" w:space="0"/>
            </w:tcBorders>
            <w:noWrap/>
            <w:vAlign w:val="center"/>
          </w:tcPr>
          <w:p>
            <w:pPr>
              <w:spacing w:line="300" w:lineRule="exact"/>
              <w:jc w:val="center"/>
              <w:rPr>
                <w:rFonts w:hint="eastAsia" w:asciiTheme="minorEastAsia" w:hAnsiTheme="minorEastAsia" w:eastAsiaTheme="minorEastAsia" w:cstheme="minorEastAsi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193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4"/>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防浪涌保护器2</w:t>
            </w:r>
          </w:p>
        </w:tc>
        <w:tc>
          <w:tcPr>
            <w:tcW w:w="137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85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套</w:t>
            </w:r>
          </w:p>
        </w:tc>
        <w:tc>
          <w:tcPr>
            <w:tcW w:w="81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Theme="minorEastAsia" w:hAnsiTheme="minorEastAsia" w:eastAsiaTheme="minorEastAsia" w:cstheme="minorEastAsia"/>
                <w:b/>
                <w:bCs/>
                <w:color w:val="auto"/>
                <w:szCs w:val="21"/>
                <w:highlight w:val="none"/>
              </w:rPr>
            </w:pPr>
          </w:p>
        </w:tc>
        <w:tc>
          <w:tcPr>
            <w:tcW w:w="1710" w:type="dxa"/>
            <w:tcBorders>
              <w:top w:val="single" w:color="auto" w:sz="4" w:space="0"/>
              <w:bottom w:val="single" w:color="auto" w:sz="4" w:space="0"/>
            </w:tcBorders>
            <w:noWrap/>
            <w:vAlign w:val="center"/>
          </w:tcPr>
          <w:p>
            <w:pPr>
              <w:spacing w:line="300" w:lineRule="exact"/>
              <w:jc w:val="center"/>
              <w:rPr>
                <w:rFonts w:hint="eastAsia" w:asciiTheme="minorEastAsia" w:hAnsiTheme="minorEastAsia" w:eastAsiaTheme="minorEastAsia" w:cstheme="minorEastAsi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p>
        </w:tc>
        <w:tc>
          <w:tcPr>
            <w:tcW w:w="193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4"/>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电量仪</w:t>
            </w:r>
          </w:p>
        </w:tc>
        <w:tc>
          <w:tcPr>
            <w:tcW w:w="137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w:t>
            </w:r>
          </w:p>
        </w:tc>
        <w:tc>
          <w:tcPr>
            <w:tcW w:w="85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套</w:t>
            </w:r>
          </w:p>
        </w:tc>
        <w:tc>
          <w:tcPr>
            <w:tcW w:w="81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Theme="minorEastAsia" w:hAnsiTheme="minorEastAsia" w:eastAsiaTheme="minorEastAsia" w:cstheme="minorEastAsia"/>
                <w:b/>
                <w:bCs/>
                <w:color w:val="auto"/>
                <w:szCs w:val="21"/>
                <w:highlight w:val="none"/>
              </w:rPr>
            </w:pPr>
          </w:p>
        </w:tc>
        <w:tc>
          <w:tcPr>
            <w:tcW w:w="1710" w:type="dxa"/>
            <w:tcBorders>
              <w:top w:val="single" w:color="auto" w:sz="4" w:space="0"/>
              <w:bottom w:val="single" w:color="auto" w:sz="4" w:space="0"/>
            </w:tcBorders>
            <w:noWrap/>
            <w:vAlign w:val="center"/>
          </w:tcPr>
          <w:p>
            <w:pPr>
              <w:spacing w:line="300" w:lineRule="exact"/>
              <w:jc w:val="center"/>
              <w:rPr>
                <w:rFonts w:hint="eastAsia" w:asciiTheme="minorEastAsia" w:hAnsiTheme="minorEastAsia" w:eastAsiaTheme="minorEastAsia" w:cstheme="minorEastAsi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w:t>
            </w:r>
          </w:p>
        </w:tc>
        <w:tc>
          <w:tcPr>
            <w:tcW w:w="193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4"/>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电流互感器</w:t>
            </w:r>
          </w:p>
        </w:tc>
        <w:tc>
          <w:tcPr>
            <w:tcW w:w="137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w:t>
            </w:r>
          </w:p>
        </w:tc>
        <w:tc>
          <w:tcPr>
            <w:tcW w:w="85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个</w:t>
            </w:r>
          </w:p>
        </w:tc>
        <w:tc>
          <w:tcPr>
            <w:tcW w:w="81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Theme="minorEastAsia" w:hAnsiTheme="minorEastAsia" w:eastAsiaTheme="minorEastAsia" w:cstheme="minorEastAsia"/>
                <w:b/>
                <w:bCs/>
                <w:color w:val="auto"/>
                <w:szCs w:val="21"/>
                <w:highlight w:val="none"/>
              </w:rPr>
            </w:pPr>
          </w:p>
        </w:tc>
        <w:tc>
          <w:tcPr>
            <w:tcW w:w="1710" w:type="dxa"/>
            <w:tcBorders>
              <w:top w:val="single" w:color="auto" w:sz="4" w:space="0"/>
              <w:bottom w:val="single" w:color="auto" w:sz="4" w:space="0"/>
            </w:tcBorders>
            <w:noWrap/>
            <w:vAlign w:val="center"/>
          </w:tcPr>
          <w:p>
            <w:pPr>
              <w:spacing w:line="300" w:lineRule="exact"/>
              <w:jc w:val="center"/>
              <w:rPr>
                <w:rFonts w:hint="eastAsia" w:asciiTheme="minorEastAsia" w:hAnsiTheme="minorEastAsia" w:eastAsiaTheme="minorEastAsia" w:cstheme="minorEastAsi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w:t>
            </w:r>
          </w:p>
        </w:tc>
        <w:tc>
          <w:tcPr>
            <w:tcW w:w="193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4"/>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直流空开</w:t>
            </w:r>
          </w:p>
        </w:tc>
        <w:tc>
          <w:tcPr>
            <w:tcW w:w="137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85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只</w:t>
            </w:r>
          </w:p>
        </w:tc>
        <w:tc>
          <w:tcPr>
            <w:tcW w:w="81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Theme="minorEastAsia" w:hAnsiTheme="minorEastAsia" w:eastAsiaTheme="minorEastAsia" w:cstheme="minorEastAsia"/>
                <w:b/>
                <w:bCs/>
                <w:color w:val="auto"/>
                <w:szCs w:val="21"/>
                <w:highlight w:val="none"/>
              </w:rPr>
            </w:pPr>
          </w:p>
        </w:tc>
        <w:tc>
          <w:tcPr>
            <w:tcW w:w="1710" w:type="dxa"/>
            <w:tcBorders>
              <w:top w:val="single" w:color="auto" w:sz="4" w:space="0"/>
              <w:bottom w:val="single" w:color="auto" w:sz="4" w:space="0"/>
            </w:tcBorders>
            <w:noWrap/>
            <w:vAlign w:val="center"/>
          </w:tcPr>
          <w:p>
            <w:pPr>
              <w:spacing w:line="300" w:lineRule="exact"/>
              <w:jc w:val="center"/>
              <w:rPr>
                <w:rFonts w:hint="eastAsia" w:asciiTheme="minorEastAsia" w:hAnsiTheme="minorEastAsia" w:eastAsiaTheme="minorEastAsia" w:cstheme="minorEastAsi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2" w:hRule="exact"/>
        </w:trPr>
        <w:tc>
          <w:tcPr>
            <w:tcW w:w="426" w:type="dxa"/>
            <w:tcBorders>
              <w:top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w:t>
            </w:r>
          </w:p>
        </w:tc>
        <w:tc>
          <w:tcPr>
            <w:tcW w:w="193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4"/>
              <w:spacing w:line="24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电缆3(1×150平方电缆)</w:t>
            </w:r>
          </w:p>
        </w:tc>
        <w:tc>
          <w:tcPr>
            <w:tcW w:w="137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150</w:t>
            </w:r>
          </w:p>
        </w:tc>
        <w:tc>
          <w:tcPr>
            <w:tcW w:w="85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米</w:t>
            </w:r>
          </w:p>
        </w:tc>
        <w:tc>
          <w:tcPr>
            <w:tcW w:w="81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Theme="minorEastAsia" w:hAnsiTheme="minorEastAsia" w:eastAsiaTheme="minorEastAsia" w:cstheme="minorEastAsia"/>
                <w:b/>
                <w:bCs/>
                <w:color w:val="auto"/>
                <w:szCs w:val="21"/>
                <w:highlight w:val="none"/>
              </w:rPr>
            </w:pPr>
          </w:p>
        </w:tc>
        <w:tc>
          <w:tcPr>
            <w:tcW w:w="1710" w:type="dxa"/>
            <w:tcBorders>
              <w:top w:val="single" w:color="auto" w:sz="4" w:space="0"/>
              <w:bottom w:val="single" w:color="auto" w:sz="4" w:space="0"/>
            </w:tcBorders>
            <w:noWrap/>
            <w:vAlign w:val="center"/>
          </w:tcPr>
          <w:p>
            <w:pPr>
              <w:spacing w:line="300" w:lineRule="exact"/>
              <w:jc w:val="center"/>
              <w:rPr>
                <w:rFonts w:hint="eastAsia" w:asciiTheme="minorEastAsia" w:hAnsiTheme="minorEastAsia" w:eastAsiaTheme="minorEastAsia" w:cstheme="minorEastAsi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w:t>
            </w:r>
          </w:p>
        </w:tc>
        <w:tc>
          <w:tcPr>
            <w:tcW w:w="193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4"/>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配电柜</w:t>
            </w:r>
          </w:p>
        </w:tc>
        <w:tc>
          <w:tcPr>
            <w:tcW w:w="137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85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只</w:t>
            </w:r>
          </w:p>
        </w:tc>
        <w:tc>
          <w:tcPr>
            <w:tcW w:w="81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Theme="minorEastAsia" w:hAnsiTheme="minorEastAsia" w:eastAsiaTheme="minorEastAsia" w:cstheme="minorEastAsia"/>
                <w:b/>
                <w:bCs/>
                <w:color w:val="auto"/>
                <w:szCs w:val="21"/>
                <w:highlight w:val="none"/>
              </w:rPr>
            </w:pPr>
          </w:p>
        </w:tc>
        <w:tc>
          <w:tcPr>
            <w:tcW w:w="1710" w:type="dxa"/>
            <w:tcBorders>
              <w:top w:val="single" w:color="auto" w:sz="4" w:space="0"/>
              <w:bottom w:val="single" w:color="auto" w:sz="4" w:space="0"/>
            </w:tcBorders>
            <w:noWrap/>
            <w:vAlign w:val="center"/>
          </w:tcPr>
          <w:p>
            <w:pPr>
              <w:spacing w:line="300" w:lineRule="exact"/>
              <w:jc w:val="center"/>
              <w:rPr>
                <w:rFonts w:hint="eastAsia" w:asciiTheme="minorEastAsia" w:hAnsiTheme="minorEastAsia" w:eastAsiaTheme="minorEastAsia" w:cstheme="minorEastAsi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w:t>
            </w:r>
          </w:p>
        </w:tc>
        <w:tc>
          <w:tcPr>
            <w:tcW w:w="193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4"/>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UPS输入配电柜</w:t>
            </w:r>
          </w:p>
        </w:tc>
        <w:tc>
          <w:tcPr>
            <w:tcW w:w="137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85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只</w:t>
            </w:r>
          </w:p>
        </w:tc>
        <w:tc>
          <w:tcPr>
            <w:tcW w:w="81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Theme="minorEastAsia" w:hAnsiTheme="minorEastAsia" w:eastAsiaTheme="minorEastAsia" w:cstheme="minorEastAsia"/>
                <w:b/>
                <w:bCs/>
                <w:color w:val="auto"/>
                <w:szCs w:val="21"/>
                <w:highlight w:val="none"/>
              </w:rPr>
            </w:pPr>
          </w:p>
        </w:tc>
        <w:tc>
          <w:tcPr>
            <w:tcW w:w="1710" w:type="dxa"/>
            <w:tcBorders>
              <w:top w:val="single" w:color="auto" w:sz="4" w:space="0"/>
              <w:bottom w:val="single" w:color="auto" w:sz="4" w:space="0"/>
            </w:tcBorders>
            <w:noWrap/>
            <w:vAlign w:val="center"/>
          </w:tcPr>
          <w:p>
            <w:pPr>
              <w:spacing w:line="300" w:lineRule="exact"/>
              <w:jc w:val="center"/>
              <w:rPr>
                <w:rFonts w:hint="eastAsia" w:asciiTheme="minorEastAsia" w:hAnsiTheme="minorEastAsia" w:eastAsiaTheme="minorEastAsia" w:cstheme="minorEastAsi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w:t>
            </w:r>
          </w:p>
        </w:tc>
        <w:tc>
          <w:tcPr>
            <w:tcW w:w="193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4"/>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汇流排</w:t>
            </w:r>
          </w:p>
        </w:tc>
        <w:tc>
          <w:tcPr>
            <w:tcW w:w="137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w:t>
            </w:r>
          </w:p>
        </w:tc>
        <w:tc>
          <w:tcPr>
            <w:tcW w:w="85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米</w:t>
            </w:r>
          </w:p>
        </w:tc>
        <w:tc>
          <w:tcPr>
            <w:tcW w:w="81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Theme="minorEastAsia" w:hAnsiTheme="minorEastAsia" w:eastAsiaTheme="minorEastAsia" w:cstheme="minorEastAsia"/>
                <w:b/>
                <w:bCs/>
                <w:color w:val="auto"/>
                <w:szCs w:val="21"/>
                <w:highlight w:val="none"/>
              </w:rPr>
            </w:pPr>
          </w:p>
        </w:tc>
        <w:tc>
          <w:tcPr>
            <w:tcW w:w="1710" w:type="dxa"/>
            <w:tcBorders>
              <w:top w:val="single" w:color="auto" w:sz="4" w:space="0"/>
              <w:bottom w:val="single" w:color="auto" w:sz="4" w:space="0"/>
            </w:tcBorders>
            <w:noWrap/>
            <w:vAlign w:val="center"/>
          </w:tcPr>
          <w:p>
            <w:pPr>
              <w:spacing w:line="300" w:lineRule="exact"/>
              <w:jc w:val="center"/>
              <w:rPr>
                <w:rFonts w:hint="eastAsia" w:asciiTheme="minorEastAsia" w:hAnsiTheme="minorEastAsia" w:eastAsiaTheme="minorEastAsia" w:cstheme="minorEastAsi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14</w:t>
            </w:r>
          </w:p>
        </w:tc>
        <w:tc>
          <w:tcPr>
            <w:tcW w:w="193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4"/>
              <w:spacing w:line="360" w:lineRule="auto"/>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其他</w:t>
            </w:r>
          </w:p>
        </w:tc>
        <w:tc>
          <w:tcPr>
            <w:tcW w:w="137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w:t>
            </w:r>
          </w:p>
        </w:tc>
        <w:tc>
          <w:tcPr>
            <w:tcW w:w="85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项</w:t>
            </w:r>
          </w:p>
        </w:tc>
        <w:tc>
          <w:tcPr>
            <w:tcW w:w="81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auto"/>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Theme="minorEastAsia" w:hAnsiTheme="minorEastAsia" w:eastAsiaTheme="minorEastAsia" w:cstheme="minorEastAsia"/>
                <w:b/>
                <w:bCs/>
                <w:color w:val="auto"/>
                <w:szCs w:val="21"/>
                <w:highlight w:val="none"/>
              </w:rPr>
            </w:pPr>
          </w:p>
        </w:tc>
        <w:tc>
          <w:tcPr>
            <w:tcW w:w="1710" w:type="dxa"/>
            <w:tcBorders>
              <w:top w:val="single" w:color="auto" w:sz="4" w:space="0"/>
              <w:bottom w:val="single" w:color="auto" w:sz="4" w:space="0"/>
            </w:tcBorders>
            <w:noWrap/>
            <w:vAlign w:val="center"/>
          </w:tcPr>
          <w:p>
            <w:pPr>
              <w:spacing w:line="300" w:lineRule="exact"/>
              <w:jc w:val="center"/>
              <w:rPr>
                <w:rFonts w:hint="eastAsia" w:asciiTheme="minorEastAsia" w:hAnsiTheme="minorEastAsia" w:eastAsiaTheme="minorEastAsia" w:cstheme="minorEastAsi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9676" w:type="dxa"/>
            <w:gridSpan w:val="8"/>
            <w:tcBorders>
              <w:top w:val="single" w:color="auto" w:sz="4" w:space="0"/>
              <w:bottom w:val="single" w:color="auto" w:sz="4" w:space="0"/>
            </w:tcBorders>
            <w:noWrap/>
            <w:vAlign w:val="center"/>
          </w:tcPr>
          <w:p>
            <w:pPr>
              <w:spacing w:line="300" w:lineRule="exact"/>
              <w:jc w:val="left"/>
              <w:rPr>
                <w:rFonts w:hint="eastAsia"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pacing w:val="-6"/>
                <w:szCs w:val="21"/>
                <w:highlight w:val="none"/>
              </w:rPr>
              <w:t>该分项总报价（大写）：人民币                                  （¥                   ）</w:t>
            </w:r>
          </w:p>
        </w:tc>
      </w:tr>
    </w:tbl>
    <w:p>
      <w:pPr>
        <w:spacing w:line="340" w:lineRule="exact"/>
        <w:rPr>
          <w:rFonts w:hint="eastAsia" w:asciiTheme="minorEastAsia" w:hAnsiTheme="minorEastAsia" w:eastAsiaTheme="minorEastAsia" w:cstheme="minorEastAsia"/>
          <w:color w:val="auto"/>
          <w:szCs w:val="21"/>
          <w:highlight w:val="none"/>
        </w:rPr>
      </w:pPr>
    </w:p>
    <w:p>
      <w:pPr>
        <w:spacing w:line="340" w:lineRule="exac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供应商（CA签章，自然人除外）：</w:t>
      </w:r>
    </w:p>
    <w:p>
      <w:pPr>
        <w:spacing w:line="340" w:lineRule="exac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highlight w:val="none"/>
        </w:rPr>
        <w:t>法定代表人、负责人、自然人或相应的委托代理人签字或个人CA签章（属自然人的应在签名处加盖食指指印或个人CA签章）：</w:t>
      </w:r>
    </w:p>
    <w:p>
      <w:pPr>
        <w:tabs>
          <w:tab w:val="left" w:pos="1305"/>
        </w:tabs>
        <w:spacing w:line="24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
          <w:bCs w:val="0"/>
          <w:color w:val="auto"/>
          <w:szCs w:val="21"/>
          <w:highlight w:val="none"/>
        </w:rPr>
        <w:t>注：</w:t>
      </w:r>
      <w:r>
        <w:rPr>
          <w:rFonts w:hint="eastAsia" w:asciiTheme="minorEastAsia" w:hAnsiTheme="minorEastAsia" w:eastAsiaTheme="minorEastAsia" w:cstheme="minorEastAsia"/>
          <w:bCs/>
          <w:color w:val="auto"/>
          <w:szCs w:val="21"/>
          <w:highlight w:val="none"/>
        </w:rPr>
        <w:t>1.各</w:t>
      </w:r>
      <w:r>
        <w:rPr>
          <w:rFonts w:hint="eastAsia" w:asciiTheme="minorEastAsia" w:hAnsiTheme="minorEastAsia" w:eastAsiaTheme="minorEastAsia" w:cstheme="minorEastAsia"/>
          <w:color w:val="auto"/>
          <w:szCs w:val="21"/>
          <w:highlight w:val="none"/>
        </w:rPr>
        <w:t>供应商必须就“采购需求”中所投分标的所有内容作完整唯一报价，否则，其投标将被拒绝。投标文件只允许有一个报价。</w:t>
      </w:r>
    </w:p>
    <w:p>
      <w:pPr>
        <w:pStyle w:val="13"/>
        <w:spacing w:line="24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2.供应商应根据所投项目如实填写投标报价表</w:t>
      </w:r>
      <w:r>
        <w:rPr>
          <w:rFonts w:hint="eastAsia" w:asciiTheme="minorEastAsia" w:hAnsiTheme="minorEastAsia" w:eastAsiaTheme="minorEastAsia" w:cstheme="minorEastAsia"/>
          <w:bCs/>
          <w:color w:val="auto"/>
          <w:szCs w:val="21"/>
          <w:highlight w:val="none"/>
        </w:rPr>
        <w:t>的各项内容。</w:t>
      </w:r>
    </w:p>
    <w:p>
      <w:pPr>
        <w:spacing w:line="24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highlight w:val="none"/>
        </w:rPr>
        <w:t>磋商报价表须由法定代表人负责人、自然人或相应的委托代理人签字或个人CA签章（属自然人的应在签名处加盖食指指印或个人CA签章）并加盖供应商CA签章（自然人除外）。</w:t>
      </w:r>
      <w:r>
        <w:rPr>
          <w:rFonts w:hint="eastAsia" w:asciiTheme="minorEastAsia" w:hAnsiTheme="minorEastAsia" w:eastAsiaTheme="minorEastAsia" w:cstheme="minorEastAsia"/>
          <w:b/>
          <w:color w:val="auto"/>
          <w:highlight w:val="none"/>
        </w:rPr>
        <w:t>当本表由多页构成时，需逐页加盖供应商公章（属自然人的须逐页签字或个人CA签章）</w:t>
      </w:r>
    </w:p>
    <w:p>
      <w:pPr>
        <w:pStyle w:val="13"/>
        <w:spacing w:line="240" w:lineRule="auto"/>
        <w:ind w:left="0"/>
        <w:jc w:val="left"/>
        <w:rPr>
          <w:rFonts w:hint="eastAsia" w:asciiTheme="minorEastAsia" w:hAnsiTheme="minorEastAsia" w:eastAsiaTheme="minorEastAsia" w:cstheme="minorEastAsia"/>
          <w:color w:val="auto"/>
          <w:highlight w:val="none"/>
          <w:lang w:val="en-US" w:eastAsia="zh-CN"/>
        </w:rPr>
        <w:sectPr>
          <w:footerReference r:id="rId8" w:type="default"/>
          <w:pgSz w:w="11906" w:h="16838"/>
          <w:pgMar w:top="1440" w:right="935" w:bottom="1440" w:left="777" w:header="851" w:footer="992" w:gutter="0"/>
          <w:pgNumType w:fmt="numberInDash"/>
          <w:cols w:space="720" w:num="1"/>
          <w:docGrid w:type="linesAndChars" w:linePitch="312" w:charSpace="0"/>
        </w:sectPr>
      </w:pP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b/>
          <w:bCs/>
          <w:color w:val="auto"/>
          <w:highlight w:val="none"/>
          <w:lang w:val="en-US" w:eastAsia="zh-CN"/>
        </w:rPr>
        <w:t xml:space="preserve"> 4.</w:t>
      </w:r>
      <w:r>
        <w:rPr>
          <w:rFonts w:hint="eastAsia" w:asciiTheme="minorEastAsia" w:hAnsiTheme="minorEastAsia" w:eastAsiaTheme="minorEastAsia" w:cstheme="minorEastAsia"/>
          <w:b/>
          <w:bCs/>
          <w:color w:val="auto"/>
          <w:szCs w:val="21"/>
          <w:highlight w:val="none"/>
        </w:rPr>
        <w:t>磋商报价表附表（机房配套设施改造）</w:t>
      </w:r>
      <w:r>
        <w:rPr>
          <w:rFonts w:hint="eastAsia" w:asciiTheme="minorEastAsia" w:hAnsiTheme="minorEastAsia" w:eastAsiaTheme="minorEastAsia" w:cstheme="minorEastAsia"/>
          <w:b/>
          <w:bCs/>
          <w:color w:val="auto"/>
          <w:spacing w:val="-6"/>
          <w:szCs w:val="21"/>
          <w:highlight w:val="none"/>
        </w:rPr>
        <w:t>分项总报价</w:t>
      </w:r>
      <w:r>
        <w:rPr>
          <w:rFonts w:hint="eastAsia" w:asciiTheme="minorEastAsia" w:hAnsiTheme="minorEastAsia" w:eastAsiaTheme="minorEastAsia" w:cstheme="minorEastAsia"/>
          <w:b/>
          <w:bCs/>
          <w:color w:val="auto"/>
          <w:spacing w:val="-6"/>
          <w:szCs w:val="21"/>
          <w:highlight w:val="none"/>
          <w:lang w:eastAsia="zh-CN"/>
        </w:rPr>
        <w:t>须与</w:t>
      </w:r>
      <w:r>
        <w:rPr>
          <w:rFonts w:hint="eastAsia" w:asciiTheme="minorEastAsia" w:hAnsiTheme="minorEastAsia" w:eastAsiaTheme="minorEastAsia" w:cstheme="minorEastAsia"/>
          <w:b/>
          <w:bCs/>
          <w:color w:val="auto"/>
          <w:szCs w:val="21"/>
          <w:highlight w:val="none"/>
        </w:rPr>
        <w:t>磋商报价表</w:t>
      </w:r>
      <w:r>
        <w:rPr>
          <w:rFonts w:hint="eastAsia" w:asciiTheme="minorEastAsia" w:hAnsiTheme="minorEastAsia" w:eastAsiaTheme="minorEastAsia" w:cstheme="minorEastAsia"/>
          <w:b/>
          <w:bCs/>
          <w:color w:val="auto"/>
          <w:szCs w:val="21"/>
          <w:highlight w:val="none"/>
          <w:lang w:eastAsia="zh-CN"/>
        </w:rPr>
        <w:t>中</w:t>
      </w:r>
      <w:r>
        <w:rPr>
          <w:rFonts w:hint="eastAsia" w:asciiTheme="minorEastAsia" w:hAnsiTheme="minorEastAsia" w:eastAsiaTheme="minorEastAsia" w:cstheme="minorEastAsia"/>
          <w:b/>
          <w:bCs/>
          <w:color w:val="auto"/>
          <w:szCs w:val="21"/>
          <w:highlight w:val="none"/>
        </w:rPr>
        <w:t>机房配套设施改造</w:t>
      </w:r>
      <w:r>
        <w:rPr>
          <w:rFonts w:hint="eastAsia" w:asciiTheme="minorEastAsia" w:hAnsiTheme="minorEastAsia" w:eastAsiaTheme="minorEastAsia" w:cstheme="minorEastAsia"/>
          <w:b/>
          <w:bCs/>
          <w:color w:val="auto"/>
          <w:szCs w:val="21"/>
          <w:highlight w:val="none"/>
          <w:lang w:eastAsia="zh-CN"/>
        </w:rPr>
        <w:t>的单项合计报价一致。</w:t>
      </w:r>
    </w:p>
    <w:p>
      <w:pP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3.服务响应表（格式见附件）（必须提供）；</w:t>
      </w:r>
    </w:p>
    <w:p>
      <w:pP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附件：</w:t>
      </w:r>
    </w:p>
    <w:p>
      <w:pPr>
        <w:jc w:val="center"/>
        <w:rPr>
          <w:rFonts w:hint="eastAsia" w:asciiTheme="minorEastAsia" w:hAnsiTheme="minorEastAsia" w:eastAsiaTheme="minorEastAsia" w:cstheme="minorEastAsia"/>
          <w:b/>
          <w:bCs/>
          <w:color w:val="auto"/>
          <w:sz w:val="32"/>
          <w:highlight w:val="none"/>
        </w:rPr>
      </w:pPr>
      <w:r>
        <w:rPr>
          <w:rFonts w:hint="eastAsia" w:asciiTheme="minorEastAsia" w:hAnsiTheme="minorEastAsia" w:eastAsiaTheme="minorEastAsia" w:cstheme="minorEastAsia"/>
          <w:b/>
          <w:color w:val="auto"/>
          <w:sz w:val="32"/>
          <w:szCs w:val="32"/>
          <w:highlight w:val="none"/>
        </w:rPr>
        <w:t>服务响应表</w:t>
      </w:r>
      <w:r>
        <w:rPr>
          <w:rFonts w:hint="eastAsia" w:asciiTheme="minorEastAsia" w:hAnsiTheme="minorEastAsia" w:eastAsiaTheme="minorEastAsia" w:cstheme="minorEastAsia"/>
          <w:b/>
          <w:bCs/>
          <w:color w:val="auto"/>
          <w:sz w:val="32"/>
          <w:highlight w:val="none"/>
        </w:rPr>
        <w:t>（格式）</w:t>
      </w:r>
    </w:p>
    <w:p>
      <w:pPr>
        <w:pStyle w:val="11"/>
        <w:rPr>
          <w:rFonts w:hint="eastAsia" w:asciiTheme="minorEastAsia" w:hAnsiTheme="minorEastAsia" w:eastAsiaTheme="minorEastAsia" w:cstheme="minorEastAsia"/>
          <w:b/>
          <w:bCs/>
          <w:color w:val="auto"/>
          <w:sz w:val="24"/>
          <w:szCs w:val="21"/>
          <w:highlight w:val="none"/>
        </w:rPr>
      </w:pPr>
      <w:r>
        <w:rPr>
          <w:rFonts w:hint="eastAsia" w:asciiTheme="minorEastAsia" w:hAnsiTheme="minorEastAsia" w:eastAsiaTheme="minorEastAsia" w:cstheme="minorEastAsia"/>
          <w:b/>
          <w:bCs/>
          <w:color w:val="auto"/>
          <w:sz w:val="24"/>
          <w:szCs w:val="21"/>
          <w:highlight w:val="none"/>
        </w:rPr>
        <w:t>项目编号：</w:t>
      </w:r>
    </w:p>
    <w:p>
      <w:pPr>
        <w:pStyle w:val="11"/>
        <w:rPr>
          <w:rFonts w:hint="eastAsia" w:asciiTheme="minorEastAsia" w:hAnsiTheme="minorEastAsia" w:eastAsiaTheme="minorEastAsia" w:cstheme="minorEastAsia"/>
          <w:color w:val="auto"/>
          <w:sz w:val="18"/>
          <w:szCs w:val="21"/>
          <w:highlight w:val="none"/>
        </w:rPr>
      </w:pPr>
      <w:r>
        <w:rPr>
          <w:rFonts w:hint="eastAsia" w:asciiTheme="minorEastAsia" w:hAnsiTheme="minorEastAsia" w:eastAsiaTheme="minorEastAsia" w:cstheme="minorEastAsia"/>
          <w:b/>
          <w:bCs/>
          <w:color w:val="auto"/>
          <w:sz w:val="24"/>
          <w:szCs w:val="21"/>
          <w:highlight w:val="none"/>
        </w:rPr>
        <w:t>项目名称：</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232"/>
        <w:gridCol w:w="3168"/>
        <w:gridCol w:w="2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09" w:type="dxa"/>
            <w:shd w:val="clear" w:color="auto" w:fill="8DB3E2"/>
            <w:noWrap/>
            <w:vAlign w:val="center"/>
          </w:tcPr>
          <w:p>
            <w:pPr>
              <w:spacing w:line="400" w:lineRule="exact"/>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序号</w:t>
            </w:r>
          </w:p>
        </w:tc>
        <w:tc>
          <w:tcPr>
            <w:tcW w:w="3232" w:type="dxa"/>
            <w:shd w:val="clear" w:color="auto" w:fill="8DB3E2"/>
            <w:noWrap/>
            <w:vAlign w:val="center"/>
          </w:tcPr>
          <w:p>
            <w:pPr>
              <w:spacing w:line="400" w:lineRule="exact"/>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Cs w:val="21"/>
                <w:highlight w:val="none"/>
              </w:rPr>
              <w:t>竞争性磋商文件的采购需求</w:t>
            </w:r>
          </w:p>
        </w:tc>
        <w:tc>
          <w:tcPr>
            <w:tcW w:w="3168" w:type="dxa"/>
            <w:shd w:val="clear" w:color="auto" w:fill="8DB3E2"/>
            <w:noWrap/>
            <w:vAlign w:val="center"/>
          </w:tcPr>
          <w:p>
            <w:pPr>
              <w:spacing w:line="40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竞争性磋商响应文件的响应情况</w:t>
            </w:r>
          </w:p>
        </w:tc>
        <w:tc>
          <w:tcPr>
            <w:tcW w:w="2604" w:type="dxa"/>
            <w:shd w:val="clear" w:color="auto" w:fill="8DB3E2"/>
            <w:noWrap/>
            <w:vAlign w:val="center"/>
          </w:tcPr>
          <w:p>
            <w:pPr>
              <w:spacing w:line="400" w:lineRule="exact"/>
              <w:jc w:val="center"/>
              <w:rPr>
                <w:rFonts w:hint="eastAsia" w:asciiTheme="minorEastAsia" w:hAnsiTheme="minorEastAsia" w:eastAsiaTheme="minorEastAsia" w:cstheme="minorEastAsia"/>
                <w:b/>
                <w:color w:val="auto"/>
                <w:highlight w:val="none"/>
              </w:rPr>
            </w:pPr>
            <w:bookmarkStart w:id="625" w:name="_Toc254970701"/>
            <w:bookmarkStart w:id="626" w:name="_Toc254970560"/>
            <w:r>
              <w:rPr>
                <w:rFonts w:hint="eastAsia" w:asciiTheme="minorEastAsia" w:hAnsiTheme="minorEastAsia" w:eastAsiaTheme="minorEastAsia" w:cstheme="minorEastAsia"/>
                <w:b/>
                <w:color w:val="auto"/>
                <w:highlight w:val="none"/>
              </w:rPr>
              <w:t>偏离情况</w:t>
            </w:r>
            <w:bookmarkEnd w:id="625"/>
            <w:bookmarkEnd w:id="626"/>
            <w:r>
              <w:rPr>
                <w:rFonts w:hint="eastAsia" w:asciiTheme="minorEastAsia" w:hAnsiTheme="minorEastAsia" w:eastAsiaTheme="minorEastAsia" w:cstheme="minorEastAsia"/>
                <w:b/>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ign w:val="center"/>
          </w:tcPr>
          <w:p>
            <w:pPr>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232" w:type="dxa"/>
            <w:noWrap/>
            <w:vAlign w:val="center"/>
          </w:tcPr>
          <w:p>
            <w:pPr>
              <w:spacing w:line="400" w:lineRule="exact"/>
              <w:jc w:val="left"/>
              <w:rPr>
                <w:rFonts w:hint="eastAsia" w:asciiTheme="minorEastAsia" w:hAnsiTheme="minorEastAsia" w:eastAsiaTheme="minorEastAsia" w:cstheme="minorEastAsia"/>
                <w:color w:val="auto"/>
                <w:highlight w:val="none"/>
              </w:rPr>
            </w:pPr>
          </w:p>
        </w:tc>
        <w:tc>
          <w:tcPr>
            <w:tcW w:w="3168" w:type="dxa"/>
            <w:noWrap/>
          </w:tcPr>
          <w:p>
            <w:pPr>
              <w:spacing w:line="400" w:lineRule="exact"/>
              <w:jc w:val="left"/>
              <w:rPr>
                <w:rFonts w:hint="eastAsia" w:asciiTheme="minorEastAsia" w:hAnsiTheme="minorEastAsia" w:eastAsiaTheme="minorEastAsia" w:cstheme="minorEastAsia"/>
                <w:color w:val="auto"/>
                <w:highlight w:val="none"/>
              </w:rPr>
            </w:pPr>
          </w:p>
        </w:tc>
        <w:tc>
          <w:tcPr>
            <w:tcW w:w="2604" w:type="dxa"/>
            <w:noWrap/>
            <w:vAlign w:val="center"/>
          </w:tcPr>
          <w:p>
            <w:pPr>
              <w:spacing w:line="400" w:lineRule="exact"/>
              <w:jc w:val="left"/>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ign w:val="center"/>
          </w:tcPr>
          <w:p>
            <w:pPr>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3232" w:type="dxa"/>
            <w:noWrap/>
            <w:vAlign w:val="center"/>
          </w:tcPr>
          <w:p>
            <w:pPr>
              <w:spacing w:line="400" w:lineRule="exact"/>
              <w:jc w:val="left"/>
              <w:rPr>
                <w:rFonts w:hint="eastAsia" w:asciiTheme="minorEastAsia" w:hAnsiTheme="minorEastAsia" w:eastAsiaTheme="minorEastAsia" w:cstheme="minorEastAsia"/>
                <w:color w:val="auto"/>
                <w:highlight w:val="none"/>
              </w:rPr>
            </w:pPr>
          </w:p>
        </w:tc>
        <w:tc>
          <w:tcPr>
            <w:tcW w:w="3168" w:type="dxa"/>
            <w:noWrap/>
          </w:tcPr>
          <w:p>
            <w:pPr>
              <w:spacing w:line="400" w:lineRule="exact"/>
              <w:jc w:val="left"/>
              <w:rPr>
                <w:rFonts w:hint="eastAsia" w:asciiTheme="minorEastAsia" w:hAnsiTheme="minorEastAsia" w:eastAsiaTheme="minorEastAsia" w:cstheme="minorEastAsia"/>
                <w:color w:val="auto"/>
                <w:highlight w:val="none"/>
              </w:rPr>
            </w:pPr>
          </w:p>
        </w:tc>
        <w:tc>
          <w:tcPr>
            <w:tcW w:w="2604" w:type="dxa"/>
            <w:noWrap/>
            <w:vAlign w:val="center"/>
          </w:tcPr>
          <w:p>
            <w:pPr>
              <w:spacing w:line="400" w:lineRule="exact"/>
              <w:jc w:val="left"/>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ign w:val="center"/>
          </w:tcPr>
          <w:p>
            <w:pPr>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3232" w:type="dxa"/>
            <w:noWrap/>
          </w:tcPr>
          <w:p>
            <w:pPr>
              <w:spacing w:line="400" w:lineRule="exact"/>
              <w:jc w:val="left"/>
              <w:rPr>
                <w:rFonts w:hint="eastAsia" w:asciiTheme="minorEastAsia" w:hAnsiTheme="minorEastAsia" w:eastAsiaTheme="minorEastAsia" w:cstheme="minorEastAsia"/>
                <w:color w:val="auto"/>
                <w:highlight w:val="none"/>
              </w:rPr>
            </w:pPr>
          </w:p>
        </w:tc>
        <w:tc>
          <w:tcPr>
            <w:tcW w:w="3168" w:type="dxa"/>
            <w:noWrap/>
          </w:tcPr>
          <w:p>
            <w:pPr>
              <w:spacing w:line="400" w:lineRule="exact"/>
              <w:jc w:val="left"/>
              <w:rPr>
                <w:rFonts w:hint="eastAsia" w:asciiTheme="minorEastAsia" w:hAnsiTheme="minorEastAsia" w:eastAsiaTheme="minorEastAsia" w:cstheme="minorEastAsia"/>
                <w:color w:val="auto"/>
                <w:highlight w:val="none"/>
              </w:rPr>
            </w:pPr>
          </w:p>
        </w:tc>
        <w:tc>
          <w:tcPr>
            <w:tcW w:w="2604" w:type="dxa"/>
            <w:noWrap/>
          </w:tcPr>
          <w:p>
            <w:pPr>
              <w:spacing w:line="400" w:lineRule="exact"/>
              <w:jc w:val="left"/>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ign w:val="center"/>
          </w:tcPr>
          <w:p>
            <w:pPr>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3232" w:type="dxa"/>
            <w:noWrap/>
          </w:tcPr>
          <w:p>
            <w:pPr>
              <w:spacing w:line="400" w:lineRule="exact"/>
              <w:jc w:val="left"/>
              <w:rPr>
                <w:rFonts w:hint="eastAsia" w:asciiTheme="minorEastAsia" w:hAnsiTheme="minorEastAsia" w:eastAsiaTheme="minorEastAsia" w:cstheme="minorEastAsia"/>
                <w:color w:val="auto"/>
                <w:highlight w:val="none"/>
              </w:rPr>
            </w:pPr>
          </w:p>
        </w:tc>
        <w:tc>
          <w:tcPr>
            <w:tcW w:w="3168" w:type="dxa"/>
            <w:noWrap/>
          </w:tcPr>
          <w:p>
            <w:pPr>
              <w:spacing w:line="400" w:lineRule="exact"/>
              <w:jc w:val="left"/>
              <w:rPr>
                <w:rFonts w:hint="eastAsia" w:asciiTheme="minorEastAsia" w:hAnsiTheme="minorEastAsia" w:eastAsiaTheme="minorEastAsia" w:cstheme="minorEastAsia"/>
                <w:color w:val="auto"/>
                <w:highlight w:val="none"/>
              </w:rPr>
            </w:pPr>
          </w:p>
        </w:tc>
        <w:tc>
          <w:tcPr>
            <w:tcW w:w="2604" w:type="dxa"/>
            <w:noWrap/>
          </w:tcPr>
          <w:p>
            <w:pPr>
              <w:spacing w:line="400" w:lineRule="exact"/>
              <w:jc w:val="left"/>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ign w:val="center"/>
          </w:tcPr>
          <w:p>
            <w:pPr>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3232" w:type="dxa"/>
            <w:noWrap/>
          </w:tcPr>
          <w:p>
            <w:pPr>
              <w:spacing w:line="400" w:lineRule="exact"/>
              <w:jc w:val="left"/>
              <w:rPr>
                <w:rFonts w:hint="eastAsia" w:asciiTheme="minorEastAsia" w:hAnsiTheme="minorEastAsia" w:eastAsiaTheme="minorEastAsia" w:cstheme="minorEastAsia"/>
                <w:color w:val="auto"/>
                <w:highlight w:val="none"/>
              </w:rPr>
            </w:pPr>
          </w:p>
        </w:tc>
        <w:tc>
          <w:tcPr>
            <w:tcW w:w="3168" w:type="dxa"/>
            <w:noWrap/>
          </w:tcPr>
          <w:p>
            <w:pPr>
              <w:spacing w:line="400" w:lineRule="exact"/>
              <w:jc w:val="left"/>
              <w:rPr>
                <w:rFonts w:hint="eastAsia" w:asciiTheme="minorEastAsia" w:hAnsiTheme="minorEastAsia" w:eastAsiaTheme="minorEastAsia" w:cstheme="minorEastAsia"/>
                <w:color w:val="auto"/>
                <w:highlight w:val="none"/>
              </w:rPr>
            </w:pPr>
          </w:p>
        </w:tc>
        <w:tc>
          <w:tcPr>
            <w:tcW w:w="2604" w:type="dxa"/>
            <w:noWrap/>
          </w:tcPr>
          <w:p>
            <w:pPr>
              <w:spacing w:line="400" w:lineRule="exact"/>
              <w:jc w:val="left"/>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ign w:val="center"/>
          </w:tcPr>
          <w:p>
            <w:pPr>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N</w:t>
            </w:r>
          </w:p>
        </w:tc>
        <w:tc>
          <w:tcPr>
            <w:tcW w:w="3232" w:type="dxa"/>
            <w:noWrap/>
          </w:tcPr>
          <w:p>
            <w:pPr>
              <w:spacing w:line="400" w:lineRule="exact"/>
              <w:jc w:val="left"/>
              <w:rPr>
                <w:rFonts w:hint="eastAsia" w:asciiTheme="minorEastAsia" w:hAnsiTheme="minorEastAsia" w:eastAsiaTheme="minorEastAsia" w:cstheme="minorEastAsia"/>
                <w:color w:val="auto"/>
                <w:highlight w:val="none"/>
              </w:rPr>
            </w:pPr>
          </w:p>
        </w:tc>
        <w:tc>
          <w:tcPr>
            <w:tcW w:w="3168" w:type="dxa"/>
            <w:noWrap/>
          </w:tcPr>
          <w:p>
            <w:pPr>
              <w:spacing w:line="400" w:lineRule="exact"/>
              <w:jc w:val="left"/>
              <w:rPr>
                <w:rFonts w:hint="eastAsia" w:asciiTheme="minorEastAsia" w:hAnsiTheme="minorEastAsia" w:eastAsiaTheme="minorEastAsia" w:cstheme="minorEastAsia"/>
                <w:color w:val="auto"/>
                <w:highlight w:val="none"/>
              </w:rPr>
            </w:pPr>
          </w:p>
        </w:tc>
        <w:tc>
          <w:tcPr>
            <w:tcW w:w="2604" w:type="dxa"/>
            <w:noWrap/>
          </w:tcPr>
          <w:p>
            <w:pPr>
              <w:spacing w:line="400" w:lineRule="exact"/>
              <w:jc w:val="left"/>
              <w:rPr>
                <w:rFonts w:hint="eastAsia" w:asciiTheme="minorEastAsia" w:hAnsiTheme="minorEastAsia" w:eastAsiaTheme="minorEastAsia" w:cstheme="minorEastAsia"/>
                <w:color w:val="auto"/>
                <w:highlight w:val="none"/>
              </w:rPr>
            </w:pPr>
          </w:p>
        </w:tc>
      </w:tr>
    </w:tbl>
    <w:p>
      <w:pPr>
        <w:snapToGrid w:val="0"/>
        <w:spacing w:line="400" w:lineRule="exact"/>
        <w:rPr>
          <w:rFonts w:hint="eastAsia" w:asciiTheme="minorEastAsia" w:hAnsiTheme="minorEastAsia" w:eastAsiaTheme="minorEastAsia" w:cstheme="minorEastAsia"/>
          <w:color w:val="auto"/>
          <w:szCs w:val="20"/>
          <w:highlight w:val="none"/>
          <w:u w:val="single"/>
        </w:rPr>
      </w:pPr>
    </w:p>
    <w:p>
      <w:pPr>
        <w:snapToGrid w:val="0"/>
        <w:spacing w:line="400" w:lineRule="exact"/>
        <w:ind w:firstLine="3780" w:firstLineChars="1800"/>
        <w:rPr>
          <w:rFonts w:hint="eastAsia" w:asciiTheme="minorEastAsia" w:hAnsiTheme="minorEastAsia" w:eastAsiaTheme="minorEastAsia" w:cstheme="minorEastAsia"/>
          <w:color w:val="auto"/>
          <w:szCs w:val="20"/>
          <w:highlight w:val="none"/>
          <w:u w:val="single"/>
        </w:rPr>
      </w:pPr>
    </w:p>
    <w:p>
      <w:pPr>
        <w:snapToGrid w:val="0"/>
        <w:spacing w:line="400" w:lineRule="exact"/>
        <w:ind w:firstLine="1890" w:firstLineChars="9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磋商供应商[公章(CA签章)，自然人签字或个人CA签章]：</w:t>
      </w:r>
    </w:p>
    <w:p>
      <w:pPr>
        <w:spacing w:line="340" w:lineRule="exact"/>
        <w:rPr>
          <w:rFonts w:hint="eastAsia" w:asciiTheme="minorEastAsia" w:hAnsiTheme="minorEastAsia" w:eastAsiaTheme="minorEastAsia" w:cstheme="minorEastAsia"/>
          <w:color w:val="auto"/>
          <w:szCs w:val="21"/>
          <w:highlight w:val="none"/>
          <w:u w:val="single"/>
        </w:rPr>
      </w:pPr>
    </w:p>
    <w:p>
      <w:pPr>
        <w:ind w:firstLine="1890" w:firstLineChars="900"/>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 xml:space="preserve"> 日          期：</w:t>
      </w:r>
    </w:p>
    <w:p>
      <w:pPr>
        <w:spacing w:line="360" w:lineRule="exact"/>
        <w:rPr>
          <w:rFonts w:hint="eastAsia" w:asciiTheme="minorEastAsia" w:hAnsiTheme="minorEastAsia" w:eastAsiaTheme="minorEastAsia" w:cstheme="minorEastAsia"/>
          <w:color w:val="auto"/>
          <w:highlight w:val="none"/>
        </w:rPr>
      </w:pPr>
    </w:p>
    <w:p>
      <w:pPr>
        <w:spacing w:line="400" w:lineRule="exact"/>
        <w:ind w:left="900" w:leftChars="200" w:hanging="480" w:hangingChars="200"/>
        <w:rPr>
          <w:rFonts w:hint="eastAsia" w:asciiTheme="minorEastAsia" w:hAnsiTheme="minorEastAsia" w:eastAsiaTheme="minorEastAsia" w:cstheme="minorEastAsia"/>
          <w:b/>
          <w:bCs/>
          <w:color w:val="auto"/>
          <w:sz w:val="24"/>
          <w:highlight w:val="none"/>
        </w:rPr>
      </w:pPr>
    </w:p>
    <w:p>
      <w:pPr>
        <w:spacing w:line="400" w:lineRule="exact"/>
        <w:ind w:left="482" w:leftChars="23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bCs/>
          <w:color w:val="auto"/>
          <w:sz w:val="24"/>
          <w:highlight w:val="none"/>
        </w:rPr>
        <w:t>注：</w:t>
      </w:r>
      <w:r>
        <w:rPr>
          <w:rFonts w:hint="eastAsia" w:asciiTheme="minorEastAsia" w:hAnsiTheme="minorEastAsia" w:eastAsiaTheme="minorEastAsia" w:cstheme="minorEastAsia"/>
          <w:b/>
          <w:color w:val="auto"/>
          <w:sz w:val="24"/>
          <w:highlight w:val="none"/>
        </w:rPr>
        <w:t>1.“服务响应表”各项内容必须如实填写。</w:t>
      </w:r>
    </w:p>
    <w:p>
      <w:pPr>
        <w:spacing w:line="400" w:lineRule="exact"/>
        <w:ind w:firstLine="900" w:firstLineChars="375"/>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2.当本表由多页构成时，需逐页加盖磋商供应商公章（CA签章）（属自然人的须逐页签字或个人CA签章）。</w:t>
      </w:r>
    </w:p>
    <w:p>
      <w:pPr>
        <w:pStyle w:val="13"/>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       3.磋商供应商应对照竞争性磋商文件中“第三章采购需求”的全部内容（商务要求除外）逐条响应，并在“偏离情况说明”栏注明“正偏离”、“负偏离”或“无偏离”。否则，响应无效。</w:t>
      </w:r>
    </w:p>
    <w:p>
      <w:pPr>
        <w:pStyle w:val="13"/>
        <w:rPr>
          <w:rFonts w:hint="eastAsia" w:asciiTheme="minorEastAsia" w:hAnsiTheme="minorEastAsia" w:eastAsiaTheme="minorEastAsia" w:cstheme="minorEastAsia"/>
          <w:b/>
          <w:color w:val="auto"/>
          <w:sz w:val="24"/>
          <w:szCs w:val="24"/>
          <w:highlight w:val="none"/>
        </w:rPr>
      </w:pPr>
    </w:p>
    <w:p>
      <w:pPr>
        <w:pStyle w:val="13"/>
        <w:jc w:val="center"/>
        <w:rPr>
          <w:rFonts w:hint="eastAsia" w:asciiTheme="minorEastAsia" w:hAnsiTheme="minorEastAsia" w:eastAsiaTheme="minorEastAsia" w:cstheme="minorEastAsia"/>
          <w:b/>
          <w:color w:val="auto"/>
          <w:sz w:val="32"/>
          <w:highlight w:val="none"/>
        </w:rPr>
      </w:pPr>
    </w:p>
    <w:p>
      <w:pPr>
        <w:pStyle w:val="13"/>
        <w:jc w:val="center"/>
        <w:rPr>
          <w:rFonts w:hint="eastAsia" w:asciiTheme="minorEastAsia" w:hAnsiTheme="minorEastAsia" w:eastAsiaTheme="minorEastAsia" w:cstheme="minorEastAsia"/>
          <w:b/>
          <w:color w:val="auto"/>
          <w:sz w:val="32"/>
          <w:highlight w:val="none"/>
        </w:rPr>
      </w:pPr>
    </w:p>
    <w:p>
      <w:pPr>
        <w:pStyle w:val="13"/>
        <w:jc w:val="center"/>
        <w:rPr>
          <w:rFonts w:hint="eastAsia" w:asciiTheme="minorEastAsia" w:hAnsiTheme="minorEastAsia" w:eastAsiaTheme="minorEastAsia" w:cstheme="minorEastAsia"/>
          <w:b/>
          <w:color w:val="auto"/>
          <w:sz w:val="32"/>
          <w:highlight w:val="none"/>
        </w:rPr>
      </w:pPr>
    </w:p>
    <w:p>
      <w:pPr>
        <w:pStyle w:val="13"/>
        <w:jc w:val="center"/>
        <w:rPr>
          <w:rFonts w:hint="eastAsia" w:asciiTheme="minorEastAsia" w:hAnsiTheme="minorEastAsia" w:eastAsiaTheme="minorEastAsia" w:cstheme="minorEastAsia"/>
          <w:b/>
          <w:color w:val="auto"/>
          <w:sz w:val="32"/>
          <w:highlight w:val="none"/>
        </w:rPr>
      </w:pPr>
    </w:p>
    <w:p>
      <w:pPr>
        <w:pStyle w:val="11"/>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b/>
          <w:bCs/>
          <w:color w:val="auto"/>
          <w:sz w:val="32"/>
          <w:szCs w:val="32"/>
          <w:highlight w:val="none"/>
        </w:rPr>
      </w:pPr>
      <w:bookmarkStart w:id="627" w:name="_Toc15632"/>
      <w:r>
        <w:rPr>
          <w:rFonts w:hint="eastAsia" w:asciiTheme="minorEastAsia" w:hAnsiTheme="minorEastAsia" w:eastAsiaTheme="minorEastAsia" w:cstheme="minorEastAsia"/>
          <w:b/>
          <w:bCs/>
          <w:color w:val="auto"/>
          <w:sz w:val="32"/>
          <w:szCs w:val="32"/>
          <w:highlight w:val="none"/>
        </w:rPr>
        <w:t>4.商务响应表（格式见附件）（必须提供）</w:t>
      </w:r>
      <w:bookmarkEnd w:id="627"/>
      <w:r>
        <w:rPr>
          <w:rFonts w:hint="eastAsia" w:asciiTheme="minorEastAsia" w:hAnsiTheme="minorEastAsia" w:eastAsiaTheme="minorEastAsia" w:cstheme="minorEastAsia"/>
          <w:b/>
          <w:bCs/>
          <w:color w:val="auto"/>
          <w:sz w:val="32"/>
          <w:szCs w:val="32"/>
          <w:highlight w:val="none"/>
        </w:rPr>
        <w:t>；</w:t>
      </w:r>
    </w:p>
    <w:p>
      <w:pP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附件：</w:t>
      </w:r>
    </w:p>
    <w:p>
      <w:pPr>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商务响应表（格式）</w:t>
      </w:r>
    </w:p>
    <w:p>
      <w:pPr>
        <w:pStyle w:val="11"/>
        <w:rPr>
          <w:rFonts w:hint="eastAsia" w:asciiTheme="minorEastAsia" w:hAnsiTheme="minorEastAsia" w:eastAsiaTheme="minorEastAsia" w:cstheme="minorEastAsia"/>
          <w:b/>
          <w:bCs/>
          <w:color w:val="auto"/>
          <w:sz w:val="24"/>
          <w:szCs w:val="21"/>
          <w:highlight w:val="none"/>
        </w:rPr>
      </w:pPr>
      <w:r>
        <w:rPr>
          <w:rFonts w:hint="eastAsia" w:asciiTheme="minorEastAsia" w:hAnsiTheme="minorEastAsia" w:eastAsiaTheme="minorEastAsia" w:cstheme="minorEastAsia"/>
          <w:b/>
          <w:bCs/>
          <w:color w:val="auto"/>
          <w:sz w:val="24"/>
          <w:szCs w:val="21"/>
          <w:highlight w:val="none"/>
        </w:rPr>
        <w:t>项目编号：</w:t>
      </w:r>
    </w:p>
    <w:p>
      <w:pPr>
        <w:pStyle w:val="1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24"/>
          <w:szCs w:val="21"/>
          <w:highlight w:val="none"/>
        </w:rPr>
        <w:t>项目名称：</w:t>
      </w:r>
    </w:p>
    <w:tbl>
      <w:tblPr>
        <w:tblStyle w:val="24"/>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3"/>
        <w:gridCol w:w="3117"/>
        <w:gridCol w:w="2616"/>
        <w:gridCol w:w="28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163" w:type="dxa"/>
            <w:tcBorders>
              <w:top w:val="single" w:color="auto" w:sz="4" w:space="0"/>
              <w:left w:val="single" w:color="auto" w:sz="4" w:space="0"/>
              <w:bottom w:val="single" w:color="auto" w:sz="4" w:space="0"/>
              <w:right w:val="single" w:color="auto" w:sz="4" w:space="0"/>
            </w:tcBorders>
            <w:shd w:val="clear" w:color="auto" w:fill="8DB3E2"/>
            <w:noWrap/>
            <w:vAlign w:val="center"/>
          </w:tcPr>
          <w:p>
            <w:pPr>
              <w:snapToGrid w:val="0"/>
              <w:spacing w:line="36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项号</w:t>
            </w:r>
          </w:p>
        </w:tc>
        <w:tc>
          <w:tcPr>
            <w:tcW w:w="3117" w:type="dxa"/>
            <w:tcBorders>
              <w:top w:val="single" w:color="auto" w:sz="4" w:space="0"/>
              <w:left w:val="single" w:color="auto" w:sz="4" w:space="0"/>
              <w:bottom w:val="single" w:color="auto" w:sz="4" w:space="0"/>
              <w:right w:val="single" w:color="auto" w:sz="4" w:space="0"/>
            </w:tcBorders>
            <w:shd w:val="clear" w:color="auto" w:fill="8DB3E2"/>
            <w:noWrap/>
            <w:vAlign w:val="center"/>
          </w:tcPr>
          <w:p>
            <w:pPr>
              <w:pStyle w:val="13"/>
              <w:spacing w:line="36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color w:val="auto"/>
                <w:szCs w:val="21"/>
                <w:highlight w:val="none"/>
              </w:rPr>
              <w:t>竞争性磋商文件</w:t>
            </w:r>
            <w:r>
              <w:rPr>
                <w:rFonts w:hint="eastAsia" w:asciiTheme="minorEastAsia" w:hAnsiTheme="minorEastAsia" w:eastAsiaTheme="minorEastAsia" w:cstheme="minorEastAsia"/>
                <w:b/>
                <w:bCs/>
                <w:color w:val="auto"/>
                <w:szCs w:val="24"/>
                <w:highlight w:val="none"/>
              </w:rPr>
              <w:t>的商务要求</w:t>
            </w:r>
          </w:p>
        </w:tc>
        <w:tc>
          <w:tcPr>
            <w:tcW w:w="2616" w:type="dxa"/>
            <w:tcBorders>
              <w:top w:val="single" w:color="auto" w:sz="4" w:space="0"/>
              <w:left w:val="single" w:color="auto" w:sz="4" w:space="0"/>
              <w:bottom w:val="single" w:color="auto" w:sz="4" w:space="0"/>
              <w:right w:val="single" w:color="auto" w:sz="4" w:space="0"/>
            </w:tcBorders>
            <w:shd w:val="clear" w:color="auto" w:fill="8DB3E2"/>
            <w:noWrap/>
            <w:vAlign w:val="center"/>
          </w:tcPr>
          <w:p>
            <w:pPr>
              <w:pStyle w:val="13"/>
              <w:spacing w:line="36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color w:val="auto"/>
                <w:szCs w:val="21"/>
                <w:highlight w:val="none"/>
              </w:rPr>
              <w:t>竞争性磋商响应文件</w:t>
            </w:r>
            <w:r>
              <w:rPr>
                <w:rFonts w:hint="eastAsia" w:asciiTheme="minorEastAsia" w:hAnsiTheme="minorEastAsia" w:eastAsiaTheme="minorEastAsia" w:cstheme="minorEastAsia"/>
                <w:b/>
                <w:bCs/>
                <w:color w:val="auto"/>
                <w:szCs w:val="24"/>
                <w:highlight w:val="none"/>
              </w:rPr>
              <w:t>承诺的商务要求</w:t>
            </w:r>
          </w:p>
        </w:tc>
        <w:tc>
          <w:tcPr>
            <w:tcW w:w="2885" w:type="dxa"/>
            <w:tcBorders>
              <w:top w:val="single" w:color="auto" w:sz="4" w:space="0"/>
              <w:left w:val="single" w:color="auto" w:sz="4" w:space="0"/>
              <w:bottom w:val="single" w:color="auto" w:sz="4" w:space="0"/>
              <w:right w:val="single" w:color="auto" w:sz="4" w:space="0"/>
            </w:tcBorders>
            <w:shd w:val="clear" w:color="auto" w:fill="8DB3E2"/>
            <w:noWrap/>
            <w:vAlign w:val="center"/>
          </w:tcPr>
          <w:p>
            <w:pPr>
              <w:pStyle w:val="13"/>
              <w:spacing w:line="36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szCs w:val="24"/>
                <w:highlight w:val="none"/>
              </w:rPr>
              <w:t>偏离情况说明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63" w:type="dxa"/>
            <w:tcBorders>
              <w:top w:val="single" w:color="auto" w:sz="4" w:space="0"/>
              <w:left w:val="single" w:color="auto" w:sz="4" w:space="0"/>
              <w:bottom w:val="single" w:color="auto" w:sz="4" w:space="0"/>
              <w:right w:val="single" w:color="auto" w:sz="4" w:space="0"/>
            </w:tcBorders>
            <w:noWrap/>
            <w:vAlign w:val="center"/>
          </w:tcPr>
          <w:p>
            <w:pPr>
              <w:snapToGrid w:val="0"/>
              <w:spacing w:beforeLines="50"/>
              <w:jc w:val="center"/>
              <w:rPr>
                <w:rFonts w:hint="eastAsia" w:asciiTheme="minorEastAsia" w:hAnsiTheme="minorEastAsia" w:eastAsiaTheme="minorEastAsia" w:cstheme="minorEastAsia"/>
                <w:color w:val="auto"/>
                <w:szCs w:val="21"/>
                <w:highlight w:val="none"/>
              </w:rPr>
            </w:pPr>
          </w:p>
        </w:tc>
        <w:tc>
          <w:tcPr>
            <w:tcW w:w="3117" w:type="dxa"/>
            <w:tcBorders>
              <w:top w:val="single" w:color="auto" w:sz="4" w:space="0"/>
              <w:left w:val="single" w:color="auto" w:sz="4" w:space="0"/>
              <w:bottom w:val="single" w:color="auto" w:sz="4" w:space="0"/>
              <w:right w:val="single" w:color="auto" w:sz="4" w:space="0"/>
            </w:tcBorders>
            <w:noWrap/>
          </w:tcPr>
          <w:p>
            <w:pPr>
              <w:snapToGrid w:val="0"/>
              <w:spacing w:beforeLines="50"/>
              <w:jc w:val="left"/>
              <w:rPr>
                <w:rFonts w:hint="eastAsia" w:asciiTheme="minorEastAsia" w:hAnsiTheme="minorEastAsia" w:eastAsiaTheme="minorEastAsia" w:cstheme="minorEastAsia"/>
                <w:color w:val="auto"/>
                <w:szCs w:val="21"/>
                <w:highlight w:val="none"/>
              </w:rPr>
            </w:pPr>
          </w:p>
        </w:tc>
        <w:tc>
          <w:tcPr>
            <w:tcW w:w="2616" w:type="dxa"/>
            <w:tcBorders>
              <w:top w:val="single" w:color="auto" w:sz="4" w:space="0"/>
              <w:left w:val="single" w:color="auto" w:sz="4" w:space="0"/>
              <w:bottom w:val="single" w:color="auto" w:sz="4" w:space="0"/>
              <w:right w:val="single" w:color="auto" w:sz="4" w:space="0"/>
            </w:tcBorders>
            <w:noWrap/>
            <w:vAlign w:val="center"/>
          </w:tcPr>
          <w:p>
            <w:pPr>
              <w:snapToGrid w:val="0"/>
              <w:spacing w:beforeLines="50"/>
              <w:jc w:val="center"/>
              <w:rPr>
                <w:rFonts w:hint="eastAsia" w:asciiTheme="minorEastAsia" w:hAnsiTheme="minorEastAsia" w:eastAsiaTheme="minorEastAsia" w:cstheme="minorEastAsia"/>
                <w:color w:val="auto"/>
                <w:szCs w:val="21"/>
                <w:highlight w:val="none"/>
              </w:rPr>
            </w:pPr>
          </w:p>
        </w:tc>
        <w:tc>
          <w:tcPr>
            <w:tcW w:w="2885" w:type="dxa"/>
            <w:tcBorders>
              <w:top w:val="single" w:color="auto" w:sz="4" w:space="0"/>
              <w:left w:val="single" w:color="auto" w:sz="4" w:space="0"/>
              <w:bottom w:val="single" w:color="auto" w:sz="4" w:space="0"/>
              <w:right w:val="single" w:color="auto" w:sz="4" w:space="0"/>
            </w:tcBorders>
            <w:noWrap/>
            <w:vAlign w:val="center"/>
          </w:tcPr>
          <w:p>
            <w:pPr>
              <w:snapToGrid w:val="0"/>
              <w:spacing w:beforeLines="50"/>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163" w:type="dxa"/>
            <w:tcBorders>
              <w:top w:val="single" w:color="auto" w:sz="4" w:space="0"/>
              <w:left w:val="single" w:color="auto" w:sz="4" w:space="0"/>
              <w:bottom w:val="single" w:color="auto" w:sz="4" w:space="0"/>
              <w:right w:val="single" w:color="auto" w:sz="4" w:space="0"/>
            </w:tcBorders>
            <w:noWrap/>
            <w:vAlign w:val="center"/>
          </w:tcPr>
          <w:p>
            <w:pPr>
              <w:snapToGrid w:val="0"/>
              <w:spacing w:beforeLines="50"/>
              <w:jc w:val="center"/>
              <w:rPr>
                <w:rFonts w:hint="eastAsia" w:asciiTheme="minorEastAsia" w:hAnsiTheme="minorEastAsia" w:eastAsiaTheme="minorEastAsia" w:cstheme="minorEastAsia"/>
                <w:color w:val="auto"/>
                <w:szCs w:val="21"/>
                <w:highlight w:val="none"/>
              </w:rPr>
            </w:pPr>
          </w:p>
        </w:tc>
        <w:tc>
          <w:tcPr>
            <w:tcW w:w="3117" w:type="dxa"/>
            <w:tcBorders>
              <w:top w:val="single" w:color="auto" w:sz="4" w:space="0"/>
              <w:left w:val="single" w:color="auto" w:sz="4" w:space="0"/>
              <w:bottom w:val="single" w:color="auto" w:sz="4" w:space="0"/>
              <w:right w:val="single" w:color="auto" w:sz="4" w:space="0"/>
            </w:tcBorders>
            <w:noWrap/>
            <w:vAlign w:val="center"/>
          </w:tcPr>
          <w:p>
            <w:pPr>
              <w:snapToGrid w:val="0"/>
              <w:spacing w:beforeLines="50"/>
              <w:jc w:val="center"/>
              <w:rPr>
                <w:rFonts w:hint="eastAsia" w:asciiTheme="minorEastAsia" w:hAnsiTheme="minorEastAsia" w:eastAsiaTheme="minorEastAsia" w:cstheme="minorEastAsia"/>
                <w:color w:val="auto"/>
                <w:szCs w:val="21"/>
                <w:highlight w:val="none"/>
              </w:rPr>
            </w:pPr>
          </w:p>
        </w:tc>
        <w:tc>
          <w:tcPr>
            <w:tcW w:w="2616" w:type="dxa"/>
            <w:tcBorders>
              <w:top w:val="single" w:color="auto" w:sz="4" w:space="0"/>
              <w:left w:val="single" w:color="auto" w:sz="4" w:space="0"/>
              <w:bottom w:val="single" w:color="auto" w:sz="4" w:space="0"/>
              <w:right w:val="single" w:color="auto" w:sz="4" w:space="0"/>
            </w:tcBorders>
            <w:noWrap/>
            <w:vAlign w:val="center"/>
          </w:tcPr>
          <w:p>
            <w:pPr>
              <w:snapToGrid w:val="0"/>
              <w:spacing w:beforeLines="50"/>
              <w:jc w:val="center"/>
              <w:rPr>
                <w:rFonts w:hint="eastAsia" w:asciiTheme="minorEastAsia" w:hAnsiTheme="minorEastAsia" w:eastAsiaTheme="minorEastAsia" w:cstheme="minorEastAsia"/>
                <w:color w:val="auto"/>
                <w:szCs w:val="21"/>
                <w:highlight w:val="none"/>
              </w:rPr>
            </w:pPr>
          </w:p>
        </w:tc>
        <w:tc>
          <w:tcPr>
            <w:tcW w:w="2885" w:type="dxa"/>
            <w:tcBorders>
              <w:top w:val="single" w:color="auto" w:sz="4" w:space="0"/>
              <w:left w:val="single" w:color="auto" w:sz="4" w:space="0"/>
              <w:bottom w:val="single" w:color="auto" w:sz="4" w:space="0"/>
              <w:right w:val="single" w:color="auto" w:sz="4" w:space="0"/>
            </w:tcBorders>
            <w:noWrap/>
            <w:vAlign w:val="center"/>
          </w:tcPr>
          <w:p>
            <w:pPr>
              <w:snapToGrid w:val="0"/>
              <w:spacing w:beforeLines="50"/>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1163" w:type="dxa"/>
            <w:tcBorders>
              <w:top w:val="single" w:color="auto" w:sz="4" w:space="0"/>
              <w:left w:val="single" w:color="auto" w:sz="4" w:space="0"/>
              <w:bottom w:val="single" w:color="auto" w:sz="4" w:space="0"/>
              <w:right w:val="single" w:color="auto" w:sz="4" w:space="0"/>
            </w:tcBorders>
            <w:noWrap/>
            <w:vAlign w:val="center"/>
          </w:tcPr>
          <w:p>
            <w:pPr>
              <w:snapToGrid w:val="0"/>
              <w:spacing w:beforeLines="50"/>
              <w:jc w:val="center"/>
              <w:rPr>
                <w:rFonts w:hint="eastAsia" w:asciiTheme="minorEastAsia" w:hAnsiTheme="minorEastAsia" w:eastAsiaTheme="minorEastAsia" w:cstheme="minorEastAsia"/>
                <w:color w:val="auto"/>
                <w:szCs w:val="21"/>
                <w:highlight w:val="none"/>
              </w:rPr>
            </w:pPr>
          </w:p>
        </w:tc>
        <w:tc>
          <w:tcPr>
            <w:tcW w:w="3117" w:type="dxa"/>
            <w:tcBorders>
              <w:top w:val="single" w:color="auto" w:sz="4" w:space="0"/>
              <w:left w:val="single" w:color="auto" w:sz="4" w:space="0"/>
              <w:bottom w:val="single" w:color="auto" w:sz="4" w:space="0"/>
              <w:right w:val="single" w:color="auto" w:sz="4" w:space="0"/>
            </w:tcBorders>
            <w:noWrap/>
            <w:vAlign w:val="center"/>
          </w:tcPr>
          <w:p>
            <w:pPr>
              <w:snapToGrid w:val="0"/>
              <w:spacing w:beforeLines="50"/>
              <w:jc w:val="center"/>
              <w:rPr>
                <w:rFonts w:hint="eastAsia" w:asciiTheme="minorEastAsia" w:hAnsiTheme="minorEastAsia" w:eastAsiaTheme="minorEastAsia" w:cstheme="minorEastAsia"/>
                <w:color w:val="auto"/>
                <w:szCs w:val="21"/>
                <w:highlight w:val="none"/>
              </w:rPr>
            </w:pPr>
          </w:p>
        </w:tc>
        <w:tc>
          <w:tcPr>
            <w:tcW w:w="2616" w:type="dxa"/>
            <w:tcBorders>
              <w:top w:val="single" w:color="auto" w:sz="4" w:space="0"/>
              <w:left w:val="single" w:color="auto" w:sz="4" w:space="0"/>
              <w:bottom w:val="single" w:color="auto" w:sz="4" w:space="0"/>
              <w:right w:val="single" w:color="auto" w:sz="4" w:space="0"/>
            </w:tcBorders>
            <w:noWrap/>
            <w:vAlign w:val="center"/>
          </w:tcPr>
          <w:p>
            <w:pPr>
              <w:snapToGrid w:val="0"/>
              <w:spacing w:beforeLines="50"/>
              <w:ind w:left="43"/>
              <w:jc w:val="center"/>
              <w:rPr>
                <w:rFonts w:hint="eastAsia" w:asciiTheme="minorEastAsia" w:hAnsiTheme="minorEastAsia" w:eastAsiaTheme="minorEastAsia" w:cstheme="minorEastAsia"/>
                <w:color w:val="auto"/>
                <w:szCs w:val="21"/>
                <w:highlight w:val="none"/>
              </w:rPr>
            </w:pPr>
          </w:p>
        </w:tc>
        <w:tc>
          <w:tcPr>
            <w:tcW w:w="2885" w:type="dxa"/>
            <w:tcBorders>
              <w:top w:val="single" w:color="auto" w:sz="4" w:space="0"/>
              <w:left w:val="single" w:color="auto" w:sz="4" w:space="0"/>
              <w:bottom w:val="single" w:color="auto" w:sz="4" w:space="0"/>
              <w:right w:val="single" w:color="auto" w:sz="4" w:space="0"/>
            </w:tcBorders>
            <w:noWrap/>
            <w:vAlign w:val="center"/>
          </w:tcPr>
          <w:p>
            <w:pPr>
              <w:snapToGrid w:val="0"/>
              <w:spacing w:beforeLines="50"/>
              <w:ind w:left="43"/>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63" w:type="dxa"/>
            <w:tcBorders>
              <w:top w:val="single" w:color="auto" w:sz="4" w:space="0"/>
              <w:left w:val="single" w:color="auto" w:sz="4" w:space="0"/>
              <w:bottom w:val="single" w:color="auto" w:sz="4" w:space="0"/>
              <w:right w:val="single" w:color="auto" w:sz="4" w:space="0"/>
            </w:tcBorders>
            <w:noWrap/>
            <w:vAlign w:val="center"/>
          </w:tcPr>
          <w:p>
            <w:pPr>
              <w:snapToGrid w:val="0"/>
              <w:spacing w:beforeLines="50"/>
              <w:jc w:val="center"/>
              <w:rPr>
                <w:rFonts w:hint="eastAsia" w:asciiTheme="minorEastAsia" w:hAnsiTheme="minorEastAsia" w:eastAsiaTheme="minorEastAsia" w:cstheme="minorEastAsia"/>
                <w:color w:val="auto"/>
                <w:szCs w:val="21"/>
                <w:highlight w:val="none"/>
              </w:rPr>
            </w:pPr>
          </w:p>
        </w:tc>
        <w:tc>
          <w:tcPr>
            <w:tcW w:w="3117" w:type="dxa"/>
            <w:tcBorders>
              <w:top w:val="single" w:color="auto" w:sz="4" w:space="0"/>
              <w:left w:val="single" w:color="auto" w:sz="4" w:space="0"/>
              <w:bottom w:val="single" w:color="auto" w:sz="4" w:space="0"/>
              <w:right w:val="single" w:color="auto" w:sz="4" w:space="0"/>
            </w:tcBorders>
            <w:noWrap/>
            <w:vAlign w:val="center"/>
          </w:tcPr>
          <w:p>
            <w:pPr>
              <w:snapToGrid w:val="0"/>
              <w:spacing w:beforeLines="50"/>
              <w:jc w:val="center"/>
              <w:rPr>
                <w:rFonts w:hint="eastAsia" w:asciiTheme="minorEastAsia" w:hAnsiTheme="minorEastAsia" w:eastAsiaTheme="minorEastAsia" w:cstheme="minorEastAsia"/>
                <w:color w:val="auto"/>
                <w:szCs w:val="21"/>
                <w:highlight w:val="none"/>
              </w:rPr>
            </w:pPr>
          </w:p>
        </w:tc>
        <w:tc>
          <w:tcPr>
            <w:tcW w:w="2616" w:type="dxa"/>
            <w:tcBorders>
              <w:top w:val="single" w:color="auto" w:sz="4" w:space="0"/>
              <w:left w:val="single" w:color="auto" w:sz="4" w:space="0"/>
              <w:bottom w:val="single" w:color="auto" w:sz="4" w:space="0"/>
              <w:right w:val="single" w:color="auto" w:sz="4" w:space="0"/>
            </w:tcBorders>
            <w:noWrap/>
            <w:vAlign w:val="center"/>
          </w:tcPr>
          <w:p>
            <w:pPr>
              <w:snapToGrid w:val="0"/>
              <w:spacing w:beforeLines="50"/>
              <w:jc w:val="center"/>
              <w:rPr>
                <w:rFonts w:hint="eastAsia" w:asciiTheme="minorEastAsia" w:hAnsiTheme="minorEastAsia" w:eastAsiaTheme="minorEastAsia" w:cstheme="minorEastAsia"/>
                <w:color w:val="auto"/>
                <w:szCs w:val="21"/>
                <w:highlight w:val="none"/>
              </w:rPr>
            </w:pPr>
          </w:p>
        </w:tc>
        <w:tc>
          <w:tcPr>
            <w:tcW w:w="2885" w:type="dxa"/>
            <w:tcBorders>
              <w:top w:val="single" w:color="auto" w:sz="4" w:space="0"/>
              <w:left w:val="single" w:color="auto" w:sz="4" w:space="0"/>
              <w:bottom w:val="single" w:color="auto" w:sz="4" w:space="0"/>
              <w:right w:val="single" w:color="auto" w:sz="4" w:space="0"/>
            </w:tcBorders>
            <w:noWrap/>
            <w:vAlign w:val="center"/>
          </w:tcPr>
          <w:p>
            <w:pPr>
              <w:snapToGrid w:val="0"/>
              <w:spacing w:beforeLines="50"/>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noWrap/>
            <w:vAlign w:val="center"/>
          </w:tcPr>
          <w:p>
            <w:pPr>
              <w:snapToGrid w:val="0"/>
              <w:spacing w:beforeLines="50"/>
              <w:jc w:val="center"/>
              <w:rPr>
                <w:rFonts w:hint="eastAsia" w:asciiTheme="minorEastAsia" w:hAnsiTheme="minorEastAsia" w:eastAsiaTheme="minorEastAsia" w:cstheme="minorEastAsia"/>
                <w:color w:val="auto"/>
                <w:szCs w:val="21"/>
                <w:highlight w:val="none"/>
              </w:rPr>
            </w:pPr>
          </w:p>
        </w:tc>
        <w:tc>
          <w:tcPr>
            <w:tcW w:w="3117" w:type="dxa"/>
            <w:tcBorders>
              <w:top w:val="single" w:color="auto" w:sz="4" w:space="0"/>
              <w:left w:val="single" w:color="auto" w:sz="4" w:space="0"/>
              <w:bottom w:val="single" w:color="auto" w:sz="4" w:space="0"/>
              <w:right w:val="single" w:color="auto" w:sz="4" w:space="0"/>
            </w:tcBorders>
            <w:noWrap/>
            <w:vAlign w:val="center"/>
          </w:tcPr>
          <w:p>
            <w:pPr>
              <w:snapToGrid w:val="0"/>
              <w:spacing w:beforeLines="50"/>
              <w:jc w:val="center"/>
              <w:rPr>
                <w:rFonts w:hint="eastAsia" w:asciiTheme="minorEastAsia" w:hAnsiTheme="minorEastAsia" w:eastAsiaTheme="minorEastAsia" w:cstheme="minorEastAsia"/>
                <w:color w:val="auto"/>
                <w:szCs w:val="21"/>
                <w:highlight w:val="none"/>
              </w:rPr>
            </w:pPr>
          </w:p>
        </w:tc>
        <w:tc>
          <w:tcPr>
            <w:tcW w:w="2616" w:type="dxa"/>
            <w:tcBorders>
              <w:top w:val="single" w:color="auto" w:sz="4" w:space="0"/>
              <w:left w:val="single" w:color="auto" w:sz="4" w:space="0"/>
              <w:bottom w:val="single" w:color="auto" w:sz="4" w:space="0"/>
              <w:right w:val="single" w:color="auto" w:sz="4" w:space="0"/>
            </w:tcBorders>
            <w:noWrap/>
            <w:vAlign w:val="center"/>
          </w:tcPr>
          <w:p>
            <w:pPr>
              <w:snapToGrid w:val="0"/>
              <w:spacing w:beforeLines="50"/>
              <w:jc w:val="center"/>
              <w:rPr>
                <w:rFonts w:hint="eastAsia" w:asciiTheme="minorEastAsia" w:hAnsiTheme="minorEastAsia" w:eastAsiaTheme="minorEastAsia" w:cstheme="minorEastAsia"/>
                <w:color w:val="auto"/>
                <w:szCs w:val="21"/>
                <w:highlight w:val="none"/>
              </w:rPr>
            </w:pPr>
          </w:p>
        </w:tc>
        <w:tc>
          <w:tcPr>
            <w:tcW w:w="2885" w:type="dxa"/>
            <w:tcBorders>
              <w:top w:val="single" w:color="auto" w:sz="4" w:space="0"/>
              <w:left w:val="single" w:color="auto" w:sz="4" w:space="0"/>
              <w:bottom w:val="single" w:color="auto" w:sz="4" w:space="0"/>
              <w:right w:val="single" w:color="auto" w:sz="4" w:space="0"/>
            </w:tcBorders>
            <w:noWrap/>
            <w:vAlign w:val="center"/>
          </w:tcPr>
          <w:p>
            <w:pPr>
              <w:snapToGrid w:val="0"/>
              <w:spacing w:beforeLines="50"/>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noWrap/>
            <w:vAlign w:val="center"/>
          </w:tcPr>
          <w:p>
            <w:pPr>
              <w:snapToGrid w:val="0"/>
              <w:spacing w:beforeLines="5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3117" w:type="dxa"/>
            <w:tcBorders>
              <w:top w:val="single" w:color="auto" w:sz="4" w:space="0"/>
              <w:left w:val="single" w:color="auto" w:sz="4" w:space="0"/>
              <w:bottom w:val="single" w:color="auto" w:sz="4" w:space="0"/>
              <w:right w:val="single" w:color="auto" w:sz="4" w:space="0"/>
            </w:tcBorders>
            <w:noWrap/>
            <w:vAlign w:val="center"/>
          </w:tcPr>
          <w:p>
            <w:pPr>
              <w:snapToGrid w:val="0"/>
              <w:spacing w:beforeLines="50"/>
              <w:jc w:val="center"/>
              <w:rPr>
                <w:rFonts w:hint="eastAsia" w:asciiTheme="minorEastAsia" w:hAnsiTheme="minorEastAsia" w:eastAsiaTheme="minorEastAsia" w:cstheme="minorEastAsia"/>
                <w:color w:val="auto"/>
                <w:szCs w:val="21"/>
                <w:highlight w:val="none"/>
              </w:rPr>
            </w:pPr>
          </w:p>
        </w:tc>
        <w:tc>
          <w:tcPr>
            <w:tcW w:w="2616" w:type="dxa"/>
            <w:tcBorders>
              <w:top w:val="single" w:color="auto" w:sz="4" w:space="0"/>
              <w:left w:val="single" w:color="auto" w:sz="4" w:space="0"/>
              <w:bottom w:val="single" w:color="auto" w:sz="4" w:space="0"/>
              <w:right w:val="single" w:color="auto" w:sz="4" w:space="0"/>
            </w:tcBorders>
            <w:noWrap/>
            <w:vAlign w:val="center"/>
          </w:tcPr>
          <w:p>
            <w:pPr>
              <w:snapToGrid w:val="0"/>
              <w:spacing w:beforeLines="50"/>
              <w:jc w:val="center"/>
              <w:rPr>
                <w:rFonts w:hint="eastAsia" w:asciiTheme="minorEastAsia" w:hAnsiTheme="minorEastAsia" w:eastAsiaTheme="minorEastAsia" w:cstheme="minorEastAsia"/>
                <w:color w:val="auto"/>
                <w:szCs w:val="21"/>
                <w:highlight w:val="none"/>
              </w:rPr>
            </w:pPr>
          </w:p>
        </w:tc>
        <w:tc>
          <w:tcPr>
            <w:tcW w:w="2885" w:type="dxa"/>
            <w:tcBorders>
              <w:top w:val="single" w:color="auto" w:sz="4" w:space="0"/>
              <w:left w:val="single" w:color="auto" w:sz="4" w:space="0"/>
              <w:bottom w:val="single" w:color="auto" w:sz="4" w:space="0"/>
              <w:right w:val="single" w:color="auto" w:sz="4" w:space="0"/>
            </w:tcBorders>
            <w:noWrap/>
            <w:vAlign w:val="center"/>
          </w:tcPr>
          <w:p>
            <w:pPr>
              <w:snapToGrid w:val="0"/>
              <w:spacing w:beforeLines="50"/>
              <w:jc w:val="center"/>
              <w:rPr>
                <w:rFonts w:hint="eastAsia" w:asciiTheme="minorEastAsia" w:hAnsiTheme="minorEastAsia" w:eastAsiaTheme="minorEastAsia" w:cstheme="minorEastAsia"/>
                <w:color w:val="auto"/>
                <w:szCs w:val="21"/>
                <w:highlight w:val="none"/>
              </w:rPr>
            </w:pPr>
          </w:p>
        </w:tc>
      </w:tr>
    </w:tbl>
    <w:p>
      <w:pPr>
        <w:snapToGrid w:val="0"/>
        <w:spacing w:before="50" w:after="50"/>
        <w:rPr>
          <w:rFonts w:hint="eastAsia" w:asciiTheme="minorEastAsia" w:hAnsiTheme="minorEastAsia" w:eastAsiaTheme="minorEastAsia" w:cstheme="minorEastAsia"/>
          <w:color w:val="auto"/>
          <w:highlight w:val="none"/>
        </w:rPr>
      </w:pPr>
    </w:p>
    <w:p>
      <w:pPr>
        <w:snapToGrid w:val="0"/>
        <w:spacing w:before="50" w:after="50"/>
        <w:rPr>
          <w:rFonts w:hint="eastAsia" w:asciiTheme="minorEastAsia" w:hAnsiTheme="minorEastAsia" w:eastAsiaTheme="minorEastAsia" w:cstheme="minorEastAsia"/>
          <w:color w:val="auto"/>
          <w:spacing w:val="20"/>
          <w:sz w:val="24"/>
          <w:highlight w:val="none"/>
        </w:rPr>
      </w:pPr>
    </w:p>
    <w:p>
      <w:pPr>
        <w:snapToGrid w:val="0"/>
        <w:spacing w:line="400" w:lineRule="exact"/>
        <w:ind w:firstLine="1890" w:firstLineChars="9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磋商供应商[公章(CA签章)，自然人签字或个人CA签章]：</w:t>
      </w:r>
    </w:p>
    <w:p>
      <w:pPr>
        <w:spacing w:line="340" w:lineRule="exact"/>
        <w:rPr>
          <w:rFonts w:hint="eastAsia" w:asciiTheme="minorEastAsia" w:hAnsiTheme="minorEastAsia" w:eastAsiaTheme="minorEastAsia" w:cstheme="minorEastAsia"/>
          <w:color w:val="auto"/>
          <w:highlight w:val="none"/>
        </w:rPr>
      </w:pPr>
    </w:p>
    <w:p>
      <w:pPr>
        <w:snapToGrid w:val="0"/>
        <w:spacing w:line="400" w:lineRule="exact"/>
        <w:ind w:firstLine="1680" w:firstLineChars="800"/>
        <w:rPr>
          <w:rFonts w:hint="eastAsia" w:asciiTheme="minorEastAsia" w:hAnsiTheme="minorEastAsia" w:eastAsiaTheme="minorEastAsia" w:cstheme="minorEastAsia"/>
          <w:color w:val="auto"/>
          <w:highlight w:val="none"/>
        </w:rPr>
      </w:pPr>
    </w:p>
    <w:p>
      <w:pPr>
        <w:snapToGrid w:val="0"/>
        <w:spacing w:line="400" w:lineRule="exact"/>
        <w:ind w:firstLine="1680" w:firstLineChars="8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日          期：</w:t>
      </w:r>
    </w:p>
    <w:p>
      <w:pPr>
        <w:ind w:firstLine="1890" w:firstLineChars="900"/>
        <w:rPr>
          <w:rFonts w:hint="eastAsia" w:asciiTheme="minorEastAsia" w:hAnsiTheme="minorEastAsia" w:eastAsiaTheme="minorEastAsia" w:cstheme="minorEastAsia"/>
          <w:color w:val="auto"/>
          <w:highlight w:val="none"/>
          <w:u w:val="single"/>
        </w:rPr>
      </w:pPr>
    </w:p>
    <w:p>
      <w:pPr>
        <w:ind w:firstLine="1890" w:firstLineChars="900"/>
        <w:rPr>
          <w:rFonts w:hint="eastAsia" w:asciiTheme="minorEastAsia" w:hAnsiTheme="minorEastAsia" w:eastAsiaTheme="minorEastAsia" w:cstheme="minorEastAsia"/>
          <w:color w:val="auto"/>
          <w:highlight w:val="none"/>
          <w:u w:val="single"/>
        </w:rPr>
      </w:pPr>
    </w:p>
    <w:p>
      <w:pPr>
        <w:spacing w:line="400" w:lineRule="exact"/>
        <w:ind w:left="900" w:leftChars="200" w:hanging="480" w:hanging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注：</w:t>
      </w:r>
      <w:r>
        <w:rPr>
          <w:rFonts w:hint="eastAsia" w:asciiTheme="minorEastAsia" w:hAnsiTheme="minorEastAsia" w:eastAsiaTheme="minorEastAsia" w:cstheme="minorEastAsia"/>
          <w:b/>
          <w:color w:val="auto"/>
          <w:sz w:val="24"/>
          <w:highlight w:val="none"/>
        </w:rPr>
        <w:t>1.“商务响应表”各项内容必须如实填写。</w:t>
      </w:r>
    </w:p>
    <w:p>
      <w:pPr>
        <w:spacing w:line="400" w:lineRule="exact"/>
        <w:ind w:firstLine="960" w:firstLineChars="4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2.当本表由多页构成时，需逐页加盖磋商供应商公章（CA签章）（属自然人的须逐页签字或个人CA签章）。</w:t>
      </w:r>
    </w:p>
    <w:p>
      <w:pPr>
        <w:pStyle w:val="10"/>
        <w:ind w:firstLine="960" w:firstLineChars="400"/>
        <w:rPr>
          <w:rFonts w:hint="eastAsia" w:asciiTheme="minorEastAsia" w:hAnsiTheme="minorEastAsia" w:eastAsiaTheme="minorEastAsia" w:cstheme="minorEastAsia"/>
          <w:color w:val="auto"/>
          <w:sz w:val="24"/>
          <w:highlight w:val="none"/>
        </w:rPr>
        <w:sectPr>
          <w:footerReference r:id="rId9" w:type="default"/>
          <w:pgSz w:w="11906" w:h="16838"/>
          <w:pgMar w:top="1440" w:right="935" w:bottom="1440" w:left="777" w:header="851" w:footer="992" w:gutter="0"/>
          <w:pgNumType w:fmt="numberInDash"/>
          <w:cols w:space="720" w:num="1"/>
          <w:docGrid w:type="linesAndChars" w:linePitch="312" w:charSpace="0"/>
        </w:sectPr>
      </w:pPr>
      <w:r>
        <w:rPr>
          <w:rFonts w:hint="eastAsia" w:asciiTheme="minorEastAsia" w:hAnsiTheme="minorEastAsia" w:eastAsiaTheme="minorEastAsia" w:cstheme="minorEastAsia"/>
          <w:b/>
          <w:color w:val="auto"/>
          <w:sz w:val="24"/>
          <w:highlight w:val="none"/>
        </w:rPr>
        <w:t>3.磋商供应商应对照竞争性磋商文件中“第三章采购需求”中的“商务要求”的内容逐条响应，并在“偏离情况说明”栏注明“正偏离”、“负偏离”或“无偏离”。否则，响应无效。</w:t>
      </w:r>
    </w:p>
    <w:p>
      <w:pPr>
        <w:pStyle w:val="13"/>
        <w:spacing w:line="340" w:lineRule="exac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5. 服务承诺书（由供应商根据本项目采购需求、特点及供应商自身的处理能力自行编写，承诺书内容至少应包括“采购需求”的所有服务条款）（必须提供）；</w:t>
      </w:r>
    </w:p>
    <w:p>
      <w:pPr>
        <w:rPr>
          <w:rFonts w:hint="eastAsia" w:asciiTheme="minorEastAsia" w:hAnsiTheme="minorEastAsia" w:eastAsiaTheme="minorEastAsia" w:cstheme="minorEastAsia"/>
          <w:color w:val="auto"/>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附件：</w:t>
      </w:r>
    </w:p>
    <w:p>
      <w:pPr>
        <w:rPr>
          <w:rFonts w:hint="eastAsia" w:asciiTheme="minorEastAsia" w:hAnsiTheme="minorEastAsia" w:eastAsiaTheme="minorEastAsia" w:cstheme="minorEastAsia"/>
          <w:color w:val="auto"/>
          <w:highlight w:val="none"/>
        </w:rPr>
      </w:pPr>
    </w:p>
    <w:p>
      <w:pPr>
        <w:pStyle w:val="11"/>
        <w:rPr>
          <w:rFonts w:hint="eastAsia" w:asciiTheme="minorEastAsia" w:hAnsiTheme="minorEastAsia" w:eastAsiaTheme="minorEastAsia" w:cstheme="minorEastAsia"/>
          <w:color w:val="auto"/>
          <w:highlight w:val="none"/>
        </w:rPr>
      </w:pPr>
    </w:p>
    <w:p>
      <w:pPr>
        <w:pStyle w:val="11"/>
        <w:rPr>
          <w:rFonts w:hint="eastAsia" w:asciiTheme="minorEastAsia" w:hAnsiTheme="minorEastAsia" w:eastAsiaTheme="minorEastAsia" w:cstheme="minorEastAsia"/>
          <w:color w:val="auto"/>
          <w:highlight w:val="none"/>
        </w:rPr>
      </w:pPr>
    </w:p>
    <w:p>
      <w:pPr>
        <w:pStyle w:val="11"/>
        <w:rPr>
          <w:rFonts w:hint="eastAsia" w:asciiTheme="minorEastAsia" w:hAnsiTheme="minorEastAsia" w:eastAsiaTheme="minorEastAsia" w:cstheme="minorEastAsia"/>
          <w:color w:val="auto"/>
          <w:highlight w:val="none"/>
        </w:rPr>
      </w:pPr>
    </w:p>
    <w:p>
      <w:pPr>
        <w:pStyle w:val="13"/>
        <w:spacing w:line="34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服务承诺书（格式）</w:t>
      </w:r>
    </w:p>
    <w:p>
      <w:pPr>
        <w:pStyle w:val="13"/>
        <w:spacing w:line="340" w:lineRule="exact"/>
        <w:jc w:val="center"/>
        <w:rPr>
          <w:rFonts w:hint="eastAsia" w:asciiTheme="minorEastAsia" w:hAnsiTheme="minorEastAsia" w:eastAsiaTheme="minorEastAsia" w:cstheme="minorEastAsia"/>
          <w:b/>
          <w:color w:val="auto"/>
          <w:sz w:val="32"/>
          <w:szCs w:val="32"/>
          <w:highlight w:val="none"/>
        </w:rPr>
      </w:pPr>
    </w:p>
    <w:p>
      <w:pPr>
        <w:pStyle w:val="13"/>
        <w:spacing w:line="340" w:lineRule="exact"/>
        <w:jc w:val="center"/>
        <w:rPr>
          <w:rFonts w:hint="eastAsia" w:asciiTheme="minorEastAsia" w:hAnsiTheme="minorEastAsia" w:eastAsiaTheme="minorEastAsia" w:cstheme="minorEastAsia"/>
          <w:b/>
          <w:color w:val="auto"/>
          <w:sz w:val="32"/>
          <w:szCs w:val="32"/>
          <w:highlight w:val="none"/>
        </w:rPr>
      </w:pPr>
    </w:p>
    <w:p>
      <w:pPr>
        <w:pStyle w:val="13"/>
        <w:spacing w:line="340" w:lineRule="exact"/>
        <w:jc w:val="center"/>
        <w:rPr>
          <w:rFonts w:hint="eastAsia" w:asciiTheme="minorEastAsia" w:hAnsiTheme="minorEastAsia" w:eastAsiaTheme="minorEastAsia" w:cstheme="minorEastAsia"/>
          <w:b/>
          <w:color w:val="auto"/>
          <w:sz w:val="32"/>
          <w:szCs w:val="32"/>
          <w:highlight w:val="none"/>
        </w:rPr>
      </w:pPr>
    </w:p>
    <w:p>
      <w:pPr>
        <w:rPr>
          <w:rFonts w:hint="eastAsia" w:asciiTheme="minorEastAsia" w:hAnsiTheme="minorEastAsia" w:eastAsiaTheme="minorEastAsia" w:cstheme="minorEastAsia"/>
          <w:b/>
          <w:color w:val="auto"/>
          <w:sz w:val="32"/>
          <w:szCs w:val="32"/>
          <w:highlight w:val="none"/>
        </w:rPr>
      </w:pPr>
    </w:p>
    <w:p>
      <w:pPr>
        <w:pStyle w:val="11"/>
        <w:rPr>
          <w:rFonts w:hint="eastAsia" w:asciiTheme="minorEastAsia" w:hAnsiTheme="minorEastAsia" w:eastAsiaTheme="minorEastAsia" w:cstheme="minorEastAsia"/>
          <w:color w:val="auto"/>
          <w:highlight w:val="none"/>
        </w:rPr>
      </w:pPr>
    </w:p>
    <w:p>
      <w:pPr>
        <w:pStyle w:val="11"/>
        <w:rPr>
          <w:rFonts w:hint="eastAsia" w:asciiTheme="minorEastAsia" w:hAnsiTheme="minorEastAsia" w:eastAsiaTheme="minorEastAsia" w:cstheme="minorEastAsia"/>
          <w:b/>
          <w:color w:val="auto"/>
          <w:sz w:val="32"/>
          <w:szCs w:val="32"/>
          <w:highlight w:val="none"/>
        </w:rPr>
      </w:pPr>
    </w:p>
    <w:p>
      <w:pPr>
        <w:pStyle w:val="13"/>
        <w:spacing w:line="340" w:lineRule="exact"/>
        <w:jc w:val="center"/>
        <w:rPr>
          <w:rFonts w:hint="eastAsia" w:asciiTheme="minorEastAsia" w:hAnsiTheme="minorEastAsia" w:eastAsiaTheme="minorEastAsia" w:cstheme="minorEastAsia"/>
          <w:b/>
          <w:color w:val="auto"/>
          <w:sz w:val="32"/>
          <w:szCs w:val="32"/>
          <w:highlight w:val="none"/>
        </w:rPr>
      </w:pPr>
    </w:p>
    <w:p>
      <w:pPr>
        <w:snapToGrid w:val="0"/>
        <w:spacing w:line="400" w:lineRule="exact"/>
        <w:ind w:firstLine="1890" w:firstLineChars="9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磋商供应商[公章(CA签章)，自然人签字或个人CA签章]：</w:t>
      </w:r>
    </w:p>
    <w:p>
      <w:pPr>
        <w:pStyle w:val="4"/>
        <w:rPr>
          <w:rFonts w:hint="eastAsia" w:asciiTheme="minorEastAsia" w:hAnsiTheme="minorEastAsia" w:eastAsiaTheme="minorEastAsia" w:cstheme="minorEastAsia"/>
          <w:color w:val="auto"/>
          <w:highlight w:val="none"/>
        </w:rPr>
      </w:pPr>
    </w:p>
    <w:p>
      <w:pPr>
        <w:snapToGrid w:val="0"/>
        <w:spacing w:line="400" w:lineRule="exact"/>
        <w:ind w:firstLine="1680" w:firstLineChars="8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highlight w:val="none"/>
        </w:rPr>
        <w:t xml:space="preserve"> 日          期：</w:t>
      </w:r>
    </w:p>
    <w:p>
      <w:pPr>
        <w:pStyle w:val="11"/>
        <w:rPr>
          <w:rFonts w:hint="eastAsia" w:asciiTheme="minorEastAsia" w:hAnsiTheme="minorEastAsia" w:eastAsiaTheme="minorEastAsia" w:cstheme="minorEastAsia"/>
          <w:b/>
          <w:bCs/>
          <w:color w:val="auto"/>
          <w:szCs w:val="21"/>
          <w:highlight w:val="none"/>
        </w:rPr>
      </w:pPr>
    </w:p>
    <w:p>
      <w:pPr>
        <w:pStyle w:val="11"/>
        <w:rPr>
          <w:rFonts w:hint="eastAsia" w:asciiTheme="minorEastAsia" w:hAnsiTheme="minorEastAsia" w:eastAsiaTheme="minorEastAsia" w:cstheme="minorEastAsia"/>
          <w:b/>
          <w:bCs/>
          <w:color w:val="auto"/>
          <w:szCs w:val="21"/>
          <w:highlight w:val="none"/>
        </w:rPr>
      </w:pPr>
    </w:p>
    <w:p>
      <w:pPr>
        <w:pStyle w:val="11"/>
        <w:rPr>
          <w:rFonts w:hint="eastAsia" w:asciiTheme="minorEastAsia" w:hAnsiTheme="minorEastAsia" w:eastAsiaTheme="minorEastAsia" w:cstheme="minorEastAsia"/>
          <w:b/>
          <w:bCs/>
          <w:color w:val="auto"/>
          <w:szCs w:val="21"/>
          <w:highlight w:val="none"/>
        </w:rPr>
      </w:pPr>
    </w:p>
    <w:p>
      <w:pPr>
        <w:pStyle w:val="11"/>
        <w:rPr>
          <w:rFonts w:hint="eastAsia" w:asciiTheme="minorEastAsia" w:hAnsiTheme="minorEastAsia" w:eastAsiaTheme="minorEastAsia" w:cstheme="minorEastAsia"/>
          <w:b/>
          <w:bCs/>
          <w:color w:val="auto"/>
          <w:szCs w:val="21"/>
          <w:highlight w:val="none"/>
        </w:rPr>
      </w:pPr>
    </w:p>
    <w:p>
      <w:pPr>
        <w:pStyle w:val="11"/>
        <w:rPr>
          <w:rFonts w:hint="eastAsia" w:asciiTheme="minorEastAsia" w:hAnsiTheme="minorEastAsia" w:eastAsiaTheme="minorEastAsia" w:cstheme="minorEastAsia"/>
          <w:b/>
          <w:bCs/>
          <w:color w:val="auto"/>
          <w:szCs w:val="21"/>
          <w:highlight w:val="none"/>
        </w:rPr>
      </w:pPr>
    </w:p>
    <w:p>
      <w:pPr>
        <w:rPr>
          <w:rFonts w:hint="eastAsia" w:asciiTheme="minorEastAsia" w:hAnsiTheme="minorEastAsia" w:eastAsiaTheme="minorEastAsia" w:cstheme="minorEastAsia"/>
          <w:b/>
          <w:bCs/>
          <w:color w:val="auto"/>
          <w:szCs w:val="21"/>
          <w:highlight w:val="none"/>
        </w:rPr>
      </w:pPr>
    </w:p>
    <w:p>
      <w:pPr>
        <w:pStyle w:val="33"/>
        <w:rPr>
          <w:rFonts w:hint="eastAsia" w:asciiTheme="minorEastAsia" w:hAnsiTheme="minorEastAsia" w:eastAsiaTheme="minorEastAsia" w:cstheme="minorEastAsia"/>
          <w:b/>
          <w:bCs/>
          <w:color w:val="auto"/>
          <w:szCs w:val="21"/>
          <w:highlight w:val="none"/>
        </w:rPr>
      </w:pPr>
    </w:p>
    <w:p>
      <w:pPr>
        <w:pStyle w:val="33"/>
        <w:rPr>
          <w:rFonts w:hint="eastAsia" w:asciiTheme="minorEastAsia" w:hAnsiTheme="minorEastAsia" w:eastAsiaTheme="minorEastAsia" w:cstheme="minorEastAsia"/>
          <w:b/>
          <w:bCs/>
          <w:color w:val="auto"/>
          <w:szCs w:val="21"/>
          <w:highlight w:val="none"/>
        </w:rPr>
      </w:pPr>
    </w:p>
    <w:p>
      <w:pPr>
        <w:pStyle w:val="33"/>
        <w:rPr>
          <w:rFonts w:hint="eastAsia" w:asciiTheme="minorEastAsia" w:hAnsiTheme="minorEastAsia" w:eastAsiaTheme="minorEastAsia" w:cstheme="minorEastAsia"/>
          <w:b/>
          <w:bCs/>
          <w:color w:val="auto"/>
          <w:szCs w:val="21"/>
          <w:highlight w:val="none"/>
        </w:rPr>
      </w:pPr>
    </w:p>
    <w:p>
      <w:pPr>
        <w:pStyle w:val="33"/>
        <w:rPr>
          <w:rFonts w:hint="eastAsia" w:asciiTheme="minorEastAsia" w:hAnsiTheme="minorEastAsia" w:eastAsiaTheme="minorEastAsia" w:cstheme="minorEastAsia"/>
          <w:b/>
          <w:bCs/>
          <w:color w:val="auto"/>
          <w:szCs w:val="21"/>
          <w:highlight w:val="none"/>
        </w:rPr>
      </w:pPr>
    </w:p>
    <w:p>
      <w:pPr>
        <w:pStyle w:val="33"/>
        <w:rPr>
          <w:rFonts w:hint="eastAsia" w:asciiTheme="minorEastAsia" w:hAnsiTheme="minorEastAsia" w:eastAsiaTheme="minorEastAsia" w:cstheme="minorEastAsia"/>
          <w:b/>
          <w:bCs/>
          <w:color w:val="auto"/>
          <w:szCs w:val="21"/>
          <w:highlight w:val="none"/>
        </w:rPr>
      </w:pPr>
    </w:p>
    <w:p>
      <w:pPr>
        <w:pStyle w:val="33"/>
        <w:rPr>
          <w:rFonts w:hint="eastAsia" w:asciiTheme="minorEastAsia" w:hAnsiTheme="minorEastAsia" w:eastAsiaTheme="minorEastAsia" w:cstheme="minorEastAsia"/>
          <w:b/>
          <w:bCs/>
          <w:color w:val="auto"/>
          <w:szCs w:val="21"/>
          <w:highlight w:val="none"/>
        </w:rPr>
      </w:pPr>
    </w:p>
    <w:p>
      <w:pPr>
        <w:pStyle w:val="33"/>
        <w:rPr>
          <w:rFonts w:hint="eastAsia" w:asciiTheme="minorEastAsia" w:hAnsiTheme="minorEastAsia" w:eastAsiaTheme="minorEastAsia" w:cstheme="minorEastAsia"/>
          <w:b/>
          <w:bCs/>
          <w:color w:val="auto"/>
          <w:szCs w:val="21"/>
          <w:highlight w:val="none"/>
        </w:rPr>
      </w:pPr>
    </w:p>
    <w:p>
      <w:pPr>
        <w:pStyle w:val="33"/>
        <w:rPr>
          <w:rFonts w:hint="eastAsia" w:asciiTheme="minorEastAsia" w:hAnsiTheme="minorEastAsia" w:eastAsiaTheme="minorEastAsia" w:cstheme="minorEastAsia"/>
          <w:b/>
          <w:bCs/>
          <w:color w:val="auto"/>
          <w:szCs w:val="21"/>
          <w:highlight w:val="none"/>
        </w:rPr>
      </w:pPr>
    </w:p>
    <w:p>
      <w:pPr>
        <w:pStyle w:val="33"/>
        <w:rPr>
          <w:rFonts w:hint="eastAsia" w:asciiTheme="minorEastAsia" w:hAnsiTheme="minorEastAsia" w:eastAsiaTheme="minorEastAsia" w:cstheme="minorEastAsia"/>
          <w:b/>
          <w:bCs/>
          <w:color w:val="auto"/>
          <w:szCs w:val="21"/>
          <w:highlight w:val="none"/>
        </w:rPr>
      </w:pPr>
    </w:p>
    <w:p>
      <w:pPr>
        <w:pStyle w:val="11"/>
        <w:rPr>
          <w:rFonts w:hint="eastAsia" w:asciiTheme="minorEastAsia" w:hAnsiTheme="minorEastAsia" w:eastAsiaTheme="minorEastAsia" w:cstheme="minorEastAsia"/>
          <w:b/>
          <w:bCs/>
          <w:color w:val="auto"/>
          <w:szCs w:val="21"/>
          <w:highlight w:val="none"/>
        </w:rPr>
      </w:pPr>
    </w:p>
    <w:p>
      <w:pPr>
        <w:rPr>
          <w:rFonts w:hint="eastAsia" w:asciiTheme="minorEastAsia" w:hAnsiTheme="minorEastAsia" w:eastAsiaTheme="minorEastAsia" w:cstheme="minorEastAsia"/>
          <w:color w:val="auto"/>
          <w:highlight w:val="none"/>
        </w:rPr>
      </w:pPr>
    </w:p>
    <w:p>
      <w:pPr>
        <w:pStyle w:val="11"/>
        <w:rPr>
          <w:rFonts w:hint="eastAsia" w:asciiTheme="minorEastAsia" w:hAnsiTheme="minorEastAsia" w:eastAsiaTheme="minorEastAsia" w:cstheme="minorEastAsia"/>
          <w:b/>
          <w:bCs/>
          <w:color w:val="auto"/>
          <w:szCs w:val="21"/>
          <w:highlight w:val="none"/>
        </w:rPr>
      </w:pPr>
    </w:p>
    <w:p>
      <w:pPr>
        <w:pStyle w:val="11"/>
        <w:rPr>
          <w:rFonts w:hint="eastAsia" w:asciiTheme="minorEastAsia" w:hAnsiTheme="minorEastAsia" w:eastAsiaTheme="minorEastAsia" w:cstheme="minorEastAsia"/>
          <w:b/>
          <w:bCs/>
          <w:color w:val="auto"/>
          <w:szCs w:val="21"/>
          <w:highlight w:val="none"/>
        </w:rPr>
      </w:pPr>
    </w:p>
    <w:p>
      <w:pPr>
        <w:pStyle w:val="11"/>
        <w:rPr>
          <w:rFonts w:hint="eastAsia" w:asciiTheme="minorEastAsia" w:hAnsiTheme="minorEastAsia" w:eastAsiaTheme="minorEastAsia" w:cstheme="minorEastAsia"/>
          <w:b/>
          <w:bCs/>
          <w:color w:val="auto"/>
          <w:szCs w:val="21"/>
          <w:highlight w:val="none"/>
        </w:rPr>
      </w:pPr>
    </w:p>
    <w:p>
      <w:pPr>
        <w:rPr>
          <w:rFonts w:hint="eastAsia" w:asciiTheme="minorEastAsia" w:hAnsiTheme="minorEastAsia" w:eastAsiaTheme="minorEastAsia" w:cstheme="minorEastAsia"/>
          <w:color w:val="auto"/>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6. 针对本项目的服务方案，含“信创云搬迁实施方案”、“机房配套设施改造方案”、“信创云运维方案”。（格式见附件）（必须提供）。</w:t>
      </w:r>
    </w:p>
    <w:p>
      <w:pPr>
        <w:rPr>
          <w:rFonts w:hint="eastAsia" w:asciiTheme="minorEastAsia" w:hAnsiTheme="minorEastAsia" w:eastAsiaTheme="minorEastAsia" w:cstheme="minorEastAsia"/>
          <w:color w:val="auto"/>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附件：</w:t>
      </w:r>
    </w:p>
    <w:p>
      <w:pPr>
        <w:rPr>
          <w:rFonts w:hint="eastAsia" w:asciiTheme="minorEastAsia" w:hAnsiTheme="minorEastAsia" w:eastAsiaTheme="minorEastAsia" w:cstheme="minorEastAsia"/>
          <w:color w:val="auto"/>
          <w:highlight w:val="none"/>
        </w:rPr>
      </w:pPr>
    </w:p>
    <w:p>
      <w:pPr>
        <w:pStyle w:val="11"/>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13"/>
        <w:spacing w:line="34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服务方案 （格式）</w:t>
      </w:r>
    </w:p>
    <w:p>
      <w:pPr>
        <w:rPr>
          <w:rFonts w:hint="eastAsia" w:asciiTheme="minorEastAsia" w:hAnsiTheme="minorEastAsia" w:eastAsiaTheme="minorEastAsia" w:cstheme="minorEastAsia"/>
          <w:b/>
          <w:color w:val="auto"/>
          <w:sz w:val="32"/>
          <w:szCs w:val="32"/>
          <w:highlight w:val="none"/>
        </w:rPr>
      </w:pPr>
    </w:p>
    <w:p>
      <w:pPr>
        <w:pStyle w:val="11"/>
        <w:rPr>
          <w:rFonts w:hint="eastAsia" w:asciiTheme="minorEastAsia" w:hAnsiTheme="minorEastAsia" w:eastAsiaTheme="minorEastAsia" w:cstheme="minorEastAsia"/>
          <w:color w:val="auto"/>
          <w:highlight w:val="none"/>
        </w:rPr>
      </w:pPr>
    </w:p>
    <w:p>
      <w:pPr>
        <w:widowControl/>
        <w:ind w:firstLine="3092" w:firstLineChars="1100"/>
        <w:jc w:val="left"/>
        <w:rPr>
          <w:rFonts w:hint="eastAsia" w:asciiTheme="minorEastAsia" w:hAnsiTheme="minorEastAsia" w:eastAsiaTheme="minorEastAsia" w:cstheme="minorEastAsia"/>
          <w:b/>
          <w:color w:val="auto"/>
          <w:kern w:val="0"/>
          <w:sz w:val="28"/>
          <w:szCs w:val="28"/>
          <w:highlight w:val="none"/>
        </w:rPr>
      </w:pPr>
      <w:r>
        <w:rPr>
          <w:rFonts w:hint="eastAsia" w:asciiTheme="minorEastAsia" w:hAnsiTheme="minorEastAsia" w:eastAsiaTheme="minorEastAsia" w:cstheme="minorEastAsia"/>
          <w:b/>
          <w:color w:val="auto"/>
          <w:kern w:val="0"/>
          <w:sz w:val="28"/>
          <w:szCs w:val="28"/>
          <w:highlight w:val="none"/>
        </w:rPr>
        <w:t>（根据采购需求自行编制）</w:t>
      </w:r>
    </w:p>
    <w:p>
      <w:pPr>
        <w:widowControl/>
        <w:ind w:firstLine="3092" w:firstLineChars="1100"/>
        <w:jc w:val="left"/>
        <w:rPr>
          <w:rFonts w:hint="eastAsia" w:asciiTheme="minorEastAsia" w:hAnsiTheme="minorEastAsia" w:eastAsiaTheme="minorEastAsia" w:cstheme="minorEastAsia"/>
          <w:b/>
          <w:color w:val="auto"/>
          <w:kern w:val="0"/>
          <w:sz w:val="28"/>
          <w:szCs w:val="28"/>
          <w:highlight w:val="none"/>
        </w:rPr>
      </w:pPr>
    </w:p>
    <w:p>
      <w:pPr>
        <w:widowControl/>
        <w:ind w:firstLine="3092" w:firstLineChars="1100"/>
        <w:jc w:val="left"/>
        <w:rPr>
          <w:rFonts w:hint="eastAsia" w:asciiTheme="minorEastAsia" w:hAnsiTheme="minorEastAsia" w:eastAsiaTheme="minorEastAsia" w:cstheme="minorEastAsia"/>
          <w:b/>
          <w:color w:val="auto"/>
          <w:kern w:val="0"/>
          <w:sz w:val="28"/>
          <w:szCs w:val="28"/>
          <w:highlight w:val="none"/>
        </w:rPr>
      </w:pPr>
    </w:p>
    <w:p>
      <w:pPr>
        <w:widowControl/>
        <w:ind w:firstLine="3092" w:firstLineChars="1100"/>
        <w:jc w:val="left"/>
        <w:rPr>
          <w:rFonts w:hint="eastAsia" w:asciiTheme="minorEastAsia" w:hAnsiTheme="minorEastAsia" w:eastAsiaTheme="minorEastAsia" w:cstheme="minorEastAsia"/>
          <w:b/>
          <w:color w:val="auto"/>
          <w:kern w:val="0"/>
          <w:sz w:val="28"/>
          <w:szCs w:val="28"/>
          <w:highlight w:val="none"/>
        </w:rPr>
      </w:pPr>
    </w:p>
    <w:p>
      <w:pPr>
        <w:widowControl/>
        <w:ind w:firstLine="3092" w:firstLineChars="1100"/>
        <w:jc w:val="left"/>
        <w:rPr>
          <w:rFonts w:hint="eastAsia" w:asciiTheme="minorEastAsia" w:hAnsiTheme="minorEastAsia" w:eastAsiaTheme="minorEastAsia" w:cstheme="minorEastAsia"/>
          <w:b/>
          <w:color w:val="auto"/>
          <w:kern w:val="0"/>
          <w:sz w:val="28"/>
          <w:szCs w:val="28"/>
          <w:highlight w:val="none"/>
        </w:rPr>
      </w:pPr>
    </w:p>
    <w:p>
      <w:pPr>
        <w:widowControl/>
        <w:ind w:firstLine="3092" w:firstLineChars="1100"/>
        <w:jc w:val="left"/>
        <w:rPr>
          <w:rFonts w:hint="eastAsia" w:asciiTheme="minorEastAsia" w:hAnsiTheme="minorEastAsia" w:eastAsiaTheme="minorEastAsia" w:cstheme="minorEastAsia"/>
          <w:b/>
          <w:color w:val="auto"/>
          <w:kern w:val="0"/>
          <w:sz w:val="28"/>
          <w:szCs w:val="28"/>
          <w:highlight w:val="none"/>
        </w:rPr>
      </w:pPr>
    </w:p>
    <w:p>
      <w:pPr>
        <w:widowControl/>
        <w:ind w:firstLine="1470" w:firstLineChars="7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磋商供应商[公章(CA签章)，自然人签字或个人CA签章]：</w:t>
      </w:r>
    </w:p>
    <w:p>
      <w:pPr>
        <w:pStyle w:val="13"/>
        <w:spacing w:line="300" w:lineRule="exact"/>
        <w:ind w:left="2940" w:leftChars="1400" w:firstLine="630" w:firstLineChars="300"/>
        <w:rPr>
          <w:rFonts w:hint="eastAsia" w:asciiTheme="minorEastAsia" w:hAnsiTheme="minorEastAsia" w:eastAsiaTheme="minorEastAsia" w:cstheme="minorEastAsia"/>
          <w:color w:val="auto"/>
          <w:highlight w:val="none"/>
        </w:rPr>
      </w:pPr>
    </w:p>
    <w:p>
      <w:pPr>
        <w:pStyle w:val="13"/>
        <w:spacing w:line="300" w:lineRule="exact"/>
        <w:ind w:firstLine="4638" w:firstLineChars="1650"/>
        <w:rPr>
          <w:rFonts w:hint="eastAsia" w:asciiTheme="minorEastAsia" w:hAnsiTheme="minorEastAsia" w:eastAsiaTheme="minorEastAsia" w:cstheme="minorEastAsia"/>
          <w:b/>
          <w:color w:val="auto"/>
          <w:sz w:val="28"/>
          <w:szCs w:val="28"/>
          <w:highlight w:val="none"/>
        </w:rPr>
      </w:pPr>
    </w:p>
    <w:p>
      <w:pPr>
        <w:pStyle w:val="13"/>
        <w:spacing w:line="300" w:lineRule="exact"/>
        <w:rPr>
          <w:rFonts w:hint="eastAsia" w:asciiTheme="minorEastAsia" w:hAnsiTheme="minorEastAsia" w:eastAsiaTheme="minorEastAsia" w:cstheme="minorEastAsia"/>
          <w:b/>
          <w:color w:val="auto"/>
          <w:sz w:val="28"/>
          <w:szCs w:val="28"/>
          <w:highlight w:val="none"/>
        </w:rPr>
      </w:pPr>
    </w:p>
    <w:p>
      <w:pPr>
        <w:snapToGrid w:val="0"/>
        <w:spacing w:line="300" w:lineRule="exact"/>
        <w:ind w:firstLine="4830" w:firstLineChars="2300"/>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日          期：</w:t>
      </w:r>
    </w:p>
    <w:p>
      <w:pPr>
        <w:snapToGrid w:val="0"/>
        <w:spacing w:line="300" w:lineRule="exact"/>
        <w:ind w:firstLine="3570" w:firstLineChars="1700"/>
        <w:rPr>
          <w:rFonts w:hint="eastAsia" w:asciiTheme="minorEastAsia" w:hAnsiTheme="minorEastAsia" w:eastAsiaTheme="minorEastAsia" w:cstheme="minorEastAsia"/>
          <w:color w:val="auto"/>
          <w:highlight w:val="none"/>
          <w:u w:val="single"/>
        </w:rPr>
      </w:pPr>
    </w:p>
    <w:p>
      <w:pPr>
        <w:pStyle w:val="11"/>
        <w:rPr>
          <w:rFonts w:hint="eastAsia" w:asciiTheme="minorEastAsia" w:hAnsiTheme="minorEastAsia" w:eastAsiaTheme="minorEastAsia" w:cstheme="minorEastAsia"/>
          <w:color w:val="auto"/>
          <w:highlight w:val="none"/>
          <w:u w:val="single"/>
        </w:rPr>
      </w:pPr>
    </w:p>
    <w:p>
      <w:pPr>
        <w:pStyle w:val="11"/>
        <w:rPr>
          <w:rFonts w:hint="eastAsia" w:asciiTheme="minorEastAsia" w:hAnsiTheme="minorEastAsia" w:eastAsiaTheme="minorEastAsia" w:cstheme="minorEastAsia"/>
          <w:color w:val="auto"/>
          <w:highlight w:val="none"/>
          <w:u w:val="single"/>
        </w:rPr>
      </w:pPr>
    </w:p>
    <w:p>
      <w:pPr>
        <w:pStyle w:val="11"/>
        <w:rPr>
          <w:rFonts w:hint="eastAsia" w:asciiTheme="minorEastAsia" w:hAnsiTheme="minorEastAsia" w:eastAsiaTheme="minorEastAsia" w:cstheme="minorEastAsia"/>
          <w:b/>
          <w:bCs/>
          <w:color w:val="auto"/>
          <w:szCs w:val="21"/>
          <w:highlight w:val="none"/>
        </w:rPr>
      </w:pPr>
    </w:p>
    <w:p>
      <w:pPr>
        <w:pStyle w:val="11"/>
        <w:rPr>
          <w:rFonts w:hint="eastAsia" w:asciiTheme="minorEastAsia" w:hAnsiTheme="minorEastAsia" w:eastAsiaTheme="minorEastAsia" w:cstheme="minorEastAsia"/>
          <w:b/>
          <w:bCs/>
          <w:color w:val="auto"/>
          <w:szCs w:val="21"/>
          <w:highlight w:val="none"/>
        </w:rPr>
      </w:pPr>
    </w:p>
    <w:p>
      <w:pPr>
        <w:pStyle w:val="11"/>
        <w:rPr>
          <w:rFonts w:hint="eastAsia" w:asciiTheme="minorEastAsia" w:hAnsiTheme="minorEastAsia" w:eastAsiaTheme="minorEastAsia" w:cstheme="minorEastAsia"/>
          <w:b/>
          <w:bCs/>
          <w:color w:val="auto"/>
          <w:szCs w:val="21"/>
          <w:highlight w:val="none"/>
        </w:rPr>
      </w:pPr>
    </w:p>
    <w:p>
      <w:pPr>
        <w:pStyle w:val="11"/>
        <w:rPr>
          <w:rFonts w:hint="eastAsia" w:asciiTheme="minorEastAsia" w:hAnsiTheme="minorEastAsia" w:eastAsiaTheme="minorEastAsia" w:cstheme="minorEastAsia"/>
          <w:b/>
          <w:bCs/>
          <w:color w:val="auto"/>
          <w:szCs w:val="21"/>
          <w:highlight w:val="none"/>
        </w:rPr>
      </w:pPr>
    </w:p>
    <w:p>
      <w:pPr>
        <w:pStyle w:val="11"/>
        <w:rPr>
          <w:rFonts w:hint="eastAsia" w:asciiTheme="minorEastAsia" w:hAnsiTheme="minorEastAsia" w:eastAsiaTheme="minorEastAsia" w:cstheme="minorEastAsia"/>
          <w:b/>
          <w:bCs/>
          <w:color w:val="auto"/>
          <w:szCs w:val="21"/>
          <w:highlight w:val="none"/>
        </w:rPr>
      </w:pPr>
    </w:p>
    <w:p>
      <w:pPr>
        <w:pStyle w:val="11"/>
        <w:rPr>
          <w:rFonts w:hint="eastAsia" w:asciiTheme="minorEastAsia" w:hAnsiTheme="minorEastAsia" w:eastAsiaTheme="minorEastAsia" w:cstheme="minorEastAsia"/>
          <w:b/>
          <w:bCs/>
          <w:color w:val="auto"/>
          <w:szCs w:val="21"/>
          <w:highlight w:val="none"/>
        </w:rPr>
      </w:pPr>
    </w:p>
    <w:p>
      <w:pPr>
        <w:pStyle w:val="11"/>
        <w:rPr>
          <w:rFonts w:hint="eastAsia" w:asciiTheme="minorEastAsia" w:hAnsiTheme="minorEastAsia" w:eastAsiaTheme="minorEastAsia" w:cstheme="minorEastAsia"/>
          <w:b/>
          <w:bCs/>
          <w:color w:val="auto"/>
          <w:szCs w:val="21"/>
          <w:highlight w:val="none"/>
        </w:rPr>
      </w:pPr>
    </w:p>
    <w:p>
      <w:pPr>
        <w:pStyle w:val="11"/>
        <w:rPr>
          <w:rFonts w:hint="eastAsia" w:asciiTheme="minorEastAsia" w:hAnsiTheme="minorEastAsia" w:eastAsiaTheme="minorEastAsia" w:cstheme="minorEastAsia"/>
          <w:b/>
          <w:bCs/>
          <w:color w:val="auto"/>
          <w:szCs w:val="21"/>
          <w:highlight w:val="none"/>
        </w:rPr>
      </w:pPr>
    </w:p>
    <w:p>
      <w:pPr>
        <w:pStyle w:val="11"/>
        <w:rPr>
          <w:rFonts w:hint="eastAsia" w:asciiTheme="minorEastAsia" w:hAnsiTheme="minorEastAsia" w:eastAsiaTheme="minorEastAsia" w:cstheme="minorEastAsia"/>
          <w:b/>
          <w:bCs/>
          <w:color w:val="auto"/>
          <w:szCs w:val="21"/>
          <w:highlight w:val="none"/>
        </w:rPr>
      </w:pPr>
    </w:p>
    <w:p>
      <w:pPr>
        <w:pStyle w:val="11"/>
        <w:rPr>
          <w:rFonts w:hint="eastAsia" w:asciiTheme="minorEastAsia" w:hAnsiTheme="minorEastAsia" w:eastAsiaTheme="minorEastAsia" w:cstheme="minorEastAsia"/>
          <w:b/>
          <w:bCs/>
          <w:color w:val="auto"/>
          <w:szCs w:val="21"/>
          <w:highlight w:val="none"/>
        </w:rPr>
      </w:pPr>
    </w:p>
    <w:p>
      <w:pPr>
        <w:pStyle w:val="11"/>
        <w:rPr>
          <w:rFonts w:hint="eastAsia" w:asciiTheme="minorEastAsia" w:hAnsiTheme="minorEastAsia" w:eastAsiaTheme="minorEastAsia" w:cstheme="minorEastAsia"/>
          <w:b/>
          <w:bCs/>
          <w:color w:val="auto"/>
          <w:szCs w:val="21"/>
          <w:highlight w:val="none"/>
        </w:rPr>
      </w:pPr>
    </w:p>
    <w:p>
      <w:pPr>
        <w:rPr>
          <w:rFonts w:hint="eastAsia" w:asciiTheme="minorEastAsia" w:hAnsiTheme="minorEastAsia" w:eastAsiaTheme="minorEastAsia" w:cstheme="minorEastAsia"/>
          <w:color w:val="auto"/>
          <w:highlight w:val="none"/>
        </w:rPr>
      </w:pPr>
    </w:p>
    <w:p>
      <w:pPr>
        <w:pStyle w:val="11"/>
        <w:rPr>
          <w:rFonts w:hint="eastAsia" w:asciiTheme="minorEastAsia" w:hAnsiTheme="minorEastAsia" w:eastAsiaTheme="minorEastAsia" w:cstheme="minorEastAsia"/>
          <w:b/>
          <w:bCs/>
          <w:color w:val="auto"/>
          <w:szCs w:val="21"/>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p>
    <w:p>
      <w:pPr>
        <w:spacing w:line="340" w:lineRule="exact"/>
        <w:ind w:left="420"/>
        <w:jc w:val="center"/>
        <w:rPr>
          <w:rFonts w:hint="eastAsia" w:asciiTheme="minorEastAsia" w:hAnsiTheme="minorEastAsia" w:eastAsiaTheme="minorEastAsia" w:cstheme="minorEastAsia"/>
          <w:color w:val="auto"/>
          <w:szCs w:val="21"/>
          <w:highlight w:val="none"/>
        </w:rPr>
      </w:pPr>
      <w:bookmarkStart w:id="628" w:name="_Toc28672"/>
      <w:bookmarkStart w:id="629" w:name="_Toc497927084"/>
      <w:bookmarkStart w:id="630" w:name="_Toc9339"/>
      <w:r>
        <w:rPr>
          <w:rFonts w:hint="eastAsia" w:asciiTheme="minorEastAsia" w:hAnsiTheme="minorEastAsia" w:eastAsiaTheme="minorEastAsia" w:cstheme="minorEastAsia"/>
          <w:b/>
          <w:bCs/>
          <w:color w:val="auto"/>
          <w:sz w:val="32"/>
          <w:szCs w:val="32"/>
          <w:highlight w:val="none"/>
        </w:rPr>
        <w:t>（三）其他有效证明材料目录</w:t>
      </w:r>
      <w:bookmarkEnd w:id="628"/>
      <w:bookmarkEnd w:id="629"/>
      <w:bookmarkEnd w:id="630"/>
    </w:p>
    <w:p>
      <w:pPr>
        <w:spacing w:line="360" w:lineRule="auto"/>
        <w:ind w:firstLine="480" w:firstLineChars="20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sz w:val="24"/>
          <w:highlight w:val="none"/>
        </w:rPr>
        <w:t>1.项目实施人员一览表（格式见附件）</w:t>
      </w:r>
      <w:r>
        <w:rPr>
          <w:rFonts w:hint="eastAsia" w:asciiTheme="minorEastAsia" w:hAnsiTheme="minorEastAsia" w:eastAsiaTheme="minorEastAsia" w:cstheme="minorEastAsia"/>
          <w:b/>
          <w:bCs/>
          <w:color w:val="auto"/>
          <w:sz w:val="24"/>
          <w:highlight w:val="none"/>
        </w:rPr>
        <w:t>（如有，请提供）；</w:t>
      </w:r>
    </w:p>
    <w:p>
      <w:pPr>
        <w:spacing w:line="360" w:lineRule="auto"/>
        <w:ind w:firstLine="480" w:firstLineChars="200"/>
        <w:jc w:val="left"/>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sz w:val="24"/>
          <w:highlight w:val="none"/>
        </w:rPr>
        <w:t>2.“采购需求”需提供的有效证明文件</w:t>
      </w:r>
      <w:r>
        <w:rPr>
          <w:rFonts w:hint="eastAsia" w:asciiTheme="minorEastAsia" w:hAnsiTheme="minorEastAsia" w:eastAsiaTheme="minorEastAsia" w:cstheme="minorEastAsia"/>
          <w:b/>
          <w:bCs/>
          <w:color w:val="auto"/>
          <w:sz w:val="24"/>
          <w:highlight w:val="none"/>
        </w:rPr>
        <w:t>（如有，请提供）；</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3.供应商自2023年1月1日以来同类业绩的相关证明材料（以中标、成交通知书或签订的采购合同扫描件为准，并能清晰反映所提供的服务类型、种类、金额）</w:t>
      </w:r>
      <w:r>
        <w:rPr>
          <w:rFonts w:hint="eastAsia" w:asciiTheme="minorEastAsia" w:hAnsiTheme="minorEastAsia" w:eastAsiaTheme="minorEastAsia" w:cstheme="minorEastAsia"/>
          <w:b/>
          <w:bCs/>
          <w:color w:val="auto"/>
          <w:sz w:val="24"/>
          <w:highlight w:val="none"/>
        </w:rPr>
        <w:t>（如有，请提供）；</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4.供应商可结合本项目的评审办法视自身情况自行提交其它相关证明材料</w:t>
      </w:r>
      <w:r>
        <w:rPr>
          <w:rFonts w:hint="eastAsia" w:asciiTheme="minorEastAsia" w:hAnsiTheme="minorEastAsia" w:eastAsiaTheme="minorEastAsia" w:cstheme="minorEastAsia"/>
          <w:b/>
          <w:bCs/>
          <w:color w:val="auto"/>
          <w:sz w:val="24"/>
          <w:highlight w:val="none"/>
        </w:rPr>
        <w:t>（如有，请提供）</w:t>
      </w:r>
      <w:r>
        <w:rPr>
          <w:rFonts w:hint="eastAsia" w:asciiTheme="minorEastAsia" w:hAnsiTheme="minorEastAsia" w:eastAsiaTheme="minorEastAsia" w:cstheme="minorEastAsia"/>
          <w:color w:val="auto"/>
          <w:sz w:val="24"/>
          <w:highlight w:val="none"/>
        </w:rPr>
        <w:t>；</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5.《中小企业声明函》（见附件）</w:t>
      </w:r>
      <w:r>
        <w:rPr>
          <w:rFonts w:hint="eastAsia" w:asciiTheme="minorEastAsia" w:hAnsiTheme="minorEastAsia" w:eastAsiaTheme="minorEastAsia" w:cstheme="minorEastAsia"/>
          <w:b/>
          <w:color w:val="auto"/>
          <w:sz w:val="24"/>
          <w:highlight w:val="none"/>
        </w:rPr>
        <w:t>（除监狱企业及残疾人福利性单位外，</w:t>
      </w:r>
      <w:r>
        <w:rPr>
          <w:rFonts w:hint="eastAsia" w:asciiTheme="minorEastAsia" w:hAnsiTheme="minorEastAsia" w:eastAsiaTheme="minorEastAsia" w:cstheme="minorEastAsia"/>
          <w:b/>
          <w:bCs/>
          <w:color w:val="auto"/>
          <w:sz w:val="24"/>
          <w:highlight w:val="none"/>
        </w:rPr>
        <w:t>如有，请提供</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color w:val="auto"/>
          <w:sz w:val="24"/>
          <w:highlight w:val="none"/>
        </w:rPr>
        <w:t>；</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6.如提供服务的供应商属于监狱企业的，应当提供由省级以上监狱管理局、戒毒管理局等（含</w:t>
      </w:r>
    </w:p>
    <w:p>
      <w:pPr>
        <w:spacing w:line="360" w:lineRule="auto"/>
        <w:ind w:firstLine="480" w:firstLineChars="200"/>
        <w:rPr>
          <w:rFonts w:hint="eastAsia" w:asciiTheme="minorEastAsia" w:hAnsiTheme="minorEastAsia" w:eastAsiaTheme="minorEastAsia" w:cstheme="minorEastAsia"/>
          <w:color w:val="auto"/>
          <w:sz w:val="24"/>
          <w:highlight w:val="none"/>
        </w:rPr>
      </w:pPr>
      <w:bookmarkStart w:id="631" w:name="_Toc17014"/>
      <w:bookmarkStart w:id="632" w:name="_Toc22125"/>
      <w:r>
        <w:rPr>
          <w:rFonts w:hint="eastAsia" w:asciiTheme="minorEastAsia" w:hAnsiTheme="minorEastAsia" w:eastAsiaTheme="minorEastAsia" w:cstheme="minorEastAsia"/>
          <w:color w:val="auto"/>
          <w:sz w:val="24"/>
          <w:highlight w:val="none"/>
        </w:rPr>
        <w:t>新疆生产建设兵团）出具的属于监狱企业的证明文件, 否则不予享受优惠政策（如供应商属于监狱企业的，如有，请提供）；</w:t>
      </w:r>
      <w:bookmarkEnd w:id="631"/>
      <w:bookmarkEnd w:id="632"/>
    </w:p>
    <w:p>
      <w:pPr>
        <w:spacing w:line="360" w:lineRule="auto"/>
        <w:ind w:firstLine="480" w:firstLineChars="200"/>
        <w:rPr>
          <w:rFonts w:hint="eastAsia" w:asciiTheme="minorEastAsia" w:hAnsiTheme="minorEastAsia" w:eastAsiaTheme="minorEastAsia" w:cstheme="minorEastAsia"/>
          <w:color w:val="auto"/>
          <w:sz w:val="24"/>
          <w:highlight w:val="none"/>
        </w:rPr>
      </w:pPr>
      <w:bookmarkStart w:id="633" w:name="_Toc21324"/>
      <w:bookmarkStart w:id="634" w:name="_Toc14430"/>
      <w:r>
        <w:rPr>
          <w:rFonts w:hint="eastAsia" w:asciiTheme="minorEastAsia" w:hAnsiTheme="minorEastAsia" w:eastAsiaTheme="minorEastAsia" w:cstheme="minorEastAsia"/>
          <w:color w:val="auto"/>
          <w:sz w:val="24"/>
          <w:highlight w:val="none"/>
        </w:rPr>
        <w:t>7.符合条件的残疾人福利性单位在参加政府采购活动时，应当提供《残疾人福利性单位声明</w:t>
      </w:r>
      <w:bookmarkEnd w:id="633"/>
      <w:bookmarkEnd w:id="634"/>
    </w:p>
    <w:p>
      <w:pPr>
        <w:spacing w:line="360" w:lineRule="auto"/>
        <w:ind w:firstLine="480" w:firstLineChars="200"/>
        <w:rPr>
          <w:rFonts w:hint="eastAsia" w:asciiTheme="minorEastAsia" w:hAnsiTheme="minorEastAsia" w:eastAsiaTheme="minorEastAsia" w:cstheme="minorEastAsia"/>
          <w:b/>
          <w:bCs/>
          <w:color w:val="auto"/>
          <w:sz w:val="24"/>
          <w:highlight w:val="none"/>
        </w:rPr>
      </w:pPr>
      <w:bookmarkStart w:id="635" w:name="_Toc29224"/>
      <w:bookmarkStart w:id="636" w:name="_Toc2841"/>
      <w:r>
        <w:rPr>
          <w:rFonts w:hint="eastAsia" w:asciiTheme="minorEastAsia" w:hAnsiTheme="minorEastAsia" w:eastAsiaTheme="minorEastAsia" w:cstheme="minorEastAsia"/>
          <w:color w:val="auto"/>
          <w:sz w:val="24"/>
          <w:highlight w:val="none"/>
        </w:rPr>
        <w:t>函》（见附件），并对声明的真实性负责</w:t>
      </w:r>
      <w:r>
        <w:rPr>
          <w:rFonts w:hint="eastAsia" w:asciiTheme="minorEastAsia" w:hAnsiTheme="minorEastAsia" w:eastAsiaTheme="minorEastAsia" w:cstheme="minorEastAsia"/>
          <w:b/>
          <w:bCs/>
          <w:color w:val="auto"/>
          <w:sz w:val="24"/>
          <w:highlight w:val="none"/>
        </w:rPr>
        <w:t>（如供应商属于残疾人福利性单位的，如有，请提供）。</w:t>
      </w:r>
    </w:p>
    <w:bookmarkEnd w:id="635"/>
    <w:bookmarkEnd w:id="636"/>
    <w:p>
      <w:pPr>
        <w:spacing w:line="360" w:lineRule="auto"/>
        <w:ind w:firstLine="482" w:firstLineChars="200"/>
        <w:rPr>
          <w:rFonts w:hint="eastAsia" w:asciiTheme="minorEastAsia" w:hAnsiTheme="minorEastAsia" w:eastAsiaTheme="minorEastAsia" w:cstheme="minorEastAsia"/>
          <w:b/>
          <w:bCs/>
          <w:color w:val="auto"/>
          <w:sz w:val="24"/>
          <w:highlight w:val="none"/>
        </w:rPr>
      </w:pPr>
    </w:p>
    <w:p>
      <w:pPr>
        <w:pStyle w:val="33"/>
        <w:rPr>
          <w:rFonts w:hint="eastAsia" w:asciiTheme="minorEastAsia" w:hAnsiTheme="minorEastAsia" w:eastAsiaTheme="minorEastAsia" w:cstheme="minorEastAsia"/>
          <w:b/>
          <w:bCs/>
          <w:color w:val="auto"/>
          <w:highlight w:val="none"/>
        </w:rPr>
      </w:pPr>
    </w:p>
    <w:p>
      <w:pPr>
        <w:pStyle w:val="33"/>
        <w:rPr>
          <w:rFonts w:hint="eastAsia" w:asciiTheme="minorEastAsia" w:hAnsiTheme="minorEastAsia" w:eastAsiaTheme="minorEastAsia" w:cstheme="minorEastAsia"/>
          <w:b/>
          <w:bCs/>
          <w:color w:val="auto"/>
          <w:highlight w:val="none"/>
        </w:rPr>
      </w:pPr>
    </w:p>
    <w:p>
      <w:pPr>
        <w:spacing w:line="360" w:lineRule="auto"/>
        <w:ind w:firstLine="480" w:firstLineChars="200"/>
        <w:rPr>
          <w:rFonts w:hint="eastAsia" w:asciiTheme="minorEastAsia" w:hAnsiTheme="minorEastAsia" w:eastAsiaTheme="minorEastAsia" w:cstheme="minorEastAsia"/>
          <w:color w:val="auto"/>
          <w:sz w:val="24"/>
          <w:highlight w:val="none"/>
        </w:rPr>
      </w:pPr>
    </w:p>
    <w:p>
      <w:pPr>
        <w:pStyle w:val="33"/>
        <w:rPr>
          <w:rFonts w:hint="eastAsia" w:asciiTheme="minorEastAsia" w:hAnsiTheme="minorEastAsia" w:eastAsiaTheme="minorEastAsia" w:cstheme="minorEastAsia"/>
          <w:b/>
          <w:bCs/>
          <w:color w:val="auto"/>
          <w:highlight w:val="none"/>
        </w:rPr>
      </w:pPr>
    </w:p>
    <w:p>
      <w:pPr>
        <w:pStyle w:val="33"/>
        <w:rPr>
          <w:rFonts w:hint="eastAsia" w:asciiTheme="minorEastAsia" w:hAnsiTheme="minorEastAsia" w:eastAsiaTheme="minorEastAsia" w:cstheme="minorEastAsia"/>
          <w:b/>
          <w:bCs/>
          <w:color w:val="auto"/>
          <w:highlight w:val="none"/>
        </w:rPr>
      </w:pPr>
    </w:p>
    <w:p>
      <w:pPr>
        <w:pStyle w:val="33"/>
        <w:rPr>
          <w:rFonts w:hint="eastAsia" w:asciiTheme="minorEastAsia" w:hAnsiTheme="minorEastAsia" w:eastAsiaTheme="minorEastAsia" w:cstheme="minorEastAsia"/>
          <w:b/>
          <w:bCs/>
          <w:color w:val="auto"/>
          <w:highlight w:val="none"/>
        </w:rPr>
      </w:pPr>
    </w:p>
    <w:p>
      <w:pPr>
        <w:pStyle w:val="33"/>
        <w:rPr>
          <w:rFonts w:hint="eastAsia" w:asciiTheme="minorEastAsia" w:hAnsiTheme="minorEastAsia" w:eastAsiaTheme="minorEastAsia" w:cstheme="minorEastAsia"/>
          <w:b/>
          <w:bCs/>
          <w:color w:val="auto"/>
          <w:highlight w:val="none"/>
        </w:rPr>
      </w:pPr>
    </w:p>
    <w:p>
      <w:pPr>
        <w:pStyle w:val="33"/>
        <w:rPr>
          <w:rFonts w:hint="eastAsia" w:asciiTheme="minorEastAsia" w:hAnsiTheme="minorEastAsia" w:eastAsiaTheme="minorEastAsia" w:cstheme="minorEastAsia"/>
          <w:b/>
          <w:bCs/>
          <w:color w:val="auto"/>
          <w:highlight w:val="none"/>
        </w:rPr>
      </w:pPr>
    </w:p>
    <w:p>
      <w:pPr>
        <w:pStyle w:val="33"/>
        <w:rPr>
          <w:rFonts w:hint="eastAsia" w:asciiTheme="minorEastAsia" w:hAnsiTheme="minorEastAsia" w:eastAsiaTheme="minorEastAsia" w:cstheme="minorEastAsia"/>
          <w:b/>
          <w:bCs/>
          <w:color w:val="auto"/>
          <w:highlight w:val="none"/>
        </w:rPr>
      </w:pPr>
    </w:p>
    <w:p>
      <w:pPr>
        <w:pStyle w:val="33"/>
        <w:rPr>
          <w:rFonts w:hint="eastAsia" w:asciiTheme="minorEastAsia" w:hAnsiTheme="minorEastAsia" w:eastAsiaTheme="minorEastAsia" w:cstheme="minorEastAsia"/>
          <w:b/>
          <w:bCs/>
          <w:color w:val="auto"/>
          <w:highlight w:val="none"/>
        </w:rPr>
      </w:pPr>
    </w:p>
    <w:p>
      <w:pPr>
        <w:pStyle w:val="33"/>
        <w:rPr>
          <w:rFonts w:hint="eastAsia" w:asciiTheme="minorEastAsia" w:hAnsiTheme="minorEastAsia" w:eastAsiaTheme="minorEastAsia" w:cstheme="minorEastAsia"/>
          <w:b/>
          <w:bCs/>
          <w:color w:val="auto"/>
          <w:highlight w:val="none"/>
        </w:rPr>
      </w:pPr>
    </w:p>
    <w:p>
      <w:pPr>
        <w:pStyle w:val="33"/>
        <w:rPr>
          <w:rFonts w:hint="eastAsia" w:asciiTheme="minorEastAsia" w:hAnsiTheme="minorEastAsia" w:eastAsiaTheme="minorEastAsia" w:cstheme="minorEastAsia"/>
          <w:b/>
          <w:bCs/>
          <w:color w:val="auto"/>
          <w:highlight w:val="none"/>
        </w:rPr>
      </w:pPr>
    </w:p>
    <w:p>
      <w:pPr>
        <w:pStyle w:val="33"/>
        <w:rPr>
          <w:rFonts w:hint="eastAsia" w:asciiTheme="minorEastAsia" w:hAnsiTheme="minorEastAsia" w:eastAsiaTheme="minorEastAsia" w:cstheme="minorEastAsia"/>
          <w:b/>
          <w:bCs/>
          <w:color w:val="auto"/>
          <w:highlight w:val="none"/>
        </w:rPr>
      </w:pPr>
    </w:p>
    <w:p>
      <w:pPr>
        <w:pStyle w:val="33"/>
        <w:rPr>
          <w:rFonts w:hint="eastAsia" w:asciiTheme="minorEastAsia" w:hAnsiTheme="minorEastAsia" w:eastAsiaTheme="minorEastAsia" w:cstheme="minorEastAsia"/>
          <w:b/>
          <w:bCs/>
          <w:color w:val="auto"/>
          <w:highlight w:val="none"/>
        </w:rPr>
      </w:pPr>
    </w:p>
    <w:p>
      <w:pPr>
        <w:pStyle w:val="33"/>
        <w:rPr>
          <w:rFonts w:hint="eastAsia" w:asciiTheme="minorEastAsia" w:hAnsiTheme="minorEastAsia" w:eastAsiaTheme="minorEastAsia" w:cstheme="minorEastAsia"/>
          <w:b/>
          <w:bCs/>
          <w:color w:val="auto"/>
          <w:highlight w:val="none"/>
        </w:rPr>
      </w:pPr>
    </w:p>
    <w:p>
      <w:pPr>
        <w:pStyle w:val="33"/>
        <w:rPr>
          <w:rFonts w:hint="eastAsia" w:asciiTheme="minorEastAsia" w:hAnsiTheme="minorEastAsia" w:eastAsiaTheme="minorEastAsia" w:cstheme="minorEastAsia"/>
          <w:b/>
          <w:bCs/>
          <w:color w:val="auto"/>
          <w:highlight w:val="none"/>
        </w:rPr>
      </w:pPr>
    </w:p>
    <w:p>
      <w:pPr>
        <w:pStyle w:val="33"/>
        <w:rPr>
          <w:rFonts w:hint="eastAsia" w:asciiTheme="minorEastAsia" w:hAnsiTheme="minorEastAsia" w:eastAsiaTheme="minorEastAsia" w:cstheme="minorEastAsia"/>
          <w:b/>
          <w:bCs/>
          <w:color w:val="auto"/>
          <w:highlight w:val="none"/>
        </w:rPr>
      </w:pPr>
    </w:p>
    <w:p>
      <w:pPr>
        <w:pStyle w:val="33"/>
        <w:rPr>
          <w:rFonts w:hint="eastAsia" w:asciiTheme="minorEastAsia" w:hAnsiTheme="minorEastAsia" w:eastAsiaTheme="minorEastAsia" w:cstheme="minorEastAsia"/>
          <w:b/>
          <w:bCs/>
          <w:color w:val="auto"/>
          <w:highlight w:val="none"/>
        </w:rPr>
      </w:pPr>
    </w:p>
    <w:p>
      <w:pPr>
        <w:pStyle w:val="33"/>
        <w:rPr>
          <w:rFonts w:hint="eastAsia" w:asciiTheme="minorEastAsia" w:hAnsiTheme="minorEastAsia" w:eastAsiaTheme="minorEastAsia" w:cstheme="minorEastAsia"/>
          <w:b/>
          <w:bCs/>
          <w:color w:val="auto"/>
          <w:highlight w:val="none"/>
        </w:rPr>
      </w:pPr>
    </w:p>
    <w:p>
      <w:pPr>
        <w:pStyle w:val="33"/>
        <w:rPr>
          <w:rFonts w:hint="eastAsia" w:asciiTheme="minorEastAsia" w:hAnsiTheme="minorEastAsia" w:eastAsiaTheme="minorEastAsia" w:cstheme="minorEastAsia"/>
          <w:b/>
          <w:bCs/>
          <w:color w:val="auto"/>
          <w:highlight w:val="none"/>
        </w:rPr>
      </w:pPr>
    </w:p>
    <w:p>
      <w:pPr>
        <w:pStyle w:val="33"/>
        <w:rPr>
          <w:rFonts w:hint="eastAsia" w:asciiTheme="minorEastAsia" w:hAnsiTheme="minorEastAsia" w:eastAsiaTheme="minorEastAsia" w:cstheme="minorEastAsia"/>
          <w:b/>
          <w:bCs/>
          <w:color w:val="auto"/>
          <w:highlight w:val="none"/>
        </w:rPr>
      </w:pPr>
    </w:p>
    <w:p>
      <w:pPr>
        <w:pStyle w:val="33"/>
        <w:rPr>
          <w:rFonts w:hint="eastAsia" w:asciiTheme="minorEastAsia" w:hAnsiTheme="minorEastAsia" w:eastAsiaTheme="minorEastAsia" w:cstheme="minorEastAsia"/>
          <w:b/>
          <w:bCs/>
          <w:color w:val="auto"/>
          <w:highlight w:val="none"/>
        </w:rPr>
      </w:pPr>
    </w:p>
    <w:p>
      <w:pPr>
        <w:pStyle w:val="33"/>
        <w:rPr>
          <w:rFonts w:hint="eastAsia" w:asciiTheme="minorEastAsia" w:hAnsiTheme="minorEastAsia" w:eastAsiaTheme="minorEastAsia" w:cstheme="minorEastAsia"/>
          <w:b/>
          <w:bCs/>
          <w:color w:val="auto"/>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 xml:space="preserve">1.项目实施人员一览表 </w:t>
      </w:r>
      <w:r>
        <w:rPr>
          <w:rFonts w:hint="eastAsia" w:asciiTheme="minorEastAsia" w:hAnsiTheme="minorEastAsia" w:eastAsiaTheme="minorEastAsia" w:cstheme="minorEastAsia"/>
          <w:b/>
          <w:bCs/>
          <w:color w:val="auto"/>
          <w:sz w:val="24"/>
          <w:highlight w:val="none"/>
        </w:rPr>
        <w:t>（如有，请提供）；</w:t>
      </w:r>
    </w:p>
    <w:p>
      <w:pPr>
        <w:rPr>
          <w:rFonts w:hint="eastAsia" w:asciiTheme="minorEastAsia" w:hAnsiTheme="minorEastAsia" w:eastAsiaTheme="minorEastAsia" w:cstheme="minorEastAsia"/>
          <w:color w:val="auto"/>
          <w:highlight w:val="none"/>
        </w:rPr>
      </w:pPr>
    </w:p>
    <w:p>
      <w:pPr>
        <w:pStyle w:val="13"/>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附件：</w:t>
      </w:r>
    </w:p>
    <w:p>
      <w:pPr>
        <w:pStyle w:val="13"/>
        <w:ind w:firstLine="472" w:firstLineChars="147"/>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项目实施人员一览表（格式）</w:t>
      </w:r>
    </w:p>
    <w:tbl>
      <w:tblPr>
        <w:tblStyle w:val="24"/>
        <w:tblW w:w="10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50"/>
        <w:gridCol w:w="1665"/>
        <w:gridCol w:w="1200"/>
        <w:gridCol w:w="2550"/>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ign w:val="center"/>
          </w:tcPr>
          <w:p>
            <w:pPr>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姓 名</w:t>
            </w:r>
          </w:p>
        </w:tc>
        <w:tc>
          <w:tcPr>
            <w:tcW w:w="1050" w:type="dxa"/>
            <w:noWrap/>
            <w:vAlign w:val="center"/>
          </w:tcPr>
          <w:p>
            <w:pPr>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职务</w:t>
            </w:r>
          </w:p>
        </w:tc>
        <w:tc>
          <w:tcPr>
            <w:tcW w:w="1665" w:type="dxa"/>
            <w:noWrap/>
            <w:vAlign w:val="center"/>
          </w:tcPr>
          <w:p>
            <w:pPr>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专业技术资格</w:t>
            </w:r>
          </w:p>
        </w:tc>
        <w:tc>
          <w:tcPr>
            <w:tcW w:w="1200" w:type="dxa"/>
            <w:noWrap/>
            <w:vAlign w:val="center"/>
          </w:tcPr>
          <w:p>
            <w:pPr>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证书编号</w:t>
            </w:r>
          </w:p>
        </w:tc>
        <w:tc>
          <w:tcPr>
            <w:tcW w:w="2550" w:type="dxa"/>
            <w:noWrap/>
            <w:vAlign w:val="center"/>
          </w:tcPr>
          <w:p>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参加本单位工作时间</w:t>
            </w:r>
          </w:p>
        </w:tc>
        <w:tc>
          <w:tcPr>
            <w:tcW w:w="2610" w:type="dxa"/>
            <w:noWrap/>
            <w:vAlign w:val="center"/>
          </w:tcPr>
          <w:p>
            <w:pPr>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劳动合同编号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tcPr>
          <w:p>
            <w:pPr>
              <w:spacing w:line="400" w:lineRule="exact"/>
              <w:rPr>
                <w:rFonts w:hint="eastAsia" w:asciiTheme="minorEastAsia" w:hAnsiTheme="minorEastAsia" w:eastAsiaTheme="minorEastAsia" w:cstheme="minorEastAsia"/>
                <w:color w:val="auto"/>
                <w:szCs w:val="21"/>
                <w:highlight w:val="none"/>
              </w:rPr>
            </w:pPr>
          </w:p>
        </w:tc>
        <w:tc>
          <w:tcPr>
            <w:tcW w:w="1050" w:type="dxa"/>
            <w:noWrap/>
          </w:tcPr>
          <w:p>
            <w:pPr>
              <w:spacing w:line="400" w:lineRule="exact"/>
              <w:rPr>
                <w:rFonts w:hint="eastAsia" w:asciiTheme="minorEastAsia" w:hAnsiTheme="minorEastAsia" w:eastAsiaTheme="minorEastAsia" w:cstheme="minorEastAsia"/>
                <w:color w:val="auto"/>
                <w:szCs w:val="21"/>
                <w:highlight w:val="none"/>
              </w:rPr>
            </w:pPr>
          </w:p>
        </w:tc>
        <w:tc>
          <w:tcPr>
            <w:tcW w:w="1665" w:type="dxa"/>
            <w:noWrap/>
          </w:tcPr>
          <w:p>
            <w:pPr>
              <w:spacing w:line="400" w:lineRule="exact"/>
              <w:rPr>
                <w:rFonts w:hint="eastAsia" w:asciiTheme="minorEastAsia" w:hAnsiTheme="minorEastAsia" w:eastAsiaTheme="minorEastAsia" w:cstheme="minorEastAsia"/>
                <w:color w:val="auto"/>
                <w:szCs w:val="21"/>
                <w:highlight w:val="none"/>
              </w:rPr>
            </w:pPr>
          </w:p>
        </w:tc>
        <w:tc>
          <w:tcPr>
            <w:tcW w:w="1200" w:type="dxa"/>
            <w:noWrap/>
          </w:tcPr>
          <w:p>
            <w:pPr>
              <w:spacing w:line="400" w:lineRule="exact"/>
              <w:rPr>
                <w:rFonts w:hint="eastAsia" w:asciiTheme="minorEastAsia" w:hAnsiTheme="minorEastAsia" w:eastAsiaTheme="minorEastAsia" w:cstheme="minorEastAsia"/>
                <w:color w:val="auto"/>
                <w:szCs w:val="21"/>
                <w:highlight w:val="none"/>
              </w:rPr>
            </w:pPr>
          </w:p>
        </w:tc>
        <w:tc>
          <w:tcPr>
            <w:tcW w:w="2550" w:type="dxa"/>
            <w:noWrap/>
          </w:tcPr>
          <w:p>
            <w:pPr>
              <w:spacing w:line="400" w:lineRule="exact"/>
              <w:rPr>
                <w:rFonts w:hint="eastAsia" w:asciiTheme="minorEastAsia" w:hAnsiTheme="minorEastAsia" w:eastAsiaTheme="minorEastAsia" w:cstheme="minorEastAsia"/>
                <w:color w:val="auto"/>
                <w:szCs w:val="21"/>
                <w:highlight w:val="none"/>
              </w:rPr>
            </w:pPr>
          </w:p>
        </w:tc>
        <w:tc>
          <w:tcPr>
            <w:tcW w:w="2610" w:type="dxa"/>
            <w:noWrap/>
          </w:tcPr>
          <w:p>
            <w:pPr>
              <w:spacing w:line="400" w:lineRule="exact"/>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tcPr>
          <w:p>
            <w:pPr>
              <w:spacing w:line="400" w:lineRule="exact"/>
              <w:rPr>
                <w:rFonts w:hint="eastAsia" w:asciiTheme="minorEastAsia" w:hAnsiTheme="minorEastAsia" w:eastAsiaTheme="minorEastAsia" w:cstheme="minorEastAsia"/>
                <w:color w:val="auto"/>
                <w:szCs w:val="21"/>
                <w:highlight w:val="none"/>
              </w:rPr>
            </w:pPr>
          </w:p>
        </w:tc>
        <w:tc>
          <w:tcPr>
            <w:tcW w:w="1050" w:type="dxa"/>
            <w:noWrap/>
          </w:tcPr>
          <w:p>
            <w:pPr>
              <w:spacing w:line="400" w:lineRule="exact"/>
              <w:rPr>
                <w:rFonts w:hint="eastAsia" w:asciiTheme="minorEastAsia" w:hAnsiTheme="minorEastAsia" w:eastAsiaTheme="minorEastAsia" w:cstheme="minorEastAsia"/>
                <w:color w:val="auto"/>
                <w:szCs w:val="21"/>
                <w:highlight w:val="none"/>
              </w:rPr>
            </w:pPr>
          </w:p>
        </w:tc>
        <w:tc>
          <w:tcPr>
            <w:tcW w:w="1665" w:type="dxa"/>
            <w:noWrap/>
          </w:tcPr>
          <w:p>
            <w:pPr>
              <w:spacing w:line="400" w:lineRule="exact"/>
              <w:rPr>
                <w:rFonts w:hint="eastAsia" w:asciiTheme="minorEastAsia" w:hAnsiTheme="minorEastAsia" w:eastAsiaTheme="minorEastAsia" w:cstheme="minorEastAsia"/>
                <w:color w:val="auto"/>
                <w:szCs w:val="21"/>
                <w:highlight w:val="none"/>
              </w:rPr>
            </w:pPr>
          </w:p>
        </w:tc>
        <w:tc>
          <w:tcPr>
            <w:tcW w:w="1200" w:type="dxa"/>
            <w:noWrap/>
          </w:tcPr>
          <w:p>
            <w:pPr>
              <w:spacing w:line="400" w:lineRule="exact"/>
              <w:rPr>
                <w:rFonts w:hint="eastAsia" w:asciiTheme="minorEastAsia" w:hAnsiTheme="minorEastAsia" w:eastAsiaTheme="minorEastAsia" w:cstheme="minorEastAsia"/>
                <w:color w:val="auto"/>
                <w:szCs w:val="21"/>
                <w:highlight w:val="none"/>
              </w:rPr>
            </w:pPr>
          </w:p>
        </w:tc>
        <w:tc>
          <w:tcPr>
            <w:tcW w:w="2550" w:type="dxa"/>
            <w:noWrap/>
          </w:tcPr>
          <w:p>
            <w:pPr>
              <w:spacing w:line="400" w:lineRule="exact"/>
              <w:rPr>
                <w:rFonts w:hint="eastAsia" w:asciiTheme="minorEastAsia" w:hAnsiTheme="minorEastAsia" w:eastAsiaTheme="minorEastAsia" w:cstheme="minorEastAsia"/>
                <w:color w:val="auto"/>
                <w:szCs w:val="21"/>
                <w:highlight w:val="none"/>
              </w:rPr>
            </w:pPr>
          </w:p>
        </w:tc>
        <w:tc>
          <w:tcPr>
            <w:tcW w:w="2610" w:type="dxa"/>
            <w:noWrap/>
          </w:tcPr>
          <w:p>
            <w:pPr>
              <w:spacing w:line="400" w:lineRule="exact"/>
              <w:rPr>
                <w:rFonts w:hint="eastAsia" w:asciiTheme="minorEastAsia" w:hAnsiTheme="minorEastAsia" w:eastAsiaTheme="minorEastAsia" w:cstheme="minorEastAsia"/>
                <w:color w:val="auto"/>
                <w:szCs w:val="21"/>
                <w:highlight w:val="none"/>
              </w:rPr>
            </w:pPr>
          </w:p>
        </w:tc>
      </w:tr>
    </w:tbl>
    <w:p>
      <w:pPr>
        <w:spacing w:line="400" w:lineRule="exact"/>
        <w:rPr>
          <w:rFonts w:hint="eastAsia" w:asciiTheme="minorEastAsia" w:hAnsiTheme="minorEastAsia" w:eastAsiaTheme="minorEastAsia" w:cstheme="minorEastAsia"/>
          <w:color w:val="auto"/>
          <w:szCs w:val="21"/>
          <w:highlight w:val="none"/>
        </w:rPr>
      </w:pPr>
    </w:p>
    <w:p>
      <w:pPr>
        <w:snapToGrid w:val="0"/>
        <w:spacing w:line="400" w:lineRule="exact"/>
        <w:ind w:firstLine="1890" w:firstLineChars="9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磋商供应商[公章(CA签章)，自然人签字或个人CA签章]：</w:t>
      </w:r>
    </w:p>
    <w:p>
      <w:pPr>
        <w:pStyle w:val="4"/>
        <w:rPr>
          <w:rFonts w:hint="eastAsia" w:asciiTheme="minorEastAsia" w:hAnsiTheme="minorEastAsia" w:eastAsiaTheme="minorEastAsia" w:cstheme="minorEastAsia"/>
          <w:color w:val="auto"/>
          <w:highlight w:val="none"/>
        </w:rPr>
      </w:pPr>
    </w:p>
    <w:p>
      <w:pPr>
        <w:snapToGrid w:val="0"/>
        <w:spacing w:line="400" w:lineRule="exact"/>
        <w:ind w:firstLine="1680" w:firstLineChars="8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日          期：</w:t>
      </w:r>
    </w:p>
    <w:p>
      <w:pPr>
        <w:pStyle w:val="11"/>
        <w:rPr>
          <w:rFonts w:hint="eastAsia" w:asciiTheme="minorEastAsia" w:hAnsiTheme="minorEastAsia" w:eastAsiaTheme="minorEastAsia" w:cstheme="minorEastAsia"/>
          <w:color w:val="auto"/>
          <w:highlight w:val="none"/>
        </w:rPr>
      </w:pPr>
    </w:p>
    <w:p>
      <w:pPr>
        <w:spacing w:line="360" w:lineRule="auto"/>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b/>
          <w:bCs/>
          <w:color w:val="auto"/>
          <w:sz w:val="24"/>
          <w:highlight w:val="none"/>
        </w:rPr>
        <w:t>注：供应商根据自身情况结合本项目自行制定</w:t>
      </w:r>
    </w:p>
    <w:p>
      <w:pPr>
        <w:pStyle w:val="13"/>
        <w:spacing w:line="340" w:lineRule="exact"/>
        <w:rPr>
          <w:rFonts w:hint="eastAsia" w:asciiTheme="minorEastAsia" w:hAnsiTheme="minorEastAsia" w:eastAsiaTheme="minorEastAsia" w:cstheme="minorEastAsia"/>
          <w:b/>
          <w:color w:val="auto"/>
          <w:sz w:val="28"/>
          <w:szCs w:val="28"/>
          <w:highlight w:val="none"/>
        </w:rPr>
      </w:pPr>
    </w:p>
    <w:p>
      <w:pPr>
        <w:pStyle w:val="7"/>
        <w:rPr>
          <w:rFonts w:hint="eastAsia" w:asciiTheme="minorEastAsia" w:hAnsiTheme="minorEastAsia" w:eastAsiaTheme="minorEastAsia" w:cstheme="minorEastAsia"/>
          <w:b/>
          <w:color w:val="auto"/>
          <w:sz w:val="28"/>
          <w:szCs w:val="28"/>
          <w:highlight w:val="none"/>
        </w:rPr>
      </w:pPr>
    </w:p>
    <w:p>
      <w:pPr>
        <w:pStyle w:val="11"/>
        <w:rPr>
          <w:rFonts w:hint="eastAsia" w:asciiTheme="minorEastAsia" w:hAnsiTheme="minorEastAsia" w:eastAsiaTheme="minorEastAsia" w:cstheme="minorEastAsia"/>
          <w:b/>
          <w:color w:val="auto"/>
          <w:sz w:val="28"/>
          <w:szCs w:val="28"/>
          <w:highlight w:val="none"/>
        </w:rPr>
      </w:pPr>
    </w:p>
    <w:p>
      <w:pPr>
        <w:rPr>
          <w:rFonts w:hint="eastAsia" w:asciiTheme="minorEastAsia" w:hAnsiTheme="minorEastAsia" w:eastAsiaTheme="minorEastAsia" w:cstheme="minorEastAsia"/>
          <w:color w:val="auto"/>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2.“采购需求”需提供的有效证明文件（如有，请提供）；</w:t>
      </w:r>
    </w:p>
    <w:p>
      <w:pPr>
        <w:pStyle w:val="11"/>
        <w:rPr>
          <w:rFonts w:hint="eastAsia" w:asciiTheme="minorEastAsia" w:hAnsiTheme="minorEastAsia" w:eastAsiaTheme="minorEastAsia" w:cstheme="minorEastAsia"/>
          <w:b/>
          <w:color w:val="auto"/>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bookmarkStart w:id="637" w:name="_Toc497927090"/>
      <w:bookmarkStart w:id="638" w:name="_Toc3052"/>
      <w:bookmarkStart w:id="639" w:name="_Toc10161"/>
    </w:p>
    <w:p>
      <w:pPr>
        <w:rPr>
          <w:rFonts w:hint="eastAsia" w:asciiTheme="minorEastAsia" w:hAnsiTheme="minorEastAsia" w:eastAsiaTheme="minorEastAsia" w:cstheme="minorEastAsia"/>
          <w:b/>
          <w:color w:val="auto"/>
          <w:sz w:val="28"/>
          <w:szCs w:val="28"/>
          <w:highlight w:val="none"/>
        </w:rPr>
      </w:pPr>
    </w:p>
    <w:p>
      <w:pPr>
        <w:pStyle w:val="11"/>
        <w:rPr>
          <w:rFonts w:hint="eastAsia" w:asciiTheme="minorEastAsia" w:hAnsiTheme="minorEastAsia" w:eastAsiaTheme="minorEastAsia" w:cstheme="minorEastAsia"/>
          <w:color w:val="auto"/>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3.供应商自2023年1月1日以来同类业绩的相关证明材料（以中标、成交通知书或签订的采购合同扫描件为准，并能清晰反映所提供的服务类型、种类、金额）（如有，请提供）；</w:t>
      </w:r>
      <w:bookmarkEnd w:id="637"/>
      <w:bookmarkEnd w:id="638"/>
      <w:bookmarkEnd w:id="639"/>
    </w:p>
    <w:p>
      <w:pPr>
        <w:pStyle w:val="33"/>
        <w:rPr>
          <w:rFonts w:hint="eastAsia" w:asciiTheme="minorEastAsia" w:hAnsiTheme="minorEastAsia" w:eastAsiaTheme="minorEastAsia" w:cstheme="minorEastAsia"/>
          <w:b/>
          <w:color w:val="auto"/>
          <w:sz w:val="28"/>
          <w:szCs w:val="28"/>
          <w:highlight w:val="none"/>
        </w:rPr>
      </w:pPr>
    </w:p>
    <w:p>
      <w:pPr>
        <w:pStyle w:val="33"/>
        <w:rPr>
          <w:rFonts w:hint="eastAsia" w:asciiTheme="minorEastAsia" w:hAnsiTheme="minorEastAsia" w:eastAsiaTheme="minorEastAsia" w:cstheme="minorEastAsia"/>
          <w:b/>
          <w:color w:val="auto"/>
          <w:sz w:val="28"/>
          <w:szCs w:val="28"/>
          <w:highlight w:val="none"/>
        </w:rPr>
      </w:pPr>
    </w:p>
    <w:p>
      <w:pPr>
        <w:pStyle w:val="13"/>
        <w:spacing w:line="34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szCs w:val="28"/>
          <w:highlight w:val="none"/>
        </w:rPr>
        <w:t>4.供应商可结合本项目的评审办法视自身情况自行提交其它相关证明材料（如有，请提供）；</w:t>
      </w:r>
    </w:p>
    <w:p>
      <w:pPr>
        <w:pStyle w:val="4"/>
        <w:ind w:left="0" w:firstLine="0"/>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5.《中小企业声明函》（见附件）（除监狱企业及残疾人福利性单位外，如有，请提供）；</w:t>
      </w:r>
    </w:p>
    <w:p>
      <w:pPr>
        <w:pStyle w:val="11"/>
        <w:rPr>
          <w:rFonts w:hint="eastAsia" w:asciiTheme="minorEastAsia" w:hAnsiTheme="minorEastAsia" w:eastAsiaTheme="minorEastAsia" w:cstheme="minorEastAsia"/>
          <w:color w:val="auto"/>
          <w:highlight w:val="none"/>
        </w:rPr>
      </w:pPr>
    </w:p>
    <w:p>
      <w:pPr>
        <w:pStyle w:val="13"/>
        <w:rPr>
          <w:rFonts w:hint="eastAsia" w:asciiTheme="minorEastAsia" w:hAnsiTheme="minorEastAsia" w:eastAsiaTheme="minorEastAsia" w:cstheme="minorEastAsia"/>
          <w:b/>
          <w:bCs/>
          <w:color w:val="auto"/>
          <w:sz w:val="32"/>
          <w:szCs w:val="32"/>
          <w:highlight w:val="none"/>
        </w:rPr>
      </w:pPr>
    </w:p>
    <w:p>
      <w:pPr>
        <w:pStyle w:val="13"/>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附件：</w:t>
      </w:r>
    </w:p>
    <w:p>
      <w:pPr>
        <w:pStyle w:val="13"/>
        <w:spacing w:line="440" w:lineRule="exact"/>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中小企业声明函（服务）</w:t>
      </w:r>
    </w:p>
    <w:p>
      <w:pPr>
        <w:spacing w:line="440" w:lineRule="exact"/>
        <w:ind w:firstLine="444" w:firstLineChars="200"/>
        <w:rPr>
          <w:rFonts w:hint="eastAsia"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pacing w:val="6"/>
          <w:szCs w:val="21"/>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spacing w:val="6"/>
          <w:szCs w:val="21"/>
          <w:highlight w:val="none"/>
          <w:u w:val="single"/>
        </w:rPr>
        <w:t>单位名称</w:t>
      </w:r>
      <w:r>
        <w:rPr>
          <w:rFonts w:hint="eastAsia" w:asciiTheme="minorEastAsia" w:hAnsiTheme="minorEastAsia" w:eastAsiaTheme="minorEastAsia" w:cstheme="minorEastAsia"/>
          <w:color w:val="auto"/>
          <w:spacing w:val="6"/>
          <w:szCs w:val="21"/>
          <w:highlight w:val="none"/>
        </w:rPr>
        <w:t>）的（</w:t>
      </w:r>
      <w:r>
        <w:rPr>
          <w:rFonts w:hint="eastAsia" w:asciiTheme="minorEastAsia" w:hAnsiTheme="minorEastAsia" w:eastAsiaTheme="minorEastAsia" w:cstheme="minorEastAsia"/>
          <w:color w:val="auto"/>
          <w:spacing w:val="6"/>
          <w:szCs w:val="21"/>
          <w:highlight w:val="none"/>
          <w:u w:val="single"/>
        </w:rPr>
        <w:t>项目名称</w:t>
      </w:r>
      <w:r>
        <w:rPr>
          <w:rFonts w:hint="eastAsia" w:asciiTheme="minorEastAsia" w:hAnsiTheme="minorEastAsia" w:eastAsiaTheme="minorEastAsia" w:cstheme="minorEastAsia"/>
          <w:color w:val="auto"/>
          <w:spacing w:val="6"/>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440" w:lineRule="exact"/>
        <w:ind w:firstLine="444"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pacing w:val="6"/>
          <w:szCs w:val="21"/>
          <w:highlight w:val="none"/>
        </w:rPr>
        <w:t>1.</w:t>
      </w:r>
      <w:r>
        <w:rPr>
          <w:rFonts w:hint="eastAsia" w:asciiTheme="minorEastAsia" w:hAnsiTheme="minorEastAsia" w:eastAsiaTheme="minorEastAsia" w:cstheme="minorEastAsia"/>
          <w:color w:val="auto"/>
          <w:spacing w:val="6"/>
          <w:szCs w:val="21"/>
          <w:highlight w:val="none"/>
          <w:u w:val="single"/>
        </w:rPr>
        <w:t xml:space="preserve">（标的名称） </w:t>
      </w:r>
      <w:r>
        <w:rPr>
          <w:rFonts w:hint="eastAsia" w:asciiTheme="minorEastAsia" w:hAnsiTheme="minorEastAsia" w:eastAsiaTheme="minorEastAsia" w:cstheme="minorEastAsia"/>
          <w:color w:val="auto"/>
          <w:spacing w:val="6"/>
          <w:szCs w:val="21"/>
          <w:highlight w:val="none"/>
        </w:rPr>
        <w:t>，属于</w:t>
      </w:r>
      <w:r>
        <w:rPr>
          <w:rFonts w:hint="eastAsia" w:asciiTheme="minorEastAsia" w:hAnsiTheme="minorEastAsia" w:eastAsiaTheme="minorEastAsia" w:cstheme="minorEastAsia"/>
          <w:color w:val="auto"/>
          <w:spacing w:val="6"/>
          <w:szCs w:val="21"/>
          <w:highlight w:val="none"/>
          <w:u w:val="single"/>
        </w:rPr>
        <w:t>（采购文件中明确的所属行业）</w:t>
      </w:r>
      <w:r>
        <w:rPr>
          <w:rFonts w:hint="eastAsia" w:asciiTheme="minorEastAsia" w:hAnsiTheme="minorEastAsia" w:eastAsiaTheme="minorEastAsia" w:cstheme="minorEastAsia"/>
          <w:color w:val="auto"/>
          <w:spacing w:val="6"/>
          <w:szCs w:val="21"/>
          <w:highlight w:val="none"/>
        </w:rPr>
        <w:t>； 承建（承接）企业为（</w:t>
      </w:r>
      <w:r>
        <w:rPr>
          <w:rFonts w:hint="eastAsia" w:asciiTheme="minorEastAsia" w:hAnsiTheme="minorEastAsia" w:eastAsiaTheme="minorEastAsia" w:cstheme="minorEastAsia"/>
          <w:color w:val="auto"/>
          <w:spacing w:val="6"/>
          <w:szCs w:val="21"/>
          <w:highlight w:val="none"/>
          <w:u w:val="single"/>
        </w:rPr>
        <w:t>企业名称</w:t>
      </w:r>
      <w:r>
        <w:rPr>
          <w:rFonts w:hint="eastAsia" w:asciiTheme="minorEastAsia" w:hAnsiTheme="minorEastAsia" w:eastAsiaTheme="minorEastAsia" w:cstheme="minorEastAsia"/>
          <w:color w:val="auto"/>
          <w:spacing w:val="6"/>
          <w:szCs w:val="21"/>
          <w:highlight w:val="none"/>
        </w:rPr>
        <w:t>），从业人员人，营业 收入为万元，资产总额为万元，属于（</w:t>
      </w:r>
      <w:r>
        <w:rPr>
          <w:rFonts w:hint="eastAsia" w:asciiTheme="minorEastAsia" w:hAnsiTheme="minorEastAsia" w:eastAsiaTheme="minorEastAsia" w:cstheme="minorEastAsia"/>
          <w:color w:val="auto"/>
          <w:spacing w:val="6"/>
          <w:szCs w:val="21"/>
          <w:highlight w:val="none"/>
          <w:u w:val="single"/>
        </w:rPr>
        <w:t>中型企业、 小型企业、微型企业</w:t>
      </w:r>
      <w:r>
        <w:rPr>
          <w:rFonts w:hint="eastAsia" w:asciiTheme="minorEastAsia" w:hAnsiTheme="minorEastAsia" w:eastAsiaTheme="minorEastAsia" w:cstheme="minorEastAsia"/>
          <w:color w:val="auto"/>
          <w:spacing w:val="6"/>
          <w:szCs w:val="21"/>
          <w:highlight w:val="none"/>
        </w:rPr>
        <w:t>）</w:t>
      </w:r>
    </w:p>
    <w:p>
      <w:pPr>
        <w:widowControl/>
        <w:ind w:firstLine="444" w:firstLineChars="200"/>
        <w:jc w:val="left"/>
        <w:rPr>
          <w:rFonts w:hint="eastAsia"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pacing w:val="6"/>
          <w:szCs w:val="21"/>
          <w:highlight w:val="none"/>
        </w:rPr>
        <w:t>2.</w:t>
      </w:r>
      <w:r>
        <w:rPr>
          <w:rFonts w:hint="eastAsia" w:asciiTheme="minorEastAsia" w:hAnsiTheme="minorEastAsia" w:eastAsiaTheme="minorEastAsia" w:cstheme="minorEastAsia"/>
          <w:color w:val="auto"/>
          <w:spacing w:val="6"/>
          <w:szCs w:val="21"/>
          <w:highlight w:val="none"/>
          <w:u w:val="single"/>
        </w:rPr>
        <w:t xml:space="preserve">（标的名称） </w:t>
      </w:r>
      <w:r>
        <w:rPr>
          <w:rFonts w:hint="eastAsia" w:asciiTheme="minorEastAsia" w:hAnsiTheme="minorEastAsia" w:eastAsiaTheme="minorEastAsia" w:cstheme="minorEastAsia"/>
          <w:color w:val="auto"/>
          <w:spacing w:val="6"/>
          <w:szCs w:val="21"/>
          <w:highlight w:val="none"/>
        </w:rPr>
        <w:t>，属于</w:t>
      </w:r>
      <w:r>
        <w:rPr>
          <w:rFonts w:hint="eastAsia" w:asciiTheme="minorEastAsia" w:hAnsiTheme="minorEastAsia" w:eastAsiaTheme="minorEastAsia" w:cstheme="minorEastAsia"/>
          <w:color w:val="auto"/>
          <w:spacing w:val="6"/>
          <w:szCs w:val="21"/>
          <w:highlight w:val="none"/>
          <w:u w:val="single"/>
        </w:rPr>
        <w:t>（采购文件中明确的所属行业）</w:t>
      </w:r>
      <w:r>
        <w:rPr>
          <w:rFonts w:hint="eastAsia" w:asciiTheme="minorEastAsia" w:hAnsiTheme="minorEastAsia" w:eastAsiaTheme="minorEastAsia" w:cstheme="minorEastAsia"/>
          <w:color w:val="auto"/>
          <w:spacing w:val="6"/>
          <w:szCs w:val="21"/>
          <w:highlight w:val="none"/>
        </w:rPr>
        <w:t>；承建（承接）企业为（</w:t>
      </w:r>
      <w:r>
        <w:rPr>
          <w:rFonts w:hint="eastAsia" w:asciiTheme="minorEastAsia" w:hAnsiTheme="minorEastAsia" w:eastAsiaTheme="minorEastAsia" w:cstheme="minorEastAsia"/>
          <w:color w:val="auto"/>
          <w:spacing w:val="6"/>
          <w:szCs w:val="21"/>
          <w:highlight w:val="none"/>
          <w:u w:val="single"/>
        </w:rPr>
        <w:t>企业名称</w:t>
      </w:r>
      <w:r>
        <w:rPr>
          <w:rFonts w:hint="eastAsia" w:asciiTheme="minorEastAsia" w:hAnsiTheme="minorEastAsia" w:eastAsiaTheme="minorEastAsia" w:cstheme="minorEastAsia"/>
          <w:color w:val="auto"/>
          <w:spacing w:val="6"/>
          <w:szCs w:val="21"/>
          <w:highlight w:val="none"/>
        </w:rPr>
        <w:t>），从业人员人，营业收入为万元，资产总额为万元，属于（</w:t>
      </w:r>
      <w:r>
        <w:rPr>
          <w:rFonts w:hint="eastAsia" w:asciiTheme="minorEastAsia" w:hAnsiTheme="minorEastAsia" w:eastAsiaTheme="minorEastAsia" w:cstheme="minorEastAsia"/>
          <w:color w:val="auto"/>
          <w:spacing w:val="6"/>
          <w:szCs w:val="21"/>
          <w:highlight w:val="none"/>
          <w:u w:val="single"/>
        </w:rPr>
        <w:t>中型企业、 小型企业、微型企业</w:t>
      </w:r>
      <w:r>
        <w:rPr>
          <w:rFonts w:hint="eastAsia" w:asciiTheme="minorEastAsia" w:hAnsiTheme="minorEastAsia" w:eastAsiaTheme="minorEastAsia" w:cstheme="minorEastAsia"/>
          <w:color w:val="auto"/>
          <w:spacing w:val="6"/>
          <w:szCs w:val="21"/>
          <w:highlight w:val="none"/>
        </w:rPr>
        <w:t>）；</w:t>
      </w:r>
    </w:p>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p>
      <w:pPr>
        <w:widowControl/>
        <w:jc w:val="left"/>
        <w:rPr>
          <w:rFonts w:hint="eastAsia"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pacing w:val="6"/>
          <w:szCs w:val="21"/>
          <w:highlight w:val="none"/>
        </w:rPr>
        <w:t>以上企业，不属于大企业的分支机构，不存在控股股东为大企业的情形，也不存在与大企业的负责人为同一人的情形。</w:t>
      </w:r>
    </w:p>
    <w:p>
      <w:pPr>
        <w:widowControl/>
        <w:jc w:val="left"/>
        <w:rPr>
          <w:rFonts w:hint="eastAsia"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pacing w:val="6"/>
          <w:szCs w:val="21"/>
          <w:highlight w:val="none"/>
        </w:rPr>
        <w:t xml:space="preserve">本企业对上述声明内容的真实性负责。如有虚假，将依法承担相应责任。 </w:t>
      </w:r>
    </w:p>
    <w:p>
      <w:pPr>
        <w:pStyle w:val="52"/>
        <w:spacing w:after="40" w:line="400" w:lineRule="exact"/>
        <w:ind w:firstLine="640"/>
        <w:jc w:val="both"/>
        <w:rPr>
          <w:rFonts w:hint="eastAsia" w:asciiTheme="minorEastAsia" w:hAnsiTheme="minorEastAsia" w:eastAsiaTheme="minorEastAsia" w:cstheme="minorEastAsia"/>
          <w:color w:val="auto"/>
          <w:sz w:val="24"/>
          <w:szCs w:val="24"/>
          <w:highlight w:val="none"/>
        </w:rPr>
      </w:pPr>
    </w:p>
    <w:p>
      <w:pPr>
        <w:pStyle w:val="52"/>
        <w:spacing w:line="400" w:lineRule="exact"/>
        <w:ind w:firstLine="640"/>
        <w:jc w:val="both"/>
        <w:rPr>
          <w:rFonts w:hint="eastAsia" w:asciiTheme="minorEastAsia" w:hAnsiTheme="minorEastAsia" w:eastAsiaTheme="minorEastAsia" w:cstheme="minorEastAsia"/>
          <w:color w:val="auto"/>
          <w:spacing w:val="6"/>
          <w:kern w:val="2"/>
          <w:sz w:val="21"/>
          <w:szCs w:val="21"/>
          <w:highlight w:val="none"/>
        </w:rPr>
      </w:pPr>
      <w:r>
        <w:rPr>
          <w:rFonts w:hint="eastAsia" w:asciiTheme="minorEastAsia" w:hAnsiTheme="minorEastAsia" w:eastAsiaTheme="minorEastAsia" w:cstheme="minorEastAsia"/>
          <w:color w:val="auto"/>
          <w:spacing w:val="6"/>
          <w:kern w:val="2"/>
          <w:sz w:val="21"/>
          <w:szCs w:val="21"/>
          <w:highlight w:val="none"/>
        </w:rPr>
        <w:t xml:space="preserve">                        企业名称[盖公章（CA签章）]：</w:t>
      </w:r>
    </w:p>
    <w:p>
      <w:pPr>
        <w:pStyle w:val="52"/>
        <w:spacing w:line="400" w:lineRule="exact"/>
        <w:ind w:firstLine="640"/>
        <w:jc w:val="both"/>
        <w:rPr>
          <w:rFonts w:hint="eastAsia" w:asciiTheme="minorEastAsia" w:hAnsiTheme="minorEastAsia" w:eastAsiaTheme="minorEastAsia" w:cstheme="minorEastAsia"/>
          <w:color w:val="auto"/>
          <w:spacing w:val="6"/>
          <w:kern w:val="2"/>
          <w:sz w:val="21"/>
          <w:szCs w:val="21"/>
          <w:highlight w:val="none"/>
        </w:rPr>
      </w:pPr>
      <w:r>
        <w:rPr>
          <w:rFonts w:hint="eastAsia" w:asciiTheme="minorEastAsia" w:hAnsiTheme="minorEastAsia" w:eastAsiaTheme="minorEastAsia" w:cstheme="minorEastAsia"/>
          <w:color w:val="auto"/>
          <w:spacing w:val="6"/>
          <w:kern w:val="2"/>
          <w:sz w:val="21"/>
          <w:szCs w:val="21"/>
          <w:highlight w:val="none"/>
        </w:rPr>
        <w:t xml:space="preserve">                                                   日期：</w:t>
      </w:r>
    </w:p>
    <w:p>
      <w:pPr>
        <w:pStyle w:val="1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kern w:val="0"/>
          <w:szCs w:val="21"/>
          <w:highlight w:val="none"/>
        </w:rPr>
        <w:t>注：从业人员、营业收入、资产总额填报上一年度数据，无上一年度数据的新成立企业可不填报。</w:t>
      </w:r>
    </w:p>
    <w:p>
      <w:pPr>
        <w:pStyle w:val="7"/>
        <w:ind w:left="0"/>
        <w:rPr>
          <w:rFonts w:hint="eastAsia" w:asciiTheme="minorEastAsia" w:hAnsiTheme="minorEastAsia" w:eastAsiaTheme="minorEastAsia" w:cstheme="minorEastAsia"/>
          <w:color w:val="auto"/>
          <w:highlight w:val="none"/>
        </w:rPr>
      </w:pPr>
    </w:p>
    <w:p>
      <w:pPr>
        <w:pStyle w:val="13"/>
        <w:spacing w:line="440" w:lineRule="exact"/>
        <w:ind w:firstLine="504" w:firstLineChars="200"/>
        <w:rPr>
          <w:rFonts w:hint="eastAsia" w:asciiTheme="minorEastAsia" w:hAnsiTheme="minorEastAsia" w:eastAsiaTheme="minorEastAsia" w:cstheme="minorEastAsia"/>
          <w:color w:val="auto"/>
          <w:spacing w:val="6"/>
          <w:sz w:val="24"/>
          <w:szCs w:val="24"/>
          <w:highlight w:val="none"/>
        </w:rPr>
      </w:pPr>
    </w:p>
    <w:p>
      <w:pPr>
        <w:pStyle w:val="13"/>
        <w:spacing w:line="440" w:lineRule="exact"/>
        <w:rPr>
          <w:rFonts w:hint="eastAsia" w:asciiTheme="minorEastAsia" w:hAnsiTheme="minorEastAsia" w:eastAsiaTheme="minorEastAsia" w:cstheme="minorEastAsia"/>
          <w:b/>
          <w:bCs/>
          <w:color w:val="auto"/>
          <w:sz w:val="24"/>
          <w:szCs w:val="24"/>
          <w:highlight w:val="none"/>
        </w:rPr>
      </w:pPr>
    </w:p>
    <w:p>
      <w:pPr>
        <w:rPr>
          <w:rFonts w:hint="eastAsia" w:asciiTheme="minorEastAsia" w:hAnsiTheme="minorEastAsia" w:eastAsiaTheme="minorEastAsia" w:cstheme="minorEastAsia"/>
          <w:b/>
          <w:bCs/>
          <w:color w:val="auto"/>
          <w:sz w:val="24"/>
          <w:highlight w:val="none"/>
        </w:rPr>
      </w:pPr>
    </w:p>
    <w:p>
      <w:pPr>
        <w:pStyle w:val="4"/>
        <w:rPr>
          <w:rFonts w:hint="eastAsia" w:asciiTheme="minorEastAsia" w:hAnsiTheme="minorEastAsia" w:eastAsiaTheme="minorEastAsia" w:cstheme="minorEastAsia"/>
          <w:b/>
          <w:color w:val="auto"/>
          <w:sz w:val="24"/>
          <w:szCs w:val="24"/>
          <w:highlight w:val="none"/>
          <w:lang w:val="en-US"/>
        </w:rPr>
      </w:pPr>
    </w:p>
    <w:p>
      <w:pPr>
        <w:rPr>
          <w:rFonts w:hint="eastAsia" w:asciiTheme="minorEastAsia" w:hAnsiTheme="minorEastAsia" w:eastAsiaTheme="minorEastAsia" w:cstheme="minorEastAsia"/>
          <w:b/>
          <w:bCs/>
          <w:color w:val="auto"/>
          <w:sz w:val="24"/>
          <w:highlight w:val="none"/>
        </w:rPr>
      </w:pPr>
    </w:p>
    <w:p>
      <w:pPr>
        <w:pStyle w:val="4"/>
        <w:rPr>
          <w:rFonts w:hint="eastAsia" w:asciiTheme="minorEastAsia" w:hAnsiTheme="minorEastAsia" w:eastAsiaTheme="minorEastAsia" w:cstheme="minorEastAsia"/>
          <w:b/>
          <w:color w:val="auto"/>
          <w:sz w:val="24"/>
          <w:szCs w:val="24"/>
          <w:highlight w:val="none"/>
          <w:lang w:val="en-US"/>
        </w:rPr>
      </w:pPr>
    </w:p>
    <w:p>
      <w:pPr>
        <w:rPr>
          <w:rFonts w:hint="eastAsia" w:asciiTheme="minorEastAsia" w:hAnsiTheme="minorEastAsia" w:eastAsiaTheme="minorEastAsia" w:cstheme="minorEastAsia"/>
          <w:b/>
          <w:bCs/>
          <w:color w:val="auto"/>
          <w:sz w:val="24"/>
          <w:highlight w:val="none"/>
        </w:rPr>
      </w:pPr>
    </w:p>
    <w:p>
      <w:pPr>
        <w:pStyle w:val="4"/>
        <w:rPr>
          <w:rFonts w:hint="eastAsia" w:asciiTheme="minorEastAsia" w:hAnsiTheme="minorEastAsia" w:eastAsiaTheme="minorEastAsia" w:cstheme="minorEastAsia"/>
          <w:b/>
          <w:color w:val="auto"/>
          <w:sz w:val="24"/>
          <w:szCs w:val="24"/>
          <w:highlight w:val="none"/>
          <w:lang w:val="en-US"/>
        </w:rPr>
      </w:pPr>
    </w:p>
    <w:p>
      <w:pPr>
        <w:rPr>
          <w:rFonts w:hint="eastAsia" w:asciiTheme="minorEastAsia" w:hAnsiTheme="minorEastAsia" w:eastAsiaTheme="minorEastAsia" w:cstheme="minorEastAsia"/>
          <w:b/>
          <w:bCs/>
          <w:color w:val="auto"/>
          <w:sz w:val="24"/>
          <w:highlight w:val="none"/>
        </w:rPr>
      </w:pPr>
    </w:p>
    <w:p>
      <w:pPr>
        <w:pStyle w:val="4"/>
        <w:rPr>
          <w:rFonts w:hint="eastAsia" w:asciiTheme="minorEastAsia" w:hAnsiTheme="minorEastAsia" w:eastAsiaTheme="minorEastAsia" w:cstheme="minorEastAsia"/>
          <w:color w:val="auto"/>
          <w:highlight w:val="none"/>
          <w:lang w:val="en-US"/>
        </w:rPr>
      </w:pPr>
    </w:p>
    <w:p>
      <w:pPr>
        <w:rPr>
          <w:rFonts w:hint="eastAsia" w:asciiTheme="minorEastAsia" w:hAnsiTheme="minorEastAsia" w:eastAsiaTheme="minorEastAsia" w:cstheme="minorEastAsia"/>
          <w:b/>
          <w:bCs/>
          <w:color w:val="auto"/>
          <w:sz w:val="24"/>
          <w:highlight w:val="none"/>
        </w:rPr>
      </w:pPr>
    </w:p>
    <w:p>
      <w:pPr>
        <w:rPr>
          <w:rFonts w:hint="eastAsia" w:asciiTheme="minorEastAsia" w:hAnsiTheme="minorEastAsia" w:eastAsiaTheme="minorEastAsia" w:cstheme="minorEastAsia"/>
          <w:color w:val="auto"/>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6.如提供服务的供应商属于监狱企业的，应当提供由省级以上监狱管理局、戒毒管理局等（含新疆生产建设兵团）出具的属于监狱企业的证明文件（如供应商属于监狱企业的，如有，请提供）；</w:t>
      </w:r>
    </w:p>
    <w:p>
      <w:pPr>
        <w:pStyle w:val="7"/>
        <w:rPr>
          <w:rFonts w:hint="eastAsia" w:asciiTheme="minorEastAsia" w:hAnsiTheme="minorEastAsia" w:eastAsiaTheme="minorEastAsia" w:cstheme="minorEastAsia"/>
          <w:color w:val="auto"/>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p>
    <w:p>
      <w:pPr>
        <w:rPr>
          <w:rFonts w:hint="eastAsia" w:asciiTheme="minorEastAsia" w:hAnsiTheme="minorEastAsia" w:eastAsiaTheme="minorEastAsia" w:cstheme="minorEastAsia"/>
          <w:b/>
          <w:color w:val="auto"/>
          <w:sz w:val="28"/>
          <w:szCs w:val="28"/>
          <w:highlight w:val="none"/>
        </w:rPr>
      </w:pPr>
    </w:p>
    <w:p>
      <w:pPr>
        <w:pStyle w:val="4"/>
        <w:rPr>
          <w:rFonts w:hint="eastAsia" w:asciiTheme="minorEastAsia" w:hAnsiTheme="minorEastAsia" w:eastAsiaTheme="minorEastAsia" w:cstheme="minorEastAsia"/>
          <w:b/>
          <w:color w:val="auto"/>
          <w:szCs w:val="28"/>
          <w:highlight w:val="none"/>
          <w:lang w:val="en-US"/>
        </w:rPr>
      </w:pPr>
    </w:p>
    <w:p>
      <w:pPr>
        <w:rPr>
          <w:rFonts w:hint="eastAsia" w:asciiTheme="minorEastAsia" w:hAnsiTheme="minorEastAsia" w:eastAsiaTheme="minorEastAsia" w:cstheme="minorEastAsia"/>
          <w:color w:val="auto"/>
          <w:highlight w:val="none"/>
        </w:rPr>
      </w:pPr>
    </w:p>
    <w:p>
      <w:pPr>
        <w:pStyle w:val="13"/>
        <w:spacing w:line="340" w:lineRule="exac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7.《残疾人福利性单位声明函》（见附件）（如供应商属于残疾人福利性单位的，如有，请提供）。</w:t>
      </w:r>
    </w:p>
    <w:p>
      <w:pPr>
        <w:pStyle w:val="33"/>
        <w:rPr>
          <w:rFonts w:hint="eastAsia" w:asciiTheme="minorEastAsia" w:hAnsiTheme="minorEastAsia" w:eastAsiaTheme="minorEastAsia" w:cstheme="minorEastAsia"/>
          <w:b/>
          <w:color w:val="auto"/>
          <w:spacing w:val="6"/>
          <w:sz w:val="28"/>
          <w:szCs w:val="28"/>
          <w:highlight w:val="none"/>
        </w:rPr>
      </w:pPr>
    </w:p>
    <w:p>
      <w:pPr>
        <w:spacing w:line="588" w:lineRule="exact"/>
        <w:jc w:val="center"/>
        <w:rPr>
          <w:rFonts w:hint="eastAsia" w:asciiTheme="minorEastAsia" w:hAnsiTheme="minorEastAsia" w:eastAsiaTheme="minorEastAsia" w:cstheme="minorEastAsia"/>
          <w:b/>
          <w:color w:val="auto"/>
          <w:spacing w:val="6"/>
          <w:sz w:val="28"/>
          <w:szCs w:val="28"/>
          <w:highlight w:val="none"/>
        </w:rPr>
      </w:pPr>
      <w:r>
        <w:rPr>
          <w:rFonts w:hint="eastAsia" w:asciiTheme="minorEastAsia" w:hAnsiTheme="minorEastAsia" w:eastAsiaTheme="minorEastAsia" w:cstheme="minorEastAsia"/>
          <w:b/>
          <w:color w:val="auto"/>
          <w:spacing w:val="6"/>
          <w:sz w:val="28"/>
          <w:szCs w:val="28"/>
          <w:highlight w:val="none"/>
        </w:rPr>
        <w:t>残疾人福利性单位声明函</w:t>
      </w:r>
    </w:p>
    <w:p>
      <w:pPr>
        <w:spacing w:line="588" w:lineRule="exact"/>
        <w:ind w:firstLine="504" w:firstLineChars="200"/>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4"/>
          <w:highlight w:val="none"/>
        </w:rPr>
        <w:t>〔2017〕141</w:t>
      </w:r>
      <w:r>
        <w:rPr>
          <w:rFonts w:hint="eastAsia" w:asciiTheme="minorEastAsia" w:hAnsiTheme="minorEastAsia" w:eastAsiaTheme="minorEastAsia" w:cstheme="minorEastAsia"/>
          <w:color w:val="auto"/>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本单位对上述声明的真实性负责。如有虚假，将依法承担相应责任。</w:t>
      </w:r>
    </w:p>
    <w:p>
      <w:pPr>
        <w:rPr>
          <w:rFonts w:hint="eastAsia" w:asciiTheme="minorEastAsia" w:hAnsiTheme="minorEastAsia" w:eastAsiaTheme="minorEastAsia" w:cstheme="minorEastAsia"/>
          <w:color w:val="auto"/>
          <w:highlight w:val="none"/>
        </w:rPr>
      </w:pPr>
    </w:p>
    <w:p>
      <w:pPr>
        <w:tabs>
          <w:tab w:val="left" w:pos="4860"/>
        </w:tabs>
        <w:spacing w:line="588" w:lineRule="exact"/>
        <w:ind w:right="1560" w:firstLine="504" w:firstLineChars="200"/>
        <w:jc w:val="center"/>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 xml:space="preserve">  单位名称（</w:t>
      </w:r>
      <w:r>
        <w:rPr>
          <w:rFonts w:hint="eastAsia" w:asciiTheme="minorEastAsia" w:hAnsiTheme="minorEastAsia" w:eastAsiaTheme="minorEastAsia" w:cstheme="minorEastAsia"/>
          <w:color w:val="auto"/>
          <w:sz w:val="24"/>
          <w:highlight w:val="none"/>
        </w:rPr>
        <w:t>CA签章</w:t>
      </w:r>
      <w:r>
        <w:rPr>
          <w:rFonts w:hint="eastAsia" w:asciiTheme="minorEastAsia" w:hAnsiTheme="minorEastAsia" w:eastAsiaTheme="minorEastAsia" w:cstheme="minorEastAsia"/>
          <w:color w:val="auto"/>
          <w:spacing w:val="6"/>
          <w:sz w:val="24"/>
          <w:highlight w:val="none"/>
        </w:rPr>
        <w:t>）：</w:t>
      </w:r>
    </w:p>
    <w:p>
      <w:pPr>
        <w:pStyle w:val="13"/>
        <w:ind w:firstLine="4032" w:firstLineChars="16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日    期：  年  月  日</w:t>
      </w:r>
    </w:p>
    <w:p>
      <w:pPr>
        <w:pStyle w:val="11"/>
        <w:rPr>
          <w:rFonts w:hint="eastAsia" w:asciiTheme="minorEastAsia" w:hAnsiTheme="minorEastAsia" w:eastAsiaTheme="minorEastAsia" w:cstheme="minorEastAsia"/>
          <w:color w:val="auto"/>
          <w:highlight w:val="none"/>
        </w:rPr>
      </w:pPr>
    </w:p>
    <w:p>
      <w:pPr>
        <w:pStyle w:val="11"/>
        <w:rPr>
          <w:rFonts w:hint="eastAsia" w:asciiTheme="minorEastAsia" w:hAnsiTheme="minorEastAsia" w:eastAsiaTheme="minorEastAsia" w:cstheme="minorEastAsia"/>
          <w:color w:val="auto"/>
          <w:highlight w:val="none"/>
        </w:rPr>
      </w:pPr>
    </w:p>
    <w:p>
      <w:pPr>
        <w:pStyle w:val="11"/>
        <w:rPr>
          <w:rFonts w:hint="eastAsia" w:asciiTheme="minorEastAsia" w:hAnsiTheme="minorEastAsia" w:eastAsiaTheme="minorEastAsia" w:cstheme="minorEastAsia"/>
          <w:color w:val="auto"/>
          <w:highlight w:val="none"/>
        </w:rPr>
      </w:pPr>
    </w:p>
    <w:p>
      <w:pPr>
        <w:tabs>
          <w:tab w:val="left" w:pos="130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24"/>
          <w:highlight w:val="none"/>
        </w:rPr>
        <w:t>注：</w:t>
      </w:r>
      <w:r>
        <w:rPr>
          <w:rFonts w:hint="eastAsia" w:asciiTheme="minorEastAsia" w:hAnsiTheme="minorEastAsia" w:eastAsiaTheme="minorEastAsia" w:cstheme="minorEastAsia"/>
          <w:b/>
          <w:color w:val="auto"/>
          <w:szCs w:val="21"/>
          <w:highlight w:val="none"/>
        </w:rPr>
        <w:t>成交供应商为残疾人福利性单位的，采购人或者其委托的采购代理机构应当随成交结果同时公告其《残疾人福利性单位声明函》，接受社会监督</w:t>
      </w:r>
      <w:r>
        <w:rPr>
          <w:rFonts w:hint="eastAsia" w:asciiTheme="minorEastAsia" w:hAnsiTheme="minorEastAsia" w:eastAsiaTheme="minorEastAsia" w:cstheme="minorEastAsia"/>
          <w:color w:val="auto"/>
          <w:sz w:val="24"/>
          <w:highlight w:val="none"/>
        </w:rPr>
        <w:t>。</w:t>
      </w:r>
    </w:p>
    <w:p>
      <w:pPr>
        <w:rPr>
          <w:rFonts w:hint="eastAsia" w:asciiTheme="minorEastAsia" w:hAnsiTheme="minorEastAsia" w:eastAsiaTheme="minorEastAsia" w:cstheme="minorEastAsia"/>
          <w:color w:val="auto"/>
          <w:highlight w:val="none"/>
        </w:rPr>
      </w:pPr>
    </w:p>
    <w:p>
      <w:pPr>
        <w:pStyle w:val="4"/>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sectPr>
      <w:pgSz w:w="11906" w:h="16838"/>
      <w:pgMar w:top="1440" w:right="935" w:bottom="1440" w:left="77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0"/>
      </w:pBdr>
    </w:pPr>
  </w:p>
  <w:p>
    <w:pPr>
      <w:pStyle w:val="15"/>
    </w:pPr>
    <w:r>
      <w:rPr>
        <w:rFonts w:hint="eastAsia"/>
      </w:rPr>
      <w:t>桂林市政府集中采购中心                                                                                 竞争性磋商</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0"/>
      </w:pBdr>
      <w:tabs>
        <w:tab w:val="clear" w:pos="4153"/>
      </w:tabs>
      <w:jc w:val="center"/>
    </w:pPr>
  </w:p>
  <w:p>
    <w:pPr>
      <w:pStyle w:val="15"/>
    </w:pPr>
    <w:r>
      <w:rPr>
        <w:rFonts w:hint="eastAsia"/>
      </w:rPr>
      <w:t xml:space="preserve">桂林市政府集中采购中心                                          </w:t>
    </w:r>
    <w:r>
      <w:rPr>
        <w:rFonts w:hint="eastAsia"/>
        <w:lang w:val="en-US" w:eastAsia="zh-CN"/>
      </w:rPr>
      <w:t xml:space="preserve">                     </w:t>
    </w:r>
    <w:r>
      <w:rPr>
        <w:rFonts w:hint="eastAsia"/>
      </w:rPr>
      <w:t xml:space="preserve">                  竞争性磋商</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0"/>
      </w:pBdr>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fldChar w:fldCharType="begin"/>
                          </w:r>
                          <w:r>
                            <w:instrText xml:space="preserve"> PAGE  \* MERGEFORMAT </w:instrText>
                          </w:r>
                          <w:r>
                            <w:fldChar w:fldCharType="separate"/>
                          </w:r>
                          <w:r>
                            <w:t>- 70 -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- 70 -</w:t>
                    </w:r>
                    <w:r>
                      <w:fldChar w:fldCharType="end"/>
                    </w:r>
                  </w:p>
                </w:txbxContent>
              </v:textbox>
            </v:shape>
          </w:pict>
        </mc:Fallback>
      </mc:AlternateContent>
    </w:r>
  </w:p>
  <w:p>
    <w:pPr>
      <w:pStyle w:val="15"/>
    </w:pPr>
    <w:r>
      <w:rPr>
        <w:rFonts w:hint="eastAsia"/>
      </w:rPr>
      <w:t xml:space="preserve">桂林市政府集中采购中心                                                         </w:t>
    </w:r>
    <w:r>
      <w:rPr>
        <w:rFonts w:hint="eastAsia"/>
        <w:lang w:val="en-US" w:eastAsia="zh-CN"/>
      </w:rPr>
      <w:t xml:space="preserve">                     </w:t>
    </w:r>
    <w:r>
      <w:rPr>
        <w:rFonts w:hint="eastAsia"/>
      </w:rPr>
      <w:t xml:space="preserve">   竞争性磋商</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0"/>
      </w:pBdr>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fldChar w:fldCharType="begin"/>
                          </w:r>
                          <w:r>
                            <w:instrText xml:space="preserve"> PAGE  \* MERGEFORMAT </w:instrText>
                          </w:r>
                          <w:r>
                            <w:fldChar w:fldCharType="separate"/>
                          </w:r>
                          <w:r>
                            <w:t>- 70 -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- 70 -</w:t>
                    </w:r>
                    <w:r>
                      <w:fldChar w:fldCharType="end"/>
                    </w:r>
                  </w:p>
                </w:txbxContent>
              </v:textbox>
            </v:shape>
          </w:pict>
        </mc:Fallback>
      </mc:AlternateContent>
    </w:r>
  </w:p>
  <w:p>
    <w:pPr>
      <w:pStyle w:val="15"/>
    </w:pPr>
    <w:r>
      <w:rPr>
        <w:rFonts w:hint="eastAsia"/>
      </w:rPr>
      <w:t xml:space="preserve">桂林市政府集中采购中心                                                         </w:t>
    </w:r>
    <w:r>
      <w:rPr>
        <w:rFonts w:hint="eastAsia"/>
        <w:lang w:val="en-US" w:eastAsia="zh-CN"/>
      </w:rPr>
      <w:t xml:space="preserve">                     </w:t>
    </w:r>
    <w:r>
      <w:rPr>
        <w:rFonts w:hint="eastAsia"/>
      </w:rPr>
      <w:t xml:space="preserve">   竞争性磋商</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0"/>
      </w:pBdr>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fldChar w:fldCharType="begin"/>
                          </w:r>
                          <w:r>
                            <w:instrText xml:space="preserve"> PAGE  \* MERGEFORMAT </w:instrText>
                          </w:r>
                          <w:r>
                            <w:fldChar w:fldCharType="separate"/>
                          </w:r>
                          <w:r>
                            <w:t>- 78 -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- 78 -</w:t>
                    </w:r>
                    <w:r>
                      <w:fldChar w:fldCharType="end"/>
                    </w:r>
                  </w:p>
                </w:txbxContent>
              </v:textbox>
            </v:shape>
          </w:pict>
        </mc:Fallback>
      </mc:AlternateContent>
    </w:r>
  </w:p>
  <w:p>
    <w:pPr>
      <w:pStyle w:val="15"/>
    </w:pPr>
    <w:r>
      <w:rPr>
        <w:rFonts w:hint="eastAsia"/>
      </w:rPr>
      <w:t xml:space="preserve">桂林市政府集中采购中心                                             </w:t>
    </w:r>
    <w:r>
      <w:rPr>
        <w:rFonts w:hint="eastAsia"/>
        <w:lang w:val="en-US" w:eastAsia="zh-CN"/>
      </w:rPr>
      <w:t xml:space="preserve">                     </w:t>
    </w:r>
    <w:r>
      <w:rPr>
        <w:rFonts w:hint="eastAsia"/>
      </w:rPr>
      <w:t xml:space="preserve">               竞争性磋商</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540" w:hanging="540" w:hangingChars="300"/>
      <w:jc w:val="left"/>
      <w:rPr>
        <w:color w:val="auto"/>
      </w:rPr>
    </w:pPr>
    <w:r>
      <w:rPr>
        <w:rFonts w:hint="eastAsia" w:ascii="宋体" w:hAnsi="宋体" w:cs="宋体"/>
        <w:color w:val="auto"/>
      </w:rPr>
      <w:t>桂林市信创云迁移及运维项目</w:t>
    </w:r>
    <w:r>
      <w:rPr>
        <w:rFonts w:hint="eastAsia" w:ascii="宋体" w:hAnsi="宋体" w:cs="宋体"/>
        <w:color w:val="auto"/>
        <w:lang w:val="en-US" w:eastAsia="zh-CN"/>
      </w:rPr>
      <w:t xml:space="preserve">                                                                </w:t>
    </w:r>
    <w:r>
      <w:rPr>
        <w:color w:val="auto"/>
      </w:rPr>
      <w:fldChar w:fldCharType="begin"/>
    </w:r>
    <w:r>
      <w:rPr>
        <w:color w:val="auto"/>
      </w:rPr>
      <w:instrText xml:space="preserve"> HYPERLINK "https://www.gcy.zfcg.gxzf.gov.cn/project-center/_procurement_/project-result-detail/7179057734536659022?utm=web-project-center-front.42c12ca3.0.0.a1775990164611efb6717945f98356fa" \t "https://www.gcy.zfcg.gxzf.gov.cn/project-center/_procurement_/self-project/_blank" </w:instrText>
    </w:r>
    <w:r>
      <w:rPr>
        <w:color w:val="auto"/>
      </w:rPr>
      <w:fldChar w:fldCharType="separate"/>
    </w:r>
    <w:r>
      <w:rPr>
        <w:rFonts w:hint="eastAsia" w:ascii="宋体" w:hAnsi="宋体" w:cs="宋体"/>
        <w:color w:val="auto"/>
        <w:lang w:eastAsia="zh-CN"/>
      </w:rPr>
      <w:t>GLZC2026-C3-990104-GLSZ</w:t>
    </w:r>
    <w:r>
      <w:rPr>
        <w:rFonts w:hint="eastAsia" w:ascii="宋体" w:hAnsi="宋体" w:cs="宋体"/>
        <w:color w:val="auto"/>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rPr>
        <w:rFonts w:hint="eastAsia" w:eastAsia="宋体"/>
        <w:lang w:eastAsia="zh-CN"/>
      </w:rPr>
    </w:pPr>
    <w:r>
      <w:rPr>
        <w:rStyle w:val="39"/>
        <w:rFonts w:hint="eastAsia" w:ascii="宋体"/>
        <w:szCs w:val="21"/>
      </w:rPr>
      <w:t>桂林市信创云迁移及运维项目</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w:t>
    </w:r>
    <w:r>
      <w:rPr>
        <w:rFonts w:hint="eastAsia" w:ascii="宋体" w:hAnsi="宋体" w:cs="宋体"/>
        <w:lang w:eastAsia="zh-CN"/>
      </w:rPr>
      <w:t>GLZC2026-C3-990104-GLSZ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7AFD8A"/>
    <w:multiLevelType w:val="singleLevel"/>
    <w:tmpl w:val="867AFD8A"/>
    <w:lvl w:ilvl="0" w:tentative="0">
      <w:start w:val="2"/>
      <w:numFmt w:val="chineseCounting"/>
      <w:suff w:val="nothing"/>
      <w:lvlText w:val="（%1）"/>
      <w:lvlJc w:val="left"/>
      <w:rPr>
        <w:rFonts w:hint="eastAsia"/>
      </w:rPr>
    </w:lvl>
  </w:abstractNum>
  <w:abstractNum w:abstractNumId="1">
    <w:nsid w:val="89751C26"/>
    <w:multiLevelType w:val="singleLevel"/>
    <w:tmpl w:val="89751C26"/>
    <w:lvl w:ilvl="0" w:tentative="0">
      <w:start w:val="7"/>
      <w:numFmt w:val="chineseCounting"/>
      <w:suff w:val="space"/>
      <w:lvlText w:val="第%1条"/>
      <w:lvlJc w:val="left"/>
      <w:rPr>
        <w:rFonts w:hint="eastAsia"/>
      </w:rPr>
    </w:lvl>
  </w:abstractNum>
  <w:abstractNum w:abstractNumId="2">
    <w:nsid w:val="8C9D5501"/>
    <w:multiLevelType w:val="singleLevel"/>
    <w:tmpl w:val="8C9D5501"/>
    <w:lvl w:ilvl="0" w:tentative="0">
      <w:start w:val="2"/>
      <w:numFmt w:val="chineseCounting"/>
      <w:suff w:val="nothing"/>
      <w:lvlText w:val="%1、"/>
      <w:lvlJc w:val="left"/>
      <w:rPr>
        <w:rFonts w:hint="eastAsia"/>
      </w:rPr>
    </w:lvl>
  </w:abstractNum>
  <w:abstractNum w:abstractNumId="3">
    <w:nsid w:val="A1D31382"/>
    <w:multiLevelType w:val="singleLevel"/>
    <w:tmpl w:val="A1D31382"/>
    <w:lvl w:ilvl="0" w:tentative="0">
      <w:start w:val="3"/>
      <w:numFmt w:val="decimal"/>
      <w:suff w:val="nothing"/>
      <w:lvlText w:val="%1、"/>
      <w:lvlJc w:val="left"/>
    </w:lvl>
  </w:abstractNum>
  <w:abstractNum w:abstractNumId="4">
    <w:nsid w:val="BB4CF58C"/>
    <w:multiLevelType w:val="singleLevel"/>
    <w:tmpl w:val="BB4CF58C"/>
    <w:lvl w:ilvl="0" w:tentative="0">
      <w:start w:val="2"/>
      <w:numFmt w:val="decimal"/>
      <w:suff w:val="nothing"/>
      <w:lvlText w:val="（%1）"/>
      <w:lvlJc w:val="left"/>
    </w:lvl>
  </w:abstractNum>
  <w:abstractNum w:abstractNumId="5">
    <w:nsid w:val="023DC6C4"/>
    <w:multiLevelType w:val="singleLevel"/>
    <w:tmpl w:val="023DC6C4"/>
    <w:lvl w:ilvl="0" w:tentative="0">
      <w:start w:val="4"/>
      <w:numFmt w:val="decimal"/>
      <w:suff w:val="nothing"/>
      <w:lvlText w:val="（%1）"/>
      <w:lvlJc w:val="left"/>
    </w:lvl>
  </w:abstractNum>
  <w:abstractNum w:abstractNumId="6">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7">
    <w:nsid w:val="1FD97BE0"/>
    <w:multiLevelType w:val="singleLevel"/>
    <w:tmpl w:val="1FD97BE0"/>
    <w:lvl w:ilvl="0" w:tentative="0">
      <w:start w:val="1"/>
      <w:numFmt w:val="chineseCounting"/>
      <w:suff w:val="nothing"/>
      <w:lvlText w:val="（%1）"/>
      <w:lvlJc w:val="left"/>
      <w:rPr>
        <w:rFonts w:hint="eastAsia"/>
      </w:rPr>
    </w:lvl>
  </w:abstractNum>
  <w:abstractNum w:abstractNumId="8">
    <w:nsid w:val="2B092D39"/>
    <w:multiLevelType w:val="multilevel"/>
    <w:tmpl w:val="2B092D39"/>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9">
    <w:nsid w:val="2EBEB4BA"/>
    <w:multiLevelType w:val="singleLevel"/>
    <w:tmpl w:val="2EBEB4BA"/>
    <w:lvl w:ilvl="0" w:tentative="0">
      <w:start w:val="26"/>
      <w:numFmt w:val="decimal"/>
      <w:suff w:val="space"/>
      <w:lvlText w:val="%1."/>
      <w:lvlJc w:val="left"/>
    </w:lvl>
  </w:abstractNum>
  <w:abstractNum w:abstractNumId="10">
    <w:nsid w:val="40CB1248"/>
    <w:multiLevelType w:val="singleLevel"/>
    <w:tmpl w:val="40CB1248"/>
    <w:lvl w:ilvl="0" w:tentative="0">
      <w:start w:val="1"/>
      <w:numFmt w:val="chineseCounting"/>
      <w:suff w:val="nothing"/>
      <w:lvlText w:val="%1、"/>
      <w:lvlJc w:val="left"/>
      <w:rPr>
        <w:rFonts w:hint="eastAsia"/>
      </w:rPr>
    </w:lvl>
  </w:abstractNum>
  <w:abstractNum w:abstractNumId="11">
    <w:nsid w:val="4C2D75E3"/>
    <w:multiLevelType w:val="singleLevel"/>
    <w:tmpl w:val="4C2D75E3"/>
    <w:lvl w:ilvl="0" w:tentative="0">
      <w:start w:val="3"/>
      <w:numFmt w:val="decimal"/>
      <w:lvlText w:val="%1."/>
      <w:lvlJc w:val="left"/>
      <w:pPr>
        <w:tabs>
          <w:tab w:val="left" w:pos="312"/>
        </w:tabs>
      </w:pPr>
    </w:lvl>
  </w:abstractNum>
  <w:abstractNum w:abstractNumId="12">
    <w:nsid w:val="661C7FDE"/>
    <w:multiLevelType w:val="multilevel"/>
    <w:tmpl w:val="661C7FDE"/>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3">
    <w:nsid w:val="6AD43707"/>
    <w:multiLevelType w:val="singleLevel"/>
    <w:tmpl w:val="6AD43707"/>
    <w:lvl w:ilvl="0" w:tentative="0">
      <w:start w:val="5"/>
      <w:numFmt w:val="decimal"/>
      <w:suff w:val="space"/>
      <w:lvlText w:val="%1."/>
      <w:lvlJc w:val="left"/>
    </w:lvl>
  </w:abstractNum>
  <w:abstractNum w:abstractNumId="14">
    <w:nsid w:val="6EB6237E"/>
    <w:multiLevelType w:val="singleLevel"/>
    <w:tmpl w:val="6EB6237E"/>
    <w:lvl w:ilvl="0" w:tentative="0">
      <w:start w:val="6"/>
      <w:numFmt w:val="chineseCounting"/>
      <w:suff w:val="nothing"/>
      <w:lvlText w:val="（%1）"/>
      <w:lvlJc w:val="left"/>
      <w:rPr>
        <w:rFonts w:hint="eastAsia"/>
      </w:rPr>
    </w:lvl>
  </w:abstractNum>
  <w:num w:numId="1">
    <w:abstractNumId w:val="6"/>
  </w:num>
  <w:num w:numId="2">
    <w:abstractNumId w:val="11"/>
  </w:num>
  <w:num w:numId="3">
    <w:abstractNumId w:val="13"/>
  </w:num>
  <w:num w:numId="4">
    <w:abstractNumId w:val="5"/>
  </w:num>
  <w:num w:numId="5">
    <w:abstractNumId w:val="4"/>
  </w:num>
  <w:num w:numId="6">
    <w:abstractNumId w:val="9"/>
  </w:num>
  <w:num w:numId="7">
    <w:abstractNumId w:val="10"/>
  </w:num>
  <w:num w:numId="8">
    <w:abstractNumId w:val="14"/>
  </w:num>
  <w:num w:numId="9">
    <w:abstractNumId w:val="0"/>
  </w:num>
  <w:num w:numId="10">
    <w:abstractNumId w:val="3"/>
  </w:num>
  <w:num w:numId="11">
    <w:abstractNumId w:val="1"/>
  </w:num>
  <w:num w:numId="12">
    <w:abstractNumId w:val="12"/>
    <w:lvlOverride w:ilvl="0">
      <w:startOverride w:val="2"/>
    </w:lvlOverride>
  </w:num>
  <w:num w:numId="13">
    <w:abstractNumId w:val="8"/>
    <w:lvlOverride w:ilvl="0">
      <w:startOverride w:val="2"/>
    </w:lvlOverride>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yYjFkNjE1ZjM1ZGEzMDAyNTYzZjc3MmU5NDVlNTQifQ=="/>
  </w:docVars>
  <w:rsids>
    <w:rsidRoot w:val="003C2FE9"/>
    <w:rsid w:val="000D7972"/>
    <w:rsid w:val="00154167"/>
    <w:rsid w:val="001A3121"/>
    <w:rsid w:val="001E28CD"/>
    <w:rsid w:val="00235567"/>
    <w:rsid w:val="00253371"/>
    <w:rsid w:val="00287634"/>
    <w:rsid w:val="00352759"/>
    <w:rsid w:val="0038106E"/>
    <w:rsid w:val="003C2FE9"/>
    <w:rsid w:val="00407631"/>
    <w:rsid w:val="004D6025"/>
    <w:rsid w:val="00501C7B"/>
    <w:rsid w:val="00604EE9"/>
    <w:rsid w:val="00627166"/>
    <w:rsid w:val="00631F09"/>
    <w:rsid w:val="00660EE1"/>
    <w:rsid w:val="006F3B69"/>
    <w:rsid w:val="00745C60"/>
    <w:rsid w:val="007B0787"/>
    <w:rsid w:val="008B72B4"/>
    <w:rsid w:val="008F2CDA"/>
    <w:rsid w:val="00903814"/>
    <w:rsid w:val="00945362"/>
    <w:rsid w:val="009561FA"/>
    <w:rsid w:val="00A15994"/>
    <w:rsid w:val="00A2562D"/>
    <w:rsid w:val="00AC703D"/>
    <w:rsid w:val="00AE433A"/>
    <w:rsid w:val="00B20D2A"/>
    <w:rsid w:val="00BC5D67"/>
    <w:rsid w:val="00C03702"/>
    <w:rsid w:val="00C25177"/>
    <w:rsid w:val="00C55054"/>
    <w:rsid w:val="00CF3752"/>
    <w:rsid w:val="00F721C4"/>
    <w:rsid w:val="00FA3F27"/>
    <w:rsid w:val="00FA4449"/>
    <w:rsid w:val="00FB0BA1"/>
    <w:rsid w:val="00FD268E"/>
    <w:rsid w:val="00FD56EA"/>
    <w:rsid w:val="017B5285"/>
    <w:rsid w:val="0224337A"/>
    <w:rsid w:val="024D5C0C"/>
    <w:rsid w:val="028D0419"/>
    <w:rsid w:val="02B95509"/>
    <w:rsid w:val="02E920E5"/>
    <w:rsid w:val="035C7340"/>
    <w:rsid w:val="037E4810"/>
    <w:rsid w:val="038101A1"/>
    <w:rsid w:val="038B270C"/>
    <w:rsid w:val="03CF0EA7"/>
    <w:rsid w:val="040156E6"/>
    <w:rsid w:val="044C7DFD"/>
    <w:rsid w:val="047F69E4"/>
    <w:rsid w:val="04870E07"/>
    <w:rsid w:val="0498297B"/>
    <w:rsid w:val="04AD3DAA"/>
    <w:rsid w:val="04AF4A4A"/>
    <w:rsid w:val="04D25C75"/>
    <w:rsid w:val="051031AE"/>
    <w:rsid w:val="052F4F1D"/>
    <w:rsid w:val="05331DDC"/>
    <w:rsid w:val="0550527C"/>
    <w:rsid w:val="05B64EE1"/>
    <w:rsid w:val="05B96686"/>
    <w:rsid w:val="0616772D"/>
    <w:rsid w:val="065000D1"/>
    <w:rsid w:val="065F71BB"/>
    <w:rsid w:val="068636B9"/>
    <w:rsid w:val="069A174F"/>
    <w:rsid w:val="06C947A0"/>
    <w:rsid w:val="06EF1AF0"/>
    <w:rsid w:val="07502B74"/>
    <w:rsid w:val="07BB65B7"/>
    <w:rsid w:val="07BF7C4C"/>
    <w:rsid w:val="07CA5157"/>
    <w:rsid w:val="07FB2D03"/>
    <w:rsid w:val="08023BF4"/>
    <w:rsid w:val="080E18B6"/>
    <w:rsid w:val="08172CC1"/>
    <w:rsid w:val="081C0A1C"/>
    <w:rsid w:val="08AD47C9"/>
    <w:rsid w:val="08BB636A"/>
    <w:rsid w:val="09154EC0"/>
    <w:rsid w:val="092421A1"/>
    <w:rsid w:val="09376340"/>
    <w:rsid w:val="099F3813"/>
    <w:rsid w:val="09CF7BAC"/>
    <w:rsid w:val="0A6850D7"/>
    <w:rsid w:val="0A764C3F"/>
    <w:rsid w:val="0A777BA7"/>
    <w:rsid w:val="0A94723C"/>
    <w:rsid w:val="0AA61955"/>
    <w:rsid w:val="0AAE05DA"/>
    <w:rsid w:val="0ACE05D7"/>
    <w:rsid w:val="0AE04854"/>
    <w:rsid w:val="0AF36B06"/>
    <w:rsid w:val="0B020F5A"/>
    <w:rsid w:val="0B196C94"/>
    <w:rsid w:val="0B3052A0"/>
    <w:rsid w:val="0B502266"/>
    <w:rsid w:val="0B560D77"/>
    <w:rsid w:val="0B5B6603"/>
    <w:rsid w:val="0BA00026"/>
    <w:rsid w:val="0BB30B20"/>
    <w:rsid w:val="0C0C1FF2"/>
    <w:rsid w:val="0C190F0D"/>
    <w:rsid w:val="0C6B78EB"/>
    <w:rsid w:val="0C951A65"/>
    <w:rsid w:val="0CBD0E45"/>
    <w:rsid w:val="0CC5327E"/>
    <w:rsid w:val="0CED55F8"/>
    <w:rsid w:val="0D466B4A"/>
    <w:rsid w:val="0D8D4A86"/>
    <w:rsid w:val="0DAE302F"/>
    <w:rsid w:val="0DC52E29"/>
    <w:rsid w:val="0DEE6EC3"/>
    <w:rsid w:val="0DF04D08"/>
    <w:rsid w:val="0E010CC3"/>
    <w:rsid w:val="0E1C5AFD"/>
    <w:rsid w:val="0E8A6DE7"/>
    <w:rsid w:val="0E924082"/>
    <w:rsid w:val="0EA31AFF"/>
    <w:rsid w:val="0EB462C2"/>
    <w:rsid w:val="0ED26D72"/>
    <w:rsid w:val="0F0D4861"/>
    <w:rsid w:val="0F78715E"/>
    <w:rsid w:val="0F8E2A2A"/>
    <w:rsid w:val="0F9A7F3D"/>
    <w:rsid w:val="0FCD34F4"/>
    <w:rsid w:val="0FEC6EA7"/>
    <w:rsid w:val="0FED7751"/>
    <w:rsid w:val="10166A85"/>
    <w:rsid w:val="10230FF6"/>
    <w:rsid w:val="105937BE"/>
    <w:rsid w:val="106E343D"/>
    <w:rsid w:val="10741B70"/>
    <w:rsid w:val="10897F60"/>
    <w:rsid w:val="109D268E"/>
    <w:rsid w:val="10B17251"/>
    <w:rsid w:val="110660A6"/>
    <w:rsid w:val="115F194E"/>
    <w:rsid w:val="11A96EF0"/>
    <w:rsid w:val="11F25E7F"/>
    <w:rsid w:val="11F546FB"/>
    <w:rsid w:val="120C7AF8"/>
    <w:rsid w:val="129B5828"/>
    <w:rsid w:val="12D55870"/>
    <w:rsid w:val="12D746E8"/>
    <w:rsid w:val="12FE5C45"/>
    <w:rsid w:val="137B3FF9"/>
    <w:rsid w:val="13A23753"/>
    <w:rsid w:val="13A4011C"/>
    <w:rsid w:val="13B81064"/>
    <w:rsid w:val="13DC62BF"/>
    <w:rsid w:val="140B707A"/>
    <w:rsid w:val="141A1B4F"/>
    <w:rsid w:val="145403ED"/>
    <w:rsid w:val="14611EB8"/>
    <w:rsid w:val="14656657"/>
    <w:rsid w:val="146A0728"/>
    <w:rsid w:val="146E4D19"/>
    <w:rsid w:val="14AE74CE"/>
    <w:rsid w:val="14D75D6A"/>
    <w:rsid w:val="15982B8F"/>
    <w:rsid w:val="15985E10"/>
    <w:rsid w:val="15E82903"/>
    <w:rsid w:val="171514C9"/>
    <w:rsid w:val="173A3BFE"/>
    <w:rsid w:val="17403903"/>
    <w:rsid w:val="17440211"/>
    <w:rsid w:val="177F3971"/>
    <w:rsid w:val="177F6987"/>
    <w:rsid w:val="17A319A7"/>
    <w:rsid w:val="17AA6D72"/>
    <w:rsid w:val="17B61704"/>
    <w:rsid w:val="17C45FAF"/>
    <w:rsid w:val="17FE051B"/>
    <w:rsid w:val="18074343"/>
    <w:rsid w:val="181808FF"/>
    <w:rsid w:val="182867A9"/>
    <w:rsid w:val="18343682"/>
    <w:rsid w:val="184F13F4"/>
    <w:rsid w:val="18A406F5"/>
    <w:rsid w:val="18BE612E"/>
    <w:rsid w:val="18CB5CFD"/>
    <w:rsid w:val="18EC39AE"/>
    <w:rsid w:val="190D676E"/>
    <w:rsid w:val="191907B2"/>
    <w:rsid w:val="19BD54DA"/>
    <w:rsid w:val="19D041E5"/>
    <w:rsid w:val="19DD25E4"/>
    <w:rsid w:val="1A0A53A3"/>
    <w:rsid w:val="1A260979"/>
    <w:rsid w:val="1A3441CE"/>
    <w:rsid w:val="1A41745E"/>
    <w:rsid w:val="1A44675F"/>
    <w:rsid w:val="1A824F3A"/>
    <w:rsid w:val="1A950679"/>
    <w:rsid w:val="1AA754C7"/>
    <w:rsid w:val="1AD77FFA"/>
    <w:rsid w:val="1AE66D9B"/>
    <w:rsid w:val="1AFE133E"/>
    <w:rsid w:val="1B1308F8"/>
    <w:rsid w:val="1B1E6884"/>
    <w:rsid w:val="1B2D50FE"/>
    <w:rsid w:val="1B5857EC"/>
    <w:rsid w:val="1B6E27DE"/>
    <w:rsid w:val="1B920D2B"/>
    <w:rsid w:val="1BD712B5"/>
    <w:rsid w:val="1C0A58DD"/>
    <w:rsid w:val="1C17120D"/>
    <w:rsid w:val="1C3B1024"/>
    <w:rsid w:val="1CB55B85"/>
    <w:rsid w:val="1CDE1F11"/>
    <w:rsid w:val="1CE840F9"/>
    <w:rsid w:val="1DA70534"/>
    <w:rsid w:val="1E0421F0"/>
    <w:rsid w:val="1E19797C"/>
    <w:rsid w:val="1E1B45C4"/>
    <w:rsid w:val="1E2954D2"/>
    <w:rsid w:val="1E3576CC"/>
    <w:rsid w:val="1E5F3A8B"/>
    <w:rsid w:val="1E6A0495"/>
    <w:rsid w:val="1EAB70A9"/>
    <w:rsid w:val="1EB70BE6"/>
    <w:rsid w:val="1EC266AA"/>
    <w:rsid w:val="1EC93DFC"/>
    <w:rsid w:val="1F2D74BD"/>
    <w:rsid w:val="1F69491A"/>
    <w:rsid w:val="1F6D7535"/>
    <w:rsid w:val="1FA50006"/>
    <w:rsid w:val="1FAC61D5"/>
    <w:rsid w:val="1FE36AA5"/>
    <w:rsid w:val="1FE74446"/>
    <w:rsid w:val="200851A0"/>
    <w:rsid w:val="20E80053"/>
    <w:rsid w:val="213E3013"/>
    <w:rsid w:val="213F0E29"/>
    <w:rsid w:val="21771570"/>
    <w:rsid w:val="21817CF9"/>
    <w:rsid w:val="21952780"/>
    <w:rsid w:val="21986DD2"/>
    <w:rsid w:val="21BA2B03"/>
    <w:rsid w:val="21CE6CB6"/>
    <w:rsid w:val="21D636E1"/>
    <w:rsid w:val="21EB5FD7"/>
    <w:rsid w:val="22017EBE"/>
    <w:rsid w:val="221B56B0"/>
    <w:rsid w:val="22250FCC"/>
    <w:rsid w:val="225C42C2"/>
    <w:rsid w:val="22967391"/>
    <w:rsid w:val="22CC4BB3"/>
    <w:rsid w:val="22DA0E37"/>
    <w:rsid w:val="2301717C"/>
    <w:rsid w:val="2305495A"/>
    <w:rsid w:val="231B417D"/>
    <w:rsid w:val="2334323C"/>
    <w:rsid w:val="23381364"/>
    <w:rsid w:val="23540453"/>
    <w:rsid w:val="23612D49"/>
    <w:rsid w:val="23C97BFF"/>
    <w:rsid w:val="23EA3FDD"/>
    <w:rsid w:val="23FF0505"/>
    <w:rsid w:val="24197BAD"/>
    <w:rsid w:val="24267DE5"/>
    <w:rsid w:val="24491299"/>
    <w:rsid w:val="24773635"/>
    <w:rsid w:val="24892316"/>
    <w:rsid w:val="24966F01"/>
    <w:rsid w:val="24AF4B7D"/>
    <w:rsid w:val="24C64996"/>
    <w:rsid w:val="24FE39C0"/>
    <w:rsid w:val="25456B54"/>
    <w:rsid w:val="255C372A"/>
    <w:rsid w:val="25C05C91"/>
    <w:rsid w:val="25C32FD6"/>
    <w:rsid w:val="25EA654B"/>
    <w:rsid w:val="26216436"/>
    <w:rsid w:val="2634102D"/>
    <w:rsid w:val="263842F7"/>
    <w:rsid w:val="265A5EAF"/>
    <w:rsid w:val="267A66BE"/>
    <w:rsid w:val="26821C81"/>
    <w:rsid w:val="26A24AE2"/>
    <w:rsid w:val="26A4796D"/>
    <w:rsid w:val="26B108E0"/>
    <w:rsid w:val="26BB5599"/>
    <w:rsid w:val="26C003D2"/>
    <w:rsid w:val="26F26402"/>
    <w:rsid w:val="26FB546F"/>
    <w:rsid w:val="27014FFB"/>
    <w:rsid w:val="27144572"/>
    <w:rsid w:val="273F280A"/>
    <w:rsid w:val="27604BF7"/>
    <w:rsid w:val="2761568B"/>
    <w:rsid w:val="278A13CB"/>
    <w:rsid w:val="27906EE8"/>
    <w:rsid w:val="279D5087"/>
    <w:rsid w:val="27A36740"/>
    <w:rsid w:val="27A664AA"/>
    <w:rsid w:val="27E70BD7"/>
    <w:rsid w:val="28070704"/>
    <w:rsid w:val="28101DD7"/>
    <w:rsid w:val="289747F6"/>
    <w:rsid w:val="28E61253"/>
    <w:rsid w:val="290A4A78"/>
    <w:rsid w:val="298E37DF"/>
    <w:rsid w:val="29C411E9"/>
    <w:rsid w:val="29D3126A"/>
    <w:rsid w:val="29F11880"/>
    <w:rsid w:val="2A111E36"/>
    <w:rsid w:val="2A480F2B"/>
    <w:rsid w:val="2AA409A1"/>
    <w:rsid w:val="2AA607D0"/>
    <w:rsid w:val="2AA9206F"/>
    <w:rsid w:val="2B37216E"/>
    <w:rsid w:val="2B7D3B09"/>
    <w:rsid w:val="2B8C0AE6"/>
    <w:rsid w:val="2BA77274"/>
    <w:rsid w:val="2BB5601A"/>
    <w:rsid w:val="2BB81F91"/>
    <w:rsid w:val="2BB94ED5"/>
    <w:rsid w:val="2C5A4D14"/>
    <w:rsid w:val="2C730B86"/>
    <w:rsid w:val="2C866B0B"/>
    <w:rsid w:val="2CDE7ECC"/>
    <w:rsid w:val="2CE400DF"/>
    <w:rsid w:val="2CFB185B"/>
    <w:rsid w:val="2D703A18"/>
    <w:rsid w:val="2DD132FD"/>
    <w:rsid w:val="2DD64497"/>
    <w:rsid w:val="2E2A0AD2"/>
    <w:rsid w:val="2E67352D"/>
    <w:rsid w:val="2EC876BA"/>
    <w:rsid w:val="2EE1185A"/>
    <w:rsid w:val="2EF3161B"/>
    <w:rsid w:val="2EF6629B"/>
    <w:rsid w:val="2F324D29"/>
    <w:rsid w:val="2F4D5B9F"/>
    <w:rsid w:val="2FB25B44"/>
    <w:rsid w:val="2FB344DB"/>
    <w:rsid w:val="2FB95F1E"/>
    <w:rsid w:val="2FCD67FF"/>
    <w:rsid w:val="300E353A"/>
    <w:rsid w:val="3016766A"/>
    <w:rsid w:val="30340E45"/>
    <w:rsid w:val="30657369"/>
    <w:rsid w:val="3070408E"/>
    <w:rsid w:val="307849BD"/>
    <w:rsid w:val="309C68FD"/>
    <w:rsid w:val="30E26D0E"/>
    <w:rsid w:val="30F27144"/>
    <w:rsid w:val="30FA596B"/>
    <w:rsid w:val="315D6336"/>
    <w:rsid w:val="317E4255"/>
    <w:rsid w:val="31924927"/>
    <w:rsid w:val="31956EA5"/>
    <w:rsid w:val="31A3127F"/>
    <w:rsid w:val="3212228C"/>
    <w:rsid w:val="32461855"/>
    <w:rsid w:val="327E62CD"/>
    <w:rsid w:val="329E0C18"/>
    <w:rsid w:val="32A964A8"/>
    <w:rsid w:val="32BA46FC"/>
    <w:rsid w:val="32FD2E3E"/>
    <w:rsid w:val="330729FE"/>
    <w:rsid w:val="330A6C9A"/>
    <w:rsid w:val="33244988"/>
    <w:rsid w:val="33262E35"/>
    <w:rsid w:val="335B02C0"/>
    <w:rsid w:val="337A3E72"/>
    <w:rsid w:val="33813759"/>
    <w:rsid w:val="339C6C14"/>
    <w:rsid w:val="33D75E9F"/>
    <w:rsid w:val="33EE3F5E"/>
    <w:rsid w:val="33F507CF"/>
    <w:rsid w:val="3428494C"/>
    <w:rsid w:val="34577303"/>
    <w:rsid w:val="347D2E4F"/>
    <w:rsid w:val="34897199"/>
    <w:rsid w:val="349F41D7"/>
    <w:rsid w:val="34B561E0"/>
    <w:rsid w:val="34D017B4"/>
    <w:rsid w:val="34D80120"/>
    <w:rsid w:val="34D91F81"/>
    <w:rsid w:val="34E547F1"/>
    <w:rsid w:val="354B5DA7"/>
    <w:rsid w:val="357F67EE"/>
    <w:rsid w:val="359335C4"/>
    <w:rsid w:val="35E35C00"/>
    <w:rsid w:val="35EC767C"/>
    <w:rsid w:val="35FC0202"/>
    <w:rsid w:val="36145C58"/>
    <w:rsid w:val="36415851"/>
    <w:rsid w:val="36437DBE"/>
    <w:rsid w:val="369B47C9"/>
    <w:rsid w:val="36AF5B32"/>
    <w:rsid w:val="3710781F"/>
    <w:rsid w:val="373E2F80"/>
    <w:rsid w:val="37415551"/>
    <w:rsid w:val="37642B96"/>
    <w:rsid w:val="38125838"/>
    <w:rsid w:val="38367638"/>
    <w:rsid w:val="38587782"/>
    <w:rsid w:val="38654E77"/>
    <w:rsid w:val="38810463"/>
    <w:rsid w:val="38957EE4"/>
    <w:rsid w:val="38A16F21"/>
    <w:rsid w:val="38B92017"/>
    <w:rsid w:val="38C60A8D"/>
    <w:rsid w:val="38F95CC3"/>
    <w:rsid w:val="38FA3075"/>
    <w:rsid w:val="39083B7D"/>
    <w:rsid w:val="39163830"/>
    <w:rsid w:val="3A176FF5"/>
    <w:rsid w:val="3A2134AC"/>
    <w:rsid w:val="3A2157C4"/>
    <w:rsid w:val="3A314172"/>
    <w:rsid w:val="3A846078"/>
    <w:rsid w:val="3ACA5540"/>
    <w:rsid w:val="3B014763"/>
    <w:rsid w:val="3B196D9D"/>
    <w:rsid w:val="3B721655"/>
    <w:rsid w:val="3B880085"/>
    <w:rsid w:val="3B8A6F6B"/>
    <w:rsid w:val="3BAD2CC0"/>
    <w:rsid w:val="3BB40011"/>
    <w:rsid w:val="3BDD7B41"/>
    <w:rsid w:val="3BE8317C"/>
    <w:rsid w:val="3C172B61"/>
    <w:rsid w:val="3C6534B3"/>
    <w:rsid w:val="3C8B5A78"/>
    <w:rsid w:val="3CB6166C"/>
    <w:rsid w:val="3CF23EAD"/>
    <w:rsid w:val="3D1B1A4D"/>
    <w:rsid w:val="3D2C261C"/>
    <w:rsid w:val="3D372EDB"/>
    <w:rsid w:val="3E063608"/>
    <w:rsid w:val="3E4C333F"/>
    <w:rsid w:val="3E637182"/>
    <w:rsid w:val="3E6E4482"/>
    <w:rsid w:val="3E7516A8"/>
    <w:rsid w:val="3E7A5F15"/>
    <w:rsid w:val="3E9F580B"/>
    <w:rsid w:val="3EBC016B"/>
    <w:rsid w:val="3ECC7453"/>
    <w:rsid w:val="3F01315F"/>
    <w:rsid w:val="3F0230D2"/>
    <w:rsid w:val="3F0264C5"/>
    <w:rsid w:val="3F1E6B5B"/>
    <w:rsid w:val="40144020"/>
    <w:rsid w:val="40224945"/>
    <w:rsid w:val="40311D48"/>
    <w:rsid w:val="40572841"/>
    <w:rsid w:val="408F0936"/>
    <w:rsid w:val="40A62E81"/>
    <w:rsid w:val="40BF57BD"/>
    <w:rsid w:val="40C25E8E"/>
    <w:rsid w:val="40D45C40"/>
    <w:rsid w:val="40D55123"/>
    <w:rsid w:val="41EB0411"/>
    <w:rsid w:val="41EC520B"/>
    <w:rsid w:val="42141682"/>
    <w:rsid w:val="4230353B"/>
    <w:rsid w:val="4239313F"/>
    <w:rsid w:val="4290430F"/>
    <w:rsid w:val="42A2493F"/>
    <w:rsid w:val="42BB05E1"/>
    <w:rsid w:val="42E0437F"/>
    <w:rsid w:val="431D5689"/>
    <w:rsid w:val="4355505C"/>
    <w:rsid w:val="43BC216F"/>
    <w:rsid w:val="43D438A7"/>
    <w:rsid w:val="43E91A02"/>
    <w:rsid w:val="444F59BE"/>
    <w:rsid w:val="44AF5CA8"/>
    <w:rsid w:val="44C64B7B"/>
    <w:rsid w:val="44FC0326"/>
    <w:rsid w:val="4504461A"/>
    <w:rsid w:val="45147BB1"/>
    <w:rsid w:val="45210378"/>
    <w:rsid w:val="45617D73"/>
    <w:rsid w:val="45965BB9"/>
    <w:rsid w:val="46130617"/>
    <w:rsid w:val="46A91D0F"/>
    <w:rsid w:val="46AC6517"/>
    <w:rsid w:val="46E220A2"/>
    <w:rsid w:val="473D5430"/>
    <w:rsid w:val="475C24EB"/>
    <w:rsid w:val="47821E24"/>
    <w:rsid w:val="47827898"/>
    <w:rsid w:val="47835663"/>
    <w:rsid w:val="47AE5AD7"/>
    <w:rsid w:val="47CC1C33"/>
    <w:rsid w:val="4822043E"/>
    <w:rsid w:val="48723CA5"/>
    <w:rsid w:val="48BB7B3B"/>
    <w:rsid w:val="48EE3083"/>
    <w:rsid w:val="48FB115E"/>
    <w:rsid w:val="491B7E3F"/>
    <w:rsid w:val="49387656"/>
    <w:rsid w:val="49C35258"/>
    <w:rsid w:val="4A336318"/>
    <w:rsid w:val="4A471BE7"/>
    <w:rsid w:val="4A490F74"/>
    <w:rsid w:val="4A60650B"/>
    <w:rsid w:val="4A6442BC"/>
    <w:rsid w:val="4AA610EF"/>
    <w:rsid w:val="4ACB00B3"/>
    <w:rsid w:val="4AF12F4F"/>
    <w:rsid w:val="4AFF7BBC"/>
    <w:rsid w:val="4B5D6060"/>
    <w:rsid w:val="4B717A93"/>
    <w:rsid w:val="4B915AA3"/>
    <w:rsid w:val="4BAB57EF"/>
    <w:rsid w:val="4BD90EFA"/>
    <w:rsid w:val="4C41795A"/>
    <w:rsid w:val="4C712581"/>
    <w:rsid w:val="4C857EEB"/>
    <w:rsid w:val="4CB37051"/>
    <w:rsid w:val="4CDC173E"/>
    <w:rsid w:val="4CDD3BBC"/>
    <w:rsid w:val="4D085C18"/>
    <w:rsid w:val="4D0B76A6"/>
    <w:rsid w:val="4D3218E1"/>
    <w:rsid w:val="4D974DBA"/>
    <w:rsid w:val="4D9776F1"/>
    <w:rsid w:val="4DF07E31"/>
    <w:rsid w:val="4E237DF4"/>
    <w:rsid w:val="4E3F5A59"/>
    <w:rsid w:val="4E5E63B8"/>
    <w:rsid w:val="4EA50C1B"/>
    <w:rsid w:val="4EC8490A"/>
    <w:rsid w:val="4F021016"/>
    <w:rsid w:val="4F293E28"/>
    <w:rsid w:val="4F6900BA"/>
    <w:rsid w:val="4FC757CB"/>
    <w:rsid w:val="4FE97071"/>
    <w:rsid w:val="500B1FA1"/>
    <w:rsid w:val="5012408F"/>
    <w:rsid w:val="502B74B0"/>
    <w:rsid w:val="50615016"/>
    <w:rsid w:val="50E95CEA"/>
    <w:rsid w:val="51400DF0"/>
    <w:rsid w:val="514458B2"/>
    <w:rsid w:val="51786173"/>
    <w:rsid w:val="519304D5"/>
    <w:rsid w:val="51A94937"/>
    <w:rsid w:val="51B0175F"/>
    <w:rsid w:val="5220694C"/>
    <w:rsid w:val="522D2CBF"/>
    <w:rsid w:val="522F2077"/>
    <w:rsid w:val="524B49C9"/>
    <w:rsid w:val="525D67AD"/>
    <w:rsid w:val="52896B45"/>
    <w:rsid w:val="52AC309E"/>
    <w:rsid w:val="52D11CF1"/>
    <w:rsid w:val="532B216B"/>
    <w:rsid w:val="53514ECE"/>
    <w:rsid w:val="5357599B"/>
    <w:rsid w:val="537C30CF"/>
    <w:rsid w:val="53B467E1"/>
    <w:rsid w:val="545A401B"/>
    <w:rsid w:val="549F218A"/>
    <w:rsid w:val="54A54BF1"/>
    <w:rsid w:val="54BE2A98"/>
    <w:rsid w:val="54EA4F54"/>
    <w:rsid w:val="54EB1352"/>
    <w:rsid w:val="5505549C"/>
    <w:rsid w:val="551E34D6"/>
    <w:rsid w:val="55501408"/>
    <w:rsid w:val="55645834"/>
    <w:rsid w:val="558A20A7"/>
    <w:rsid w:val="55B16CE6"/>
    <w:rsid w:val="55C37BD9"/>
    <w:rsid w:val="55D6056E"/>
    <w:rsid w:val="55F54FEE"/>
    <w:rsid w:val="560A7324"/>
    <w:rsid w:val="562033F3"/>
    <w:rsid w:val="56463928"/>
    <w:rsid w:val="56570A4D"/>
    <w:rsid w:val="56593110"/>
    <w:rsid w:val="566E0F26"/>
    <w:rsid w:val="56BC3471"/>
    <w:rsid w:val="56D03E64"/>
    <w:rsid w:val="56FE0EA8"/>
    <w:rsid w:val="571406EC"/>
    <w:rsid w:val="571B7CCD"/>
    <w:rsid w:val="57205A7F"/>
    <w:rsid w:val="57225ADB"/>
    <w:rsid w:val="57392E9C"/>
    <w:rsid w:val="575E5568"/>
    <w:rsid w:val="58176417"/>
    <w:rsid w:val="586B5D0F"/>
    <w:rsid w:val="586E28DA"/>
    <w:rsid w:val="58A324E0"/>
    <w:rsid w:val="58DB5A41"/>
    <w:rsid w:val="58DC64DE"/>
    <w:rsid w:val="58EE46FB"/>
    <w:rsid w:val="597E04E1"/>
    <w:rsid w:val="59D17B61"/>
    <w:rsid w:val="59EC3BA2"/>
    <w:rsid w:val="5A451A3B"/>
    <w:rsid w:val="5A672630"/>
    <w:rsid w:val="5A8D0ED4"/>
    <w:rsid w:val="5B193B4D"/>
    <w:rsid w:val="5B345801"/>
    <w:rsid w:val="5B884C1A"/>
    <w:rsid w:val="5BA37FCD"/>
    <w:rsid w:val="5BF5103B"/>
    <w:rsid w:val="5C0D1BAE"/>
    <w:rsid w:val="5C0F1DCA"/>
    <w:rsid w:val="5C30456D"/>
    <w:rsid w:val="5C3E485C"/>
    <w:rsid w:val="5C530585"/>
    <w:rsid w:val="5C584A0D"/>
    <w:rsid w:val="5C813653"/>
    <w:rsid w:val="5C877BB2"/>
    <w:rsid w:val="5CA60026"/>
    <w:rsid w:val="5CE63C1F"/>
    <w:rsid w:val="5D0071A5"/>
    <w:rsid w:val="5D345302"/>
    <w:rsid w:val="5D3A779C"/>
    <w:rsid w:val="5D8B1A2B"/>
    <w:rsid w:val="5D9343AB"/>
    <w:rsid w:val="5D9D3A4F"/>
    <w:rsid w:val="5DA87DE0"/>
    <w:rsid w:val="5DB32E6B"/>
    <w:rsid w:val="5DD8542A"/>
    <w:rsid w:val="5E2A55C9"/>
    <w:rsid w:val="5E317529"/>
    <w:rsid w:val="5E4A470D"/>
    <w:rsid w:val="5E763D4E"/>
    <w:rsid w:val="5EA81AA8"/>
    <w:rsid w:val="5EB13608"/>
    <w:rsid w:val="5EE828E5"/>
    <w:rsid w:val="5F076D88"/>
    <w:rsid w:val="5F637828"/>
    <w:rsid w:val="5F796A7E"/>
    <w:rsid w:val="5FFE63DD"/>
    <w:rsid w:val="601B6F8F"/>
    <w:rsid w:val="60260578"/>
    <w:rsid w:val="60273570"/>
    <w:rsid w:val="60852935"/>
    <w:rsid w:val="608637E0"/>
    <w:rsid w:val="60883EF9"/>
    <w:rsid w:val="60995A69"/>
    <w:rsid w:val="60A738B4"/>
    <w:rsid w:val="60C717AC"/>
    <w:rsid w:val="614A7244"/>
    <w:rsid w:val="615547CC"/>
    <w:rsid w:val="617D3332"/>
    <w:rsid w:val="618D2FE2"/>
    <w:rsid w:val="618D6E9B"/>
    <w:rsid w:val="61A2082E"/>
    <w:rsid w:val="61A374D3"/>
    <w:rsid w:val="61C272CD"/>
    <w:rsid w:val="61CA7DC6"/>
    <w:rsid w:val="61E80CA5"/>
    <w:rsid w:val="624F48B2"/>
    <w:rsid w:val="62BA2E44"/>
    <w:rsid w:val="62CF07CF"/>
    <w:rsid w:val="62E32184"/>
    <w:rsid w:val="62E47747"/>
    <w:rsid w:val="62F5481E"/>
    <w:rsid w:val="62FD60F5"/>
    <w:rsid w:val="63417E63"/>
    <w:rsid w:val="637127FB"/>
    <w:rsid w:val="63CB7DC7"/>
    <w:rsid w:val="640E34C8"/>
    <w:rsid w:val="640E51FE"/>
    <w:rsid w:val="6459748D"/>
    <w:rsid w:val="64D23995"/>
    <w:rsid w:val="6535605D"/>
    <w:rsid w:val="655F063F"/>
    <w:rsid w:val="65615763"/>
    <w:rsid w:val="6583062D"/>
    <w:rsid w:val="65C91FCA"/>
    <w:rsid w:val="65DB702E"/>
    <w:rsid w:val="66304B71"/>
    <w:rsid w:val="6631740F"/>
    <w:rsid w:val="6679504C"/>
    <w:rsid w:val="667D1BEE"/>
    <w:rsid w:val="667F18FA"/>
    <w:rsid w:val="66A31A6E"/>
    <w:rsid w:val="66D460EA"/>
    <w:rsid w:val="66E67D6F"/>
    <w:rsid w:val="670F3E8F"/>
    <w:rsid w:val="673530ED"/>
    <w:rsid w:val="673C6346"/>
    <w:rsid w:val="676576C6"/>
    <w:rsid w:val="67AF0EC6"/>
    <w:rsid w:val="67FB37FB"/>
    <w:rsid w:val="68007DCB"/>
    <w:rsid w:val="680C7DFE"/>
    <w:rsid w:val="68371036"/>
    <w:rsid w:val="687E025A"/>
    <w:rsid w:val="68992F90"/>
    <w:rsid w:val="690A0C77"/>
    <w:rsid w:val="69332399"/>
    <w:rsid w:val="694A2693"/>
    <w:rsid w:val="69584DB0"/>
    <w:rsid w:val="6A064B8B"/>
    <w:rsid w:val="6A2B6021"/>
    <w:rsid w:val="6A31770E"/>
    <w:rsid w:val="6A6D03E7"/>
    <w:rsid w:val="6A904EF4"/>
    <w:rsid w:val="6A9A6B35"/>
    <w:rsid w:val="6ACD532A"/>
    <w:rsid w:val="6B036F9E"/>
    <w:rsid w:val="6B0D5581"/>
    <w:rsid w:val="6B735ED1"/>
    <w:rsid w:val="6BB3513A"/>
    <w:rsid w:val="6BB438E6"/>
    <w:rsid w:val="6BCF5541"/>
    <w:rsid w:val="6BDB0B98"/>
    <w:rsid w:val="6BE175EE"/>
    <w:rsid w:val="6C7540F8"/>
    <w:rsid w:val="6C9C7F3A"/>
    <w:rsid w:val="6CE35466"/>
    <w:rsid w:val="6CEA21AA"/>
    <w:rsid w:val="6D06067F"/>
    <w:rsid w:val="6D18288B"/>
    <w:rsid w:val="6DA20B8F"/>
    <w:rsid w:val="6DBE5338"/>
    <w:rsid w:val="6E0F6C5C"/>
    <w:rsid w:val="6E182A45"/>
    <w:rsid w:val="6E657628"/>
    <w:rsid w:val="6E79134A"/>
    <w:rsid w:val="6E82008A"/>
    <w:rsid w:val="6EFE5FC0"/>
    <w:rsid w:val="6F7044D6"/>
    <w:rsid w:val="6F8544A1"/>
    <w:rsid w:val="6FD7038D"/>
    <w:rsid w:val="6FFD6F48"/>
    <w:rsid w:val="6FFF72EA"/>
    <w:rsid w:val="700A66D9"/>
    <w:rsid w:val="700C3728"/>
    <w:rsid w:val="70356ED5"/>
    <w:rsid w:val="70445F4C"/>
    <w:rsid w:val="70781894"/>
    <w:rsid w:val="7080699B"/>
    <w:rsid w:val="70BE47CD"/>
    <w:rsid w:val="70CF7C03"/>
    <w:rsid w:val="70D42484"/>
    <w:rsid w:val="70DB79BE"/>
    <w:rsid w:val="70EF0AA9"/>
    <w:rsid w:val="70F35744"/>
    <w:rsid w:val="71433F3A"/>
    <w:rsid w:val="7169570C"/>
    <w:rsid w:val="71A15E84"/>
    <w:rsid w:val="71C43014"/>
    <w:rsid w:val="71CF2AD2"/>
    <w:rsid w:val="71DC0F04"/>
    <w:rsid w:val="72290710"/>
    <w:rsid w:val="72D2272D"/>
    <w:rsid w:val="72DC330D"/>
    <w:rsid w:val="72FD0B80"/>
    <w:rsid w:val="737D3F28"/>
    <w:rsid w:val="73A500A2"/>
    <w:rsid w:val="73C60B68"/>
    <w:rsid w:val="742319A8"/>
    <w:rsid w:val="74361FBE"/>
    <w:rsid w:val="7439171D"/>
    <w:rsid w:val="74BE6A5A"/>
    <w:rsid w:val="74D64CF9"/>
    <w:rsid w:val="75183A02"/>
    <w:rsid w:val="76070554"/>
    <w:rsid w:val="762D4ECF"/>
    <w:rsid w:val="764346F2"/>
    <w:rsid w:val="767C33B3"/>
    <w:rsid w:val="76832520"/>
    <w:rsid w:val="76D417EE"/>
    <w:rsid w:val="775D59E8"/>
    <w:rsid w:val="787520E2"/>
    <w:rsid w:val="78A4110D"/>
    <w:rsid w:val="78BE42CB"/>
    <w:rsid w:val="78FF2EC3"/>
    <w:rsid w:val="79073D34"/>
    <w:rsid w:val="79257F12"/>
    <w:rsid w:val="796B112B"/>
    <w:rsid w:val="796F302B"/>
    <w:rsid w:val="79C405E2"/>
    <w:rsid w:val="79CA515C"/>
    <w:rsid w:val="79DC10E6"/>
    <w:rsid w:val="7A7A2452"/>
    <w:rsid w:val="7A7E2BA4"/>
    <w:rsid w:val="7A85352B"/>
    <w:rsid w:val="7A863148"/>
    <w:rsid w:val="7A867083"/>
    <w:rsid w:val="7ACC7A19"/>
    <w:rsid w:val="7AD7263A"/>
    <w:rsid w:val="7AF11FF0"/>
    <w:rsid w:val="7AFE16FA"/>
    <w:rsid w:val="7B1B1E00"/>
    <w:rsid w:val="7B984F85"/>
    <w:rsid w:val="7B9B1896"/>
    <w:rsid w:val="7BC538FC"/>
    <w:rsid w:val="7BEC3136"/>
    <w:rsid w:val="7C007C10"/>
    <w:rsid w:val="7C0F2D6B"/>
    <w:rsid w:val="7C1B0B4C"/>
    <w:rsid w:val="7CC74F52"/>
    <w:rsid w:val="7CE14795"/>
    <w:rsid w:val="7CF84488"/>
    <w:rsid w:val="7DB63A49"/>
    <w:rsid w:val="7DC25F80"/>
    <w:rsid w:val="7DC44AEB"/>
    <w:rsid w:val="7DD06FB5"/>
    <w:rsid w:val="7DD24843"/>
    <w:rsid w:val="7DF925BA"/>
    <w:rsid w:val="7DFA5FDE"/>
    <w:rsid w:val="7DFE3170"/>
    <w:rsid w:val="7E111572"/>
    <w:rsid w:val="7E130E76"/>
    <w:rsid w:val="7E1D20AD"/>
    <w:rsid w:val="7E3F667C"/>
    <w:rsid w:val="7EAB445D"/>
    <w:rsid w:val="7EB048EF"/>
    <w:rsid w:val="7F4C0FB5"/>
    <w:rsid w:val="7F4D0390"/>
    <w:rsid w:val="7F770B13"/>
    <w:rsid w:val="7F9E3ADD"/>
    <w:rsid w:val="7FA62B92"/>
    <w:rsid w:val="7FBB3C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5">
    <w:name w:val="heading 3"/>
    <w:basedOn w:val="1"/>
    <w:next w:val="1"/>
    <w:link w:val="38"/>
    <w:qFormat/>
    <w:uiPriority w:val="0"/>
    <w:pPr>
      <w:keepNext/>
      <w:keepLines/>
      <w:outlineLvl w:val="2"/>
    </w:pPr>
    <w:rPr>
      <w:rFonts w:ascii="Calibri" w:hAnsi="Calibri"/>
      <w:b/>
      <w:sz w:val="32"/>
    </w:rPr>
  </w:style>
  <w:style w:type="paragraph" w:styleId="6">
    <w:name w:val="heading 4"/>
    <w:basedOn w:val="1"/>
    <w:next w:val="1"/>
    <w:qFormat/>
    <w:uiPriority w:val="0"/>
    <w:pPr>
      <w:keepNext/>
      <w:spacing w:before="240" w:after="60"/>
      <w:outlineLvl w:val="3"/>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ind w:firstLine="630"/>
    </w:pPr>
    <w:rPr>
      <w:sz w:val="32"/>
      <w:szCs w:val="20"/>
    </w:rPr>
  </w:style>
  <w:style w:type="paragraph" w:styleId="7">
    <w:name w:val="index 8"/>
    <w:basedOn w:val="1"/>
    <w:next w:val="1"/>
    <w:qFormat/>
    <w:uiPriority w:val="0"/>
    <w:pPr>
      <w:ind w:left="2940"/>
    </w:pPr>
  </w:style>
  <w:style w:type="paragraph" w:styleId="8">
    <w:name w:val="Normal Indent"/>
    <w:basedOn w:val="1"/>
    <w:next w:val="9"/>
    <w:qFormat/>
    <w:uiPriority w:val="0"/>
    <w:pPr>
      <w:ind w:firstLine="420"/>
    </w:pPr>
    <w:rPr>
      <w:szCs w:val="20"/>
    </w:rPr>
  </w:style>
  <w:style w:type="paragraph" w:styleId="9">
    <w:name w:val="Body Text Indent"/>
    <w:basedOn w:val="1"/>
    <w:next w:val="8"/>
    <w:qFormat/>
    <w:uiPriority w:val="0"/>
    <w:pPr>
      <w:spacing w:after="120"/>
      <w:ind w:left="420" w:leftChars="200"/>
    </w:pPr>
  </w:style>
  <w:style w:type="paragraph" w:styleId="10">
    <w:name w:val="annotation text"/>
    <w:basedOn w:val="1"/>
    <w:qFormat/>
    <w:uiPriority w:val="0"/>
    <w:pPr>
      <w:jc w:val="left"/>
    </w:pPr>
  </w:style>
  <w:style w:type="paragraph" w:styleId="11">
    <w:name w:val="Body Text"/>
    <w:basedOn w:val="1"/>
    <w:next w:val="1"/>
    <w:qFormat/>
    <w:uiPriority w:val="0"/>
  </w:style>
  <w:style w:type="paragraph" w:styleId="12">
    <w:name w:val="toc 3"/>
    <w:basedOn w:val="1"/>
    <w:next w:val="1"/>
    <w:unhideWhenUsed/>
    <w:qFormat/>
    <w:uiPriority w:val="39"/>
    <w:pPr>
      <w:ind w:left="840" w:leftChars="400"/>
    </w:pPr>
  </w:style>
  <w:style w:type="paragraph" w:styleId="13">
    <w:name w:val="Plain Text"/>
    <w:basedOn w:val="1"/>
    <w:next w:val="7"/>
    <w:qFormat/>
    <w:uiPriority w:val="99"/>
    <w:rPr>
      <w:rFonts w:ascii="宋体" w:hAnsi="Courier New"/>
      <w:szCs w:val="20"/>
    </w:rPr>
  </w:style>
  <w:style w:type="paragraph" w:styleId="14">
    <w:name w:val="Balloon Text"/>
    <w:basedOn w:val="1"/>
    <w:link w:val="55"/>
    <w:qFormat/>
    <w:uiPriority w:val="0"/>
    <w:rPr>
      <w:sz w:val="18"/>
      <w:szCs w:val="18"/>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envelope return"/>
    <w:basedOn w:val="1"/>
    <w:qFormat/>
    <w:uiPriority w:val="0"/>
    <w:pPr>
      <w:snapToGrid w:val="0"/>
    </w:pPr>
    <w:rPr>
      <w:rFonts w:ascii="Arial" w:hAnsi="Arial"/>
    </w:rPr>
  </w:style>
  <w:style w:type="paragraph" w:styleId="1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style>
  <w:style w:type="paragraph" w:styleId="19">
    <w:name w:val="footnote text"/>
    <w:basedOn w:val="1"/>
    <w:qFormat/>
    <w:uiPriority w:val="0"/>
    <w:pPr>
      <w:snapToGrid w:val="0"/>
      <w:jc w:val="left"/>
    </w:pPr>
    <w:rPr>
      <w:sz w:val="18"/>
    </w:rPr>
  </w:style>
  <w:style w:type="paragraph" w:styleId="20">
    <w:name w:val="toc 2"/>
    <w:basedOn w:val="1"/>
    <w:next w:val="1"/>
    <w:unhideWhenUsed/>
    <w:qFormat/>
    <w:uiPriority w:val="39"/>
    <w:pPr>
      <w:ind w:left="420" w:leftChars="200"/>
    </w:pPr>
  </w:style>
  <w:style w:type="paragraph" w:styleId="21">
    <w:name w:val="Normal (Web)"/>
    <w:basedOn w:val="1"/>
    <w:qFormat/>
    <w:uiPriority w:val="0"/>
    <w:pPr>
      <w:jc w:val="left"/>
    </w:pPr>
    <w:rPr>
      <w:kern w:val="0"/>
      <w:sz w:val="24"/>
    </w:rPr>
  </w:style>
  <w:style w:type="paragraph" w:styleId="22">
    <w:name w:val="annotation subject"/>
    <w:basedOn w:val="10"/>
    <w:next w:val="10"/>
    <w:qFormat/>
    <w:uiPriority w:val="0"/>
    <w:rPr>
      <w:b/>
      <w:bCs/>
    </w:rPr>
  </w:style>
  <w:style w:type="paragraph" w:styleId="23">
    <w:name w:val="Body Text First Indent 2"/>
    <w:basedOn w:val="9"/>
    <w:unhideWhenUsed/>
    <w:qFormat/>
    <w:uiPriority w:val="99"/>
    <w:pPr>
      <w:ind w:firstLine="420" w:firstLineChars="200"/>
    </w:pPr>
  </w:style>
  <w:style w:type="table" w:styleId="25">
    <w:name w:val="Table Grid"/>
    <w:basedOn w:val="2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FollowedHyperlink"/>
    <w:basedOn w:val="26"/>
    <w:qFormat/>
    <w:uiPriority w:val="0"/>
    <w:rPr>
      <w:color w:val="800080"/>
      <w:u w:val="none"/>
    </w:rPr>
  </w:style>
  <w:style w:type="character" w:styleId="29">
    <w:name w:val="Emphasis"/>
    <w:basedOn w:val="26"/>
    <w:qFormat/>
    <w:uiPriority w:val="0"/>
  </w:style>
  <w:style w:type="character" w:styleId="30">
    <w:name w:val="Hyperlink"/>
    <w:basedOn w:val="26"/>
    <w:qFormat/>
    <w:uiPriority w:val="0"/>
    <w:rPr>
      <w:color w:val="0000FF"/>
      <w:u w:val="none"/>
    </w:rPr>
  </w:style>
  <w:style w:type="character" w:styleId="31">
    <w:name w:val="annotation reference"/>
    <w:semiHidden/>
    <w:qFormat/>
    <w:uiPriority w:val="0"/>
    <w:rPr>
      <w:rFonts w:ascii="Tahoma" w:hAnsi="Tahoma"/>
      <w:sz w:val="21"/>
      <w:szCs w:val="21"/>
    </w:rPr>
  </w:style>
  <w:style w:type="character" w:styleId="32">
    <w:name w:val="footnote reference"/>
    <w:basedOn w:val="26"/>
    <w:qFormat/>
    <w:uiPriority w:val="0"/>
    <w:rPr>
      <w:vertAlign w:val="superscript"/>
    </w:rPr>
  </w:style>
  <w:style w:type="paragraph" w:customStyle="1" w:styleId="33">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4">
    <w:name w:val="表格文字"/>
    <w:basedOn w:val="1"/>
    <w:qFormat/>
    <w:uiPriority w:val="0"/>
    <w:pPr>
      <w:jc w:val="left"/>
    </w:pPr>
    <w:rPr>
      <w:bCs/>
      <w:spacing w:val="10"/>
      <w:kern w:val="0"/>
    </w:rPr>
  </w:style>
  <w:style w:type="paragraph" w:customStyle="1" w:styleId="35">
    <w:name w:val="BodyText"/>
    <w:basedOn w:val="1"/>
    <w:next w:val="1"/>
    <w:qFormat/>
    <w:uiPriority w:val="0"/>
    <w:pPr>
      <w:spacing w:line="380" w:lineRule="exact"/>
    </w:pPr>
    <w:rPr>
      <w:sz w:val="24"/>
    </w:rPr>
  </w:style>
  <w:style w:type="paragraph" w:customStyle="1" w:styleId="36">
    <w:name w:val="footer1"/>
    <w:basedOn w:val="1"/>
    <w:qFormat/>
    <w:uiPriority w:val="0"/>
    <w:pPr>
      <w:tabs>
        <w:tab w:val="center" w:pos="4153"/>
        <w:tab w:val="right" w:pos="8306"/>
      </w:tabs>
      <w:snapToGrid w:val="0"/>
      <w:jc w:val="left"/>
    </w:pPr>
    <w:rPr>
      <w:rFonts w:ascii="Calibri" w:hAnsi="Calibri"/>
      <w:sz w:val="18"/>
    </w:rPr>
  </w:style>
  <w:style w:type="paragraph" w:styleId="37">
    <w:name w:val="List Paragraph"/>
    <w:basedOn w:val="1"/>
    <w:qFormat/>
    <w:uiPriority w:val="99"/>
    <w:pPr>
      <w:ind w:firstLine="420" w:firstLineChars="200"/>
    </w:pPr>
  </w:style>
  <w:style w:type="character" w:customStyle="1" w:styleId="38">
    <w:name w:val="标题 3 Char"/>
    <w:link w:val="5"/>
    <w:qFormat/>
    <w:uiPriority w:val="0"/>
    <w:rPr>
      <w:rFonts w:ascii="Calibri" w:hAnsi="Calibri" w:eastAsia="宋体"/>
      <w:b/>
      <w:sz w:val="32"/>
    </w:rPr>
  </w:style>
  <w:style w:type="character" w:customStyle="1" w:styleId="39">
    <w:name w:val="NormalCharacter"/>
    <w:qFormat/>
    <w:uiPriority w:val="0"/>
  </w:style>
  <w:style w:type="character" w:customStyle="1" w:styleId="40">
    <w:name w:val="font41"/>
    <w:basedOn w:val="26"/>
    <w:qFormat/>
    <w:uiPriority w:val="0"/>
    <w:rPr>
      <w:rFonts w:hint="eastAsia" w:ascii="宋体" w:hAnsi="宋体" w:eastAsia="宋体" w:cs="宋体"/>
      <w:color w:val="FF0000"/>
      <w:sz w:val="24"/>
      <w:szCs w:val="24"/>
      <w:u w:val="none"/>
    </w:rPr>
  </w:style>
  <w:style w:type="paragraph" w:customStyle="1" w:styleId="41">
    <w:name w:val="UserStyle_0"/>
    <w:basedOn w:val="1"/>
    <w:qFormat/>
    <w:uiPriority w:val="0"/>
    <w:pPr>
      <w:jc w:val="left"/>
      <w:textAlignment w:val="baseline"/>
    </w:pPr>
    <w:rPr>
      <w:bCs/>
      <w:spacing w:val="10"/>
      <w:kern w:val="0"/>
    </w:rPr>
  </w:style>
  <w:style w:type="paragraph" w:customStyle="1" w:styleId="42">
    <w:name w:val="p15"/>
    <w:basedOn w:val="1"/>
    <w:qFormat/>
    <w:uiPriority w:val="99"/>
    <w:pPr>
      <w:widowControl/>
    </w:pPr>
    <w:rPr>
      <w:rFonts w:ascii="宋体" w:hAnsi="宋体"/>
      <w:kern w:val="0"/>
      <w:szCs w:val="21"/>
    </w:rPr>
  </w:style>
  <w:style w:type="character" w:customStyle="1" w:styleId="43">
    <w:name w:val="hover4"/>
    <w:basedOn w:val="26"/>
    <w:qFormat/>
    <w:uiPriority w:val="0"/>
    <w:rPr>
      <w:color w:val="315EFB"/>
    </w:rPr>
  </w:style>
  <w:style w:type="character" w:customStyle="1" w:styleId="44">
    <w:name w:val="index-module_accountauthentication_3bwix"/>
    <w:basedOn w:val="26"/>
    <w:qFormat/>
    <w:uiPriority w:val="0"/>
  </w:style>
  <w:style w:type="paragraph" w:customStyle="1" w:styleId="45">
    <w:name w:val="Char1 Char Char Char Char Char Char"/>
    <w:basedOn w:val="1"/>
    <w:qFormat/>
    <w:uiPriority w:val="0"/>
    <w:rPr>
      <w:rFonts w:ascii="Tahoma" w:hAnsi="Tahoma"/>
      <w:sz w:val="24"/>
      <w:szCs w:val="20"/>
    </w:rPr>
  </w:style>
  <w:style w:type="table" w:customStyle="1" w:styleId="46">
    <w:name w:val="网格型1"/>
    <w:basedOn w:val="24"/>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7">
    <w:name w:val="列出段落2"/>
    <w:basedOn w:val="1"/>
    <w:qFormat/>
    <w:uiPriority w:val="34"/>
    <w:pPr>
      <w:ind w:firstLine="420" w:firstLineChars="200"/>
    </w:pPr>
    <w:rPr>
      <w:rFonts w:ascii="Calibri" w:hAnsi="Calibri"/>
      <w:szCs w:val="22"/>
    </w:rPr>
  </w:style>
  <w:style w:type="paragraph" w:customStyle="1" w:styleId="48">
    <w:name w:val="列出段落1"/>
    <w:basedOn w:val="1"/>
    <w:qFormat/>
    <w:uiPriority w:val="34"/>
    <w:pPr>
      <w:ind w:firstLine="420" w:firstLineChars="200"/>
    </w:pPr>
    <w:rPr>
      <w:rFonts w:ascii="Calibri" w:hAnsi="Calibri"/>
      <w:szCs w:val="22"/>
    </w:rPr>
  </w:style>
  <w:style w:type="paragraph" w:customStyle="1" w:styleId="49">
    <w:name w:val="_Style 2"/>
    <w:qFormat/>
    <w:uiPriority w:val="1"/>
    <w:rPr>
      <w:rFonts w:ascii="Times New Roman" w:hAnsi="Times New Roman" w:eastAsia="宋体" w:cs="Times New Roman"/>
      <w:sz w:val="22"/>
      <w:szCs w:val="22"/>
      <w:lang w:val="en-US" w:eastAsia="zh-CN" w:bidi="ar-SA"/>
    </w:rPr>
  </w:style>
  <w:style w:type="character" w:customStyle="1" w:styleId="50">
    <w:name w:val="font31"/>
    <w:basedOn w:val="26"/>
    <w:qFormat/>
    <w:uiPriority w:val="0"/>
    <w:rPr>
      <w:rFonts w:hint="eastAsia" w:ascii="宋体" w:hAnsi="宋体" w:eastAsia="宋体" w:cs="宋体"/>
      <w:color w:val="000000"/>
      <w:sz w:val="20"/>
      <w:szCs w:val="20"/>
      <w:u w:val="none"/>
    </w:rPr>
  </w:style>
  <w:style w:type="paragraph" w:customStyle="1" w:styleId="51">
    <w:name w:val="_Style 3"/>
    <w:basedOn w:val="1"/>
    <w:qFormat/>
    <w:uiPriority w:val="99"/>
    <w:pPr>
      <w:ind w:firstLine="420" w:firstLineChars="200"/>
    </w:pPr>
  </w:style>
  <w:style w:type="paragraph" w:customStyle="1" w:styleId="52">
    <w:name w:val="Body text|1"/>
    <w:qFormat/>
    <w:uiPriority w:val="0"/>
    <w:pPr>
      <w:widowControl w:val="0"/>
      <w:spacing w:line="350" w:lineRule="auto"/>
      <w:ind w:firstLine="400"/>
    </w:pPr>
    <w:rPr>
      <w:rFonts w:ascii="宋体" w:hAnsi="宋体" w:eastAsia="宋体" w:cs="宋体"/>
      <w:sz w:val="30"/>
      <w:szCs w:val="30"/>
      <w:lang w:val="en-US" w:eastAsia="zh-CN" w:bidi="ar-SA"/>
    </w:rPr>
  </w:style>
  <w:style w:type="paragraph" w:customStyle="1" w:styleId="53">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54">
    <w:name w:val="No Spacing"/>
    <w:qFormat/>
    <w:uiPriority w:val="1"/>
    <w:pPr>
      <w:widowControl w:val="0"/>
      <w:jc w:val="both"/>
    </w:pPr>
    <w:rPr>
      <w:rFonts w:ascii="等线" w:hAnsi="等线" w:eastAsia="等线" w:cs="Times New Roman"/>
      <w:kern w:val="2"/>
      <w:sz w:val="21"/>
      <w:szCs w:val="22"/>
      <w:lang w:val="en-US" w:eastAsia="zh-CN" w:bidi="ar-SA"/>
    </w:rPr>
  </w:style>
  <w:style w:type="character" w:customStyle="1" w:styleId="55">
    <w:name w:val="批注框文本 Char"/>
    <w:basedOn w:val="26"/>
    <w:link w:val="1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10CAB7-F470-4B4E-8E0B-2868B64B501F}">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81</Pages>
  <Words>1640</Words>
  <Characters>1917</Characters>
  <Lines>488</Lines>
  <Paragraphs>137</Paragraphs>
  <TotalTime>4</TotalTime>
  <ScaleCrop>false</ScaleCrop>
  <LinksUpToDate>false</LinksUpToDate>
  <CharactersWithSpaces>2164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2026-04-10T12:12:00Z</dcterms:created>
  <dc:creator>Administrator</dc:creator>
  <cp:lastModifiedBy>黄贵梅</cp:lastModifiedBy>
  <cp:lastPrinted>2026-04-13T06:44:00Z</cp:lastPrinted>
  <dcterms:modified xsi:type="dcterms:W3CDTF">2026-04-23T07:54:38Z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4E190869C413441EB0D7DB347FCB0D0D_13</vt:lpwstr>
  </property>
  <property fmtid="{D5CDD505-2E9C-101B-9397-08002B2CF9AE}" pid="4" name="commondata">
    <vt:lpwstr>eyJoZGlkIjoiZGVjMTNlODU2YmY3ZjAyYWE0NGE3NmJjZTdiMTE4ZDcifQ==</vt:lpwstr>
  </property>
  <property fmtid="{D5CDD505-2E9C-101B-9397-08002B2CF9AE}" pid="5" name="KSOTemplateDocerSaveRecord">
    <vt:lpwstr>eyJoZGlkIjoiMjU5NDYzMjUzODc5YzNkZTFiOWNmZTkyNGRlMTI2MTAiLCJ1c2VySWQiOiI2OTkwODk0MTIifQ==</vt:lpwstr>
  </property>
</Properties>
</file>