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871CD">
      <w:pPr>
        <w:jc w:val="center"/>
        <w:rPr>
          <w:rFonts w:hint="eastAsia" w:ascii="宋体" w:hAnsi="宋体" w:eastAsia="宋体" w:cs="宋体"/>
          <w:b/>
          <w:bCs/>
          <w:color w:val="auto"/>
          <w:sz w:val="52"/>
          <w:szCs w:val="52"/>
          <w:highlight w:val="none"/>
        </w:rPr>
      </w:pPr>
      <w:bookmarkStart w:id="0" w:name="_Toc7014_WPSOffice_Level1"/>
      <w:bookmarkStart w:id="1" w:name="_Toc10319"/>
      <w:r>
        <w:rPr>
          <w:rFonts w:hint="eastAsia" w:ascii="宋体" w:hAnsi="宋体" w:eastAsia="宋体" w:cs="宋体"/>
          <w:b/>
          <w:color w:val="auto"/>
          <w:sz w:val="52"/>
          <w:highlight w:val="none"/>
        </w:rPr>
        <w:t>桂林市政府集中采购中心</w:t>
      </w:r>
    </w:p>
    <w:p w14:paraId="5B35300C">
      <w:pPr>
        <w:pStyle w:val="15"/>
        <w:rPr>
          <w:rFonts w:hint="eastAsia" w:ascii="宋体" w:hAnsi="宋体" w:eastAsia="宋体" w:cs="宋体"/>
          <w:b/>
          <w:bCs/>
          <w:color w:val="auto"/>
          <w:sz w:val="52"/>
          <w:szCs w:val="52"/>
          <w:highlight w:val="none"/>
        </w:rPr>
      </w:pPr>
    </w:p>
    <w:p w14:paraId="03CD18B7">
      <w:pPr>
        <w:pStyle w:val="15"/>
        <w:rPr>
          <w:rFonts w:hint="eastAsia" w:ascii="宋体" w:hAnsi="宋体" w:eastAsia="宋体" w:cs="宋体"/>
          <w:b/>
          <w:bCs/>
          <w:color w:val="auto"/>
          <w:sz w:val="52"/>
          <w:szCs w:val="52"/>
          <w:highlight w:val="none"/>
        </w:rPr>
      </w:pPr>
    </w:p>
    <w:p w14:paraId="1D437493">
      <w:pPr>
        <w:ind w:left="0" w:leftChars="0" w:right="-106" w:rightChars="0" w:hanging="12" w:firstLineChars="0"/>
        <w:jc w:val="center"/>
        <w:rPr>
          <w:rFonts w:hint="eastAsia" w:ascii="宋体" w:hAnsi="宋体" w:eastAsia="宋体" w:cs="宋体"/>
          <w:b/>
          <w:color w:val="auto"/>
          <w:sz w:val="72"/>
          <w:szCs w:val="72"/>
          <w:highlight w:val="none"/>
        </w:rPr>
      </w:pPr>
      <w:r>
        <w:rPr>
          <w:rFonts w:hint="eastAsia" w:ascii="宋体" w:hAnsi="宋体" w:eastAsia="宋体" w:cs="宋体"/>
          <w:b/>
          <w:color w:val="auto"/>
          <w:spacing w:val="93"/>
          <w:sz w:val="72"/>
          <w:szCs w:val="72"/>
          <w:highlight w:val="none"/>
        </w:rPr>
        <w:t>竞争性磋商文件</w:t>
      </w:r>
    </w:p>
    <w:p w14:paraId="0E162E7B">
      <w:pPr>
        <w:jc w:val="center"/>
        <w:rPr>
          <w:rFonts w:hint="eastAsia" w:ascii="宋体" w:hAnsi="宋体" w:eastAsia="宋体" w:cs="宋体"/>
          <w:b/>
          <w:bCs/>
          <w:color w:val="auto"/>
          <w:sz w:val="52"/>
          <w:szCs w:val="52"/>
          <w:highlight w:val="none"/>
        </w:rPr>
      </w:pPr>
    </w:p>
    <w:p w14:paraId="75D40D4B">
      <w:pPr>
        <w:tabs>
          <w:tab w:val="left" w:pos="7208"/>
        </w:tabs>
        <w:jc w:val="left"/>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ab/>
      </w:r>
    </w:p>
    <w:p w14:paraId="045AF472">
      <w:pPr>
        <w:jc w:val="center"/>
        <w:rPr>
          <w:rFonts w:hint="eastAsia" w:ascii="宋体" w:hAnsi="宋体" w:eastAsia="宋体" w:cs="宋体"/>
          <w:b/>
          <w:bCs/>
          <w:color w:val="auto"/>
          <w:sz w:val="52"/>
          <w:szCs w:val="52"/>
          <w:highlight w:val="none"/>
        </w:rPr>
      </w:pPr>
    </w:p>
    <w:p w14:paraId="6A9FC969">
      <w:pPr>
        <w:jc w:val="center"/>
        <w:rPr>
          <w:rFonts w:hint="default" w:ascii="宋体" w:hAnsi="宋体" w:eastAsia="宋体" w:cs="宋体"/>
          <w:b/>
          <w:bCs/>
          <w:color w:val="000000" w:themeColor="text1"/>
          <w:sz w:val="32"/>
          <w:szCs w:val="32"/>
          <w:highlight w:val="none"/>
          <w:shd w:val="clear" w:color="auto" w:fill="auto"/>
          <w:lang w:val="en-US" w:eastAsia="zh-CN"/>
          <w14:textFill>
            <w14:solidFill>
              <w14:schemeClr w14:val="tx1"/>
            </w14:solidFill>
          </w14:textFill>
        </w:rPr>
      </w:pP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项 目 名 称：</w:t>
      </w:r>
      <w:r>
        <w:rPr>
          <w:rFonts w:hint="eastAsia" w:ascii="宋体" w:hAnsi="宋体" w:cs="宋体"/>
          <w:b/>
          <w:bCs/>
          <w:color w:val="000000" w:themeColor="text1"/>
          <w:sz w:val="32"/>
          <w:szCs w:val="32"/>
          <w:highlight w:val="none"/>
          <w:u w:val="single"/>
          <w:shd w:val="clear" w:color="auto" w:fill="auto"/>
          <w:lang w:val="en-US" w:eastAsia="zh-CN"/>
          <w14:textFill>
            <w14:solidFill>
              <w14:schemeClr w14:val="tx1"/>
            </w14:solidFill>
          </w14:textFill>
        </w:rPr>
        <w:t>荔浦市电子政务外网横向接入专线服务</w:t>
      </w:r>
    </w:p>
    <w:p w14:paraId="46E58D12">
      <w:pPr>
        <w:jc w:val="center"/>
        <w:rPr>
          <w:rFonts w:hint="eastAsia" w:ascii="宋体" w:hAnsi="宋体" w:eastAsia="宋体" w:cs="宋体"/>
          <w:b/>
          <w:bCs/>
          <w:color w:val="000000" w:themeColor="text1"/>
          <w:sz w:val="32"/>
          <w:szCs w:val="32"/>
          <w:highlight w:val="none"/>
          <w:shd w:val="clear" w:color="auto" w:fill="auto"/>
          <w:lang w:eastAsia="zh-CN"/>
          <w14:textFill>
            <w14:solidFill>
              <w14:schemeClr w14:val="tx1"/>
            </w14:solidFill>
          </w14:textFill>
        </w:rPr>
      </w:pPr>
      <w:r>
        <w:rPr>
          <w:rFonts w:hint="eastAsia" w:ascii="宋体" w:hAnsi="宋体" w:eastAsia="宋体" w:cs="宋体"/>
          <w:b/>
          <w:bCs/>
          <w:color w:val="000000" w:themeColor="text1"/>
          <w:sz w:val="32"/>
          <w:szCs w:val="32"/>
          <w:highlight w:val="none"/>
          <w:shd w:val="clear" w:color="auto" w:fill="auto"/>
          <w14:textFill>
            <w14:solidFill>
              <w14:schemeClr w14:val="tx1"/>
            </w14:solidFill>
          </w14:textFill>
        </w:rPr>
        <w:t>项 目 编 号：</w:t>
      </w:r>
      <w:r>
        <w:rPr>
          <w:rFonts w:hint="eastAsia" w:ascii="宋体" w:hAnsi="宋体" w:cs="宋体"/>
          <w:b/>
          <w:bCs/>
          <w:color w:val="000000" w:themeColor="text1"/>
          <w:sz w:val="32"/>
          <w:szCs w:val="32"/>
          <w:highlight w:val="none"/>
          <w:u w:val="single"/>
          <w:shd w:val="clear" w:color="auto" w:fill="auto"/>
          <w:lang w:val="en-US" w:eastAsia="zh-CN"/>
          <w14:textFill>
            <w14:solidFill>
              <w14:schemeClr w14:val="tx1"/>
            </w14:solidFill>
          </w14:textFill>
        </w:rPr>
        <w:t>GLZC2026-C3-310007-GLSZ</w:t>
      </w:r>
    </w:p>
    <w:p w14:paraId="3BCDAF2B">
      <w:pPr>
        <w:ind w:firstLine="1600" w:firstLineChars="500"/>
        <w:rPr>
          <w:rFonts w:hint="eastAsia" w:ascii="宋体" w:hAnsi="宋体" w:eastAsia="宋体" w:cs="宋体"/>
          <w:color w:val="auto"/>
          <w:sz w:val="32"/>
          <w:szCs w:val="32"/>
          <w:highlight w:val="none"/>
        </w:rPr>
      </w:pPr>
    </w:p>
    <w:p w14:paraId="035F7FA7">
      <w:pPr>
        <w:jc w:val="center"/>
        <w:rPr>
          <w:rFonts w:hint="eastAsia" w:ascii="宋体" w:hAnsi="宋体" w:eastAsia="宋体" w:cs="宋体"/>
          <w:color w:val="auto"/>
          <w:sz w:val="32"/>
          <w:szCs w:val="32"/>
          <w:highlight w:val="none"/>
        </w:rPr>
      </w:pPr>
    </w:p>
    <w:p w14:paraId="2844B4BC">
      <w:pPr>
        <w:rPr>
          <w:rFonts w:hint="eastAsia" w:ascii="宋体" w:hAnsi="宋体" w:eastAsia="宋体" w:cs="宋体"/>
          <w:color w:val="auto"/>
          <w:sz w:val="32"/>
          <w:szCs w:val="32"/>
          <w:highlight w:val="none"/>
        </w:rPr>
      </w:pPr>
    </w:p>
    <w:p w14:paraId="6DA2837B">
      <w:pPr>
        <w:jc w:val="center"/>
        <w:rPr>
          <w:rFonts w:hint="eastAsia" w:ascii="宋体" w:hAnsi="宋体" w:eastAsia="宋体" w:cs="宋体"/>
          <w:color w:val="auto"/>
          <w:sz w:val="32"/>
          <w:szCs w:val="32"/>
          <w:highlight w:val="none"/>
        </w:rPr>
      </w:pPr>
    </w:p>
    <w:p w14:paraId="17B7C2CB">
      <w:pPr>
        <w:ind w:firstLine="2240" w:firstLineChars="7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采购代理机构：桂林市政府集中采购中心</w:t>
      </w:r>
    </w:p>
    <w:p w14:paraId="783F3B2D">
      <w:pPr>
        <w:pStyle w:val="10"/>
        <w:rPr>
          <w:rFonts w:hint="eastAsia" w:ascii="宋体" w:hAnsi="宋体" w:eastAsia="宋体" w:cs="宋体"/>
          <w:color w:val="auto"/>
          <w:highlight w:val="none"/>
        </w:rPr>
      </w:pPr>
    </w:p>
    <w:p w14:paraId="08686732">
      <w:pPr>
        <w:jc w:val="center"/>
        <w:rPr>
          <w:rFonts w:hint="eastAsia"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eastAsia="zh-CN"/>
        </w:rPr>
        <w:t>202</w:t>
      </w:r>
      <w:r>
        <w:rPr>
          <w:rFonts w:hint="eastAsia" w:ascii="宋体" w:hAnsi="宋体" w:cs="宋体"/>
          <w:color w:val="auto"/>
          <w:sz w:val="36"/>
          <w:szCs w:val="36"/>
          <w:highlight w:val="none"/>
          <w:lang w:val="en-US" w:eastAsia="zh-CN"/>
        </w:rPr>
        <w:t>6</w:t>
      </w:r>
      <w:r>
        <w:rPr>
          <w:rFonts w:hint="eastAsia" w:ascii="宋体" w:hAnsi="宋体" w:cs="宋体"/>
          <w:color w:val="auto"/>
          <w:sz w:val="36"/>
          <w:szCs w:val="36"/>
          <w:highlight w:val="none"/>
          <w:lang w:eastAsia="zh-CN"/>
        </w:rPr>
        <w:t>年</w:t>
      </w:r>
      <w:r>
        <w:rPr>
          <w:rFonts w:hint="eastAsia" w:ascii="宋体" w:hAnsi="宋体" w:cs="宋体"/>
          <w:color w:val="auto"/>
          <w:sz w:val="36"/>
          <w:szCs w:val="36"/>
          <w:highlight w:val="none"/>
          <w:lang w:val="en-US" w:eastAsia="zh-CN"/>
        </w:rPr>
        <w:t>04</w:t>
      </w:r>
      <w:r>
        <w:rPr>
          <w:rFonts w:hint="eastAsia" w:ascii="宋体" w:hAnsi="宋体" w:cs="宋体"/>
          <w:color w:val="auto"/>
          <w:sz w:val="36"/>
          <w:szCs w:val="36"/>
          <w:highlight w:val="none"/>
          <w:lang w:eastAsia="zh-CN"/>
        </w:rPr>
        <w:t>月</w:t>
      </w:r>
      <w:r>
        <w:rPr>
          <w:rFonts w:hint="eastAsia" w:ascii="宋体" w:hAnsi="宋体" w:cs="宋体"/>
          <w:color w:val="auto"/>
          <w:sz w:val="36"/>
          <w:szCs w:val="36"/>
          <w:highlight w:val="none"/>
          <w:lang w:val="en-US" w:eastAsia="zh-CN"/>
        </w:rPr>
        <w:t>29</w:t>
      </w:r>
      <w:r>
        <w:rPr>
          <w:rFonts w:hint="eastAsia" w:ascii="宋体" w:hAnsi="宋体" w:cs="宋体"/>
          <w:color w:val="auto"/>
          <w:sz w:val="36"/>
          <w:szCs w:val="36"/>
          <w:highlight w:val="none"/>
          <w:lang w:eastAsia="zh-CN"/>
        </w:rPr>
        <w:t>日</w:t>
      </w:r>
    </w:p>
    <w:p w14:paraId="0ADBD89C">
      <w:pPr>
        <w:rPr>
          <w:rFonts w:hint="eastAsia" w:ascii="Times New Roman" w:hAnsi="Times New Roman" w:eastAsia="宋体" w:cs="Times New Roman"/>
          <w:color w:val="auto"/>
          <w:kern w:val="2"/>
          <w:sz w:val="21"/>
          <w:szCs w:val="24"/>
          <w:highlight w:val="none"/>
          <w:lang w:val="en-US" w:eastAsia="zh-CN" w:bidi="ar-SA"/>
        </w:rPr>
      </w:pPr>
    </w:p>
    <w:p w14:paraId="15C63589">
      <w:pPr>
        <w:rPr>
          <w:rFonts w:hint="eastAsia"/>
          <w:color w:val="auto"/>
          <w:highlight w:val="none"/>
          <w:lang w:val="en-US" w:eastAsia="zh-CN"/>
        </w:rPr>
      </w:pPr>
    </w:p>
    <w:p w14:paraId="054E386F">
      <w:pPr>
        <w:rPr>
          <w:rFonts w:hint="eastAsia"/>
          <w:color w:val="auto"/>
          <w:highlight w:val="none"/>
          <w:lang w:val="en-US" w:eastAsia="zh-CN"/>
        </w:rPr>
      </w:pPr>
    </w:p>
    <w:p w14:paraId="7471C16D">
      <w:pPr>
        <w:rPr>
          <w:rFonts w:hint="eastAsia"/>
          <w:color w:val="auto"/>
          <w:highlight w:val="none"/>
          <w:lang w:val="en-US" w:eastAsia="zh-CN"/>
        </w:rPr>
      </w:pPr>
    </w:p>
    <w:p w14:paraId="43A35029">
      <w:pPr>
        <w:tabs>
          <w:tab w:val="left" w:pos="6661"/>
        </w:tabs>
        <w:jc w:val="left"/>
        <w:rPr>
          <w:rFonts w:hint="eastAsia"/>
          <w:color w:val="auto"/>
          <w:highlight w:val="none"/>
          <w:lang w:val="en-US" w:eastAsia="zh-CN"/>
        </w:rPr>
        <w:sectPr>
          <w:headerReference r:id="rId3" w:type="default"/>
          <w:footerReference r:id="rId4" w:type="default"/>
          <w:pgSz w:w="11906" w:h="16838"/>
          <w:pgMar w:top="1440" w:right="935" w:bottom="1440" w:left="777" w:header="851" w:footer="992" w:gutter="0"/>
          <w:pgNumType w:fmt="numberInDash" w:start="1"/>
          <w:cols w:space="720" w:num="1"/>
          <w:rtlGutter w:val="0"/>
          <w:docGrid w:type="linesAndChars" w:linePitch="312" w:charSpace="0"/>
        </w:sectPr>
      </w:pPr>
      <w:r>
        <w:rPr>
          <w:rFonts w:hint="eastAsia"/>
          <w:color w:val="auto"/>
          <w:highlight w:val="none"/>
          <w:lang w:val="en-US" w:eastAsia="zh-CN"/>
        </w:rPr>
        <w:tab/>
      </w:r>
    </w:p>
    <w:p w14:paraId="0FA0134A">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14:paraId="2E79EDFD">
      <w:pPr>
        <w:pStyle w:val="18"/>
        <w:tabs>
          <w:tab w:val="right" w:leader="dot" w:pos="10194"/>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_Toc31209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rPr>
        <w:t xml:space="preserve">第一章 </w:t>
      </w:r>
      <w:r>
        <w:rPr>
          <w:rFonts w:hint="eastAsia" w:ascii="宋体" w:hAnsi="宋体" w:eastAsia="宋体" w:cs="宋体"/>
          <w:szCs w:val="32"/>
          <w:highlight w:val="none"/>
        </w:rPr>
        <w:t>竞争性磋商公告</w:t>
      </w:r>
      <w:r>
        <w:tab/>
      </w:r>
      <w:r>
        <w:fldChar w:fldCharType="begin"/>
      </w:r>
      <w:r>
        <w:instrText xml:space="preserve"> PAGEREF _Toc31209 \h </w:instrText>
      </w:r>
      <w:r>
        <w:fldChar w:fldCharType="separate"/>
      </w:r>
      <w:r>
        <w:t>- 1 -</w:t>
      </w:r>
      <w:r>
        <w:fldChar w:fldCharType="end"/>
      </w:r>
      <w:r>
        <w:rPr>
          <w:rFonts w:hint="eastAsia" w:ascii="宋体" w:hAnsi="宋体" w:eastAsia="宋体" w:cs="宋体"/>
          <w:bCs/>
          <w:color w:val="auto"/>
          <w:kern w:val="2"/>
          <w:szCs w:val="24"/>
          <w:highlight w:val="none"/>
          <w:lang w:val="zh-CN" w:eastAsia="zh-CN" w:bidi="ar-SA"/>
        </w:rPr>
        <w:fldChar w:fldCharType="end"/>
      </w:r>
    </w:p>
    <w:p w14:paraId="02BDD575">
      <w:pPr>
        <w:pStyle w:val="18"/>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_Toc24004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第二章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供应商须知</w:t>
      </w:r>
      <w:r>
        <w:tab/>
      </w:r>
      <w:r>
        <w:fldChar w:fldCharType="begin"/>
      </w:r>
      <w:r>
        <w:instrText xml:space="preserve"> PAGEREF _Toc24004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5191C451">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4"/>
          <w:highlight w:val="none"/>
        </w:rPr>
        <w:t>供 应 商 须 知 前 附 表</w:t>
      </w:r>
      <w:r>
        <w:tab/>
      </w:r>
      <w:r>
        <w:fldChar w:fldCharType="begin"/>
      </w:r>
      <w:r>
        <w:instrText xml:space="preserve"> PAGEREF _Toc194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03D83561">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_Toc8265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szCs w:val="21"/>
          <w:highlight w:val="none"/>
        </w:rPr>
        <w:t>竞争性</w:t>
      </w:r>
      <w:r>
        <w:rPr>
          <w:rFonts w:hint="eastAsia" w:ascii="宋体" w:hAnsi="宋体" w:eastAsia="宋体" w:cs="宋体"/>
          <w:bCs/>
          <w:szCs w:val="21"/>
          <w:highlight w:val="none"/>
          <w:lang w:eastAsia="zh-CN"/>
        </w:rPr>
        <w:t>磋商</w:t>
      </w:r>
      <w:r>
        <w:rPr>
          <w:rFonts w:hint="eastAsia" w:ascii="宋体" w:hAnsi="宋体" w:eastAsia="宋体" w:cs="宋体"/>
          <w:bCs/>
          <w:szCs w:val="21"/>
          <w:highlight w:val="none"/>
        </w:rPr>
        <w:t>响应文件的</w:t>
      </w:r>
      <w:r>
        <w:rPr>
          <w:rFonts w:hint="eastAsia" w:ascii="宋体" w:hAnsi="宋体" w:eastAsia="宋体" w:cs="宋体"/>
          <w:bCs/>
          <w:szCs w:val="21"/>
          <w:highlight w:val="none"/>
          <w:lang w:eastAsia="zh-CN"/>
        </w:rPr>
        <w:t>制作</w:t>
      </w:r>
      <w:r>
        <w:tab/>
      </w:r>
      <w:r>
        <w:fldChar w:fldCharType="begin"/>
      </w:r>
      <w:r>
        <w:instrText xml:space="preserve"> PAGEREF _Toc8265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28451379">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_Toc2976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一、总则</w:t>
      </w:r>
      <w:r>
        <w:tab/>
      </w:r>
      <w:r>
        <w:fldChar w:fldCharType="begin"/>
      </w:r>
      <w:r>
        <w:instrText xml:space="preserve"> PAGEREF _Toc2976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091C4786">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_Toc397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 适应范围</w:t>
      </w:r>
      <w:r>
        <w:tab/>
      </w:r>
      <w:r>
        <w:fldChar w:fldCharType="begin"/>
      </w:r>
      <w:r>
        <w:instrText xml:space="preserve"> PAGEREF _Toc397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4A4FCF00">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_Toc30427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 定义</w:t>
      </w:r>
      <w:r>
        <w:tab/>
      </w:r>
      <w:r>
        <w:fldChar w:fldCharType="begin"/>
      </w:r>
      <w:r>
        <w:instrText xml:space="preserve"> PAGEREF _Toc30427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7AA516C1">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_Toc21725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 供应商资格</w:t>
      </w:r>
      <w:r>
        <w:tab/>
      </w:r>
      <w:r>
        <w:fldChar w:fldCharType="begin"/>
      </w:r>
      <w:r>
        <w:instrText xml:space="preserve"> PAGEREF _Toc21725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6AD03E97">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_Toc30597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4. 磋商费用</w:t>
      </w:r>
      <w:r>
        <w:tab/>
      </w:r>
      <w:r>
        <w:fldChar w:fldCharType="begin"/>
      </w:r>
      <w:r>
        <w:instrText xml:space="preserve"> PAGEREF _Toc30597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10684C4E">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_Toc13872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5. </w:t>
      </w:r>
      <w:r>
        <w:rPr>
          <w:rFonts w:hint="eastAsia" w:ascii="宋体" w:hAnsi="宋体" w:eastAsia="宋体" w:cs="宋体"/>
          <w:szCs w:val="21"/>
          <w:highlight w:val="none"/>
        </w:rPr>
        <w:t>联合体要求</w:t>
      </w:r>
      <w:r>
        <w:tab/>
      </w:r>
      <w:r>
        <w:fldChar w:fldCharType="begin"/>
      </w:r>
      <w:r>
        <w:instrText xml:space="preserve"> PAGEREF _Toc13872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592BB81F">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_Toc12345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6. </w:t>
      </w:r>
      <w:r>
        <w:rPr>
          <w:rFonts w:hint="eastAsia" w:ascii="宋体" w:hAnsi="宋体" w:eastAsia="宋体" w:cs="宋体"/>
          <w:szCs w:val="21"/>
          <w:highlight w:val="none"/>
        </w:rPr>
        <w:t>转包与分包</w:t>
      </w:r>
      <w:r>
        <w:tab/>
      </w:r>
      <w:r>
        <w:fldChar w:fldCharType="begin"/>
      </w:r>
      <w:r>
        <w:instrText xml:space="preserve"> PAGEREF _Toc12345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068A0BFF">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_Toc25136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cs="宋体"/>
          <w:szCs w:val="21"/>
          <w:highlight w:val="none"/>
          <w:lang w:val="en-US" w:eastAsia="zh-CN"/>
        </w:rPr>
        <w:t>7</w:t>
      </w:r>
      <w:r>
        <w:rPr>
          <w:rFonts w:hint="eastAsia" w:ascii="宋体" w:hAnsi="宋体" w:eastAsia="宋体" w:cs="宋体"/>
          <w:szCs w:val="21"/>
          <w:highlight w:val="none"/>
        </w:rPr>
        <w:t>. 质疑和投诉</w:t>
      </w:r>
      <w:r>
        <w:tab/>
      </w:r>
      <w:r>
        <w:fldChar w:fldCharType="begin"/>
      </w:r>
      <w:r>
        <w:instrText xml:space="preserve"> PAGEREF _Toc25136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3D9E9949">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_Toc25995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8. 特别说明</w:t>
      </w:r>
      <w:r>
        <w:tab/>
      </w:r>
      <w:r>
        <w:fldChar w:fldCharType="begin"/>
      </w:r>
      <w:r>
        <w:instrText xml:space="preserve"> PAGEREF _Toc25995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34E16F8E">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_Toc25445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二、磋商文件</w:t>
      </w:r>
      <w:r>
        <w:tab/>
      </w:r>
      <w:r>
        <w:fldChar w:fldCharType="begin"/>
      </w:r>
      <w:r>
        <w:instrText xml:space="preserve"> PAGEREF _Toc25445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3E185940">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_Toc5891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pt-BR"/>
        </w:rPr>
        <w:t xml:space="preserve">9. </w:t>
      </w:r>
      <w:r>
        <w:rPr>
          <w:rFonts w:hint="eastAsia" w:ascii="宋体" w:hAnsi="宋体" w:eastAsia="宋体" w:cs="宋体"/>
          <w:szCs w:val="21"/>
          <w:highlight w:val="none"/>
        </w:rPr>
        <w:t>磋商文件的构成</w:t>
      </w:r>
      <w:r>
        <w:tab/>
      </w:r>
      <w:r>
        <w:fldChar w:fldCharType="begin"/>
      </w:r>
      <w:r>
        <w:instrText xml:space="preserve"> PAGEREF _Toc5891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2524D3AF">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_Toc26072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10. 磋商文件的澄清与修改</w:t>
      </w:r>
      <w:r>
        <w:tab/>
      </w:r>
      <w:r>
        <w:fldChar w:fldCharType="begin"/>
      </w:r>
      <w:r>
        <w:instrText xml:space="preserve"> PAGEREF _Toc26072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4D413B41">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_Toc10425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三、竞争性磋商响应文件的编制</w:t>
      </w:r>
      <w:r>
        <w:tab/>
      </w:r>
      <w:r>
        <w:fldChar w:fldCharType="begin"/>
      </w:r>
      <w:r>
        <w:instrText xml:space="preserve"> PAGEREF _Toc10425 \h </w:instrText>
      </w:r>
      <w:r>
        <w:fldChar w:fldCharType="separate"/>
      </w:r>
      <w:r>
        <w:t>- 10 -</w:t>
      </w:r>
      <w:r>
        <w:fldChar w:fldCharType="end"/>
      </w:r>
      <w:r>
        <w:rPr>
          <w:rFonts w:hint="eastAsia" w:ascii="宋体" w:hAnsi="宋体" w:eastAsia="宋体" w:cs="宋体"/>
          <w:bCs/>
          <w:color w:val="auto"/>
          <w:kern w:val="2"/>
          <w:szCs w:val="24"/>
          <w:highlight w:val="none"/>
          <w:lang w:val="zh-CN" w:eastAsia="zh-CN" w:bidi="ar-SA"/>
        </w:rPr>
        <w:fldChar w:fldCharType="end"/>
      </w:r>
    </w:p>
    <w:p w14:paraId="028AF142">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_Toc19625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en-US" w:eastAsia="zh-CN"/>
        </w:rPr>
        <w:t>11.竞争性磋商响应文件编制基本要求</w:t>
      </w:r>
      <w:r>
        <w:tab/>
      </w:r>
      <w:r>
        <w:fldChar w:fldCharType="begin"/>
      </w:r>
      <w:r>
        <w:instrText xml:space="preserve"> PAGEREF _Toc19625 \h </w:instrText>
      </w:r>
      <w:r>
        <w:fldChar w:fldCharType="separate"/>
      </w:r>
      <w:r>
        <w:t>- 10 -</w:t>
      </w:r>
      <w:r>
        <w:fldChar w:fldCharType="end"/>
      </w:r>
      <w:r>
        <w:rPr>
          <w:rFonts w:hint="eastAsia" w:ascii="宋体" w:hAnsi="宋体" w:eastAsia="宋体" w:cs="宋体"/>
          <w:bCs/>
          <w:color w:val="auto"/>
          <w:kern w:val="2"/>
          <w:szCs w:val="24"/>
          <w:highlight w:val="none"/>
          <w:lang w:val="zh-CN" w:eastAsia="zh-CN" w:bidi="ar-SA"/>
        </w:rPr>
        <w:fldChar w:fldCharType="end"/>
      </w:r>
    </w:p>
    <w:p w14:paraId="4705247D">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_Toc27408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12. 响应文件的语言及计量</w:t>
      </w:r>
      <w:r>
        <w:tab/>
      </w:r>
      <w:r>
        <w:fldChar w:fldCharType="begin"/>
      </w:r>
      <w:r>
        <w:instrText xml:space="preserve"> PAGEREF _Toc27408 \h </w:instrText>
      </w:r>
      <w:r>
        <w:fldChar w:fldCharType="separate"/>
      </w:r>
      <w:r>
        <w:t>- 12 -</w:t>
      </w:r>
      <w:r>
        <w:fldChar w:fldCharType="end"/>
      </w:r>
      <w:r>
        <w:rPr>
          <w:rFonts w:hint="eastAsia" w:ascii="宋体" w:hAnsi="宋体" w:eastAsia="宋体" w:cs="宋体"/>
          <w:bCs/>
          <w:color w:val="auto"/>
          <w:kern w:val="2"/>
          <w:szCs w:val="24"/>
          <w:highlight w:val="none"/>
          <w:lang w:val="zh-CN" w:eastAsia="zh-CN" w:bidi="ar-SA"/>
        </w:rPr>
        <w:fldChar w:fldCharType="end"/>
      </w:r>
    </w:p>
    <w:p w14:paraId="4AE3821A">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_Toc16743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13. 磋商报价及采购预算金额</w:t>
      </w:r>
      <w:r>
        <w:tab/>
      </w:r>
      <w:r>
        <w:fldChar w:fldCharType="begin"/>
      </w:r>
      <w:r>
        <w:instrText xml:space="preserve"> PAGEREF _Toc16743 \h </w:instrText>
      </w:r>
      <w:r>
        <w:fldChar w:fldCharType="separate"/>
      </w:r>
      <w:r>
        <w:t>- 12 -</w:t>
      </w:r>
      <w:r>
        <w:fldChar w:fldCharType="end"/>
      </w:r>
      <w:r>
        <w:rPr>
          <w:rFonts w:hint="eastAsia" w:ascii="宋体" w:hAnsi="宋体" w:eastAsia="宋体" w:cs="宋体"/>
          <w:bCs/>
          <w:color w:val="auto"/>
          <w:kern w:val="2"/>
          <w:szCs w:val="24"/>
          <w:highlight w:val="none"/>
          <w:lang w:val="zh-CN" w:eastAsia="zh-CN" w:bidi="ar-SA"/>
        </w:rPr>
        <w:fldChar w:fldCharType="end"/>
      </w:r>
    </w:p>
    <w:p w14:paraId="6E362061">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_Toc31019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14. 响应文件有效期</w:t>
      </w:r>
      <w:r>
        <w:tab/>
      </w:r>
      <w:r>
        <w:fldChar w:fldCharType="begin"/>
      </w:r>
      <w:r>
        <w:instrText xml:space="preserve"> PAGEREF _Toc31019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09772694">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_Toc29493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15. 保证金</w:t>
      </w:r>
      <w:r>
        <w:tab/>
      </w:r>
      <w:r>
        <w:fldChar w:fldCharType="begin"/>
      </w:r>
      <w:r>
        <w:instrText xml:space="preserve"> PAGEREF _Toc29493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32EC8432">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_Toc27653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16. 竞争性</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响应文件的</w:t>
      </w:r>
      <w:r>
        <w:rPr>
          <w:rFonts w:hint="eastAsia" w:ascii="宋体" w:hAnsi="宋体" w:eastAsia="宋体" w:cs="宋体"/>
          <w:szCs w:val="21"/>
          <w:highlight w:val="none"/>
          <w:lang w:eastAsia="zh-CN"/>
        </w:rPr>
        <w:t>制作</w:t>
      </w:r>
      <w:r>
        <w:tab/>
      </w:r>
      <w:r>
        <w:fldChar w:fldCharType="begin"/>
      </w:r>
      <w:r>
        <w:instrText xml:space="preserve"> PAGEREF _Toc27653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42323908">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_Toc11258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17. 响应文件的修改和撤回</w:t>
      </w:r>
      <w:r>
        <w:tab/>
      </w:r>
      <w:r>
        <w:fldChar w:fldCharType="begin"/>
      </w:r>
      <w:r>
        <w:instrText xml:space="preserve"> PAGEREF _Toc11258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6AF7DFB4">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_Toc3930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18. 响应文件的递交</w:t>
      </w:r>
      <w:r>
        <w:rPr>
          <w:rFonts w:hint="eastAsia" w:ascii="宋体" w:hAnsi="宋体" w:eastAsia="宋体" w:cs="宋体"/>
          <w:szCs w:val="21"/>
          <w:highlight w:val="none"/>
          <w:lang w:eastAsia="zh-CN"/>
        </w:rPr>
        <w:t>和解密</w:t>
      </w:r>
      <w:r>
        <w:tab/>
      </w:r>
      <w:r>
        <w:fldChar w:fldCharType="begin"/>
      </w:r>
      <w:r>
        <w:instrText xml:space="preserve"> PAGEREF _Toc3930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2986A9A7">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_Toc28350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四、竞争性磋商（简称磋商）与评审</w:t>
      </w:r>
      <w:r>
        <w:tab/>
      </w:r>
      <w:r>
        <w:fldChar w:fldCharType="begin"/>
      </w:r>
      <w:r>
        <w:instrText xml:space="preserve"> PAGEREF _Toc28350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3B7F79F5">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_Toc527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19. 磋商小组组成及磋商时间、地点、人员</w:t>
      </w:r>
      <w:r>
        <w:tab/>
      </w:r>
      <w:r>
        <w:fldChar w:fldCharType="begin"/>
      </w:r>
      <w:r>
        <w:instrText xml:space="preserve"> PAGEREF _Toc527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73B480EC">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_Toc1181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20. 评审原则</w:t>
      </w:r>
      <w:r>
        <w:tab/>
      </w:r>
      <w:r>
        <w:fldChar w:fldCharType="begin"/>
      </w:r>
      <w:r>
        <w:instrText xml:space="preserve"> PAGEREF _Toc1181 \h </w:instrText>
      </w:r>
      <w:r>
        <w:fldChar w:fldCharType="separate"/>
      </w:r>
      <w:r>
        <w:t>- 15 -</w:t>
      </w:r>
      <w:r>
        <w:fldChar w:fldCharType="end"/>
      </w:r>
      <w:r>
        <w:rPr>
          <w:rFonts w:hint="eastAsia" w:ascii="宋体" w:hAnsi="宋体" w:eastAsia="宋体" w:cs="宋体"/>
          <w:bCs/>
          <w:color w:val="auto"/>
          <w:kern w:val="2"/>
          <w:szCs w:val="24"/>
          <w:highlight w:val="none"/>
          <w:lang w:val="zh-CN" w:eastAsia="zh-CN" w:bidi="ar-SA"/>
        </w:rPr>
        <w:fldChar w:fldCharType="end"/>
      </w:r>
    </w:p>
    <w:p w14:paraId="539BA2D9">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_Toc22308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21. 评审程序及磋商要求</w:t>
      </w:r>
      <w:r>
        <w:tab/>
      </w:r>
      <w:r>
        <w:fldChar w:fldCharType="begin"/>
      </w:r>
      <w:r>
        <w:instrText xml:space="preserve"> PAGEREF _Toc22308 \h </w:instrText>
      </w:r>
      <w:r>
        <w:fldChar w:fldCharType="separate"/>
      </w:r>
      <w:r>
        <w:t>- 15 -</w:t>
      </w:r>
      <w:r>
        <w:fldChar w:fldCharType="end"/>
      </w:r>
      <w:r>
        <w:rPr>
          <w:rFonts w:hint="eastAsia" w:ascii="宋体" w:hAnsi="宋体" w:eastAsia="宋体" w:cs="宋体"/>
          <w:bCs/>
          <w:color w:val="auto"/>
          <w:kern w:val="2"/>
          <w:szCs w:val="24"/>
          <w:highlight w:val="none"/>
          <w:lang w:val="zh-CN" w:eastAsia="zh-CN" w:bidi="ar-SA"/>
        </w:rPr>
        <w:fldChar w:fldCharType="end"/>
      </w:r>
    </w:p>
    <w:p w14:paraId="12226094">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_Toc25072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22. 确定成交供应商</w:t>
      </w:r>
      <w:r>
        <w:tab/>
      </w:r>
      <w:r>
        <w:fldChar w:fldCharType="begin"/>
      </w:r>
      <w:r>
        <w:instrText xml:space="preserve"> PAGEREF _Toc25072 \h </w:instrText>
      </w:r>
      <w:r>
        <w:fldChar w:fldCharType="separate"/>
      </w:r>
      <w:r>
        <w:t>- 18 -</w:t>
      </w:r>
      <w:r>
        <w:fldChar w:fldCharType="end"/>
      </w:r>
      <w:r>
        <w:rPr>
          <w:rFonts w:hint="eastAsia" w:ascii="宋体" w:hAnsi="宋体" w:eastAsia="宋体" w:cs="宋体"/>
          <w:bCs/>
          <w:color w:val="auto"/>
          <w:kern w:val="2"/>
          <w:szCs w:val="24"/>
          <w:highlight w:val="none"/>
          <w:lang w:val="zh-CN" w:eastAsia="zh-CN" w:bidi="ar-SA"/>
        </w:rPr>
        <w:fldChar w:fldCharType="end"/>
      </w:r>
    </w:p>
    <w:p w14:paraId="09F4091E">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_Toc18327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23. 属于下列情况之一者，响应文件无效</w:t>
      </w:r>
      <w:r>
        <w:tab/>
      </w:r>
      <w:r>
        <w:fldChar w:fldCharType="begin"/>
      </w:r>
      <w:r>
        <w:instrText xml:space="preserve"> PAGEREF _Toc18327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5BAACD1D">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_Toc7407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24. 出现下列情形之一的，采购人或者采购代理机构应当终止竞争性磋商采购活动，发布项目终止公告并说明原因，重新开展采购活动</w:t>
      </w:r>
      <w:r>
        <w:tab/>
      </w:r>
      <w:r>
        <w:fldChar w:fldCharType="begin"/>
      </w:r>
      <w:r>
        <w:instrText xml:space="preserve"> PAGEREF _Toc7407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33976F27">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_Toc175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25. 磋商过程的监控</w:t>
      </w:r>
      <w:r>
        <w:tab/>
      </w:r>
      <w:r>
        <w:fldChar w:fldCharType="begin"/>
      </w:r>
      <w:r>
        <w:instrText xml:space="preserve"> PAGEREF _Toc175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2D4770E9">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_Toc1548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26. </w:t>
      </w:r>
      <w:r>
        <w:rPr>
          <w:rFonts w:hint="eastAsia" w:ascii="宋体" w:hAnsi="宋体" w:eastAsia="宋体" w:cs="宋体"/>
          <w:szCs w:val="21"/>
          <w:highlight w:val="none"/>
        </w:rPr>
        <w:t>信用查询</w:t>
      </w:r>
      <w:r>
        <w:tab/>
      </w:r>
      <w:r>
        <w:fldChar w:fldCharType="begin"/>
      </w:r>
      <w:r>
        <w:instrText xml:space="preserve"> PAGEREF _Toc1548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6210A1CA">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_Toc4173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27. 成交结果公告及成交通知书</w:t>
      </w:r>
      <w:r>
        <w:tab/>
      </w:r>
      <w:r>
        <w:fldChar w:fldCharType="begin"/>
      </w:r>
      <w:r>
        <w:instrText xml:space="preserve"> PAGEREF _Toc4173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7E19DFFA">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_Toc24050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五、签订合同</w:t>
      </w:r>
      <w:r>
        <w:tab/>
      </w:r>
      <w:r>
        <w:fldChar w:fldCharType="begin"/>
      </w:r>
      <w:r>
        <w:instrText xml:space="preserve"> PAGEREF _Toc24050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570F2EA4">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_Toc15739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28. 履约保证金</w:t>
      </w:r>
      <w:r>
        <w:tab/>
      </w:r>
      <w:r>
        <w:fldChar w:fldCharType="begin"/>
      </w:r>
      <w:r>
        <w:instrText xml:space="preserve"> PAGEREF _Toc15739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5AFEDF11">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_Toc23654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29. 签订合同</w:t>
      </w:r>
      <w:r>
        <w:tab/>
      </w:r>
      <w:r>
        <w:fldChar w:fldCharType="begin"/>
      </w:r>
      <w:r>
        <w:instrText xml:space="preserve"> PAGEREF _Toc23654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457FCD39">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_Toc16965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六、其他事项</w:t>
      </w:r>
      <w:r>
        <w:tab/>
      </w:r>
      <w:r>
        <w:fldChar w:fldCharType="begin"/>
      </w:r>
      <w:r>
        <w:instrText xml:space="preserve"> PAGEREF _Toc16965 \h </w:instrText>
      </w:r>
      <w:r>
        <w:fldChar w:fldCharType="separate"/>
      </w:r>
      <w:r>
        <w:t>- 21 -</w:t>
      </w:r>
      <w:r>
        <w:fldChar w:fldCharType="end"/>
      </w:r>
      <w:r>
        <w:rPr>
          <w:rFonts w:hint="eastAsia" w:ascii="宋体" w:hAnsi="宋体" w:eastAsia="宋体" w:cs="宋体"/>
          <w:bCs/>
          <w:color w:val="auto"/>
          <w:kern w:val="2"/>
          <w:szCs w:val="24"/>
          <w:highlight w:val="none"/>
          <w:lang w:val="zh-CN" w:eastAsia="zh-CN" w:bidi="ar-SA"/>
        </w:rPr>
        <w:fldChar w:fldCharType="end"/>
      </w:r>
    </w:p>
    <w:p w14:paraId="39927B1E">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_Toc5940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30. 采购代理服务费</w:t>
      </w:r>
      <w:r>
        <w:tab/>
      </w:r>
      <w:r>
        <w:fldChar w:fldCharType="begin"/>
      </w:r>
      <w:r>
        <w:instrText xml:space="preserve"> PAGEREF _Toc5940 \h </w:instrText>
      </w:r>
      <w:r>
        <w:fldChar w:fldCharType="separate"/>
      </w:r>
      <w:r>
        <w:t>- 21 -</w:t>
      </w:r>
      <w:r>
        <w:fldChar w:fldCharType="end"/>
      </w:r>
      <w:r>
        <w:rPr>
          <w:rFonts w:hint="eastAsia" w:ascii="宋体" w:hAnsi="宋体" w:eastAsia="宋体" w:cs="宋体"/>
          <w:bCs/>
          <w:color w:val="auto"/>
          <w:kern w:val="2"/>
          <w:szCs w:val="24"/>
          <w:highlight w:val="none"/>
          <w:lang w:val="zh-CN" w:eastAsia="zh-CN" w:bidi="ar-SA"/>
        </w:rPr>
        <w:fldChar w:fldCharType="end"/>
      </w:r>
    </w:p>
    <w:p w14:paraId="3180F76C">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_Toc22895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 xml:space="preserve">31. </w:t>
      </w:r>
      <w:r>
        <w:rPr>
          <w:rFonts w:hint="eastAsia" w:ascii="宋体" w:hAnsi="宋体" w:cs="宋体"/>
          <w:szCs w:val="21"/>
          <w:highlight w:val="none"/>
          <w:lang w:eastAsia="zh-CN"/>
        </w:rPr>
        <w:t>编制依据</w:t>
      </w:r>
      <w:r>
        <w:tab/>
      </w:r>
      <w:r>
        <w:fldChar w:fldCharType="begin"/>
      </w:r>
      <w:r>
        <w:instrText xml:space="preserve"> PAGEREF _Toc22895 \h </w:instrText>
      </w:r>
      <w:r>
        <w:fldChar w:fldCharType="separate"/>
      </w:r>
      <w:r>
        <w:t>- 21 -</w:t>
      </w:r>
      <w:r>
        <w:fldChar w:fldCharType="end"/>
      </w:r>
      <w:r>
        <w:rPr>
          <w:rFonts w:hint="eastAsia" w:ascii="宋体" w:hAnsi="宋体" w:eastAsia="宋体" w:cs="宋体"/>
          <w:bCs/>
          <w:color w:val="auto"/>
          <w:kern w:val="2"/>
          <w:szCs w:val="24"/>
          <w:highlight w:val="none"/>
          <w:lang w:val="zh-CN" w:eastAsia="zh-CN" w:bidi="ar-SA"/>
        </w:rPr>
        <w:fldChar w:fldCharType="end"/>
      </w:r>
    </w:p>
    <w:p w14:paraId="6BE557DA">
      <w:pPr>
        <w:pStyle w:val="13"/>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_Toc4502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32. 监督管理机构</w:t>
      </w:r>
      <w:r>
        <w:tab/>
      </w:r>
      <w:r>
        <w:fldChar w:fldCharType="begin"/>
      </w:r>
      <w:r>
        <w:instrText xml:space="preserve"> PAGEREF _Toc4502 \h </w:instrText>
      </w:r>
      <w:r>
        <w:fldChar w:fldCharType="separate"/>
      </w:r>
      <w:r>
        <w:t>- 21 -</w:t>
      </w:r>
      <w:r>
        <w:fldChar w:fldCharType="end"/>
      </w:r>
      <w:r>
        <w:rPr>
          <w:rFonts w:hint="eastAsia" w:ascii="宋体" w:hAnsi="宋体" w:eastAsia="宋体" w:cs="宋体"/>
          <w:bCs/>
          <w:color w:val="auto"/>
          <w:kern w:val="2"/>
          <w:szCs w:val="24"/>
          <w:highlight w:val="none"/>
          <w:lang w:val="zh-CN" w:eastAsia="zh-CN" w:bidi="ar-SA"/>
        </w:rPr>
        <w:fldChar w:fldCharType="end"/>
      </w:r>
    </w:p>
    <w:p w14:paraId="762B36F9">
      <w:pPr>
        <w:pStyle w:val="18"/>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_Toc26312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第三章</w:t>
      </w:r>
      <w:r>
        <w:rPr>
          <w:rFonts w:hint="eastAsia" w:ascii="宋体" w:hAnsi="宋体" w:eastAsia="宋体" w:cs="宋体"/>
          <w:szCs w:val="32"/>
          <w:highlight w:val="none"/>
        </w:rPr>
        <w:t xml:space="preserve"> 采购需求</w:t>
      </w:r>
      <w:r>
        <w:tab/>
      </w:r>
      <w:r>
        <w:fldChar w:fldCharType="begin"/>
      </w:r>
      <w:r>
        <w:instrText xml:space="preserve"> PAGEREF _Toc26312 \h </w:instrText>
      </w:r>
      <w:r>
        <w:fldChar w:fldCharType="separate"/>
      </w:r>
      <w:r>
        <w:t>- 22 -</w:t>
      </w:r>
      <w:r>
        <w:fldChar w:fldCharType="end"/>
      </w:r>
      <w:r>
        <w:rPr>
          <w:rFonts w:hint="eastAsia" w:ascii="宋体" w:hAnsi="宋体" w:eastAsia="宋体" w:cs="宋体"/>
          <w:bCs/>
          <w:color w:val="auto"/>
          <w:kern w:val="2"/>
          <w:szCs w:val="24"/>
          <w:highlight w:val="none"/>
          <w:lang w:val="zh-CN" w:eastAsia="zh-CN" w:bidi="ar-SA"/>
        </w:rPr>
        <w:fldChar w:fldCharType="end"/>
      </w:r>
    </w:p>
    <w:p w14:paraId="1ECA7957">
      <w:pPr>
        <w:pStyle w:val="18"/>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_Toc16305 </w:instrText>
      </w:r>
      <w:r>
        <w:rPr>
          <w:rFonts w:hint="eastAsia" w:ascii="宋体" w:hAnsi="宋体" w:eastAsia="宋体" w:cs="宋体"/>
          <w:bCs/>
          <w:kern w:val="2"/>
          <w:szCs w:val="24"/>
          <w:highlight w:val="none"/>
          <w:lang w:val="zh-CN" w:eastAsia="zh-CN" w:bidi="ar-SA"/>
        </w:rPr>
        <w:fldChar w:fldCharType="separate"/>
      </w:r>
      <w:r>
        <w:rPr>
          <w:rFonts w:hint="eastAsia" w:asciiTheme="majorEastAsia" w:hAnsiTheme="majorEastAsia" w:eastAsiaTheme="majorEastAsia" w:cstheme="majorEastAsia"/>
          <w:szCs w:val="32"/>
          <w:highlight w:val="none"/>
          <w:lang w:eastAsia="zh-CN"/>
        </w:rPr>
        <w:t>第四章</w:t>
      </w:r>
      <w:r>
        <w:rPr>
          <w:rFonts w:hint="eastAsia" w:asciiTheme="majorEastAsia" w:hAnsiTheme="majorEastAsia" w:eastAsiaTheme="majorEastAsia" w:cstheme="majorEastAsia"/>
          <w:szCs w:val="32"/>
          <w:highlight w:val="none"/>
          <w:lang w:val="en-US" w:eastAsia="zh-CN"/>
        </w:rPr>
        <w:t xml:space="preserve"> </w:t>
      </w:r>
      <w:r>
        <w:rPr>
          <w:rFonts w:hint="eastAsia" w:asciiTheme="majorEastAsia" w:hAnsiTheme="majorEastAsia" w:eastAsiaTheme="majorEastAsia" w:cstheme="majorEastAsia"/>
          <w:szCs w:val="32"/>
          <w:highlight w:val="none"/>
        </w:rPr>
        <w:t>评审办法</w:t>
      </w:r>
      <w:r>
        <w:tab/>
      </w:r>
      <w:r>
        <w:fldChar w:fldCharType="begin"/>
      </w:r>
      <w:r>
        <w:instrText xml:space="preserve"> PAGEREF _Toc16305 \h </w:instrText>
      </w:r>
      <w:r>
        <w:fldChar w:fldCharType="separate"/>
      </w:r>
      <w:r>
        <w:t>- 23 -</w:t>
      </w:r>
      <w:r>
        <w:fldChar w:fldCharType="end"/>
      </w:r>
      <w:r>
        <w:rPr>
          <w:rFonts w:hint="eastAsia" w:ascii="宋体" w:hAnsi="宋体" w:eastAsia="宋体" w:cs="宋体"/>
          <w:bCs/>
          <w:color w:val="auto"/>
          <w:kern w:val="2"/>
          <w:szCs w:val="24"/>
          <w:highlight w:val="none"/>
          <w:lang w:val="zh-CN" w:eastAsia="zh-CN" w:bidi="ar-SA"/>
        </w:rPr>
        <w:fldChar w:fldCharType="end"/>
      </w:r>
    </w:p>
    <w:p w14:paraId="1D95E0C6">
      <w:pPr>
        <w:pStyle w:val="18"/>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_Toc30503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第五章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采购合同（合同主要条款及格式）</w:t>
      </w:r>
      <w:r>
        <w:tab/>
      </w:r>
      <w:r>
        <w:fldChar w:fldCharType="begin"/>
      </w:r>
      <w:r>
        <w:instrText xml:space="preserve"> PAGEREF _Toc30503 \h </w:instrText>
      </w:r>
      <w:r>
        <w:fldChar w:fldCharType="separate"/>
      </w:r>
      <w:r>
        <w:t>- 27 -</w:t>
      </w:r>
      <w:r>
        <w:fldChar w:fldCharType="end"/>
      </w:r>
      <w:r>
        <w:rPr>
          <w:rFonts w:hint="eastAsia" w:ascii="宋体" w:hAnsi="宋体" w:eastAsia="宋体" w:cs="宋体"/>
          <w:bCs/>
          <w:color w:val="auto"/>
          <w:kern w:val="2"/>
          <w:szCs w:val="24"/>
          <w:highlight w:val="none"/>
          <w:lang w:val="zh-CN" w:eastAsia="zh-CN" w:bidi="ar-SA"/>
        </w:rPr>
        <w:fldChar w:fldCharType="end"/>
      </w:r>
    </w:p>
    <w:p w14:paraId="7021676B">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_Toc26398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第一条 合同文件</w:t>
      </w:r>
      <w:r>
        <w:tab/>
      </w:r>
      <w:r>
        <w:fldChar w:fldCharType="begin"/>
      </w:r>
      <w:r>
        <w:instrText xml:space="preserve"> PAGEREF _Toc26398 \h </w:instrText>
      </w:r>
      <w:r>
        <w:fldChar w:fldCharType="separate"/>
      </w:r>
      <w:r>
        <w:t>- 27 -</w:t>
      </w:r>
      <w:r>
        <w:fldChar w:fldCharType="end"/>
      </w:r>
      <w:r>
        <w:rPr>
          <w:rFonts w:hint="eastAsia" w:ascii="宋体" w:hAnsi="宋体" w:eastAsia="宋体" w:cs="宋体"/>
          <w:bCs/>
          <w:color w:val="auto"/>
          <w:kern w:val="2"/>
          <w:szCs w:val="24"/>
          <w:highlight w:val="none"/>
          <w:lang w:val="zh-CN" w:eastAsia="zh-CN" w:bidi="ar-SA"/>
        </w:rPr>
        <w:fldChar w:fldCharType="end"/>
      </w:r>
    </w:p>
    <w:p w14:paraId="6E825984">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_Toc32095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第二条　合同金额</w:t>
      </w:r>
      <w:r>
        <w:tab/>
      </w:r>
      <w:r>
        <w:fldChar w:fldCharType="begin"/>
      </w:r>
      <w:r>
        <w:instrText xml:space="preserve"> PAGEREF _Toc32095 \h </w:instrText>
      </w:r>
      <w:r>
        <w:fldChar w:fldCharType="separate"/>
      </w:r>
      <w:r>
        <w:t>- 27 -</w:t>
      </w:r>
      <w:r>
        <w:fldChar w:fldCharType="end"/>
      </w:r>
      <w:r>
        <w:rPr>
          <w:rFonts w:hint="eastAsia" w:ascii="宋体" w:hAnsi="宋体" w:eastAsia="宋体" w:cs="宋体"/>
          <w:bCs/>
          <w:color w:val="auto"/>
          <w:kern w:val="2"/>
          <w:szCs w:val="24"/>
          <w:highlight w:val="none"/>
          <w:lang w:val="zh-CN" w:eastAsia="zh-CN" w:bidi="ar-SA"/>
        </w:rPr>
        <w:fldChar w:fldCharType="end"/>
      </w:r>
    </w:p>
    <w:p w14:paraId="0DFB4F9C">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_Toc19610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第三条  服务保证</w:t>
      </w:r>
      <w:r>
        <w:tab/>
      </w:r>
      <w:r>
        <w:fldChar w:fldCharType="begin"/>
      </w:r>
      <w:r>
        <w:instrText xml:space="preserve"> PAGEREF _Toc19610 \h </w:instrText>
      </w:r>
      <w:r>
        <w:fldChar w:fldCharType="separate"/>
      </w:r>
      <w:r>
        <w:t>- 27 -</w:t>
      </w:r>
      <w:r>
        <w:fldChar w:fldCharType="end"/>
      </w:r>
      <w:r>
        <w:rPr>
          <w:rFonts w:hint="eastAsia" w:ascii="宋体" w:hAnsi="宋体" w:eastAsia="宋体" w:cs="宋体"/>
          <w:bCs/>
          <w:color w:val="auto"/>
          <w:kern w:val="2"/>
          <w:szCs w:val="24"/>
          <w:highlight w:val="none"/>
          <w:lang w:val="zh-CN" w:eastAsia="zh-CN" w:bidi="ar-SA"/>
        </w:rPr>
        <w:fldChar w:fldCharType="end"/>
      </w:r>
    </w:p>
    <w:p w14:paraId="7B86F6F2">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_Toc7074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第四条  服务期限</w:t>
      </w:r>
      <w:r>
        <w:tab/>
      </w:r>
      <w:r>
        <w:fldChar w:fldCharType="begin"/>
      </w:r>
      <w:r>
        <w:instrText xml:space="preserve"> PAGEREF _Toc7074 \h </w:instrText>
      </w:r>
      <w:r>
        <w:fldChar w:fldCharType="separate"/>
      </w:r>
      <w:r>
        <w:t>- 27 -</w:t>
      </w:r>
      <w:r>
        <w:fldChar w:fldCharType="end"/>
      </w:r>
      <w:r>
        <w:rPr>
          <w:rFonts w:hint="eastAsia" w:ascii="宋体" w:hAnsi="宋体" w:eastAsia="宋体" w:cs="宋体"/>
          <w:bCs/>
          <w:color w:val="auto"/>
          <w:kern w:val="2"/>
          <w:szCs w:val="24"/>
          <w:highlight w:val="none"/>
          <w:lang w:val="zh-CN" w:eastAsia="zh-CN" w:bidi="ar-SA"/>
        </w:rPr>
        <w:fldChar w:fldCharType="end"/>
      </w:r>
    </w:p>
    <w:p w14:paraId="337B9569">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_Toc24654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第五条  交付</w:t>
      </w:r>
      <w:r>
        <w:tab/>
      </w:r>
      <w:r>
        <w:fldChar w:fldCharType="begin"/>
      </w:r>
      <w:r>
        <w:instrText xml:space="preserve"> PAGEREF _Toc24654 \h </w:instrText>
      </w:r>
      <w:r>
        <w:fldChar w:fldCharType="separate"/>
      </w:r>
      <w:r>
        <w:t>- 27 -</w:t>
      </w:r>
      <w:r>
        <w:fldChar w:fldCharType="end"/>
      </w:r>
      <w:r>
        <w:rPr>
          <w:rFonts w:hint="eastAsia" w:ascii="宋体" w:hAnsi="宋体" w:eastAsia="宋体" w:cs="宋体"/>
          <w:bCs/>
          <w:color w:val="auto"/>
          <w:kern w:val="2"/>
          <w:szCs w:val="24"/>
          <w:highlight w:val="none"/>
          <w:lang w:val="zh-CN" w:eastAsia="zh-CN" w:bidi="ar-SA"/>
        </w:rPr>
        <w:fldChar w:fldCharType="end"/>
      </w:r>
    </w:p>
    <w:p w14:paraId="283B00A5">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_Toc1326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六</w:t>
      </w:r>
      <w:r>
        <w:rPr>
          <w:rFonts w:hint="eastAsia" w:ascii="宋体" w:hAnsi="宋体" w:eastAsia="宋体" w:cs="宋体"/>
          <w:bCs w:val="0"/>
          <w:szCs w:val="21"/>
          <w:highlight w:val="none"/>
        </w:rPr>
        <w:t>条  税费</w:t>
      </w:r>
      <w:r>
        <w:tab/>
      </w:r>
      <w:r>
        <w:fldChar w:fldCharType="begin"/>
      </w:r>
      <w:r>
        <w:instrText xml:space="preserve"> PAGEREF _Toc1326 \h </w:instrText>
      </w:r>
      <w:r>
        <w:fldChar w:fldCharType="separate"/>
      </w:r>
      <w:r>
        <w:t>- 27 -</w:t>
      </w:r>
      <w:r>
        <w:fldChar w:fldCharType="end"/>
      </w:r>
      <w:r>
        <w:rPr>
          <w:rFonts w:hint="eastAsia" w:ascii="宋体" w:hAnsi="宋体" w:eastAsia="宋体" w:cs="宋体"/>
          <w:bCs/>
          <w:color w:val="auto"/>
          <w:kern w:val="2"/>
          <w:szCs w:val="24"/>
          <w:highlight w:val="none"/>
          <w:lang w:val="zh-CN" w:eastAsia="zh-CN" w:bidi="ar-SA"/>
        </w:rPr>
        <w:fldChar w:fldCharType="end"/>
      </w:r>
    </w:p>
    <w:p w14:paraId="0CEB5DD5">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_Toc25941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九</w:t>
      </w:r>
      <w:r>
        <w:rPr>
          <w:rFonts w:hint="eastAsia" w:ascii="宋体" w:hAnsi="宋体" w:eastAsia="宋体" w:cs="宋体"/>
          <w:bCs w:val="0"/>
          <w:szCs w:val="21"/>
          <w:highlight w:val="none"/>
        </w:rPr>
        <w:t>条  违约责任</w:t>
      </w:r>
      <w:r>
        <w:tab/>
      </w:r>
      <w:r>
        <w:fldChar w:fldCharType="begin"/>
      </w:r>
      <w:r>
        <w:instrText xml:space="preserve"> PAGEREF _Toc25941 \h </w:instrText>
      </w:r>
      <w:r>
        <w:fldChar w:fldCharType="separate"/>
      </w:r>
      <w:r>
        <w:t>- 28 -</w:t>
      </w:r>
      <w:r>
        <w:fldChar w:fldCharType="end"/>
      </w:r>
      <w:r>
        <w:rPr>
          <w:rFonts w:hint="eastAsia" w:ascii="宋体" w:hAnsi="宋体" w:eastAsia="宋体" w:cs="宋体"/>
          <w:bCs/>
          <w:color w:val="auto"/>
          <w:kern w:val="2"/>
          <w:szCs w:val="24"/>
          <w:highlight w:val="none"/>
          <w:lang w:val="zh-CN" w:eastAsia="zh-CN" w:bidi="ar-SA"/>
        </w:rPr>
        <w:fldChar w:fldCharType="end"/>
      </w:r>
    </w:p>
    <w:p w14:paraId="0DCF74D0">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_Toc8763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十</w:t>
      </w:r>
      <w:r>
        <w:rPr>
          <w:rFonts w:hint="eastAsia" w:ascii="宋体" w:hAnsi="宋体" w:eastAsia="宋体" w:cs="宋体"/>
          <w:bCs w:val="0"/>
          <w:szCs w:val="21"/>
          <w:highlight w:val="none"/>
        </w:rPr>
        <w:t>条  不可抗力事件处理</w:t>
      </w:r>
      <w:r>
        <w:tab/>
      </w:r>
      <w:r>
        <w:fldChar w:fldCharType="begin"/>
      </w:r>
      <w:r>
        <w:instrText xml:space="preserve"> PAGEREF _Toc8763 \h </w:instrText>
      </w:r>
      <w:r>
        <w:fldChar w:fldCharType="separate"/>
      </w:r>
      <w:r>
        <w:t>- 28 -</w:t>
      </w:r>
      <w:r>
        <w:fldChar w:fldCharType="end"/>
      </w:r>
      <w:r>
        <w:rPr>
          <w:rFonts w:hint="eastAsia" w:ascii="宋体" w:hAnsi="宋体" w:eastAsia="宋体" w:cs="宋体"/>
          <w:bCs/>
          <w:color w:val="auto"/>
          <w:kern w:val="2"/>
          <w:szCs w:val="24"/>
          <w:highlight w:val="none"/>
          <w:lang w:val="zh-CN" w:eastAsia="zh-CN" w:bidi="ar-SA"/>
        </w:rPr>
        <w:fldChar w:fldCharType="end"/>
      </w:r>
    </w:p>
    <w:p w14:paraId="3671C8C3">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_Toc13925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十</w:t>
      </w:r>
      <w:r>
        <w:rPr>
          <w:rFonts w:hint="eastAsia" w:ascii="宋体" w:hAnsi="宋体" w:cs="宋体"/>
          <w:bCs w:val="0"/>
          <w:szCs w:val="21"/>
          <w:highlight w:val="none"/>
          <w:lang w:eastAsia="zh-CN"/>
        </w:rPr>
        <w:t>一</w:t>
      </w:r>
      <w:r>
        <w:rPr>
          <w:rFonts w:hint="eastAsia" w:ascii="宋体" w:hAnsi="宋体" w:eastAsia="宋体" w:cs="宋体"/>
          <w:bCs w:val="0"/>
          <w:szCs w:val="21"/>
          <w:highlight w:val="none"/>
        </w:rPr>
        <w:t>条  合同争议解决</w:t>
      </w:r>
      <w:r>
        <w:tab/>
      </w:r>
      <w:r>
        <w:fldChar w:fldCharType="begin"/>
      </w:r>
      <w:r>
        <w:instrText xml:space="preserve"> PAGEREF _Toc13925 \h </w:instrText>
      </w:r>
      <w:r>
        <w:fldChar w:fldCharType="separate"/>
      </w:r>
      <w:r>
        <w:t>- 28 -</w:t>
      </w:r>
      <w:r>
        <w:fldChar w:fldCharType="end"/>
      </w:r>
      <w:r>
        <w:rPr>
          <w:rFonts w:hint="eastAsia" w:ascii="宋体" w:hAnsi="宋体" w:eastAsia="宋体" w:cs="宋体"/>
          <w:bCs/>
          <w:color w:val="auto"/>
          <w:kern w:val="2"/>
          <w:szCs w:val="24"/>
          <w:highlight w:val="none"/>
          <w:lang w:val="zh-CN" w:eastAsia="zh-CN" w:bidi="ar-SA"/>
        </w:rPr>
        <w:fldChar w:fldCharType="end"/>
      </w:r>
    </w:p>
    <w:p w14:paraId="34FFD020">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_Toc12419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二</w:t>
      </w:r>
      <w:r>
        <w:rPr>
          <w:rFonts w:hint="eastAsia" w:ascii="宋体" w:hAnsi="宋体" w:eastAsia="宋体" w:cs="宋体"/>
          <w:bCs w:val="0"/>
          <w:szCs w:val="21"/>
          <w:highlight w:val="none"/>
        </w:rPr>
        <w:t>条  合同生效及其它</w:t>
      </w:r>
      <w:r>
        <w:tab/>
      </w:r>
      <w:r>
        <w:fldChar w:fldCharType="begin"/>
      </w:r>
      <w:r>
        <w:instrText xml:space="preserve"> PAGEREF _Toc12419 \h </w:instrText>
      </w:r>
      <w:r>
        <w:fldChar w:fldCharType="separate"/>
      </w:r>
      <w:r>
        <w:t>- 28 -</w:t>
      </w:r>
      <w:r>
        <w:fldChar w:fldCharType="end"/>
      </w:r>
      <w:r>
        <w:rPr>
          <w:rFonts w:hint="eastAsia" w:ascii="宋体" w:hAnsi="宋体" w:eastAsia="宋体" w:cs="宋体"/>
          <w:bCs/>
          <w:color w:val="auto"/>
          <w:kern w:val="2"/>
          <w:szCs w:val="24"/>
          <w:highlight w:val="none"/>
          <w:lang w:val="zh-CN" w:eastAsia="zh-CN" w:bidi="ar-SA"/>
        </w:rPr>
        <w:fldChar w:fldCharType="end"/>
      </w:r>
    </w:p>
    <w:p w14:paraId="0725D2E9">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_Toc6341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三</w:t>
      </w:r>
      <w:r>
        <w:rPr>
          <w:rFonts w:hint="eastAsia" w:ascii="宋体" w:hAnsi="宋体" w:eastAsia="宋体" w:cs="宋体"/>
          <w:bCs w:val="0"/>
          <w:szCs w:val="21"/>
          <w:highlight w:val="none"/>
        </w:rPr>
        <w:t>条  合同的变更、终止与转让</w:t>
      </w:r>
      <w:r>
        <w:tab/>
      </w:r>
      <w:r>
        <w:fldChar w:fldCharType="begin"/>
      </w:r>
      <w:r>
        <w:instrText xml:space="preserve"> PAGEREF _Toc6341 \h </w:instrText>
      </w:r>
      <w:r>
        <w:fldChar w:fldCharType="separate"/>
      </w:r>
      <w:r>
        <w:t>- 28 -</w:t>
      </w:r>
      <w:r>
        <w:fldChar w:fldCharType="end"/>
      </w:r>
      <w:r>
        <w:rPr>
          <w:rFonts w:hint="eastAsia" w:ascii="宋体" w:hAnsi="宋体" w:eastAsia="宋体" w:cs="宋体"/>
          <w:bCs/>
          <w:color w:val="auto"/>
          <w:kern w:val="2"/>
          <w:szCs w:val="24"/>
          <w:highlight w:val="none"/>
          <w:lang w:val="zh-CN" w:eastAsia="zh-CN" w:bidi="ar-SA"/>
        </w:rPr>
        <w:fldChar w:fldCharType="end"/>
      </w:r>
    </w:p>
    <w:p w14:paraId="43457597">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_Toc11483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四</w:t>
      </w:r>
      <w:r>
        <w:rPr>
          <w:rFonts w:hint="eastAsia" w:ascii="宋体" w:hAnsi="宋体" w:eastAsia="宋体" w:cs="宋体"/>
          <w:bCs w:val="0"/>
          <w:szCs w:val="21"/>
          <w:highlight w:val="none"/>
        </w:rPr>
        <w:t>条  签订本合同依据</w:t>
      </w:r>
      <w:r>
        <w:tab/>
      </w:r>
      <w:r>
        <w:fldChar w:fldCharType="begin"/>
      </w:r>
      <w:r>
        <w:instrText xml:space="preserve"> PAGEREF _Toc11483 \h </w:instrText>
      </w:r>
      <w:r>
        <w:fldChar w:fldCharType="separate"/>
      </w:r>
      <w:r>
        <w:t>- 29 -</w:t>
      </w:r>
      <w:r>
        <w:fldChar w:fldCharType="end"/>
      </w:r>
      <w:r>
        <w:rPr>
          <w:rFonts w:hint="eastAsia" w:ascii="宋体" w:hAnsi="宋体" w:eastAsia="宋体" w:cs="宋体"/>
          <w:bCs/>
          <w:color w:val="auto"/>
          <w:kern w:val="2"/>
          <w:szCs w:val="24"/>
          <w:highlight w:val="none"/>
          <w:lang w:val="zh-CN" w:eastAsia="zh-CN" w:bidi="ar-SA"/>
        </w:rPr>
        <w:fldChar w:fldCharType="end"/>
      </w:r>
    </w:p>
    <w:p w14:paraId="44120C08">
      <w:pPr>
        <w:pStyle w:val="20"/>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_Toc22521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kern w:val="44"/>
          <w:szCs w:val="32"/>
          <w:highlight w:val="none"/>
        </w:rPr>
        <w:t xml:space="preserve">第六章  </w:t>
      </w:r>
      <w:r>
        <w:rPr>
          <w:rFonts w:hint="eastAsia" w:ascii="宋体" w:hAnsi="宋体" w:eastAsia="宋体" w:cs="宋体"/>
          <w:bCs/>
          <w:szCs w:val="32"/>
          <w:highlight w:val="none"/>
        </w:rPr>
        <w:t>响应文件（格式）</w:t>
      </w:r>
      <w:r>
        <w:tab/>
      </w:r>
      <w:r>
        <w:fldChar w:fldCharType="begin"/>
      </w:r>
      <w:r>
        <w:instrText xml:space="preserve"> PAGEREF _Toc22521 \h </w:instrText>
      </w:r>
      <w:r>
        <w:fldChar w:fldCharType="separate"/>
      </w:r>
      <w:r>
        <w:t>- 30 -</w:t>
      </w:r>
      <w:r>
        <w:fldChar w:fldCharType="end"/>
      </w:r>
      <w:r>
        <w:rPr>
          <w:rFonts w:hint="eastAsia" w:ascii="宋体" w:hAnsi="宋体" w:eastAsia="宋体" w:cs="宋体"/>
          <w:bCs/>
          <w:color w:val="auto"/>
          <w:kern w:val="2"/>
          <w:szCs w:val="24"/>
          <w:highlight w:val="none"/>
          <w:lang w:val="zh-CN" w:eastAsia="zh-CN" w:bidi="ar-SA"/>
        </w:rPr>
        <w:fldChar w:fldCharType="end"/>
      </w:r>
    </w:p>
    <w:p w14:paraId="7D4A7616">
      <w:pPr>
        <w:jc w:val="center"/>
        <w:rPr>
          <w:rFonts w:hint="eastAsia" w:ascii="宋体" w:hAnsi="宋体" w:eastAsia="宋体" w:cs="宋体"/>
          <w:bCs/>
          <w:color w:val="auto"/>
          <w:kern w:val="2"/>
          <w:szCs w:val="24"/>
          <w:highlight w:val="none"/>
          <w:lang w:val="zh-CN" w:eastAsia="zh-CN" w:bidi="ar-SA"/>
        </w:rPr>
      </w:pPr>
      <w:r>
        <w:rPr>
          <w:rFonts w:hint="eastAsia" w:ascii="宋体" w:hAnsi="宋体" w:eastAsia="宋体" w:cs="宋体"/>
          <w:bCs/>
          <w:color w:val="auto"/>
          <w:kern w:val="2"/>
          <w:szCs w:val="24"/>
          <w:highlight w:val="none"/>
          <w:lang w:val="zh-CN" w:eastAsia="zh-CN" w:bidi="ar-SA"/>
        </w:rPr>
        <w:fldChar w:fldCharType="end"/>
      </w:r>
    </w:p>
    <w:p w14:paraId="20DD8199">
      <w:pPr>
        <w:pStyle w:val="8"/>
        <w:rPr>
          <w:rFonts w:hint="eastAsia" w:ascii="宋体" w:hAnsi="宋体" w:eastAsia="宋体" w:cs="宋体"/>
          <w:bCs/>
          <w:color w:val="auto"/>
          <w:kern w:val="2"/>
          <w:szCs w:val="24"/>
          <w:highlight w:val="none"/>
          <w:lang w:val="zh-CN" w:eastAsia="zh-CN" w:bidi="ar-SA"/>
        </w:rPr>
      </w:pPr>
    </w:p>
    <w:p w14:paraId="56C01FC7">
      <w:pPr>
        <w:pStyle w:val="8"/>
        <w:rPr>
          <w:rFonts w:hint="eastAsia" w:ascii="宋体" w:hAnsi="宋体" w:eastAsia="宋体" w:cs="宋体"/>
          <w:bCs/>
          <w:color w:val="auto"/>
          <w:kern w:val="2"/>
          <w:szCs w:val="24"/>
          <w:highlight w:val="none"/>
          <w:lang w:val="zh-CN" w:eastAsia="zh-CN" w:bidi="ar-SA"/>
        </w:rPr>
      </w:pPr>
    </w:p>
    <w:p w14:paraId="69AF30D9">
      <w:pPr>
        <w:pStyle w:val="8"/>
        <w:rPr>
          <w:rFonts w:hint="eastAsia" w:ascii="宋体" w:hAnsi="宋体" w:eastAsia="宋体" w:cs="宋体"/>
          <w:bCs/>
          <w:color w:val="auto"/>
          <w:kern w:val="2"/>
          <w:szCs w:val="24"/>
          <w:highlight w:val="none"/>
          <w:lang w:val="zh-CN" w:eastAsia="zh-CN" w:bidi="ar-SA"/>
        </w:rPr>
      </w:pPr>
    </w:p>
    <w:p w14:paraId="0CD2CC19">
      <w:pPr>
        <w:pStyle w:val="8"/>
        <w:rPr>
          <w:rFonts w:hint="eastAsia" w:ascii="宋体" w:hAnsi="宋体" w:eastAsia="宋体" w:cs="宋体"/>
          <w:bCs/>
          <w:color w:val="auto"/>
          <w:kern w:val="2"/>
          <w:szCs w:val="24"/>
          <w:highlight w:val="none"/>
          <w:lang w:val="zh-CN" w:eastAsia="zh-CN" w:bidi="ar-SA"/>
        </w:rPr>
      </w:pPr>
    </w:p>
    <w:p w14:paraId="49C6B5D3">
      <w:pPr>
        <w:pStyle w:val="8"/>
        <w:rPr>
          <w:rFonts w:hint="eastAsia" w:ascii="宋体" w:hAnsi="宋体" w:eastAsia="宋体" w:cs="宋体"/>
          <w:bCs/>
          <w:color w:val="auto"/>
          <w:kern w:val="2"/>
          <w:szCs w:val="24"/>
          <w:highlight w:val="none"/>
          <w:lang w:val="zh-CN" w:eastAsia="zh-CN" w:bidi="ar-SA"/>
        </w:rPr>
      </w:pPr>
    </w:p>
    <w:p w14:paraId="2C17D2B8">
      <w:pPr>
        <w:pStyle w:val="8"/>
        <w:rPr>
          <w:rFonts w:hint="eastAsia" w:ascii="宋体" w:hAnsi="宋体" w:eastAsia="宋体" w:cs="宋体"/>
          <w:bCs/>
          <w:color w:val="auto"/>
          <w:kern w:val="2"/>
          <w:szCs w:val="24"/>
          <w:highlight w:val="none"/>
          <w:lang w:val="zh-CN" w:eastAsia="zh-CN" w:bidi="ar-SA"/>
        </w:rPr>
      </w:pPr>
    </w:p>
    <w:p w14:paraId="27D5BC16">
      <w:pPr>
        <w:pStyle w:val="8"/>
        <w:rPr>
          <w:rFonts w:hint="eastAsia" w:ascii="宋体" w:hAnsi="宋体" w:eastAsia="宋体" w:cs="宋体"/>
          <w:bCs/>
          <w:color w:val="auto"/>
          <w:kern w:val="2"/>
          <w:szCs w:val="24"/>
          <w:highlight w:val="none"/>
          <w:lang w:val="zh-CN" w:eastAsia="zh-CN" w:bidi="ar-SA"/>
        </w:rPr>
      </w:pPr>
    </w:p>
    <w:p w14:paraId="5403E58F">
      <w:pPr>
        <w:pStyle w:val="8"/>
        <w:rPr>
          <w:rFonts w:hint="eastAsia" w:ascii="宋体" w:hAnsi="宋体" w:eastAsia="宋体" w:cs="宋体"/>
          <w:bCs/>
          <w:color w:val="auto"/>
          <w:kern w:val="2"/>
          <w:szCs w:val="24"/>
          <w:highlight w:val="none"/>
          <w:lang w:val="zh-CN" w:eastAsia="zh-CN" w:bidi="ar-SA"/>
        </w:rPr>
      </w:pPr>
    </w:p>
    <w:p w14:paraId="3F58581D">
      <w:pPr>
        <w:pStyle w:val="8"/>
        <w:rPr>
          <w:rFonts w:hint="eastAsia" w:ascii="宋体" w:hAnsi="宋体" w:eastAsia="宋体" w:cs="宋体"/>
          <w:bCs/>
          <w:color w:val="auto"/>
          <w:kern w:val="2"/>
          <w:szCs w:val="24"/>
          <w:highlight w:val="none"/>
          <w:lang w:val="zh-CN" w:eastAsia="zh-CN" w:bidi="ar-SA"/>
        </w:rPr>
      </w:pPr>
    </w:p>
    <w:p w14:paraId="012F3F51">
      <w:pPr>
        <w:pStyle w:val="8"/>
        <w:rPr>
          <w:rFonts w:hint="eastAsia" w:ascii="宋体" w:hAnsi="宋体" w:eastAsia="宋体" w:cs="宋体"/>
          <w:bCs/>
          <w:color w:val="auto"/>
          <w:kern w:val="2"/>
          <w:szCs w:val="24"/>
          <w:highlight w:val="none"/>
          <w:lang w:val="zh-CN" w:eastAsia="zh-CN" w:bidi="ar-SA"/>
        </w:rPr>
      </w:pPr>
    </w:p>
    <w:p w14:paraId="5F6FD37F">
      <w:pPr>
        <w:pStyle w:val="8"/>
        <w:rPr>
          <w:rFonts w:hint="eastAsia" w:ascii="宋体" w:hAnsi="宋体" w:eastAsia="宋体" w:cs="宋体"/>
          <w:bCs/>
          <w:color w:val="auto"/>
          <w:kern w:val="2"/>
          <w:szCs w:val="24"/>
          <w:highlight w:val="none"/>
          <w:lang w:val="zh-CN" w:eastAsia="zh-CN" w:bidi="ar-SA"/>
        </w:rPr>
      </w:pPr>
    </w:p>
    <w:p w14:paraId="0647C0FF">
      <w:pPr>
        <w:pStyle w:val="8"/>
        <w:rPr>
          <w:rFonts w:hint="eastAsia" w:ascii="宋体" w:hAnsi="宋体" w:eastAsia="宋体" w:cs="宋体"/>
          <w:bCs/>
          <w:color w:val="auto"/>
          <w:kern w:val="2"/>
          <w:szCs w:val="24"/>
          <w:highlight w:val="none"/>
          <w:lang w:val="zh-CN" w:eastAsia="zh-CN" w:bidi="ar-SA"/>
        </w:rPr>
      </w:pPr>
    </w:p>
    <w:p w14:paraId="11D0133C">
      <w:pPr>
        <w:pStyle w:val="8"/>
        <w:rPr>
          <w:rFonts w:hint="eastAsia" w:ascii="宋体" w:hAnsi="宋体" w:eastAsia="宋体" w:cs="宋体"/>
          <w:bCs/>
          <w:color w:val="auto"/>
          <w:kern w:val="2"/>
          <w:szCs w:val="24"/>
          <w:highlight w:val="none"/>
          <w:lang w:val="zh-CN" w:eastAsia="zh-CN" w:bidi="ar-SA"/>
        </w:rPr>
      </w:pPr>
    </w:p>
    <w:p w14:paraId="2B577144">
      <w:pPr>
        <w:pStyle w:val="8"/>
        <w:rPr>
          <w:rFonts w:hint="eastAsia" w:ascii="宋体" w:hAnsi="宋体" w:eastAsia="宋体" w:cs="宋体"/>
          <w:bCs/>
          <w:color w:val="auto"/>
          <w:kern w:val="2"/>
          <w:szCs w:val="24"/>
          <w:highlight w:val="none"/>
          <w:lang w:val="zh-CN" w:eastAsia="zh-CN" w:bidi="ar-SA"/>
        </w:rPr>
      </w:pPr>
    </w:p>
    <w:p w14:paraId="1325B04C">
      <w:pPr>
        <w:pStyle w:val="8"/>
        <w:rPr>
          <w:rFonts w:hint="eastAsia" w:ascii="宋体" w:hAnsi="宋体" w:eastAsia="宋体" w:cs="宋体"/>
          <w:bCs/>
          <w:color w:val="auto"/>
          <w:kern w:val="2"/>
          <w:szCs w:val="24"/>
          <w:highlight w:val="none"/>
          <w:lang w:val="zh-CN" w:eastAsia="zh-CN" w:bidi="ar-SA"/>
        </w:rPr>
      </w:pPr>
    </w:p>
    <w:p w14:paraId="620630FB">
      <w:pPr>
        <w:pStyle w:val="8"/>
        <w:rPr>
          <w:rFonts w:hint="eastAsia" w:ascii="宋体" w:hAnsi="宋体" w:eastAsia="宋体" w:cs="宋体"/>
          <w:bCs/>
          <w:color w:val="auto"/>
          <w:kern w:val="2"/>
          <w:szCs w:val="24"/>
          <w:highlight w:val="none"/>
          <w:lang w:val="zh-CN" w:eastAsia="zh-CN" w:bidi="ar-SA"/>
        </w:rPr>
      </w:pPr>
    </w:p>
    <w:p w14:paraId="51BD589D">
      <w:pPr>
        <w:pStyle w:val="8"/>
        <w:rPr>
          <w:rFonts w:hint="eastAsia" w:ascii="宋体" w:hAnsi="宋体" w:eastAsia="宋体" w:cs="宋体"/>
          <w:bCs/>
          <w:color w:val="auto"/>
          <w:kern w:val="2"/>
          <w:szCs w:val="24"/>
          <w:highlight w:val="none"/>
          <w:lang w:val="zh-CN" w:eastAsia="zh-CN" w:bidi="ar-SA"/>
        </w:rPr>
      </w:pPr>
    </w:p>
    <w:p w14:paraId="07041986">
      <w:pPr>
        <w:pStyle w:val="8"/>
        <w:rPr>
          <w:rFonts w:hint="eastAsia" w:ascii="宋体" w:hAnsi="宋体" w:eastAsia="宋体" w:cs="宋体"/>
          <w:bCs/>
          <w:color w:val="auto"/>
          <w:kern w:val="2"/>
          <w:szCs w:val="24"/>
          <w:highlight w:val="none"/>
          <w:lang w:val="zh-CN" w:eastAsia="zh-CN" w:bidi="ar-SA"/>
        </w:rPr>
      </w:pPr>
    </w:p>
    <w:p w14:paraId="10F06212">
      <w:pPr>
        <w:pStyle w:val="8"/>
        <w:rPr>
          <w:rFonts w:hint="eastAsia" w:ascii="宋体" w:hAnsi="宋体" w:eastAsia="宋体" w:cs="宋体"/>
          <w:bCs/>
          <w:color w:val="auto"/>
          <w:kern w:val="2"/>
          <w:szCs w:val="24"/>
          <w:highlight w:val="none"/>
          <w:lang w:val="zh-CN" w:eastAsia="zh-CN" w:bidi="ar-SA"/>
        </w:rPr>
      </w:pPr>
    </w:p>
    <w:p w14:paraId="590609C1">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headerReference r:id="rId5" w:type="default"/>
          <w:footerReference r:id="rId6" w:type="default"/>
          <w:pgSz w:w="11906" w:h="16838"/>
          <w:pgMar w:top="1440" w:right="935" w:bottom="1440" w:left="777" w:header="851" w:footer="992" w:gutter="0"/>
          <w:pgNumType w:fmt="numberInDash" w:start="1"/>
          <w:cols w:space="720" w:num="1"/>
          <w:rtlGutter w:val="0"/>
          <w:docGrid w:type="linesAndChars" w:linePitch="312" w:charSpace="0"/>
        </w:sectPr>
      </w:pPr>
      <w:bookmarkStart w:id="2" w:name="_Toc28359011"/>
      <w:bookmarkStart w:id="3" w:name="_Toc26809"/>
      <w:bookmarkStart w:id="4" w:name="_Toc35393797"/>
      <w:bookmarkStart w:id="5" w:name="_Toc29067"/>
      <w:bookmarkStart w:id="6" w:name="_Toc30170"/>
    </w:p>
    <w:p w14:paraId="1537726A">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pPr>
      <w:bookmarkStart w:id="7" w:name="_Toc1763"/>
      <w:bookmarkStart w:id="8" w:name="_Toc12371"/>
      <w:bookmarkStart w:id="9" w:name="_Toc10108"/>
      <w:bookmarkStart w:id="10" w:name="_Toc25856"/>
      <w:bookmarkStart w:id="11" w:name="_Toc31209"/>
      <w:r>
        <w:rPr>
          <w:rFonts w:hint="eastAsia" w:ascii="宋体" w:hAnsi="宋体" w:eastAsia="宋体" w:cs="宋体"/>
          <w:color w:val="auto"/>
          <w:sz w:val="32"/>
          <w:szCs w:val="32"/>
          <w:highlight w:val="none"/>
        </w:rPr>
        <w:t>竞争性磋商公告</w:t>
      </w:r>
      <w:bookmarkEnd w:id="2"/>
      <w:bookmarkEnd w:id="3"/>
      <w:bookmarkEnd w:id="4"/>
      <w:bookmarkEnd w:id="5"/>
      <w:bookmarkEnd w:id="6"/>
      <w:bookmarkEnd w:id="7"/>
      <w:bookmarkEnd w:id="8"/>
      <w:bookmarkEnd w:id="9"/>
      <w:bookmarkEnd w:id="10"/>
      <w:bookmarkEnd w:id="11"/>
    </w:p>
    <w:p w14:paraId="497D47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p>
    <w:tbl>
      <w:tblPr>
        <w:tblStyle w:val="24"/>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1F70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7EF8EA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50792A9">
            <w:pPr>
              <w:spacing w:line="400" w:lineRule="exact"/>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rPr>
              <w:t>桂林市政府集中采购中心受</w:t>
            </w:r>
            <w:r>
              <w:rPr>
                <w:rFonts w:hint="eastAsia" w:ascii="宋体" w:hAnsi="宋体" w:eastAsia="宋体" w:cs="宋体"/>
                <w:color w:val="auto"/>
                <w:sz w:val="24"/>
                <w:highlight w:val="none"/>
                <w:u w:val="single"/>
                <w:lang w:eastAsia="zh-CN"/>
              </w:rPr>
              <w:t>荔浦市人民政府办公室</w:t>
            </w:r>
            <w:r>
              <w:rPr>
                <w:rFonts w:hint="eastAsia" w:ascii="宋体" w:hAnsi="宋体" w:eastAsia="宋体" w:cs="宋体"/>
                <w:color w:val="auto"/>
                <w:sz w:val="24"/>
                <w:szCs w:val="24"/>
                <w:highlight w:val="none"/>
              </w:rPr>
              <w:t>委托，根据《中华人民共和国政府采购法》《中华人民共和国政府采购法实施条例》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政府采购竞争性磋商采购方式管理暂行办法》等规定，</w:t>
            </w:r>
            <w:r>
              <w:rPr>
                <w:rFonts w:hint="eastAsia" w:ascii="宋体" w:hAnsi="宋体" w:eastAsia="宋体" w:cs="宋体"/>
                <w:color w:val="auto"/>
                <w:sz w:val="24"/>
                <w:szCs w:val="24"/>
                <w:highlight w:val="none"/>
                <w:lang w:eastAsia="zh-CN"/>
              </w:rPr>
              <w:t>现</w:t>
            </w:r>
            <w:r>
              <w:rPr>
                <w:rFonts w:hint="eastAsia" w:ascii="宋体" w:hAnsi="宋体" w:eastAsia="宋体" w:cs="宋体"/>
                <w:color w:val="auto"/>
                <w:sz w:val="24"/>
                <w:szCs w:val="24"/>
                <w:highlight w:val="none"/>
              </w:rPr>
              <w:t>就</w:t>
            </w:r>
            <w:r>
              <w:rPr>
                <w:rFonts w:hint="eastAsia" w:ascii="宋体" w:hAnsi="宋体" w:cs="宋体"/>
                <w:color w:val="auto"/>
                <w:sz w:val="24"/>
                <w:highlight w:val="none"/>
                <w:u w:val="single"/>
                <w:lang w:val="en-US" w:eastAsia="zh-CN"/>
              </w:rPr>
              <w:t>荔浦市电子政务外网横向接入专线服务</w:t>
            </w:r>
            <w:r>
              <w:rPr>
                <w:rFonts w:hint="eastAsia" w:ascii="宋体" w:hAnsi="宋体" w:eastAsia="宋体" w:cs="宋体"/>
                <w:color w:val="auto"/>
                <w:sz w:val="24"/>
                <w:szCs w:val="24"/>
                <w:highlight w:val="none"/>
              </w:rPr>
              <w:t>进行竞争性磋商采购，</w:t>
            </w:r>
            <w:r>
              <w:rPr>
                <w:rFonts w:hint="eastAsia" w:ascii="宋体" w:hAnsi="宋体" w:eastAsia="宋体" w:cs="宋体"/>
                <w:color w:val="auto"/>
                <w:sz w:val="24"/>
                <w:highlight w:val="none"/>
              </w:rPr>
              <w:t>欢迎符合条件的供应商</w:t>
            </w:r>
            <w:r>
              <w:rPr>
                <w:rFonts w:hint="eastAsia" w:ascii="宋体" w:hAnsi="宋体" w:eastAsia="宋体" w:cs="宋体"/>
                <w:color w:val="auto"/>
                <w:sz w:val="24"/>
                <w:highlight w:val="none"/>
                <w:lang w:eastAsia="zh-CN"/>
              </w:rPr>
              <w:t>前来</w:t>
            </w:r>
            <w:r>
              <w:rPr>
                <w:rFonts w:hint="eastAsia" w:ascii="宋体" w:hAnsi="宋体" w:eastAsia="宋体" w:cs="宋体"/>
                <w:color w:val="auto"/>
                <w:sz w:val="24"/>
                <w:highlight w:val="none"/>
              </w:rPr>
              <w:t>参加磋商活动，并于</w:t>
            </w:r>
            <w:r>
              <w:rPr>
                <w:rFonts w:hint="eastAsia" w:ascii="宋体" w:hAnsi="宋体" w:cs="宋体"/>
                <w:color w:val="auto"/>
                <w:sz w:val="24"/>
                <w:highlight w:val="none"/>
                <w:lang w:eastAsia="zh-CN"/>
              </w:rPr>
              <w:t>2026年05月13日上午09时30分</w:t>
            </w:r>
            <w:r>
              <w:rPr>
                <w:rFonts w:hint="eastAsia" w:ascii="宋体" w:hAnsi="宋体" w:eastAsia="宋体" w:cs="宋体"/>
                <w:color w:val="auto"/>
                <w:sz w:val="24"/>
                <w:highlight w:val="none"/>
              </w:rPr>
              <w:t>前递交响应文件。</w:t>
            </w:r>
            <w:r>
              <w:rPr>
                <w:rFonts w:hint="eastAsia" w:ascii="宋体" w:hAnsi="宋体" w:eastAsia="宋体" w:cs="宋体"/>
                <w:color w:val="auto"/>
                <w:sz w:val="24"/>
                <w:szCs w:val="24"/>
                <w:highlight w:val="none"/>
              </w:rPr>
              <w:t>现将本次竞争性磋商的有关事项公告如下：</w:t>
            </w:r>
          </w:p>
        </w:tc>
      </w:tr>
    </w:tbl>
    <w:p w14:paraId="1048EB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2" w:name="_Toc35393629"/>
      <w:bookmarkStart w:id="13" w:name="_Toc28359012"/>
      <w:bookmarkStart w:id="14" w:name="_Toc35393798"/>
      <w:bookmarkStart w:id="15" w:name="_Toc28359089"/>
      <w:r>
        <w:rPr>
          <w:rFonts w:hint="eastAsia" w:ascii="宋体" w:hAnsi="宋体" w:eastAsia="宋体" w:cs="宋体"/>
          <w:color w:val="auto"/>
          <w:sz w:val="24"/>
          <w:highlight w:val="none"/>
        </w:rPr>
        <w:t>一、项目基本情况</w:t>
      </w:r>
      <w:bookmarkEnd w:id="12"/>
      <w:bookmarkEnd w:id="13"/>
      <w:bookmarkEnd w:id="14"/>
      <w:bookmarkEnd w:id="15"/>
    </w:p>
    <w:p w14:paraId="2D68CA60">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GLZC2026-C3-310007-GLSZ</w:t>
      </w:r>
    </w:p>
    <w:p w14:paraId="1787CCA3">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荔浦市电子政务外网横向接入专线服务</w:t>
      </w:r>
    </w:p>
    <w:p w14:paraId="58C24A0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采购方式：竞争性磋商</w:t>
      </w:r>
    </w:p>
    <w:p w14:paraId="3B6F4E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预算金额：</w:t>
      </w:r>
      <w:r>
        <w:rPr>
          <w:rFonts w:hint="eastAsia" w:ascii="宋体" w:hAnsi="宋体" w:cs="宋体"/>
          <w:color w:val="auto"/>
          <w:sz w:val="24"/>
          <w:highlight w:val="none"/>
          <w:lang w:eastAsia="zh-CN"/>
        </w:rPr>
        <w:t>人民币壹佰贰拾玖万元整（¥1290000.00元）。</w:t>
      </w:r>
    </w:p>
    <w:p w14:paraId="7B6196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rPr>
        <w:t>采购需求</w:t>
      </w:r>
      <w:r>
        <w:rPr>
          <w:rFonts w:hint="eastAsia" w:ascii="宋体" w:hAnsi="宋体" w:eastAsia="宋体" w:cs="宋体"/>
          <w:color w:val="auto"/>
          <w:sz w:val="24"/>
          <w:highlight w:val="none"/>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147"/>
        <w:gridCol w:w="725"/>
        <w:gridCol w:w="1363"/>
        <w:gridCol w:w="2876"/>
      </w:tblGrid>
      <w:tr w14:paraId="2B4F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41B3A9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项号</w:t>
            </w:r>
          </w:p>
        </w:tc>
        <w:tc>
          <w:tcPr>
            <w:tcW w:w="3147" w:type="dxa"/>
            <w:tcBorders>
              <w:top w:val="single" w:color="auto" w:sz="4" w:space="0"/>
              <w:left w:val="nil"/>
              <w:bottom w:val="single" w:color="auto" w:sz="4" w:space="0"/>
              <w:right w:val="single" w:color="auto" w:sz="4" w:space="0"/>
            </w:tcBorders>
            <w:noWrap w:val="0"/>
            <w:vAlign w:val="center"/>
          </w:tcPr>
          <w:p w14:paraId="3CD9E4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服务名称</w:t>
            </w:r>
          </w:p>
        </w:tc>
        <w:tc>
          <w:tcPr>
            <w:tcW w:w="725" w:type="dxa"/>
            <w:tcBorders>
              <w:top w:val="single" w:color="auto" w:sz="4" w:space="0"/>
              <w:left w:val="nil"/>
              <w:bottom w:val="single" w:color="auto" w:sz="4" w:space="0"/>
              <w:right w:val="single" w:color="auto" w:sz="4" w:space="0"/>
            </w:tcBorders>
            <w:noWrap w:val="0"/>
            <w:vAlign w:val="center"/>
          </w:tcPr>
          <w:p w14:paraId="72A937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1363" w:type="dxa"/>
            <w:tcBorders>
              <w:top w:val="single" w:color="auto" w:sz="4" w:space="0"/>
              <w:left w:val="nil"/>
              <w:bottom w:val="single" w:color="auto" w:sz="4" w:space="0"/>
              <w:right w:val="single" w:color="auto" w:sz="4" w:space="0"/>
            </w:tcBorders>
            <w:noWrap w:val="0"/>
            <w:vAlign w:val="center"/>
          </w:tcPr>
          <w:p w14:paraId="7B6154C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2876" w:type="dxa"/>
            <w:tcBorders>
              <w:top w:val="single" w:color="auto" w:sz="4" w:space="0"/>
              <w:left w:val="nil"/>
              <w:bottom w:val="single" w:color="auto" w:sz="4" w:space="0"/>
              <w:right w:val="single" w:color="auto" w:sz="4" w:space="0"/>
            </w:tcBorders>
            <w:noWrap w:val="0"/>
            <w:vAlign w:val="center"/>
          </w:tcPr>
          <w:p w14:paraId="4BB6DF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项目要求及</w:t>
            </w:r>
            <w:r>
              <w:rPr>
                <w:rFonts w:hint="eastAsia" w:ascii="宋体" w:hAnsi="宋体" w:cs="宋体"/>
                <w:color w:val="auto"/>
                <w:sz w:val="24"/>
                <w:highlight w:val="none"/>
                <w:lang w:eastAsia="zh-CN"/>
              </w:rPr>
              <w:t>服务</w:t>
            </w:r>
            <w:r>
              <w:rPr>
                <w:rFonts w:hint="eastAsia" w:ascii="宋体" w:hAnsi="宋体" w:cs="宋体"/>
                <w:color w:val="auto"/>
                <w:sz w:val="24"/>
                <w:highlight w:val="none"/>
              </w:rPr>
              <w:t>需求</w:t>
            </w:r>
          </w:p>
        </w:tc>
      </w:tr>
      <w:tr w14:paraId="3272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54A58E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147" w:type="dxa"/>
            <w:tcBorders>
              <w:top w:val="single" w:color="auto" w:sz="4" w:space="0"/>
              <w:left w:val="nil"/>
              <w:bottom w:val="single" w:color="auto" w:sz="4" w:space="0"/>
              <w:right w:val="single" w:color="auto" w:sz="4" w:space="0"/>
            </w:tcBorders>
            <w:noWrap w:val="0"/>
            <w:vAlign w:val="center"/>
          </w:tcPr>
          <w:p w14:paraId="5C110E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荔浦市电子政务外网横向接入专线服务</w:t>
            </w:r>
            <w:r>
              <w:rPr>
                <w:rFonts w:hint="eastAsia" w:ascii="宋体" w:hAnsi="宋体" w:eastAsia="宋体" w:cs="宋体"/>
                <w:color w:val="auto"/>
                <w:sz w:val="24"/>
                <w:szCs w:val="24"/>
                <w:highlight w:val="none"/>
                <w:u w:val="none"/>
              </w:rPr>
              <w:t xml:space="preserve"> </w:t>
            </w:r>
          </w:p>
        </w:tc>
        <w:tc>
          <w:tcPr>
            <w:tcW w:w="725" w:type="dxa"/>
            <w:tcBorders>
              <w:top w:val="single" w:color="auto" w:sz="4" w:space="0"/>
              <w:left w:val="nil"/>
              <w:bottom w:val="single" w:color="auto" w:sz="4" w:space="0"/>
              <w:right w:val="single" w:color="auto" w:sz="4" w:space="0"/>
            </w:tcBorders>
            <w:noWrap w:val="0"/>
            <w:vAlign w:val="center"/>
          </w:tcPr>
          <w:p w14:paraId="04EE59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363" w:type="dxa"/>
            <w:tcBorders>
              <w:top w:val="single" w:color="auto" w:sz="4" w:space="0"/>
              <w:left w:val="nil"/>
              <w:bottom w:val="single" w:color="auto" w:sz="4" w:space="0"/>
              <w:right w:val="single" w:color="auto" w:sz="4" w:space="0"/>
            </w:tcBorders>
            <w:noWrap w:val="0"/>
            <w:vAlign w:val="center"/>
          </w:tcPr>
          <w:p w14:paraId="4E192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批</w:t>
            </w:r>
          </w:p>
        </w:tc>
        <w:tc>
          <w:tcPr>
            <w:tcW w:w="2876" w:type="dxa"/>
            <w:tcBorders>
              <w:top w:val="single" w:color="auto" w:sz="4" w:space="0"/>
              <w:left w:val="nil"/>
              <w:bottom w:val="single" w:color="auto" w:sz="4" w:space="0"/>
              <w:right w:val="single" w:color="auto" w:sz="4" w:space="0"/>
            </w:tcBorders>
            <w:noWrap w:val="0"/>
            <w:vAlign w:val="center"/>
          </w:tcPr>
          <w:p w14:paraId="48197D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详见竞争性磋商文件</w:t>
            </w:r>
            <w:r>
              <w:rPr>
                <w:rFonts w:hint="eastAsia" w:ascii="宋体" w:hAnsi="宋体" w:cs="宋体"/>
                <w:color w:val="auto"/>
                <w:sz w:val="24"/>
                <w:highlight w:val="none"/>
                <w:lang w:val="en-US" w:eastAsia="zh-CN"/>
              </w:rPr>
              <w:t xml:space="preserve">   </w:t>
            </w:r>
          </w:p>
        </w:tc>
      </w:tr>
    </w:tbl>
    <w:p w14:paraId="7CA1FE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采购需求的详细内容，详见竞争性磋商文件。</w:t>
      </w:r>
    </w:p>
    <w:p w14:paraId="7DFFE2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cs="宋体"/>
          <w:i w:val="0"/>
          <w:iCs w:val="0"/>
          <w:color w:val="auto"/>
          <w:sz w:val="24"/>
          <w:szCs w:val="24"/>
          <w:highlight w:val="none"/>
          <w:lang w:val="en-US" w:eastAsia="zh-CN"/>
        </w:rPr>
        <w:t>自合同签订之日起至服务期满。</w:t>
      </w:r>
    </w:p>
    <w:p w14:paraId="16CC90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本项目不接受联合体参与磋商。</w:t>
      </w:r>
    </w:p>
    <w:p w14:paraId="62B559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6" w:name="_Toc28359090"/>
      <w:bookmarkStart w:id="17" w:name="_Toc35393799"/>
      <w:bookmarkStart w:id="18" w:name="_Toc35393630"/>
      <w:bookmarkStart w:id="19" w:name="_Toc28359013"/>
      <w:r>
        <w:rPr>
          <w:rFonts w:hint="eastAsia" w:ascii="宋体" w:hAnsi="宋体" w:eastAsia="宋体" w:cs="宋体"/>
          <w:color w:val="auto"/>
          <w:sz w:val="24"/>
          <w:highlight w:val="none"/>
        </w:rPr>
        <w:t>二、申请人的资格要求：</w:t>
      </w:r>
      <w:bookmarkEnd w:id="16"/>
      <w:bookmarkEnd w:id="17"/>
      <w:bookmarkEnd w:id="18"/>
      <w:bookmarkEnd w:id="19"/>
    </w:p>
    <w:p w14:paraId="0B5ECC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1.满足《中华人民共和国政府采购法》第二十二条规定</w:t>
      </w:r>
      <w:r>
        <w:rPr>
          <w:rFonts w:hint="eastAsia"/>
          <w:color w:val="auto"/>
          <w:highlight w:val="none"/>
          <w:lang w:eastAsia="zh-CN"/>
        </w:rPr>
        <w:t>；</w:t>
      </w:r>
    </w:p>
    <w:p w14:paraId="0692C7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auto"/>
          <w:sz w:val="24"/>
          <w:highlight w:val="none"/>
          <w:lang w:eastAsia="zh-CN"/>
        </w:rPr>
        <w:t>；</w:t>
      </w:r>
    </w:p>
    <w:p w14:paraId="137A2B9A">
      <w:pPr>
        <w:spacing w:line="360" w:lineRule="exact"/>
        <w:ind w:firstLine="480" w:firstLineChars="200"/>
        <w:rPr>
          <w:rFonts w:hint="eastAsia" w:ascii="宋体" w:hAnsi="宋体" w:eastAsia="宋体" w:cs="宋体"/>
          <w:b/>
          <w:bCs/>
          <w:color w:val="auto"/>
          <w:sz w:val="24"/>
          <w:highlight w:val="none"/>
          <w:lang w:val="en-US" w:eastAsia="zh-CN"/>
        </w:rPr>
      </w:pPr>
      <w:bookmarkStart w:id="20" w:name="_Toc28359091"/>
      <w:bookmarkStart w:id="21" w:name="_Toc28359014"/>
      <w:r>
        <w:rPr>
          <w:rFonts w:hint="eastAsia" w:ascii="宋体" w:hAnsi="宋体" w:eastAsia="宋体" w:cs="宋体"/>
          <w:color w:val="auto"/>
          <w:sz w:val="24"/>
          <w:highlight w:val="none"/>
        </w:rPr>
        <w:t>3.落实政府采购政策需满足的资格要求：</w:t>
      </w:r>
      <w:bookmarkStart w:id="22" w:name="OLE_LINK14"/>
      <w:r>
        <w:rPr>
          <w:rFonts w:hint="eastAsia" w:ascii="宋体" w:hAnsi="宋体" w:cs="宋体"/>
          <w:b/>
          <w:bCs/>
          <w:color w:val="auto"/>
          <w:sz w:val="24"/>
          <w:highlight w:val="none"/>
          <w:lang w:val="en-US" w:eastAsia="zh-CN"/>
        </w:rPr>
        <w:t>无</w:t>
      </w:r>
      <w:bookmarkEnd w:id="22"/>
      <w:r>
        <w:rPr>
          <w:rFonts w:hint="eastAsia" w:ascii="宋体" w:hAnsi="宋体" w:cs="宋体"/>
          <w:b/>
          <w:bCs/>
          <w:color w:val="auto"/>
          <w:sz w:val="24"/>
          <w:highlight w:val="none"/>
          <w:lang w:val="en-US" w:eastAsia="zh-CN"/>
        </w:rPr>
        <w:t>。</w:t>
      </w:r>
    </w:p>
    <w:p w14:paraId="218BC8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rPr>
        <w:t>4.本项目的特定资格要求：</w:t>
      </w:r>
      <w:bookmarkStart w:id="23" w:name="_Toc35393631"/>
      <w:bookmarkStart w:id="24" w:name="_Toc35393800"/>
      <w:r>
        <w:rPr>
          <w:rFonts w:hint="eastAsia" w:ascii="宋体" w:hAnsi="宋体" w:cs="宋体"/>
          <w:b/>
          <w:bCs/>
          <w:color w:val="auto"/>
          <w:sz w:val="24"/>
          <w:highlight w:val="none"/>
          <w:lang w:val="en-US" w:eastAsia="zh-CN"/>
        </w:rPr>
        <w:t>无。</w:t>
      </w:r>
    </w:p>
    <w:bookmarkEnd w:id="20"/>
    <w:bookmarkEnd w:id="21"/>
    <w:bookmarkEnd w:id="23"/>
    <w:bookmarkEnd w:id="24"/>
    <w:p w14:paraId="255685BE">
      <w:pPr>
        <w:spacing w:line="400" w:lineRule="exact"/>
        <w:ind w:firstLine="480" w:firstLineChars="200"/>
        <w:rPr>
          <w:rFonts w:hint="eastAsia" w:ascii="宋体" w:hAnsi="宋体" w:eastAsia="宋体" w:cs="宋体"/>
          <w:color w:val="auto"/>
          <w:sz w:val="24"/>
          <w:highlight w:val="none"/>
        </w:rPr>
      </w:pPr>
      <w:bookmarkStart w:id="25" w:name="_Toc35393792"/>
      <w:bookmarkStart w:id="26" w:name="_Toc35393623"/>
      <w:bookmarkStart w:id="27" w:name="_Toc28359018"/>
      <w:bookmarkStart w:id="28" w:name="_Toc35393636"/>
      <w:bookmarkStart w:id="29" w:name="_Toc35393805"/>
      <w:bookmarkStart w:id="30" w:name="_Toc28359095"/>
      <w:r>
        <w:rPr>
          <w:rFonts w:hint="eastAsia" w:ascii="宋体" w:hAnsi="宋体" w:eastAsia="宋体" w:cs="宋体"/>
          <w:color w:val="auto"/>
          <w:sz w:val="24"/>
          <w:highlight w:val="none"/>
        </w:rPr>
        <w:t>三、获取</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w:t>
      </w:r>
      <w:bookmarkEnd w:id="25"/>
      <w:bookmarkEnd w:id="26"/>
    </w:p>
    <w:p w14:paraId="6B30FE5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文件获取时间：</w:t>
      </w:r>
      <w:r>
        <w:rPr>
          <w:rFonts w:hint="eastAsia" w:ascii="宋体" w:hAnsi="宋体" w:cs="宋体"/>
          <w:color w:val="auto"/>
          <w:sz w:val="24"/>
          <w:highlight w:val="none"/>
          <w:lang w:eastAsia="zh-CN"/>
        </w:rPr>
        <w:t>2026年0</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lang w:eastAsia="zh-CN"/>
        </w:rPr>
        <w:t>日至2026年05月13日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eastAsia="宋体" w:cs="宋体"/>
          <w:color w:val="auto"/>
          <w:sz w:val="24"/>
          <w:highlight w:val="none"/>
        </w:rPr>
        <w:t>。</w:t>
      </w:r>
    </w:p>
    <w:p w14:paraId="5EA4ACE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2.地点及方式：潜在供应商请</w:t>
      </w:r>
      <w:r>
        <w:rPr>
          <w:rFonts w:hint="eastAsia" w:ascii="宋体" w:hAnsi="宋体" w:cs="宋体"/>
          <w:color w:val="auto"/>
          <w:sz w:val="24"/>
          <w:highlight w:val="none"/>
          <w:lang w:eastAsia="zh-CN"/>
        </w:rPr>
        <w:t>登陆“广西政府采购云平台”获取该招标文件。</w:t>
      </w:r>
    </w:p>
    <w:p w14:paraId="7220EEF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3.采购文件售价：本项目</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文件不收取费用。</w:t>
      </w:r>
    </w:p>
    <w:p w14:paraId="785AB04E">
      <w:pPr>
        <w:spacing w:line="400" w:lineRule="exact"/>
        <w:ind w:firstLine="480" w:firstLineChars="200"/>
        <w:rPr>
          <w:rFonts w:hint="eastAsia" w:ascii="宋体" w:hAnsi="宋体" w:eastAsia="宋体" w:cs="宋体"/>
          <w:color w:val="auto"/>
          <w:sz w:val="24"/>
          <w:highlight w:val="none"/>
        </w:rPr>
      </w:pPr>
      <w:bookmarkStart w:id="31" w:name="_Toc28359082"/>
      <w:bookmarkStart w:id="32" w:name="_Toc28359005"/>
      <w:bookmarkStart w:id="33" w:name="_Toc35393793"/>
      <w:bookmarkStart w:id="34" w:name="_Toc35393624"/>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bookmarkEnd w:id="31"/>
      <w:bookmarkEnd w:id="32"/>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rPr>
        <w:t>时间和地点</w:t>
      </w:r>
      <w:bookmarkEnd w:id="33"/>
      <w:bookmarkEnd w:id="34"/>
    </w:p>
    <w:p w14:paraId="4C3FD8F6">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截止</w:t>
      </w:r>
      <w:r>
        <w:rPr>
          <w:rFonts w:hint="eastAsia" w:ascii="宋体" w:hAnsi="宋体" w:eastAsia="宋体" w:cs="宋体"/>
          <w:bCs/>
          <w:color w:val="auto"/>
          <w:sz w:val="24"/>
          <w:highlight w:val="none"/>
        </w:rPr>
        <w:t>时间：</w:t>
      </w:r>
      <w:r>
        <w:rPr>
          <w:rFonts w:hint="eastAsia" w:ascii="宋体" w:hAnsi="宋体" w:cs="宋体"/>
          <w:color w:val="auto"/>
          <w:sz w:val="24"/>
          <w:highlight w:val="none"/>
          <w:lang w:eastAsia="zh-CN"/>
        </w:rPr>
        <w:t>2026年05月13日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bCs/>
          <w:color w:val="auto"/>
          <w:sz w:val="24"/>
          <w:highlight w:val="none"/>
        </w:rPr>
        <w:t>北京时间）。</w:t>
      </w:r>
    </w:p>
    <w:p w14:paraId="3B1D352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点：通过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00487A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27D0FF1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2026年05月13日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北京时间）截标后。</w:t>
      </w:r>
    </w:p>
    <w:p w14:paraId="0CD4067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桂林市公共资源交易中心</w:t>
      </w:r>
      <w:r>
        <w:rPr>
          <w:rFonts w:hint="eastAsia" w:ascii="宋体" w:hAnsi="宋体" w:cs="宋体"/>
          <w:color w:val="auto"/>
          <w:sz w:val="24"/>
          <w:highlight w:val="none"/>
          <w:u w:val="single"/>
          <w:lang w:val="en-US" w:eastAsia="zh-CN"/>
        </w:rPr>
        <w:t>4号政采开标仓</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实行在线解密开启。</w:t>
      </w:r>
    </w:p>
    <w:p w14:paraId="4C293B03">
      <w:pPr>
        <w:spacing w:line="400" w:lineRule="exact"/>
        <w:ind w:firstLine="480" w:firstLineChars="200"/>
        <w:rPr>
          <w:rFonts w:hint="eastAsia" w:ascii="宋体" w:hAnsi="宋体" w:eastAsia="宋体" w:cs="宋体"/>
          <w:color w:val="auto"/>
          <w:sz w:val="24"/>
          <w:highlight w:val="none"/>
        </w:rPr>
      </w:pPr>
      <w:bookmarkStart w:id="35" w:name="_Toc28359084"/>
      <w:bookmarkStart w:id="36" w:name="_Toc35393794"/>
      <w:bookmarkStart w:id="37" w:name="_Toc35393625"/>
      <w:bookmarkStart w:id="38" w:name="_Toc28359007"/>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、公告期限</w:t>
      </w:r>
      <w:bookmarkEnd w:id="35"/>
      <w:bookmarkEnd w:id="36"/>
      <w:bookmarkEnd w:id="37"/>
      <w:bookmarkEnd w:id="38"/>
    </w:p>
    <w:p w14:paraId="7B2C07D6">
      <w:pPr>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2950E92F">
      <w:pPr>
        <w:spacing w:line="400" w:lineRule="exact"/>
        <w:ind w:firstLine="480" w:firstLineChars="200"/>
        <w:rPr>
          <w:rFonts w:hint="eastAsia" w:ascii="宋体" w:hAnsi="宋体" w:eastAsia="宋体" w:cs="宋体"/>
          <w:color w:val="auto"/>
          <w:sz w:val="24"/>
          <w:highlight w:val="none"/>
        </w:rPr>
      </w:pPr>
      <w:bookmarkStart w:id="39" w:name="_Toc35393795"/>
      <w:bookmarkStart w:id="40" w:name="_Toc35393626"/>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、其他补充事宜</w:t>
      </w:r>
      <w:bookmarkEnd w:id="39"/>
      <w:bookmarkEnd w:id="40"/>
    </w:p>
    <w:p w14:paraId="1F340F7D">
      <w:pPr>
        <w:numPr>
          <w:ilvl w:val="0"/>
          <w:numId w:val="0"/>
        </w:num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本项目无需缴纳</w:t>
      </w:r>
      <w:r>
        <w:rPr>
          <w:rFonts w:hint="eastAsia" w:ascii="宋体" w:hAnsi="宋体" w:eastAsia="宋体" w:cs="宋体"/>
          <w:b w:val="0"/>
          <w:bCs w:val="0"/>
          <w:color w:val="auto"/>
          <w:sz w:val="24"/>
          <w:highlight w:val="none"/>
          <w:lang w:val="en-US" w:eastAsia="zh-CN"/>
        </w:rPr>
        <w:t>磋商</w:t>
      </w:r>
      <w:r>
        <w:rPr>
          <w:rFonts w:hint="eastAsia" w:ascii="宋体" w:hAnsi="宋体" w:eastAsia="宋体" w:cs="宋体"/>
          <w:b w:val="0"/>
          <w:bCs w:val="0"/>
          <w:color w:val="auto"/>
          <w:sz w:val="24"/>
          <w:highlight w:val="none"/>
        </w:rPr>
        <w:t>保证金。</w:t>
      </w:r>
    </w:p>
    <w:p w14:paraId="3F8B8259">
      <w:pPr>
        <w:numPr>
          <w:ilvl w:val="0"/>
          <w:numId w:val="0"/>
        </w:num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本项目信息发布媒体：</w:t>
      </w:r>
    </w:p>
    <w:p w14:paraId="52C75BDA">
      <w:pPr>
        <w:pStyle w:val="1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桂林市政府采购网（zfcg.czj.guilin.gov.cn）</w:t>
      </w:r>
    </w:p>
    <w:p w14:paraId="729650A9">
      <w:pPr>
        <w:pStyle w:val="1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广西壮族自治区政府采</w:t>
      </w:r>
      <w:r>
        <w:rPr>
          <w:rFonts w:hint="eastAsia" w:ascii="宋体" w:hAnsi="宋体" w:eastAsia="宋体" w:cs="宋体"/>
          <w:color w:val="auto"/>
          <w:sz w:val="24"/>
          <w:highlight w:val="none"/>
        </w:rPr>
        <w:t>购网（www.ccgp-guangxi.gov.cn</w:t>
      </w:r>
      <w:r>
        <w:rPr>
          <w:rFonts w:hint="eastAsia" w:ascii="宋体" w:hAnsi="宋体" w:eastAsia="宋体" w:cs="宋体"/>
          <w:color w:val="auto"/>
          <w:sz w:val="24"/>
          <w:highlight w:val="none"/>
          <w:lang w:eastAsia="zh-CN"/>
        </w:rPr>
        <w:t>）</w:t>
      </w:r>
    </w:p>
    <w:p w14:paraId="7EF7B64B">
      <w:pPr>
        <w:rPr>
          <w:rFonts w:hint="default"/>
          <w:color w:val="auto"/>
          <w:lang w:val="en-US"/>
        </w:rPr>
      </w:pPr>
      <w:r>
        <w:rPr>
          <w:rFonts w:hint="eastAsia" w:ascii="宋体" w:hAnsi="宋体" w:cs="宋体"/>
          <w:color w:val="auto"/>
          <w:sz w:val="24"/>
          <w:highlight w:val="none"/>
          <w:lang w:val="en-US" w:eastAsia="zh-CN"/>
        </w:rPr>
        <w:t xml:space="preserve">    中国政府采购网（www.ccgp.gov.cn）</w:t>
      </w:r>
    </w:p>
    <w:p w14:paraId="1505F081">
      <w:pPr>
        <w:pStyle w:val="32"/>
        <w:numPr>
          <w:ilvl w:val="0"/>
          <w:numId w:val="2"/>
        </w:num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响应文件解密时间：截标时间后</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分钟内（</w:t>
      </w:r>
      <w:r>
        <w:rPr>
          <w:rFonts w:hint="eastAsia" w:ascii="宋体" w:hAnsi="宋体" w:cs="宋体"/>
          <w:color w:val="auto"/>
          <w:highlight w:val="none"/>
          <w:u w:val="single"/>
          <w:lang w:eastAsia="zh-CN"/>
        </w:rPr>
        <w:t>2026年05月13日</w:t>
      </w:r>
      <w:r>
        <w:rPr>
          <w:rFonts w:hint="eastAsia" w:ascii="宋体" w:hAnsi="宋体" w:eastAsia="宋体" w:cs="宋体"/>
          <w:color w:val="auto"/>
          <w:highlight w:val="none"/>
          <w:u w:val="single"/>
        </w:rPr>
        <w:t>上午</w:t>
      </w:r>
      <w:r>
        <w:rPr>
          <w:rFonts w:hint="eastAsia" w:ascii="宋体" w:hAnsi="宋体" w:cs="宋体"/>
          <w:color w:val="auto"/>
          <w:highlight w:val="none"/>
          <w:u w:val="single"/>
          <w:lang w:val="en-US" w:eastAsia="zh-CN"/>
        </w:rPr>
        <w:t>9</w:t>
      </w:r>
      <w:r>
        <w:rPr>
          <w:rFonts w:hint="eastAsia" w:ascii="宋体" w:hAnsi="宋体" w:eastAsia="宋体" w:cs="宋体"/>
          <w:color w:val="auto"/>
          <w:highlight w:val="none"/>
          <w:u w:val="single"/>
          <w:lang w:val="en-US" w:eastAsia="zh-CN"/>
        </w:rPr>
        <w:t>时</w:t>
      </w:r>
      <w:r>
        <w:rPr>
          <w:rFonts w:hint="eastAsia" w:ascii="宋体" w:hAnsi="宋体" w:eastAsia="宋体" w:cs="宋体"/>
          <w:color w:val="auto"/>
          <w:highlight w:val="none"/>
          <w:u w:val="single"/>
        </w:rPr>
        <w:t>30</w:t>
      </w:r>
      <w:r>
        <w:rPr>
          <w:rFonts w:hint="eastAsia" w:ascii="宋体" w:hAnsi="宋体" w:eastAsia="宋体" w:cs="宋体"/>
          <w:color w:val="auto"/>
          <w:highlight w:val="none"/>
          <w:u w:val="single"/>
          <w:lang w:eastAsia="zh-CN"/>
        </w:rPr>
        <w:t>至</w:t>
      </w:r>
      <w:r>
        <w:rPr>
          <w:rFonts w:hint="eastAsia" w:ascii="宋体" w:hAnsi="宋体" w:eastAsia="宋体" w:cs="宋体"/>
          <w:color w:val="auto"/>
          <w:highlight w:val="none"/>
          <w:u w:val="single"/>
          <w:lang w:val="en-US" w:eastAsia="zh-CN"/>
        </w:rPr>
        <w:t>1</w:t>
      </w:r>
      <w:r>
        <w:rPr>
          <w:rFonts w:hint="eastAsia" w:ascii="宋体" w:hAnsi="宋体" w:cs="宋体"/>
          <w:color w:val="auto"/>
          <w:highlight w:val="none"/>
          <w:u w:val="single"/>
          <w:lang w:val="en-US" w:eastAsia="zh-CN"/>
        </w:rPr>
        <w:t>0</w:t>
      </w:r>
      <w:r>
        <w:rPr>
          <w:rFonts w:hint="eastAsia" w:ascii="宋体" w:hAnsi="宋体" w:eastAsia="宋体" w:cs="宋体"/>
          <w:color w:val="auto"/>
          <w:highlight w:val="none"/>
          <w:u w:val="single"/>
          <w:lang w:val="en-US" w:eastAsia="zh-CN"/>
        </w:rPr>
        <w:t>时00分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供应商可以登录</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，用“项目采购-开标评标”功能进行解密</w:t>
      </w:r>
      <w:r>
        <w:rPr>
          <w:rFonts w:hint="eastAsia" w:ascii="宋体" w:hAnsi="宋体" w:eastAsia="宋体" w:cs="宋体"/>
          <w:color w:val="auto"/>
          <w:highlight w:val="none"/>
          <w:lang w:val="en-US" w:eastAsia="zh-CN"/>
        </w:rPr>
        <w:t>电子</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p>
    <w:p w14:paraId="437C704C">
      <w:pPr>
        <w:pStyle w:val="32"/>
        <w:numPr>
          <w:ilvl w:val="0"/>
          <w:numId w:val="0"/>
        </w:numPr>
        <w:spacing w:line="4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cs="宋体"/>
          <w:b/>
          <w:bCs/>
          <w:color w:val="auto"/>
          <w:kern w:val="2"/>
          <w:sz w:val="24"/>
          <w:szCs w:val="24"/>
          <w:highlight w:val="none"/>
          <w:lang w:val="en-US" w:eastAsia="zh-CN" w:bidi="ar-SA"/>
        </w:rPr>
        <w:t>（解密响应文件后，30分钟内在线签字确认，超过时间没有在线签字确认的系统将自动视为供应商认可）</w:t>
      </w:r>
      <w:r>
        <w:rPr>
          <w:rFonts w:hint="eastAsia" w:ascii="宋体" w:hAnsi="宋体" w:eastAsia="宋体" w:cs="宋体"/>
          <w:b/>
          <w:bCs/>
          <w:color w:val="auto"/>
          <w:kern w:val="2"/>
          <w:sz w:val="24"/>
          <w:szCs w:val="24"/>
          <w:highlight w:val="none"/>
          <w:lang w:val="en-US" w:eastAsia="zh-CN" w:bidi="ar-SA"/>
        </w:rPr>
        <w:t>。</w:t>
      </w:r>
    </w:p>
    <w:p w14:paraId="3D878C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八、在线投标响应（电子投标）说明</w:t>
      </w:r>
    </w:p>
    <w:p w14:paraId="7F4549D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实行在线投标响应（电子投标），供应商需要先安装“</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电子交易客户端”，并按照本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文件和</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的要求，通过“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电子交易客户端”编制并加密响应文件。供应商未按规定编制并加密的响应文件，</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将予以拒收。</w:t>
      </w:r>
    </w:p>
    <w:p w14:paraId="0B02E005">
      <w:pPr>
        <w:pStyle w:val="32"/>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电子交易客户端”请自行前往广西政府采购网下载并安装</w:t>
      </w:r>
      <w:r>
        <w:rPr>
          <w:rFonts w:hint="eastAsia" w:ascii="宋体" w:hAnsi="宋体" w:cs="宋体"/>
          <w:color w:val="auto"/>
          <w:highlight w:val="none"/>
          <w:lang w:val="en-US" w:eastAsia="zh-CN"/>
        </w:rPr>
        <w:t>,</w:t>
      </w:r>
      <w:r>
        <w:rPr>
          <w:rFonts w:hint="eastAsia" w:ascii="宋体" w:hAnsi="宋体" w:eastAsia="宋体" w:cs="宋体"/>
          <w:color w:val="auto"/>
          <w:highlight w:val="none"/>
        </w:rPr>
        <w:t>电子投标具体操作流程参考《政府采购项目电子交易管理操作指南-供应商》；在使用</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投标客户端时，建议使用WIN7及以上操作系统,通过</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参与在线投标时如遇平台技术问题详询</w:t>
      </w:r>
      <w:r>
        <w:rPr>
          <w:rFonts w:hint="eastAsia" w:ascii="宋体" w:hAnsi="宋体" w:cs="宋体"/>
          <w:color w:val="auto"/>
          <w:highlight w:val="none"/>
          <w:lang w:eastAsia="zh-CN"/>
        </w:rPr>
        <w:t>95763</w:t>
      </w:r>
      <w:r>
        <w:rPr>
          <w:rFonts w:hint="eastAsia" w:ascii="宋体" w:hAnsi="宋体" w:eastAsia="宋体" w:cs="宋体"/>
          <w:color w:val="auto"/>
          <w:highlight w:val="none"/>
        </w:rPr>
        <w:t>。</w:t>
      </w:r>
    </w:p>
    <w:p w14:paraId="2F7A5AC3">
      <w:pPr>
        <w:spacing w:line="4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2.为确保网上操作合法、有效和安全，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截止时间前完成在“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”的身份认证，确保在电子投标过程中能够对相关数据电文进行加密和使用电子签章。使用“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电子交易客户端”需要提前申领CA数字证书，申领流程请自行前往</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网站进行查阅；</w:t>
      </w:r>
      <w:r>
        <w:rPr>
          <w:rFonts w:hint="eastAsia" w:ascii="宋体" w:hAnsi="宋体" w:eastAsia="宋体" w:cs="宋体"/>
          <w:b/>
          <w:bCs/>
          <w:color w:val="auto"/>
          <w:sz w:val="24"/>
          <w:highlight w:val="none"/>
        </w:rPr>
        <w:t>（完成CA数字证书办理预计一周左右，建议供应商获取</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文件后立即办理。）</w:t>
      </w:r>
    </w:p>
    <w:p w14:paraId="5E26F66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截止时间前，将生成的“电子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响应文件”上传递交至</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截止时间前可以撤回电子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响应文件。补充或者修改电子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响应文件的，应当先行撤回原文件，补充、修改后重新传输递交，</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截止时间前未完成传输的，视为撤回</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w:t>
      </w:r>
    </w:p>
    <w:p w14:paraId="087716E6">
      <w:pPr>
        <w:pStyle w:val="32"/>
        <w:spacing w:line="400" w:lineRule="exact"/>
        <w:ind w:firstLine="480" w:firstLineChars="200"/>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t>4.本项目需要磋商供应商代表在截标当天截标后，按磋商小组要求及时登陆</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等候在线磋商及提交最后报价。</w:t>
      </w:r>
    </w:p>
    <w:p w14:paraId="6E90D65E">
      <w:pPr>
        <w:pStyle w:val="32"/>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5</w:t>
      </w:r>
      <w:r>
        <w:rPr>
          <w:rFonts w:hint="eastAsia" w:ascii="宋体" w:hAnsi="宋体" w:eastAsia="宋体" w:cs="宋体"/>
          <w:b/>
          <w:bCs/>
          <w:color w:val="auto"/>
          <w:sz w:val="24"/>
          <w:highlight w:val="none"/>
          <w:u w:val="none"/>
          <w:lang w:val="en-US" w:eastAsia="zh-CN"/>
        </w:rPr>
        <w:t>.本采购项目为广西政府采购云平台全流程电子化操作，参与磋商的供应商需自备计算机和网络设备（设备需可视频通话和读取</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CA数字证书），确保磋商过程顺利进行；因供应商自身设备或网络原因造成的一切后果，由供应商自行承担。</w:t>
      </w:r>
    </w:p>
    <w:p w14:paraId="4493AD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九</w:t>
      </w:r>
      <w:r>
        <w:rPr>
          <w:rFonts w:hint="eastAsia" w:ascii="宋体" w:hAnsi="宋体" w:eastAsia="宋体" w:cs="宋体"/>
          <w:color w:val="auto"/>
          <w:sz w:val="24"/>
          <w:highlight w:val="none"/>
        </w:rPr>
        <w:t>、凡对本次采购提出询问，请按以下方式联系。</w:t>
      </w:r>
      <w:bookmarkEnd w:id="27"/>
      <w:bookmarkEnd w:id="28"/>
      <w:bookmarkEnd w:id="29"/>
      <w:bookmarkEnd w:id="30"/>
    </w:p>
    <w:p w14:paraId="530E63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41" w:name="_Toc35393637"/>
      <w:bookmarkStart w:id="42" w:name="_Toc35393806"/>
      <w:bookmarkStart w:id="43" w:name="_Toc28359096"/>
      <w:bookmarkStart w:id="44" w:name="_Toc28359019"/>
      <w:r>
        <w:rPr>
          <w:rFonts w:hint="eastAsia" w:ascii="宋体" w:hAnsi="宋体" w:eastAsia="宋体" w:cs="宋体"/>
          <w:color w:val="auto"/>
          <w:sz w:val="24"/>
          <w:highlight w:val="none"/>
        </w:rPr>
        <w:t>1.采购人信息</w:t>
      </w:r>
      <w:bookmarkEnd w:id="41"/>
      <w:bookmarkEnd w:id="42"/>
      <w:bookmarkEnd w:id="43"/>
      <w:bookmarkEnd w:id="44"/>
    </w:p>
    <w:p w14:paraId="1F74999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highlight w:val="none"/>
          <w:u w:val="single"/>
        </w:rPr>
      </w:pPr>
      <w:bookmarkStart w:id="45" w:name="_Toc35393638"/>
      <w:bookmarkStart w:id="46" w:name="_Toc28359097"/>
      <w:bookmarkStart w:id="47" w:name="_Toc35393807"/>
      <w:bookmarkStart w:id="48" w:name="_Toc28359020"/>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lang w:eastAsia="zh-CN"/>
        </w:rPr>
        <w:t>荔浦市人民政府办公室</w:t>
      </w:r>
    </w:p>
    <w:p w14:paraId="445E3D2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广西壮族自治区桂林市荔浦市滨江路6号</w:t>
      </w:r>
    </w:p>
    <w:p w14:paraId="6C4252B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u w:val="single"/>
          <w:lang w:val="en-US" w:eastAsia="zh-CN"/>
        </w:rPr>
        <w:t>伍春州</w:t>
      </w:r>
      <w:r>
        <w:rPr>
          <w:rFonts w:hint="eastAsia" w:ascii="宋体" w:hAnsi="宋体"/>
          <w:color w:val="auto"/>
          <w:sz w:val="24"/>
          <w:highlight w:val="none"/>
          <w:u w:val="single"/>
          <w:lang w:val="en-US" w:eastAsia="zh-CN"/>
        </w:rPr>
        <w:t xml:space="preserve"> 0773-7210011 </w:t>
      </w:r>
    </w:p>
    <w:p w14:paraId="26EF5F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45"/>
      <w:bookmarkEnd w:id="46"/>
      <w:bookmarkEnd w:id="47"/>
      <w:bookmarkEnd w:id="48"/>
    </w:p>
    <w:p w14:paraId="710394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桂林市政府集中采购中心</w:t>
      </w:r>
    </w:p>
    <w:p w14:paraId="2BC685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桂林市临桂区西城中路69号创业大厦西辅楼5楼</w:t>
      </w:r>
    </w:p>
    <w:p w14:paraId="78F424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eastAsia="zh-CN"/>
        </w:rPr>
        <w:t>0773-5625175</w:t>
      </w:r>
    </w:p>
    <w:p w14:paraId="68AFE3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49" w:name="_Toc28359098"/>
      <w:bookmarkStart w:id="50" w:name="_Toc35393808"/>
      <w:bookmarkStart w:id="51" w:name="_Toc28359021"/>
      <w:bookmarkStart w:id="52" w:name="_Toc35393639"/>
      <w:r>
        <w:rPr>
          <w:rFonts w:hint="eastAsia" w:ascii="宋体" w:hAnsi="宋体" w:eastAsia="宋体" w:cs="宋体"/>
          <w:color w:val="auto"/>
          <w:sz w:val="24"/>
          <w:highlight w:val="none"/>
        </w:rPr>
        <w:t>3.项目联系方式</w:t>
      </w:r>
      <w:bookmarkEnd w:id="49"/>
      <w:bookmarkEnd w:id="50"/>
      <w:bookmarkEnd w:id="51"/>
      <w:bookmarkEnd w:id="52"/>
    </w:p>
    <w:p w14:paraId="07AB9A67">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hAnsi="宋体" w:cs="宋体"/>
          <w:color w:val="auto"/>
          <w:sz w:val="24"/>
          <w:szCs w:val="24"/>
          <w:highlight w:val="none"/>
          <w:u w:val="single"/>
          <w:lang w:val="en-US" w:eastAsia="zh-CN"/>
        </w:rPr>
        <w:t>张工</w:t>
      </w:r>
    </w:p>
    <w:p w14:paraId="2AE5CB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电　　话：</w:t>
      </w:r>
      <w:r>
        <w:rPr>
          <w:rFonts w:hint="eastAsia" w:ascii="宋体" w:hAnsi="宋体" w:cs="宋体"/>
          <w:color w:val="auto"/>
          <w:sz w:val="24"/>
          <w:highlight w:val="none"/>
          <w:u w:val="single"/>
          <w:lang w:eastAsia="zh-CN"/>
        </w:rPr>
        <w:t>0773-5625175</w:t>
      </w:r>
    </w:p>
    <w:p w14:paraId="56E0C1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4.政府采购监督管理机构</w:t>
      </w:r>
    </w:p>
    <w:p w14:paraId="68DCB7A1">
      <w:pPr>
        <w:spacing w:line="400" w:lineRule="exact"/>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val="en-US" w:eastAsia="zh-CN"/>
        </w:rPr>
        <w:t>荔浦市财政局</w:t>
      </w:r>
    </w:p>
    <w:p w14:paraId="1A76182C">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eastAsia="zh-CN"/>
        </w:rPr>
        <w:t>0773-7233366</w:t>
      </w:r>
    </w:p>
    <w:p w14:paraId="71AA6E73">
      <w:pPr>
        <w:pStyle w:val="10"/>
        <w:spacing w:line="400" w:lineRule="exact"/>
        <w:ind w:firstLine="420" w:firstLineChars="200"/>
        <w:rPr>
          <w:rFonts w:hint="eastAsia" w:ascii="宋体" w:hAnsi="宋体" w:eastAsia="宋体" w:cs="宋体"/>
          <w:color w:val="auto"/>
          <w:highlight w:val="none"/>
        </w:rPr>
      </w:pPr>
    </w:p>
    <w:p w14:paraId="229AD7C5">
      <w:pPr>
        <w:pStyle w:val="10"/>
        <w:rPr>
          <w:rFonts w:hint="eastAsia" w:ascii="宋体" w:hAnsi="宋体" w:eastAsia="宋体" w:cs="宋体"/>
          <w:color w:val="auto"/>
          <w:highlight w:val="none"/>
        </w:rPr>
      </w:pPr>
    </w:p>
    <w:p w14:paraId="4753EE6D">
      <w:pPr>
        <w:pStyle w:val="10"/>
        <w:rPr>
          <w:rFonts w:hint="eastAsia" w:ascii="宋体" w:hAnsi="宋体" w:eastAsia="宋体" w:cs="宋体"/>
          <w:color w:val="auto"/>
          <w:highlight w:val="none"/>
        </w:rPr>
      </w:pPr>
    </w:p>
    <w:p w14:paraId="60D89E39">
      <w:pPr>
        <w:pStyle w:val="10"/>
        <w:rPr>
          <w:rFonts w:hint="eastAsia" w:ascii="宋体" w:hAnsi="宋体" w:eastAsia="宋体" w:cs="宋体"/>
          <w:color w:val="auto"/>
          <w:highlight w:val="none"/>
        </w:rPr>
      </w:pPr>
    </w:p>
    <w:p w14:paraId="6B96250F">
      <w:pPr>
        <w:pStyle w:val="10"/>
        <w:rPr>
          <w:rFonts w:hint="eastAsia" w:ascii="宋体" w:hAnsi="宋体" w:eastAsia="宋体" w:cs="宋体"/>
          <w:color w:val="auto"/>
          <w:highlight w:val="none"/>
        </w:rPr>
      </w:pPr>
    </w:p>
    <w:p w14:paraId="257C7532">
      <w:pPr>
        <w:pStyle w:val="10"/>
        <w:rPr>
          <w:rFonts w:hint="eastAsia" w:ascii="宋体" w:hAnsi="宋体" w:eastAsia="宋体" w:cs="宋体"/>
          <w:color w:val="auto"/>
          <w:highlight w:val="none"/>
        </w:rPr>
      </w:pPr>
    </w:p>
    <w:p w14:paraId="6E895A6D">
      <w:pPr>
        <w:pStyle w:val="10"/>
        <w:rPr>
          <w:rFonts w:hint="eastAsia" w:ascii="宋体" w:hAnsi="宋体" w:eastAsia="宋体" w:cs="宋体"/>
          <w:color w:val="auto"/>
          <w:highlight w:val="none"/>
        </w:rPr>
      </w:pPr>
    </w:p>
    <w:p w14:paraId="3CB74CDC">
      <w:pPr>
        <w:rPr>
          <w:rFonts w:hint="eastAsia" w:ascii="宋体" w:hAnsi="宋体" w:eastAsia="宋体" w:cs="宋体"/>
          <w:color w:val="auto"/>
          <w:highlight w:val="none"/>
        </w:rPr>
      </w:pPr>
    </w:p>
    <w:p w14:paraId="1FE55985">
      <w:pPr>
        <w:pStyle w:val="10"/>
        <w:rPr>
          <w:rFonts w:hint="eastAsia" w:ascii="宋体" w:hAnsi="宋体" w:eastAsia="宋体" w:cs="宋体"/>
          <w:color w:val="auto"/>
          <w:highlight w:val="none"/>
        </w:rPr>
      </w:pPr>
    </w:p>
    <w:p w14:paraId="56C86451">
      <w:pPr>
        <w:pStyle w:val="10"/>
        <w:rPr>
          <w:rFonts w:hint="eastAsia" w:ascii="宋体" w:hAnsi="宋体" w:eastAsia="宋体" w:cs="宋体"/>
          <w:color w:val="auto"/>
          <w:highlight w:val="none"/>
        </w:rPr>
      </w:pPr>
    </w:p>
    <w:p w14:paraId="4A9231CF">
      <w:pPr>
        <w:pStyle w:val="3"/>
        <w:numPr>
          <w:ilvl w:val="0"/>
          <w:numId w:val="0"/>
        </w:numPr>
        <w:spacing w:line="240" w:lineRule="auto"/>
        <w:jc w:val="center"/>
        <w:rPr>
          <w:rFonts w:hint="eastAsia" w:ascii="宋体" w:hAnsi="宋体" w:eastAsia="宋体" w:cs="宋体"/>
          <w:color w:val="auto"/>
          <w:sz w:val="32"/>
          <w:szCs w:val="32"/>
          <w:highlight w:val="none"/>
        </w:rPr>
      </w:pPr>
      <w:bookmarkStart w:id="53" w:name="_Toc10668"/>
      <w:bookmarkStart w:id="54" w:name="_Toc24004"/>
      <w:bookmarkStart w:id="55" w:name="_Toc6348"/>
      <w:bookmarkStart w:id="56" w:name="_Toc18092"/>
      <w:bookmarkStart w:id="57" w:name="_Toc26260"/>
      <w:bookmarkStart w:id="58" w:name="_Toc19270"/>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0"/>
      <w:bookmarkEnd w:id="1"/>
      <w:bookmarkEnd w:id="53"/>
      <w:bookmarkEnd w:id="54"/>
      <w:bookmarkEnd w:id="55"/>
      <w:bookmarkEnd w:id="56"/>
      <w:bookmarkEnd w:id="57"/>
      <w:bookmarkEnd w:id="58"/>
    </w:p>
    <w:p w14:paraId="6C19C871">
      <w:pPr>
        <w:pStyle w:val="4"/>
        <w:jc w:val="center"/>
        <w:rPr>
          <w:rFonts w:hint="eastAsia" w:ascii="宋体" w:hAnsi="宋体" w:eastAsia="宋体" w:cs="宋体"/>
          <w:b/>
          <w:bCs w:val="0"/>
          <w:color w:val="auto"/>
          <w:sz w:val="24"/>
          <w:szCs w:val="24"/>
          <w:highlight w:val="none"/>
        </w:rPr>
      </w:pPr>
      <w:bookmarkStart w:id="59" w:name="_Toc15178"/>
      <w:bookmarkStart w:id="60" w:name="_Toc25063"/>
      <w:bookmarkStart w:id="61" w:name="_Toc16244"/>
      <w:bookmarkStart w:id="62" w:name="_Toc194"/>
      <w:bookmarkStart w:id="63" w:name="_Toc13547"/>
      <w:bookmarkStart w:id="64" w:name="_Toc31638"/>
      <w:bookmarkStart w:id="65" w:name="_Toc9508"/>
      <w:bookmarkStart w:id="66" w:name="_Toc11219"/>
      <w:r>
        <w:rPr>
          <w:rFonts w:hint="eastAsia" w:ascii="宋体" w:hAnsi="宋体" w:eastAsia="宋体" w:cs="宋体"/>
          <w:b/>
          <w:bCs w:val="0"/>
          <w:color w:val="auto"/>
          <w:sz w:val="24"/>
          <w:szCs w:val="24"/>
          <w:highlight w:val="none"/>
        </w:rPr>
        <w:t>供 应 商 须 知 前 附 表</w:t>
      </w:r>
      <w:bookmarkEnd w:id="59"/>
      <w:bookmarkEnd w:id="60"/>
      <w:bookmarkEnd w:id="61"/>
      <w:bookmarkEnd w:id="62"/>
      <w:bookmarkEnd w:id="63"/>
      <w:bookmarkEnd w:id="64"/>
      <w:bookmarkEnd w:id="65"/>
      <w:bookmarkEnd w:id="6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1542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23DD1C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noWrap w:val="0"/>
            <w:vAlign w:val="center"/>
          </w:tcPr>
          <w:p w14:paraId="0627B8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noWrap w:val="0"/>
            <w:vAlign w:val="center"/>
          </w:tcPr>
          <w:p w14:paraId="5A50E9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912" w:type="dxa"/>
            <w:noWrap w:val="0"/>
            <w:vAlign w:val="center"/>
          </w:tcPr>
          <w:p w14:paraId="76CFA4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301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37E393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noWrap w:val="0"/>
            <w:vAlign w:val="center"/>
          </w:tcPr>
          <w:p w14:paraId="614EFF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noWrap w:val="0"/>
            <w:vAlign w:val="center"/>
          </w:tcPr>
          <w:p w14:paraId="0AD38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912" w:type="dxa"/>
            <w:noWrap w:val="0"/>
            <w:vAlign w:val="top"/>
          </w:tcPr>
          <w:p w14:paraId="38807F2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荔浦市电子政务外网横向接入专线服务</w:t>
            </w:r>
            <w:r>
              <w:rPr>
                <w:rFonts w:hint="eastAsia" w:ascii="宋体" w:hAnsi="宋体" w:eastAsia="宋体" w:cs="宋体"/>
                <w:color w:val="auto"/>
                <w:sz w:val="21"/>
                <w:szCs w:val="21"/>
                <w:highlight w:val="none"/>
                <w:lang w:eastAsia="zh-CN"/>
              </w:rPr>
              <w:t xml:space="preserve">      </w:t>
            </w:r>
          </w:p>
          <w:p w14:paraId="0649CCF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val="en-US" w:eastAsia="zh-CN"/>
              </w:rPr>
              <w:t>GLZC2026-C3-310007-GLSZ</w:t>
            </w:r>
            <w:r>
              <w:rPr>
                <w:rFonts w:hint="eastAsia" w:ascii="宋体" w:hAnsi="宋体" w:eastAsia="宋体" w:cs="宋体"/>
                <w:color w:val="auto"/>
                <w:sz w:val="21"/>
                <w:szCs w:val="21"/>
                <w:highlight w:val="none"/>
                <w:lang w:eastAsia="zh-CN"/>
              </w:rPr>
              <w:t xml:space="preserve"> </w:t>
            </w:r>
          </w:p>
        </w:tc>
      </w:tr>
      <w:tr w14:paraId="04B5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7A969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noWrap w:val="0"/>
            <w:vAlign w:val="center"/>
          </w:tcPr>
          <w:p w14:paraId="7677B2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noWrap w:val="0"/>
            <w:vAlign w:val="center"/>
          </w:tcPr>
          <w:p w14:paraId="220B2C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912" w:type="dxa"/>
            <w:noWrap w:val="0"/>
            <w:vAlign w:val="center"/>
          </w:tcPr>
          <w:p w14:paraId="7C44F2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符合《中华人民共和国政府采购法》第二十二条和《政府采购法实施条例》第十八条规定，具备合法资格的供应商；</w:t>
            </w:r>
          </w:p>
          <w:p w14:paraId="16F594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本项目不接受联合体参与磋商；</w:t>
            </w:r>
          </w:p>
          <w:p w14:paraId="152817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0C144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cs="宋体"/>
                <w:b/>
                <w:bCs/>
                <w:color w:val="auto"/>
                <w:sz w:val="21"/>
                <w:szCs w:val="21"/>
                <w:highlight w:val="none"/>
                <w:lang w:val="en-US" w:eastAsia="zh-CN"/>
              </w:rPr>
              <w:t>无</w:t>
            </w:r>
            <w:r>
              <w:rPr>
                <w:rFonts w:hint="eastAsia" w:ascii="宋体" w:hAnsi="宋体" w:cs="宋体"/>
                <w:b/>
                <w:bCs/>
                <w:color w:val="auto"/>
                <w:sz w:val="21"/>
                <w:szCs w:val="21"/>
                <w:highlight w:val="none"/>
                <w:lang w:eastAsia="zh-CN"/>
              </w:rPr>
              <w:t>。</w:t>
            </w:r>
          </w:p>
          <w:p w14:paraId="00AEB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r>
              <w:rPr>
                <w:rFonts w:hint="eastAsia" w:ascii="宋体" w:hAnsi="宋体" w:cs="宋体"/>
                <w:b/>
                <w:bCs/>
                <w:color w:val="auto"/>
                <w:sz w:val="21"/>
                <w:szCs w:val="21"/>
                <w:highlight w:val="none"/>
                <w:lang w:val="en-US" w:eastAsia="zh-CN"/>
              </w:rPr>
              <w:t>无</w:t>
            </w:r>
            <w:r>
              <w:rPr>
                <w:rFonts w:hint="eastAsia" w:ascii="宋体" w:hAnsi="宋体" w:eastAsia="宋体" w:cs="宋体"/>
                <w:b/>
                <w:bCs/>
                <w:color w:val="auto"/>
                <w:sz w:val="21"/>
                <w:szCs w:val="21"/>
                <w:highlight w:val="none"/>
                <w:lang w:val="en-US" w:eastAsia="zh-CN"/>
              </w:rPr>
              <w:t>。</w:t>
            </w:r>
          </w:p>
        </w:tc>
      </w:tr>
      <w:tr w14:paraId="62FC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128729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noWrap w:val="0"/>
            <w:vAlign w:val="center"/>
          </w:tcPr>
          <w:p w14:paraId="26ADEE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noWrap w:val="0"/>
            <w:vAlign w:val="center"/>
          </w:tcPr>
          <w:p w14:paraId="01BE56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6912" w:type="dxa"/>
            <w:noWrap w:val="0"/>
            <w:vAlign w:val="center"/>
          </w:tcPr>
          <w:p w14:paraId="2C5B05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665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37CFF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noWrap w:val="0"/>
            <w:vAlign w:val="center"/>
          </w:tcPr>
          <w:p w14:paraId="7932D29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noWrap w:val="0"/>
            <w:vAlign w:val="center"/>
          </w:tcPr>
          <w:p w14:paraId="412A3C85">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6912" w:type="dxa"/>
            <w:noWrap w:val="0"/>
            <w:vAlign w:val="center"/>
          </w:tcPr>
          <w:p w14:paraId="780C6B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w:t>
            </w:r>
            <w:r>
              <w:rPr>
                <w:rFonts w:hint="eastAsia" w:ascii="宋体" w:hAnsi="宋体" w:eastAsia="宋体" w:cs="宋体"/>
                <w:b/>
                <w:bCs/>
                <w:color w:val="auto"/>
                <w:szCs w:val="21"/>
                <w:highlight w:val="none"/>
              </w:rPr>
              <w:t>采购预算金额</w:t>
            </w:r>
            <w:r>
              <w:rPr>
                <w:rFonts w:hint="eastAsia" w:ascii="宋体" w:hAnsi="宋体" w:cs="宋体"/>
                <w:b/>
                <w:bCs/>
                <w:color w:val="auto"/>
                <w:szCs w:val="21"/>
                <w:highlight w:val="none"/>
                <w:lang w:eastAsia="zh-CN"/>
              </w:rPr>
              <w:t>：人民币壹佰贰拾玖万元整（¥1290000.00元）。</w:t>
            </w:r>
            <w:r>
              <w:rPr>
                <w:rFonts w:hint="eastAsia" w:ascii="宋体" w:hAnsi="宋体" w:eastAsia="宋体" w:cs="宋体"/>
                <w:color w:val="auto"/>
                <w:szCs w:val="21"/>
                <w:highlight w:val="none"/>
              </w:rPr>
              <w:t>供应商报价</w:t>
            </w:r>
            <w:r>
              <w:rPr>
                <w:rFonts w:hint="eastAsia" w:ascii="宋体" w:hAnsi="宋体" w:eastAsia="宋体" w:cs="宋体"/>
                <w:color w:val="auto"/>
                <w:kern w:val="0"/>
                <w:szCs w:val="21"/>
                <w:highlight w:val="none"/>
              </w:rPr>
              <w:t>超出</w:t>
            </w:r>
            <w:r>
              <w:rPr>
                <w:rFonts w:hint="eastAsia" w:ascii="宋体" w:hAnsi="宋体" w:cs="宋体"/>
                <w:color w:val="auto"/>
                <w:kern w:val="0"/>
                <w:szCs w:val="21"/>
                <w:highlight w:val="none"/>
                <w:lang w:val="en-US" w:eastAsia="zh-CN"/>
              </w:rPr>
              <w:t>最高限价</w:t>
            </w:r>
            <w:r>
              <w:rPr>
                <w:rFonts w:hint="eastAsia" w:ascii="宋体" w:hAnsi="宋体" w:eastAsia="宋体" w:cs="宋体"/>
                <w:color w:val="auto"/>
                <w:kern w:val="0"/>
                <w:szCs w:val="21"/>
                <w:highlight w:val="none"/>
              </w:rPr>
              <w:t>金额的，响应文件按无效处理。</w:t>
            </w:r>
          </w:p>
          <w:p w14:paraId="75CC820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13.2供应商必须就“采购需求”中所有内容作完整唯一报价，否则，其响应文件无效；响应文件只允许有一个报价，有选择的或有条件的报价将不予接受。</w:t>
            </w:r>
          </w:p>
          <w:p w14:paraId="588548E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r>
              <w:rPr>
                <w:rFonts w:hint="eastAsia" w:ascii="宋体" w:hAnsi="宋体" w:eastAsia="宋体" w:cs="宋体"/>
                <w:color w:val="auto"/>
                <w:kern w:val="0"/>
                <w:szCs w:val="21"/>
                <w:highlight w:val="none"/>
              </w:rPr>
              <w:t>供应商应在规定时间内</w:t>
            </w:r>
            <w:r>
              <w:rPr>
                <w:rFonts w:hint="eastAsia" w:ascii="宋体" w:hAnsi="宋体" w:eastAsia="宋体" w:cs="宋体"/>
                <w:color w:val="auto"/>
                <w:kern w:val="0"/>
                <w:szCs w:val="21"/>
                <w:highlight w:val="none"/>
                <w:lang w:eastAsia="zh-CN"/>
              </w:rPr>
              <w:t>在广西政府采购云平台系统上</w:t>
            </w:r>
            <w:r>
              <w:rPr>
                <w:rFonts w:hint="eastAsia" w:ascii="宋体" w:hAnsi="宋体" w:eastAsia="宋体" w:cs="宋体"/>
                <w:color w:val="auto"/>
                <w:kern w:val="0"/>
                <w:szCs w:val="21"/>
                <w:highlight w:val="none"/>
              </w:rPr>
              <w:t>提交最后报价，</w:t>
            </w:r>
            <w:r>
              <w:rPr>
                <w:rFonts w:hint="eastAsia" w:ascii="宋体" w:hAnsi="宋体" w:eastAsia="宋体" w:cs="宋体"/>
                <w:color w:val="auto"/>
                <w:kern w:val="0"/>
                <w:szCs w:val="21"/>
                <w:highlight w:val="none"/>
                <w:lang w:eastAsia="zh-CN"/>
              </w:rPr>
              <w:t>超出评委设定的最后报价时限或其</w:t>
            </w:r>
            <w:r>
              <w:rPr>
                <w:rFonts w:hint="eastAsia" w:ascii="宋体" w:hAnsi="宋体" w:eastAsia="宋体" w:cs="宋体"/>
                <w:color w:val="auto"/>
                <w:kern w:val="0"/>
                <w:szCs w:val="21"/>
                <w:highlight w:val="none"/>
              </w:rPr>
              <w:t>最后报价超出采购预算导致已通过评审的响应文件无效的，按供应商在提交响应文件截止时间后撤回响应文件处理。</w:t>
            </w:r>
          </w:p>
        </w:tc>
      </w:tr>
      <w:tr w14:paraId="3A1F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64E1C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noWrap w:val="0"/>
            <w:vAlign w:val="center"/>
          </w:tcPr>
          <w:p w14:paraId="1EA718E0">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noWrap w:val="0"/>
            <w:vAlign w:val="center"/>
          </w:tcPr>
          <w:p w14:paraId="058FF548">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912" w:type="dxa"/>
            <w:noWrap w:val="0"/>
            <w:vAlign w:val="top"/>
          </w:tcPr>
          <w:p w14:paraId="129FED14">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6464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5E6BF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noWrap w:val="0"/>
            <w:vAlign w:val="center"/>
          </w:tcPr>
          <w:p w14:paraId="2992AC1A">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noWrap w:val="0"/>
            <w:vAlign w:val="center"/>
          </w:tcPr>
          <w:p w14:paraId="10480DB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6912" w:type="dxa"/>
            <w:noWrap w:val="0"/>
            <w:vAlign w:val="top"/>
          </w:tcPr>
          <w:p w14:paraId="4EC25438">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1584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308B2E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942" w:type="dxa"/>
            <w:noWrap w:val="0"/>
            <w:vAlign w:val="center"/>
          </w:tcPr>
          <w:p w14:paraId="5B0DE30E">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775" w:type="dxa"/>
            <w:noWrap w:val="0"/>
            <w:vAlign w:val="center"/>
          </w:tcPr>
          <w:p w14:paraId="25117389">
            <w:pPr>
              <w:pStyle w:val="5"/>
              <w:spacing w:before="0" w:after="0" w:line="360" w:lineRule="auto"/>
              <w:jc w:val="center"/>
              <w:rPr>
                <w:rFonts w:hint="eastAsia" w:ascii="宋体" w:hAnsi="宋体" w:eastAsia="宋体" w:cs="宋体"/>
                <w:b w:val="0"/>
                <w:bCs/>
                <w:color w:val="auto"/>
                <w:sz w:val="21"/>
                <w:szCs w:val="21"/>
                <w:highlight w:val="none"/>
                <w:lang w:eastAsia="zh-CN"/>
              </w:rPr>
            </w:pPr>
            <w:bookmarkStart w:id="67" w:name="_Toc19911"/>
            <w:bookmarkStart w:id="68" w:name="_Toc2356"/>
            <w:bookmarkStart w:id="69" w:name="_Toc8102"/>
            <w:bookmarkStart w:id="70" w:name="_Toc27452"/>
            <w:bookmarkStart w:id="71" w:name="_Toc12573"/>
            <w:bookmarkStart w:id="72" w:name="_Toc202"/>
            <w:bookmarkStart w:id="73" w:name="_Toc8265"/>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67"/>
            <w:bookmarkEnd w:id="68"/>
            <w:bookmarkEnd w:id="69"/>
            <w:bookmarkEnd w:id="70"/>
            <w:bookmarkEnd w:id="71"/>
            <w:bookmarkEnd w:id="72"/>
            <w:bookmarkEnd w:id="73"/>
          </w:p>
          <w:p w14:paraId="0B3C60DE">
            <w:pPr>
              <w:spacing w:line="360" w:lineRule="auto"/>
              <w:jc w:val="center"/>
              <w:rPr>
                <w:rFonts w:hint="eastAsia" w:ascii="宋体" w:hAnsi="宋体" w:eastAsia="宋体" w:cs="宋体"/>
                <w:color w:val="auto"/>
                <w:szCs w:val="21"/>
                <w:highlight w:val="none"/>
                <w:lang w:eastAsia="zh-CN"/>
              </w:rPr>
            </w:pPr>
          </w:p>
        </w:tc>
        <w:tc>
          <w:tcPr>
            <w:tcW w:w="6912" w:type="dxa"/>
            <w:noWrap w:val="0"/>
            <w:vAlign w:val="center"/>
          </w:tcPr>
          <w:p w14:paraId="18E626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18826AC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w:t>
            </w:r>
            <w:r>
              <w:rPr>
                <w:rFonts w:hint="eastAsia" w:ascii="宋体" w:hAnsi="宋体" w:cs="宋体"/>
                <w:color w:val="auto"/>
                <w:szCs w:val="21"/>
                <w:highlight w:val="none"/>
                <w:lang w:eastAsia="zh-CN"/>
              </w:rPr>
              <w:t>或盖章</w:t>
            </w:r>
            <w:r>
              <w:rPr>
                <w:rFonts w:hint="eastAsia" w:ascii="宋体" w:hAnsi="宋体" w:eastAsia="宋体" w:cs="宋体"/>
                <w:color w:val="auto"/>
                <w:szCs w:val="21"/>
                <w:highlight w:val="none"/>
              </w:rPr>
              <w:t>后扫描或者拍照做成 PDF 的格式上传即可。</w:t>
            </w:r>
          </w:p>
          <w:p w14:paraId="128B8C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8B784EF">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BF7E66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3B7DC75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7CCE041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1C8C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2" w:type="dxa"/>
            <w:noWrap w:val="0"/>
            <w:vAlign w:val="center"/>
          </w:tcPr>
          <w:p w14:paraId="0F3FD29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942" w:type="dxa"/>
            <w:noWrap w:val="0"/>
            <w:vAlign w:val="center"/>
          </w:tcPr>
          <w:p w14:paraId="23B934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noWrap w:val="0"/>
            <w:vAlign w:val="center"/>
          </w:tcPr>
          <w:p w14:paraId="57E518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912" w:type="dxa"/>
            <w:noWrap w:val="0"/>
            <w:vAlign w:val="center"/>
          </w:tcPr>
          <w:p w14:paraId="2D3C37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于</w:t>
            </w:r>
            <w:r>
              <w:rPr>
                <w:rFonts w:hint="eastAsia" w:ascii="宋体" w:hAnsi="宋体" w:cs="宋体"/>
                <w:color w:val="auto"/>
                <w:sz w:val="21"/>
                <w:szCs w:val="21"/>
                <w:highlight w:val="none"/>
                <w:u w:val="single"/>
                <w:lang w:eastAsia="zh-CN"/>
              </w:rPr>
              <w:t>2026年05月13日09时30分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tc>
      </w:tr>
      <w:tr w14:paraId="104B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0C858C81">
            <w:pPr>
              <w:spacing w:line="360" w:lineRule="auto"/>
              <w:jc w:val="center"/>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9</w:t>
            </w:r>
          </w:p>
        </w:tc>
        <w:tc>
          <w:tcPr>
            <w:tcW w:w="942" w:type="dxa"/>
            <w:noWrap w:val="0"/>
            <w:vAlign w:val="center"/>
          </w:tcPr>
          <w:p w14:paraId="33B3F689">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noWrap w:val="0"/>
            <w:vAlign w:val="center"/>
          </w:tcPr>
          <w:p w14:paraId="10D8A267">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6912" w:type="dxa"/>
            <w:noWrap w:val="0"/>
            <w:vAlign w:val="center"/>
          </w:tcPr>
          <w:p w14:paraId="10D0226B">
            <w:pPr>
              <w:pStyle w:val="3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磋商响应文件解密时间：截标时间后30分钟内（</w:t>
            </w:r>
            <w:r>
              <w:rPr>
                <w:rFonts w:hint="eastAsia" w:ascii="宋体" w:hAnsi="宋体" w:cs="宋体"/>
                <w:color w:val="auto"/>
                <w:kern w:val="2"/>
                <w:sz w:val="21"/>
                <w:szCs w:val="21"/>
                <w:highlight w:val="none"/>
                <w:lang w:val="en-US" w:eastAsia="zh-CN" w:bidi="ar-SA"/>
              </w:rPr>
              <w:t>2026年05月13日09时30分</w:t>
            </w:r>
            <w:r>
              <w:rPr>
                <w:rFonts w:hint="eastAsia" w:ascii="宋体" w:hAnsi="宋体" w:eastAsia="宋体" w:cs="宋体"/>
                <w:color w:val="auto"/>
                <w:kern w:val="2"/>
                <w:sz w:val="21"/>
                <w:szCs w:val="21"/>
                <w:highlight w:val="none"/>
                <w:lang w:val="en-US" w:eastAsia="zh-CN" w:bidi="ar-SA"/>
              </w:rPr>
              <w:t>至1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时00分)磋商供应商可以登录</w:t>
            </w:r>
            <w:r>
              <w:rPr>
                <w:rFonts w:hint="eastAsia" w:ascii="宋体" w:hAnsi="宋体" w:cs="宋体"/>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highlight w:val="none"/>
                <w:lang w:val="en-US" w:eastAsia="zh-CN" w:bidi="ar-SA"/>
              </w:rPr>
              <w:t>，用“项目采购-开标评标”功能进行解密磋商响应文件。</w:t>
            </w:r>
          </w:p>
          <w:p w14:paraId="3C5F4BEC">
            <w:pPr>
              <w:pStyle w:val="32"/>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解密响应文件后，30分钟内在线签字确认，超过时间没有在线签字确认的系统将自动视为供应商认可</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w:t>
            </w:r>
          </w:p>
        </w:tc>
      </w:tr>
      <w:tr w14:paraId="0A75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44BD8E94">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942" w:type="dxa"/>
            <w:noWrap w:val="0"/>
            <w:vAlign w:val="center"/>
          </w:tcPr>
          <w:p w14:paraId="72FB60F4">
            <w:pPr>
              <w:spacing w:line="360" w:lineRule="auto"/>
              <w:ind w:firstLine="105" w:firstLineChars="5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noWrap w:val="0"/>
            <w:vAlign w:val="center"/>
          </w:tcPr>
          <w:p w14:paraId="6C2FC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6912" w:type="dxa"/>
            <w:noWrap w:val="0"/>
            <w:vAlign w:val="center"/>
          </w:tcPr>
          <w:p w14:paraId="115720C5">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14:paraId="0D83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03D210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42" w:type="dxa"/>
            <w:noWrap w:val="0"/>
            <w:vAlign w:val="center"/>
          </w:tcPr>
          <w:p w14:paraId="3F6958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noWrap w:val="0"/>
            <w:vAlign w:val="center"/>
          </w:tcPr>
          <w:p w14:paraId="063193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6912" w:type="dxa"/>
            <w:noWrap w:val="0"/>
            <w:vAlign w:val="top"/>
          </w:tcPr>
          <w:p w14:paraId="48677DDE">
            <w:pPr>
              <w:spacing w:line="360" w:lineRule="auto"/>
              <w:ind w:left="315"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378E29DF">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19.2.2磋商地点：本项目需要磋商供应商代表在截标当天截标后，按磋商小组要求及时登陆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5DEE9D43">
            <w:pPr>
              <w:spacing w:line="360" w:lineRule="auto"/>
              <w:ind w:left="15" w:hanging="14" w:hangingChars="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w:t>
            </w:r>
            <w:r>
              <w:rPr>
                <w:rFonts w:hint="eastAsia" w:ascii="宋体" w:hAnsi="宋体" w:eastAsia="宋体" w:cs="宋体"/>
                <w:color w:val="auto"/>
                <w:szCs w:val="21"/>
                <w:highlight w:val="none"/>
                <w:u w:val="none"/>
              </w:rPr>
              <w:t>理人持有效身份证原件</w:t>
            </w:r>
            <w:r>
              <w:rPr>
                <w:rFonts w:hint="eastAsia" w:ascii="宋体" w:hAnsi="宋体" w:eastAsia="宋体" w:cs="宋体"/>
                <w:color w:val="auto"/>
                <w:szCs w:val="21"/>
                <w:highlight w:val="none"/>
                <w:u w:val="none"/>
                <w:lang w:eastAsia="zh-CN"/>
              </w:rPr>
              <w:t>和供应商</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参加磋商。请供应商按时到达指定地点等候磋商。</w:t>
            </w:r>
          </w:p>
          <w:p w14:paraId="6F970E77">
            <w:pPr>
              <w:tabs>
                <w:tab w:val="left" w:pos="114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47F0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2457A47">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942" w:type="dxa"/>
            <w:noWrap w:val="0"/>
            <w:vAlign w:val="center"/>
          </w:tcPr>
          <w:p w14:paraId="46B204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noWrap w:val="0"/>
            <w:vAlign w:val="center"/>
          </w:tcPr>
          <w:p w14:paraId="2B74AAB7">
            <w:pPr>
              <w:pStyle w:val="14"/>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912" w:type="dxa"/>
            <w:noWrap w:val="0"/>
            <w:vAlign w:val="center"/>
          </w:tcPr>
          <w:p w14:paraId="012D9F91">
            <w:pPr>
              <w:tabs>
                <w:tab w:val="left" w:pos="11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673B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56EF75AB">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42" w:type="dxa"/>
            <w:noWrap w:val="0"/>
            <w:vAlign w:val="center"/>
          </w:tcPr>
          <w:p w14:paraId="1295BE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noWrap w:val="0"/>
            <w:vAlign w:val="center"/>
          </w:tcPr>
          <w:p w14:paraId="424A2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912" w:type="dxa"/>
            <w:noWrap w:val="0"/>
            <w:vAlign w:val="center"/>
          </w:tcPr>
          <w:p w14:paraId="70285EEA">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w:t>
            </w:r>
            <w:r>
              <w:rPr>
                <w:rFonts w:hint="eastAsia" w:ascii="宋体" w:hAnsi="宋体" w:cs="宋体"/>
                <w:color w:val="auto"/>
                <w:szCs w:val="21"/>
                <w:highlight w:val="none"/>
                <w:lang w:eastAsia="zh-CN"/>
              </w:rPr>
              <w:t>号</w:t>
            </w:r>
            <w:r>
              <w:rPr>
                <w:rFonts w:hint="eastAsia" w:ascii="宋体" w:hAnsi="宋体" w:eastAsia="宋体" w:cs="宋体"/>
                <w:color w:val="auto"/>
                <w:szCs w:val="21"/>
                <w:highlight w:val="none"/>
              </w:rPr>
              <w:t>），由采购代理机构对第一成交候选人进行信用查询：</w:t>
            </w:r>
          </w:p>
          <w:p w14:paraId="13CE2E0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6744DBAA">
            <w:pPr>
              <w:spacing w:line="360" w:lineRule="auto"/>
              <w:ind w:left="315"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53565DB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77B25FAC">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0C67F5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7263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3D327E9F">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42" w:type="dxa"/>
            <w:noWrap w:val="0"/>
            <w:vAlign w:val="center"/>
          </w:tcPr>
          <w:p w14:paraId="4A675C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noWrap w:val="0"/>
            <w:vAlign w:val="center"/>
          </w:tcPr>
          <w:p w14:paraId="6C4DA3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5FE320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912" w:type="dxa"/>
            <w:noWrap w:val="0"/>
            <w:vAlign w:val="top"/>
          </w:tcPr>
          <w:p w14:paraId="5D21D9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4E510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tc>
      </w:tr>
      <w:tr w14:paraId="1806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075C00A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42" w:type="dxa"/>
            <w:noWrap w:val="0"/>
            <w:vAlign w:val="center"/>
          </w:tcPr>
          <w:p w14:paraId="128C10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noWrap w:val="0"/>
            <w:vAlign w:val="center"/>
          </w:tcPr>
          <w:p w14:paraId="55970E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912" w:type="dxa"/>
            <w:noWrap w:val="0"/>
            <w:vAlign w:val="center"/>
          </w:tcPr>
          <w:p w14:paraId="26125F06">
            <w:pPr>
              <w:numPr>
                <w:ilvl w:val="0"/>
                <w:numId w:val="0"/>
              </w:numPr>
              <w:bidi w:val="0"/>
              <w:rPr>
                <w:rFonts w:hint="eastAsia" w:ascii="宋体" w:hAnsi="宋体" w:eastAsia="宋体" w:cs="宋体"/>
                <w:color w:val="auto"/>
                <w:szCs w:val="21"/>
                <w:highlight w:val="none"/>
                <w:lang w:val="en-US" w:eastAsia="zh-CN"/>
              </w:rPr>
            </w:pPr>
            <w:r>
              <w:rPr>
                <w:rFonts w:hint="eastAsia" w:hAnsi="宋体" w:cs="宋体"/>
                <w:color w:val="auto"/>
                <w:szCs w:val="21"/>
                <w:highlight w:val="none"/>
              </w:rPr>
              <w:t>本项目无需缴纳履约保证金。</w:t>
            </w:r>
          </w:p>
        </w:tc>
      </w:tr>
      <w:tr w14:paraId="42BE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8A5AB9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42" w:type="dxa"/>
            <w:noWrap w:val="0"/>
            <w:vAlign w:val="center"/>
          </w:tcPr>
          <w:p w14:paraId="188971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noWrap w:val="0"/>
            <w:vAlign w:val="center"/>
          </w:tcPr>
          <w:p w14:paraId="284D9D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912" w:type="dxa"/>
            <w:noWrap w:val="0"/>
            <w:vAlign w:val="top"/>
          </w:tcPr>
          <w:p w14:paraId="10978BF6">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lang w:eastAsia="zh-CN"/>
              </w:rPr>
              <w:t>个工作日内签订合同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供应商收到</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通知书后，应按规定与采购人在“</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”上在线签订电子合同。</w:t>
            </w:r>
          </w:p>
        </w:tc>
      </w:tr>
      <w:tr w14:paraId="3764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1FC075D">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42" w:type="dxa"/>
            <w:noWrap w:val="0"/>
            <w:vAlign w:val="center"/>
          </w:tcPr>
          <w:p w14:paraId="74E6E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noWrap w:val="0"/>
            <w:vAlign w:val="center"/>
          </w:tcPr>
          <w:p w14:paraId="086759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912" w:type="dxa"/>
            <w:noWrap w:val="0"/>
            <w:vAlign w:val="center"/>
          </w:tcPr>
          <w:p w14:paraId="6C3CF8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tc>
      </w:tr>
      <w:tr w14:paraId="2819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02F6BF1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42" w:type="dxa"/>
            <w:noWrap w:val="0"/>
            <w:vAlign w:val="center"/>
          </w:tcPr>
          <w:p w14:paraId="485F02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noWrap w:val="0"/>
            <w:vAlign w:val="center"/>
          </w:tcPr>
          <w:p w14:paraId="56F732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912" w:type="dxa"/>
            <w:noWrap w:val="0"/>
            <w:vAlign w:val="top"/>
          </w:tcPr>
          <w:p w14:paraId="6957A730">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本项目不收取采购代理服务费</w:t>
            </w:r>
          </w:p>
        </w:tc>
      </w:tr>
      <w:tr w14:paraId="468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B6E75C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42" w:type="dxa"/>
            <w:noWrap w:val="0"/>
            <w:vAlign w:val="center"/>
          </w:tcPr>
          <w:p w14:paraId="6725E8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noWrap w:val="0"/>
            <w:vAlign w:val="center"/>
          </w:tcPr>
          <w:p w14:paraId="61B2177E">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编制依据</w:t>
            </w:r>
          </w:p>
        </w:tc>
        <w:tc>
          <w:tcPr>
            <w:tcW w:w="6912" w:type="dxa"/>
            <w:noWrap w:val="0"/>
            <w:vAlign w:val="top"/>
          </w:tcPr>
          <w:p w14:paraId="56F1356B">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w:t>
            </w:r>
          </w:p>
        </w:tc>
      </w:tr>
      <w:tr w14:paraId="16F6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72374946">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942" w:type="dxa"/>
            <w:noWrap w:val="0"/>
            <w:vAlign w:val="center"/>
          </w:tcPr>
          <w:p w14:paraId="375B2A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58EB2B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6912" w:type="dxa"/>
            <w:noWrap w:val="0"/>
            <w:vAlign w:val="center"/>
          </w:tcPr>
          <w:p w14:paraId="49388E3A">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荔浦市财政局</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 xml:space="preserve">0773-7233366 </w:t>
            </w:r>
          </w:p>
        </w:tc>
      </w:tr>
    </w:tbl>
    <w:p w14:paraId="4F604281">
      <w:pPr>
        <w:pStyle w:val="22"/>
        <w:ind w:left="0" w:leftChars="0" w:firstLine="0" w:firstLineChars="0"/>
        <w:rPr>
          <w:rFonts w:hint="eastAsia" w:ascii="宋体" w:hAnsi="宋体" w:eastAsia="宋体" w:cs="宋体"/>
          <w:b/>
          <w:color w:val="auto"/>
          <w:sz w:val="28"/>
          <w:szCs w:val="28"/>
          <w:highlight w:val="none"/>
        </w:rPr>
      </w:pPr>
    </w:p>
    <w:p w14:paraId="5264107D">
      <w:pPr>
        <w:rPr>
          <w:rFonts w:hint="eastAsia" w:ascii="宋体" w:hAnsi="宋体" w:eastAsia="宋体" w:cs="宋体"/>
          <w:color w:val="auto"/>
          <w:highlight w:val="none"/>
        </w:rPr>
      </w:pPr>
    </w:p>
    <w:p w14:paraId="36C08822">
      <w:pPr>
        <w:rPr>
          <w:rFonts w:hint="eastAsia" w:ascii="宋体" w:hAnsi="宋体" w:eastAsia="宋体" w:cs="宋体"/>
          <w:b/>
          <w:bCs w:val="0"/>
          <w:color w:val="auto"/>
          <w:szCs w:val="28"/>
          <w:highlight w:val="none"/>
        </w:rPr>
      </w:pPr>
      <w:bookmarkStart w:id="74" w:name="_Toc2976"/>
      <w:bookmarkStart w:id="75" w:name="_Toc30008"/>
      <w:bookmarkStart w:id="76" w:name="_Toc1676"/>
      <w:bookmarkStart w:id="77" w:name="_Toc19410"/>
      <w:bookmarkStart w:id="78" w:name="_Toc10058"/>
      <w:bookmarkStart w:id="79" w:name="_Toc22792"/>
      <w:bookmarkStart w:id="80" w:name="_Toc29465"/>
      <w:r>
        <w:rPr>
          <w:rFonts w:hint="eastAsia" w:ascii="宋体" w:hAnsi="宋体" w:eastAsia="宋体" w:cs="宋体"/>
          <w:b/>
          <w:bCs w:val="0"/>
          <w:color w:val="auto"/>
          <w:szCs w:val="28"/>
          <w:highlight w:val="none"/>
        </w:rPr>
        <w:br w:type="page"/>
      </w:r>
    </w:p>
    <w:p w14:paraId="29FCCF4C">
      <w:pPr>
        <w:pStyle w:val="4"/>
        <w:jc w:val="center"/>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rPr>
        <w:t>一、总则</w:t>
      </w:r>
      <w:bookmarkEnd w:id="74"/>
      <w:bookmarkEnd w:id="75"/>
      <w:bookmarkEnd w:id="76"/>
      <w:bookmarkEnd w:id="77"/>
      <w:bookmarkEnd w:id="78"/>
      <w:bookmarkEnd w:id="79"/>
      <w:bookmarkEnd w:id="80"/>
    </w:p>
    <w:p w14:paraId="273C2E6C">
      <w:pPr>
        <w:pStyle w:val="5"/>
        <w:spacing w:before="0" w:after="0" w:line="360" w:lineRule="auto"/>
        <w:ind w:firstLine="420" w:firstLineChars="200"/>
        <w:rPr>
          <w:rFonts w:hint="eastAsia" w:ascii="宋体" w:hAnsi="宋体" w:eastAsia="宋体" w:cs="宋体"/>
          <w:color w:val="auto"/>
          <w:sz w:val="21"/>
          <w:szCs w:val="21"/>
          <w:highlight w:val="none"/>
        </w:rPr>
      </w:pPr>
      <w:bookmarkStart w:id="81" w:name="_Toc397"/>
      <w:bookmarkStart w:id="82" w:name="_Toc6626"/>
      <w:bookmarkStart w:id="83" w:name="_Toc9110"/>
      <w:bookmarkStart w:id="84" w:name="_Toc9118"/>
      <w:bookmarkStart w:id="85" w:name="_Toc18277"/>
      <w:bookmarkStart w:id="86" w:name="_Toc24721"/>
      <w:bookmarkStart w:id="87" w:name="_Toc3607"/>
      <w:r>
        <w:rPr>
          <w:rFonts w:hint="eastAsia" w:ascii="宋体" w:hAnsi="宋体" w:eastAsia="宋体" w:cs="宋体"/>
          <w:color w:val="auto"/>
          <w:sz w:val="21"/>
          <w:szCs w:val="21"/>
          <w:highlight w:val="none"/>
        </w:rPr>
        <w:t>1. 适应范围</w:t>
      </w:r>
      <w:bookmarkEnd w:id="81"/>
      <w:bookmarkEnd w:id="82"/>
      <w:bookmarkEnd w:id="83"/>
      <w:bookmarkEnd w:id="84"/>
      <w:bookmarkEnd w:id="85"/>
      <w:bookmarkEnd w:id="86"/>
      <w:bookmarkEnd w:id="87"/>
    </w:p>
    <w:p w14:paraId="77C91E50">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70DA8B1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荔浦市电子政务外网横向接入专线服务</w:t>
      </w:r>
      <w:r>
        <w:rPr>
          <w:rFonts w:hint="eastAsia" w:ascii="宋体" w:hAnsi="宋体" w:eastAsia="宋体" w:cs="宋体"/>
          <w:color w:val="auto"/>
          <w:sz w:val="21"/>
          <w:szCs w:val="21"/>
          <w:highlight w:val="none"/>
        </w:rPr>
        <w:t xml:space="preserve"> </w:t>
      </w:r>
    </w:p>
    <w:p w14:paraId="07CDA5F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Style w:val="38"/>
          <w:rFonts w:hint="eastAsia" w:ascii="宋体"/>
          <w:color w:val="auto"/>
          <w:szCs w:val="21"/>
          <w:highlight w:val="none"/>
          <w:lang w:val="en-US" w:eastAsia="zh-CN"/>
        </w:rPr>
        <w:t>GLZC2026-C3-310007-GLSZ</w:t>
      </w:r>
    </w:p>
    <w:p w14:paraId="1AE51823">
      <w:pPr>
        <w:spacing w:line="3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06FB9717">
      <w:pPr>
        <w:pStyle w:val="5"/>
        <w:spacing w:before="0" w:after="0" w:line="360" w:lineRule="auto"/>
        <w:ind w:firstLine="420" w:firstLineChars="200"/>
        <w:rPr>
          <w:rFonts w:hint="eastAsia" w:ascii="宋体" w:hAnsi="宋体" w:eastAsia="宋体" w:cs="宋体"/>
          <w:color w:val="auto"/>
          <w:sz w:val="21"/>
          <w:szCs w:val="21"/>
          <w:highlight w:val="none"/>
        </w:rPr>
      </w:pPr>
      <w:bookmarkStart w:id="88" w:name="_Toc28336"/>
      <w:bookmarkStart w:id="89" w:name="_Toc5137"/>
      <w:bookmarkStart w:id="90" w:name="_Toc21032"/>
      <w:bookmarkStart w:id="91" w:name="_Toc24246"/>
      <w:bookmarkStart w:id="92" w:name="_Toc3355"/>
      <w:bookmarkStart w:id="93" w:name="_Toc30427"/>
      <w:bookmarkStart w:id="94" w:name="_Toc20311"/>
      <w:r>
        <w:rPr>
          <w:rFonts w:hint="eastAsia" w:ascii="宋体" w:hAnsi="宋体" w:eastAsia="宋体" w:cs="宋体"/>
          <w:color w:val="auto"/>
          <w:sz w:val="21"/>
          <w:szCs w:val="21"/>
          <w:highlight w:val="none"/>
        </w:rPr>
        <w:t>2. 定义</w:t>
      </w:r>
      <w:bookmarkEnd w:id="88"/>
      <w:bookmarkEnd w:id="89"/>
      <w:bookmarkEnd w:id="90"/>
      <w:bookmarkEnd w:id="91"/>
      <w:bookmarkEnd w:id="92"/>
      <w:bookmarkEnd w:id="93"/>
      <w:bookmarkEnd w:id="94"/>
    </w:p>
    <w:p w14:paraId="088CD38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75B4361E">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5B3BFD6A">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3E9811D1">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043CD87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6651139D">
      <w:pPr>
        <w:pStyle w:val="5"/>
        <w:spacing w:before="0" w:after="0" w:line="360" w:lineRule="auto"/>
        <w:ind w:firstLine="420" w:firstLineChars="200"/>
        <w:rPr>
          <w:rFonts w:hint="eastAsia" w:ascii="宋体" w:hAnsi="宋体" w:eastAsia="宋体" w:cs="宋体"/>
          <w:color w:val="auto"/>
          <w:sz w:val="21"/>
          <w:szCs w:val="21"/>
          <w:highlight w:val="none"/>
        </w:rPr>
      </w:pPr>
      <w:bookmarkStart w:id="95" w:name="_Toc21725"/>
      <w:bookmarkStart w:id="96" w:name="_Toc8267"/>
      <w:bookmarkStart w:id="97" w:name="_Toc19559"/>
      <w:bookmarkStart w:id="98" w:name="_Toc25441"/>
      <w:bookmarkStart w:id="99" w:name="_Toc10645"/>
      <w:bookmarkStart w:id="100" w:name="_Toc21872"/>
      <w:bookmarkStart w:id="101" w:name="_Toc23631"/>
      <w:r>
        <w:rPr>
          <w:rFonts w:hint="eastAsia" w:ascii="宋体" w:hAnsi="宋体" w:eastAsia="宋体" w:cs="宋体"/>
          <w:color w:val="auto"/>
          <w:sz w:val="21"/>
          <w:szCs w:val="21"/>
          <w:highlight w:val="none"/>
        </w:rPr>
        <w:t>3. 供应商资格</w:t>
      </w:r>
      <w:bookmarkEnd w:id="95"/>
      <w:bookmarkEnd w:id="96"/>
      <w:bookmarkEnd w:id="97"/>
      <w:bookmarkEnd w:id="98"/>
      <w:bookmarkEnd w:id="99"/>
      <w:bookmarkEnd w:id="100"/>
      <w:bookmarkEnd w:id="101"/>
    </w:p>
    <w:p w14:paraId="44A019D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3.1符合《中华人民共和国政府采购法》第二十二条和《政府采购法实施条例》第十八条规定，具备合法资格的供应商；</w:t>
      </w:r>
    </w:p>
    <w:p w14:paraId="78A6BE3D">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3.2本项目不接受联合体参与磋商；</w:t>
      </w:r>
    </w:p>
    <w:p w14:paraId="53C539C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bCs/>
          <w:color w:val="auto"/>
          <w:szCs w:val="21"/>
          <w:highlight w:val="none"/>
          <w:lang w:eastAsia="zh-CN"/>
        </w:rPr>
        <w:t>；</w:t>
      </w:r>
    </w:p>
    <w:p w14:paraId="507AE3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bookmarkStart w:id="102" w:name="_Toc16496"/>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cs="宋体"/>
          <w:b/>
          <w:bCs/>
          <w:color w:val="auto"/>
          <w:sz w:val="21"/>
          <w:szCs w:val="21"/>
          <w:highlight w:val="none"/>
          <w:lang w:val="en-US" w:eastAsia="zh-CN"/>
        </w:rPr>
        <w:t>无</w:t>
      </w:r>
      <w:r>
        <w:rPr>
          <w:rFonts w:hint="eastAsia" w:ascii="宋体" w:hAnsi="宋体" w:eastAsia="宋体" w:cs="宋体"/>
          <w:b/>
          <w:bCs/>
          <w:color w:val="auto"/>
          <w:sz w:val="21"/>
          <w:szCs w:val="21"/>
          <w:highlight w:val="none"/>
          <w:lang w:val="en-US" w:eastAsia="zh-CN"/>
        </w:rPr>
        <w:t>；</w:t>
      </w:r>
    </w:p>
    <w:p w14:paraId="39BA39CF">
      <w:pPr>
        <w:keepNext w:val="0"/>
        <w:keepLines w:val="0"/>
        <w:spacing w:before="0" w:after="0" w:line="360" w:lineRule="exact"/>
        <w:ind w:firstLine="420" w:firstLineChars="200"/>
        <w:rPr>
          <w:rFonts w:hint="eastAsia" w:ascii="宋体" w:hAnsi="宋体" w:eastAsia="宋体" w:cs="宋体"/>
          <w:b w:val="0"/>
          <w:bCs w:val="0"/>
          <w:color w:val="auto"/>
          <w:sz w:val="21"/>
          <w:szCs w:val="21"/>
          <w:highlight w:val="none"/>
          <w:lang w:eastAsia="zh-CN"/>
        </w:rPr>
      </w:pPr>
      <w:bookmarkStart w:id="103" w:name="_Toc5736"/>
      <w:bookmarkStart w:id="104" w:name="_Toc10069"/>
      <w:bookmarkStart w:id="105" w:name="_Toc32646"/>
      <w:bookmarkStart w:id="106" w:name="_Toc4527"/>
      <w:bookmarkStart w:id="107" w:name="_Toc5959"/>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bookmarkEnd w:id="103"/>
      <w:bookmarkEnd w:id="104"/>
      <w:bookmarkEnd w:id="105"/>
      <w:bookmarkEnd w:id="106"/>
      <w:bookmarkEnd w:id="107"/>
      <w:r>
        <w:rPr>
          <w:rFonts w:hint="eastAsia" w:ascii="宋体" w:hAnsi="宋体" w:cs="宋体"/>
          <w:b/>
          <w:bCs/>
          <w:color w:val="auto"/>
          <w:sz w:val="21"/>
          <w:szCs w:val="21"/>
          <w:highlight w:val="none"/>
          <w:lang w:val="en-US" w:eastAsia="zh-CN"/>
        </w:rPr>
        <w:t>无</w:t>
      </w:r>
      <w:r>
        <w:rPr>
          <w:rFonts w:hint="eastAsia" w:ascii="宋体" w:hAnsi="宋体" w:eastAsia="宋体" w:cs="宋体"/>
          <w:b/>
          <w:bCs/>
          <w:color w:val="auto"/>
          <w:sz w:val="21"/>
          <w:szCs w:val="21"/>
          <w:highlight w:val="none"/>
          <w:lang w:val="en-US" w:eastAsia="zh-CN"/>
        </w:rPr>
        <w:t>；</w:t>
      </w:r>
    </w:p>
    <w:p w14:paraId="700B3736">
      <w:pPr>
        <w:spacing w:line="400" w:lineRule="exact"/>
        <w:ind w:firstLine="435"/>
        <w:rPr>
          <w:rFonts w:hint="eastAsia" w:ascii="宋体" w:hAnsi="宋体" w:cs="宋体"/>
          <w:b/>
          <w:color w:val="auto"/>
          <w:szCs w:val="21"/>
          <w:highlight w:val="none"/>
        </w:rPr>
      </w:pPr>
      <w:r>
        <w:rPr>
          <w:rFonts w:hint="eastAsia" w:ascii="宋体" w:hAnsi="宋体" w:cs="宋体"/>
          <w:b/>
          <w:color w:val="auto"/>
          <w:szCs w:val="21"/>
          <w:highlight w:val="none"/>
        </w:rPr>
        <w:t>3.6实质性要求：</w:t>
      </w:r>
      <w:r>
        <w:rPr>
          <w:rFonts w:hint="eastAsia" w:ascii="宋体" w:hAnsi="宋体" w:cs="宋体"/>
          <w:b/>
          <w:color w:val="auto"/>
          <w:szCs w:val="21"/>
          <w:highlight w:val="none"/>
          <w:lang w:val="en-US" w:eastAsia="zh-CN"/>
        </w:rPr>
        <w:t>“采购需求”中所有要求均为实质性要求，不允许负偏离，否则视为无效响应。带“▲”号的参数为重要技术指标及要求，将作为评审依据</w:t>
      </w:r>
      <w:r>
        <w:rPr>
          <w:rFonts w:hint="eastAsia" w:ascii="宋体" w:hAnsi="宋体" w:cs="宋体"/>
          <w:b/>
          <w:bCs w:val="0"/>
          <w:color w:val="auto"/>
          <w:szCs w:val="21"/>
          <w:highlight w:val="none"/>
        </w:rPr>
        <w:t>。</w:t>
      </w:r>
    </w:p>
    <w:p w14:paraId="4C9151FA">
      <w:pPr>
        <w:pStyle w:val="5"/>
        <w:spacing w:before="0" w:after="0" w:line="360" w:lineRule="auto"/>
        <w:ind w:firstLine="420" w:firstLineChars="200"/>
        <w:rPr>
          <w:rFonts w:hint="eastAsia" w:ascii="宋体" w:hAnsi="宋体" w:eastAsia="宋体" w:cs="宋体"/>
          <w:color w:val="auto"/>
          <w:sz w:val="21"/>
          <w:szCs w:val="21"/>
          <w:highlight w:val="none"/>
        </w:rPr>
      </w:pPr>
      <w:bookmarkStart w:id="108" w:name="_Toc18835"/>
      <w:bookmarkStart w:id="109" w:name="_Toc17825"/>
      <w:bookmarkStart w:id="110" w:name="_Toc15983"/>
      <w:bookmarkStart w:id="111" w:name="_Toc2401"/>
      <w:bookmarkStart w:id="112" w:name="_Toc26672"/>
      <w:bookmarkStart w:id="113" w:name="_Toc30597"/>
      <w:r>
        <w:rPr>
          <w:rFonts w:hint="eastAsia" w:ascii="宋体" w:hAnsi="宋体" w:eastAsia="宋体" w:cs="宋体"/>
          <w:color w:val="auto"/>
          <w:sz w:val="21"/>
          <w:szCs w:val="21"/>
          <w:highlight w:val="none"/>
        </w:rPr>
        <w:t>4. 磋商费用</w:t>
      </w:r>
      <w:bookmarkEnd w:id="102"/>
      <w:bookmarkEnd w:id="108"/>
      <w:bookmarkEnd w:id="109"/>
      <w:bookmarkEnd w:id="110"/>
      <w:bookmarkEnd w:id="111"/>
      <w:bookmarkEnd w:id="112"/>
      <w:bookmarkEnd w:id="113"/>
    </w:p>
    <w:p w14:paraId="1F1E9C9C">
      <w:pPr>
        <w:tabs>
          <w:tab w:val="left" w:pos="1635"/>
        </w:tabs>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6395237F">
      <w:pPr>
        <w:pStyle w:val="5"/>
        <w:numPr>
          <w:ilvl w:val="0"/>
          <w:numId w:val="3"/>
        </w:numPr>
        <w:spacing w:before="0" w:after="0" w:line="360" w:lineRule="auto"/>
        <w:ind w:firstLine="420" w:firstLineChars="200"/>
        <w:rPr>
          <w:rFonts w:hint="eastAsia" w:ascii="宋体" w:hAnsi="宋体" w:eastAsia="宋体" w:cs="宋体"/>
          <w:color w:val="auto"/>
          <w:sz w:val="21"/>
          <w:szCs w:val="21"/>
          <w:highlight w:val="none"/>
        </w:rPr>
      </w:pPr>
      <w:bookmarkStart w:id="114" w:name="_Toc23088"/>
      <w:bookmarkStart w:id="115" w:name="_Toc1271"/>
      <w:bookmarkStart w:id="116" w:name="_Toc31376"/>
      <w:bookmarkStart w:id="117" w:name="_Toc3729"/>
      <w:bookmarkStart w:id="118" w:name="_Toc31044"/>
      <w:bookmarkStart w:id="119" w:name="_Toc6933"/>
      <w:bookmarkStart w:id="120" w:name="_Toc13872"/>
      <w:r>
        <w:rPr>
          <w:rFonts w:hint="eastAsia" w:ascii="宋体" w:hAnsi="宋体" w:eastAsia="宋体" w:cs="宋体"/>
          <w:color w:val="auto"/>
          <w:sz w:val="21"/>
          <w:szCs w:val="21"/>
          <w:highlight w:val="none"/>
        </w:rPr>
        <w:t>联合体要求</w:t>
      </w:r>
      <w:bookmarkEnd w:id="114"/>
      <w:bookmarkEnd w:id="115"/>
      <w:bookmarkEnd w:id="116"/>
      <w:bookmarkEnd w:id="117"/>
      <w:bookmarkEnd w:id="118"/>
      <w:bookmarkEnd w:id="119"/>
      <w:bookmarkEnd w:id="120"/>
    </w:p>
    <w:p w14:paraId="3A4D898F">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3D207B34">
      <w:pPr>
        <w:pStyle w:val="5"/>
        <w:numPr>
          <w:ilvl w:val="0"/>
          <w:numId w:val="3"/>
        </w:numPr>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1" w:name="_Toc25429"/>
      <w:bookmarkStart w:id="122" w:name="_Toc12345"/>
      <w:bookmarkStart w:id="123" w:name="_Toc19438"/>
      <w:bookmarkStart w:id="124" w:name="_Toc16359"/>
      <w:bookmarkStart w:id="125" w:name="_Toc17658"/>
      <w:bookmarkStart w:id="126" w:name="_Toc4152"/>
      <w:bookmarkStart w:id="127" w:name="_Toc12624"/>
      <w:bookmarkStart w:id="128" w:name="_Toc6579"/>
      <w:r>
        <w:rPr>
          <w:rFonts w:hint="eastAsia" w:ascii="宋体" w:hAnsi="宋体" w:eastAsia="宋体" w:cs="宋体"/>
          <w:color w:val="000000" w:themeColor="text1"/>
          <w:sz w:val="21"/>
          <w:szCs w:val="21"/>
          <w:highlight w:val="none"/>
          <w14:textFill>
            <w14:solidFill>
              <w14:schemeClr w14:val="tx1"/>
            </w14:solidFill>
          </w14:textFill>
        </w:rPr>
        <w:t>转包与分包</w:t>
      </w:r>
      <w:bookmarkEnd w:id="121"/>
      <w:bookmarkEnd w:id="122"/>
      <w:bookmarkEnd w:id="123"/>
    </w:p>
    <w:p w14:paraId="7B1B4E69">
      <w:pPr>
        <w:bidi w:val="0"/>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.1 本项目不允许转包。</w:t>
      </w:r>
    </w:p>
    <w:p w14:paraId="757BFF18">
      <w:pPr>
        <w:bidi w:val="0"/>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本项目不可以分包。</w:t>
      </w:r>
    </w:p>
    <w:p w14:paraId="6123785A">
      <w:pPr>
        <w:pStyle w:val="5"/>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9" w:name="_Toc1788"/>
      <w:bookmarkStart w:id="130" w:name="_Toc25136"/>
      <w:bookmarkStart w:id="131" w:name="_Toc27497"/>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质疑和投诉</w:t>
      </w:r>
      <w:bookmarkEnd w:id="129"/>
      <w:bookmarkEnd w:id="130"/>
      <w:bookmarkEnd w:id="131"/>
      <w:r>
        <w:rPr>
          <w:rFonts w:hint="eastAsia" w:ascii="宋体" w:hAnsi="宋体" w:eastAsia="宋体" w:cs="宋体"/>
          <w:color w:val="000000" w:themeColor="text1"/>
          <w:sz w:val="21"/>
          <w:szCs w:val="21"/>
          <w:highlight w:val="none"/>
          <w14:textFill>
            <w14:solidFill>
              <w14:schemeClr w14:val="tx1"/>
            </w14:solidFill>
          </w14:textFill>
        </w:rPr>
        <w:tab/>
      </w:r>
    </w:p>
    <w:p w14:paraId="19AB2358">
      <w:pPr>
        <w:pStyle w:val="32"/>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供应商认为磋商文件使自己的合法权益受到损害的，应当在本项目竞争性磋商公告期限届满之日起七个工作日内以书面形式向采购人或桂林市政府集中采购中心提出质疑。供应商认为招标过程或中标结果使自己的合法权益受到损害的，应当在采购程序环节结束之日或中标</w:t>
      </w: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（成交）</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公告期限届满之日起七个工作日内，以书面形式向采购人或桂林市政府集中采购中心提出质疑。</w:t>
      </w:r>
    </w:p>
    <w:p w14:paraId="6ABF3778">
      <w:pPr>
        <w:pStyle w:val="32"/>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接收质疑函方式：以书面形式（原件）提交。</w:t>
      </w:r>
    </w:p>
    <w:p w14:paraId="18F79E36">
      <w:pPr>
        <w:pStyle w:val="32"/>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质疑联系人：桂林市政府集中采购中心，联系电话：0773-5625162</w:t>
      </w:r>
    </w:p>
    <w:p w14:paraId="25913A4D">
      <w:pPr>
        <w:pStyle w:val="32"/>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通讯地址：桂林市临桂区西城中路69号创业大厦西辅楼5楼574室</w:t>
      </w:r>
    </w:p>
    <w:p w14:paraId="101F4DD4">
      <w:pPr>
        <w:pStyle w:val="32"/>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.2收到供应商书面质疑函后，采购人应当在七个工作日内对质疑事项作出答复（答复内容不得涉及商业秘密），并委托采购代理机构以书面形式通知质疑供应商，在财政部门指定的媒体发布质疑答复公告。</w:t>
      </w:r>
    </w:p>
    <w:p w14:paraId="26380139">
      <w:pPr>
        <w:pStyle w:val="32"/>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.3供应商对采购人或采购代理机构的答复不满意，或者采购人或采购代理机构未在规定的时间内作出答复的，可以在答复期满后十五个工作日内向本级财政部门投诉。</w:t>
      </w:r>
    </w:p>
    <w:p w14:paraId="105B4F9F">
      <w:pPr>
        <w:pStyle w:val="32"/>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.4质疑、投诉应当采用书面形式，质疑书、投诉书实行实名制，均应明确阐述招标文件、招标过程或中标结果中使自己合法权益受到损害的实质性内容，并提供必要的证明材料。</w:t>
      </w:r>
    </w:p>
    <w:p w14:paraId="60A363AB">
      <w:pPr>
        <w:pStyle w:val="32"/>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.5供应商在法定质疑期内应当一次性提出针对同一采购程序环节的质疑。</w:t>
      </w:r>
    </w:p>
    <w:p w14:paraId="5A4489F3">
      <w:pPr>
        <w:pStyle w:val="32"/>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.6 不在法定质疑期内提出的质疑函可以拒收。不符合要求的质疑函在法定质疑期内及时补充完整，否则作质疑不成立处理。</w:t>
      </w:r>
    </w:p>
    <w:p w14:paraId="34010E83">
      <w:pPr>
        <w:pStyle w:val="5"/>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32" w:name="_Toc25632"/>
      <w:bookmarkStart w:id="133" w:name="_Toc25995"/>
      <w:bookmarkStart w:id="134" w:name="_Toc22055"/>
      <w:r>
        <w:rPr>
          <w:rFonts w:hint="eastAsia" w:ascii="宋体" w:hAnsi="宋体" w:eastAsia="宋体" w:cs="宋体"/>
          <w:color w:val="000000" w:themeColor="text1"/>
          <w:sz w:val="21"/>
          <w:szCs w:val="21"/>
          <w:highlight w:val="none"/>
          <w14:textFill>
            <w14:solidFill>
              <w14:schemeClr w14:val="tx1"/>
            </w14:solidFill>
          </w14:textFill>
        </w:rPr>
        <w:t>8. 特别说明</w:t>
      </w:r>
      <w:bookmarkEnd w:id="132"/>
      <w:bookmarkEnd w:id="133"/>
      <w:bookmarkEnd w:id="134"/>
    </w:p>
    <w:p w14:paraId="1DAD0B5B">
      <w:pPr>
        <w:tabs>
          <w:tab w:val="left" w:pos="1635"/>
        </w:tabs>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8.1关联供应商不得参加同一合同项下政府采购活动，否则响应文件将被视为无效：</w:t>
      </w:r>
    </w:p>
    <w:p w14:paraId="510872E3">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（1）单位负责人为同一人或者存在直接控股、管理关系的，不得参加同一合同项下的政府采购活动。</w:t>
      </w:r>
    </w:p>
    <w:p w14:paraId="0CE96DA1">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）为本采购项目提供整体设计、规范编制或者项目管理、监理、检测等服务的供应商，不得再参加本次采购活动。</w:t>
      </w:r>
    </w:p>
    <w:p w14:paraId="4A6826D4">
      <w:pPr>
        <w:tabs>
          <w:tab w:val="left" w:pos="1635"/>
        </w:tabs>
        <w:spacing w:line="360" w:lineRule="exact"/>
        <w:ind w:firstLine="435"/>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8.2</w:t>
      </w:r>
      <w:r>
        <w:rPr>
          <w:rFonts w:hint="eastAsia" w:ascii="宋体" w:hAnsi="宋体" w:eastAsia="宋体" w:cs="宋体"/>
          <w:b/>
          <w:bCs/>
          <w:color w:val="000000" w:themeColor="text1"/>
          <w:szCs w:val="21"/>
          <w:highlight w:val="none"/>
          <w14:textFill>
            <w14:solidFill>
              <w14:schemeClr w14:val="tx1"/>
            </w14:solidFill>
          </w14:textFill>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bookmarkEnd w:id="124"/>
    <w:bookmarkEnd w:id="125"/>
    <w:bookmarkEnd w:id="126"/>
    <w:bookmarkEnd w:id="127"/>
    <w:bookmarkEnd w:id="128"/>
    <w:p w14:paraId="0962AA2A">
      <w:pPr>
        <w:pStyle w:val="10"/>
        <w:rPr>
          <w:rFonts w:hint="eastAsia" w:ascii="宋体" w:hAnsi="宋体" w:eastAsia="宋体" w:cs="宋体"/>
          <w:color w:val="auto"/>
          <w:highlight w:val="none"/>
        </w:rPr>
      </w:pPr>
    </w:p>
    <w:p w14:paraId="75ECEF67">
      <w:pPr>
        <w:pStyle w:val="4"/>
        <w:jc w:val="center"/>
        <w:rPr>
          <w:rFonts w:hint="eastAsia" w:ascii="宋体" w:hAnsi="宋体" w:eastAsia="宋体" w:cs="宋体"/>
          <w:b/>
          <w:bCs w:val="0"/>
          <w:color w:val="auto"/>
          <w:szCs w:val="28"/>
          <w:highlight w:val="none"/>
        </w:rPr>
      </w:pPr>
      <w:bookmarkStart w:id="135" w:name="_Toc8933"/>
      <w:bookmarkStart w:id="136" w:name="_Toc20463"/>
      <w:bookmarkStart w:id="137" w:name="_Toc22498"/>
      <w:bookmarkStart w:id="138" w:name="_Toc25445"/>
      <w:bookmarkStart w:id="139" w:name="_Toc2933"/>
      <w:bookmarkStart w:id="140" w:name="_Toc10909"/>
      <w:bookmarkStart w:id="141" w:name="_Toc13647"/>
      <w:r>
        <w:rPr>
          <w:rFonts w:hint="eastAsia" w:ascii="宋体" w:hAnsi="宋体" w:eastAsia="宋体" w:cs="宋体"/>
          <w:b/>
          <w:bCs w:val="0"/>
          <w:color w:val="auto"/>
          <w:szCs w:val="28"/>
          <w:highlight w:val="none"/>
        </w:rPr>
        <w:t>二、磋商文件</w:t>
      </w:r>
      <w:bookmarkEnd w:id="135"/>
      <w:bookmarkEnd w:id="136"/>
      <w:bookmarkEnd w:id="137"/>
      <w:bookmarkEnd w:id="138"/>
      <w:bookmarkEnd w:id="139"/>
      <w:bookmarkEnd w:id="140"/>
      <w:bookmarkEnd w:id="141"/>
    </w:p>
    <w:p w14:paraId="0AE9107D">
      <w:pPr>
        <w:pStyle w:val="5"/>
        <w:spacing w:before="0" w:after="0" w:line="360" w:lineRule="auto"/>
        <w:ind w:firstLine="420" w:firstLineChars="200"/>
        <w:rPr>
          <w:rFonts w:hint="eastAsia" w:ascii="宋体" w:hAnsi="宋体" w:eastAsia="宋体" w:cs="宋体"/>
          <w:color w:val="auto"/>
          <w:sz w:val="21"/>
          <w:szCs w:val="21"/>
          <w:highlight w:val="none"/>
          <w:lang w:val="pt-BR"/>
        </w:rPr>
      </w:pPr>
      <w:bookmarkStart w:id="142" w:name="_Toc26780"/>
      <w:bookmarkStart w:id="143" w:name="_Toc23259"/>
      <w:bookmarkStart w:id="144" w:name="_Toc5891"/>
      <w:bookmarkStart w:id="145" w:name="_Toc18964"/>
      <w:bookmarkStart w:id="146" w:name="_Toc23298"/>
      <w:bookmarkStart w:id="147" w:name="_Toc20523"/>
      <w:bookmarkStart w:id="148" w:name="_Toc16130"/>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142"/>
      <w:bookmarkEnd w:id="143"/>
      <w:bookmarkEnd w:id="144"/>
      <w:bookmarkEnd w:id="145"/>
      <w:bookmarkEnd w:id="146"/>
      <w:bookmarkEnd w:id="147"/>
      <w:bookmarkEnd w:id="148"/>
    </w:p>
    <w:p w14:paraId="75BE3ECC">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08F74075">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34614625">
      <w:pPr>
        <w:spacing w:beforeLines="0" w:afterLines="0"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14:paraId="5B9ECD16">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303C3944">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0B1F09CF">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3FEC6B29">
      <w:pPr>
        <w:pStyle w:val="5"/>
        <w:spacing w:before="0" w:after="0" w:line="360" w:lineRule="auto"/>
        <w:ind w:firstLine="420" w:firstLineChars="200"/>
        <w:rPr>
          <w:rFonts w:hint="eastAsia" w:ascii="宋体" w:hAnsi="宋体" w:eastAsia="宋体" w:cs="宋体"/>
          <w:color w:val="auto"/>
          <w:sz w:val="21"/>
          <w:szCs w:val="21"/>
          <w:highlight w:val="none"/>
        </w:rPr>
      </w:pPr>
      <w:bookmarkStart w:id="149" w:name="_Toc1452"/>
      <w:bookmarkStart w:id="150" w:name="_Toc9103"/>
      <w:bookmarkStart w:id="151" w:name="_Toc16622"/>
      <w:bookmarkStart w:id="152" w:name="_Toc14609"/>
      <w:bookmarkStart w:id="153" w:name="_Toc17224"/>
      <w:bookmarkStart w:id="154" w:name="_Toc9902"/>
      <w:bookmarkStart w:id="155" w:name="_Toc26072"/>
      <w:r>
        <w:rPr>
          <w:rFonts w:hint="eastAsia" w:ascii="宋体" w:hAnsi="宋体" w:eastAsia="宋体" w:cs="宋体"/>
          <w:color w:val="auto"/>
          <w:sz w:val="21"/>
          <w:szCs w:val="21"/>
          <w:highlight w:val="none"/>
        </w:rPr>
        <w:t>10. 磋商文件的澄清与修改</w:t>
      </w:r>
      <w:bookmarkEnd w:id="149"/>
      <w:bookmarkEnd w:id="150"/>
      <w:bookmarkEnd w:id="151"/>
      <w:bookmarkEnd w:id="152"/>
      <w:bookmarkEnd w:id="153"/>
      <w:bookmarkEnd w:id="154"/>
      <w:bookmarkEnd w:id="155"/>
    </w:p>
    <w:p w14:paraId="26F02DF1">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提交首次响应文件截止之日前，采购代理机构可以对已发出的磋商文件进行必要澄清、答复、修改或</w:t>
      </w:r>
    </w:p>
    <w:p w14:paraId="16B70257">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1C3A65C7">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w:t>
      </w:r>
    </w:p>
    <w:p w14:paraId="3586CE5E">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商未及时登录相关网站了解澄清、修改等与项目有关的内容，从而导致响应文件无效的，由供应商自行承担责任。</w:t>
      </w:r>
    </w:p>
    <w:p w14:paraId="73BE171F">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w:t>
      </w:r>
    </w:p>
    <w:p w14:paraId="658D6CF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后发出的文件为准。</w:t>
      </w:r>
    </w:p>
    <w:p w14:paraId="7A03E9D4">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磋商文件的澄清或者修改都应该通过本项目采购代理机构以法定形式发布，采购人非通过本机构，不</w:t>
      </w:r>
    </w:p>
    <w:p w14:paraId="04815D4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得擅自澄清或者修改磋商文件。</w:t>
      </w:r>
    </w:p>
    <w:p w14:paraId="0968D55A">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w:t>
      </w:r>
    </w:p>
    <w:p w14:paraId="0F17B5A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同一媒体上发布变更公告。</w:t>
      </w:r>
    </w:p>
    <w:p w14:paraId="1E9A50C9">
      <w:pPr>
        <w:pStyle w:val="32"/>
        <w:rPr>
          <w:rFonts w:hint="eastAsia" w:ascii="宋体" w:hAnsi="宋体" w:eastAsia="宋体" w:cs="宋体"/>
          <w:color w:val="auto"/>
          <w:highlight w:val="none"/>
        </w:rPr>
      </w:pPr>
    </w:p>
    <w:p w14:paraId="7345EA43">
      <w:pPr>
        <w:pStyle w:val="4"/>
        <w:jc w:val="center"/>
        <w:rPr>
          <w:rFonts w:hint="eastAsia" w:ascii="宋体" w:hAnsi="宋体" w:eastAsia="宋体" w:cs="宋体"/>
          <w:b/>
          <w:bCs w:val="0"/>
          <w:color w:val="auto"/>
          <w:szCs w:val="28"/>
          <w:highlight w:val="none"/>
        </w:rPr>
      </w:pPr>
      <w:bookmarkStart w:id="156" w:name="_Toc20641"/>
      <w:bookmarkStart w:id="157" w:name="_Toc10425"/>
      <w:bookmarkStart w:id="158" w:name="_Toc22859"/>
      <w:bookmarkStart w:id="159" w:name="_Toc20830"/>
      <w:bookmarkStart w:id="160" w:name="_Toc16747"/>
      <w:bookmarkStart w:id="161" w:name="_Toc26342"/>
      <w:bookmarkStart w:id="162" w:name="_Toc13951"/>
      <w:r>
        <w:rPr>
          <w:rFonts w:hint="eastAsia" w:ascii="宋体" w:hAnsi="宋体" w:eastAsia="宋体" w:cs="宋体"/>
          <w:b/>
          <w:bCs w:val="0"/>
          <w:color w:val="auto"/>
          <w:szCs w:val="28"/>
          <w:highlight w:val="none"/>
        </w:rPr>
        <w:t>三、竞争性磋商响应文件的编制</w:t>
      </w:r>
      <w:bookmarkEnd w:id="156"/>
      <w:bookmarkEnd w:id="157"/>
      <w:bookmarkEnd w:id="158"/>
      <w:bookmarkEnd w:id="159"/>
      <w:bookmarkEnd w:id="160"/>
      <w:bookmarkEnd w:id="161"/>
      <w:bookmarkEnd w:id="162"/>
    </w:p>
    <w:p w14:paraId="3F0F3D41">
      <w:pPr>
        <w:pStyle w:val="5"/>
        <w:spacing w:before="0" w:after="0" w:line="360" w:lineRule="auto"/>
        <w:ind w:firstLine="420" w:firstLineChars="200"/>
        <w:jc w:val="left"/>
        <w:rPr>
          <w:rFonts w:hint="eastAsia" w:ascii="宋体" w:hAnsi="宋体" w:eastAsia="宋体" w:cs="宋体"/>
          <w:b/>
          <w:color w:val="auto"/>
          <w:sz w:val="21"/>
          <w:szCs w:val="21"/>
          <w:highlight w:val="none"/>
          <w:lang w:val="en-US" w:eastAsia="zh-CN"/>
        </w:rPr>
      </w:pPr>
      <w:bookmarkStart w:id="163" w:name="_Toc772"/>
      <w:bookmarkStart w:id="164" w:name="_Toc21093"/>
      <w:bookmarkStart w:id="165" w:name="_Toc15096"/>
      <w:bookmarkStart w:id="166" w:name="_Toc26575"/>
      <w:bookmarkStart w:id="167" w:name="_Toc1090"/>
      <w:bookmarkStart w:id="168" w:name="_Toc19625"/>
      <w:r>
        <w:rPr>
          <w:rFonts w:hint="eastAsia" w:ascii="宋体" w:hAnsi="宋体" w:eastAsia="宋体" w:cs="宋体"/>
          <w:b/>
          <w:color w:val="auto"/>
          <w:sz w:val="21"/>
          <w:szCs w:val="21"/>
          <w:highlight w:val="none"/>
          <w:lang w:val="en-US" w:eastAsia="zh-CN"/>
        </w:rPr>
        <w:t>11.竞争性磋商响应文件编制基本要求</w:t>
      </w:r>
      <w:bookmarkEnd w:id="163"/>
      <w:bookmarkEnd w:id="164"/>
      <w:bookmarkEnd w:id="165"/>
      <w:bookmarkEnd w:id="166"/>
      <w:bookmarkEnd w:id="167"/>
      <w:bookmarkEnd w:id="168"/>
    </w:p>
    <w:p w14:paraId="35FD053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 本项目实行电子投标，供应商应准备电子磋商响应文件：</w:t>
      </w:r>
    </w:p>
    <w:p w14:paraId="03D6D483">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11.1.1 电子响应文件按</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要求及本磋商文件要求制作、加密并递交。具体操作流程可参考《政府采购项目电子交易管理操作指南-供应商》，指南可在</w:t>
      </w:r>
      <w:r>
        <w:rPr>
          <w:rFonts w:ascii="宋体" w:hAnsi="宋体" w:cs="宋体"/>
          <w:b/>
          <w:bCs/>
          <w:color w:val="000000"/>
          <w:szCs w:val="21"/>
        </w:rPr>
        <w:t xml:space="preserve"> “</w:t>
      </w:r>
      <w:r>
        <w:rPr>
          <w:rFonts w:hint="eastAsia" w:ascii="宋体" w:hAnsi="宋体" w:cs="宋体"/>
          <w:b/>
          <w:bCs/>
          <w:color w:val="000000"/>
          <w:szCs w:val="21"/>
        </w:rPr>
        <w:t>广西政府采购云平台</w:t>
      </w:r>
      <w:r>
        <w:rPr>
          <w:rFonts w:ascii="宋体" w:hAnsi="宋体" w:cs="宋体"/>
          <w:b/>
          <w:bCs/>
          <w:color w:val="000000"/>
          <w:szCs w:val="21"/>
        </w:rPr>
        <w:t>”</w:t>
      </w:r>
      <w:r>
        <w:rPr>
          <w:rFonts w:hint="eastAsia" w:ascii="宋体" w:hAnsi="宋体" w:eastAsia="宋体" w:cs="宋体"/>
          <w:b/>
          <w:bCs/>
          <w:color w:val="auto"/>
          <w:szCs w:val="21"/>
          <w:highlight w:val="none"/>
          <w:lang w:val="en-US" w:eastAsia="zh-CN"/>
        </w:rPr>
        <w:t xml:space="preserve">下载。 </w:t>
      </w:r>
    </w:p>
    <w:p w14:paraId="30D2EDE7">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2D5102B5">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45E96B9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1A60A7F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998028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三个月内任意一个月养老保险证明扫描件</w:t>
      </w:r>
      <w:r>
        <w:rPr>
          <w:rFonts w:hint="eastAsia" w:ascii="宋体" w:hAnsi="宋体" w:eastAsia="宋体" w:cs="宋体"/>
          <w:color w:val="auto"/>
          <w:szCs w:val="21"/>
          <w:highlight w:val="none"/>
        </w:rPr>
        <w:t>，除供应商为以下</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种情形的：</w:t>
      </w:r>
    </w:p>
    <w:p w14:paraId="6E830326">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015DF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或事业单位机构为其发放工资的工资条</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1FCDFC45">
      <w:pPr>
        <w:spacing w:beforeLines="0" w:afterLines="0" w:line="360" w:lineRule="auto"/>
        <w:ind w:firstLine="420" w:firstLineChars="200"/>
        <w:jc w:val="left"/>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③如委托代理人为免缴纳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人员，提供免缴纳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的证明材料</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及供应商与委托代理人签订的劳动合同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p>
    <w:p w14:paraId="1984F5FB">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01418B3">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w:t>
      </w:r>
      <w:r>
        <w:rPr>
          <w:rFonts w:hint="eastAsia" w:ascii="宋体" w:hAnsi="宋体" w:cs="宋体"/>
          <w:b/>
          <w:bCs/>
          <w:color w:val="auto"/>
          <w:szCs w:val="21"/>
          <w:highlight w:val="none"/>
          <w:lang w:eastAsia="zh-CN"/>
        </w:rPr>
        <w:t>三个月内任意一个月养老保险证明扫描件，</w:t>
      </w:r>
      <w:r>
        <w:rPr>
          <w:rFonts w:hint="eastAsia" w:ascii="宋体" w:hAnsi="宋体" w:cs="宋体"/>
          <w:b/>
          <w:bCs/>
          <w:color w:val="auto"/>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（委托代理时必须提供；如为联合体的，授权委托书原件须由牵头人出具）</w:t>
      </w:r>
    </w:p>
    <w:p w14:paraId="72BF623C">
      <w:pPr>
        <w:numPr>
          <w:ilvl w:val="-1"/>
          <w:numId w:val="0"/>
        </w:numPr>
        <w:spacing w:line="360" w:lineRule="auto"/>
        <w:ind w:firstLine="210" w:firstLine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000000" w:themeColor="text1"/>
          <w:szCs w:val="21"/>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Cs w:val="21"/>
          <w:highlight w:val="none"/>
          <w14:textFill>
            <w14:solidFill>
              <w14:schemeClr w14:val="tx1"/>
            </w14:solidFill>
          </w14:textFill>
        </w:rPr>
        <w:t>（必须提供）；</w:t>
      </w:r>
    </w:p>
    <w:p w14:paraId="49363E38">
      <w:pPr>
        <w:pStyle w:val="10"/>
        <w:numPr>
          <w:ilvl w:val="0"/>
          <w:numId w:val="0"/>
        </w:numPr>
        <w:ind w:firstLine="420" w:firstLineChars="200"/>
        <w:rPr>
          <w:rFonts w:hint="eastAsia" w:ascii="宋体" w:hAnsi="宋体" w:eastAsia="宋体" w:cs="宋体"/>
          <w:color w:val="auto"/>
          <w:highlight w:val="none"/>
        </w:rPr>
      </w:pPr>
      <w:r>
        <w:rPr>
          <w:rFonts w:hint="eastAsia" w:ascii="宋体" w:hAnsi="宋体" w:eastAsia="宋体" w:cs="宋体"/>
          <w:b/>
          <w:bCs/>
          <w:lang w:eastAsia="zh-CN"/>
        </w:rPr>
        <w:t>注：</w:t>
      </w:r>
      <w:r>
        <w:rPr>
          <w:rFonts w:hint="eastAsia" w:ascii="宋体" w:hAnsi="宋体" w:eastAsia="宋体" w:cs="宋体"/>
          <w:b/>
          <w:bCs/>
          <w:lang w:val="en-US" w:eastAsia="zh-CN"/>
        </w:rPr>
        <w:t>供应商</w:t>
      </w:r>
      <w:r>
        <w:rPr>
          <w:rFonts w:hint="eastAsia" w:ascii="宋体" w:hAnsi="宋体" w:eastAsia="宋体" w:cs="宋体"/>
          <w:b/>
          <w:bCs/>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lang w:val="en-US" w:eastAsia="zh-CN"/>
        </w:rPr>
        <w:t>供应商</w:t>
      </w:r>
      <w:r>
        <w:rPr>
          <w:rFonts w:hint="eastAsia" w:ascii="宋体" w:hAnsi="宋体" w:eastAsia="宋体" w:cs="宋体"/>
          <w:b/>
          <w:bCs/>
          <w:lang w:eastAsia="zh-CN"/>
        </w:rPr>
        <w:t>根据注册地信用中国网站的要求获取。</w:t>
      </w:r>
    </w:p>
    <w:p w14:paraId="1DC93B08">
      <w:pPr>
        <w:numPr>
          <w:ilvl w:val="0"/>
          <w:numId w:val="4"/>
        </w:num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（必须提供，自然人除外）；</w:t>
      </w:r>
    </w:p>
    <w:p w14:paraId="2E65BF23">
      <w:pPr>
        <w:tabs>
          <w:tab w:val="left" w:pos="1305"/>
        </w:tabs>
        <w:spacing w:line="400" w:lineRule="exact"/>
        <w:ind w:firstLine="420" w:firstLineChars="200"/>
        <w:rPr>
          <w:rFonts w:ascii="宋体" w:hAnsi="宋体" w:cs="宋体"/>
          <w:color w:val="000000"/>
          <w:szCs w:val="21"/>
          <w:u w:val="single"/>
        </w:rPr>
      </w:pPr>
      <w:r>
        <w:rPr>
          <w:rFonts w:hint="eastAsia" w:ascii="宋体" w:hAnsi="宋体" w:cs="宋体"/>
          <w:b/>
          <w:color w:val="000000"/>
          <w:szCs w:val="21"/>
          <w:u w:val="none"/>
        </w:rPr>
        <w:t>注：供应商为企业（包括合伙企业），应提供</w:t>
      </w:r>
      <w:r>
        <w:rPr>
          <w:rFonts w:hint="eastAsia" w:ascii="宋体" w:hAnsi="宋体" w:cs="宋体"/>
          <w:b/>
          <w:color w:val="000000"/>
          <w:szCs w:val="21"/>
          <w:u w:val="none"/>
          <w:lang w:eastAsia="zh-CN"/>
        </w:rPr>
        <w:t>市场监管部门（登记机关）</w:t>
      </w:r>
      <w:r>
        <w:rPr>
          <w:rFonts w:hint="eastAsia" w:ascii="宋体" w:hAnsi="宋体" w:cs="宋体"/>
          <w:b/>
          <w:color w:val="000000"/>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66C2AFFA">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财务状况报告</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Cs w:val="21"/>
          <w:highlight w:val="none"/>
        </w:rPr>
        <w:t>；</w:t>
      </w:r>
    </w:p>
    <w:p w14:paraId="1FEF43CD">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在磋商当天前</w:t>
      </w:r>
      <w:r>
        <w:rPr>
          <w:rFonts w:hint="eastAsia" w:ascii="宋体" w:hAnsi="宋体" w:eastAsia="宋体" w:cs="宋体"/>
          <w:color w:val="auto"/>
          <w:szCs w:val="21"/>
          <w:highlight w:val="none"/>
        </w:rPr>
        <w:t>近半年内任意一个月或任一季度依法缴纳税收的证明材料【增值税发票(税收完税证明)或企业所得税完税证明或税务部门出具的免税证明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30A59D13">
      <w:pPr>
        <w:pStyle w:val="22"/>
        <w:spacing w:beforeLines="0" w:afterLines="0"/>
        <w:ind w:left="0" w:leftChars="0" w:firstLine="420"/>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22231FC7">
      <w:pPr>
        <w:spacing w:beforeLines="0" w:afterLines="0"/>
        <w:ind w:left="0" w:leftChars="0" w:firstLine="420" w:firstLineChars="200"/>
        <w:jc w:val="left"/>
        <w:rPr>
          <w:rFonts w:hint="eastAsia" w:ascii="宋体" w:hAnsi="宋体" w:eastAsia="宋体" w:cs="宋体"/>
          <w:color w:val="auto"/>
          <w:szCs w:val="21"/>
          <w:highlight w:val="none"/>
        </w:rPr>
      </w:pPr>
      <w:bookmarkStart w:id="169" w:name="_Toc16312"/>
      <w:bookmarkStart w:id="170" w:name="_Toc28932"/>
      <w:bookmarkStart w:id="171" w:name="_Toc294"/>
      <w:bookmarkStart w:id="172" w:name="_Toc2809"/>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bookmarkEnd w:id="169"/>
      <w:r>
        <w:rPr>
          <w:rFonts w:hint="eastAsia" w:ascii="宋体" w:hAnsi="宋体" w:eastAsia="宋体" w:cs="宋体"/>
          <w:b/>
          <w:bCs/>
          <w:color w:val="auto"/>
          <w:sz w:val="21"/>
          <w:szCs w:val="21"/>
          <w:highlight w:val="none"/>
          <w:lang w:val="en-US" w:eastAsia="zh-CN"/>
        </w:rPr>
        <w:t>；</w:t>
      </w:r>
      <w:bookmarkEnd w:id="170"/>
      <w:bookmarkEnd w:id="171"/>
      <w:bookmarkEnd w:id="172"/>
    </w:p>
    <w:p w14:paraId="56DE2D2C">
      <w:pPr>
        <w:tabs>
          <w:tab w:val="left" w:pos="1305"/>
        </w:tabs>
        <w:spacing w:line="36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14:paraId="76B2172D">
      <w:pPr>
        <w:tabs>
          <w:tab w:val="left" w:pos="1305"/>
        </w:tabs>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eastAsia="zh-CN"/>
        </w:rPr>
        <w:t>服务响应</w:t>
      </w:r>
      <w:r>
        <w:rPr>
          <w:rFonts w:hint="default" w:ascii="宋体" w:hAnsi="宋体" w:eastAsia="宋体" w:cs="宋体"/>
          <w:color w:val="auto"/>
          <w:sz w:val="21"/>
          <w:szCs w:val="21"/>
        </w:rPr>
        <w:t>表</w:t>
      </w:r>
      <w:r>
        <w:rPr>
          <w:rFonts w:hint="eastAsia" w:ascii="宋体" w:hAnsi="宋体" w:eastAsia="宋体" w:cs="宋体"/>
          <w:b w:val="0"/>
          <w:bCs w:val="0"/>
          <w:color w:val="auto"/>
          <w:sz w:val="21"/>
          <w:szCs w:val="21"/>
          <w:highlight w:val="none"/>
        </w:rPr>
        <w:t>（格式见附件）</w:t>
      </w:r>
      <w:r>
        <w:rPr>
          <w:rFonts w:hint="eastAsia" w:ascii="宋体" w:hAnsi="宋体" w:eastAsia="宋体" w:cs="宋体"/>
          <w:b/>
          <w:bCs/>
          <w:color w:val="auto"/>
          <w:sz w:val="21"/>
          <w:szCs w:val="21"/>
          <w:highlight w:val="none"/>
        </w:rPr>
        <w:t>（必须提供）</w:t>
      </w:r>
      <w:r>
        <w:rPr>
          <w:rFonts w:hint="eastAsia" w:ascii="宋体" w:hAnsi="宋体" w:eastAsia="宋体" w:cs="宋体"/>
          <w:bCs/>
          <w:szCs w:val="21"/>
        </w:rPr>
        <w:t>；</w:t>
      </w:r>
    </w:p>
    <w:p w14:paraId="41642CED">
      <w:pPr>
        <w:tabs>
          <w:tab w:val="left" w:pos="1305"/>
        </w:tabs>
        <w:spacing w:beforeLines="-2147483648" w:afterLines="-2147483648" w:line="36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4</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rPr>
        <w:t>商务响应表</w:t>
      </w:r>
      <w:r>
        <w:rPr>
          <w:rFonts w:hint="eastAsia" w:ascii="宋体" w:hAnsi="宋体" w:eastAsia="宋体" w:cs="宋体"/>
          <w:b w:val="0"/>
          <w:bCs w:val="0"/>
          <w:color w:val="auto"/>
          <w:sz w:val="21"/>
          <w:szCs w:val="21"/>
          <w:highlight w:val="none"/>
        </w:rPr>
        <w:t>（格式见附件）</w:t>
      </w:r>
      <w:r>
        <w:rPr>
          <w:rFonts w:hint="eastAsia" w:ascii="宋体" w:hAnsi="宋体" w:eastAsia="宋体" w:cs="宋体"/>
          <w:b/>
          <w:bCs/>
          <w:color w:val="auto"/>
          <w:sz w:val="21"/>
          <w:szCs w:val="21"/>
          <w:highlight w:val="none"/>
        </w:rPr>
        <w:t>（必须提供）</w:t>
      </w:r>
      <w:r>
        <w:rPr>
          <w:rFonts w:hint="eastAsia" w:ascii="宋体" w:hAnsi="宋体" w:eastAsia="宋体" w:cs="宋体"/>
          <w:bCs/>
          <w:szCs w:val="21"/>
        </w:rPr>
        <w:t>；</w:t>
      </w:r>
    </w:p>
    <w:p w14:paraId="5302ED09">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）服务承诺书（由供应商根据本项目采购需求、特点及供应商自身的处理能力自行编写，承诺书内容至少应包括“采购需求”中的所有服务条款）</w:t>
      </w:r>
      <w:r>
        <w:rPr>
          <w:rFonts w:hint="eastAsia" w:ascii="宋体" w:hAnsi="宋体" w:eastAsia="宋体" w:cs="宋体"/>
          <w:b w:val="0"/>
          <w:bCs w:val="0"/>
          <w:color w:val="auto"/>
          <w:szCs w:val="21"/>
          <w:highlight w:val="none"/>
        </w:rPr>
        <w:t>（格式见附件）</w:t>
      </w:r>
      <w:r>
        <w:rPr>
          <w:rFonts w:hint="eastAsia" w:ascii="宋体" w:hAnsi="宋体" w:eastAsia="宋体" w:cs="宋体"/>
          <w:b/>
          <w:bCs/>
          <w:color w:val="auto"/>
          <w:szCs w:val="21"/>
          <w:highlight w:val="none"/>
        </w:rPr>
        <w:t>（必须提供）；</w:t>
      </w:r>
    </w:p>
    <w:p w14:paraId="218BEFC1">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针对本项目的服务方案（</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p w14:paraId="72C65395">
      <w:pPr>
        <w:pStyle w:val="22"/>
        <w:spacing w:beforeLines="0" w:afterLines="0"/>
        <w:ind w:left="0" w:leftChars="0"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4DCDA788">
      <w:pPr>
        <w:spacing w:beforeLines="0" w:afterLines="0" w:line="360" w:lineRule="auto"/>
        <w:ind w:firstLine="420"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项目实施人员一览表（格式见附件）</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eastAsia="zh-CN"/>
        </w:rPr>
        <w:t>；</w:t>
      </w:r>
    </w:p>
    <w:p w14:paraId="0F79FAC5">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）“采购需求”需提供的有效证明文件</w:t>
      </w:r>
      <w:r>
        <w:rPr>
          <w:rFonts w:hint="eastAsia" w:ascii="宋体" w:hAnsi="宋体" w:eastAsia="宋体" w:cs="宋体"/>
          <w:b/>
          <w:bCs/>
          <w:color w:val="auto"/>
          <w:szCs w:val="21"/>
          <w:highlight w:val="none"/>
        </w:rPr>
        <w:t>（如有，请提供）；</w:t>
      </w:r>
    </w:p>
    <w:p w14:paraId="11FDC9D3">
      <w:pPr>
        <w:numPr>
          <w:ilvl w:val="0"/>
          <w:numId w:val="0"/>
        </w:numPr>
        <w:tabs>
          <w:tab w:val="left" w:pos="1305"/>
        </w:tabs>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Cs w:val="21"/>
          <w:highlight w:val="none"/>
        </w:rPr>
        <w:t>（如有，请提供）；</w:t>
      </w:r>
    </w:p>
    <w:p w14:paraId="3FFDA6FA">
      <w:pPr>
        <w:spacing w:beforeLines="0" w:afterLines="0" w:line="360" w:lineRule="auto"/>
        <w:ind w:firstLine="420" w:firstLineChars="200"/>
        <w:jc w:val="left"/>
        <w:rPr>
          <w:rFonts w:hint="eastAsia" w:ascii="宋体" w:hAnsi="宋体" w:cs="宋体"/>
          <w:b/>
          <w:bCs/>
          <w:color w:val="auto"/>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bCs/>
          <w:color w:val="auto"/>
          <w:szCs w:val="21"/>
          <w:highlight w:val="none"/>
        </w:rPr>
        <w:t>（如有，请提供）</w:t>
      </w:r>
      <w:r>
        <w:rPr>
          <w:rFonts w:hint="eastAsia" w:ascii="宋体" w:hAnsi="宋体" w:cs="宋体"/>
          <w:b/>
          <w:bCs/>
          <w:color w:val="auto"/>
          <w:szCs w:val="21"/>
          <w:highlight w:val="none"/>
          <w:lang w:eastAsia="zh-CN"/>
        </w:rPr>
        <w:t>；</w:t>
      </w:r>
    </w:p>
    <w:p w14:paraId="226AA5D3">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）《中小企业声明函》（见附件）</w:t>
      </w:r>
      <w:r>
        <w:rPr>
          <w:rFonts w:hint="eastAsia" w:ascii="宋体" w:hAnsi="宋体" w:eastAsia="宋体" w:cs="宋体"/>
          <w:b/>
          <w:bCs/>
          <w:color w:val="000000" w:themeColor="text1"/>
          <w:szCs w:val="21"/>
          <w:highlight w:val="none"/>
          <w:lang w:val="en-US" w:eastAsia="zh-CN"/>
          <w14:textFill>
            <w14:solidFill>
              <w14:schemeClr w14:val="tx1"/>
            </w14:solidFill>
          </w14:textFill>
        </w:rPr>
        <w:t>（除监狱企业及残疾人福利性单位外，</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5333DBC7">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en-US" w:eastAsia="zh-CN"/>
          <w14:textFill>
            <w14:solidFill>
              <w14:schemeClr w14:val="tx1"/>
            </w14:solidFill>
          </w14:textFill>
        </w:rPr>
        <w:t>）如提供服务的供应商属于监狱企业的，应当提供由省级以上监狱管理局、戒毒管理局等（含新疆生产建设兵团）出具的属于监狱企业的证明文件,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（如供应商属于监狱企业的，</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3328E148">
      <w:pPr>
        <w:spacing w:line="360" w:lineRule="auto"/>
        <w:ind w:firstLine="420" w:firstLineChars="200"/>
        <w:rPr>
          <w:rFonts w:hint="eastAsia" w:ascii="宋体" w:hAnsi="宋体" w:cs="宋体"/>
          <w:b/>
          <w:bCs/>
          <w:color w:val="auto"/>
          <w:szCs w:val="21"/>
          <w:highlight w:val="none"/>
          <w:lang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en-US" w:eastAsia="zh-CN"/>
          <w14:textFill>
            <w14:solidFill>
              <w14:schemeClr w14:val="tx1"/>
            </w14:solidFill>
          </w14:textFill>
        </w:rPr>
        <w:t>）符合条件的残疾人福利性单位在参加政府采购活动时，应当提供《残疾人福利性单位声明函》（见附件），并对声明的真实性负责；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（如供应商属于残疾人福利性单位的，</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w:t>
      </w:r>
    </w:p>
    <w:p w14:paraId="2DC1FB9A">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磋商供应商</w:t>
      </w:r>
      <w:r>
        <w:rPr>
          <w:rFonts w:hint="eastAsia" w:ascii="宋体" w:hAnsi="宋体" w:eastAsia="宋体" w:cs="宋体"/>
          <w:b/>
          <w:bCs/>
          <w:color w:val="auto"/>
          <w:highlight w:val="none"/>
        </w:rPr>
        <w:t>公章（CA签章）</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自然人</w:t>
      </w:r>
      <w:r>
        <w:rPr>
          <w:rFonts w:hint="eastAsia" w:ascii="宋体" w:hAnsi="宋体" w:eastAsia="宋体" w:cs="宋体"/>
          <w:b/>
          <w:bCs/>
          <w:color w:val="auto"/>
          <w:highlight w:val="none"/>
          <w:lang w:eastAsia="zh-CN"/>
        </w:rPr>
        <w:t>签字或</w:t>
      </w:r>
      <w:r>
        <w:rPr>
          <w:rFonts w:hint="eastAsia" w:ascii="宋体" w:hAnsi="宋体" w:eastAsia="宋体" w:cs="宋体"/>
          <w:b/>
          <w:bCs/>
          <w:color w:val="auto"/>
          <w:highlight w:val="none"/>
          <w:lang w:val="en-US" w:eastAsia="zh-CN"/>
        </w:rPr>
        <w:t>个人</w:t>
      </w:r>
      <w:r>
        <w:rPr>
          <w:rFonts w:hint="eastAsia" w:ascii="宋体" w:hAnsi="宋体" w:eastAsia="宋体" w:cs="宋体"/>
          <w:b/>
          <w:bCs/>
          <w:color w:val="auto"/>
          <w:highlight w:val="none"/>
        </w:rPr>
        <w:t>CA签章，否则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5782EAB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612C474A">
      <w:pPr>
        <w:spacing w:beforeLines="0" w:afterLines="0" w:line="36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3DE0B753">
      <w:pPr>
        <w:spacing w:beforeLines="0" w:afterLines="0" w:line="36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252AAAB7">
      <w:pPr>
        <w:numPr>
          <w:ilvl w:val="0"/>
          <w:numId w:val="5"/>
        </w:numPr>
        <w:spacing w:beforeLines="0" w:afterLines="0" w:line="360" w:lineRule="exact"/>
        <w:ind w:left="0" w:leftChars="0"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eastAsia="宋体" w:cs="宋体"/>
          <w:b/>
          <w:bCs/>
          <w:color w:val="auto"/>
          <w:szCs w:val="21"/>
          <w:highlight w:val="none"/>
          <w:lang w:val="en-US" w:eastAsia="zh-CN"/>
        </w:rPr>
        <w:t>CA签章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5D52CC00">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73" w:name="_Toc27408"/>
      <w:bookmarkStart w:id="174" w:name="_Toc6845"/>
      <w:bookmarkStart w:id="175" w:name="_Toc13440"/>
      <w:bookmarkStart w:id="176" w:name="_Toc27925"/>
      <w:bookmarkStart w:id="177" w:name="_Toc2180"/>
      <w:bookmarkStart w:id="178" w:name="_Toc714"/>
      <w:bookmarkStart w:id="179" w:name="_Toc31718"/>
      <w:r>
        <w:rPr>
          <w:rFonts w:hint="eastAsia" w:ascii="宋体" w:hAnsi="宋体" w:eastAsia="宋体" w:cs="宋体"/>
          <w:color w:val="auto"/>
          <w:sz w:val="21"/>
          <w:szCs w:val="21"/>
          <w:highlight w:val="none"/>
        </w:rPr>
        <w:t>12. 响应文件的语言及计量</w:t>
      </w:r>
      <w:bookmarkEnd w:id="173"/>
      <w:bookmarkEnd w:id="174"/>
      <w:bookmarkEnd w:id="175"/>
      <w:bookmarkEnd w:id="176"/>
      <w:bookmarkEnd w:id="177"/>
      <w:bookmarkEnd w:id="178"/>
      <w:bookmarkEnd w:id="179"/>
    </w:p>
    <w:p w14:paraId="6BFE6F9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4C1E544F">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39A2CF94">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80" w:name="_Toc30930"/>
      <w:bookmarkStart w:id="181" w:name="_Toc27987"/>
      <w:bookmarkStart w:id="182" w:name="_Toc8329"/>
      <w:bookmarkStart w:id="183" w:name="_Toc16743"/>
      <w:bookmarkStart w:id="184" w:name="_Toc31576"/>
      <w:bookmarkStart w:id="185" w:name="_Toc31582"/>
      <w:bookmarkStart w:id="186" w:name="_Toc10838"/>
      <w:r>
        <w:rPr>
          <w:rFonts w:hint="eastAsia" w:ascii="宋体" w:hAnsi="宋体" w:eastAsia="宋体" w:cs="宋体"/>
          <w:color w:val="auto"/>
          <w:sz w:val="21"/>
          <w:szCs w:val="21"/>
          <w:highlight w:val="none"/>
        </w:rPr>
        <w:t>13. 磋商报价及采购预算金额</w:t>
      </w:r>
      <w:bookmarkEnd w:id="180"/>
      <w:bookmarkEnd w:id="181"/>
      <w:bookmarkEnd w:id="182"/>
      <w:bookmarkEnd w:id="183"/>
      <w:bookmarkEnd w:id="184"/>
      <w:bookmarkEnd w:id="185"/>
      <w:bookmarkEnd w:id="186"/>
    </w:p>
    <w:p w14:paraId="70415F3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磋商报价应按磋商文件中相关附表格式填写。采购预算金额（人民币）：</w:t>
      </w:r>
      <w:r>
        <w:rPr>
          <w:rFonts w:hint="eastAsia" w:ascii="宋体" w:hAnsi="宋体" w:cs="宋体"/>
          <w:b/>
          <w:bCs/>
          <w:color w:val="auto"/>
          <w:szCs w:val="21"/>
          <w:highlight w:val="none"/>
          <w:lang w:eastAsia="zh-CN"/>
        </w:rPr>
        <w:t>人民币壹佰贰拾玖万元整（¥1290000.00元）。</w:t>
      </w:r>
      <w:r>
        <w:rPr>
          <w:rFonts w:hint="eastAsia" w:ascii="宋体" w:hAnsi="宋体" w:eastAsia="宋体" w:cs="宋体"/>
          <w:color w:val="auto"/>
          <w:szCs w:val="21"/>
          <w:highlight w:val="none"/>
        </w:rPr>
        <w:t>报价超过</w:t>
      </w:r>
      <w:r>
        <w:rPr>
          <w:rFonts w:hint="eastAsia" w:ascii="宋体" w:hAnsi="宋体" w:cs="宋体"/>
          <w:color w:val="auto"/>
          <w:szCs w:val="21"/>
          <w:highlight w:val="none"/>
          <w:lang w:val="en-US" w:eastAsia="zh-CN"/>
        </w:rPr>
        <w:t>最高限价</w:t>
      </w:r>
      <w:r>
        <w:rPr>
          <w:rFonts w:hint="eastAsia" w:ascii="宋体" w:hAnsi="宋体" w:eastAsia="宋体" w:cs="宋体"/>
          <w:color w:val="auto"/>
          <w:szCs w:val="21"/>
          <w:highlight w:val="none"/>
        </w:rPr>
        <w:t>金额的，响应文件按无效处理。</w:t>
      </w:r>
    </w:p>
    <w:p w14:paraId="4B9C781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13.2供应商必须就“采购需求”中所竞所有内容作完整唯一报价，否则，其响应文件无效。响应文件只允许有一个报价，有选择的或有条件的报价将不予接受。</w:t>
      </w:r>
    </w:p>
    <w:p w14:paraId="57DBA9C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磋商报价应包括本次采购范围内所有成本费用的总和；供应商综合考虑在报价中。</w:t>
      </w:r>
    </w:p>
    <w:p w14:paraId="62CB878D">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13.4供应商应在规定时间内在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166C3A4B">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87" w:name="_Toc27015"/>
      <w:bookmarkStart w:id="188" w:name="_Toc31019"/>
      <w:bookmarkStart w:id="189" w:name="_Toc3662"/>
      <w:bookmarkStart w:id="190" w:name="_Toc9708"/>
      <w:bookmarkStart w:id="191" w:name="_Toc26881"/>
      <w:bookmarkStart w:id="192" w:name="_Toc20370"/>
      <w:bookmarkStart w:id="193" w:name="_Toc2608"/>
      <w:r>
        <w:rPr>
          <w:rFonts w:hint="eastAsia" w:ascii="宋体" w:hAnsi="宋体" w:eastAsia="宋体" w:cs="宋体"/>
          <w:color w:val="auto"/>
          <w:sz w:val="21"/>
          <w:szCs w:val="21"/>
          <w:highlight w:val="none"/>
        </w:rPr>
        <w:t>14. 响应文件有效期</w:t>
      </w:r>
      <w:bookmarkEnd w:id="187"/>
      <w:bookmarkEnd w:id="188"/>
      <w:bookmarkEnd w:id="189"/>
      <w:bookmarkEnd w:id="190"/>
      <w:bookmarkEnd w:id="191"/>
      <w:bookmarkEnd w:id="192"/>
      <w:bookmarkEnd w:id="193"/>
    </w:p>
    <w:p w14:paraId="26CB834B">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5CAFA52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出现特殊情况下，需要延长响应文件有效期的，采购代理机构通知供应商延长响应文件有效期。供应商同意延长的，但不能修改响应文件。供应商拒绝延长的，其响应文件无效。</w:t>
      </w:r>
    </w:p>
    <w:p w14:paraId="79E58D65">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94" w:name="_Toc24706"/>
      <w:bookmarkStart w:id="195" w:name="_Toc872"/>
      <w:bookmarkStart w:id="196" w:name="_Toc22602"/>
      <w:bookmarkStart w:id="197" w:name="_Toc10878"/>
      <w:bookmarkStart w:id="198" w:name="_Toc29493"/>
      <w:bookmarkStart w:id="199" w:name="_Toc22805"/>
      <w:bookmarkStart w:id="200" w:name="_Toc12696"/>
      <w:r>
        <w:rPr>
          <w:rFonts w:hint="eastAsia" w:ascii="宋体" w:hAnsi="宋体" w:eastAsia="宋体" w:cs="宋体"/>
          <w:color w:val="auto"/>
          <w:sz w:val="21"/>
          <w:szCs w:val="21"/>
          <w:highlight w:val="none"/>
        </w:rPr>
        <w:t>15. 保证金</w:t>
      </w:r>
      <w:bookmarkEnd w:id="194"/>
      <w:bookmarkEnd w:id="195"/>
      <w:bookmarkEnd w:id="196"/>
      <w:bookmarkEnd w:id="197"/>
      <w:bookmarkEnd w:id="198"/>
      <w:bookmarkEnd w:id="199"/>
      <w:bookmarkEnd w:id="200"/>
    </w:p>
    <w:p w14:paraId="5196B39C">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3C6982F5">
      <w:pPr>
        <w:pStyle w:val="5"/>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201" w:name="_Toc387"/>
      <w:bookmarkStart w:id="202" w:name="_Toc17790"/>
      <w:bookmarkStart w:id="203" w:name="_Toc21783"/>
      <w:bookmarkStart w:id="204" w:name="_Toc27653"/>
      <w:bookmarkStart w:id="205" w:name="_Toc3348"/>
      <w:bookmarkStart w:id="206" w:name="_Toc32621"/>
      <w:bookmarkStart w:id="207" w:name="_Toc8815"/>
      <w:r>
        <w:rPr>
          <w:rFonts w:hint="eastAsia" w:ascii="宋体" w:hAnsi="宋体" w:eastAsia="宋体" w:cs="宋体"/>
          <w:color w:val="auto"/>
          <w:sz w:val="21"/>
          <w:szCs w:val="21"/>
          <w:highlight w:val="none"/>
        </w:rPr>
        <w:t>16.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201"/>
      <w:r>
        <w:rPr>
          <w:rFonts w:hint="eastAsia" w:ascii="宋体" w:hAnsi="宋体" w:eastAsia="宋体" w:cs="宋体"/>
          <w:color w:val="auto"/>
          <w:sz w:val="21"/>
          <w:szCs w:val="21"/>
          <w:highlight w:val="none"/>
          <w:lang w:eastAsia="zh-CN"/>
        </w:rPr>
        <w:t>制作</w:t>
      </w:r>
      <w:bookmarkEnd w:id="202"/>
      <w:bookmarkEnd w:id="203"/>
      <w:bookmarkEnd w:id="204"/>
      <w:bookmarkEnd w:id="205"/>
      <w:bookmarkEnd w:id="206"/>
      <w:bookmarkEnd w:id="207"/>
    </w:p>
    <w:p w14:paraId="70EE95C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5A49342C">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w:t>
      </w:r>
      <w:r>
        <w:rPr>
          <w:rFonts w:hint="eastAsia" w:ascii="宋体" w:hAnsi="宋体" w:cs="宋体"/>
          <w:color w:val="auto"/>
          <w:szCs w:val="21"/>
          <w:highlight w:val="none"/>
          <w:lang w:eastAsia="zh-CN"/>
        </w:rPr>
        <w:t>或盖章</w:t>
      </w:r>
      <w:r>
        <w:rPr>
          <w:rFonts w:hint="eastAsia" w:ascii="宋体" w:hAnsi="宋体" w:eastAsia="宋体" w:cs="宋体"/>
          <w:color w:val="auto"/>
          <w:szCs w:val="21"/>
          <w:highlight w:val="none"/>
        </w:rPr>
        <w:t>后扫描或者拍照做成 PDF 的格式上传即可。</w:t>
      </w:r>
    </w:p>
    <w:p w14:paraId="25AEEE8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C1DB5F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481E2D3">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4A1EF322">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300E977E">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 CA 登录客户端进行响应文件制作。客户端请至网站下载专区查看，如有问题可拨打广西政府采购云平台客户服务热线 95763 进行咨询。</w:t>
      </w:r>
    </w:p>
    <w:p w14:paraId="2FD753B2">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208" w:name="_Toc8570"/>
      <w:bookmarkStart w:id="209" w:name="_Toc11258"/>
      <w:bookmarkStart w:id="210" w:name="_Toc25208"/>
      <w:bookmarkStart w:id="211" w:name="_Toc22794"/>
      <w:bookmarkStart w:id="212" w:name="_Toc1031"/>
      <w:bookmarkStart w:id="213" w:name="_Toc2273"/>
      <w:r>
        <w:rPr>
          <w:rFonts w:hint="eastAsia" w:ascii="宋体" w:hAnsi="宋体" w:eastAsia="宋体" w:cs="宋体"/>
          <w:color w:val="auto"/>
          <w:sz w:val="21"/>
          <w:szCs w:val="21"/>
          <w:highlight w:val="none"/>
        </w:rPr>
        <w:t>17. 响应文件的修改和撤回</w:t>
      </w:r>
      <w:bookmarkEnd w:id="208"/>
      <w:bookmarkEnd w:id="209"/>
      <w:bookmarkEnd w:id="210"/>
      <w:bookmarkEnd w:id="211"/>
      <w:bookmarkEnd w:id="212"/>
      <w:bookmarkEnd w:id="213"/>
    </w:p>
    <w:p w14:paraId="77B3138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17.1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32E2920">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4D178EE5">
      <w:pPr>
        <w:pStyle w:val="5"/>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214" w:name="_Toc5295"/>
      <w:bookmarkStart w:id="215" w:name="_Toc25006"/>
      <w:bookmarkStart w:id="216" w:name="_Toc3930"/>
      <w:bookmarkStart w:id="217" w:name="_Toc21490"/>
      <w:bookmarkStart w:id="218" w:name="_Toc11330"/>
      <w:bookmarkStart w:id="219" w:name="_Toc30156"/>
      <w:bookmarkStart w:id="220" w:name="_Toc27030"/>
      <w:r>
        <w:rPr>
          <w:rFonts w:hint="eastAsia" w:ascii="宋体" w:hAnsi="宋体" w:eastAsia="宋体" w:cs="宋体"/>
          <w:color w:val="auto"/>
          <w:sz w:val="21"/>
          <w:szCs w:val="21"/>
          <w:highlight w:val="none"/>
        </w:rPr>
        <w:t>18. 响应文件的递交</w:t>
      </w:r>
      <w:r>
        <w:rPr>
          <w:rFonts w:hint="eastAsia" w:ascii="宋体" w:hAnsi="宋体" w:eastAsia="宋体" w:cs="宋体"/>
          <w:color w:val="auto"/>
          <w:sz w:val="21"/>
          <w:szCs w:val="21"/>
          <w:highlight w:val="none"/>
          <w:lang w:eastAsia="zh-CN"/>
        </w:rPr>
        <w:t>和解密</w:t>
      </w:r>
      <w:bookmarkEnd w:id="214"/>
      <w:bookmarkEnd w:id="215"/>
      <w:bookmarkEnd w:id="216"/>
      <w:bookmarkEnd w:id="217"/>
      <w:bookmarkEnd w:id="218"/>
      <w:bookmarkEnd w:id="219"/>
      <w:bookmarkEnd w:id="220"/>
    </w:p>
    <w:p w14:paraId="4C208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2026年05月13日09时30分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p w14:paraId="55ED8A3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cs="宋体"/>
          <w:color w:val="auto"/>
          <w:sz w:val="21"/>
          <w:szCs w:val="21"/>
          <w:highlight w:val="none"/>
          <w:u w:val="single"/>
          <w:lang w:eastAsia="zh-CN"/>
        </w:rPr>
        <w:t>2026年05月13日09时30分</w:t>
      </w:r>
      <w:r>
        <w:rPr>
          <w:rFonts w:hint="eastAsia" w:ascii="宋体" w:hAnsi="宋体" w:eastAsia="宋体" w:cs="宋体"/>
          <w:color w:val="auto"/>
          <w:szCs w:val="21"/>
          <w:highlight w:val="none"/>
          <w:u w:val="single"/>
        </w:rPr>
        <w:t>至</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w:t>
      </w:r>
    </w:p>
    <w:p w14:paraId="5CB06B9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auto"/>
          <w:szCs w:val="21"/>
          <w:highlight w:val="none"/>
          <w:lang w:val="en-US" w:eastAsia="zh-CN"/>
        </w:rPr>
        <w:t>。</w:t>
      </w:r>
    </w:p>
    <w:p w14:paraId="50C3FF6A">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71E8024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电子响应文件的相关说明</w:t>
      </w:r>
    </w:p>
    <w:p w14:paraId="2E794C95">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（1）供应商进行电子投标应安装客户端软件，并按照采购文件和电子交易平台的要求编制并加密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0BC08650">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42FF5CA6">
      <w:pPr>
        <w:pStyle w:val="4"/>
        <w:jc w:val="center"/>
        <w:rPr>
          <w:rFonts w:hint="eastAsia" w:ascii="宋体" w:hAnsi="宋体" w:eastAsia="宋体" w:cs="宋体"/>
          <w:b/>
          <w:bCs w:val="0"/>
          <w:color w:val="auto"/>
          <w:szCs w:val="28"/>
          <w:highlight w:val="none"/>
        </w:rPr>
      </w:pPr>
      <w:bookmarkStart w:id="221" w:name="_Toc13269"/>
      <w:bookmarkStart w:id="222" w:name="_Toc28350"/>
      <w:bookmarkStart w:id="223" w:name="_Toc31400"/>
      <w:bookmarkStart w:id="224" w:name="_Toc28417"/>
      <w:bookmarkStart w:id="225" w:name="_Toc18044"/>
      <w:bookmarkStart w:id="226" w:name="_Toc2433"/>
      <w:bookmarkStart w:id="227" w:name="_Toc3575"/>
      <w:r>
        <w:rPr>
          <w:rFonts w:hint="eastAsia" w:ascii="宋体" w:hAnsi="宋体" w:eastAsia="宋体" w:cs="宋体"/>
          <w:b/>
          <w:bCs w:val="0"/>
          <w:color w:val="auto"/>
          <w:szCs w:val="28"/>
          <w:highlight w:val="none"/>
        </w:rPr>
        <w:t>四、竞争性磋商（简称磋商）与评审</w:t>
      </w:r>
      <w:bookmarkEnd w:id="221"/>
      <w:bookmarkEnd w:id="222"/>
      <w:bookmarkEnd w:id="223"/>
      <w:bookmarkEnd w:id="224"/>
      <w:bookmarkEnd w:id="225"/>
      <w:bookmarkEnd w:id="226"/>
      <w:bookmarkEnd w:id="227"/>
    </w:p>
    <w:p w14:paraId="11795E73">
      <w:pPr>
        <w:pStyle w:val="5"/>
        <w:spacing w:before="0" w:after="0" w:line="360" w:lineRule="auto"/>
        <w:ind w:firstLine="420" w:firstLineChars="200"/>
        <w:rPr>
          <w:rFonts w:hint="eastAsia" w:ascii="宋体" w:hAnsi="宋体" w:eastAsia="宋体" w:cs="宋体"/>
          <w:color w:val="auto"/>
          <w:sz w:val="21"/>
          <w:szCs w:val="21"/>
          <w:highlight w:val="none"/>
        </w:rPr>
      </w:pPr>
      <w:bookmarkStart w:id="228" w:name="_Toc16714"/>
      <w:bookmarkStart w:id="229" w:name="_Toc527"/>
      <w:bookmarkStart w:id="230" w:name="_Toc16035"/>
      <w:bookmarkStart w:id="231" w:name="_Toc16910"/>
      <w:bookmarkStart w:id="232" w:name="_Toc31588"/>
      <w:bookmarkStart w:id="233" w:name="_Toc336"/>
      <w:bookmarkStart w:id="234" w:name="_Toc27520"/>
      <w:r>
        <w:rPr>
          <w:rFonts w:hint="eastAsia" w:ascii="宋体" w:hAnsi="宋体" w:eastAsia="宋体" w:cs="宋体"/>
          <w:color w:val="auto"/>
          <w:sz w:val="21"/>
          <w:szCs w:val="21"/>
          <w:highlight w:val="none"/>
        </w:rPr>
        <w:t>19. 磋商小组组成及磋商时间、地点、人员</w:t>
      </w:r>
      <w:bookmarkEnd w:id="228"/>
      <w:bookmarkEnd w:id="229"/>
      <w:bookmarkEnd w:id="230"/>
      <w:bookmarkEnd w:id="231"/>
      <w:bookmarkEnd w:id="232"/>
      <w:bookmarkEnd w:id="233"/>
      <w:bookmarkEnd w:id="234"/>
    </w:p>
    <w:p w14:paraId="03A07A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267AA0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2F2035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4FC3777C">
      <w:pPr>
        <w:spacing w:line="360" w:lineRule="auto"/>
        <w:ind w:firstLine="420" w:firstLineChars="200"/>
        <w:rPr>
          <w:rFonts w:hint="eastAsia" w:ascii="宋体" w:hAnsi="宋体" w:eastAsia="宋体" w:cs="宋体"/>
          <w:color w:val="auto"/>
          <w:szCs w:val="21"/>
          <w:highlight w:val="none"/>
        </w:rPr>
      </w:pPr>
      <w:bookmarkStart w:id="235" w:name="_Toc9878"/>
      <w:r>
        <w:rPr>
          <w:rFonts w:hint="eastAsia" w:ascii="宋体" w:hAnsi="宋体" w:eastAsia="宋体" w:cs="宋体"/>
          <w:color w:val="auto"/>
          <w:szCs w:val="21"/>
          <w:highlight w:val="none"/>
        </w:rPr>
        <w:t>19.2.1磋商时间：响应文件递交截止时间后。</w:t>
      </w:r>
      <w:bookmarkEnd w:id="235"/>
    </w:p>
    <w:p w14:paraId="32E78D6E">
      <w:pPr>
        <w:spacing w:line="360" w:lineRule="auto"/>
        <w:ind w:firstLine="420" w:firstLineChars="200"/>
        <w:rPr>
          <w:rFonts w:hint="eastAsia" w:ascii="宋体" w:hAnsi="宋体" w:eastAsia="宋体" w:cs="宋体"/>
          <w:color w:val="auto"/>
          <w:szCs w:val="21"/>
          <w:highlight w:val="none"/>
          <w:lang w:eastAsia="zh-CN"/>
        </w:rPr>
      </w:pPr>
      <w:bookmarkStart w:id="236"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236"/>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605721DB">
      <w:pPr>
        <w:spacing w:line="360" w:lineRule="auto"/>
        <w:ind w:firstLine="420" w:firstLineChars="200"/>
        <w:rPr>
          <w:rFonts w:hint="eastAsia" w:ascii="宋体" w:hAnsi="宋体" w:eastAsia="宋体" w:cs="宋体"/>
          <w:b w:val="0"/>
          <w:bCs/>
          <w:color w:val="auto"/>
          <w:sz w:val="21"/>
          <w:szCs w:val="21"/>
          <w:highlight w:val="none"/>
        </w:rPr>
      </w:pPr>
      <w:bookmarkStart w:id="237"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w:t>
      </w:r>
    </w:p>
    <w:bookmarkEnd w:id="237"/>
    <w:p w14:paraId="0E4F336B">
      <w:pPr>
        <w:spacing w:line="360" w:lineRule="auto"/>
        <w:ind w:firstLine="420" w:firstLineChars="200"/>
        <w:rPr>
          <w:rFonts w:hint="eastAsia" w:ascii="宋体" w:hAnsi="宋体" w:eastAsia="宋体" w:cs="宋体"/>
          <w:b w:val="0"/>
          <w:bCs/>
          <w:color w:val="auto"/>
          <w:sz w:val="21"/>
          <w:szCs w:val="21"/>
          <w:highlight w:val="none"/>
        </w:rPr>
      </w:pPr>
      <w:bookmarkStart w:id="238"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238"/>
    </w:p>
    <w:p w14:paraId="27EFE0AB">
      <w:pPr>
        <w:pStyle w:val="5"/>
        <w:spacing w:before="0" w:after="0" w:line="360" w:lineRule="auto"/>
        <w:ind w:firstLine="420" w:firstLineChars="200"/>
        <w:rPr>
          <w:rFonts w:hint="eastAsia" w:ascii="宋体" w:hAnsi="宋体" w:eastAsia="宋体" w:cs="宋体"/>
          <w:color w:val="auto"/>
          <w:sz w:val="21"/>
          <w:szCs w:val="21"/>
          <w:highlight w:val="none"/>
        </w:rPr>
      </w:pPr>
      <w:bookmarkStart w:id="239" w:name="_Toc1181"/>
      <w:bookmarkStart w:id="240" w:name="_Toc6109"/>
      <w:bookmarkStart w:id="241" w:name="_Toc18640"/>
      <w:bookmarkStart w:id="242" w:name="_Toc25258"/>
      <w:bookmarkStart w:id="243" w:name="_Toc22633"/>
      <w:bookmarkStart w:id="244" w:name="_Toc29833"/>
      <w:bookmarkStart w:id="245" w:name="_Toc17452"/>
      <w:r>
        <w:rPr>
          <w:rFonts w:hint="eastAsia" w:ascii="宋体" w:hAnsi="宋体" w:eastAsia="宋体" w:cs="宋体"/>
          <w:color w:val="auto"/>
          <w:sz w:val="21"/>
          <w:szCs w:val="21"/>
          <w:highlight w:val="none"/>
        </w:rPr>
        <w:t>20. 评审原则</w:t>
      </w:r>
      <w:bookmarkEnd w:id="239"/>
      <w:bookmarkEnd w:id="240"/>
      <w:bookmarkEnd w:id="241"/>
      <w:bookmarkEnd w:id="242"/>
      <w:bookmarkEnd w:id="243"/>
      <w:bookmarkEnd w:id="244"/>
      <w:bookmarkEnd w:id="245"/>
    </w:p>
    <w:p w14:paraId="08F3AB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2DA73B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4B4D0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3AE43D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51153BD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1FE9BE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73B0B54B">
      <w:pPr>
        <w:pStyle w:val="36"/>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29781D46">
      <w:pPr>
        <w:pStyle w:val="36"/>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1E211171">
      <w:pPr>
        <w:pStyle w:val="36"/>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14:paraId="4337DDEF">
      <w:pPr>
        <w:pStyle w:val="36"/>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14:paraId="690B2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4E8C989">
      <w:pPr>
        <w:pStyle w:val="5"/>
        <w:spacing w:before="0" w:after="0" w:line="360" w:lineRule="auto"/>
        <w:ind w:firstLine="420" w:firstLineChars="200"/>
        <w:rPr>
          <w:rFonts w:hint="eastAsia" w:ascii="宋体" w:hAnsi="宋体" w:eastAsia="宋体" w:cs="宋体"/>
          <w:color w:val="auto"/>
          <w:sz w:val="21"/>
          <w:szCs w:val="21"/>
          <w:highlight w:val="none"/>
        </w:rPr>
      </w:pPr>
      <w:bookmarkStart w:id="246" w:name="_Toc27193"/>
      <w:bookmarkStart w:id="247" w:name="_Toc15119"/>
      <w:bookmarkStart w:id="248" w:name="_Toc22308"/>
      <w:bookmarkStart w:id="249" w:name="_Toc21555"/>
      <w:bookmarkStart w:id="250" w:name="_Toc17571"/>
      <w:bookmarkStart w:id="251" w:name="_Toc12941"/>
      <w:bookmarkStart w:id="252" w:name="_Toc1312"/>
      <w:r>
        <w:rPr>
          <w:rFonts w:hint="eastAsia" w:ascii="宋体" w:hAnsi="宋体" w:eastAsia="宋体" w:cs="宋体"/>
          <w:color w:val="auto"/>
          <w:sz w:val="21"/>
          <w:szCs w:val="21"/>
          <w:highlight w:val="none"/>
        </w:rPr>
        <w:t>21. 评审程序及磋商要求</w:t>
      </w:r>
      <w:bookmarkEnd w:id="246"/>
      <w:bookmarkEnd w:id="247"/>
      <w:bookmarkEnd w:id="248"/>
      <w:bookmarkEnd w:id="249"/>
      <w:bookmarkEnd w:id="250"/>
      <w:bookmarkEnd w:id="251"/>
      <w:bookmarkEnd w:id="252"/>
    </w:p>
    <w:p w14:paraId="1CBA35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21.1磋商小组成员的通讯工具或相关电子设备交由桂林市公共资源交易中心统一保管后到达评标室，采购 </w:t>
      </w:r>
    </w:p>
    <w:p w14:paraId="6D993B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代理机构核实磋商小组成员身份，告知回避要求，宣布评审工作纪律和程序，推选磋商小组组长。</w:t>
      </w:r>
    </w:p>
    <w:p w14:paraId="519D90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5B93E9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49C90888">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457DE0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559D6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7C87A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9D213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0B3B53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09BD3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6BE92A8D">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w:t>
      </w:r>
    </w:p>
    <w:p w14:paraId="162FD66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4B64D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21.6 磋商小组在对响应文件的有效性、完整性和响应程度进行审查时，可以要求供应商对响应文件中含义 </w:t>
      </w:r>
    </w:p>
    <w:p w14:paraId="158376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不明确、同类问题表述不一致或者有明显文字和计算错误的内容等作出必要的澄清、说明或者更正。供应商的 </w:t>
      </w:r>
    </w:p>
    <w:p w14:paraId="2E521D4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澄清、说明或者更正不得超出响应文件的范围或者改变响应文件的实质性内容。澄清、说明或者更正应由其法 </w:t>
      </w:r>
    </w:p>
    <w:p w14:paraId="67811FF7">
      <w:pPr>
        <w:pStyle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个人CA签章)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p>
    <w:p w14:paraId="74782F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203398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5EB2A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 </w:t>
      </w:r>
    </w:p>
    <w:p w14:paraId="749594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性磋商文件要求的供应商平等的磋商机会。 </w:t>
      </w:r>
    </w:p>
    <w:p w14:paraId="787A6F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0C31ED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6B3518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F234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 </w:t>
      </w:r>
    </w:p>
    <w:p w14:paraId="10243F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合同草案条款，但不得变动磋商文件中的其他内容。实质性变动的内容，须经采购人代表确认。 </w:t>
      </w:r>
    </w:p>
    <w:p w14:paraId="728FEE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54B08E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 xml:space="preserve">。逾时不交的，视同放弃磋商。 </w:t>
      </w:r>
    </w:p>
    <w:p w14:paraId="403ABA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564EA9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9B86B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300025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A7B91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03628B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2C8605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磋商文件能够详细列明采购标的的技术、服务要求的，磋商结束后，磋商小组应当要求所有继续参加磋商的供应商在规定时间内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58E7E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34E85B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21.11.3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color w:val="auto"/>
          <w:highlight w:val="none"/>
          <w:lang w:eastAsia="zh-CN"/>
        </w:rPr>
        <w:t>财库</w:t>
      </w:r>
      <w:r>
        <w:rPr>
          <w:rFonts w:hint="eastAsia" w:ascii="宋体" w:hAnsi="宋体" w:eastAsia="宋体" w:cs="宋体"/>
          <w:color w:val="auto"/>
          <w:szCs w:val="21"/>
          <w:highlight w:val="none"/>
          <w:lang w:eastAsia="zh-CN"/>
        </w:rPr>
        <w:t>〔2015〕124号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10193990">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21.11.4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7655F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已提交响应文件的供应商，在提交最后报价之前，可以根据磋商情况退出磋商。 </w:t>
      </w:r>
    </w:p>
    <w:p w14:paraId="0F5D9C45">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szCs w:val="21"/>
        </w:rPr>
        <w:t>未退出</w:t>
      </w:r>
      <w:r>
        <w:rPr>
          <w:rFonts w:hint="eastAsia" w:ascii="宋体" w:hAnsi="宋体" w:cs="宋体"/>
          <w:szCs w:val="21"/>
          <w:lang w:eastAsia="zh-CN"/>
        </w:rPr>
        <w:t>磋商</w:t>
      </w:r>
      <w:r>
        <w:rPr>
          <w:rFonts w:hint="eastAsia" w:ascii="宋体" w:hAnsi="宋体" w:cs="宋体"/>
          <w:szCs w:val="21"/>
        </w:rPr>
        <w:t>的供应商</w:t>
      </w:r>
      <w:r>
        <w:rPr>
          <w:rFonts w:hint="eastAsia" w:ascii="宋体" w:hAnsi="宋体" w:eastAsia="宋体" w:cs="宋体"/>
          <w:color w:val="000000"/>
          <w:kern w:val="0"/>
          <w:szCs w:val="21"/>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000000"/>
          <w:kern w:val="0"/>
          <w:szCs w:val="21"/>
          <w:lang w:eastAsia="zh-CN"/>
        </w:rPr>
        <w:t>。</w:t>
      </w:r>
    </w:p>
    <w:p w14:paraId="622F79F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exact"/>
        <w:ind w:left="0" w:right="0" w:firstLine="420" w:firstLineChars="200"/>
        <w:jc w:val="both"/>
        <w:rPr>
          <w:rFonts w:hint="eastAsia" w:ascii="宋体" w:hAnsi="宋体" w:eastAsia="宋体" w:cs="宋体"/>
          <w:b/>
          <w:bCs w:val="0"/>
          <w:i w:val="0"/>
          <w:iCs w:val="0"/>
          <w:caps w:val="0"/>
          <w:color w:val="333333"/>
          <w:spacing w:val="0"/>
          <w:sz w:val="21"/>
          <w:szCs w:val="21"/>
        </w:rPr>
      </w:pPr>
      <w:r>
        <w:rPr>
          <w:rFonts w:hint="eastAsia" w:ascii="宋体" w:hAnsi="宋体" w:cs="宋体"/>
          <w:color w:val="000000"/>
          <w:kern w:val="0"/>
          <w:sz w:val="21"/>
          <w:szCs w:val="21"/>
          <w:lang w:val="en-US" w:eastAsia="zh-CN"/>
        </w:rPr>
        <w:t>21.13</w:t>
      </w:r>
      <w:r>
        <w:rPr>
          <w:rFonts w:hint="eastAsia" w:ascii="宋体" w:hAnsi="宋体" w:cs="宋体"/>
          <w:b/>
          <w:color w:val="auto"/>
          <w:sz w:val="21"/>
          <w:szCs w:val="21"/>
          <w:highlight w:val="none"/>
          <w:shd w:val="clear" w:color="auto" w:fill="FFFFFF"/>
        </w:rPr>
        <w:t>根据</w:t>
      </w:r>
      <w:r>
        <w:rPr>
          <w:rFonts w:ascii="宋体" w:hAnsi="宋体"/>
          <w:b/>
          <w:bCs/>
          <w:color w:val="auto"/>
          <w:sz w:val="21"/>
          <w:szCs w:val="21"/>
          <w:highlight w:val="none"/>
          <w:shd w:val="clear" w:color="auto" w:fill="FFFFFF"/>
        </w:rPr>
        <w:t>《</w:t>
      </w:r>
      <w:r>
        <w:rPr>
          <w:rFonts w:hint="eastAsia" w:ascii="宋体" w:hAnsi="宋体" w:cs="宋体"/>
          <w:b/>
          <w:color w:val="auto"/>
          <w:sz w:val="21"/>
          <w:szCs w:val="21"/>
          <w:highlight w:val="none"/>
          <w:shd w:val="clear" w:color="auto" w:fill="FFFFFF"/>
        </w:rPr>
        <w:t>关于推动解决政府采购异常低价问题的通知</w:t>
      </w:r>
      <w:r>
        <w:rPr>
          <w:rFonts w:ascii="宋体" w:hAnsi="宋体"/>
          <w:b/>
          <w:bCs/>
          <w:color w:val="auto"/>
          <w:sz w:val="21"/>
          <w:szCs w:val="21"/>
          <w:highlight w:val="none"/>
          <w:shd w:val="clear" w:color="auto" w:fill="FFFFFF"/>
        </w:rPr>
        <w:t>》</w:t>
      </w:r>
      <w:r>
        <w:rPr>
          <w:rFonts w:hint="eastAsia" w:ascii="宋体" w:hAnsi="宋体"/>
          <w:b/>
          <w:bCs/>
          <w:color w:val="auto"/>
          <w:sz w:val="21"/>
          <w:szCs w:val="21"/>
          <w:highlight w:val="none"/>
          <w:shd w:val="clear" w:color="auto" w:fill="FFFFFF"/>
          <w:lang w:eastAsia="zh-CN"/>
        </w:rPr>
        <w:t>（</w:t>
      </w:r>
      <w:r>
        <w:rPr>
          <w:rFonts w:ascii="宋体" w:hAnsi="宋体"/>
          <w:b/>
          <w:bCs/>
          <w:color w:val="auto"/>
          <w:sz w:val="21"/>
          <w:szCs w:val="21"/>
          <w:highlight w:val="none"/>
          <w:shd w:val="clear" w:color="auto" w:fill="FFFFFF"/>
        </w:rPr>
        <w:t>财库〔2026〕2号</w:t>
      </w:r>
      <w:r>
        <w:rPr>
          <w:rFonts w:hint="eastAsia" w:ascii="宋体" w:hAnsi="宋体"/>
          <w:b/>
          <w:bCs/>
          <w:color w:val="auto"/>
          <w:sz w:val="21"/>
          <w:szCs w:val="21"/>
          <w:highlight w:val="none"/>
          <w:shd w:val="clear" w:color="auto" w:fill="FFFFFF"/>
          <w:lang w:eastAsia="zh-CN"/>
        </w:rPr>
        <w:t>）规定</w:t>
      </w:r>
      <w:r>
        <w:rPr>
          <w:rFonts w:hint="eastAsia" w:ascii="宋体" w:hAnsi="宋体" w:cs="Calibri"/>
          <w:b/>
          <w:bCs w:val="0"/>
          <w:color w:val="auto"/>
          <w:kern w:val="0"/>
          <w:sz w:val="21"/>
          <w:szCs w:val="21"/>
          <w:highlight w:val="none"/>
        </w:rPr>
        <w:t>，</w:t>
      </w:r>
      <w:r>
        <w:rPr>
          <w:rFonts w:hint="eastAsia" w:ascii="宋体" w:hAnsi="宋体" w:eastAsia="宋体" w:cs="宋体"/>
          <w:b/>
          <w:bCs w:val="0"/>
          <w:i w:val="0"/>
          <w:iCs w:val="0"/>
          <w:caps w:val="0"/>
          <w:color w:val="333333"/>
          <w:spacing w:val="0"/>
          <w:sz w:val="21"/>
          <w:szCs w:val="21"/>
          <w:shd w:val="clear" w:color="auto" w:fill="FFFFFF"/>
        </w:rPr>
        <w:t>政府采购评审中出现下列情形之一的，评审委员会应当启动异常低价投标（响应）审查程序： </w:t>
      </w:r>
    </w:p>
    <w:p w14:paraId="43416E5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exact"/>
        <w:ind w:left="0" w:right="0" w:firstLine="420" w:firstLineChars="20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1</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投标（响应）报价低于全部通过符合性审查供应商投标（响应）报价平均值50%的，即投标（响应）报价&lt;全部通过符合性审查供应商投标（响应）报价平均值×50%； </w:t>
      </w:r>
    </w:p>
    <w:p w14:paraId="79704710">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exact"/>
        <w:ind w:left="0" w:right="0" w:firstLine="420" w:firstLineChars="20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2</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投标（响应）报价低于通过符合性审查的次低报价供应商投标（响应）报价50%的，即投标（响应）报价&lt;通过符合性审查的次低报价供应商投标（响应）报价×50%； </w:t>
      </w:r>
    </w:p>
    <w:p w14:paraId="0684B130">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exact"/>
        <w:ind w:left="0" w:right="0" w:firstLine="420" w:firstLineChars="20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3</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投标（响应）报价低于采购项目最高限价45%的，即投标（响应）报价&lt;采购项目最高限价×45%； </w:t>
      </w:r>
    </w:p>
    <w:p w14:paraId="1345F23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exact"/>
        <w:ind w:left="0" w:right="0" w:firstLine="420" w:firstLineChars="20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4</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评审委员会基于专业判断，认为供应商报价过低，有可能影响产品质量或者不能诚信履约的其他情形。 </w:t>
      </w:r>
    </w:p>
    <w:p w14:paraId="48C1B8C2">
      <w:pPr>
        <w:spacing w:line="360" w:lineRule="exact"/>
        <w:ind w:firstLine="420" w:firstLineChars="200"/>
        <w:rPr>
          <w:rFonts w:hint="default" w:eastAsia="宋体"/>
          <w:szCs w:val="21"/>
          <w:lang w:val="en-US" w:eastAsia="zh-CN"/>
        </w:rPr>
      </w:pPr>
      <w:r>
        <w:rPr>
          <w:rFonts w:hint="eastAsia" w:ascii="宋体" w:hAnsi="宋体" w:eastAsia="宋体" w:cs="宋体"/>
          <w:i w:val="0"/>
          <w:iCs w:val="0"/>
          <w:caps w:val="0"/>
          <w:color w:val="333333"/>
          <w:spacing w:val="0"/>
          <w:sz w:val="21"/>
          <w:szCs w:val="21"/>
          <w:shd w:val="clear" w:color="auto" w:fill="FFFFFF"/>
        </w:rPr>
        <w:t>评审委员会启动异常低价投标（响应）审查后，属于前述第1项至第4项情形的，应当要求相关供应商</w:t>
      </w:r>
      <w:r>
        <w:rPr>
          <w:rFonts w:hint="eastAsia"/>
          <w:color w:val="auto"/>
          <w:szCs w:val="21"/>
          <w:highlight w:val="none"/>
        </w:rPr>
        <w:t>在评审委员会要求的时间内</w:t>
      </w:r>
      <w:r>
        <w:rPr>
          <w:rFonts w:hint="eastAsia" w:ascii="宋体" w:hAnsi="宋体" w:eastAsia="宋体" w:cs="宋体"/>
          <w:i w:val="0"/>
          <w:iCs w:val="0"/>
          <w:caps w:val="0"/>
          <w:color w:val="333333"/>
          <w:spacing w:val="0"/>
          <w:sz w:val="21"/>
          <w:szCs w:val="21"/>
          <w:shd w:val="clear" w:color="auto" w:fill="FFFFFF"/>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color w:val="auto"/>
          <w:szCs w:val="21"/>
          <w:highlight w:val="none"/>
        </w:rPr>
        <w:t> 异常低价投标（响应）审查的启动原因、审查意见和审查结果应当在评审报告中记录</w:t>
      </w:r>
      <w:r>
        <w:rPr>
          <w:rFonts w:hint="eastAsia"/>
          <w:color w:val="auto"/>
          <w:szCs w:val="21"/>
          <w:highlight w:val="none"/>
          <w:lang w:eastAsia="zh-CN"/>
        </w:rPr>
        <w:t>。</w:t>
      </w:r>
    </w:p>
    <w:p w14:paraId="260DD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 xml:space="preserve">评审报告 </w:t>
      </w:r>
    </w:p>
    <w:p w14:paraId="02BC01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D0130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在评审过程中出现法律法规和磋商文件均没有明确规定的情形时，由磋商小组现场协商解决，协商 </w:t>
      </w:r>
    </w:p>
    <w:p w14:paraId="231CA2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不一致的，由全体磋商小组投票表决，以得票率二分之一以上磋商小组成员的意见为准。 </w:t>
      </w:r>
    </w:p>
    <w:p w14:paraId="41ED3D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 xml:space="preserve"> 采购代理机构发现磋商小组有明显的违规倾向或歧视现象，或不按评审办法进行，或其他不正常行 </w:t>
      </w:r>
    </w:p>
    <w:p w14:paraId="51B854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为的，应当及时制止。如制止无效，应及时向</w:t>
      </w:r>
      <w:r>
        <w:rPr>
          <w:rFonts w:hint="eastAsia" w:ascii="宋体" w:hAnsi="宋体" w:cs="宋体"/>
          <w:color w:val="auto"/>
          <w:szCs w:val="21"/>
          <w:highlight w:val="none"/>
          <w:lang w:val="en-US" w:eastAsia="zh-CN"/>
        </w:rPr>
        <w:t>桂林市</w:t>
      </w:r>
      <w:r>
        <w:rPr>
          <w:rFonts w:hint="eastAsia" w:ascii="宋体" w:hAnsi="宋体" w:eastAsia="宋体" w:cs="宋体"/>
          <w:color w:val="auto"/>
          <w:szCs w:val="21"/>
          <w:highlight w:val="none"/>
        </w:rPr>
        <w:t>政府采购监督管理机构报告。</w:t>
      </w:r>
    </w:p>
    <w:p w14:paraId="58572D0A">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14:paraId="30A49FCC">
      <w:pPr>
        <w:pStyle w:val="5"/>
        <w:spacing w:before="0" w:after="0" w:line="360" w:lineRule="auto"/>
        <w:ind w:firstLine="420" w:firstLineChars="200"/>
        <w:rPr>
          <w:rFonts w:hint="eastAsia" w:ascii="宋体" w:hAnsi="宋体" w:eastAsia="宋体" w:cs="宋体"/>
          <w:color w:val="auto"/>
          <w:sz w:val="21"/>
          <w:szCs w:val="21"/>
          <w:highlight w:val="none"/>
        </w:rPr>
      </w:pPr>
      <w:bookmarkStart w:id="253" w:name="_Toc10545"/>
      <w:bookmarkStart w:id="254" w:name="_Toc32470"/>
      <w:bookmarkStart w:id="255" w:name="_Toc23844"/>
      <w:bookmarkStart w:id="256" w:name="_Toc26487"/>
      <w:bookmarkStart w:id="257" w:name="_Toc25072"/>
      <w:bookmarkStart w:id="258" w:name="_Toc29029"/>
      <w:bookmarkStart w:id="259" w:name="_Toc2149"/>
      <w:r>
        <w:rPr>
          <w:rFonts w:hint="eastAsia" w:ascii="宋体" w:hAnsi="宋体" w:eastAsia="宋体" w:cs="宋体"/>
          <w:color w:val="auto"/>
          <w:sz w:val="21"/>
          <w:szCs w:val="21"/>
          <w:highlight w:val="none"/>
        </w:rPr>
        <w:t>22. 确定成交供应商</w:t>
      </w:r>
      <w:bookmarkEnd w:id="253"/>
      <w:bookmarkEnd w:id="254"/>
      <w:bookmarkEnd w:id="255"/>
      <w:bookmarkEnd w:id="256"/>
      <w:bookmarkEnd w:id="257"/>
      <w:bookmarkEnd w:id="258"/>
      <w:bookmarkEnd w:id="259"/>
    </w:p>
    <w:p w14:paraId="33CAD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7C7086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22.2采购单位应当确定磋商小组推荐排名第一的成交候选人为成交供应商。</w:t>
      </w:r>
    </w:p>
    <w:p w14:paraId="4549CB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34925E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22.4排名第二的成交候选人因前款规定的同样原因不能签订合同的，采购单位可以确定排名第三的成交候选人为成交供应商。</w:t>
      </w:r>
    </w:p>
    <w:p w14:paraId="4746B2C7">
      <w:pPr>
        <w:pStyle w:val="5"/>
        <w:spacing w:before="0" w:after="0" w:line="360" w:lineRule="auto"/>
        <w:ind w:firstLine="420" w:firstLineChars="200"/>
        <w:rPr>
          <w:rFonts w:hint="eastAsia" w:ascii="宋体" w:hAnsi="宋体" w:eastAsia="宋体" w:cs="宋体"/>
          <w:color w:val="auto"/>
          <w:sz w:val="21"/>
          <w:szCs w:val="21"/>
          <w:highlight w:val="none"/>
        </w:rPr>
      </w:pPr>
      <w:bookmarkStart w:id="260" w:name="_Toc21715"/>
      <w:bookmarkStart w:id="261" w:name="_Toc19046"/>
      <w:bookmarkStart w:id="262" w:name="_Toc2221"/>
      <w:bookmarkStart w:id="263" w:name="_Toc2766"/>
      <w:bookmarkStart w:id="264" w:name="_Toc18327"/>
      <w:bookmarkStart w:id="265" w:name="_Toc7831"/>
      <w:bookmarkStart w:id="266" w:name="_Toc9728"/>
      <w:r>
        <w:rPr>
          <w:rFonts w:hint="eastAsia" w:ascii="宋体" w:hAnsi="宋体" w:eastAsia="宋体" w:cs="宋体"/>
          <w:color w:val="auto"/>
          <w:sz w:val="21"/>
          <w:szCs w:val="21"/>
          <w:highlight w:val="none"/>
        </w:rPr>
        <w:t>23. 属于下列情况之一者，响应文件无效</w:t>
      </w:r>
      <w:bookmarkEnd w:id="260"/>
      <w:bookmarkEnd w:id="261"/>
      <w:bookmarkEnd w:id="262"/>
      <w:bookmarkEnd w:id="263"/>
      <w:bookmarkEnd w:id="264"/>
      <w:bookmarkEnd w:id="265"/>
      <w:bookmarkEnd w:id="266"/>
    </w:p>
    <w:p w14:paraId="6C5ACB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4BF48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675330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753B35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（4）响应文件有效期、交货时间、免费保修期（升级、维护）期/维护期、售后服务不能满足磋商文件要求的；</w:t>
      </w:r>
    </w:p>
    <w:p w14:paraId="3948F5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14:paraId="25BCAD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14:paraId="5B43E6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14:paraId="285DB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14:paraId="2FF718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14:paraId="69CAA1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14:paraId="42CC44B6">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729973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2F449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73E9C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ED023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5678A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30EE87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78F8890B">
      <w:pPr>
        <w:pStyle w:val="5"/>
        <w:spacing w:before="0" w:after="0" w:line="360" w:lineRule="auto"/>
        <w:ind w:firstLine="420" w:firstLineChars="200"/>
        <w:rPr>
          <w:rFonts w:hint="eastAsia" w:ascii="宋体" w:hAnsi="宋体" w:eastAsia="宋体" w:cs="宋体"/>
          <w:color w:val="auto"/>
          <w:sz w:val="21"/>
          <w:szCs w:val="21"/>
          <w:highlight w:val="none"/>
        </w:rPr>
      </w:pPr>
      <w:bookmarkStart w:id="267" w:name="_Toc17161"/>
      <w:bookmarkStart w:id="268" w:name="_Toc15929"/>
      <w:bookmarkStart w:id="269" w:name="_Toc7407"/>
      <w:bookmarkStart w:id="270" w:name="_Toc5168"/>
      <w:bookmarkStart w:id="271" w:name="_Toc32163"/>
      <w:bookmarkStart w:id="272" w:name="_Toc20770"/>
      <w:bookmarkStart w:id="273" w:name="_Toc5714"/>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267"/>
      <w:bookmarkEnd w:id="268"/>
      <w:bookmarkEnd w:id="269"/>
      <w:bookmarkEnd w:id="270"/>
      <w:bookmarkEnd w:id="271"/>
      <w:bookmarkEnd w:id="272"/>
      <w:bookmarkEnd w:id="273"/>
    </w:p>
    <w:p w14:paraId="0EE9B9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6FADD6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43CF2717">
      <w:pPr>
        <w:spacing w:line="360" w:lineRule="auto"/>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（除财库〔2014〕214 号《政府采购竞争性磋商采购方式管理暂行办法》第二十一条第三款规定的情形外）</w:t>
      </w:r>
      <w:r>
        <w:rPr>
          <w:rFonts w:hint="eastAsia" w:ascii="宋体" w:hAnsi="宋体" w:cs="宋体"/>
          <w:b/>
          <w:bCs/>
          <w:color w:val="auto"/>
          <w:szCs w:val="21"/>
          <w:highlight w:val="none"/>
          <w:lang w:eastAsia="zh-CN"/>
        </w:rPr>
        <w:t>。</w:t>
      </w:r>
    </w:p>
    <w:p w14:paraId="671B1735">
      <w:pPr>
        <w:pStyle w:val="5"/>
        <w:spacing w:before="0" w:after="0" w:line="360" w:lineRule="auto"/>
        <w:ind w:firstLine="420" w:firstLineChars="200"/>
        <w:rPr>
          <w:rFonts w:hint="eastAsia" w:ascii="宋体" w:hAnsi="宋体" w:eastAsia="宋体" w:cs="宋体"/>
          <w:color w:val="auto"/>
          <w:sz w:val="21"/>
          <w:szCs w:val="21"/>
          <w:highlight w:val="none"/>
        </w:rPr>
      </w:pPr>
      <w:bookmarkStart w:id="274" w:name="_Toc25539"/>
      <w:bookmarkStart w:id="275" w:name="_Toc32461"/>
      <w:bookmarkStart w:id="276" w:name="_Toc15936"/>
      <w:bookmarkStart w:id="277" w:name="_Toc175"/>
      <w:bookmarkStart w:id="278" w:name="_Toc26609"/>
      <w:bookmarkStart w:id="279" w:name="_Toc24951"/>
      <w:bookmarkStart w:id="280" w:name="_Toc19105"/>
      <w:r>
        <w:rPr>
          <w:rFonts w:hint="eastAsia" w:ascii="宋体" w:hAnsi="宋体" w:eastAsia="宋体" w:cs="宋体"/>
          <w:color w:val="auto"/>
          <w:sz w:val="21"/>
          <w:szCs w:val="21"/>
          <w:highlight w:val="none"/>
        </w:rPr>
        <w:t>25. 磋商过程的监控</w:t>
      </w:r>
      <w:bookmarkEnd w:id="274"/>
      <w:bookmarkEnd w:id="275"/>
      <w:bookmarkEnd w:id="276"/>
      <w:bookmarkEnd w:id="277"/>
      <w:bookmarkEnd w:id="278"/>
      <w:bookmarkEnd w:id="279"/>
      <w:bookmarkEnd w:id="280"/>
    </w:p>
    <w:p w14:paraId="4C199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71A9AA00">
      <w:pPr>
        <w:pStyle w:val="5"/>
        <w:numPr>
          <w:ilvl w:val="0"/>
          <w:numId w:val="6"/>
        </w:numPr>
        <w:spacing w:before="0" w:after="0" w:line="360" w:lineRule="auto"/>
        <w:ind w:firstLine="420" w:firstLineChars="200"/>
        <w:rPr>
          <w:rFonts w:hint="eastAsia" w:ascii="宋体" w:hAnsi="宋体" w:eastAsia="宋体" w:cs="宋体"/>
          <w:color w:val="auto"/>
          <w:sz w:val="21"/>
          <w:szCs w:val="21"/>
          <w:highlight w:val="none"/>
        </w:rPr>
      </w:pPr>
      <w:bookmarkStart w:id="281" w:name="_Toc14787"/>
      <w:bookmarkStart w:id="282" w:name="_Toc27175"/>
      <w:bookmarkStart w:id="283" w:name="_Toc5667"/>
      <w:bookmarkStart w:id="284" w:name="_Toc1548"/>
      <w:bookmarkStart w:id="285" w:name="_Toc32457"/>
      <w:bookmarkStart w:id="286" w:name="_Toc14064"/>
      <w:bookmarkStart w:id="287" w:name="_Toc6437"/>
      <w:r>
        <w:rPr>
          <w:rFonts w:hint="eastAsia" w:ascii="宋体" w:hAnsi="宋体" w:eastAsia="宋体" w:cs="宋体"/>
          <w:color w:val="auto"/>
          <w:sz w:val="21"/>
          <w:szCs w:val="21"/>
          <w:highlight w:val="none"/>
        </w:rPr>
        <w:t>信用查询</w:t>
      </w:r>
      <w:bookmarkEnd w:id="281"/>
      <w:bookmarkEnd w:id="282"/>
      <w:bookmarkEnd w:id="283"/>
      <w:bookmarkEnd w:id="284"/>
      <w:bookmarkEnd w:id="285"/>
      <w:bookmarkEnd w:id="286"/>
      <w:bookmarkEnd w:id="287"/>
    </w:p>
    <w:p w14:paraId="3DB41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桂财采〔2016〕37号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，采购代理机构对成交人的成交资格进行信用查询：</w:t>
      </w:r>
    </w:p>
    <w:p w14:paraId="0D3B717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5A00DF8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609593A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26FE3A7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55DBA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14B1AA">
      <w:pPr>
        <w:pStyle w:val="5"/>
        <w:spacing w:before="0" w:after="0" w:line="360" w:lineRule="auto"/>
        <w:ind w:firstLine="420" w:firstLineChars="200"/>
        <w:rPr>
          <w:rFonts w:hint="eastAsia" w:ascii="宋体" w:hAnsi="宋体" w:eastAsia="宋体" w:cs="宋体"/>
          <w:color w:val="auto"/>
          <w:sz w:val="21"/>
          <w:szCs w:val="21"/>
          <w:highlight w:val="none"/>
        </w:rPr>
      </w:pPr>
      <w:bookmarkStart w:id="288" w:name="_Toc23899"/>
      <w:bookmarkStart w:id="289" w:name="_Toc4173"/>
      <w:bookmarkStart w:id="290" w:name="_Toc778"/>
      <w:bookmarkStart w:id="291" w:name="_Toc12311"/>
      <w:bookmarkStart w:id="292" w:name="_Toc6319"/>
      <w:bookmarkStart w:id="293" w:name="_Toc18494"/>
      <w:bookmarkStart w:id="294" w:name="_Toc9438"/>
      <w:r>
        <w:rPr>
          <w:rFonts w:hint="eastAsia" w:ascii="宋体" w:hAnsi="宋体" w:eastAsia="宋体" w:cs="宋体"/>
          <w:color w:val="auto"/>
          <w:sz w:val="21"/>
          <w:szCs w:val="21"/>
          <w:highlight w:val="none"/>
        </w:rPr>
        <w:t>27. 成交结果公告及成交通知书</w:t>
      </w:r>
      <w:bookmarkEnd w:id="288"/>
      <w:bookmarkEnd w:id="289"/>
      <w:bookmarkEnd w:id="290"/>
      <w:bookmarkEnd w:id="291"/>
      <w:bookmarkEnd w:id="292"/>
      <w:bookmarkEnd w:id="293"/>
      <w:bookmarkEnd w:id="294"/>
    </w:p>
    <w:p w14:paraId="59BC6F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2274D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27.2 </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p w14:paraId="704014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p>
    <w:p w14:paraId="3A944750">
      <w:pPr>
        <w:pStyle w:val="4"/>
        <w:jc w:val="center"/>
        <w:rPr>
          <w:rFonts w:hint="eastAsia" w:ascii="宋体" w:hAnsi="宋体" w:eastAsia="宋体" w:cs="宋体"/>
          <w:b/>
          <w:bCs w:val="0"/>
          <w:color w:val="auto"/>
          <w:szCs w:val="28"/>
          <w:highlight w:val="none"/>
        </w:rPr>
      </w:pPr>
      <w:bookmarkStart w:id="295" w:name="_Toc8859"/>
      <w:bookmarkStart w:id="296" w:name="_Toc6469"/>
      <w:bookmarkStart w:id="297" w:name="_Toc24050"/>
      <w:bookmarkStart w:id="298" w:name="_Toc31764"/>
      <w:bookmarkStart w:id="299" w:name="_Toc25593"/>
      <w:bookmarkStart w:id="300" w:name="_Toc10354"/>
      <w:bookmarkStart w:id="301" w:name="_Toc19479"/>
      <w:r>
        <w:rPr>
          <w:rFonts w:hint="eastAsia" w:ascii="宋体" w:hAnsi="宋体" w:eastAsia="宋体" w:cs="宋体"/>
          <w:b/>
          <w:bCs w:val="0"/>
          <w:color w:val="auto"/>
          <w:szCs w:val="28"/>
          <w:highlight w:val="none"/>
        </w:rPr>
        <w:t>五、签订合同</w:t>
      </w:r>
      <w:bookmarkEnd w:id="295"/>
      <w:bookmarkEnd w:id="296"/>
      <w:bookmarkEnd w:id="297"/>
      <w:bookmarkEnd w:id="298"/>
      <w:bookmarkEnd w:id="299"/>
      <w:bookmarkEnd w:id="300"/>
      <w:bookmarkEnd w:id="301"/>
    </w:p>
    <w:p w14:paraId="7DF05E0C">
      <w:pPr>
        <w:pStyle w:val="5"/>
        <w:spacing w:before="0" w:after="0" w:line="360" w:lineRule="auto"/>
        <w:ind w:firstLine="420" w:firstLineChars="200"/>
        <w:rPr>
          <w:rFonts w:hint="eastAsia" w:ascii="宋体" w:hAnsi="宋体" w:eastAsia="宋体" w:cs="宋体"/>
          <w:color w:val="auto"/>
          <w:sz w:val="21"/>
          <w:szCs w:val="21"/>
          <w:highlight w:val="none"/>
        </w:rPr>
      </w:pPr>
      <w:bookmarkStart w:id="302" w:name="_Toc6518"/>
      <w:bookmarkStart w:id="303" w:name="_Toc9892"/>
      <w:bookmarkStart w:id="304" w:name="_Toc2100"/>
      <w:bookmarkStart w:id="305" w:name="_Toc15739"/>
      <w:bookmarkStart w:id="306" w:name="_Toc4376"/>
      <w:bookmarkStart w:id="307" w:name="_Toc29247"/>
      <w:bookmarkStart w:id="308" w:name="_Toc26520"/>
      <w:r>
        <w:rPr>
          <w:rFonts w:hint="eastAsia" w:ascii="宋体" w:hAnsi="宋体" w:eastAsia="宋体" w:cs="宋体"/>
          <w:color w:val="auto"/>
          <w:sz w:val="21"/>
          <w:szCs w:val="21"/>
          <w:highlight w:val="none"/>
        </w:rPr>
        <w:t>28. 履约保证金</w:t>
      </w:r>
      <w:bookmarkEnd w:id="302"/>
      <w:bookmarkEnd w:id="303"/>
      <w:bookmarkEnd w:id="304"/>
      <w:bookmarkEnd w:id="305"/>
      <w:bookmarkEnd w:id="306"/>
      <w:bookmarkEnd w:id="307"/>
      <w:bookmarkEnd w:id="308"/>
    </w:p>
    <w:p w14:paraId="1B633FBF">
      <w:pPr>
        <w:numPr>
          <w:ilvl w:val="0"/>
          <w:numId w:val="0"/>
        </w:numPr>
        <w:bidi w:val="0"/>
        <w:ind w:firstLine="420" w:firstLineChars="200"/>
        <w:rPr>
          <w:rFonts w:hint="eastAsia" w:ascii="宋体" w:hAnsi="宋体" w:eastAsia="宋体" w:cs="宋体"/>
          <w:b/>
          <w:color w:val="auto"/>
          <w:szCs w:val="21"/>
          <w:highlight w:val="none"/>
        </w:rPr>
      </w:pPr>
      <w:r>
        <w:rPr>
          <w:rFonts w:hint="eastAsia" w:hAnsi="宋体" w:cs="宋体"/>
          <w:color w:val="auto"/>
          <w:szCs w:val="21"/>
          <w:highlight w:val="none"/>
        </w:rPr>
        <w:t>本项目无需缴纳履约保证金</w:t>
      </w:r>
      <w:r>
        <w:rPr>
          <w:rFonts w:hint="eastAsia" w:ascii="宋体" w:hAnsi="宋体" w:eastAsia="宋体" w:cs="宋体"/>
          <w:color w:val="auto"/>
          <w:kern w:val="2"/>
          <w:sz w:val="21"/>
          <w:szCs w:val="21"/>
          <w:highlight w:val="none"/>
          <w:lang w:val="en-US" w:eastAsia="zh-CN" w:bidi="ar-SA"/>
        </w:rPr>
        <w:t>。</w:t>
      </w:r>
    </w:p>
    <w:p w14:paraId="1868911C">
      <w:pPr>
        <w:pStyle w:val="5"/>
        <w:spacing w:before="0" w:after="0" w:line="360" w:lineRule="auto"/>
        <w:ind w:firstLine="420" w:firstLineChars="200"/>
        <w:rPr>
          <w:rFonts w:hint="eastAsia" w:ascii="宋体" w:hAnsi="宋体" w:eastAsia="宋体" w:cs="宋体"/>
          <w:color w:val="auto"/>
          <w:sz w:val="21"/>
          <w:szCs w:val="21"/>
          <w:highlight w:val="none"/>
        </w:rPr>
      </w:pPr>
      <w:bookmarkStart w:id="309" w:name="_Toc5043"/>
      <w:bookmarkStart w:id="310" w:name="_Toc1023"/>
      <w:bookmarkStart w:id="311" w:name="_Toc2947"/>
      <w:bookmarkStart w:id="312" w:name="_Toc4237"/>
      <w:bookmarkStart w:id="313" w:name="_Toc6482"/>
      <w:bookmarkStart w:id="314" w:name="_Toc4956"/>
      <w:bookmarkStart w:id="315" w:name="_Toc23654"/>
      <w:r>
        <w:rPr>
          <w:rFonts w:hint="eastAsia" w:ascii="宋体" w:hAnsi="宋体" w:eastAsia="宋体" w:cs="宋体"/>
          <w:color w:val="auto"/>
          <w:sz w:val="21"/>
          <w:szCs w:val="21"/>
          <w:highlight w:val="none"/>
        </w:rPr>
        <w:t>29. 签订合同</w:t>
      </w:r>
      <w:bookmarkEnd w:id="309"/>
      <w:bookmarkEnd w:id="310"/>
      <w:bookmarkEnd w:id="311"/>
      <w:bookmarkEnd w:id="312"/>
      <w:bookmarkEnd w:id="313"/>
      <w:bookmarkEnd w:id="314"/>
      <w:bookmarkEnd w:id="315"/>
    </w:p>
    <w:p w14:paraId="6177AE21">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八个工作</w:t>
      </w:r>
      <w:r>
        <w:rPr>
          <w:rFonts w:hint="eastAsia" w:ascii="宋体" w:hAnsi="宋体" w:eastAsia="宋体" w:cs="宋体"/>
          <w:b/>
          <w:bCs/>
          <w:color w:val="auto"/>
          <w:szCs w:val="21"/>
          <w:highlight w:val="none"/>
          <w:lang w:eastAsia="zh-CN"/>
        </w:rPr>
        <w:t>日内签订合同。</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供应商收到</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通知书后，应按规定与采购人在“</w:t>
      </w:r>
      <w:r>
        <w:rPr>
          <w:rFonts w:hint="eastAsia" w:ascii="宋体" w:hAnsi="宋体" w:eastAsia="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eastAsia="zh-CN"/>
        </w:rPr>
        <w:t>”上在线签订电子合同。</w:t>
      </w:r>
    </w:p>
    <w:p w14:paraId="3723E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295F9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7DD0B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372F6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5EAEEF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p w14:paraId="2BDAAF80">
      <w:pPr>
        <w:pStyle w:val="4"/>
        <w:jc w:val="center"/>
        <w:rPr>
          <w:rFonts w:hint="eastAsia" w:ascii="宋体" w:hAnsi="宋体" w:eastAsia="宋体" w:cs="宋体"/>
          <w:b/>
          <w:bCs w:val="0"/>
          <w:color w:val="auto"/>
          <w:szCs w:val="28"/>
          <w:highlight w:val="none"/>
        </w:rPr>
      </w:pPr>
      <w:bookmarkStart w:id="316" w:name="_Toc3007"/>
      <w:bookmarkStart w:id="317" w:name="_Toc24170"/>
      <w:bookmarkStart w:id="318" w:name="_Toc2951"/>
      <w:bookmarkStart w:id="319" w:name="_Toc287"/>
      <w:bookmarkStart w:id="320" w:name="_Toc16965"/>
      <w:bookmarkStart w:id="321" w:name="_Toc26484"/>
      <w:bookmarkStart w:id="322" w:name="_Toc16348"/>
      <w:r>
        <w:rPr>
          <w:rFonts w:hint="eastAsia" w:ascii="宋体" w:hAnsi="宋体" w:eastAsia="宋体" w:cs="宋体"/>
          <w:b/>
          <w:bCs w:val="0"/>
          <w:color w:val="auto"/>
          <w:szCs w:val="28"/>
          <w:highlight w:val="none"/>
        </w:rPr>
        <w:t>六、其他事项</w:t>
      </w:r>
      <w:bookmarkEnd w:id="316"/>
      <w:bookmarkEnd w:id="317"/>
      <w:bookmarkEnd w:id="318"/>
      <w:bookmarkEnd w:id="319"/>
      <w:bookmarkEnd w:id="320"/>
      <w:bookmarkEnd w:id="321"/>
      <w:bookmarkEnd w:id="322"/>
    </w:p>
    <w:p w14:paraId="0C835425">
      <w:pPr>
        <w:pStyle w:val="5"/>
        <w:spacing w:before="0" w:after="0" w:line="360" w:lineRule="auto"/>
        <w:ind w:firstLine="420" w:firstLineChars="200"/>
        <w:rPr>
          <w:rFonts w:hint="eastAsia" w:ascii="宋体" w:hAnsi="宋体" w:eastAsia="宋体" w:cs="宋体"/>
          <w:color w:val="auto"/>
          <w:sz w:val="21"/>
          <w:szCs w:val="21"/>
          <w:highlight w:val="none"/>
        </w:rPr>
      </w:pPr>
      <w:bookmarkStart w:id="323" w:name="_Toc28647"/>
      <w:bookmarkStart w:id="324" w:name="_Toc5940"/>
      <w:bookmarkStart w:id="325" w:name="_Toc17996"/>
      <w:bookmarkStart w:id="326" w:name="_Toc2872"/>
      <w:bookmarkStart w:id="327" w:name="_Toc20023"/>
      <w:bookmarkStart w:id="328" w:name="_Toc31445"/>
      <w:bookmarkStart w:id="329" w:name="_Toc31010"/>
      <w:r>
        <w:rPr>
          <w:rFonts w:hint="eastAsia" w:ascii="宋体" w:hAnsi="宋体" w:eastAsia="宋体" w:cs="宋体"/>
          <w:color w:val="auto"/>
          <w:sz w:val="21"/>
          <w:szCs w:val="21"/>
          <w:highlight w:val="none"/>
        </w:rPr>
        <w:t>30. 采购代理服务费</w:t>
      </w:r>
      <w:bookmarkEnd w:id="323"/>
      <w:bookmarkEnd w:id="324"/>
      <w:bookmarkEnd w:id="325"/>
      <w:bookmarkEnd w:id="326"/>
      <w:bookmarkEnd w:id="327"/>
      <w:bookmarkEnd w:id="328"/>
      <w:bookmarkEnd w:id="329"/>
    </w:p>
    <w:p w14:paraId="636E9A1E">
      <w:pPr>
        <w:pStyle w:val="22"/>
        <w:ind w:left="0" w:leftChars="0" w:firstLine="840" w:firstLineChars="400"/>
        <w:rPr>
          <w:rFonts w:hint="eastAsia" w:ascii="宋体" w:hAnsi="宋体" w:eastAsia="宋体" w:cs="宋体"/>
          <w:color w:val="auto"/>
          <w:highlight w:val="none"/>
          <w:lang w:eastAsia="zh-CN"/>
        </w:rPr>
      </w:pPr>
      <w:r>
        <w:rPr>
          <w:rFonts w:hint="eastAsia" w:ascii="宋体" w:hAnsi="宋体" w:eastAsia="宋体" w:cs="宋体"/>
          <w:color w:val="auto"/>
          <w:highlight w:val="none"/>
        </w:rPr>
        <w:t>本项目不收取采购代理服务费</w:t>
      </w:r>
      <w:r>
        <w:rPr>
          <w:rFonts w:hint="eastAsia" w:ascii="宋体" w:hAnsi="宋体" w:cs="宋体"/>
          <w:color w:val="auto"/>
          <w:highlight w:val="none"/>
          <w:lang w:eastAsia="zh-CN"/>
        </w:rPr>
        <w:t>。</w:t>
      </w:r>
    </w:p>
    <w:p w14:paraId="06C65EB2">
      <w:pPr>
        <w:spacing w:line="360" w:lineRule="auto"/>
        <w:ind w:firstLine="420" w:firstLineChars="200"/>
        <w:outlineLvl w:val="2"/>
        <w:rPr>
          <w:rFonts w:hint="eastAsia" w:ascii="宋体" w:hAnsi="宋体" w:eastAsia="宋体" w:cs="宋体"/>
          <w:color w:val="auto"/>
          <w:szCs w:val="21"/>
          <w:highlight w:val="none"/>
          <w:lang w:eastAsia="zh-CN"/>
        </w:rPr>
      </w:pPr>
      <w:bookmarkStart w:id="330" w:name="_Toc19135"/>
      <w:bookmarkStart w:id="331" w:name="_Toc8271"/>
      <w:bookmarkStart w:id="332" w:name="_Toc10842"/>
      <w:bookmarkStart w:id="333" w:name="_Toc12374"/>
      <w:bookmarkStart w:id="334" w:name="_Toc17414"/>
      <w:bookmarkStart w:id="335" w:name="_Toc8884"/>
      <w:bookmarkStart w:id="336" w:name="_Toc22895"/>
      <w:r>
        <w:rPr>
          <w:rFonts w:hint="eastAsia" w:ascii="宋体" w:hAnsi="宋体" w:eastAsia="宋体" w:cs="宋体"/>
          <w:b/>
          <w:color w:val="auto"/>
          <w:sz w:val="21"/>
          <w:szCs w:val="21"/>
          <w:highlight w:val="none"/>
        </w:rPr>
        <w:t xml:space="preserve">31. </w:t>
      </w:r>
      <w:bookmarkEnd w:id="330"/>
      <w:bookmarkEnd w:id="331"/>
      <w:bookmarkEnd w:id="332"/>
      <w:bookmarkEnd w:id="333"/>
      <w:bookmarkEnd w:id="334"/>
      <w:r>
        <w:rPr>
          <w:rFonts w:hint="eastAsia" w:ascii="宋体" w:hAnsi="宋体" w:cs="宋体"/>
          <w:b/>
          <w:color w:val="auto"/>
          <w:sz w:val="21"/>
          <w:szCs w:val="21"/>
          <w:highlight w:val="none"/>
          <w:lang w:eastAsia="zh-CN"/>
        </w:rPr>
        <w:t>编制依据</w:t>
      </w:r>
      <w:bookmarkEnd w:id="335"/>
      <w:bookmarkEnd w:id="336"/>
    </w:p>
    <w:p w14:paraId="1681BAAE">
      <w:pPr>
        <w:spacing w:line="360" w:lineRule="auto"/>
        <w:ind w:firstLine="840" w:firstLineChars="4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w:t>
      </w:r>
    </w:p>
    <w:p w14:paraId="1516C513">
      <w:pPr>
        <w:snapToGrid w:val="0"/>
        <w:spacing w:line="400" w:lineRule="exact"/>
        <w:ind w:firstLine="420" w:firstLineChars="200"/>
        <w:outlineLvl w:val="2"/>
        <w:rPr>
          <w:rFonts w:hint="eastAsia" w:ascii="宋体" w:hAnsi="宋体" w:eastAsia="宋体" w:cs="宋体"/>
          <w:color w:val="auto"/>
          <w:szCs w:val="21"/>
          <w:highlight w:val="none"/>
        </w:rPr>
      </w:pPr>
      <w:bookmarkStart w:id="337" w:name="_Toc21062"/>
      <w:bookmarkStart w:id="338" w:name="_Toc24443"/>
      <w:bookmarkStart w:id="339" w:name="_Toc4502"/>
      <w:bookmarkStart w:id="340" w:name="_Toc11326"/>
      <w:bookmarkStart w:id="341" w:name="_Toc6977"/>
      <w:bookmarkStart w:id="342" w:name="_Toc9303"/>
      <w:r>
        <w:rPr>
          <w:rStyle w:val="25"/>
          <w:rFonts w:hint="eastAsia" w:ascii="宋体" w:hAnsi="宋体" w:eastAsia="宋体" w:cs="宋体"/>
          <w:b/>
          <w:color w:val="auto"/>
          <w:sz w:val="21"/>
          <w:szCs w:val="21"/>
          <w:highlight w:val="none"/>
        </w:rPr>
        <w:t>32. 监督管理机构</w:t>
      </w:r>
      <w:bookmarkEnd w:id="337"/>
      <w:bookmarkEnd w:id="338"/>
      <w:bookmarkEnd w:id="339"/>
      <w:bookmarkEnd w:id="340"/>
      <w:bookmarkEnd w:id="341"/>
      <w:bookmarkEnd w:id="342"/>
    </w:p>
    <w:p w14:paraId="3D0C038F">
      <w:pPr>
        <w:snapToGrid w:val="0"/>
        <w:spacing w:line="400" w:lineRule="exact"/>
        <w:ind w:firstLine="840" w:firstLineChars="400"/>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荔浦市财政局</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电话：</w:t>
      </w:r>
      <w:r>
        <w:rPr>
          <w:rFonts w:hint="eastAsia" w:ascii="宋体" w:hAnsi="宋体" w:cs="宋体"/>
          <w:color w:val="auto"/>
          <w:szCs w:val="21"/>
          <w:highlight w:val="none"/>
          <w:lang w:eastAsia="zh-CN"/>
        </w:rPr>
        <w:t xml:space="preserve">0773-7233366 </w:t>
      </w:r>
      <w:bookmarkStart w:id="343" w:name="_Toc4906"/>
      <w:bookmarkStart w:id="344" w:name="_Toc20144"/>
      <w:bookmarkStart w:id="345" w:name="_Toc8410"/>
      <w:bookmarkStart w:id="346" w:name="_Toc29649"/>
    </w:p>
    <w:p w14:paraId="4EEAF674">
      <w:pPr>
        <w:pStyle w:val="22"/>
        <w:rPr>
          <w:rFonts w:hint="eastAsia" w:ascii="宋体" w:hAnsi="宋体" w:eastAsia="宋体" w:cs="宋体"/>
          <w:color w:val="auto"/>
          <w:szCs w:val="21"/>
          <w:highlight w:val="none"/>
          <w:lang w:eastAsia="zh-CN"/>
        </w:rPr>
      </w:pPr>
    </w:p>
    <w:p w14:paraId="77E3FAC5">
      <w:pPr>
        <w:rPr>
          <w:rFonts w:hint="eastAsia" w:ascii="宋体" w:hAnsi="宋体" w:eastAsia="宋体" w:cs="宋体"/>
          <w:color w:val="auto"/>
          <w:szCs w:val="21"/>
          <w:highlight w:val="none"/>
          <w:lang w:eastAsia="zh-CN"/>
        </w:rPr>
      </w:pPr>
    </w:p>
    <w:p w14:paraId="711EEF1D">
      <w:pPr>
        <w:pStyle w:val="22"/>
        <w:rPr>
          <w:rFonts w:hint="eastAsia" w:ascii="宋体" w:hAnsi="宋体" w:eastAsia="宋体" w:cs="宋体"/>
          <w:color w:val="FF0000"/>
          <w:szCs w:val="21"/>
          <w:highlight w:val="none"/>
          <w:lang w:eastAsia="zh-CN"/>
        </w:rPr>
      </w:pPr>
    </w:p>
    <w:p w14:paraId="5376E1BF">
      <w:pPr>
        <w:rPr>
          <w:rFonts w:hint="eastAsia" w:ascii="宋体" w:hAnsi="宋体" w:eastAsia="宋体" w:cs="宋体"/>
          <w:color w:val="FF0000"/>
          <w:szCs w:val="21"/>
          <w:highlight w:val="none"/>
          <w:lang w:eastAsia="zh-CN"/>
        </w:rPr>
      </w:pPr>
    </w:p>
    <w:p w14:paraId="7D5A3401">
      <w:pPr>
        <w:pStyle w:val="22"/>
        <w:rPr>
          <w:rFonts w:hint="eastAsia" w:ascii="宋体" w:hAnsi="宋体" w:eastAsia="宋体" w:cs="宋体"/>
          <w:color w:val="FF0000"/>
          <w:szCs w:val="21"/>
          <w:highlight w:val="none"/>
          <w:lang w:eastAsia="zh-CN"/>
        </w:rPr>
      </w:pPr>
    </w:p>
    <w:p w14:paraId="78D44E9E">
      <w:pPr>
        <w:rPr>
          <w:rFonts w:hint="eastAsia" w:ascii="宋体" w:hAnsi="宋体" w:eastAsia="宋体" w:cs="宋体"/>
          <w:color w:val="FF0000"/>
          <w:szCs w:val="21"/>
          <w:highlight w:val="none"/>
          <w:lang w:eastAsia="zh-CN"/>
        </w:rPr>
      </w:pPr>
    </w:p>
    <w:p w14:paraId="647937B3">
      <w:pPr>
        <w:pStyle w:val="22"/>
        <w:rPr>
          <w:rFonts w:hint="eastAsia" w:ascii="宋体" w:hAnsi="宋体" w:eastAsia="宋体" w:cs="宋体"/>
          <w:color w:val="FF0000"/>
          <w:szCs w:val="21"/>
          <w:highlight w:val="none"/>
          <w:lang w:eastAsia="zh-CN"/>
        </w:rPr>
      </w:pPr>
    </w:p>
    <w:p w14:paraId="0DEDDDBC">
      <w:pPr>
        <w:rPr>
          <w:rFonts w:hint="eastAsia" w:ascii="宋体" w:hAnsi="宋体" w:eastAsia="宋体" w:cs="宋体"/>
          <w:color w:val="FF0000"/>
          <w:szCs w:val="21"/>
          <w:highlight w:val="none"/>
          <w:lang w:eastAsia="zh-CN"/>
        </w:rPr>
      </w:pPr>
    </w:p>
    <w:p w14:paraId="6120BD30">
      <w:pPr>
        <w:pStyle w:val="22"/>
        <w:rPr>
          <w:rFonts w:hint="eastAsia" w:ascii="宋体" w:hAnsi="宋体" w:eastAsia="宋体" w:cs="宋体"/>
          <w:color w:val="FF0000"/>
          <w:szCs w:val="21"/>
          <w:highlight w:val="none"/>
          <w:lang w:eastAsia="zh-CN"/>
        </w:rPr>
      </w:pPr>
    </w:p>
    <w:p w14:paraId="2C621635">
      <w:pPr>
        <w:rPr>
          <w:rFonts w:hint="eastAsia" w:ascii="宋体" w:hAnsi="宋体" w:eastAsia="宋体" w:cs="宋体"/>
          <w:color w:val="FF0000"/>
          <w:szCs w:val="21"/>
          <w:highlight w:val="none"/>
          <w:lang w:eastAsia="zh-CN"/>
        </w:rPr>
      </w:pPr>
    </w:p>
    <w:p w14:paraId="7D1E2D6F">
      <w:pPr>
        <w:pStyle w:val="22"/>
        <w:rPr>
          <w:rFonts w:hint="eastAsia" w:ascii="宋体" w:hAnsi="宋体" w:eastAsia="宋体" w:cs="宋体"/>
          <w:color w:val="FF0000"/>
          <w:szCs w:val="21"/>
          <w:highlight w:val="none"/>
          <w:lang w:eastAsia="zh-CN"/>
        </w:rPr>
      </w:pPr>
    </w:p>
    <w:p w14:paraId="2778BBF7">
      <w:pPr>
        <w:rPr>
          <w:rFonts w:hint="eastAsia" w:ascii="宋体" w:hAnsi="宋体" w:eastAsia="宋体" w:cs="宋体"/>
          <w:color w:val="FF0000"/>
          <w:szCs w:val="21"/>
          <w:highlight w:val="none"/>
          <w:lang w:eastAsia="zh-CN"/>
        </w:rPr>
      </w:pPr>
    </w:p>
    <w:p w14:paraId="68C1D0A7">
      <w:pPr>
        <w:pStyle w:val="22"/>
        <w:rPr>
          <w:rFonts w:hint="eastAsia" w:ascii="宋体" w:hAnsi="宋体" w:eastAsia="宋体" w:cs="宋体"/>
          <w:color w:val="FF0000"/>
          <w:szCs w:val="21"/>
          <w:highlight w:val="none"/>
          <w:lang w:eastAsia="zh-CN"/>
        </w:rPr>
      </w:pPr>
    </w:p>
    <w:p w14:paraId="15E82AEC">
      <w:pPr>
        <w:rPr>
          <w:rFonts w:hint="eastAsia" w:ascii="宋体" w:hAnsi="宋体" w:eastAsia="宋体" w:cs="宋体"/>
          <w:color w:val="FF0000"/>
          <w:szCs w:val="21"/>
          <w:highlight w:val="none"/>
          <w:lang w:eastAsia="zh-CN"/>
        </w:rPr>
      </w:pPr>
    </w:p>
    <w:p w14:paraId="6A6DADBB">
      <w:pPr>
        <w:pStyle w:val="22"/>
        <w:rPr>
          <w:rFonts w:hint="eastAsia" w:ascii="宋体" w:hAnsi="宋体" w:eastAsia="宋体" w:cs="宋体"/>
          <w:color w:val="FF0000"/>
          <w:szCs w:val="21"/>
          <w:highlight w:val="none"/>
          <w:lang w:eastAsia="zh-CN"/>
        </w:rPr>
      </w:pPr>
    </w:p>
    <w:p w14:paraId="0EBA6478">
      <w:pPr>
        <w:rPr>
          <w:rFonts w:hint="eastAsia" w:ascii="宋体" w:hAnsi="宋体" w:eastAsia="宋体" w:cs="宋体"/>
          <w:color w:val="FF0000"/>
          <w:szCs w:val="21"/>
          <w:highlight w:val="none"/>
          <w:lang w:eastAsia="zh-CN"/>
        </w:rPr>
      </w:pPr>
    </w:p>
    <w:p w14:paraId="531F0D83">
      <w:pPr>
        <w:pStyle w:val="22"/>
        <w:rPr>
          <w:rFonts w:hint="eastAsia" w:ascii="宋体" w:hAnsi="宋体" w:eastAsia="宋体" w:cs="宋体"/>
          <w:color w:val="FF0000"/>
          <w:szCs w:val="21"/>
          <w:highlight w:val="none"/>
          <w:lang w:eastAsia="zh-CN"/>
        </w:rPr>
      </w:pPr>
    </w:p>
    <w:p w14:paraId="01508F99">
      <w:pPr>
        <w:rPr>
          <w:rFonts w:hint="eastAsia"/>
          <w:lang w:eastAsia="zh-CN"/>
        </w:rPr>
      </w:pPr>
    </w:p>
    <w:p w14:paraId="7BE214FF">
      <w:pPr>
        <w:pStyle w:val="22"/>
        <w:rPr>
          <w:rFonts w:hint="eastAsia"/>
          <w:lang w:eastAsia="zh-CN"/>
        </w:rPr>
      </w:pPr>
    </w:p>
    <w:p w14:paraId="002BC760">
      <w:pPr>
        <w:snapToGrid w:val="0"/>
        <w:spacing w:line="400" w:lineRule="exact"/>
        <w:ind w:firstLine="840" w:firstLineChars="400"/>
        <w:outlineLvl w:val="9"/>
        <w:rPr>
          <w:rFonts w:hint="eastAsia" w:ascii="宋体" w:hAnsi="宋体" w:eastAsia="宋体" w:cs="宋体"/>
          <w:color w:val="FF0000"/>
          <w:szCs w:val="21"/>
          <w:highlight w:val="none"/>
          <w:lang w:eastAsia="zh-CN"/>
        </w:rPr>
      </w:pPr>
    </w:p>
    <w:p w14:paraId="446667A1">
      <w:pPr>
        <w:pStyle w:val="22"/>
        <w:rPr>
          <w:rFonts w:hint="eastAsia"/>
          <w:lang w:eastAsia="zh-CN"/>
        </w:rPr>
      </w:pPr>
    </w:p>
    <w:p w14:paraId="1903AF8B">
      <w:pPr>
        <w:rPr>
          <w:rFonts w:hint="eastAsia" w:ascii="宋体" w:hAnsi="宋体" w:eastAsia="宋体" w:cs="宋体"/>
          <w:color w:val="auto"/>
          <w:sz w:val="32"/>
          <w:szCs w:val="32"/>
          <w:highlight w:val="none"/>
          <w:lang w:eastAsia="zh-CN"/>
        </w:rPr>
      </w:pPr>
      <w:bookmarkStart w:id="347" w:name="_Toc5004"/>
      <w:bookmarkStart w:id="348" w:name="_Toc26312"/>
      <w:r>
        <w:rPr>
          <w:rFonts w:hint="eastAsia" w:ascii="宋体" w:hAnsi="宋体" w:eastAsia="宋体" w:cs="宋体"/>
          <w:color w:val="auto"/>
          <w:sz w:val="32"/>
          <w:szCs w:val="32"/>
          <w:highlight w:val="none"/>
          <w:lang w:eastAsia="zh-CN"/>
        </w:rPr>
        <w:br w:type="page"/>
      </w:r>
    </w:p>
    <w:p w14:paraId="273FFA24">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第三章</w:t>
      </w:r>
      <w:r>
        <w:rPr>
          <w:rFonts w:hint="eastAsia" w:ascii="宋体" w:hAnsi="宋体" w:eastAsia="宋体" w:cs="宋体"/>
          <w:color w:val="auto"/>
          <w:sz w:val="32"/>
          <w:szCs w:val="32"/>
          <w:highlight w:val="none"/>
        </w:rPr>
        <w:t xml:space="preserve"> </w:t>
      </w:r>
      <w:bookmarkStart w:id="349" w:name="_Toc22353"/>
      <w:bookmarkStart w:id="350" w:name="_Toc24601"/>
      <w:r>
        <w:rPr>
          <w:rFonts w:hint="eastAsia" w:ascii="宋体" w:hAnsi="宋体" w:eastAsia="宋体" w:cs="宋体"/>
          <w:color w:val="auto"/>
          <w:sz w:val="32"/>
          <w:szCs w:val="32"/>
          <w:highlight w:val="none"/>
        </w:rPr>
        <w:t>采购需求</w:t>
      </w:r>
      <w:bookmarkEnd w:id="343"/>
      <w:bookmarkEnd w:id="344"/>
      <w:bookmarkEnd w:id="345"/>
      <w:bookmarkEnd w:id="346"/>
      <w:bookmarkEnd w:id="347"/>
      <w:bookmarkEnd w:id="348"/>
      <w:bookmarkEnd w:id="349"/>
      <w:bookmarkEnd w:id="350"/>
    </w:p>
    <w:p w14:paraId="1F7DEAD3">
      <w:pPr>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注：“采购需求”中所有要求均为实质性要求，不允许负偏离，否则视为无效响应。带“▲”号的参数为重要技术指标及要求，将作为评审依据。</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165"/>
        <w:gridCol w:w="8704"/>
      </w:tblGrid>
      <w:tr w14:paraId="370F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41" w:type="dxa"/>
            <w:tcBorders>
              <w:tl2br w:val="nil"/>
              <w:tr2bl w:val="nil"/>
            </w:tcBorders>
            <w:shd w:val="clear" w:color="000000" w:fill="FFFFFF"/>
            <w:noWrap w:val="0"/>
            <w:vAlign w:val="center"/>
          </w:tcPr>
          <w:p w14:paraId="4ED54CC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cs="宋体"/>
                <w:b/>
                <w:bCs/>
                <w:color w:val="auto"/>
                <w:szCs w:val="21"/>
                <w:highlight w:val="none"/>
              </w:rPr>
            </w:pPr>
            <w:bookmarkStart w:id="351" w:name="_Toc6574"/>
            <w:bookmarkStart w:id="352" w:name="_Toc2989"/>
            <w:bookmarkStart w:id="353" w:name="_Toc18464"/>
            <w:bookmarkStart w:id="354" w:name="_Toc23712"/>
            <w:bookmarkStart w:id="355" w:name="_Toc20868"/>
            <w:r>
              <w:rPr>
                <w:rFonts w:hint="eastAsia" w:ascii="宋体" w:hAnsi="宋体" w:cs="宋体"/>
                <w:b/>
                <w:bCs/>
                <w:color w:val="auto"/>
                <w:szCs w:val="21"/>
                <w:highlight w:val="none"/>
              </w:rPr>
              <w:t>序号</w:t>
            </w:r>
          </w:p>
        </w:tc>
        <w:tc>
          <w:tcPr>
            <w:tcW w:w="1165" w:type="dxa"/>
            <w:tcBorders>
              <w:tl2br w:val="nil"/>
              <w:tr2bl w:val="nil"/>
            </w:tcBorders>
            <w:shd w:val="clear" w:color="000000" w:fill="FFFFFF"/>
            <w:noWrap w:val="0"/>
            <w:vAlign w:val="center"/>
          </w:tcPr>
          <w:p w14:paraId="6D199B9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服务名称</w:t>
            </w:r>
          </w:p>
        </w:tc>
        <w:tc>
          <w:tcPr>
            <w:tcW w:w="8704" w:type="dxa"/>
            <w:tcBorders>
              <w:tl2br w:val="nil"/>
              <w:tr2bl w:val="nil"/>
            </w:tcBorders>
            <w:shd w:val="clear" w:color="000000" w:fill="FFFFFF"/>
            <w:noWrap w:val="0"/>
            <w:vAlign w:val="center"/>
          </w:tcPr>
          <w:p w14:paraId="4C095283">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pacing w:val="0"/>
                <w:szCs w:val="21"/>
                <w:highlight w:val="none"/>
              </w:rPr>
              <w:t>服务</w:t>
            </w:r>
            <w:r>
              <w:rPr>
                <w:rFonts w:hint="eastAsia" w:ascii="宋体" w:hAnsi="宋体" w:eastAsia="宋体" w:cs="宋体"/>
                <w:b/>
                <w:bCs/>
                <w:color w:val="auto"/>
                <w:spacing w:val="0"/>
                <w:szCs w:val="21"/>
                <w:highlight w:val="none"/>
                <w:lang w:eastAsia="zh-CN"/>
              </w:rPr>
              <w:t>内容及</w:t>
            </w:r>
            <w:r>
              <w:rPr>
                <w:rFonts w:hint="eastAsia" w:ascii="宋体" w:hAnsi="宋体" w:eastAsia="宋体" w:cs="宋体"/>
                <w:b/>
                <w:bCs/>
                <w:color w:val="auto"/>
                <w:spacing w:val="0"/>
                <w:szCs w:val="21"/>
                <w:highlight w:val="none"/>
              </w:rPr>
              <w:t>要求</w:t>
            </w:r>
          </w:p>
        </w:tc>
      </w:tr>
      <w:tr w14:paraId="6A5E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541" w:type="dxa"/>
            <w:tcBorders>
              <w:tl2br w:val="nil"/>
              <w:tr2bl w:val="nil"/>
            </w:tcBorders>
            <w:shd w:val="clear" w:color="000000" w:fill="FFFFFF"/>
            <w:noWrap w:val="0"/>
            <w:vAlign w:val="center"/>
          </w:tcPr>
          <w:p w14:paraId="574CE9A9">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165" w:type="dxa"/>
            <w:tcBorders>
              <w:tl2br w:val="nil"/>
              <w:tr2bl w:val="nil"/>
            </w:tcBorders>
            <w:shd w:val="clear" w:color="000000" w:fill="FFFFFF"/>
            <w:noWrap w:val="0"/>
            <w:vAlign w:val="center"/>
          </w:tcPr>
          <w:p w14:paraId="68F89A18">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Style w:val="38"/>
                <w:rFonts w:hint="eastAsia" w:ascii="宋体"/>
                <w:szCs w:val="21"/>
                <w:lang w:val="en-US" w:eastAsia="zh-CN"/>
              </w:rPr>
              <w:t>荔浦市电子政务外网横向接入专线服务</w:t>
            </w:r>
          </w:p>
        </w:tc>
        <w:tc>
          <w:tcPr>
            <w:tcW w:w="8704" w:type="dxa"/>
            <w:tcBorders>
              <w:tl2br w:val="nil"/>
              <w:tr2bl w:val="nil"/>
            </w:tcBorders>
            <w:shd w:val="clear" w:color="000000" w:fill="FFFFFF"/>
            <w:noWrap w:val="0"/>
            <w:vAlign w:val="center"/>
          </w:tcPr>
          <w:p w14:paraId="5F8E1EE8">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一、互联网出口2套安全设备升级服务</w:t>
            </w:r>
          </w:p>
          <w:p w14:paraId="7B3B86EA">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H3C secpath T1000-AI-55的IPS、AV、ACG升级服务；H3C secpath F1070 的IPS、AV升级服务（包含：入侵防御功能、防病毒功能、上网行为管理功能升级服务）</w:t>
            </w:r>
          </w:p>
          <w:p w14:paraId="50514947">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bCs/>
                <w:color w:val="auto"/>
                <w:spacing w:val="0"/>
                <w:sz w:val="21"/>
                <w:szCs w:val="21"/>
                <w:highlight w:val="none"/>
                <w:lang w:val="en-US" w:eastAsia="zh-CN"/>
              </w:rPr>
            </w:pPr>
            <w:r>
              <w:rPr>
                <w:rFonts w:hint="eastAsia" w:ascii="Times New Roman" w:hAnsi="Times New Roman" w:cs="Times New Roman"/>
                <w:b/>
                <w:bCs/>
                <w:color w:val="auto"/>
                <w:spacing w:val="0"/>
                <w:sz w:val="21"/>
                <w:szCs w:val="21"/>
                <w:highlight w:val="none"/>
                <w:lang w:val="en-US" w:eastAsia="zh-CN"/>
              </w:rPr>
              <w:t>二</w:t>
            </w:r>
            <w:r>
              <w:rPr>
                <w:rFonts w:hint="default" w:ascii="Times New Roman" w:hAnsi="Times New Roman" w:eastAsia="宋体" w:cs="Times New Roman"/>
                <w:b/>
                <w:bCs/>
                <w:color w:val="auto"/>
                <w:spacing w:val="0"/>
                <w:sz w:val="21"/>
                <w:szCs w:val="21"/>
                <w:highlight w:val="none"/>
                <w:lang w:val="en-US" w:eastAsia="zh-CN"/>
              </w:rPr>
              <w:t>、IPV6升级改造内容</w:t>
            </w:r>
          </w:p>
          <w:p w14:paraId="1AC39A2B">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依据《电子政务外网网络技术规范》（DB45/T2760-2023）IPV6技术规范对荔浦市电子政务外网进行IPV6升级改造，包含但不限于机房核心主干硬件设备（防火墙、核心交换机、VPN、IPS等）升级改造、400多个电子政务外网接入单位的接入设备升级改造，改造过程所需的IPV6地址、设备等硬件软件由中标方提供。采购人不提供任何额外的经费、软件、硬件。升级改造合格标准以广西壮族自治区信息中心测试后反馈回的合格信息为准。</w:t>
            </w:r>
          </w:p>
          <w:p w14:paraId="32FE89BB">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bCs/>
                <w:color w:val="auto"/>
                <w:spacing w:val="0"/>
                <w:sz w:val="21"/>
                <w:szCs w:val="21"/>
                <w:highlight w:val="none"/>
                <w:lang w:val="en-US" w:eastAsia="zh-CN"/>
              </w:rPr>
            </w:pPr>
            <w:r>
              <w:rPr>
                <w:rFonts w:hint="eastAsia" w:ascii="Times New Roman" w:hAnsi="Times New Roman" w:cs="Times New Roman"/>
                <w:b/>
                <w:bCs/>
                <w:color w:val="auto"/>
                <w:spacing w:val="0"/>
                <w:sz w:val="21"/>
                <w:szCs w:val="21"/>
                <w:highlight w:val="none"/>
                <w:lang w:val="en-US" w:eastAsia="zh-CN"/>
              </w:rPr>
              <w:t>三</w:t>
            </w:r>
            <w:r>
              <w:rPr>
                <w:rFonts w:hint="default" w:ascii="Times New Roman" w:hAnsi="Times New Roman" w:eastAsia="宋体" w:cs="Times New Roman"/>
                <w:b/>
                <w:bCs/>
                <w:color w:val="auto"/>
                <w:spacing w:val="0"/>
                <w:sz w:val="21"/>
                <w:szCs w:val="21"/>
                <w:highlight w:val="none"/>
                <w:lang w:val="en-US" w:eastAsia="zh-CN"/>
              </w:rPr>
              <w:t>、提供</w:t>
            </w:r>
            <w:r>
              <w:rPr>
                <w:rFonts w:hint="eastAsia" w:ascii="Times New Roman" w:hAnsi="Times New Roman" w:cs="Times New Roman"/>
                <w:b/>
                <w:bCs/>
                <w:color w:val="auto"/>
                <w:spacing w:val="0"/>
                <w:sz w:val="21"/>
                <w:szCs w:val="21"/>
                <w:highlight w:val="none"/>
                <w:lang w:val="en-US" w:eastAsia="zh-CN"/>
              </w:rPr>
              <w:t>1</w:t>
            </w:r>
            <w:r>
              <w:rPr>
                <w:rFonts w:hint="default" w:ascii="Times New Roman" w:hAnsi="Times New Roman" w:eastAsia="宋体" w:cs="Times New Roman"/>
                <w:b/>
                <w:bCs/>
                <w:color w:val="auto"/>
                <w:spacing w:val="0"/>
                <w:sz w:val="21"/>
                <w:szCs w:val="21"/>
                <w:highlight w:val="none"/>
                <w:lang w:val="en-US" w:eastAsia="zh-CN"/>
              </w:rPr>
              <w:t>台IPV6安全防护设备，其具体性能参数如下：</w:t>
            </w:r>
          </w:p>
          <w:p w14:paraId="67A252C6">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▲1.基于IPv6的状态防火墙及攻击防范；IPv6协议：IPv6转发、ICMPv6、PMTU、Ping6、DNS6、TraceRT6、Telnet6、DHCPv6 Client、DHCPv6 Relay等；IPv6路由：RIPng、OSPFv3、BGP4+、静态路由、策略路由、PIM-SM、PIM-DM等；IPv6安全：NAT-PT、IPv6 Tunnel、IPv6 Packet Filter、Radius、IPv6域间策略、IPv6连接数限制等。</w:t>
            </w:r>
          </w:p>
          <w:p w14:paraId="5799CCF5">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2.支持IPv4/IPv6双栈安全策略功能，支持基于五元组、安全域、时间段等多维度访问控制。</w:t>
            </w:r>
          </w:p>
          <w:p w14:paraId="3D72FC36">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▲3.支持IPv6状态防火墙，真正意义上实现IPv6条件下的防火墙功能，同时完成IPv6的攻击防范。</w:t>
            </w:r>
          </w:p>
          <w:p w14:paraId="257F332C">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4.支持IPv4/IPv6双协议栈，并支持IPv6数据报文转发、静态路由、动态路由及组播路由等功能。</w:t>
            </w:r>
          </w:p>
          <w:p w14:paraId="5E4909BE">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5.网络吞吐量≥10G，应用（七层）吞吐量≥6G，IPS 吞吐量≥5G，防病毒吞吐量≥4.5G；配置≥14个千兆以太电口、≥12个千兆以太光口、≥4个万兆以太光口；配置双电源，480G SSD硬盘；配置3年AV防病毒特征库和3年URL特征库升级服务。</w:t>
            </w:r>
          </w:p>
          <w:p w14:paraId="2DEB416B">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6.支持路由、透明、交换以及混合模式接入。</w:t>
            </w:r>
          </w:p>
          <w:p w14:paraId="58DE76AC">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7.支持静态路由、策略路由、RIP、OSPF、BGP等路由协议。</w:t>
            </w:r>
          </w:p>
          <w:p w14:paraId="67E361E1">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8.支持NAT44、NAT46、NAT64、NAT66。</w:t>
            </w:r>
          </w:p>
          <w:p w14:paraId="76BFBA05">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▲9.实现安全区域划分，访问控制列表，配置对象及策略，动态包过滤，黑名单，MAC 和 IP 绑定功能，基于MAC的访问控制列表，802.1q VLAN 透传等功能。</w:t>
            </w:r>
          </w:p>
          <w:p w14:paraId="3E44EDC0">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▲10.支持对检测到的攻击行为的报文进行自动化抓包功能，并可按保护对象、保护对象和攻击分类进行查询。</w:t>
            </w:r>
          </w:p>
          <w:p w14:paraId="17AB790A">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▲11.支持2台设备堆叠成一台设备使用，实现统一管理，统一配置，所投设备支持高可靠性（包含主备/主主模式）部署。</w:t>
            </w:r>
          </w:p>
          <w:p w14:paraId="08F581E4">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12.所投设备须支持虚拟防火墙功能：支持虚拟防火墙的创建、启动、关闭、删除功能；可独立分配CPU/内存等计算资源；虚拟防火墙可独立管理，独立保存配置；虚拟防火墙具备独立会话管理、NAT、路由等功能。</w:t>
            </w:r>
          </w:p>
          <w:p w14:paraId="386CB439">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13.为了保证整个网络的可靠稳定，要求本次采购的安全设备支持A/S，A/A方式部署，支持配置同步和会话同步。</w:t>
            </w:r>
          </w:p>
          <w:p w14:paraId="68DE34D5">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14.提供开放API接口（RESTful，NetConf），可编程管理安全系统，不再仅依赖网管软件。</w:t>
            </w:r>
          </w:p>
          <w:p w14:paraId="40DBE4C7">
            <w:pPr>
              <w:pStyle w:val="52"/>
              <w:keepNext w:val="0"/>
              <w:keepLines w:val="0"/>
              <w:pageBreakBefore w:val="0"/>
              <w:widowControl w:val="0"/>
              <w:kinsoku/>
              <w:wordWrap/>
              <w:overflowPunct/>
              <w:topLinePunct w:val="0"/>
              <w:bidi w:val="0"/>
              <w:spacing w:before="141" w:line="440" w:lineRule="exact"/>
              <w:ind w:left="0" w:leftChars="0" w:firstLine="0" w:firstLineChars="0"/>
              <w:jc w:val="left"/>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15.为实现设备纳入广西壮族自治区电子政务外网运维管理系统，要求所投产品必须能被机房现网运维管理平台无缝纳管，为保证无缝纳管，用户保留测试</w:t>
            </w:r>
            <w:r>
              <w:rPr>
                <w:rFonts w:hint="eastAsia"/>
                <w:sz w:val="21"/>
                <w:szCs w:val="21"/>
                <w:lang w:eastAsia="zh-CN"/>
              </w:rPr>
              <w:t>权利</w:t>
            </w:r>
            <w:r>
              <w:rPr>
                <w:rFonts w:hint="default" w:ascii="Times New Roman" w:hAnsi="Times New Roman" w:eastAsia="宋体" w:cs="Times New Roman"/>
                <w:b w:val="0"/>
                <w:bCs w:val="0"/>
                <w:color w:val="auto"/>
                <w:spacing w:val="0"/>
                <w:sz w:val="21"/>
                <w:szCs w:val="21"/>
                <w:highlight w:val="none"/>
                <w:lang w:val="en-US" w:eastAsia="zh-CN"/>
              </w:rPr>
              <w:t>，且竞标人需提供能纳管承诺函。</w:t>
            </w:r>
          </w:p>
          <w:p w14:paraId="470A11F9">
            <w:pPr>
              <w:pStyle w:val="2"/>
              <w:ind w:left="0" w:leftChars="0" w:firstLine="0" w:firstLineChars="0"/>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16.为保障售后服务的及时性，供货时提供原厂售后服务承诺函。</w:t>
            </w:r>
          </w:p>
          <w:p w14:paraId="40117755">
            <w:pPr>
              <w:pStyle w:val="2"/>
              <w:ind w:left="0" w:leftChars="0" w:firstLine="0" w:firstLineChars="0"/>
              <w:rPr>
                <w:rFonts w:hint="default" w:ascii="Times New Roman" w:hAnsi="Times New Roman" w:eastAsia="宋体" w:cs="Times New Roman"/>
                <w:b w:val="0"/>
                <w:bCs w:val="0"/>
                <w:color w:val="auto"/>
                <w:spacing w:val="0"/>
                <w:sz w:val="21"/>
                <w:szCs w:val="21"/>
                <w:highlight w:val="none"/>
                <w:lang w:val="en-US" w:eastAsia="zh-CN"/>
              </w:rPr>
            </w:pPr>
          </w:p>
          <w:p w14:paraId="3EB3077C">
            <w:pPr>
              <w:pStyle w:val="2"/>
              <w:ind w:left="0" w:leftChars="0" w:firstLine="0" w:firstLineChars="0"/>
              <w:rPr>
                <w:rFonts w:hint="default" w:ascii="Times New Roman" w:hAnsi="Times New Roman" w:eastAsia="宋体" w:cs="Times New Roman"/>
                <w:b/>
                <w:bCs/>
                <w:color w:val="auto"/>
                <w:spacing w:val="0"/>
                <w:sz w:val="21"/>
                <w:szCs w:val="21"/>
                <w:highlight w:val="none"/>
                <w:lang w:val="en-US" w:eastAsia="zh-CN"/>
              </w:rPr>
            </w:pPr>
            <w:r>
              <w:rPr>
                <w:rFonts w:hint="eastAsia" w:cs="Times New Roman"/>
                <w:b/>
                <w:bCs/>
                <w:color w:val="auto"/>
                <w:spacing w:val="0"/>
                <w:sz w:val="21"/>
                <w:szCs w:val="21"/>
                <w:highlight w:val="none"/>
                <w:lang w:val="en-US" w:eastAsia="zh-CN"/>
              </w:rPr>
              <w:t>四、提供1台核心交换机设备，</w:t>
            </w:r>
            <w:r>
              <w:rPr>
                <w:rFonts w:hint="default" w:ascii="Times New Roman" w:hAnsi="Times New Roman" w:eastAsia="宋体" w:cs="Times New Roman"/>
                <w:b/>
                <w:bCs/>
                <w:color w:val="auto"/>
                <w:spacing w:val="0"/>
                <w:sz w:val="21"/>
                <w:szCs w:val="21"/>
                <w:highlight w:val="none"/>
                <w:lang w:val="en-US" w:eastAsia="zh-CN"/>
              </w:rPr>
              <w:t>其具体性能参数如下：</w:t>
            </w:r>
          </w:p>
          <w:p w14:paraId="0A14965B">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w:t>
            </w:r>
            <w:r>
              <w:rPr>
                <w:rFonts w:hint="default"/>
                <w:color w:val="auto"/>
                <w:sz w:val="21"/>
                <w:szCs w:val="21"/>
                <w:highlight w:val="none"/>
                <w:lang w:val="en-US" w:eastAsia="zh-CN"/>
              </w:rPr>
              <w:t>1、整机最大交换容量</w:t>
            </w:r>
            <w:r>
              <w:rPr>
                <w:rFonts w:hint="eastAsia"/>
                <w:color w:val="auto"/>
                <w:sz w:val="21"/>
                <w:szCs w:val="21"/>
                <w:highlight w:val="none"/>
                <w:lang w:val="en-US" w:eastAsia="zh-CN"/>
              </w:rPr>
              <w:t>≥</w:t>
            </w:r>
            <w:r>
              <w:rPr>
                <w:rFonts w:hint="default"/>
                <w:color w:val="auto"/>
                <w:sz w:val="21"/>
                <w:szCs w:val="21"/>
                <w:highlight w:val="none"/>
                <w:lang w:val="en-US" w:eastAsia="zh-CN"/>
              </w:rPr>
              <w:t>460.8Tbps，最大包转发率</w:t>
            </w:r>
            <w:r>
              <w:rPr>
                <w:rFonts w:hint="eastAsia"/>
                <w:color w:val="auto"/>
                <w:sz w:val="21"/>
                <w:szCs w:val="21"/>
                <w:highlight w:val="none"/>
                <w:lang w:val="en-US" w:eastAsia="zh-CN"/>
              </w:rPr>
              <w:t>≥</w:t>
            </w:r>
            <w:r>
              <w:rPr>
                <w:rFonts w:hint="default"/>
                <w:color w:val="auto"/>
                <w:sz w:val="21"/>
                <w:szCs w:val="21"/>
                <w:highlight w:val="none"/>
                <w:lang w:val="en-US" w:eastAsia="zh-CN"/>
              </w:rPr>
              <w:t>76800Mpps；提供8个槽位数，其中业务槽位数不少于6个；配置</w:t>
            </w:r>
            <w:r>
              <w:rPr>
                <w:rFonts w:hint="eastAsia"/>
                <w:color w:val="auto"/>
                <w:sz w:val="21"/>
                <w:szCs w:val="21"/>
                <w:highlight w:val="none"/>
                <w:lang w:val="en-US" w:eastAsia="zh-CN"/>
              </w:rPr>
              <w:t>≥</w:t>
            </w:r>
            <w:r>
              <w:rPr>
                <w:rFonts w:hint="default"/>
                <w:color w:val="auto"/>
                <w:sz w:val="21"/>
                <w:szCs w:val="21"/>
                <w:highlight w:val="none"/>
                <w:lang w:val="en-US" w:eastAsia="zh-CN"/>
              </w:rPr>
              <w:t>72个千兆光口、</w:t>
            </w:r>
            <w:r>
              <w:rPr>
                <w:rFonts w:hint="eastAsia"/>
                <w:color w:val="auto"/>
                <w:sz w:val="21"/>
                <w:szCs w:val="21"/>
                <w:highlight w:val="none"/>
                <w:lang w:val="en-US" w:eastAsia="zh-CN"/>
              </w:rPr>
              <w:t>≥</w:t>
            </w:r>
            <w:r>
              <w:rPr>
                <w:rFonts w:hint="default"/>
                <w:color w:val="auto"/>
                <w:sz w:val="21"/>
                <w:szCs w:val="21"/>
                <w:highlight w:val="none"/>
                <w:lang w:val="en-US" w:eastAsia="zh-CN"/>
              </w:rPr>
              <w:t>16个万兆光口板卡；</w:t>
            </w:r>
          </w:p>
          <w:p w14:paraId="49FD16E8">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2、配置双主控引擎，1+1冗余模块化电源，电源功率</w:t>
            </w:r>
            <w:r>
              <w:rPr>
                <w:rFonts w:hint="eastAsia"/>
                <w:color w:val="auto"/>
                <w:sz w:val="21"/>
                <w:szCs w:val="21"/>
                <w:highlight w:val="none"/>
                <w:lang w:val="en-US" w:eastAsia="zh-CN"/>
              </w:rPr>
              <w:t>≥</w:t>
            </w:r>
            <w:r>
              <w:rPr>
                <w:rFonts w:hint="default"/>
                <w:color w:val="auto"/>
                <w:sz w:val="21"/>
                <w:szCs w:val="21"/>
                <w:highlight w:val="none"/>
                <w:lang w:val="en-US" w:eastAsia="zh-CN"/>
              </w:rPr>
              <w:t>650W；</w:t>
            </w:r>
          </w:p>
          <w:p w14:paraId="23CBAE0F">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3、支持PON OLT及10G PON OLT接口；支持1OG PON 功能，支持1OG 对称和非对称 ONU；</w:t>
            </w:r>
          </w:p>
          <w:p w14:paraId="28055CAD">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4、主控交换卡、电源、接口模块、风扇、等关键部件可热插拔；</w:t>
            </w:r>
          </w:p>
          <w:p w14:paraId="772C8963">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▲5、支持集成无线控制模块，可提供精细的用户控制管理、完善的RF管理及安全机制、快速漫游、超强的QoS和对IPv6的支持等功能；</w:t>
            </w:r>
          </w:p>
          <w:p w14:paraId="0AEA3AB7">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▲6、支持拓展防火墙业务板卡，提高交换机安全防护性能（提供相关证明材料；</w:t>
            </w:r>
          </w:p>
          <w:p w14:paraId="071D076C">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7、支持VxLAN 网关，支持基于IPv4/IPv6的VxLAN二三层互通；</w:t>
            </w:r>
          </w:p>
          <w:p w14:paraId="354DEF03">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8、支持BFD，能够实现BFD与OSPF/VRRP联动。支持BFD 3ms最小探测间隔测试；</w:t>
            </w:r>
          </w:p>
          <w:p w14:paraId="159485C1">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9、支持sflow、Netstream流量统计和分析功能；</w:t>
            </w:r>
          </w:p>
          <w:p w14:paraId="20C3BC69">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10、支持IGMPv1/v2/v3 Snooping；</w:t>
            </w:r>
          </w:p>
          <w:p w14:paraId="5A86D1DD">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11、支持CPU保护技术；</w:t>
            </w:r>
          </w:p>
          <w:p w14:paraId="52925428">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12、支持不间断转发和优雅重启，提供毫秒级的切换时间；支持等价路由，可帮助用户建立多条等值路径，实现流量的负载均衡及冗余备份；支持RRPP快速环网保护协议；支持Smart-Link协议，保证双上行网络拓扑的业务毫秒级快速切换；</w:t>
            </w:r>
          </w:p>
          <w:p w14:paraId="3CB2EBA2">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13、主控交换卡、电源、接口模块、风扇、等关键部件可热插拔；</w:t>
            </w:r>
          </w:p>
          <w:p w14:paraId="11AB5ADC">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▲14、支持 INQA 功能，通过对业务报文进行标记，实现对网络级和设备级的丢包统计；</w:t>
            </w:r>
          </w:p>
          <w:p w14:paraId="704B50D2">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15、支持基于端口或MAC地址的数据帧过滤功能；</w:t>
            </w:r>
          </w:p>
          <w:p w14:paraId="2BB856D7">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16、支持流氓ONU检测；</w:t>
            </w:r>
          </w:p>
          <w:p w14:paraId="78EDA735">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17、支持IGMP Snooping或IGMP Proxy功能；</w:t>
            </w:r>
          </w:p>
          <w:p w14:paraId="6C57A53D">
            <w:pPr>
              <w:pStyle w:val="2"/>
              <w:ind w:left="0" w:leftChars="0" w:firstLine="0" w:firstLineChars="0"/>
              <w:rPr>
                <w:rFonts w:hint="default"/>
                <w:color w:val="auto"/>
                <w:sz w:val="21"/>
                <w:szCs w:val="21"/>
                <w:highlight w:val="none"/>
                <w:lang w:val="en-US" w:eastAsia="zh-CN"/>
              </w:rPr>
            </w:pPr>
            <w:r>
              <w:rPr>
                <w:rFonts w:hint="default"/>
                <w:color w:val="auto"/>
                <w:sz w:val="21"/>
                <w:szCs w:val="21"/>
                <w:highlight w:val="none"/>
                <w:lang w:val="en-US" w:eastAsia="zh-CN"/>
              </w:rPr>
              <w:t>18、内置智能图形化管理功能，支持通过图形化界面设备配置及命令一键下发和版本智能升级。</w:t>
            </w:r>
          </w:p>
          <w:p w14:paraId="41D6FF58">
            <w:pPr>
              <w:pStyle w:val="2"/>
              <w:ind w:left="0" w:leftChars="0" w:firstLine="0" w:firstLineChars="0"/>
              <w:rPr>
                <w:rFonts w:hint="default"/>
                <w:color w:val="auto"/>
                <w:sz w:val="21"/>
                <w:szCs w:val="21"/>
                <w:highlight w:val="none"/>
                <w:lang w:val="en-US" w:eastAsia="zh-CN"/>
              </w:rPr>
            </w:pPr>
          </w:p>
          <w:p w14:paraId="0714E27A">
            <w:pPr>
              <w:pStyle w:val="2"/>
              <w:ind w:left="0" w:leftChars="0" w:firstLine="0" w:firstLineChars="0"/>
              <w:rPr>
                <w:rFonts w:hint="default"/>
                <w:b/>
                <w:bCs/>
                <w:color w:val="auto"/>
                <w:sz w:val="21"/>
                <w:szCs w:val="21"/>
                <w:highlight w:val="none"/>
                <w:lang w:val="en-US" w:eastAsia="zh-CN"/>
              </w:rPr>
            </w:pPr>
            <w:r>
              <w:rPr>
                <w:rFonts w:hint="eastAsia" w:cs="Times New Roman"/>
                <w:b/>
                <w:bCs/>
                <w:color w:val="auto"/>
                <w:spacing w:val="0"/>
                <w:sz w:val="21"/>
                <w:szCs w:val="21"/>
                <w:highlight w:val="none"/>
                <w:lang w:val="en-US" w:eastAsia="zh-CN"/>
              </w:rPr>
              <w:t>五、提供1台日志审计设备，</w:t>
            </w:r>
            <w:r>
              <w:rPr>
                <w:rFonts w:hint="default" w:ascii="Times New Roman" w:hAnsi="Times New Roman" w:eastAsia="宋体" w:cs="Times New Roman"/>
                <w:b/>
                <w:bCs/>
                <w:color w:val="auto"/>
                <w:spacing w:val="0"/>
                <w:sz w:val="21"/>
                <w:szCs w:val="21"/>
                <w:highlight w:val="none"/>
                <w:lang w:val="en-US" w:eastAsia="zh-CN"/>
              </w:rPr>
              <w:t>其具体性能参数如下：</w:t>
            </w:r>
          </w:p>
          <w:p w14:paraId="31D8DFCC">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1.2U标准机架式设备,设备内存</w:t>
            </w:r>
            <w:r>
              <w:rPr>
                <w:rFonts w:hint="eastAsia"/>
                <w:color w:val="auto"/>
                <w:sz w:val="21"/>
                <w:szCs w:val="21"/>
                <w:highlight w:val="none"/>
                <w:lang w:val="en-US" w:eastAsia="zh-CN"/>
              </w:rPr>
              <w:t>≥</w:t>
            </w:r>
            <w:r>
              <w:rPr>
                <w:rFonts w:hint="default"/>
                <w:color w:val="auto"/>
                <w:sz w:val="21"/>
                <w:szCs w:val="21"/>
                <w:highlight w:val="none"/>
                <w:lang w:val="en-US" w:eastAsia="zh-CN"/>
              </w:rPr>
              <w:t>16G ，1个console口， 2个USB接口，</w:t>
            </w:r>
            <w:r>
              <w:rPr>
                <w:rFonts w:hint="eastAsia"/>
                <w:color w:val="auto"/>
                <w:sz w:val="21"/>
                <w:szCs w:val="21"/>
                <w:highlight w:val="none"/>
                <w:lang w:val="en-US" w:eastAsia="zh-CN"/>
              </w:rPr>
              <w:t>≥</w:t>
            </w:r>
            <w:r>
              <w:rPr>
                <w:rFonts w:hint="default"/>
                <w:color w:val="auto"/>
                <w:sz w:val="21"/>
                <w:szCs w:val="21"/>
                <w:highlight w:val="none"/>
                <w:lang w:val="en-US" w:eastAsia="zh-CN"/>
              </w:rPr>
              <w:t xml:space="preserve"> 8个千兆电口， </w:t>
            </w:r>
            <w:r>
              <w:rPr>
                <w:rFonts w:hint="eastAsia"/>
                <w:color w:val="auto"/>
                <w:sz w:val="21"/>
                <w:szCs w:val="21"/>
                <w:highlight w:val="none"/>
                <w:lang w:val="en-US" w:eastAsia="zh-CN"/>
              </w:rPr>
              <w:t>≥</w:t>
            </w:r>
            <w:r>
              <w:rPr>
                <w:rFonts w:hint="default"/>
                <w:color w:val="auto"/>
                <w:sz w:val="21"/>
                <w:szCs w:val="21"/>
                <w:highlight w:val="none"/>
                <w:lang w:val="en-US" w:eastAsia="zh-CN"/>
              </w:rPr>
              <w:t xml:space="preserve">2个千兆光口插槽， </w:t>
            </w:r>
            <w:r>
              <w:rPr>
                <w:rFonts w:hint="eastAsia"/>
                <w:color w:val="auto"/>
                <w:sz w:val="21"/>
                <w:szCs w:val="21"/>
                <w:highlight w:val="none"/>
                <w:lang w:val="en-US" w:eastAsia="zh-CN"/>
              </w:rPr>
              <w:t>≥</w:t>
            </w:r>
            <w:r>
              <w:rPr>
                <w:rFonts w:hint="default"/>
                <w:color w:val="auto"/>
                <w:sz w:val="21"/>
                <w:szCs w:val="21"/>
                <w:highlight w:val="none"/>
                <w:lang w:val="en-US" w:eastAsia="zh-CN"/>
              </w:rPr>
              <w:t>2个万兆光口插槽， 支持</w:t>
            </w:r>
            <w:r>
              <w:rPr>
                <w:rFonts w:hint="eastAsia"/>
                <w:color w:val="auto"/>
                <w:sz w:val="21"/>
                <w:szCs w:val="21"/>
                <w:highlight w:val="none"/>
                <w:lang w:val="en-US" w:eastAsia="zh-CN"/>
              </w:rPr>
              <w:t>≥</w:t>
            </w:r>
            <w:r>
              <w:rPr>
                <w:rFonts w:hint="default"/>
                <w:color w:val="auto"/>
                <w:sz w:val="21"/>
                <w:szCs w:val="21"/>
                <w:highlight w:val="none"/>
                <w:lang w:val="en-US" w:eastAsia="zh-CN"/>
              </w:rPr>
              <w:t>1对电口Bypass,冗余电源,</w:t>
            </w:r>
            <w:r>
              <w:rPr>
                <w:rFonts w:hint="eastAsia"/>
                <w:color w:val="auto"/>
                <w:sz w:val="21"/>
                <w:szCs w:val="21"/>
                <w:highlight w:val="none"/>
                <w:lang w:val="en-US" w:eastAsia="zh-CN"/>
              </w:rPr>
              <w:t>≥</w:t>
            </w:r>
            <w:r>
              <w:rPr>
                <w:rFonts w:hint="default"/>
                <w:color w:val="auto"/>
                <w:sz w:val="21"/>
                <w:szCs w:val="21"/>
                <w:highlight w:val="none"/>
                <w:lang w:val="en-US" w:eastAsia="zh-CN"/>
              </w:rPr>
              <w:t>2个扩展槽位,硬盘存储</w:t>
            </w:r>
            <w:r>
              <w:rPr>
                <w:rFonts w:hint="eastAsia"/>
                <w:color w:val="auto"/>
                <w:sz w:val="21"/>
                <w:szCs w:val="21"/>
                <w:highlight w:val="none"/>
                <w:lang w:val="en-US" w:eastAsia="zh-CN"/>
              </w:rPr>
              <w:t>≥</w:t>
            </w:r>
            <w:r>
              <w:rPr>
                <w:rFonts w:hint="default"/>
                <w:color w:val="auto"/>
                <w:sz w:val="21"/>
                <w:szCs w:val="21"/>
                <w:highlight w:val="none"/>
                <w:lang w:val="en-US" w:eastAsia="zh-CN"/>
              </w:rPr>
              <w:t xml:space="preserve">4T，含3年硬件质保服务； </w:t>
            </w:r>
          </w:p>
          <w:p w14:paraId="73A68FE1">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2.支持带宽</w:t>
            </w:r>
            <w:r>
              <w:rPr>
                <w:rFonts w:hint="eastAsia"/>
                <w:color w:val="auto"/>
                <w:sz w:val="21"/>
                <w:szCs w:val="21"/>
                <w:highlight w:val="none"/>
                <w:lang w:val="en-US" w:eastAsia="zh-CN"/>
              </w:rPr>
              <w:t>≥</w:t>
            </w:r>
            <w:r>
              <w:rPr>
                <w:rFonts w:hint="default"/>
                <w:color w:val="auto"/>
                <w:sz w:val="21"/>
                <w:szCs w:val="21"/>
                <w:highlight w:val="none"/>
                <w:lang w:val="en-US" w:eastAsia="zh-CN"/>
              </w:rPr>
              <w:t>1G， 网络吞吐量</w:t>
            </w:r>
            <w:r>
              <w:rPr>
                <w:rFonts w:hint="eastAsia"/>
                <w:color w:val="auto"/>
                <w:sz w:val="21"/>
                <w:szCs w:val="21"/>
                <w:highlight w:val="none"/>
                <w:lang w:val="en-US" w:eastAsia="zh-CN"/>
              </w:rPr>
              <w:t>≥</w:t>
            </w:r>
            <w:r>
              <w:rPr>
                <w:rFonts w:hint="default"/>
                <w:color w:val="auto"/>
                <w:sz w:val="21"/>
                <w:szCs w:val="21"/>
                <w:highlight w:val="none"/>
                <w:lang w:val="en-US" w:eastAsia="zh-CN"/>
              </w:rPr>
              <w:t>6G， 最大并发连接数&gt;100W， 推荐用户数</w:t>
            </w:r>
            <w:r>
              <w:rPr>
                <w:rFonts w:hint="eastAsia"/>
                <w:color w:val="auto"/>
                <w:sz w:val="21"/>
                <w:szCs w:val="21"/>
                <w:highlight w:val="none"/>
                <w:lang w:val="en-US" w:eastAsia="zh-CN"/>
              </w:rPr>
              <w:t>≥</w:t>
            </w:r>
            <w:r>
              <w:rPr>
                <w:rFonts w:hint="default"/>
                <w:color w:val="auto"/>
                <w:sz w:val="21"/>
                <w:szCs w:val="21"/>
                <w:highlight w:val="none"/>
                <w:lang w:val="en-US" w:eastAsia="zh-CN"/>
              </w:rPr>
              <w:t>5000人，包含应用识别功能，含3年硬件质保及3年系统版本，URL库及应用特征库升级许可；及3年系统版本，URL库及应用特征库升级许可；</w:t>
            </w:r>
          </w:p>
          <w:p w14:paraId="7EA09FB7">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▲3.支持路由模式，旁路模式、网桥模式、单臂模式部署；切换部署模式无需重启，不影响设备正常使用；</w:t>
            </w:r>
          </w:p>
          <w:p w14:paraId="0CBDEA60">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w:t>
            </w:r>
            <w:r>
              <w:rPr>
                <w:rFonts w:hint="default"/>
                <w:color w:val="auto"/>
                <w:sz w:val="21"/>
                <w:szCs w:val="21"/>
                <w:highlight w:val="none"/>
                <w:lang w:val="en-US" w:eastAsia="zh-CN"/>
              </w:rPr>
              <w:t>4.支持通过识别翻墙软件流量特征，对翻墙软件进行审计和管控，从而实现审计和管控上网用户的翻墙行为，内置翻墙软件特征支持30种以上。</w:t>
            </w:r>
          </w:p>
          <w:p w14:paraId="6332C06D">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5.支持基于应用层服务和SAAS的策略路由，可基于IP、国家列表、ISP自动地址表和域名来控制目的地址；</w:t>
            </w:r>
          </w:p>
          <w:p w14:paraId="6EBCB171">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▲6.支持将多个以太网物理端口捆绑成一条逻辑端口（即将多个端口捆绑成一个逻辑的端口以增加带宽，同时增加链路备份）支持基于轮循、主备、哈希、广播、802.3ad、发送自适应、双向自适应等多种负载方式；</w:t>
            </w:r>
          </w:p>
          <w:p w14:paraId="2F67A4CE">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w:t>
            </w:r>
            <w:r>
              <w:rPr>
                <w:rFonts w:hint="default"/>
                <w:color w:val="auto"/>
                <w:sz w:val="21"/>
                <w:szCs w:val="21"/>
                <w:highlight w:val="none"/>
                <w:lang w:val="en-US" w:eastAsia="zh-CN"/>
              </w:rPr>
              <w:t>7.支持DNS链路健康检查算法；支持ICMP链路健康检查算法；支持TCP链路健康检查算法；支持自定义的链路健康检查算法；</w:t>
            </w:r>
          </w:p>
          <w:p w14:paraId="70C4ED74">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8.能够提供一小时内cpu使用率、内存使用率、活跃会话数、在线认证用户数以及最新的磁盘占用情况；</w:t>
            </w:r>
          </w:p>
          <w:p w14:paraId="32810EC5">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9.能够实时展现每个接口接收发送流量、字节数、包个数以及错误、丢弃、帧冲突个数；</w:t>
            </w:r>
          </w:p>
          <w:p w14:paraId="48073EBA">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10.能够提供流量适用排名，提供前50名用户流量适用情况，并支持趋势图、黑名单、显示活跃服务等操作。通过黑名单可以直接强制某个流量异常用户下线或者快速修改带宽；</w:t>
            </w:r>
          </w:p>
          <w:p w14:paraId="328789E4">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w:t>
            </w:r>
            <w:r>
              <w:rPr>
                <w:rFonts w:hint="default"/>
                <w:color w:val="auto"/>
                <w:sz w:val="21"/>
                <w:szCs w:val="21"/>
                <w:highlight w:val="none"/>
                <w:lang w:val="en-US" w:eastAsia="zh-CN"/>
              </w:rPr>
              <w:t>11.支持DOS/DDOS防护功能，支持ARP洪水攻击防护，基于数据包攻击、异常报文侦测和扫描防护等功能；</w:t>
            </w:r>
          </w:p>
          <w:p w14:paraId="1B338C06">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12.支持对TCP、UDP、ICMP、TCP SYN超时时间，无回应UDP超时时间设置，并能支持按照新建会话与总会话比例设置老化开始或者结束；</w:t>
            </w:r>
          </w:p>
          <w:p w14:paraId="5C7A0BD7">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▲13.支持通过资产扫描，对网络中的所有资产进行识别和分类。设备类型包括计算机、移动终端、网络设备、安全设备、办公设备、视频设备、物联网设备、存储设备等；</w:t>
            </w:r>
          </w:p>
          <w:p w14:paraId="63B3C7EC">
            <w:pPr>
              <w:pStyle w:val="2"/>
              <w:ind w:left="0" w:leftChars="0" w:firstLine="0" w:firstLineChars="0"/>
              <w:rPr>
                <w:rFonts w:hint="default"/>
                <w:color w:val="auto"/>
                <w:sz w:val="21"/>
                <w:szCs w:val="21"/>
                <w:highlight w:val="none"/>
                <w:lang w:val="en-US" w:eastAsia="zh-CN"/>
              </w:rPr>
            </w:pPr>
            <w:r>
              <w:rPr>
                <w:rFonts w:hint="default"/>
                <w:color w:val="auto"/>
                <w:sz w:val="21"/>
                <w:szCs w:val="21"/>
                <w:highlight w:val="none"/>
                <w:lang w:val="en-US" w:eastAsia="zh-CN"/>
              </w:rPr>
              <w:t>▲14.支持于钉钉对接，实现认证；支持于企业微信对接，实现认证；支持通过指纹识别用户身份，并对用户做控制。</w:t>
            </w:r>
          </w:p>
          <w:p w14:paraId="4A0D8540">
            <w:pPr>
              <w:pStyle w:val="2"/>
              <w:ind w:left="0" w:leftChars="0" w:firstLine="0" w:firstLineChars="0"/>
              <w:rPr>
                <w:rFonts w:hint="default"/>
                <w:color w:val="auto"/>
                <w:sz w:val="21"/>
                <w:szCs w:val="21"/>
                <w:highlight w:val="none"/>
                <w:lang w:val="en-US" w:eastAsia="zh-CN"/>
              </w:rPr>
            </w:pPr>
          </w:p>
          <w:p w14:paraId="5B2E8BA4">
            <w:pPr>
              <w:keepNext w:val="0"/>
              <w:keepLines w:val="0"/>
              <w:pageBreakBefore w:val="0"/>
              <w:kinsoku/>
              <w:wordWrap/>
              <w:overflowPunct/>
              <w:topLinePunct w:val="0"/>
              <w:autoSpaceDE/>
              <w:autoSpaceDN/>
              <w:bidi w:val="0"/>
              <w:adjustRightInd/>
              <w:spacing w:line="360" w:lineRule="auto"/>
              <w:textAlignment w:val="auto"/>
              <w:rPr>
                <w:rFonts w:hint="eastAsia"/>
                <w:color w:val="auto"/>
                <w:sz w:val="21"/>
                <w:szCs w:val="21"/>
                <w:highlight w:val="none"/>
                <w:lang w:val="en-US" w:eastAsia="zh-CN"/>
              </w:rPr>
            </w:pPr>
            <w:r>
              <w:rPr>
                <w:rFonts w:hint="eastAsia"/>
                <w:b/>
                <w:bCs/>
                <w:color w:val="auto"/>
                <w:sz w:val="21"/>
                <w:szCs w:val="21"/>
                <w:highlight w:val="none"/>
                <w:lang w:val="en-US" w:eastAsia="zh-CN"/>
              </w:rPr>
              <w:t>六、提供1条互联网出口专线链路</w:t>
            </w:r>
            <w:r>
              <w:rPr>
                <w:rFonts w:hint="eastAsia" w:cs="Times New Roman"/>
                <w:b/>
                <w:bCs/>
                <w:color w:val="auto"/>
                <w:spacing w:val="0"/>
                <w:sz w:val="21"/>
                <w:szCs w:val="21"/>
                <w:highlight w:val="none"/>
                <w:lang w:val="en-US" w:eastAsia="zh-CN"/>
              </w:rPr>
              <w:t>，</w:t>
            </w:r>
            <w:r>
              <w:rPr>
                <w:rFonts w:hint="default" w:ascii="Times New Roman" w:hAnsi="Times New Roman" w:eastAsia="宋体" w:cs="Times New Roman"/>
                <w:b/>
                <w:bCs/>
                <w:color w:val="auto"/>
                <w:spacing w:val="0"/>
                <w:sz w:val="21"/>
                <w:szCs w:val="21"/>
                <w:highlight w:val="none"/>
                <w:lang w:val="en-US" w:eastAsia="zh-CN"/>
              </w:rPr>
              <w:t>其具体性能参数如下：</w:t>
            </w:r>
          </w:p>
          <w:p w14:paraId="66E1B49D">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1、须为独立、单条线路、单光纤、单IP互联网带宽，</w:t>
            </w:r>
            <w:r>
              <w:rPr>
                <w:rFonts w:hint="eastAsia"/>
                <w:color w:val="auto"/>
                <w:sz w:val="21"/>
                <w:szCs w:val="21"/>
                <w:highlight w:val="none"/>
                <w:lang w:val="en-US" w:eastAsia="zh-CN"/>
              </w:rPr>
              <w:t>≥</w:t>
            </w:r>
            <w:r>
              <w:rPr>
                <w:rFonts w:hint="default"/>
                <w:color w:val="auto"/>
                <w:sz w:val="21"/>
                <w:szCs w:val="21"/>
                <w:highlight w:val="none"/>
                <w:lang w:val="en-US" w:eastAsia="zh-CN"/>
              </w:rPr>
              <w:t>1Gbps的独享宽带，平均丢包率不高于3‰，单条线路单IP互联网带宽上下行都必须</w:t>
            </w:r>
            <w:r>
              <w:rPr>
                <w:rFonts w:hint="eastAsia"/>
                <w:color w:val="auto"/>
                <w:sz w:val="21"/>
                <w:szCs w:val="21"/>
                <w:highlight w:val="none"/>
                <w:lang w:val="en-US" w:eastAsia="zh-CN"/>
              </w:rPr>
              <w:t>≥</w:t>
            </w:r>
            <w:r>
              <w:rPr>
                <w:rFonts w:hint="default"/>
                <w:color w:val="auto"/>
                <w:sz w:val="21"/>
                <w:szCs w:val="21"/>
                <w:highlight w:val="none"/>
                <w:lang w:val="en-US" w:eastAsia="zh-CN"/>
              </w:rPr>
              <w:t>1Gbps，必须为点到点单光纤直连，支持双路由保护，总宽带量不得通过做多条线路聚合宽带叠加，但可以做多条线路聚合热备，骨干网络要求具备国际出口带宽；</w:t>
            </w:r>
          </w:p>
          <w:p w14:paraId="388A9B47">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2、提供5个固定互联网IPV4的IP和1个固定互联网IPV6的IP；</w:t>
            </w:r>
          </w:p>
          <w:p w14:paraId="3C1A8F7A">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3、线路汇聚层和骨干层具有自愈环保护功能，具备不超过50ms保护倒换能力，保证专线不会因光缆的意外阻断或部分设备故障而中断；</w:t>
            </w:r>
          </w:p>
          <w:p w14:paraId="39347D42">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4、三年的互联网链路服务，包含线路租用、维护等。</w:t>
            </w:r>
          </w:p>
          <w:p w14:paraId="49843C53">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5、要求全网的传输设备均具备网管能力，全程提供端到端的网管监控功能，实行7*24小时不间断监控，可有效地检测并定位网络故障。</w:t>
            </w:r>
          </w:p>
          <w:p w14:paraId="04094401">
            <w:pPr>
              <w:pStyle w:val="2"/>
              <w:ind w:left="0" w:leftChars="0" w:firstLine="0" w:firstLineChars="0"/>
              <w:rPr>
                <w:rFonts w:hint="default"/>
                <w:color w:val="auto"/>
                <w:sz w:val="21"/>
                <w:szCs w:val="21"/>
                <w:highlight w:val="none"/>
                <w:lang w:val="en-US" w:eastAsia="zh-CN"/>
              </w:rPr>
            </w:pPr>
            <w:r>
              <w:rPr>
                <w:rFonts w:hint="default"/>
                <w:color w:val="auto"/>
                <w:sz w:val="21"/>
                <w:szCs w:val="21"/>
                <w:highlight w:val="none"/>
                <w:lang w:val="en-US" w:eastAsia="zh-CN"/>
              </w:rPr>
              <w:t>6、对互联网出口原运营商提供的设备提供</w:t>
            </w:r>
            <w:r>
              <w:rPr>
                <w:rFonts w:hint="eastAsia"/>
                <w:color w:val="auto"/>
                <w:sz w:val="21"/>
                <w:szCs w:val="21"/>
                <w:highlight w:val="none"/>
                <w:lang w:val="en-US" w:eastAsia="zh-CN"/>
              </w:rPr>
              <w:t>≥</w:t>
            </w:r>
            <w:r>
              <w:rPr>
                <w:rFonts w:hint="default"/>
                <w:color w:val="auto"/>
                <w:sz w:val="21"/>
                <w:szCs w:val="21"/>
                <w:highlight w:val="none"/>
                <w:lang w:val="en-US" w:eastAsia="zh-CN"/>
              </w:rPr>
              <w:t>3年产品质保。</w:t>
            </w:r>
          </w:p>
          <w:p w14:paraId="5CC3CAF0">
            <w:pPr>
              <w:pStyle w:val="2"/>
              <w:ind w:left="0" w:leftChars="0" w:firstLine="0" w:firstLineChars="0"/>
              <w:rPr>
                <w:rFonts w:hint="default"/>
                <w:color w:val="auto"/>
                <w:sz w:val="21"/>
                <w:szCs w:val="21"/>
                <w:highlight w:val="none"/>
                <w:lang w:val="en-US" w:eastAsia="zh-CN"/>
              </w:rPr>
            </w:pPr>
          </w:p>
          <w:p w14:paraId="788F8334">
            <w:pPr>
              <w:pStyle w:val="2"/>
              <w:ind w:left="0" w:leftChars="0" w:firstLine="0" w:firstLineChars="0"/>
              <w:rPr>
                <w:rFonts w:hint="default"/>
                <w:b/>
                <w:bCs/>
                <w:color w:val="auto"/>
                <w:sz w:val="21"/>
                <w:szCs w:val="21"/>
                <w:highlight w:val="none"/>
                <w:lang w:val="en-US" w:eastAsia="zh-CN"/>
              </w:rPr>
            </w:pPr>
            <w:r>
              <w:rPr>
                <w:rFonts w:hint="eastAsia"/>
                <w:b/>
                <w:bCs/>
                <w:color w:val="auto"/>
                <w:sz w:val="21"/>
                <w:szCs w:val="21"/>
                <w:highlight w:val="none"/>
                <w:lang w:val="en-US" w:eastAsia="zh-CN"/>
              </w:rPr>
              <w:t>七、提供66条点对点专线接入</w:t>
            </w:r>
            <w:r>
              <w:rPr>
                <w:rFonts w:hint="eastAsia" w:cs="Times New Roman"/>
                <w:b/>
                <w:bCs/>
                <w:color w:val="auto"/>
                <w:spacing w:val="0"/>
                <w:sz w:val="21"/>
                <w:szCs w:val="21"/>
                <w:highlight w:val="none"/>
                <w:lang w:val="en-US" w:eastAsia="zh-CN"/>
              </w:rPr>
              <w:t>，</w:t>
            </w:r>
            <w:r>
              <w:rPr>
                <w:rFonts w:hint="default" w:ascii="Times New Roman" w:hAnsi="Times New Roman" w:eastAsia="宋体" w:cs="Times New Roman"/>
                <w:b/>
                <w:bCs/>
                <w:color w:val="auto"/>
                <w:spacing w:val="0"/>
                <w:sz w:val="21"/>
                <w:szCs w:val="21"/>
                <w:highlight w:val="none"/>
                <w:lang w:val="en-US" w:eastAsia="zh-CN"/>
              </w:rPr>
              <w:t>其具体性能参数如下：</w:t>
            </w:r>
          </w:p>
          <w:p w14:paraId="5F2E5F89">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r>
              <w:rPr>
                <w:rFonts w:hint="default"/>
                <w:color w:val="auto"/>
                <w:sz w:val="21"/>
                <w:szCs w:val="21"/>
                <w:highlight w:val="none"/>
                <w:lang w:val="en-US" w:eastAsia="zh-CN"/>
              </w:rPr>
              <w:t>接入带宽：3条＞400M宽带，22条＞200M宽带，36条＞100M宽带，5条＞50M宽带，专线速率上、下行对称，要求与互联网物理隔离，保证数据传输的安全和稳定；</w:t>
            </w:r>
          </w:p>
          <w:p w14:paraId="626A65FB">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2</w:t>
            </w:r>
            <w:r>
              <w:rPr>
                <w:rFonts w:hint="eastAsia"/>
                <w:color w:val="auto"/>
                <w:sz w:val="21"/>
                <w:szCs w:val="21"/>
                <w:highlight w:val="none"/>
                <w:lang w:val="en-US" w:eastAsia="zh-CN"/>
              </w:rPr>
              <w:t>.</w:t>
            </w:r>
            <w:r>
              <w:rPr>
                <w:rFonts w:hint="default"/>
                <w:color w:val="auto"/>
                <w:sz w:val="21"/>
                <w:szCs w:val="21"/>
                <w:highlight w:val="none"/>
                <w:lang w:val="en-US" w:eastAsia="zh-CN"/>
              </w:rPr>
              <w:t>接入方式：点对点链路直连，纯二层透明传输通道；要求传输设备与线路为政务外网专用且为纯二层点对点线路。</w:t>
            </w:r>
          </w:p>
          <w:p w14:paraId="1557D2A4">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3</w:t>
            </w:r>
            <w:r>
              <w:rPr>
                <w:rFonts w:hint="eastAsia"/>
                <w:color w:val="auto"/>
                <w:sz w:val="21"/>
                <w:szCs w:val="21"/>
                <w:highlight w:val="none"/>
                <w:lang w:val="en-US" w:eastAsia="zh-CN"/>
              </w:rPr>
              <w:t>.</w:t>
            </w:r>
            <w:r>
              <w:rPr>
                <w:rFonts w:hint="default"/>
                <w:color w:val="auto"/>
                <w:sz w:val="21"/>
                <w:szCs w:val="21"/>
                <w:highlight w:val="none"/>
                <w:lang w:val="en-US" w:eastAsia="zh-CN"/>
              </w:rPr>
              <w:t>接口标准：千兆光接口；</w:t>
            </w:r>
          </w:p>
          <w:p w14:paraId="4133D2F4">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4</w:t>
            </w:r>
            <w:r>
              <w:rPr>
                <w:rFonts w:hint="eastAsia"/>
                <w:color w:val="auto"/>
                <w:sz w:val="21"/>
                <w:szCs w:val="21"/>
                <w:highlight w:val="none"/>
                <w:lang w:val="en-US" w:eastAsia="zh-CN"/>
              </w:rPr>
              <w:t>.</w:t>
            </w:r>
            <w:r>
              <w:rPr>
                <w:rFonts w:hint="default"/>
                <w:color w:val="auto"/>
                <w:sz w:val="21"/>
                <w:szCs w:val="21"/>
                <w:highlight w:val="none"/>
                <w:lang w:val="en-US" w:eastAsia="zh-CN"/>
              </w:rPr>
              <w:t>提供3年的使用服务；</w:t>
            </w:r>
          </w:p>
          <w:p w14:paraId="30C121E5">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5</w:t>
            </w:r>
            <w:r>
              <w:rPr>
                <w:rFonts w:hint="eastAsia"/>
                <w:color w:val="auto"/>
                <w:sz w:val="21"/>
                <w:szCs w:val="21"/>
                <w:highlight w:val="none"/>
                <w:lang w:val="en-US" w:eastAsia="zh-CN"/>
              </w:rPr>
              <w:t>.</w:t>
            </w:r>
            <w:r>
              <w:rPr>
                <w:rFonts w:hint="default"/>
                <w:color w:val="auto"/>
                <w:sz w:val="21"/>
                <w:szCs w:val="21"/>
                <w:highlight w:val="none"/>
                <w:lang w:val="en-US" w:eastAsia="zh-CN"/>
              </w:rPr>
              <w:t>支持双路由保护，线路汇聚层和骨干层具有自愈环保护功能，具备不超过50ms保护倒换能力，保证专线不会因光缆的意外阻断或部分设备故障而中断；</w:t>
            </w:r>
          </w:p>
          <w:p w14:paraId="2CB7D25B">
            <w:pPr>
              <w:keepNext w:val="0"/>
              <w:keepLines w:val="0"/>
              <w:pageBreakBefore w:val="0"/>
              <w:kinsoku/>
              <w:wordWrap/>
              <w:overflowPunct/>
              <w:topLinePunct w:val="0"/>
              <w:autoSpaceDE/>
              <w:autoSpaceDN/>
              <w:bidi w:val="0"/>
              <w:adjustRightInd/>
              <w:spacing w:line="360"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t>6</w:t>
            </w:r>
            <w:r>
              <w:rPr>
                <w:rFonts w:hint="eastAsia"/>
                <w:color w:val="auto"/>
                <w:sz w:val="21"/>
                <w:szCs w:val="21"/>
                <w:highlight w:val="none"/>
                <w:lang w:val="en-US" w:eastAsia="zh-CN"/>
              </w:rPr>
              <w:t>.</w:t>
            </w:r>
            <w:r>
              <w:rPr>
                <w:rFonts w:hint="default"/>
                <w:color w:val="auto"/>
                <w:sz w:val="21"/>
                <w:szCs w:val="21"/>
                <w:highlight w:val="none"/>
                <w:lang w:val="en-US" w:eastAsia="zh-CN"/>
              </w:rPr>
              <w:t>线路技术指标：丢包率</w:t>
            </w:r>
            <w:r>
              <w:rPr>
                <w:rFonts w:hint="eastAsia"/>
                <w:color w:val="auto"/>
                <w:sz w:val="21"/>
                <w:szCs w:val="21"/>
                <w:highlight w:val="none"/>
                <w:lang w:val="en-US" w:eastAsia="zh-CN"/>
              </w:rPr>
              <w:t>≤</w:t>
            </w:r>
            <w:r>
              <w:rPr>
                <w:rFonts w:hint="default"/>
                <w:color w:val="auto"/>
                <w:sz w:val="21"/>
                <w:szCs w:val="21"/>
                <w:highlight w:val="none"/>
                <w:lang w:val="en-US" w:eastAsia="zh-CN"/>
              </w:rPr>
              <w:t>0.1%，且不允许出现连续丢包；PING测1M报文，最大时延</w:t>
            </w:r>
            <w:r>
              <w:rPr>
                <w:rFonts w:hint="eastAsia"/>
                <w:color w:val="auto"/>
                <w:sz w:val="21"/>
                <w:szCs w:val="21"/>
                <w:highlight w:val="none"/>
                <w:lang w:val="en-US" w:eastAsia="zh-CN"/>
              </w:rPr>
              <w:t>≤</w:t>
            </w:r>
            <w:r>
              <w:rPr>
                <w:rFonts w:hint="default"/>
                <w:color w:val="auto"/>
                <w:sz w:val="21"/>
                <w:szCs w:val="21"/>
                <w:highlight w:val="none"/>
                <w:lang w:val="en-US" w:eastAsia="zh-CN"/>
              </w:rPr>
              <w:t>10ms；</w:t>
            </w:r>
          </w:p>
          <w:p w14:paraId="0F540C49">
            <w:pPr>
              <w:pStyle w:val="2"/>
              <w:ind w:left="0" w:leftChars="0" w:firstLine="0" w:firstLineChars="0"/>
              <w:rPr>
                <w:rFonts w:hint="default"/>
                <w:color w:val="auto"/>
                <w:sz w:val="21"/>
                <w:szCs w:val="21"/>
                <w:highlight w:val="none"/>
                <w:lang w:val="en-US" w:eastAsia="zh-CN"/>
              </w:rPr>
            </w:pPr>
            <w:r>
              <w:rPr>
                <w:rFonts w:hint="default"/>
                <w:color w:val="auto"/>
                <w:sz w:val="21"/>
                <w:szCs w:val="21"/>
                <w:highlight w:val="none"/>
                <w:lang w:val="en-US" w:eastAsia="zh-CN"/>
              </w:rPr>
              <w:t>7</w:t>
            </w:r>
            <w:r>
              <w:rPr>
                <w:rFonts w:hint="eastAsia"/>
                <w:color w:val="auto"/>
                <w:sz w:val="21"/>
                <w:szCs w:val="21"/>
                <w:highlight w:val="none"/>
                <w:lang w:val="en-US" w:eastAsia="zh-CN"/>
              </w:rPr>
              <w:t>.</w:t>
            </w:r>
            <w:r>
              <w:rPr>
                <w:rFonts w:hint="default"/>
                <w:color w:val="auto"/>
                <w:sz w:val="21"/>
                <w:szCs w:val="21"/>
                <w:highlight w:val="none"/>
                <w:lang w:val="en-US" w:eastAsia="zh-CN"/>
              </w:rPr>
              <w:t>包含线路租用、日常维护等，在重大会议或重大活动期间委派专业技术人员不少于2人提供客户现场技术支撑服务。</w:t>
            </w:r>
          </w:p>
          <w:p w14:paraId="1A70E652">
            <w:pPr>
              <w:pStyle w:val="2"/>
              <w:ind w:left="0" w:leftChars="0" w:firstLine="0" w:firstLineChars="0"/>
              <w:rPr>
                <w:rFonts w:hint="default"/>
                <w:color w:val="auto"/>
                <w:sz w:val="21"/>
                <w:szCs w:val="21"/>
                <w:highlight w:val="none"/>
                <w:lang w:val="en-US" w:eastAsia="zh-CN"/>
              </w:rPr>
            </w:pPr>
          </w:p>
          <w:p w14:paraId="4094C5E0">
            <w:pPr>
              <w:pStyle w:val="2"/>
              <w:numPr>
                <w:ilvl w:val="0"/>
                <w:numId w:val="0"/>
              </w:numPr>
              <w:ind w:leftChars="0"/>
              <w:rPr>
                <w:rFonts w:hint="default"/>
                <w:color w:val="auto"/>
                <w:sz w:val="21"/>
                <w:szCs w:val="21"/>
                <w:highlight w:val="none"/>
                <w:lang w:val="en-US" w:eastAsia="zh-CN"/>
              </w:rPr>
            </w:pPr>
            <w:r>
              <w:rPr>
                <w:rFonts w:hint="eastAsia" w:ascii="宋体" w:hAnsi="宋体" w:cs="宋体"/>
                <w:b/>
                <w:bCs/>
                <w:color w:val="auto"/>
                <w:sz w:val="21"/>
                <w:szCs w:val="21"/>
                <w:highlight w:val="none"/>
                <w:lang w:val="en-US" w:eastAsia="zh-CN"/>
              </w:rPr>
              <w:t>八、提供核心设备3年原厂续保服务。</w:t>
            </w:r>
            <w:r>
              <w:rPr>
                <w:rFonts w:hint="default"/>
                <w:color w:val="auto"/>
                <w:sz w:val="21"/>
                <w:szCs w:val="21"/>
                <w:highlight w:val="none"/>
                <w:lang w:val="en-US" w:eastAsia="zh-CN"/>
              </w:rPr>
              <w:t>续保设备清单：H3C R4900G3、H3C MSR3640、H3C secpath T1000-AI-55、H3C secpath F1070、SecPath F1000-AI-10各一套,提供这些设备硬件软件维保，如出现非人为故障，则提供维修或更换备件，直到设备正常为止；如故障影响到网络时，则需无偿提供备用设备来保障网络的正常。所有维修和更换备件所产生的费用包含在成交价格内，</w:t>
            </w:r>
            <w:r>
              <w:rPr>
                <w:rFonts w:hint="eastAsia"/>
                <w:color w:val="auto"/>
                <w:sz w:val="21"/>
                <w:szCs w:val="21"/>
                <w:highlight w:val="none"/>
                <w:lang w:val="en-US" w:eastAsia="zh-CN"/>
              </w:rPr>
              <w:t>采购人</w:t>
            </w:r>
            <w:r>
              <w:rPr>
                <w:rFonts w:hint="default"/>
                <w:color w:val="auto"/>
                <w:sz w:val="21"/>
                <w:szCs w:val="21"/>
                <w:highlight w:val="none"/>
                <w:lang w:val="en-US" w:eastAsia="zh-CN"/>
              </w:rPr>
              <w:t>不再支付任何费用。</w:t>
            </w:r>
          </w:p>
          <w:p w14:paraId="7A98D8A6">
            <w:pPr>
              <w:pStyle w:val="2"/>
              <w:widowControl w:val="0"/>
              <w:numPr>
                <w:ilvl w:val="0"/>
                <w:numId w:val="0"/>
              </w:numPr>
              <w:spacing w:after="120"/>
              <w:jc w:val="both"/>
              <w:rPr>
                <w:rFonts w:hint="default"/>
                <w:color w:val="auto"/>
                <w:sz w:val="21"/>
                <w:szCs w:val="21"/>
                <w:highlight w:val="none"/>
                <w:lang w:val="en-US" w:eastAsia="zh-CN"/>
              </w:rPr>
            </w:pPr>
          </w:p>
          <w:p w14:paraId="78B2B21C">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ascii="宋体" w:hAnsi="宋体" w:eastAsia="宋体" w:cs="宋体"/>
                <w:color w:val="auto"/>
                <w:szCs w:val="21"/>
                <w:highlight w:val="none"/>
                <w:lang w:val="en-US" w:eastAsia="zh-CN"/>
              </w:rPr>
            </w:pPr>
            <w:r>
              <w:rPr>
                <w:rFonts w:hint="eastAsia"/>
                <w:b/>
                <w:bCs/>
                <w:color w:val="auto"/>
                <w:sz w:val="21"/>
                <w:szCs w:val="21"/>
                <w:highlight w:val="none"/>
                <w:lang w:val="en-US" w:eastAsia="zh-CN"/>
              </w:rPr>
              <w:t>九、提供8个</w:t>
            </w:r>
            <w:r>
              <w:rPr>
                <w:rFonts w:hint="default"/>
                <w:b/>
                <w:bCs/>
                <w:color w:val="auto"/>
                <w:sz w:val="21"/>
                <w:szCs w:val="21"/>
                <w:highlight w:val="none"/>
                <w:lang w:val="en-US" w:eastAsia="zh-CN"/>
              </w:rPr>
              <w:t>万兆多模光模块</w:t>
            </w:r>
            <w:r>
              <w:rPr>
                <w:rFonts w:hint="eastAsia"/>
                <w:b/>
                <w:bCs/>
                <w:color w:val="auto"/>
                <w:sz w:val="21"/>
                <w:szCs w:val="21"/>
                <w:highlight w:val="none"/>
                <w:lang w:val="en-US" w:eastAsia="zh-CN"/>
              </w:rPr>
              <w:t>。</w:t>
            </w:r>
            <w:r>
              <w:rPr>
                <w:rFonts w:hint="default"/>
                <w:color w:val="auto"/>
                <w:sz w:val="21"/>
                <w:szCs w:val="21"/>
                <w:highlight w:val="none"/>
                <w:lang w:val="en-US" w:eastAsia="zh-CN"/>
              </w:rPr>
              <w:t>需同时兼容H3C、华为、奇安信、天融信、深信服</w:t>
            </w:r>
            <w:r>
              <w:rPr>
                <w:rFonts w:hint="eastAsia"/>
                <w:sz w:val="21"/>
                <w:szCs w:val="21"/>
                <w:lang w:eastAsia="zh-CN"/>
              </w:rPr>
              <w:t>等</w:t>
            </w:r>
            <w:r>
              <w:rPr>
                <w:rFonts w:hint="default"/>
                <w:color w:val="auto"/>
                <w:sz w:val="21"/>
                <w:szCs w:val="21"/>
                <w:highlight w:val="none"/>
                <w:lang w:val="en-US" w:eastAsia="zh-CN"/>
              </w:rPr>
              <w:t>设备。（提供三年使用服务）</w:t>
            </w:r>
          </w:p>
        </w:tc>
      </w:tr>
      <w:tr w14:paraId="514C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410" w:type="dxa"/>
            <w:gridSpan w:val="3"/>
            <w:tcBorders>
              <w:tl2br w:val="nil"/>
              <w:tr2bl w:val="nil"/>
            </w:tcBorders>
            <w:shd w:val="clear" w:color="000000" w:fill="FFFFFF"/>
            <w:noWrap w:val="0"/>
            <w:vAlign w:val="center"/>
          </w:tcPr>
          <w:p w14:paraId="702A77A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b/>
                <w:bCs/>
                <w:color w:val="auto"/>
                <w:sz w:val="28"/>
                <w:szCs w:val="28"/>
                <w:highlight w:val="none"/>
              </w:rPr>
              <w:t>商务要求</w:t>
            </w:r>
          </w:p>
        </w:tc>
      </w:tr>
      <w:tr w14:paraId="4469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706" w:type="dxa"/>
            <w:gridSpan w:val="2"/>
            <w:tcBorders>
              <w:tl2br w:val="nil"/>
              <w:tr2bl w:val="nil"/>
            </w:tcBorders>
            <w:shd w:val="clear" w:color="000000" w:fill="FFFFFF"/>
            <w:noWrap w:val="0"/>
            <w:vAlign w:val="center"/>
          </w:tcPr>
          <w:p w14:paraId="21A4CAC4">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服务的内容和措施</w:t>
            </w:r>
          </w:p>
        </w:tc>
        <w:tc>
          <w:tcPr>
            <w:tcW w:w="8704" w:type="dxa"/>
            <w:tcBorders>
              <w:tl2br w:val="nil"/>
              <w:tr2bl w:val="nil"/>
            </w:tcBorders>
            <w:shd w:val="clear" w:color="000000" w:fill="FFFFFF"/>
            <w:noWrap w:val="0"/>
            <w:vAlign w:val="center"/>
          </w:tcPr>
          <w:p w14:paraId="5E5447D6">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一、</w:t>
            </w:r>
            <w:r>
              <w:rPr>
                <w:rFonts w:hint="eastAsia" w:ascii="宋体" w:hAnsi="宋体" w:cs="宋体"/>
                <w:b w:val="0"/>
                <w:bCs w:val="0"/>
                <w:color w:val="auto"/>
                <w:szCs w:val="21"/>
                <w:highlight w:val="none"/>
              </w:rPr>
              <w:t>技术服务及培训：</w:t>
            </w:r>
          </w:p>
          <w:p w14:paraId="6E09EEFC">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1.服务期内按采购人要求提供技术培训。</w:t>
            </w:r>
          </w:p>
          <w:p w14:paraId="4CEA73F3">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成交</w:t>
            </w:r>
            <w:r>
              <w:rPr>
                <w:rFonts w:hint="eastAsia" w:ascii="宋体" w:hAnsi="宋体" w:cs="宋体"/>
                <w:b w:val="0"/>
                <w:bCs w:val="0"/>
                <w:color w:val="auto"/>
                <w:szCs w:val="21"/>
                <w:highlight w:val="none"/>
              </w:rPr>
              <w:t>供应商须派技术人员到</w:t>
            </w:r>
            <w:r>
              <w:rPr>
                <w:rFonts w:hint="eastAsia" w:ascii="宋体" w:hAnsi="宋体" w:cs="宋体"/>
                <w:b w:val="0"/>
                <w:bCs w:val="0"/>
                <w:color w:val="auto"/>
                <w:szCs w:val="21"/>
                <w:highlight w:val="none"/>
                <w:lang w:eastAsia="zh-CN"/>
              </w:rPr>
              <w:t>采购人</w:t>
            </w:r>
            <w:r>
              <w:rPr>
                <w:rFonts w:hint="eastAsia" w:ascii="宋体" w:hAnsi="宋体" w:cs="宋体"/>
                <w:b w:val="0"/>
                <w:bCs w:val="0"/>
                <w:color w:val="auto"/>
                <w:szCs w:val="21"/>
                <w:highlight w:val="none"/>
              </w:rPr>
              <w:t>现场对用户使用操作人员进行切实有效的培训，所有培训费用由</w:t>
            </w:r>
            <w:r>
              <w:rPr>
                <w:rFonts w:hint="eastAsia" w:ascii="宋体" w:hAnsi="宋体" w:cs="宋体"/>
                <w:b w:val="0"/>
                <w:bCs w:val="0"/>
                <w:color w:val="auto"/>
                <w:szCs w:val="21"/>
                <w:highlight w:val="none"/>
                <w:lang w:eastAsia="zh-CN"/>
              </w:rPr>
              <w:t>成交</w:t>
            </w:r>
            <w:r>
              <w:rPr>
                <w:rFonts w:hint="eastAsia" w:ascii="宋体" w:hAnsi="宋体" w:cs="宋体"/>
                <w:b w:val="0"/>
                <w:bCs w:val="0"/>
                <w:color w:val="auto"/>
                <w:szCs w:val="21"/>
                <w:highlight w:val="none"/>
              </w:rPr>
              <w:t>供应商承担。</w:t>
            </w:r>
          </w:p>
          <w:p w14:paraId="2D18071B">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二、</w:t>
            </w:r>
            <w:r>
              <w:rPr>
                <w:rFonts w:hint="eastAsia" w:ascii="宋体" w:hAnsi="宋体" w:cs="宋体"/>
                <w:b w:val="0"/>
                <w:bCs w:val="0"/>
                <w:color w:val="auto"/>
                <w:szCs w:val="21"/>
                <w:highlight w:val="none"/>
              </w:rPr>
              <w:t>服务的内容和措施：</w:t>
            </w:r>
          </w:p>
          <w:p w14:paraId="3C616714">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1.采购范围内送货上门、安装调试合格。</w:t>
            </w:r>
          </w:p>
          <w:p w14:paraId="2569D2A4">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2.服务期间，</w:t>
            </w:r>
            <w:r>
              <w:rPr>
                <w:rFonts w:hint="eastAsia" w:ascii="宋体" w:hAnsi="宋体" w:cs="宋体"/>
                <w:b w:val="0"/>
                <w:bCs w:val="0"/>
                <w:color w:val="auto"/>
                <w:szCs w:val="21"/>
                <w:highlight w:val="none"/>
                <w:lang w:eastAsia="zh-CN"/>
              </w:rPr>
              <w:t>成交</w:t>
            </w:r>
            <w:r>
              <w:rPr>
                <w:rFonts w:hint="eastAsia" w:ascii="宋体" w:hAnsi="宋体" w:cs="宋体"/>
                <w:b w:val="0"/>
                <w:bCs w:val="0"/>
                <w:color w:val="auto"/>
                <w:szCs w:val="21"/>
                <w:highlight w:val="none"/>
              </w:rPr>
              <w:t>供应商必须提供7×24小时热线电话服务，并提供多个故障申告途径及绿色通道，做到全方位响应，并指定专业人员负责上门受理调试日常维护及平时协助采购人维护检测等工作；必须提供365×24小时的服务响应；</w:t>
            </w:r>
            <w:r>
              <w:rPr>
                <w:rFonts w:hint="eastAsia" w:ascii="宋体" w:hAnsi="宋体" w:cs="宋体"/>
                <w:b w:val="0"/>
                <w:bCs w:val="0"/>
                <w:color w:val="auto"/>
                <w:szCs w:val="21"/>
                <w:highlight w:val="none"/>
                <w:lang w:eastAsia="zh-CN"/>
              </w:rPr>
              <w:t>成交</w:t>
            </w:r>
            <w:r>
              <w:rPr>
                <w:rFonts w:hint="eastAsia" w:ascii="宋体" w:hAnsi="宋体" w:cs="宋体"/>
                <w:b w:val="0"/>
                <w:bCs w:val="0"/>
                <w:color w:val="auto"/>
                <w:szCs w:val="21"/>
                <w:highlight w:val="none"/>
              </w:rPr>
              <w:t>供应商对</w:t>
            </w:r>
            <w:r>
              <w:rPr>
                <w:rFonts w:hint="eastAsia" w:ascii="宋体" w:hAnsi="宋体" w:cs="宋体"/>
                <w:b w:val="0"/>
                <w:bCs w:val="0"/>
                <w:color w:val="auto"/>
                <w:szCs w:val="21"/>
                <w:highlight w:val="none"/>
                <w:lang w:eastAsia="zh-CN"/>
              </w:rPr>
              <w:t>采购人</w:t>
            </w:r>
            <w:r>
              <w:rPr>
                <w:rFonts w:hint="eastAsia" w:ascii="宋体" w:hAnsi="宋体" w:cs="宋体"/>
                <w:b w:val="0"/>
                <w:bCs w:val="0"/>
                <w:color w:val="auto"/>
                <w:szCs w:val="21"/>
                <w:highlight w:val="none"/>
              </w:rPr>
              <w:t>的故障排除、系统运行提供全年7×24小时业务配合。服务期内接到故障通知时，1小时内响应，4小时内修复故障。</w:t>
            </w:r>
          </w:p>
          <w:p w14:paraId="78C86C74">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3.在服务期内，</w:t>
            </w:r>
            <w:r>
              <w:rPr>
                <w:rFonts w:hint="eastAsia" w:ascii="宋体" w:hAnsi="宋体" w:cs="宋体"/>
                <w:b w:val="0"/>
                <w:bCs w:val="0"/>
                <w:color w:val="auto"/>
                <w:szCs w:val="21"/>
                <w:highlight w:val="none"/>
                <w:lang w:eastAsia="zh-CN"/>
              </w:rPr>
              <w:t>成交</w:t>
            </w:r>
            <w:r>
              <w:rPr>
                <w:rFonts w:hint="eastAsia" w:ascii="宋体" w:hAnsi="宋体" w:cs="宋体"/>
                <w:b w:val="0"/>
                <w:bCs w:val="0"/>
                <w:color w:val="auto"/>
                <w:szCs w:val="21"/>
                <w:highlight w:val="none"/>
              </w:rPr>
              <w:t>供应商每半年对本项目所有租用线路进行一次现场巡检，检查传输设备、主干光缆的运行情况、线路相关信息、安全隐患，并提供相关检查设备协助采购人核查，巡检结束后向采购人提交巡检报告。包含线路租用、日常维护等，在重大会议或重大活动期间委派专业技术人员不少于2人提供客户现场技术支撑服务。负责该线路从县机房到行政村（社区）终端设备网络接入的日常运维，包含但不限于线路日常故障处理、接入终端设备网络故障处理、日常巡检等。</w:t>
            </w:r>
          </w:p>
          <w:p w14:paraId="39197380">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4.售后服务技术人员要求：安排至少1名专职人员，并提供人员名单。</w:t>
            </w:r>
          </w:p>
          <w:p w14:paraId="51E1FB15">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5.备品备件服务：</w:t>
            </w:r>
            <w:r>
              <w:rPr>
                <w:rFonts w:hint="eastAsia" w:ascii="宋体" w:hAnsi="宋体" w:cs="宋体"/>
                <w:b w:val="0"/>
                <w:bCs w:val="0"/>
                <w:color w:val="auto"/>
                <w:szCs w:val="21"/>
                <w:highlight w:val="none"/>
                <w:lang w:eastAsia="zh-CN"/>
              </w:rPr>
              <w:t>成交供应商</w:t>
            </w:r>
            <w:r>
              <w:rPr>
                <w:rFonts w:hint="eastAsia" w:ascii="宋体" w:hAnsi="宋体" w:cs="宋体"/>
                <w:b w:val="0"/>
                <w:bCs w:val="0"/>
                <w:color w:val="auto"/>
                <w:szCs w:val="21"/>
                <w:highlight w:val="none"/>
              </w:rPr>
              <w:t>必须备有充足的备件、配件，可及时向采购人提供技术服务和备件服务。</w:t>
            </w:r>
          </w:p>
          <w:p w14:paraId="0311FF1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6.在本项目服务期内，</w:t>
            </w:r>
            <w:r>
              <w:rPr>
                <w:rFonts w:hint="eastAsia" w:ascii="宋体" w:hAnsi="宋体" w:cs="宋体"/>
                <w:b w:val="0"/>
                <w:bCs w:val="0"/>
                <w:color w:val="auto"/>
                <w:szCs w:val="21"/>
                <w:highlight w:val="none"/>
                <w:lang w:eastAsia="zh-CN"/>
              </w:rPr>
              <w:t>成交供应商</w:t>
            </w:r>
            <w:r>
              <w:rPr>
                <w:rFonts w:hint="eastAsia" w:ascii="宋体" w:hAnsi="宋体" w:cs="宋体"/>
                <w:b w:val="0"/>
                <w:bCs w:val="0"/>
                <w:color w:val="auto"/>
                <w:szCs w:val="21"/>
                <w:highlight w:val="none"/>
              </w:rPr>
              <w:t>须免费提供线路搬迁服务，自采购人书面提出之日起 7个工作日内完成线路的迁移工作。</w:t>
            </w:r>
          </w:p>
          <w:p w14:paraId="374C4977">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7.服务期满后，</w:t>
            </w:r>
            <w:r>
              <w:rPr>
                <w:rFonts w:hint="eastAsia" w:ascii="宋体" w:hAnsi="宋体" w:cs="宋体"/>
                <w:b w:val="0"/>
                <w:bCs w:val="0"/>
                <w:color w:val="auto"/>
                <w:szCs w:val="21"/>
                <w:highlight w:val="none"/>
                <w:lang w:eastAsia="zh-CN"/>
              </w:rPr>
              <w:t>成交供应商</w:t>
            </w:r>
            <w:r>
              <w:rPr>
                <w:rFonts w:hint="eastAsia" w:ascii="宋体" w:hAnsi="宋体" w:cs="宋体"/>
                <w:b w:val="0"/>
                <w:bCs w:val="0"/>
                <w:color w:val="auto"/>
                <w:szCs w:val="21"/>
                <w:highlight w:val="none"/>
              </w:rPr>
              <w:t>更换的备品备件自动移交给采购人，不予收回。</w:t>
            </w:r>
          </w:p>
          <w:p w14:paraId="7B6E6C8A">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8.其他：在服务期限内，</w:t>
            </w:r>
            <w:r>
              <w:rPr>
                <w:rFonts w:hint="eastAsia" w:ascii="宋体" w:hAnsi="宋体" w:cs="宋体"/>
                <w:b w:val="0"/>
                <w:bCs w:val="0"/>
                <w:color w:val="auto"/>
                <w:szCs w:val="21"/>
                <w:highlight w:val="none"/>
                <w:lang w:eastAsia="zh-CN"/>
              </w:rPr>
              <w:t>成交供应商</w:t>
            </w:r>
            <w:r>
              <w:rPr>
                <w:rFonts w:hint="eastAsia" w:ascii="宋体" w:hAnsi="宋体" w:cs="宋体"/>
                <w:b w:val="0"/>
                <w:bCs w:val="0"/>
                <w:color w:val="auto"/>
                <w:szCs w:val="21"/>
                <w:highlight w:val="none"/>
              </w:rPr>
              <w:t>应严格遵守《中华人民共和国电信条例》，维护双方权益，应按照工业和信息化部颁布的《电信服务规范》的电路质量要求，保证采购人租用线路畅通及安全使用。</w:t>
            </w:r>
          </w:p>
          <w:p w14:paraId="4F2CC86A">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9.免费现场安装调试至验收合格，免费培训。质保期：按照国家有关规定实行产品“三包”，保质期按产品生产商的承诺执行（除技术参数要求中有具体质保期限以外，其他产品质保期限不能少于三年）。</w:t>
            </w:r>
          </w:p>
          <w:p w14:paraId="4054803C">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三</w:t>
            </w:r>
            <w:r>
              <w:rPr>
                <w:rFonts w:hint="eastAsia" w:ascii="宋体" w:hAnsi="宋体" w:cs="宋体"/>
                <w:b w:val="0"/>
                <w:bCs w:val="0"/>
                <w:color w:val="auto"/>
                <w:szCs w:val="21"/>
                <w:highlight w:val="none"/>
              </w:rPr>
              <w:t>、采购文件采购需求所列的设备及技术服务全部为</w:t>
            </w:r>
            <w:r>
              <w:rPr>
                <w:rFonts w:hint="eastAsia" w:ascii="宋体" w:hAnsi="宋体" w:cs="宋体"/>
                <w:b w:val="0"/>
                <w:bCs w:val="0"/>
                <w:color w:val="auto"/>
                <w:szCs w:val="21"/>
                <w:highlight w:val="none"/>
                <w:lang w:eastAsia="zh-CN"/>
              </w:rPr>
              <w:t>采购人</w:t>
            </w:r>
            <w:r>
              <w:rPr>
                <w:rFonts w:hint="eastAsia" w:ascii="宋体" w:hAnsi="宋体" w:cs="宋体"/>
                <w:b w:val="0"/>
                <w:bCs w:val="0"/>
                <w:color w:val="auto"/>
                <w:szCs w:val="21"/>
                <w:highlight w:val="none"/>
              </w:rPr>
              <w:t>实际采购的货物和服务，全部产权归</w:t>
            </w:r>
            <w:r>
              <w:rPr>
                <w:rFonts w:hint="eastAsia" w:ascii="宋体" w:hAnsi="宋体" w:cs="宋体"/>
                <w:b w:val="0"/>
                <w:bCs w:val="0"/>
                <w:color w:val="auto"/>
                <w:szCs w:val="21"/>
                <w:highlight w:val="none"/>
                <w:lang w:eastAsia="zh-CN"/>
              </w:rPr>
              <w:t>采购人所有</w:t>
            </w:r>
            <w:r>
              <w:rPr>
                <w:rFonts w:hint="eastAsia" w:ascii="宋体" w:hAnsi="宋体" w:cs="宋体"/>
                <w:b w:val="0"/>
                <w:bCs w:val="0"/>
                <w:color w:val="auto"/>
                <w:szCs w:val="21"/>
                <w:highlight w:val="none"/>
              </w:rPr>
              <w:t>。</w:t>
            </w:r>
          </w:p>
        </w:tc>
      </w:tr>
      <w:tr w14:paraId="3E33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706" w:type="dxa"/>
            <w:gridSpan w:val="2"/>
            <w:tcBorders>
              <w:tl2br w:val="nil"/>
              <w:tr2bl w:val="nil"/>
            </w:tcBorders>
            <w:shd w:val="clear" w:color="000000" w:fill="FFFFFF"/>
            <w:noWrap w:val="0"/>
            <w:vAlign w:val="center"/>
          </w:tcPr>
          <w:p w14:paraId="2B007F1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cs="宋体"/>
                <w:b/>
                <w:bCs/>
                <w:color w:val="auto"/>
                <w:szCs w:val="21"/>
                <w:highlight w:val="none"/>
              </w:rPr>
            </w:pPr>
            <w:r>
              <w:rPr>
                <w:rFonts w:hint="eastAsia" w:ascii="宋体" w:hAnsi="宋体" w:cs="宋体"/>
                <w:b w:val="0"/>
                <w:bCs w:val="0"/>
                <w:color w:val="auto"/>
                <w:szCs w:val="21"/>
                <w:highlight w:val="none"/>
                <w:lang w:eastAsia="zh-CN"/>
              </w:rPr>
              <w:t>合同签订时间</w:t>
            </w:r>
          </w:p>
        </w:tc>
        <w:tc>
          <w:tcPr>
            <w:tcW w:w="8704" w:type="dxa"/>
            <w:tcBorders>
              <w:tl2br w:val="nil"/>
              <w:tr2bl w:val="nil"/>
            </w:tcBorders>
            <w:shd w:val="clear" w:color="000000" w:fill="FFFFFF"/>
            <w:noWrap w:val="0"/>
            <w:vAlign w:val="center"/>
          </w:tcPr>
          <w:p w14:paraId="51217A01">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b/>
                <w:bCs/>
                <w:color w:val="auto"/>
                <w:szCs w:val="21"/>
                <w:highlight w:val="none"/>
              </w:rPr>
            </w:pPr>
            <w:r>
              <w:rPr>
                <w:rFonts w:hint="eastAsia" w:ascii="宋体" w:hAnsi="宋体" w:cs="宋体"/>
                <w:b w:val="0"/>
                <w:bCs w:val="0"/>
                <w:color w:val="auto"/>
                <w:szCs w:val="21"/>
                <w:highlight w:val="none"/>
              </w:rPr>
              <w:t xml:space="preserve">自成交通知书发出之日起 </w:t>
            </w: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rPr>
              <w:t>个</w:t>
            </w:r>
            <w:r>
              <w:rPr>
                <w:rFonts w:hint="eastAsia" w:ascii="宋体" w:hAnsi="宋体" w:cs="宋体"/>
                <w:b w:val="0"/>
                <w:bCs w:val="0"/>
                <w:color w:val="auto"/>
                <w:szCs w:val="21"/>
                <w:highlight w:val="none"/>
                <w:lang w:eastAsia="zh-CN"/>
              </w:rPr>
              <w:t>工作日</w:t>
            </w:r>
            <w:r>
              <w:rPr>
                <w:rFonts w:hint="eastAsia" w:ascii="宋体" w:hAnsi="宋体" w:cs="宋体"/>
                <w:b w:val="0"/>
                <w:bCs w:val="0"/>
                <w:color w:val="auto"/>
                <w:szCs w:val="21"/>
                <w:highlight w:val="none"/>
              </w:rPr>
              <w:t>内</w:t>
            </w:r>
            <w:r>
              <w:rPr>
                <w:rFonts w:hint="eastAsia" w:ascii="宋体" w:hAnsi="宋体" w:cs="宋体"/>
                <w:b w:val="0"/>
                <w:bCs w:val="0"/>
                <w:color w:val="auto"/>
                <w:szCs w:val="21"/>
                <w:highlight w:val="none"/>
                <w:lang w:eastAsia="zh-CN"/>
              </w:rPr>
              <w:t>。</w:t>
            </w:r>
          </w:p>
        </w:tc>
      </w:tr>
      <w:tr w14:paraId="0F07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706" w:type="dxa"/>
            <w:gridSpan w:val="2"/>
            <w:tcBorders>
              <w:tl2br w:val="nil"/>
              <w:tr2bl w:val="nil"/>
            </w:tcBorders>
            <w:shd w:val="clear" w:color="000000" w:fill="FFFFFF"/>
            <w:noWrap w:val="0"/>
            <w:vAlign w:val="center"/>
          </w:tcPr>
          <w:p w14:paraId="7D2EC564">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服务时间及地点</w:t>
            </w:r>
          </w:p>
        </w:tc>
        <w:tc>
          <w:tcPr>
            <w:tcW w:w="8704" w:type="dxa"/>
            <w:tcBorders>
              <w:tl2br w:val="nil"/>
              <w:tr2bl w:val="nil"/>
            </w:tcBorders>
            <w:shd w:val="clear" w:color="000000" w:fill="FFFFFF"/>
            <w:noWrap w:val="0"/>
            <w:vAlign w:val="center"/>
          </w:tcPr>
          <w:p w14:paraId="01707676">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、服务时间</w:t>
            </w:r>
            <w:r>
              <w:rPr>
                <w:rFonts w:hint="eastAsia" w:ascii="宋体" w:hAnsi="宋体" w:cs="宋体"/>
                <w:color w:val="auto"/>
                <w:szCs w:val="21"/>
                <w:highlight w:val="none"/>
              </w:rPr>
              <w:t>：</w:t>
            </w:r>
            <w:bookmarkStart w:id="356" w:name="OLE_LINK31"/>
            <w:r>
              <w:rPr>
                <w:rFonts w:hint="eastAsia" w:ascii="宋体" w:hAnsi="宋体" w:cs="宋体"/>
                <w:color w:val="auto"/>
                <w:szCs w:val="21"/>
                <w:highlight w:val="none"/>
              </w:rPr>
              <w:t>自项目验收合格之日起三年，服务内容包括设备维保与网络运行维护。</w:t>
            </w:r>
          </w:p>
          <w:p w14:paraId="0AEA0AE5">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.交付</w:t>
            </w:r>
            <w:r>
              <w:rPr>
                <w:rFonts w:hint="eastAsia" w:ascii="宋体" w:hAnsi="宋体" w:cs="宋体"/>
                <w:color w:val="auto"/>
                <w:szCs w:val="21"/>
                <w:highlight w:val="none"/>
                <w:lang w:eastAsia="zh-CN"/>
              </w:rPr>
              <w:t>时间</w:t>
            </w:r>
            <w:r>
              <w:rPr>
                <w:rFonts w:hint="eastAsia" w:ascii="宋体" w:hAnsi="宋体" w:cs="宋体"/>
                <w:color w:val="auto"/>
                <w:szCs w:val="21"/>
                <w:highlight w:val="none"/>
              </w:rPr>
              <w:t>：自签订合同之日起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内完成安装调试并交付采购人使用。如服务环境不具备施工条件（例如雨季或洪涝灾害等可能导致室外危险施工的不可抗拒因素），可经双方协商将交付期顺延。如安装点位不具备施工条件（例如雨季或洪涝灾害等可能导致室外危险施工的不可抗拒因素），可经双方协商将交付期顺延。</w:t>
            </w:r>
          </w:p>
          <w:p w14:paraId="256DB42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.交付地点：</w:t>
            </w:r>
            <w:r>
              <w:rPr>
                <w:rFonts w:hint="eastAsia" w:ascii="宋体" w:hAnsi="宋体" w:cs="宋体"/>
                <w:color w:val="auto"/>
                <w:szCs w:val="21"/>
                <w:highlight w:val="none"/>
                <w:lang w:eastAsia="zh-CN"/>
              </w:rPr>
              <w:t>桂林市荔浦市</w:t>
            </w:r>
            <w:r>
              <w:rPr>
                <w:rFonts w:hint="eastAsia" w:ascii="宋体" w:hAnsi="宋体" w:cs="宋体"/>
                <w:color w:val="auto"/>
                <w:szCs w:val="21"/>
                <w:highlight w:val="none"/>
              </w:rPr>
              <w:t>采购人指定地点</w:t>
            </w:r>
            <w:bookmarkEnd w:id="356"/>
            <w:r>
              <w:rPr>
                <w:rFonts w:hint="eastAsia" w:ascii="宋体" w:hAnsi="宋体" w:cs="宋体"/>
                <w:color w:val="auto"/>
                <w:szCs w:val="21"/>
                <w:highlight w:val="none"/>
                <w:lang w:eastAsia="zh-CN"/>
              </w:rPr>
              <w:t>。</w:t>
            </w:r>
          </w:p>
        </w:tc>
      </w:tr>
      <w:tr w14:paraId="0C97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706" w:type="dxa"/>
            <w:gridSpan w:val="2"/>
            <w:tcBorders>
              <w:tl2br w:val="nil"/>
              <w:tr2bl w:val="nil"/>
            </w:tcBorders>
            <w:shd w:val="clear" w:color="000000" w:fill="FFFFFF"/>
            <w:noWrap w:val="0"/>
            <w:vAlign w:val="center"/>
          </w:tcPr>
          <w:p w14:paraId="35DB17E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验收方式和标准</w:t>
            </w:r>
          </w:p>
        </w:tc>
        <w:tc>
          <w:tcPr>
            <w:tcW w:w="8704" w:type="dxa"/>
            <w:tcBorders>
              <w:tl2br w:val="nil"/>
              <w:tr2bl w:val="nil"/>
            </w:tcBorders>
            <w:shd w:val="clear" w:color="000000" w:fill="FFFFFF"/>
            <w:noWrap w:val="0"/>
            <w:vAlign w:val="center"/>
          </w:tcPr>
          <w:p w14:paraId="55E47AD6">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1.现场验收。</w:t>
            </w:r>
          </w:p>
          <w:p w14:paraId="14D20553">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2.符合我国国家电子政务外网有关技术规范和技术标准</w:t>
            </w:r>
          </w:p>
          <w:p w14:paraId="3D596314">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3.验收条件及标准：设备安装调试后可正常运行，且运行状态良好满足使用要求、验收方法及方案：依据采购文件的要求、响应文件的承诺和国家标准或行业标准进行现场验收。</w:t>
            </w:r>
          </w:p>
        </w:tc>
      </w:tr>
      <w:tr w14:paraId="39EF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706" w:type="dxa"/>
            <w:gridSpan w:val="2"/>
            <w:tcBorders>
              <w:tl2br w:val="nil"/>
              <w:tr2bl w:val="nil"/>
            </w:tcBorders>
            <w:shd w:val="clear" w:color="000000" w:fill="FFFFFF"/>
            <w:noWrap w:val="0"/>
            <w:vAlign w:val="center"/>
          </w:tcPr>
          <w:p w14:paraId="6AA34C0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704" w:type="dxa"/>
            <w:tcBorders>
              <w:tl2br w:val="nil"/>
              <w:tr2bl w:val="nil"/>
            </w:tcBorders>
            <w:shd w:val="clear" w:color="000000" w:fill="FFFFFF"/>
            <w:noWrap w:val="0"/>
            <w:vAlign w:val="center"/>
          </w:tcPr>
          <w:p w14:paraId="54ECA126">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整体安装调试完毕并验收合格之后按年支付，服务期满一年后15个工作日内支付合同总金额的1/3，服务期满两年后15个工作日内支付合同总金额的1/3，服务期满三年后15个工作日内支付合同总金额的1/3。</w:t>
            </w:r>
          </w:p>
        </w:tc>
      </w:tr>
      <w:tr w14:paraId="2ECF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706" w:type="dxa"/>
            <w:gridSpan w:val="2"/>
            <w:tcBorders>
              <w:tl2br w:val="nil"/>
              <w:tr2bl w:val="nil"/>
            </w:tcBorders>
            <w:shd w:val="clear" w:color="000000" w:fill="FFFFFF"/>
            <w:noWrap w:val="0"/>
            <w:vAlign w:val="center"/>
          </w:tcPr>
          <w:p w14:paraId="097721E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704" w:type="dxa"/>
            <w:tcBorders>
              <w:tl2br w:val="nil"/>
              <w:tr2bl w:val="nil"/>
            </w:tcBorders>
            <w:shd w:val="clear" w:color="000000" w:fill="FFFFFF"/>
            <w:noWrap w:val="0"/>
            <w:vAlign w:val="center"/>
          </w:tcPr>
          <w:p w14:paraId="00F8EF8D">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b w:val="0"/>
                <w:bCs w:val="0"/>
                <w:color w:val="auto"/>
                <w:szCs w:val="21"/>
                <w:highlight w:val="none"/>
                <w:lang w:val="en-US" w:eastAsia="zh-CN"/>
              </w:rPr>
            </w:pPr>
            <w:bookmarkStart w:id="357" w:name="OLE_LINK32"/>
            <w:r>
              <w:rPr>
                <w:rFonts w:hint="eastAsia" w:ascii="宋体" w:hAnsi="宋体" w:cs="宋体"/>
                <w:b w:val="0"/>
                <w:bCs w:val="0"/>
                <w:color w:val="auto"/>
                <w:szCs w:val="21"/>
                <w:highlight w:val="none"/>
                <w:lang w:val="en-US" w:eastAsia="zh-CN"/>
              </w:rPr>
              <w:t>1.总价包干，磋商报价为采购人指定地点的现场交付价。本服务项目所提供服务的设备必须是未经拆封、全新的、符合国家电子政务外网有关认证标准及安全规定的产品，如出现质量问题按国内同类产品国家行业规定上门包换或作退货处理，给采购人造成损失的按实际损失赔偿。若成交供应商提供的服务与响应文件不一致的视为虚假应标，采购人有权拒绝接收并保留追究相关责任的权利，由此造成的所有损失及责任由成交供应商自行承担。</w:t>
            </w:r>
          </w:p>
          <w:p w14:paraId="59C7821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2.本项目采购预算金额为人民币：壹佰贰拾玖万壹仟伍佰肆拾元整（¥1291540.00元），竞标人的磋商报价超出采购预算金额的，响应文件按无效处理。</w:t>
            </w:r>
          </w:p>
          <w:p w14:paraId="1F174F2E">
            <w:pPr>
              <w:spacing w:line="360" w:lineRule="auto"/>
              <w:jc w:val="left"/>
              <w:rPr>
                <w:rFonts w:hint="eastAsia"/>
                <w:lang w:val="en-US" w:eastAsia="zh-CN"/>
              </w:rPr>
            </w:pPr>
            <w:r>
              <w:rPr>
                <w:rFonts w:hint="eastAsia" w:ascii="宋体" w:hAnsi="宋体" w:cs="宋体"/>
                <w:b/>
                <w:bCs/>
                <w:color w:val="auto"/>
                <w:szCs w:val="21"/>
                <w:highlight w:val="none"/>
                <w:lang w:val="en-US" w:eastAsia="zh-CN"/>
              </w:rPr>
              <w:t>3.本项目所属行业：软件和信息技术服务业。</w:t>
            </w:r>
            <w:bookmarkEnd w:id="357"/>
          </w:p>
        </w:tc>
      </w:tr>
      <w:tr w14:paraId="3FB9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706" w:type="dxa"/>
            <w:gridSpan w:val="2"/>
            <w:tcBorders>
              <w:tl2br w:val="nil"/>
              <w:tr2bl w:val="nil"/>
            </w:tcBorders>
            <w:shd w:val="clear" w:color="000000" w:fill="FFFFFF"/>
            <w:noWrap w:val="0"/>
            <w:vAlign w:val="center"/>
          </w:tcPr>
          <w:p w14:paraId="60B710BA">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eastAsia="宋体" w:cs="宋体"/>
                <w:color w:val="auto"/>
                <w:spacing w:val="0"/>
                <w:sz w:val="21"/>
                <w:szCs w:val="21"/>
                <w:highlight w:val="none"/>
                <w:lang w:eastAsia="zh-CN"/>
              </w:rPr>
              <w:t>验收标准</w:t>
            </w:r>
          </w:p>
        </w:tc>
        <w:tc>
          <w:tcPr>
            <w:tcW w:w="8704" w:type="dxa"/>
            <w:tcBorders>
              <w:tl2br w:val="nil"/>
              <w:tr2bl w:val="nil"/>
            </w:tcBorders>
            <w:shd w:val="clear" w:color="auto" w:fill="auto"/>
            <w:noWrap w:val="0"/>
            <w:vAlign w:val="center"/>
          </w:tcPr>
          <w:p w14:paraId="19459B76">
            <w:pPr>
              <w:keepNext w:val="0"/>
              <w:keepLines w:val="0"/>
              <w:pageBreakBefore w:val="0"/>
              <w:widowControl w:val="0"/>
              <w:kinsoku/>
              <w:wordWrap/>
              <w:overflowPunct/>
              <w:topLinePunct w:val="0"/>
              <w:bidi w:val="0"/>
              <w:spacing w:before="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1.现场验收。</w:t>
            </w:r>
          </w:p>
          <w:p w14:paraId="3E6A586E">
            <w:pPr>
              <w:keepNext w:val="0"/>
              <w:keepLines w:val="0"/>
              <w:pageBreakBefore w:val="0"/>
              <w:widowControl w:val="0"/>
              <w:kinsoku/>
              <w:wordWrap/>
              <w:overflowPunct/>
              <w:topLinePunct w:val="0"/>
              <w:bidi w:val="0"/>
              <w:spacing w:before="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2.符合我国国家电子政务外网有关技术规范和技术标准</w:t>
            </w:r>
          </w:p>
          <w:p w14:paraId="183FFC36">
            <w:pPr>
              <w:keepNext w:val="0"/>
              <w:keepLines w:val="0"/>
              <w:pageBreakBefore w:val="0"/>
              <w:widowControl w:val="0"/>
              <w:kinsoku/>
              <w:wordWrap/>
              <w:overflowPunct/>
              <w:topLinePunct w:val="0"/>
              <w:bidi w:val="0"/>
              <w:spacing w:before="0" w:line="360" w:lineRule="auto"/>
              <w:ind w:left="0" w:leftChars="0" w:right="0" w:rightChars="0" w:firstLine="0" w:firstLineChars="0"/>
              <w:jc w:val="left"/>
              <w:textAlignment w:val="auto"/>
              <w:rPr>
                <w:rFonts w:hint="eastAsia" w:asciiTheme="majorEastAsia" w:hAnsiTheme="majorEastAsia" w:eastAsiaTheme="majorEastAsia" w:cstheme="majorEastAsia"/>
                <w:kern w:val="2"/>
                <w:sz w:val="24"/>
                <w:szCs w:val="21"/>
                <w:lang w:val="en-US" w:eastAsia="zh-CN" w:bidi="ar-SA"/>
              </w:rPr>
            </w:pPr>
            <w:r>
              <w:rPr>
                <w:rFonts w:hint="eastAsia" w:ascii="宋体" w:hAnsi="宋体" w:eastAsia="宋体" w:cs="宋体"/>
                <w:color w:val="auto"/>
                <w:sz w:val="21"/>
                <w:szCs w:val="21"/>
                <w:highlight w:val="none"/>
              </w:rPr>
              <w:t>3.验收条件及标准：设备安装调试后可正常运行，且运行状态良好满足使用要求、验收方法及方案：依据</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文件的要求、</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文件的承诺和国家标准或行业标准进行现场验收。</w:t>
            </w:r>
          </w:p>
        </w:tc>
      </w:tr>
    </w:tbl>
    <w:p w14:paraId="2912D290">
      <w:pPr>
        <w:pStyle w:val="22"/>
        <w:rPr>
          <w:rFonts w:hint="eastAsia" w:ascii="宋体" w:hAnsi="宋体" w:cs="宋体"/>
          <w:b/>
          <w:bCs/>
          <w:color w:val="FF0000"/>
          <w:sz w:val="21"/>
          <w:szCs w:val="21"/>
          <w:highlight w:val="none"/>
          <w:lang w:eastAsia="zh-CN"/>
        </w:rPr>
      </w:pPr>
    </w:p>
    <w:p w14:paraId="7759CCAD">
      <w:pPr>
        <w:rPr>
          <w:rFonts w:hint="eastAsia" w:ascii="宋体" w:hAnsi="宋体" w:cs="宋体"/>
          <w:b/>
          <w:bCs/>
          <w:color w:val="FF0000"/>
          <w:sz w:val="21"/>
          <w:szCs w:val="21"/>
          <w:highlight w:val="none"/>
          <w:lang w:eastAsia="zh-CN"/>
        </w:rPr>
      </w:pPr>
    </w:p>
    <w:p w14:paraId="052603DB">
      <w:pPr>
        <w:pStyle w:val="22"/>
        <w:rPr>
          <w:rFonts w:hint="eastAsia" w:ascii="宋体" w:hAnsi="宋体" w:cs="宋体"/>
          <w:b/>
          <w:bCs/>
          <w:color w:val="FF0000"/>
          <w:sz w:val="21"/>
          <w:szCs w:val="21"/>
          <w:highlight w:val="none"/>
          <w:lang w:eastAsia="zh-CN"/>
        </w:rPr>
      </w:pPr>
    </w:p>
    <w:p w14:paraId="61BE5AED">
      <w:pPr>
        <w:rPr>
          <w:rFonts w:hint="eastAsia" w:ascii="宋体" w:hAnsi="宋体" w:cs="宋体"/>
          <w:b/>
          <w:bCs/>
          <w:color w:val="FF0000"/>
          <w:sz w:val="21"/>
          <w:szCs w:val="21"/>
          <w:highlight w:val="none"/>
          <w:lang w:eastAsia="zh-CN"/>
        </w:rPr>
      </w:pPr>
    </w:p>
    <w:p w14:paraId="060DC3BA">
      <w:pPr>
        <w:pStyle w:val="22"/>
        <w:rPr>
          <w:rFonts w:hint="eastAsia" w:ascii="宋体" w:hAnsi="宋体" w:cs="宋体"/>
          <w:b/>
          <w:bCs/>
          <w:color w:val="FF0000"/>
          <w:sz w:val="21"/>
          <w:szCs w:val="21"/>
          <w:highlight w:val="none"/>
          <w:lang w:eastAsia="zh-CN"/>
        </w:rPr>
      </w:pPr>
    </w:p>
    <w:p w14:paraId="604C3570">
      <w:pPr>
        <w:rPr>
          <w:rFonts w:hint="eastAsia" w:ascii="宋体" w:hAnsi="宋体" w:cs="宋体"/>
          <w:b/>
          <w:bCs/>
          <w:color w:val="FF0000"/>
          <w:sz w:val="21"/>
          <w:szCs w:val="21"/>
          <w:highlight w:val="none"/>
          <w:lang w:eastAsia="zh-CN"/>
        </w:rPr>
      </w:pPr>
    </w:p>
    <w:p w14:paraId="0FB22938">
      <w:pPr>
        <w:pStyle w:val="22"/>
        <w:rPr>
          <w:rFonts w:hint="eastAsia" w:ascii="宋体" w:hAnsi="宋体" w:cs="宋体"/>
          <w:b/>
          <w:bCs/>
          <w:color w:val="FF0000"/>
          <w:sz w:val="21"/>
          <w:szCs w:val="21"/>
          <w:highlight w:val="none"/>
          <w:lang w:eastAsia="zh-CN"/>
        </w:rPr>
      </w:pPr>
    </w:p>
    <w:p w14:paraId="1E9D6234">
      <w:pPr>
        <w:rPr>
          <w:rFonts w:hint="eastAsia" w:ascii="宋体" w:hAnsi="宋体" w:cs="宋体"/>
          <w:b/>
          <w:bCs/>
          <w:color w:val="FF0000"/>
          <w:sz w:val="21"/>
          <w:szCs w:val="21"/>
          <w:highlight w:val="none"/>
          <w:lang w:eastAsia="zh-CN"/>
        </w:rPr>
      </w:pPr>
    </w:p>
    <w:p w14:paraId="74F07498">
      <w:pPr>
        <w:pStyle w:val="22"/>
        <w:rPr>
          <w:rFonts w:hint="eastAsia" w:ascii="宋体" w:hAnsi="宋体" w:cs="宋体"/>
          <w:b/>
          <w:bCs/>
          <w:color w:val="FF0000"/>
          <w:sz w:val="21"/>
          <w:szCs w:val="21"/>
          <w:highlight w:val="none"/>
          <w:lang w:eastAsia="zh-CN"/>
        </w:rPr>
      </w:pPr>
    </w:p>
    <w:p w14:paraId="7F8C177D">
      <w:pPr>
        <w:rPr>
          <w:rFonts w:hint="eastAsia" w:ascii="宋体" w:hAnsi="宋体" w:cs="宋体"/>
          <w:b/>
          <w:bCs/>
          <w:color w:val="FF0000"/>
          <w:sz w:val="21"/>
          <w:szCs w:val="21"/>
          <w:highlight w:val="none"/>
          <w:lang w:eastAsia="zh-CN"/>
        </w:rPr>
      </w:pPr>
    </w:p>
    <w:p w14:paraId="18C606E1">
      <w:pPr>
        <w:rPr>
          <w:rFonts w:hint="eastAsia" w:asciiTheme="majorEastAsia" w:hAnsiTheme="majorEastAsia" w:eastAsiaTheme="majorEastAsia" w:cstheme="majorEastAsia"/>
          <w:color w:val="auto"/>
          <w:sz w:val="32"/>
          <w:szCs w:val="32"/>
          <w:highlight w:val="none"/>
          <w:lang w:eastAsia="zh-CN"/>
        </w:rPr>
      </w:pPr>
      <w:bookmarkStart w:id="358" w:name="_Toc16305"/>
      <w:bookmarkStart w:id="359" w:name="_Toc11652"/>
    </w:p>
    <w:p w14:paraId="514BC5B9">
      <w:pPr>
        <w:pStyle w:val="3"/>
        <w:numPr>
          <w:ilvl w:val="0"/>
          <w:numId w:val="0"/>
        </w:numPr>
        <w:tabs>
          <w:tab w:val="left" w:pos="0"/>
        </w:tabs>
        <w:autoSpaceDE w:val="0"/>
        <w:autoSpaceDN w:val="0"/>
        <w:adjustRightInd w:val="0"/>
        <w:spacing w:before="0" w:after="0" w:line="360" w:lineRule="auto"/>
        <w:jc w:val="center"/>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color w:val="auto"/>
          <w:sz w:val="32"/>
          <w:szCs w:val="32"/>
          <w:highlight w:val="none"/>
          <w:lang w:eastAsia="zh-CN"/>
        </w:rPr>
        <w:t>第四章</w:t>
      </w:r>
      <w:r>
        <w:rPr>
          <w:rFonts w:hint="eastAsia" w:asciiTheme="majorEastAsia" w:hAnsiTheme="majorEastAsia" w:eastAsiaTheme="majorEastAsia" w:cstheme="majorEastAsia"/>
          <w:color w:val="auto"/>
          <w:sz w:val="32"/>
          <w:szCs w:val="32"/>
          <w:highlight w:val="none"/>
          <w:lang w:val="en-US" w:eastAsia="zh-CN"/>
        </w:rPr>
        <w:t xml:space="preserve"> </w:t>
      </w:r>
      <w:r>
        <w:rPr>
          <w:rFonts w:hint="eastAsia" w:asciiTheme="majorEastAsia" w:hAnsiTheme="majorEastAsia" w:eastAsiaTheme="majorEastAsia" w:cstheme="majorEastAsia"/>
          <w:color w:val="auto"/>
          <w:sz w:val="32"/>
          <w:szCs w:val="32"/>
          <w:highlight w:val="none"/>
        </w:rPr>
        <w:t>评审办法</w:t>
      </w:r>
      <w:bookmarkEnd w:id="351"/>
      <w:bookmarkEnd w:id="352"/>
      <w:bookmarkEnd w:id="353"/>
      <w:bookmarkEnd w:id="354"/>
      <w:bookmarkEnd w:id="355"/>
      <w:bookmarkEnd w:id="358"/>
      <w:bookmarkEnd w:id="359"/>
    </w:p>
    <w:p w14:paraId="6F03687F">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一、评审依据</w:t>
      </w:r>
    </w:p>
    <w:p w14:paraId="4C2EEDA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评审依据：磋商小组以磋商文件和响应文件为评审依据，对供应商的响应文件进行评审。</w:t>
      </w:r>
    </w:p>
    <w:p w14:paraId="53F2665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评审方式：以封闭方式进行评审。</w:t>
      </w:r>
    </w:p>
    <w:p w14:paraId="2625C8F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3.采购人和采购代理机构、竞争性磋商小组成员要严格遵守政府采购相关法律制度，依法履行各自职责，公正、客观、审慎地组织和参与评审工作。</w:t>
      </w:r>
    </w:p>
    <w:p w14:paraId="33BD7BC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二、评审办法</w:t>
      </w:r>
    </w:p>
    <w:p w14:paraId="528A4F4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w:t>
      </w:r>
      <w:r>
        <w:rPr>
          <w:rFonts w:hint="eastAsia" w:ascii="宋体" w:hAnsi="宋体" w:eastAsia="宋体" w:cs="宋体"/>
          <w:b/>
          <w:bCs/>
          <w:color w:val="auto"/>
          <w:sz w:val="21"/>
          <w:szCs w:val="21"/>
          <w:highlight w:val="none"/>
        </w:rPr>
        <w:t>综合评分法</w:t>
      </w:r>
      <w:r>
        <w:rPr>
          <w:rFonts w:hint="eastAsia" w:ascii="宋体" w:hAnsi="宋体" w:eastAsia="宋体" w:cs="宋体"/>
          <w:color w:val="auto"/>
          <w:sz w:val="21"/>
          <w:szCs w:val="21"/>
          <w:highlight w:val="none"/>
        </w:rPr>
        <w:t>。</w:t>
      </w:r>
    </w:p>
    <w:p w14:paraId="56C4B6B0">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（二）计分办法（</w:t>
      </w:r>
      <w:r>
        <w:rPr>
          <w:rFonts w:hint="eastAsia" w:hAnsi="宋体" w:cs="宋体"/>
          <w:bCs/>
          <w:color w:val="auto"/>
          <w:szCs w:val="21"/>
          <w:highlight w:val="none"/>
        </w:rPr>
        <w:t>按四舍五入取至百分位</w:t>
      </w:r>
      <w:r>
        <w:rPr>
          <w:rFonts w:hint="eastAsia" w:ascii="宋体" w:hAnsi="宋体" w:eastAsia="宋体" w:cs="宋体"/>
          <w:color w:val="auto"/>
          <w:sz w:val="21"/>
          <w:szCs w:val="21"/>
          <w:highlight w:val="none"/>
        </w:rPr>
        <w:t>）</w:t>
      </w:r>
    </w:p>
    <w:p w14:paraId="6627D65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1、价格分…………………………………………………………………………………………………………</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p>
    <w:p w14:paraId="46C10D03">
      <w:pPr>
        <w:spacing w:line="360" w:lineRule="exact"/>
        <w:ind w:firstLine="420" w:firstLineChars="200"/>
        <w:rPr>
          <w:rFonts w:hint="eastAsia" w:hAnsi="宋体" w:cs="宋体"/>
          <w:bCs/>
          <w:color w:val="auto"/>
          <w:szCs w:val="21"/>
        </w:rPr>
      </w:pPr>
      <w:bookmarkStart w:id="360" w:name="OLE_LINK19"/>
      <w:r>
        <w:rPr>
          <w:rFonts w:hint="eastAsia" w:hAnsi="宋体" w:cs="宋体"/>
          <w:bCs/>
          <w:color w:val="auto"/>
          <w:szCs w:val="21"/>
        </w:rPr>
        <w:t>（1）根据《广西壮族自治区财政厅关于持续优化政府采购营商环境推动高质量发展的通知》（桂财采〔2024〕55号），凡符合《政府采购促进中小企业发展管理办法》（财库〔2020〕46号）规定条件且按该办法中规定的格式提供了填写完整的《中小企业声明函》的小型和微型企业，对其最后报价给予20%的扣除，扣除后的价格为评审报价，即供应商的评审报价=最后报价 ×（1-20%）</w:t>
      </w:r>
      <w:r>
        <w:rPr>
          <w:rFonts w:hint="eastAsia" w:hAnsi="宋体" w:cs="宋体"/>
          <w:bCs/>
          <w:color w:val="auto"/>
          <w:szCs w:val="21"/>
          <w:lang w:eastAsia="zh-CN"/>
        </w:rPr>
        <w:t>。</w:t>
      </w:r>
      <w:r>
        <w:rPr>
          <w:rFonts w:hint="eastAsia" w:hAnsi="宋体" w:cs="宋体"/>
          <w:bCs/>
          <w:color w:val="auto"/>
          <w:szCs w:val="21"/>
        </w:rPr>
        <w:t xml:space="preserve"> </w:t>
      </w:r>
    </w:p>
    <w:p w14:paraId="4D286FDE">
      <w:pPr>
        <w:spacing w:line="360" w:lineRule="exact"/>
        <w:ind w:firstLine="420" w:firstLineChars="200"/>
        <w:rPr>
          <w:rFonts w:hint="eastAsia" w:hAnsi="宋体" w:cs="宋体"/>
          <w:bCs/>
          <w:color w:val="auto"/>
          <w:szCs w:val="21"/>
        </w:rPr>
      </w:pPr>
      <w:r>
        <w:rPr>
          <w:rFonts w:hint="eastAsia" w:hAnsi="宋体" w:cs="宋体"/>
          <w:bCs/>
          <w:color w:val="auto"/>
          <w:szCs w:val="21"/>
        </w:rPr>
        <w:t xml:space="preserve">（2）根据《关于政府采购支持监狱企业发展有关问题的通知》（财库〔2014〕68 号）和《关于促进残疾 </w:t>
      </w:r>
    </w:p>
    <w:p w14:paraId="61EE9E9D">
      <w:pPr>
        <w:spacing w:line="360" w:lineRule="exact"/>
        <w:rPr>
          <w:rFonts w:hint="eastAsia" w:hAnsi="宋体" w:cs="宋体"/>
          <w:bCs/>
          <w:color w:val="auto"/>
          <w:szCs w:val="21"/>
        </w:rPr>
      </w:pPr>
      <w:r>
        <w:rPr>
          <w:rFonts w:hint="eastAsia" w:hAnsi="宋体" w:cs="宋体"/>
          <w:bCs/>
          <w:color w:val="auto"/>
          <w:szCs w:val="21"/>
        </w:rPr>
        <w:t xml:space="preserve">人就业政府采购政策的通知》（财库〔2017〕141 号），监狱企业和符合条件的残疾人福利性单位视同小型、 微型企业，享受小型、微型企业评审中价格扣除的政府采购政策。残疾人福利性单位属于小型、微型企业的， 不重复享受政策。 </w:t>
      </w:r>
    </w:p>
    <w:p w14:paraId="665010AD">
      <w:pPr>
        <w:spacing w:line="360" w:lineRule="exact"/>
        <w:ind w:firstLine="420" w:firstLineChars="200"/>
        <w:rPr>
          <w:rFonts w:hint="eastAsia" w:hAnsi="宋体" w:cs="宋体"/>
          <w:bCs/>
          <w:color w:val="auto"/>
          <w:szCs w:val="21"/>
          <w:lang w:eastAsia="zh-CN"/>
        </w:rPr>
      </w:pPr>
      <w:r>
        <w:rPr>
          <w:rFonts w:hint="eastAsia" w:hAnsi="宋体" w:cs="宋体"/>
          <w:b/>
          <w:bCs w:val="0"/>
          <w:color w:val="auto"/>
          <w:szCs w:val="21"/>
        </w:rPr>
        <w:t>注：①除上述情况外，评审报价=最后报价</w:t>
      </w:r>
      <w:r>
        <w:rPr>
          <w:rFonts w:hint="eastAsia" w:hAnsi="宋体" w:cs="宋体"/>
          <w:b/>
          <w:bCs w:val="0"/>
          <w:color w:val="auto"/>
          <w:szCs w:val="21"/>
          <w:lang w:eastAsia="zh-CN"/>
        </w:rPr>
        <w:t>。</w:t>
      </w:r>
    </w:p>
    <w:p w14:paraId="1887CB36">
      <w:pPr>
        <w:spacing w:line="360" w:lineRule="exact"/>
        <w:ind w:firstLine="420" w:firstLineChars="200"/>
        <w:rPr>
          <w:rFonts w:hint="eastAsia" w:hAnsi="宋体" w:cs="宋体"/>
          <w:b/>
          <w:bCs w:val="0"/>
          <w:color w:val="auto"/>
          <w:szCs w:val="21"/>
        </w:rPr>
      </w:pPr>
      <w:r>
        <w:rPr>
          <w:rFonts w:hint="eastAsia" w:hAnsi="宋体" w:cs="宋体"/>
          <w:b/>
          <w:bCs w:val="0"/>
          <w:color w:val="auto"/>
          <w:szCs w:val="21"/>
        </w:rPr>
        <w:t xml:space="preserve">②评审报价为供应商的最后报价进行政策性扣除后的价格，评审报价只是作为评标时使用。最终成交人的成交金额＝最后报价。 </w:t>
      </w:r>
    </w:p>
    <w:p w14:paraId="2CAFBEEB">
      <w:pPr>
        <w:spacing w:line="360" w:lineRule="exact"/>
        <w:ind w:firstLine="420" w:firstLineChars="200"/>
        <w:rPr>
          <w:rFonts w:hint="eastAsia" w:hAnsi="宋体" w:cs="宋体"/>
          <w:bCs/>
          <w:color w:val="auto"/>
          <w:szCs w:val="21"/>
        </w:rPr>
      </w:pPr>
      <w:r>
        <w:rPr>
          <w:rFonts w:hint="eastAsia" w:ascii="宋体" w:hAnsi="宋体" w:eastAsia="宋体" w:cs="宋体"/>
          <w:b/>
          <w:bCs w:val="0"/>
          <w:color w:val="auto"/>
          <w:szCs w:val="21"/>
        </w:rPr>
        <w:t>③</w:t>
      </w:r>
      <w:r>
        <w:rPr>
          <w:rFonts w:hint="eastAsia" w:hAnsi="宋体" w:cs="宋体"/>
          <w:b/>
          <w:bCs w:val="0"/>
          <w:color w:val="auto"/>
          <w:szCs w:val="21"/>
        </w:rPr>
        <w:t>中小微型企业划分标准按照《国家统计局关于印发〈统计上大中小微型企业划分办法〉〔2017〕的通知》（国统字〔2017〕213号）执行，具体划分标准见附表《统计上大中小微型企业划分标准》。</w:t>
      </w:r>
    </w:p>
    <w:p w14:paraId="6A893F74">
      <w:pPr>
        <w:spacing w:line="400" w:lineRule="exact"/>
        <w:ind w:firstLine="420" w:firstLineChars="200"/>
        <w:rPr>
          <w:rFonts w:hint="eastAsia" w:hAnsi="宋体" w:cs="宋体"/>
          <w:bCs/>
          <w:color w:val="auto"/>
          <w:szCs w:val="21"/>
        </w:rPr>
      </w:pPr>
      <w:r>
        <w:rPr>
          <w:rFonts w:hint="eastAsia" w:hAnsi="宋体" w:cs="宋体"/>
          <w:bCs/>
          <w:color w:val="auto"/>
          <w:szCs w:val="21"/>
        </w:rPr>
        <w:t>（3）以进入综合评分环节的最低的评审报价为基准价，基准价报价得分为</w:t>
      </w:r>
      <w:r>
        <w:rPr>
          <w:rFonts w:hint="eastAsia" w:hAnsi="宋体" w:cs="宋体"/>
          <w:bCs/>
          <w:color w:val="auto"/>
          <w:szCs w:val="21"/>
          <w:lang w:val="en-US" w:eastAsia="zh-CN"/>
        </w:rPr>
        <w:t>10</w:t>
      </w:r>
      <w:r>
        <w:rPr>
          <w:rFonts w:hint="eastAsia" w:hAnsi="宋体" w:cs="宋体"/>
          <w:bCs/>
          <w:color w:val="auto"/>
          <w:szCs w:val="21"/>
        </w:rPr>
        <w:t xml:space="preserve">分。 </w:t>
      </w:r>
    </w:p>
    <w:p w14:paraId="76DE0903">
      <w:pPr>
        <w:spacing w:line="400" w:lineRule="exact"/>
        <w:ind w:firstLine="420" w:firstLineChars="200"/>
        <w:rPr>
          <w:rFonts w:hint="eastAsia" w:hAnsi="宋体" w:cs="宋体"/>
          <w:b/>
          <w:color w:val="auto"/>
          <w:szCs w:val="21"/>
        </w:rPr>
      </w:pPr>
      <w:r>
        <w:rPr>
          <w:rFonts w:hint="eastAsia" w:hAnsi="宋体" w:cs="宋体"/>
          <w:bCs/>
          <w:color w:val="auto"/>
          <w:szCs w:val="21"/>
        </w:rPr>
        <w:t>（4）供应商磋商报价得分=（磋商基准价/供应商的评审报价）×</w:t>
      </w:r>
      <w:r>
        <w:rPr>
          <w:rFonts w:hint="eastAsia" w:hAnsi="宋体" w:cs="宋体"/>
          <w:bCs/>
          <w:color w:val="auto"/>
          <w:szCs w:val="21"/>
          <w:lang w:val="en-US" w:eastAsia="zh-CN"/>
        </w:rPr>
        <w:t>10</w:t>
      </w:r>
      <w:r>
        <w:rPr>
          <w:rFonts w:hint="eastAsia" w:hAnsi="宋体" w:cs="宋体"/>
          <w:bCs/>
          <w:color w:val="auto"/>
          <w:szCs w:val="21"/>
        </w:rPr>
        <w:t>分。</w:t>
      </w:r>
    </w:p>
    <w:bookmarkEnd w:id="360"/>
    <w:p w14:paraId="4CA633D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2、技术分……………………………………………………………………………</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34</w:t>
      </w:r>
      <w:r>
        <w:rPr>
          <w:rFonts w:hint="eastAsia" w:ascii="宋体" w:hAnsi="宋体" w:eastAsia="宋体" w:cs="宋体"/>
          <w:b/>
          <w:bCs/>
          <w:color w:val="auto"/>
          <w:sz w:val="21"/>
          <w:szCs w:val="21"/>
          <w:highlight w:val="none"/>
          <w:lang w:val="en-US" w:eastAsia="zh-CN"/>
        </w:rPr>
        <w:t>分</w:t>
      </w:r>
    </w:p>
    <w:p w14:paraId="632CB2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标注“▲”号的技术参数内容满足采购文件要求，并提供以下证明材料：第三方检测机构出具的带（CMA或CNAS）标识的检测报告扫描，或者官网相关功能页面截图（提供完整网页网址），或者产品功能截图，并加盖竞标人电子签章，满足一项得2分，满分</w:t>
      </w:r>
      <w:r>
        <w:rPr>
          <w:rFonts w:hint="eastAsia" w:hAnsi="宋体" w:cs="宋体"/>
          <w:bCs/>
          <w:szCs w:val="21"/>
          <w:lang w:val="en-US" w:eastAsia="zh-CN"/>
        </w:rPr>
        <w:t>3</w:t>
      </w:r>
      <w:r>
        <w:rPr>
          <w:rFonts w:hint="eastAsia" w:ascii="Times New Roman" w:hAnsi="宋体" w:eastAsia="宋体" w:cs="宋体"/>
          <w:bCs/>
          <w:szCs w:val="21"/>
          <w:lang w:val="en-US" w:eastAsia="zh-CN"/>
        </w:rPr>
        <w:t>4分。</w:t>
      </w:r>
    </w:p>
    <w:p w14:paraId="53131755">
      <w:pPr>
        <w:spacing w:before="0" w:after="0" w:line="400" w:lineRule="exact"/>
        <w:ind w:left="0" w:right="0" w:firstLine="0"/>
        <w:jc w:val="left"/>
        <w:outlineLvl w:val="9"/>
        <w:rPr>
          <w:rFonts w:hint="eastAsia" w:ascii="宋体" w:hAnsi="宋体" w:eastAsia="宋体" w:cs="宋体"/>
          <w:b/>
          <w:bCs/>
          <w:color w:val="000000" w:themeColor="text1"/>
          <w:spacing w:val="0"/>
          <w:position w:val="0"/>
          <w:sz w:val="21"/>
          <w:szCs w:val="21"/>
          <w:shd w:val="clear"/>
          <w:lang w:val="en-US" w:eastAsia="zh-CN"/>
          <w14:textFill>
            <w14:solidFill>
              <w14:schemeClr w14:val="tx1"/>
            </w14:solidFill>
          </w14:textFill>
        </w:rPr>
      </w:pPr>
      <w:r>
        <w:rPr>
          <w:rFonts w:hint="eastAsia" w:ascii="宋体" w:hAnsi="宋体" w:cs="宋体"/>
          <w:b/>
          <w:bCs/>
          <w:color w:val="000000" w:themeColor="text1"/>
          <w:spacing w:val="0"/>
          <w:position w:val="0"/>
          <w:sz w:val="21"/>
          <w:szCs w:val="21"/>
          <w:shd w:val="clear"/>
          <w:lang w:val="en-US" w:eastAsia="zh-CN"/>
          <w14:textFill>
            <w14:solidFill>
              <w14:schemeClr w14:val="tx1"/>
            </w14:solidFill>
          </w14:textFill>
        </w:rPr>
        <w:t>3</w:t>
      </w:r>
      <w:r>
        <w:rPr>
          <w:rFonts w:hint="eastAsia" w:ascii="宋体" w:hAnsi="宋体" w:eastAsia="宋体" w:cs="宋体"/>
          <w:b/>
          <w:bCs/>
          <w:color w:val="000000" w:themeColor="text1"/>
          <w:spacing w:val="0"/>
          <w:position w:val="0"/>
          <w:sz w:val="21"/>
          <w:szCs w:val="21"/>
          <w:shd w:val="clear"/>
          <w:lang w:val="en-US" w:eastAsia="zh-CN"/>
          <w14:textFill>
            <w14:solidFill>
              <w14:schemeClr w14:val="tx1"/>
            </w14:solidFill>
          </w14:textFill>
        </w:rPr>
        <w:t>、技术服务方案分</w:t>
      </w:r>
      <w:r>
        <w:rPr>
          <w:rFonts w:hint="eastAsia" w:ascii="宋体" w:hAnsi="宋体" w:eastAsia="宋体" w:cs="宋体"/>
          <w:b/>
          <w:bCs/>
          <w:color w:val="000000" w:themeColor="text1"/>
          <w:spacing w:val="0"/>
          <w:position w:val="0"/>
          <w:sz w:val="21"/>
          <w:szCs w:val="21"/>
          <w:shd w:val="clear"/>
          <w:lang w:eastAsia="zh-CN"/>
          <w14:textFill>
            <w14:solidFill>
              <w14:schemeClr w14:val="tx1"/>
            </w14:solidFill>
          </w14:textFill>
        </w:rPr>
        <w:t>………………………………………………………………………………………………</w:t>
      </w:r>
      <w:r>
        <w:rPr>
          <w:rFonts w:hint="eastAsia" w:ascii="宋体" w:hAnsi="宋体" w:cs="宋体"/>
          <w:b/>
          <w:bCs/>
          <w:color w:val="000000" w:themeColor="text1"/>
          <w:spacing w:val="0"/>
          <w:position w:val="0"/>
          <w:sz w:val="21"/>
          <w:szCs w:val="21"/>
          <w:shd w:val="clear"/>
          <w:lang w:val="en-US" w:eastAsia="zh-CN"/>
          <w14:textFill>
            <w14:solidFill>
              <w14:schemeClr w14:val="tx1"/>
            </w14:solidFill>
          </w14:textFill>
        </w:rPr>
        <w:t>3</w:t>
      </w:r>
      <w:r>
        <w:rPr>
          <w:rFonts w:hint="eastAsia" w:ascii="宋体" w:hAnsi="宋体" w:eastAsia="宋体" w:cs="宋体"/>
          <w:b/>
          <w:bCs/>
          <w:color w:val="000000" w:themeColor="text1"/>
          <w:spacing w:val="0"/>
          <w:position w:val="0"/>
          <w:sz w:val="21"/>
          <w:szCs w:val="21"/>
          <w:shd w:val="clear"/>
          <w:lang w:val="en-US" w:eastAsia="zh-CN"/>
          <w14:textFill>
            <w14:solidFill>
              <w14:schemeClr w14:val="tx1"/>
            </w14:solidFill>
          </w14:textFill>
        </w:rPr>
        <w:t>8分</w:t>
      </w:r>
    </w:p>
    <w:p w14:paraId="1AD64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
          <w:bCs w:val="0"/>
          <w:szCs w:val="21"/>
          <w:lang w:val="en-US" w:eastAsia="zh-CN"/>
        </w:rPr>
      </w:pPr>
      <w:r>
        <w:rPr>
          <w:rFonts w:hint="eastAsia" w:ascii="Times New Roman" w:hAnsi="宋体" w:eastAsia="宋体" w:cs="宋体"/>
          <w:b/>
          <w:bCs w:val="0"/>
          <w:szCs w:val="21"/>
          <w:lang w:val="en-US" w:eastAsia="zh-CN"/>
        </w:rPr>
        <w:t>（1）项目实施方案（满分10分）</w:t>
      </w:r>
    </w:p>
    <w:p w14:paraId="4ECC14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项目实施方案至少包括①需求分析（含网络拓扑）、②核心交换机截图或照片和性能功能、③出口路由器截图或照片和性能功能、④出口防火墙截图或照片和性能功能、⑤上网行为管理照性能功能、⑥运维管理平台性能功能、⑦安全网关性能功能、⑧机房环境描述及照片。</w:t>
      </w:r>
    </w:p>
    <w:p w14:paraId="47CA96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一档（0分）：未提供或者缺项在2项（含）以上</w:t>
      </w:r>
    </w:p>
    <w:p w14:paraId="17361A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 xml:space="preserve">二档（3分）：内容齐全不缺项，描述简单，服务设备（①--⑧项）功能截图在10项以下，对采购项目需求理解片面、分析不够透彻、建设思路不够清晰、整体架构不够完整、技术架构不够合理，系统功能描述不够完整； </w:t>
      </w:r>
    </w:p>
    <w:p w14:paraId="726B58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三档（6分）：内容齐全，描述详细，服务设备（①--⑧项）功能截图在11项-15项，对采购项目需求理解基本全面、分析基本透彻、建设思路基本清晰、整体架构基本完整、技术架构基本合理，有系统功能描述；</w:t>
      </w:r>
    </w:p>
    <w:p w14:paraId="2E8B4F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 xml:space="preserve">四档（10分）：内容齐全，描述详细，服务设备（①--⑧项）功能截图在15项以上，对采购项目需求理解全面、分析透彻、建设思路清晰、整体架构完整、技术架构合理，具有详细的系统功能描述及实施计划等。  </w:t>
      </w:r>
    </w:p>
    <w:p w14:paraId="3842CA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
          <w:bCs w:val="0"/>
          <w:szCs w:val="21"/>
          <w:lang w:val="en-US" w:eastAsia="zh-CN"/>
        </w:rPr>
      </w:pPr>
      <w:r>
        <w:rPr>
          <w:rFonts w:hint="eastAsia" w:ascii="Times New Roman" w:hAnsi="宋体" w:eastAsia="宋体" w:cs="宋体"/>
          <w:b/>
          <w:bCs w:val="0"/>
          <w:szCs w:val="21"/>
          <w:lang w:val="en-US" w:eastAsia="zh-CN"/>
        </w:rPr>
        <w:t>（2）服务方案分（满分12分）</w:t>
      </w:r>
    </w:p>
    <w:p w14:paraId="3B40DF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服务方案内容包括①服务内容、②服务人员配备及职责、③服务人员技术素质、④服务设备配备、⑤服务响应时间、⑥服务管理制度、⑦服务考核办法、⑧服务记录</w:t>
      </w:r>
    </w:p>
    <w:p w14:paraId="0AAAE8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一档（0分）：未提供或者缺项在6项（含）以上。</w:t>
      </w:r>
    </w:p>
    <w:p w14:paraId="427FE5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二档（3分）：所提供的服务方案内容缺项不超过5项（含），提供有运行维护服务内容、服务方式、人员安排等，服务内容简单,能提供故障申告途径及绿色通道；投入不少于1人的服务维护专员。</w:t>
      </w:r>
    </w:p>
    <w:p w14:paraId="1F9522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三档（6分）：所提供的服务方案内容缺项不超过3项（含），提供有运行维护服务内容、服务方式、人员安排等，能提供故障申告途径及绿色通道；投入不少于2人的服务维护专员，且其中有1人具有中级工程师（或以上）职称，投标文件中提供职称证书扫描件。</w:t>
      </w:r>
    </w:p>
    <w:p w14:paraId="7B3BE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四档（9分）：所提供的服务方案内容齐全，提供有服务组织等，有运行维护服务内容、服务方式、人员安排等内容，能满足项目的实际需求；有简单的处理方案描述；投入不少于3人的服务维护专员，且其中有1名及以上具备中级工程师（或以上）职称，投标文件中提供职称证书扫描件。</w:t>
      </w:r>
    </w:p>
    <w:p w14:paraId="0F134F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五档（12分）：所提供的服务方案内容齐全。内容提供有服务组织、故障处理流程等，有详细具体的处理方案描述；有详细具体的运行维护记录档案制度；提供3种故障申告途径及绿色通道；具有齐全的运行维护服务机构和不少于10人的服务维护专员，且其中有4名及以上具备中级工程师（或以上）职称，投标文件中提供职称证书扫描件。</w:t>
      </w:r>
    </w:p>
    <w:p w14:paraId="41DA63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hAnsi="宋体" w:cs="宋体"/>
          <w:b/>
          <w:bCs w:val="0"/>
          <w:szCs w:val="21"/>
          <w:lang w:val="en-US" w:eastAsia="zh-CN"/>
        </w:rPr>
        <w:t>（3）</w:t>
      </w:r>
      <w:r>
        <w:rPr>
          <w:rFonts w:hint="eastAsia" w:ascii="Times New Roman" w:hAnsi="宋体" w:eastAsia="宋体" w:cs="宋体"/>
          <w:b/>
          <w:bCs w:val="0"/>
          <w:szCs w:val="21"/>
          <w:lang w:val="en-US" w:eastAsia="zh-CN"/>
        </w:rPr>
        <w:t>培训方案分（满分8分）</w:t>
      </w:r>
    </w:p>
    <w:p w14:paraId="66B724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培训方案内容包括①培训目的、②培训计划、③培训对象、④培训内容、⑤培训教材、⑥培训老师、⑦培训时间、⑧培训记录、⑨培训考核</w:t>
      </w:r>
    </w:p>
    <w:p w14:paraId="4A007A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一档（0分）：未提供或者缺项在2项（含）以上</w:t>
      </w:r>
    </w:p>
    <w:p w14:paraId="569893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二档（3分）：内容齐全，描述较简单，对应培训内容的时长在8学时内，培训老师为1人。</w:t>
      </w:r>
    </w:p>
    <w:p w14:paraId="354D6D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三档（6分）：内容齐全，描述较详细，对应培训内容的时长在16学时以上，培训老师为2人。</w:t>
      </w:r>
    </w:p>
    <w:p w14:paraId="6DDCC5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四档（8分）：内容齐全，描述详细；对应培训内容的时长在20学时以上，投入不少于3人的培训老师，且其中有1名及以上具备中级工程师（或以上）职称，投标文件中提供职称证书扫描件。</w:t>
      </w:r>
    </w:p>
    <w:p w14:paraId="243943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hAnsi="宋体" w:cs="宋体"/>
          <w:b/>
          <w:bCs w:val="0"/>
          <w:szCs w:val="21"/>
          <w:lang w:val="en-US" w:eastAsia="zh-CN"/>
        </w:rPr>
        <w:t>（4）</w:t>
      </w:r>
      <w:r>
        <w:rPr>
          <w:rFonts w:hint="eastAsia" w:ascii="Times New Roman" w:hAnsi="宋体" w:eastAsia="宋体" w:cs="宋体"/>
          <w:b/>
          <w:bCs w:val="0"/>
          <w:szCs w:val="21"/>
          <w:lang w:val="en-US" w:eastAsia="zh-CN"/>
        </w:rPr>
        <w:t>应急方案分（满分8分）</w:t>
      </w:r>
    </w:p>
    <w:p w14:paraId="547812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应急方案内容包括①故障出现的应急预案、②可能出现的应急事件分析（如线路故障、设备故障、网络攻击、自然灾害等）、③各种应急事件事件承诺、④重大活动应急保障方案、⑤应急人员配备</w:t>
      </w:r>
    </w:p>
    <w:p w14:paraId="73EAE2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一档（0分）：未提供应急方案或提供的应急方案缺项</w:t>
      </w:r>
    </w:p>
    <w:p w14:paraId="125D1F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二档（3分）：内容齐全，提供简单的应急方案，应急响应时间超3小时，投入应急处理人员在2人以内；</w:t>
      </w:r>
    </w:p>
    <w:p w14:paraId="51EEFF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三档（6分）：内容齐全，提供简单的应急方案描述较详细，应急响应时间2小时以内，投入应急处理人员在4人以内；</w:t>
      </w:r>
    </w:p>
    <w:p w14:paraId="404C0F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四档（8分）：应急预案内容全面，应急处置流程、措施基本完善、具体；对应措施能满足采购需求，投标人承诺发生突发情况后，应急响应时间1小时以内，投入应急处理人员在6人以内，其中至少有2人具有高级工程师职称，投标文件提供职称证书扫描件。</w:t>
      </w:r>
    </w:p>
    <w:p w14:paraId="53EB63D1">
      <w:pPr>
        <w:spacing w:before="0" w:after="0" w:line="400" w:lineRule="exact"/>
        <w:ind w:left="0" w:right="0" w:firstLine="0"/>
        <w:jc w:val="left"/>
        <w:outlineLvl w:val="9"/>
        <w:rPr>
          <w:rFonts w:hint="eastAsia" w:ascii="宋体" w:hAnsi="宋体" w:eastAsia="宋体" w:cs="宋体"/>
          <w:b/>
          <w:bCs/>
          <w:color w:val="000000" w:themeColor="text1"/>
          <w:spacing w:val="0"/>
          <w:position w:val="0"/>
          <w:sz w:val="21"/>
          <w:szCs w:val="21"/>
          <w:shd w:val="clear"/>
          <w:lang w:val="en-US" w:eastAsia="zh-CN"/>
          <w14:textFill>
            <w14:solidFill>
              <w14:schemeClr w14:val="tx1"/>
            </w14:solidFill>
          </w14:textFill>
        </w:rPr>
      </w:pPr>
      <w:r>
        <w:rPr>
          <w:rFonts w:hint="eastAsia" w:ascii="宋体" w:hAnsi="宋体" w:cs="宋体"/>
          <w:b/>
          <w:bCs/>
          <w:color w:val="000000" w:themeColor="text1"/>
          <w:spacing w:val="0"/>
          <w:position w:val="0"/>
          <w:sz w:val="21"/>
          <w:szCs w:val="21"/>
          <w:shd w:val="clear"/>
          <w:lang w:val="en-US" w:eastAsia="zh-CN"/>
          <w14:textFill>
            <w14:solidFill>
              <w14:schemeClr w14:val="tx1"/>
            </w14:solidFill>
          </w14:textFill>
        </w:rPr>
        <w:t>4</w:t>
      </w:r>
      <w:r>
        <w:rPr>
          <w:rFonts w:hint="eastAsia" w:ascii="宋体" w:hAnsi="宋体" w:eastAsia="宋体" w:cs="宋体"/>
          <w:b/>
          <w:bCs/>
          <w:color w:val="000000" w:themeColor="text1"/>
          <w:spacing w:val="0"/>
          <w:position w:val="0"/>
          <w:sz w:val="21"/>
          <w:szCs w:val="21"/>
          <w:shd w:val="clear"/>
          <w:lang w:val="en-US" w:eastAsia="zh-CN"/>
          <w14:textFill>
            <w14:solidFill>
              <w14:schemeClr w14:val="tx1"/>
            </w14:solidFill>
          </w14:textFill>
        </w:rPr>
        <w:t>、履约能力分……………………………………………………………………………………………………1</w:t>
      </w:r>
      <w:r>
        <w:rPr>
          <w:rFonts w:hint="eastAsia" w:ascii="宋体" w:hAnsi="宋体" w:cs="宋体"/>
          <w:b/>
          <w:bCs/>
          <w:color w:val="000000" w:themeColor="text1"/>
          <w:spacing w:val="0"/>
          <w:position w:val="0"/>
          <w:sz w:val="21"/>
          <w:szCs w:val="21"/>
          <w:shd w:val="clear"/>
          <w:lang w:val="en-US" w:eastAsia="zh-CN"/>
          <w14:textFill>
            <w14:solidFill>
              <w14:schemeClr w14:val="tx1"/>
            </w14:solidFill>
          </w14:textFill>
        </w:rPr>
        <w:t>8</w:t>
      </w:r>
      <w:r>
        <w:rPr>
          <w:rFonts w:hint="eastAsia" w:ascii="宋体" w:hAnsi="宋体" w:eastAsia="宋体" w:cs="宋体"/>
          <w:b/>
          <w:bCs/>
          <w:color w:val="000000" w:themeColor="text1"/>
          <w:spacing w:val="0"/>
          <w:position w:val="0"/>
          <w:sz w:val="21"/>
          <w:szCs w:val="21"/>
          <w:shd w:val="clear"/>
          <w:lang w:val="en-US" w:eastAsia="zh-CN"/>
          <w14:textFill>
            <w14:solidFill>
              <w14:schemeClr w14:val="tx1"/>
            </w14:solidFill>
          </w14:textFill>
        </w:rPr>
        <w:t>分</w:t>
      </w:r>
    </w:p>
    <w:p w14:paraId="5ED72157">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left"/>
        <w:textAlignment w:val="auto"/>
        <w:outlineLvl w:val="9"/>
        <w:rPr>
          <w:rFonts w:hint="eastAsia" w:ascii="宋体" w:hAnsi="宋体" w:eastAsia="宋体" w:cs="宋体"/>
          <w:b/>
          <w:bCs/>
          <w:color w:val="000000" w:themeColor="text1"/>
          <w:spacing w:val="0"/>
          <w:position w:val="0"/>
          <w:sz w:val="21"/>
          <w:szCs w:val="21"/>
          <w:shd w:val="clear"/>
          <w14:textFill>
            <w14:solidFill>
              <w14:schemeClr w14:val="tx1"/>
            </w14:solidFill>
          </w14:textFill>
        </w:rPr>
      </w:pPr>
      <w:r>
        <w:rPr>
          <w:rFonts w:hint="eastAsia" w:ascii="宋体" w:hAnsi="宋体" w:eastAsia="宋体" w:cs="宋体"/>
          <w:b/>
          <w:bCs/>
          <w:color w:val="000000" w:themeColor="text1"/>
          <w:spacing w:val="0"/>
          <w:position w:val="0"/>
          <w:sz w:val="21"/>
          <w:szCs w:val="21"/>
          <w:shd w:val="clear"/>
          <w:lang w:eastAsia="zh-CN"/>
          <w14:textFill>
            <w14:solidFill>
              <w14:schemeClr w14:val="tx1"/>
            </w14:solidFill>
          </w14:textFill>
        </w:rPr>
        <w:t>（</w:t>
      </w:r>
      <w:r>
        <w:rPr>
          <w:rFonts w:hint="eastAsia" w:ascii="宋体" w:hAnsi="宋体" w:eastAsia="宋体" w:cs="宋体"/>
          <w:b/>
          <w:bCs/>
          <w:color w:val="000000" w:themeColor="text1"/>
          <w:spacing w:val="0"/>
          <w:position w:val="0"/>
          <w:sz w:val="21"/>
          <w:szCs w:val="21"/>
          <w:shd w:val="clear"/>
          <w:lang w:val="en-US" w:eastAsia="zh-CN"/>
          <w14:textFill>
            <w14:solidFill>
              <w14:schemeClr w14:val="tx1"/>
            </w14:solidFill>
          </w14:textFill>
        </w:rPr>
        <w:t>1</w:t>
      </w:r>
      <w:r>
        <w:rPr>
          <w:rFonts w:hint="eastAsia" w:ascii="宋体" w:hAnsi="宋体" w:eastAsia="宋体" w:cs="宋体"/>
          <w:b/>
          <w:bCs/>
          <w:color w:val="000000" w:themeColor="text1"/>
          <w:spacing w:val="0"/>
          <w:position w:val="0"/>
          <w:sz w:val="21"/>
          <w:szCs w:val="21"/>
          <w:shd w:val="clear"/>
          <w:lang w:eastAsia="zh-CN"/>
          <w14:textFill>
            <w14:solidFill>
              <w14:schemeClr w14:val="tx1"/>
            </w14:solidFill>
          </w14:textFill>
        </w:rPr>
        <w:t>）体系认证</w:t>
      </w:r>
      <w:r>
        <w:rPr>
          <w:rFonts w:hint="eastAsia" w:ascii="宋体" w:hAnsi="宋体" w:cs="宋体"/>
          <w:b/>
          <w:bCs/>
          <w:color w:val="000000" w:themeColor="text1"/>
          <w:spacing w:val="0"/>
          <w:position w:val="0"/>
          <w:sz w:val="21"/>
          <w:szCs w:val="21"/>
          <w:shd w:val="clear"/>
          <w:lang w:eastAsia="zh-CN"/>
          <w14:textFill>
            <w14:solidFill>
              <w14:schemeClr w14:val="tx1"/>
            </w14:solidFill>
          </w14:textFill>
        </w:rPr>
        <w:t>分</w:t>
      </w:r>
      <w:r>
        <w:rPr>
          <w:rFonts w:hint="eastAsia" w:ascii="宋体" w:hAnsi="宋体" w:eastAsia="宋体" w:cs="宋体"/>
          <w:b/>
          <w:bCs/>
          <w:color w:val="000000" w:themeColor="text1"/>
          <w:spacing w:val="0"/>
          <w:position w:val="0"/>
          <w:sz w:val="21"/>
          <w:szCs w:val="21"/>
          <w:shd w:val="clear"/>
          <w:lang w:eastAsia="zh-CN"/>
          <w14:textFill>
            <w14:solidFill>
              <w14:schemeClr w14:val="tx1"/>
            </w14:solidFill>
          </w14:textFill>
        </w:rPr>
        <w:t>（</w:t>
      </w:r>
      <w:r>
        <w:rPr>
          <w:rFonts w:hint="eastAsia" w:ascii="宋体" w:hAnsi="宋体" w:cs="宋体"/>
          <w:b/>
          <w:bCs/>
          <w:color w:val="000000" w:themeColor="text1"/>
          <w:spacing w:val="0"/>
          <w:position w:val="0"/>
          <w:sz w:val="21"/>
          <w:szCs w:val="21"/>
          <w:shd w:val="clear"/>
          <w:lang w:val="en-US" w:eastAsia="zh-CN"/>
          <w14:textFill>
            <w14:solidFill>
              <w14:schemeClr w14:val="tx1"/>
            </w14:solidFill>
          </w14:textFill>
        </w:rPr>
        <w:t>9</w:t>
      </w:r>
      <w:r>
        <w:rPr>
          <w:rFonts w:hint="eastAsia" w:ascii="宋体" w:hAnsi="宋体" w:eastAsia="宋体" w:cs="宋体"/>
          <w:b/>
          <w:bCs/>
          <w:color w:val="000000" w:themeColor="text1"/>
          <w:spacing w:val="0"/>
          <w:position w:val="0"/>
          <w:sz w:val="21"/>
          <w:szCs w:val="21"/>
          <w:shd w:val="clear"/>
          <w:lang w:eastAsia="zh-CN"/>
          <w14:textFill>
            <w14:solidFill>
              <w14:schemeClr w14:val="tx1"/>
            </w14:solidFill>
          </w14:textFill>
        </w:rPr>
        <w:t>分)</w:t>
      </w:r>
    </w:p>
    <w:p w14:paraId="133EB9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bCs/>
          <w:szCs w:val="21"/>
          <w:lang w:val="en-US" w:eastAsia="zh-CN"/>
        </w:rPr>
      </w:pPr>
      <w:r>
        <w:rPr>
          <w:rFonts w:hint="eastAsia" w:ascii="Times New Roman" w:hAnsi="宋体" w:eastAsia="宋体" w:cs="宋体"/>
          <w:bCs/>
          <w:szCs w:val="21"/>
          <w:lang w:val="en-US" w:eastAsia="zh-CN"/>
        </w:rPr>
        <w:t>投标供应商或其上级单位具有在有效期内创新管理体系认证IS0 56002:2019、信息安全管理体系认证ISO/IEC 27001:2022、质量管理体系认证GB/T19001-2016/ISO 9001:2015，每个得3分，满分9分。</w:t>
      </w:r>
    </w:p>
    <w:p w14:paraId="0CA5B774">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left"/>
        <w:textAlignment w:val="auto"/>
        <w:outlineLvl w:val="9"/>
        <w:rPr>
          <w:rFonts w:hint="eastAsia" w:ascii="宋体" w:hAnsi="宋体" w:eastAsia="宋体" w:cs="宋体"/>
          <w:b/>
          <w:bCs/>
          <w:color w:val="000000" w:themeColor="text1"/>
          <w:spacing w:val="0"/>
          <w:position w:val="0"/>
          <w:sz w:val="21"/>
          <w:szCs w:val="21"/>
          <w:shd w:val="clear"/>
          <w:lang w:eastAsia="zh-CN"/>
          <w14:textFill>
            <w14:solidFill>
              <w14:schemeClr w14:val="tx1"/>
            </w14:solidFill>
          </w14:textFill>
        </w:rPr>
      </w:pPr>
      <w:r>
        <w:rPr>
          <w:rFonts w:hint="eastAsia" w:ascii="宋体" w:hAnsi="宋体" w:eastAsia="宋体" w:cs="宋体"/>
          <w:b/>
          <w:bCs/>
          <w:color w:val="000000" w:themeColor="text1"/>
          <w:spacing w:val="0"/>
          <w:position w:val="0"/>
          <w:sz w:val="21"/>
          <w:szCs w:val="21"/>
          <w:shd w:val="clear"/>
          <w:lang w:eastAsia="zh-CN"/>
          <w14:textFill>
            <w14:solidFill>
              <w14:schemeClr w14:val="tx1"/>
            </w14:solidFill>
          </w14:textFill>
        </w:rPr>
        <w:t>（</w:t>
      </w:r>
      <w:r>
        <w:rPr>
          <w:rFonts w:hint="eastAsia" w:ascii="宋体" w:hAnsi="宋体" w:eastAsia="宋体" w:cs="宋体"/>
          <w:b/>
          <w:bCs/>
          <w:color w:val="000000" w:themeColor="text1"/>
          <w:spacing w:val="0"/>
          <w:position w:val="0"/>
          <w:sz w:val="21"/>
          <w:szCs w:val="21"/>
          <w:shd w:val="clear"/>
          <w:lang w:val="en-US" w:eastAsia="zh-CN"/>
          <w14:textFill>
            <w14:solidFill>
              <w14:schemeClr w14:val="tx1"/>
            </w14:solidFill>
          </w14:textFill>
        </w:rPr>
        <w:t>2</w:t>
      </w:r>
      <w:r>
        <w:rPr>
          <w:rFonts w:hint="eastAsia" w:ascii="宋体" w:hAnsi="宋体" w:eastAsia="宋体" w:cs="宋体"/>
          <w:b/>
          <w:bCs/>
          <w:color w:val="000000" w:themeColor="text1"/>
          <w:spacing w:val="0"/>
          <w:position w:val="0"/>
          <w:sz w:val="21"/>
          <w:szCs w:val="21"/>
          <w:shd w:val="clear"/>
          <w:lang w:eastAsia="zh-CN"/>
          <w14:textFill>
            <w14:solidFill>
              <w14:schemeClr w14:val="tx1"/>
            </w14:solidFill>
          </w14:textFill>
        </w:rPr>
        <w:t>）业绩</w:t>
      </w:r>
      <w:r>
        <w:rPr>
          <w:rFonts w:hint="eastAsia" w:ascii="宋体" w:hAnsi="宋体" w:cs="宋体"/>
          <w:b/>
          <w:bCs/>
          <w:color w:val="000000" w:themeColor="text1"/>
          <w:spacing w:val="0"/>
          <w:position w:val="0"/>
          <w:sz w:val="21"/>
          <w:szCs w:val="21"/>
          <w:shd w:val="clear"/>
          <w:lang w:val="en-US" w:eastAsia="zh-CN"/>
          <w14:textFill>
            <w14:solidFill>
              <w14:schemeClr w14:val="tx1"/>
            </w14:solidFill>
          </w14:textFill>
        </w:rPr>
        <w:t>分</w:t>
      </w:r>
      <w:r>
        <w:rPr>
          <w:rFonts w:hint="eastAsia" w:ascii="宋体" w:hAnsi="宋体" w:eastAsia="宋体" w:cs="宋体"/>
          <w:b/>
          <w:bCs/>
          <w:color w:val="000000" w:themeColor="text1"/>
          <w:spacing w:val="0"/>
          <w:position w:val="0"/>
          <w:sz w:val="21"/>
          <w:szCs w:val="21"/>
          <w:shd w:val="clear"/>
          <w:lang w:eastAsia="zh-CN"/>
          <w14:textFill>
            <w14:solidFill>
              <w14:schemeClr w14:val="tx1"/>
            </w14:solidFill>
          </w14:textFill>
        </w:rPr>
        <w:t>（</w:t>
      </w:r>
      <w:r>
        <w:rPr>
          <w:rFonts w:hint="eastAsia" w:ascii="宋体" w:hAnsi="宋体" w:cs="宋体"/>
          <w:b/>
          <w:bCs/>
          <w:color w:val="000000" w:themeColor="text1"/>
          <w:spacing w:val="0"/>
          <w:position w:val="0"/>
          <w:sz w:val="21"/>
          <w:szCs w:val="21"/>
          <w:shd w:val="clear"/>
          <w:lang w:val="en-US" w:eastAsia="zh-CN"/>
          <w14:textFill>
            <w14:solidFill>
              <w14:schemeClr w14:val="tx1"/>
            </w14:solidFill>
          </w14:textFill>
        </w:rPr>
        <w:t>9</w:t>
      </w:r>
      <w:r>
        <w:rPr>
          <w:rFonts w:hint="eastAsia" w:ascii="宋体" w:hAnsi="宋体" w:eastAsia="宋体" w:cs="宋体"/>
          <w:b/>
          <w:bCs/>
          <w:color w:val="000000" w:themeColor="text1"/>
          <w:spacing w:val="0"/>
          <w:position w:val="0"/>
          <w:sz w:val="21"/>
          <w:szCs w:val="21"/>
          <w:shd w:val="clear"/>
          <w:lang w:val="en-US" w:eastAsia="zh-CN"/>
          <w14:textFill>
            <w14:solidFill>
              <w14:schemeClr w14:val="tx1"/>
            </w14:solidFill>
          </w14:textFill>
        </w:rPr>
        <w:t>分</w:t>
      </w:r>
      <w:r>
        <w:rPr>
          <w:rFonts w:hint="eastAsia" w:ascii="宋体" w:hAnsi="宋体" w:eastAsia="宋体" w:cs="宋体"/>
          <w:b/>
          <w:bCs/>
          <w:color w:val="000000" w:themeColor="text1"/>
          <w:spacing w:val="0"/>
          <w:position w:val="0"/>
          <w:sz w:val="21"/>
          <w:szCs w:val="21"/>
          <w:shd w:val="clear"/>
          <w:lang w:eastAsia="zh-CN"/>
          <w14:textFill>
            <w14:solidFill>
              <w14:schemeClr w14:val="tx1"/>
            </w14:solidFill>
          </w14:textFill>
        </w:rPr>
        <w:t>）</w:t>
      </w:r>
      <w:bookmarkStart w:id="499" w:name="_GoBack"/>
      <w:bookmarkEnd w:id="499"/>
    </w:p>
    <w:p w14:paraId="59DE0930">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left"/>
        <w:textAlignment w:val="auto"/>
        <w:outlineLvl w:val="9"/>
        <w:rPr>
          <w:rFonts w:hint="eastAsia" w:ascii="宋体" w:hAnsi="宋体" w:eastAsia="宋体" w:cs="宋体"/>
          <w:b/>
          <w:bCs/>
          <w:color w:val="000000" w:themeColor="text1"/>
          <w:spacing w:val="0"/>
          <w:position w:val="0"/>
          <w:sz w:val="21"/>
          <w:szCs w:val="21"/>
          <w:shd w:val="clear"/>
          <w14:textFill>
            <w14:solidFill>
              <w14:schemeClr w14:val="tx1"/>
            </w14:solidFill>
          </w14:textFill>
        </w:rPr>
      </w:pPr>
      <w:r>
        <w:rPr>
          <w:rFonts w:hint="eastAsia" w:ascii="宋体" w:hAnsi="宋体" w:cs="宋体"/>
          <w:b w:val="0"/>
          <w:bCs w:val="0"/>
          <w:color w:val="000000" w:themeColor="text1"/>
          <w:spacing w:val="0"/>
          <w:position w:val="0"/>
          <w:sz w:val="21"/>
          <w:szCs w:val="21"/>
          <w:shd w:val="clear"/>
          <w:lang w:val="en-US" w:eastAsia="zh-CN"/>
          <w14:textFill>
            <w14:solidFill>
              <w14:schemeClr w14:val="tx1"/>
            </w14:solidFill>
          </w14:textFill>
        </w:rPr>
        <w:t>投</w:t>
      </w:r>
      <w:r>
        <w:rPr>
          <w:rFonts w:hint="eastAsia" w:ascii="宋体" w:hAnsi="宋体" w:eastAsia="宋体" w:cs="宋体"/>
          <w:b w:val="0"/>
          <w:bCs w:val="0"/>
          <w:color w:val="000000" w:themeColor="text1"/>
          <w:spacing w:val="0"/>
          <w:position w:val="0"/>
          <w:sz w:val="21"/>
          <w:szCs w:val="21"/>
          <w:shd w:val="clear"/>
          <w:lang w:val="en-US" w:eastAsia="zh-CN"/>
          <w14:textFill>
            <w14:solidFill>
              <w14:schemeClr w14:val="tx1"/>
            </w14:solidFill>
          </w14:textFill>
        </w:rPr>
        <w:t>标人自2023年1月1日以来同类业绩的相关证明材料（以中标、成交通知书或签订的采购合同扫描件为准，并能清晰反映所提供的服务类型、种类、金额），否则将不予计分；同一个编号的项目有两个或两个以上的分标中标的只算一次]，每提供一项得</w:t>
      </w:r>
      <w:r>
        <w:rPr>
          <w:rFonts w:hint="eastAsia" w:ascii="宋体" w:hAnsi="宋体" w:cs="宋体"/>
          <w:b w:val="0"/>
          <w:bCs w:val="0"/>
          <w:color w:val="000000" w:themeColor="text1"/>
          <w:spacing w:val="0"/>
          <w:position w:val="0"/>
          <w:sz w:val="21"/>
          <w:szCs w:val="21"/>
          <w:shd w:val="clear"/>
          <w:lang w:val="en-US" w:eastAsia="zh-CN"/>
          <w14:textFill>
            <w14:solidFill>
              <w14:schemeClr w14:val="tx1"/>
            </w14:solidFill>
          </w14:textFill>
        </w:rPr>
        <w:t>3</w:t>
      </w:r>
      <w:r>
        <w:rPr>
          <w:rFonts w:hint="eastAsia" w:ascii="宋体" w:hAnsi="宋体" w:eastAsia="宋体" w:cs="宋体"/>
          <w:b w:val="0"/>
          <w:bCs w:val="0"/>
          <w:color w:val="000000" w:themeColor="text1"/>
          <w:spacing w:val="0"/>
          <w:position w:val="0"/>
          <w:sz w:val="21"/>
          <w:szCs w:val="21"/>
          <w:shd w:val="clear"/>
          <w:lang w:val="en-US" w:eastAsia="zh-CN"/>
          <w14:textFill>
            <w14:solidFill>
              <w14:schemeClr w14:val="tx1"/>
            </w14:solidFill>
          </w14:textFill>
        </w:rPr>
        <w:t>分，满分</w:t>
      </w:r>
      <w:r>
        <w:rPr>
          <w:rFonts w:hint="eastAsia" w:ascii="宋体" w:hAnsi="宋体" w:cs="宋体"/>
          <w:b w:val="0"/>
          <w:bCs w:val="0"/>
          <w:color w:val="000000" w:themeColor="text1"/>
          <w:spacing w:val="0"/>
          <w:position w:val="0"/>
          <w:sz w:val="21"/>
          <w:szCs w:val="21"/>
          <w:shd w:val="clear"/>
          <w:lang w:val="en-US" w:eastAsia="zh-CN"/>
          <w14:textFill>
            <w14:solidFill>
              <w14:schemeClr w14:val="tx1"/>
            </w14:solidFill>
          </w14:textFill>
        </w:rPr>
        <w:t>9</w:t>
      </w:r>
      <w:r>
        <w:rPr>
          <w:rFonts w:hint="eastAsia" w:ascii="宋体" w:hAnsi="宋体" w:eastAsia="宋体" w:cs="宋体"/>
          <w:b w:val="0"/>
          <w:bCs w:val="0"/>
          <w:color w:val="000000" w:themeColor="text1"/>
          <w:spacing w:val="0"/>
          <w:position w:val="0"/>
          <w:sz w:val="21"/>
          <w:szCs w:val="21"/>
          <w:shd w:val="clear"/>
          <w:lang w:val="en-US" w:eastAsia="zh-CN"/>
          <w14:textFill>
            <w14:solidFill>
              <w14:schemeClr w14:val="tx1"/>
            </w14:solidFill>
          </w14:textFill>
        </w:rPr>
        <w:t>分。</w:t>
      </w:r>
    </w:p>
    <w:p w14:paraId="6E0650F2">
      <w:pPr>
        <w:spacing w:before="0" w:after="0" w:line="400" w:lineRule="exact"/>
        <w:ind w:left="0" w:right="0" w:firstLine="0"/>
        <w:jc w:val="left"/>
        <w:outlineLvl w:val="9"/>
        <w:rPr>
          <w:rFonts w:hint="default" w:ascii="宋体" w:hAnsi="宋体" w:eastAsia="宋体" w:cs="宋体"/>
          <w:b/>
          <w:bCs/>
          <w:color w:val="000000" w:themeColor="text1"/>
          <w:spacing w:val="0"/>
          <w:position w:val="0"/>
          <w:sz w:val="21"/>
          <w:szCs w:val="21"/>
          <w:shd w:val="clear"/>
          <w:lang w:val="en-US" w:eastAsia="zh-CN"/>
          <w14:textFill>
            <w14:solidFill>
              <w14:schemeClr w14:val="tx1"/>
            </w14:solidFill>
          </w14:textFill>
        </w:rPr>
      </w:pPr>
      <w:r>
        <w:rPr>
          <w:rFonts w:hint="eastAsia" w:ascii="宋体" w:hAnsi="宋体" w:eastAsia="宋体" w:cs="宋体"/>
          <w:b/>
          <w:bCs/>
          <w:color w:val="000000" w:themeColor="text1"/>
          <w:spacing w:val="0"/>
          <w:position w:val="0"/>
          <w:sz w:val="21"/>
          <w:szCs w:val="21"/>
          <w:shd w:val="clear"/>
          <w14:textFill>
            <w14:solidFill>
              <w14:schemeClr w14:val="tx1"/>
            </w14:solidFill>
          </w14:textFill>
        </w:rPr>
        <w:t>5、综合得分＝1+2+3+4</w:t>
      </w:r>
    </w:p>
    <w:p w14:paraId="2174BE13">
      <w:pPr>
        <w:pStyle w:val="14"/>
        <w:tabs>
          <w:tab w:val="left" w:pos="4214"/>
        </w:tabs>
        <w:spacing w:line="440" w:lineRule="exact"/>
        <w:ind w:firstLine="420" w:firstLineChars="200"/>
        <w:rPr>
          <w:rFonts w:hint="eastAsia" w:hAnsi="宋体" w:cs="宋体"/>
          <w:b/>
          <w:color w:val="auto"/>
          <w:highlight w:val="none"/>
        </w:rPr>
      </w:pPr>
      <w:r>
        <w:rPr>
          <w:rFonts w:hint="eastAsia" w:hAnsi="宋体" w:cs="宋体"/>
          <w:b/>
          <w:color w:val="auto"/>
          <w:highlight w:val="none"/>
        </w:rPr>
        <w:t>三、推荐及确定成交候选供应商原则</w:t>
      </w:r>
    </w:p>
    <w:p w14:paraId="4BD40D13">
      <w:pPr>
        <w:pStyle w:val="14"/>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yellow"/>
        </w:rPr>
      </w:pPr>
      <w:r>
        <w:rPr>
          <w:rFonts w:hint="eastAsia" w:hAnsi="宋体" w:cs="宋体"/>
          <w:color w:val="auto"/>
          <w:szCs w:val="21"/>
          <w:highlight w:val="none"/>
        </w:rPr>
        <w:t>（1）磋商小组应当</w:t>
      </w:r>
      <w:r>
        <w:rPr>
          <w:rFonts w:hint="eastAsia" w:ascii="宋体" w:hAnsi="宋体" w:eastAsia="宋体" w:cs="宋体"/>
          <w:color w:val="000000"/>
          <w:szCs w:val="21"/>
        </w:rPr>
        <w:t>根据综合得分由高到低排列次序，若得分相同时，按</w:t>
      </w:r>
      <w:r>
        <w:rPr>
          <w:rFonts w:hint="eastAsia" w:ascii="宋体" w:hAnsi="宋体" w:eastAsia="宋体" w:cs="宋体"/>
          <w:color w:val="000000"/>
          <w:szCs w:val="21"/>
          <w:lang w:eastAsia="zh-CN"/>
        </w:rPr>
        <w:t>评审价</w:t>
      </w:r>
      <w:r>
        <w:rPr>
          <w:rFonts w:hint="eastAsia" w:ascii="宋体" w:hAnsi="宋体" w:eastAsia="宋体" w:cs="宋体"/>
          <w:color w:val="000000"/>
          <w:szCs w:val="21"/>
        </w:rPr>
        <w:t>由低到高顺序排列；得分相同且</w:t>
      </w:r>
      <w:r>
        <w:rPr>
          <w:rFonts w:hint="eastAsia" w:ascii="宋体" w:hAnsi="宋体" w:eastAsia="宋体" w:cs="宋体"/>
          <w:color w:val="000000"/>
          <w:szCs w:val="21"/>
          <w:lang w:eastAsia="zh-CN"/>
        </w:rPr>
        <w:t>评审价</w:t>
      </w:r>
      <w:r>
        <w:rPr>
          <w:rFonts w:hint="eastAsia" w:ascii="宋体" w:hAnsi="宋体" w:eastAsia="宋体" w:cs="宋体"/>
          <w:color w:val="000000"/>
          <w:szCs w:val="21"/>
        </w:rPr>
        <w:t>也相同的由</w:t>
      </w:r>
      <w:r>
        <w:rPr>
          <w:rFonts w:hint="eastAsia" w:hAnsi="宋体" w:cs="宋体"/>
          <w:color w:val="auto"/>
          <w:szCs w:val="21"/>
          <w:highlight w:val="none"/>
        </w:rPr>
        <w:t>磋商小组</w:t>
      </w:r>
      <w:r>
        <w:rPr>
          <w:rFonts w:hint="eastAsia" w:ascii="宋体" w:hAnsi="宋体" w:eastAsia="宋体" w:cs="宋体"/>
          <w:color w:val="000000"/>
          <w:szCs w:val="21"/>
        </w:rPr>
        <w:t>按照抽签的方式决定排次次序。</w:t>
      </w:r>
    </w:p>
    <w:p w14:paraId="516BD3CF">
      <w:pPr>
        <w:pStyle w:val="14"/>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（2）磋商小组可推荐前三名为成交候选人，采购人应当确定磋商小组推荐排名第一的成交候选人为成交供应商。</w:t>
      </w:r>
    </w:p>
    <w:p w14:paraId="3BEAB99C">
      <w:pPr>
        <w:pStyle w:val="14"/>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color w:val="auto"/>
          <w:highlight w:val="none"/>
        </w:rPr>
      </w:pPr>
      <w:r>
        <w:rPr>
          <w:rFonts w:hint="eastAsia" w:hAnsi="宋体" w:cs="宋体"/>
          <w:color w:val="auto"/>
          <w:szCs w:val="21"/>
          <w:highlight w:val="none"/>
        </w:rPr>
        <w:t>（3）排名第一的成交候选人放弃成交、因不可抗力提出不能履行合同或未按规定提交履约保证金的，采购人可以按照评审报告推荐的成交候选人名单排序，依法确定下一候选人为成交供应商，也可以重新开展采购活动。</w:t>
      </w:r>
    </w:p>
    <w:p w14:paraId="2B689789">
      <w:pPr>
        <w:spacing w:line="360" w:lineRule="auto"/>
        <w:ind w:firstLine="424" w:firstLineChars="202"/>
        <w:jc w:val="left"/>
        <w:rPr>
          <w:rFonts w:ascii="宋体" w:hAnsi="宋体" w:cs="宋体"/>
          <w:b/>
          <w:color w:val="auto"/>
          <w:szCs w:val="21"/>
          <w:highlight w:val="none"/>
        </w:rPr>
      </w:pPr>
      <w:r>
        <w:rPr>
          <w:rFonts w:hint="eastAsia" w:ascii="宋体" w:hAnsi="宋体" w:cs="宋体"/>
          <w:b/>
          <w:color w:val="auto"/>
          <w:szCs w:val="21"/>
          <w:highlight w:val="none"/>
          <w:lang w:eastAsia="zh-CN"/>
        </w:rPr>
        <w:t>三</w:t>
      </w:r>
      <w:r>
        <w:rPr>
          <w:rFonts w:hint="eastAsia" w:ascii="宋体" w:hAnsi="宋体" w:cs="宋体"/>
          <w:b/>
          <w:color w:val="auto"/>
          <w:szCs w:val="21"/>
          <w:highlight w:val="none"/>
        </w:rPr>
        <w:t>、特别说明</w:t>
      </w:r>
    </w:p>
    <w:p w14:paraId="0A8BA984">
      <w:pPr>
        <w:spacing w:line="360" w:lineRule="auto"/>
        <w:ind w:firstLine="420" w:firstLineChars="200"/>
        <w:rPr>
          <w:rFonts w:hint="eastAsia"/>
          <w:b/>
          <w:bCs/>
          <w:color w:val="auto"/>
          <w:szCs w:val="21"/>
          <w:highlight w:val="none"/>
          <w:lang w:eastAsia="zh-CN"/>
        </w:rPr>
      </w:pPr>
      <w:r>
        <w:rPr>
          <w:rFonts w:hint="eastAsia" w:ascii="宋体" w:hAnsi="宋体" w:eastAsia="宋体" w:cs="宋体"/>
          <w:b/>
          <w:bCs/>
          <w:color w:val="auto"/>
          <w:kern w:val="2"/>
          <w:sz w:val="21"/>
          <w:szCs w:val="21"/>
          <w:highlight w:val="none"/>
          <w:lang w:val="en-US"/>
        </w:rPr>
        <w:t>评审时，评标委员会根据《关于推动解决政府采购异常低价问题的通知》</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b/>
          <w:bCs/>
          <w:color w:val="auto"/>
          <w:kern w:val="2"/>
          <w:sz w:val="21"/>
          <w:szCs w:val="21"/>
          <w:highlight w:val="none"/>
          <w:lang w:val="en-US"/>
        </w:rPr>
        <w:t>财库〔2026〕2号</w:t>
      </w:r>
      <w:r>
        <w:rPr>
          <w:rFonts w:hint="eastAsia" w:ascii="宋体" w:hAnsi="宋体" w:eastAsia="宋体" w:cs="宋体"/>
          <w:b/>
          <w:bCs/>
          <w:color w:val="auto"/>
          <w:kern w:val="2"/>
          <w:sz w:val="21"/>
          <w:szCs w:val="21"/>
          <w:highlight w:val="none"/>
          <w:lang w:val="en-US" w:eastAsia="zh-CN"/>
        </w:rPr>
        <w:t>）相关规定</w:t>
      </w:r>
      <w:r>
        <w:rPr>
          <w:rFonts w:hint="eastAsia" w:ascii="宋体" w:hAnsi="宋体" w:eastAsia="宋体" w:cs="宋体"/>
          <w:b/>
          <w:bCs/>
          <w:color w:val="auto"/>
          <w:kern w:val="2"/>
          <w:sz w:val="21"/>
          <w:szCs w:val="21"/>
          <w:highlight w:val="none"/>
          <w:lang w:val="en-US"/>
        </w:rPr>
        <w:t>启动异常低价投标（响应）审查程序</w:t>
      </w:r>
      <w:r>
        <w:rPr>
          <w:rFonts w:hint="eastAsia" w:ascii="宋体" w:hAnsi="宋体" w:eastAsia="宋体" w:cs="宋体"/>
          <w:b/>
          <w:bCs/>
          <w:color w:val="auto"/>
          <w:kern w:val="2"/>
          <w:sz w:val="21"/>
          <w:szCs w:val="21"/>
          <w:highlight w:val="none"/>
          <w:lang w:val="en-US" w:eastAsia="zh-CN"/>
        </w:rPr>
        <w:t>。</w:t>
      </w:r>
      <w:r>
        <w:rPr>
          <w:rFonts w:hint="eastAsia"/>
          <w:b/>
          <w:bCs/>
          <w:color w:val="auto"/>
          <w:szCs w:val="21"/>
          <w:highlight w:val="none"/>
        </w:rPr>
        <w:t>启动异常低价投标（响应）审查后，</w:t>
      </w:r>
      <w:r>
        <w:rPr>
          <w:rStyle w:val="38"/>
          <w:rFonts w:ascii="宋体" w:hAnsi="宋体"/>
          <w:b/>
          <w:bCs/>
          <w:color w:val="auto"/>
          <w:szCs w:val="21"/>
          <w:highlight w:val="none"/>
        </w:rPr>
        <w:t>应当要求</w:t>
      </w:r>
      <w:r>
        <w:rPr>
          <w:rStyle w:val="38"/>
          <w:rFonts w:hint="eastAsia" w:ascii="宋体" w:hAnsi="宋体"/>
          <w:b/>
          <w:bCs/>
          <w:color w:val="auto"/>
          <w:szCs w:val="21"/>
          <w:highlight w:val="none"/>
        </w:rPr>
        <w:t>供应商</w:t>
      </w:r>
      <w:r>
        <w:rPr>
          <w:rStyle w:val="38"/>
          <w:rFonts w:ascii="宋体" w:hAnsi="宋体"/>
          <w:b/>
          <w:bCs/>
          <w:color w:val="auto"/>
          <w:szCs w:val="21"/>
          <w:highlight w:val="none"/>
        </w:rPr>
        <w:t>在</w:t>
      </w:r>
      <w:r>
        <w:rPr>
          <w:rStyle w:val="38"/>
          <w:rFonts w:hint="eastAsia" w:ascii="宋体" w:hAnsi="宋体"/>
          <w:b/>
          <w:bCs/>
          <w:color w:val="auto"/>
          <w:szCs w:val="21"/>
          <w:highlight w:val="none"/>
          <w:lang w:val="en-US"/>
        </w:rPr>
        <w:t>谈判小组要求的时间内</w:t>
      </w:r>
      <w:r>
        <w:rPr>
          <w:rFonts w:hint="eastAsia"/>
          <w:b/>
          <w:bCs/>
          <w:color w:val="auto"/>
          <w:szCs w:val="21"/>
          <w:highlight w:val="none"/>
        </w:rPr>
        <w:t>对投标（响应）价格作出解释，</w:t>
      </w:r>
      <w:r>
        <w:rPr>
          <w:rFonts w:hint="eastAsia"/>
          <w:b/>
          <w:bCs/>
          <w:color w:val="auto"/>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auto"/>
          <w:szCs w:val="21"/>
          <w:highlight w:val="none"/>
        </w:rPr>
        <w:t>投标供应商不能提供书面说明、证明材料，或者提供的书面说明、证明材料不能证明其报价合理性的，</w:t>
      </w:r>
      <w:r>
        <w:rPr>
          <w:rFonts w:hint="eastAsia" w:ascii="宋体" w:hAnsi="宋体" w:eastAsia="宋体" w:cs="宋体"/>
          <w:b/>
          <w:bCs/>
          <w:color w:val="auto"/>
          <w:kern w:val="2"/>
          <w:sz w:val="21"/>
          <w:szCs w:val="21"/>
          <w:highlight w:val="none"/>
          <w:lang w:val="en-US"/>
        </w:rPr>
        <w:t>评标委员会</w:t>
      </w:r>
      <w:r>
        <w:rPr>
          <w:rFonts w:hint="eastAsia"/>
          <w:b/>
          <w:bCs/>
          <w:color w:val="auto"/>
          <w:szCs w:val="21"/>
          <w:highlight w:val="none"/>
        </w:rPr>
        <w:t>应当将其作为无效投标（响应）处理。 异常低价投标（响应）审查的启动原因、审查意见和审查结果应当在评审报告中记录</w:t>
      </w:r>
      <w:r>
        <w:rPr>
          <w:rFonts w:hint="eastAsia"/>
          <w:b/>
          <w:bCs/>
          <w:color w:val="auto"/>
          <w:szCs w:val="21"/>
          <w:highlight w:val="none"/>
          <w:lang w:eastAsia="zh-CN"/>
        </w:rPr>
        <w:t>。</w:t>
      </w:r>
    </w:p>
    <w:p w14:paraId="09861334">
      <w:pPr>
        <w:spacing w:line="360" w:lineRule="auto"/>
        <w:ind w:firstLine="420" w:firstLineChars="200"/>
        <w:rPr>
          <w:rFonts w:hint="default" w:eastAsia="宋体"/>
          <w:b/>
          <w:bCs/>
          <w:color w:val="auto"/>
          <w:sz w:val="21"/>
          <w:szCs w:val="21"/>
          <w:highlight w:val="none"/>
          <w:lang w:val="en-US" w:eastAsia="zh-CN"/>
        </w:rPr>
      </w:pPr>
      <w:r>
        <w:rPr>
          <w:rFonts w:hint="eastAsia" w:ascii="宋体" w:hAnsi="宋体" w:cs="宋体"/>
          <w:b/>
          <w:bCs/>
          <w:color w:val="auto"/>
          <w:szCs w:val="21"/>
          <w:highlight w:val="none"/>
        </w:rPr>
        <w:t>为避免因未能及时提供说明而导致被</w:t>
      </w:r>
      <w:r>
        <w:rPr>
          <w:rFonts w:hint="eastAsia" w:ascii="宋体" w:hAnsi="宋体" w:eastAsia="宋体" w:cs="宋体"/>
          <w:b/>
          <w:bCs/>
          <w:color w:val="auto"/>
          <w:kern w:val="2"/>
          <w:sz w:val="21"/>
          <w:szCs w:val="21"/>
          <w:highlight w:val="none"/>
          <w:lang w:val="en-US"/>
        </w:rPr>
        <w:t>评标委员会</w:t>
      </w:r>
      <w:r>
        <w:rPr>
          <w:rFonts w:hint="eastAsia" w:ascii="宋体" w:hAnsi="宋体" w:cs="宋体"/>
          <w:b/>
          <w:bCs/>
          <w:color w:val="auto"/>
          <w:szCs w:val="21"/>
          <w:highlight w:val="none"/>
        </w:rPr>
        <w:t>作为无效投标情形，</w:t>
      </w:r>
      <w:r>
        <w:rPr>
          <w:rFonts w:hint="eastAsia"/>
          <w:b/>
          <w:bCs/>
          <w:color w:val="auto"/>
          <w:szCs w:val="21"/>
          <w:highlight w:val="none"/>
          <w:shd w:val="clear" w:color="auto" w:fill="FFFFFF"/>
        </w:rPr>
        <w:t>供应商可提前准备或随投标（响应）文件一并提交相关书面说明及必要的证明材料。</w:t>
      </w:r>
    </w:p>
    <w:p w14:paraId="64EA0855">
      <w:pPr>
        <w:bidi w:val="0"/>
        <w:rPr>
          <w:rFonts w:hint="eastAsia"/>
          <w:color w:val="auto"/>
          <w:highlight w:val="none"/>
        </w:rPr>
      </w:pPr>
    </w:p>
    <w:p w14:paraId="2FBB4312">
      <w:pPr>
        <w:bidi w:val="0"/>
        <w:rPr>
          <w:rFonts w:hint="eastAsia"/>
          <w:color w:val="auto"/>
          <w:highlight w:val="none"/>
        </w:rPr>
      </w:pPr>
    </w:p>
    <w:p w14:paraId="641773DA">
      <w:pPr>
        <w:bidi w:val="0"/>
        <w:rPr>
          <w:rFonts w:hint="eastAsia"/>
          <w:color w:val="auto"/>
          <w:highlight w:val="none"/>
        </w:rPr>
      </w:pPr>
    </w:p>
    <w:p w14:paraId="274DB319">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6DADFE28">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14:paraId="25992A8F">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361" w:name="_Toc28361_WPSOffice_Level2"/>
      <w:r>
        <w:rPr>
          <w:rFonts w:hint="eastAsia" w:ascii="宋体" w:hAnsi="宋体" w:eastAsia="宋体" w:cs="宋体"/>
          <w:b/>
          <w:bCs/>
          <w:color w:val="auto"/>
          <w:kern w:val="0"/>
          <w:sz w:val="30"/>
          <w:szCs w:val="30"/>
          <w:highlight w:val="none"/>
        </w:rPr>
        <w:t>统计上大中小微型企业划分标准</w:t>
      </w:r>
      <w:bookmarkEnd w:id="361"/>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E94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44C9D0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noWrap w:val="0"/>
            <w:vAlign w:val="center"/>
          </w:tcPr>
          <w:p w14:paraId="5C1AD1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noWrap w:val="0"/>
            <w:vAlign w:val="center"/>
          </w:tcPr>
          <w:p w14:paraId="4A1297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2B2BD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noWrap w:val="0"/>
            <w:vAlign w:val="center"/>
          </w:tcPr>
          <w:p w14:paraId="1AC4EC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noWrap w:val="0"/>
            <w:vAlign w:val="center"/>
          </w:tcPr>
          <w:p w14:paraId="7E8A34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noWrap w:val="0"/>
            <w:vAlign w:val="center"/>
          </w:tcPr>
          <w:p w14:paraId="2C596E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noWrap w:val="0"/>
            <w:vAlign w:val="center"/>
          </w:tcPr>
          <w:p w14:paraId="1AB33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5CE5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CB332F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1B9D4E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2D6F2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1A76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0EAC1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86430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3A795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956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2437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w:t>
            </w:r>
          </w:p>
        </w:tc>
        <w:tc>
          <w:tcPr>
            <w:tcW w:w="1369" w:type="dxa"/>
            <w:noWrap w:val="0"/>
            <w:vAlign w:val="center"/>
          </w:tcPr>
          <w:p w14:paraId="277F42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9123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1CD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EF5B0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515E1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24170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BC1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89159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99CF3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B82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37492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299B2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14039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1529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07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94B12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3851429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A154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24EE5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216A72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1D27A2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5E9E46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CC9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D25F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CD27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ADC86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FDFC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617920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435B48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6CA130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1B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4C410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408A8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2A3E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78A3D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55EB9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05CC02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4843B3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1F8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1A43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C6256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441D6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3D0DF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419585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6164EB5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F93F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63B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5B7FA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198A42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ED9E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7029D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C383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53D8675F">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727FA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36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4E6A7F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DB2E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9315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D858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B5585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713BD1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5B24C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7BD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CB62A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w:t>
            </w:r>
          </w:p>
        </w:tc>
        <w:tc>
          <w:tcPr>
            <w:tcW w:w="1369" w:type="dxa"/>
            <w:noWrap w:val="0"/>
            <w:vAlign w:val="center"/>
          </w:tcPr>
          <w:p w14:paraId="3FD283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6C34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5305D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431AE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D0C5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6EB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80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A89F4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6E91A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716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3F6D5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00E8D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0AD3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0CCAB3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15E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DFACA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0C904D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EA65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43894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2BDFB0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BFC09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0E3434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8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6ED200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FF569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D114D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F4C2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A308B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04D3B1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F167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B2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EF642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3C76D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1CD2B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F49D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4639B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D4A62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2530DE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045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81BC8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A35D3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9CBE9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D44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487D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09D2F1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7DE81C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24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82636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5BEDE2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A37E1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C0549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B1EF50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0D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496D3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E9E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29778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1A885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613A6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B5BD7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B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48930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0E9A3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78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FA1A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16983E6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3E67F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C6CB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EAF2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1D8D65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223536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416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42F9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F9173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20DCB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F1311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7D51D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4F3923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4BAA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B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8C126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w:t>
            </w:r>
          </w:p>
        </w:tc>
        <w:tc>
          <w:tcPr>
            <w:tcW w:w="1369" w:type="dxa"/>
            <w:noWrap w:val="0"/>
            <w:vAlign w:val="center"/>
          </w:tcPr>
          <w:p w14:paraId="0A2DE2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C12A2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7BB96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2FD36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680DA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379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E8B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7DA0B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E921B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ADB55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B27B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1FD4C3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1DE31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1C1E3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6C1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9AC80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79D80F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0414F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2B952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FBB935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B4579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C5D94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8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4D461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47E47A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2906C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A27B5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3F9D7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58707E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64206D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DE2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7DE152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252772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CD7B4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D0D1C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505C0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40D0AC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95E9D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CBA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E6B10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2D7E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43CAE7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0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73E908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67470F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31804E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7D2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BE5D8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5E625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0B21E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688F6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EC42F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E8227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33DC5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487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793F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92F66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FB46F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D1D41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57883B6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7C66CA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7741DC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AD8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FCCB7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077D3E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76706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DAAEA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4D8ACC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A3F0F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B40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D3E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7125A7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5CEF4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41563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7D12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10409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B2C8E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127406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A11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549C03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w:t>
            </w:r>
          </w:p>
        </w:tc>
        <w:tc>
          <w:tcPr>
            <w:tcW w:w="1369" w:type="dxa"/>
            <w:noWrap w:val="0"/>
            <w:vAlign w:val="center"/>
          </w:tcPr>
          <w:p w14:paraId="122802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F5BD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C2F91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36A89A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424A6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5E1D4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3241075">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p>
    <w:p w14:paraId="4961B07F">
      <w:pPr>
        <w:pStyle w:val="10"/>
        <w:rPr>
          <w:rFonts w:hint="eastAsia"/>
          <w:color w:val="auto"/>
          <w:highlight w:val="none"/>
        </w:rPr>
      </w:pPr>
    </w:p>
    <w:p w14:paraId="5DE00E01">
      <w:pPr>
        <w:rPr>
          <w:rFonts w:hint="eastAsia"/>
          <w:color w:val="auto"/>
          <w:highlight w:val="none"/>
        </w:rPr>
      </w:pPr>
    </w:p>
    <w:p w14:paraId="2498D1FF">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r>
        <w:rPr>
          <w:rFonts w:hint="eastAsia" w:ascii="宋体" w:hAnsi="宋体" w:eastAsia="宋体" w:cs="宋体"/>
          <w:color w:val="auto"/>
          <w:spacing w:val="8"/>
          <w:kern w:val="0"/>
          <w:sz w:val="24"/>
          <w:highlight w:val="none"/>
        </w:rPr>
        <w:t>说明：</w:t>
      </w:r>
    </w:p>
    <w:p w14:paraId="2791910C">
      <w:pPr>
        <w:pStyle w:val="14"/>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1.大型、中型和小型企业须同时满足所列指标的下限，否则下划一档；微型企业只须满足所列指标中的一项即可。</w:t>
      </w:r>
    </w:p>
    <w:p w14:paraId="51DC9383">
      <w:pPr>
        <w:pStyle w:val="14"/>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89D1FC">
      <w:pPr>
        <w:pStyle w:val="14"/>
        <w:keepNext w:val="0"/>
        <w:keepLines w:val="0"/>
        <w:pageBreakBefore w:val="0"/>
        <w:kinsoku/>
        <w:wordWrap/>
        <w:overflowPunct/>
        <w:topLinePunct w:val="0"/>
        <w:autoSpaceDE/>
        <w:autoSpaceDN/>
        <w:bidi w:val="0"/>
        <w:snapToGrid/>
        <w:spacing w:beforeLines="0" w:afterLines="0" w:line="280" w:lineRule="exact"/>
        <w:ind w:right="0" w:rightChars="0" w:firstLine="512" w:firstLineChars="200"/>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62" w:name="_Toc4774"/>
      <w:bookmarkStart w:id="363" w:name="_Toc8466"/>
    </w:p>
    <w:p w14:paraId="7D6A2D81">
      <w:pPr>
        <w:pStyle w:val="7"/>
        <w:rPr>
          <w:rFonts w:hint="eastAsia" w:ascii="宋体" w:hAnsi="宋体" w:eastAsia="宋体" w:cs="宋体"/>
          <w:color w:val="auto"/>
          <w:spacing w:val="8"/>
          <w:kern w:val="0"/>
          <w:sz w:val="24"/>
          <w:szCs w:val="24"/>
          <w:highlight w:val="none"/>
        </w:rPr>
      </w:pPr>
    </w:p>
    <w:p w14:paraId="52421D9D">
      <w:pPr>
        <w:rPr>
          <w:rFonts w:hint="eastAsia" w:ascii="宋体" w:hAnsi="宋体" w:eastAsia="宋体" w:cs="宋体"/>
          <w:color w:val="auto"/>
          <w:spacing w:val="8"/>
          <w:kern w:val="0"/>
          <w:sz w:val="24"/>
          <w:szCs w:val="24"/>
          <w:highlight w:val="none"/>
        </w:rPr>
      </w:pPr>
    </w:p>
    <w:p w14:paraId="31174A1B">
      <w:pPr>
        <w:pStyle w:val="10"/>
        <w:rPr>
          <w:rFonts w:hint="eastAsia" w:ascii="宋体" w:hAnsi="宋体" w:eastAsia="宋体" w:cs="宋体"/>
          <w:color w:val="auto"/>
          <w:spacing w:val="8"/>
          <w:kern w:val="0"/>
          <w:sz w:val="24"/>
          <w:szCs w:val="24"/>
          <w:highlight w:val="none"/>
        </w:rPr>
      </w:pPr>
    </w:p>
    <w:p w14:paraId="7D7C86D4">
      <w:pPr>
        <w:rPr>
          <w:rFonts w:hint="eastAsia"/>
          <w:color w:val="auto"/>
          <w:highlight w:val="none"/>
        </w:rPr>
      </w:pPr>
    </w:p>
    <w:p w14:paraId="18576D4A">
      <w:pPr>
        <w:pStyle w:val="32"/>
        <w:rPr>
          <w:rFonts w:hint="eastAsia" w:ascii="宋体" w:hAnsi="宋体" w:eastAsia="宋体" w:cs="宋体"/>
          <w:color w:val="auto"/>
          <w:highlight w:val="none"/>
        </w:rPr>
      </w:pPr>
    </w:p>
    <w:p w14:paraId="5A429762">
      <w:pPr>
        <w:pStyle w:val="32"/>
        <w:rPr>
          <w:rFonts w:hint="eastAsia" w:ascii="宋体" w:hAnsi="宋体" w:eastAsia="宋体" w:cs="宋体"/>
          <w:color w:val="auto"/>
          <w:highlight w:val="none"/>
        </w:rPr>
      </w:pPr>
    </w:p>
    <w:p w14:paraId="002912D9">
      <w:pPr>
        <w:pStyle w:val="32"/>
        <w:rPr>
          <w:rFonts w:hint="eastAsia" w:ascii="宋体" w:hAnsi="宋体" w:eastAsia="宋体" w:cs="宋体"/>
          <w:color w:val="auto"/>
          <w:highlight w:val="none"/>
        </w:rPr>
      </w:pPr>
    </w:p>
    <w:p w14:paraId="664DBA9D">
      <w:pPr>
        <w:pStyle w:val="32"/>
        <w:rPr>
          <w:rFonts w:hint="eastAsia" w:ascii="宋体" w:hAnsi="宋体" w:eastAsia="宋体" w:cs="宋体"/>
          <w:color w:val="auto"/>
          <w:highlight w:val="none"/>
        </w:rPr>
      </w:pPr>
    </w:p>
    <w:p w14:paraId="5897BD4D">
      <w:pPr>
        <w:pStyle w:val="32"/>
        <w:rPr>
          <w:rFonts w:hint="eastAsia" w:ascii="宋体" w:hAnsi="宋体" w:eastAsia="宋体" w:cs="宋体"/>
          <w:color w:val="auto"/>
          <w:highlight w:val="none"/>
        </w:rPr>
      </w:pPr>
    </w:p>
    <w:p w14:paraId="5C69D44B">
      <w:pPr>
        <w:pStyle w:val="32"/>
        <w:rPr>
          <w:rFonts w:hint="eastAsia" w:ascii="宋体" w:hAnsi="宋体" w:eastAsia="宋体" w:cs="宋体"/>
          <w:color w:val="auto"/>
          <w:highlight w:val="none"/>
        </w:rPr>
      </w:pPr>
    </w:p>
    <w:p w14:paraId="59B556A3">
      <w:pPr>
        <w:pStyle w:val="32"/>
        <w:rPr>
          <w:rFonts w:hint="eastAsia" w:ascii="宋体" w:hAnsi="宋体" w:eastAsia="宋体" w:cs="宋体"/>
          <w:color w:val="auto"/>
          <w:highlight w:val="none"/>
        </w:rPr>
      </w:pPr>
    </w:p>
    <w:p w14:paraId="23BB299C">
      <w:pPr>
        <w:pStyle w:val="32"/>
        <w:rPr>
          <w:rFonts w:hint="eastAsia" w:ascii="宋体" w:hAnsi="宋体" w:eastAsia="宋体" w:cs="宋体"/>
          <w:color w:val="auto"/>
          <w:highlight w:val="none"/>
        </w:rPr>
      </w:pPr>
    </w:p>
    <w:p w14:paraId="417213A9">
      <w:pPr>
        <w:pStyle w:val="32"/>
        <w:rPr>
          <w:rFonts w:hint="eastAsia" w:ascii="宋体" w:hAnsi="宋体" w:eastAsia="宋体" w:cs="宋体"/>
          <w:color w:val="auto"/>
          <w:highlight w:val="none"/>
        </w:rPr>
      </w:pPr>
    </w:p>
    <w:p w14:paraId="34D943E0">
      <w:pPr>
        <w:pStyle w:val="32"/>
        <w:rPr>
          <w:rFonts w:hint="eastAsia" w:ascii="宋体" w:hAnsi="宋体" w:eastAsia="宋体" w:cs="宋体"/>
          <w:color w:val="auto"/>
          <w:highlight w:val="none"/>
        </w:rPr>
      </w:pPr>
    </w:p>
    <w:p w14:paraId="6E1D78F2">
      <w:pPr>
        <w:pStyle w:val="32"/>
        <w:rPr>
          <w:rFonts w:hint="eastAsia" w:ascii="宋体" w:hAnsi="宋体" w:eastAsia="宋体" w:cs="宋体"/>
          <w:color w:val="auto"/>
          <w:highlight w:val="none"/>
        </w:rPr>
      </w:pPr>
    </w:p>
    <w:p w14:paraId="1826A0FE">
      <w:pPr>
        <w:pStyle w:val="32"/>
        <w:rPr>
          <w:rFonts w:hint="eastAsia" w:ascii="宋体" w:hAnsi="宋体" w:eastAsia="宋体" w:cs="宋体"/>
          <w:color w:val="auto"/>
          <w:highlight w:val="none"/>
        </w:rPr>
      </w:pPr>
    </w:p>
    <w:p w14:paraId="106044FF">
      <w:pPr>
        <w:pStyle w:val="32"/>
        <w:rPr>
          <w:rFonts w:hint="eastAsia" w:ascii="宋体" w:hAnsi="宋体" w:eastAsia="宋体" w:cs="宋体"/>
          <w:color w:val="auto"/>
          <w:highlight w:val="none"/>
        </w:rPr>
      </w:pPr>
    </w:p>
    <w:p w14:paraId="71503F74">
      <w:pPr>
        <w:pStyle w:val="32"/>
        <w:rPr>
          <w:rFonts w:hint="eastAsia" w:ascii="宋体" w:hAnsi="宋体" w:eastAsia="宋体" w:cs="宋体"/>
          <w:color w:val="auto"/>
          <w:highlight w:val="none"/>
        </w:rPr>
      </w:pPr>
    </w:p>
    <w:p w14:paraId="4A3BCBA2">
      <w:pPr>
        <w:pStyle w:val="32"/>
        <w:rPr>
          <w:rFonts w:hint="eastAsia" w:ascii="宋体" w:hAnsi="宋体" w:eastAsia="宋体" w:cs="宋体"/>
          <w:color w:val="auto"/>
          <w:highlight w:val="none"/>
        </w:rPr>
      </w:pPr>
    </w:p>
    <w:p w14:paraId="59E0356F">
      <w:pPr>
        <w:pStyle w:val="32"/>
        <w:rPr>
          <w:rFonts w:hint="eastAsia" w:ascii="宋体" w:hAnsi="宋体" w:eastAsia="宋体" w:cs="宋体"/>
          <w:color w:val="auto"/>
          <w:highlight w:val="none"/>
        </w:rPr>
      </w:pPr>
    </w:p>
    <w:p w14:paraId="0E492ACE">
      <w:pPr>
        <w:pStyle w:val="32"/>
        <w:rPr>
          <w:rFonts w:hint="eastAsia" w:ascii="宋体" w:hAnsi="宋体" w:eastAsia="宋体" w:cs="宋体"/>
          <w:color w:val="auto"/>
          <w:highlight w:val="none"/>
        </w:rPr>
      </w:pPr>
    </w:p>
    <w:p w14:paraId="6A8CDCCD">
      <w:pPr>
        <w:pStyle w:val="32"/>
        <w:rPr>
          <w:rFonts w:hint="eastAsia" w:ascii="宋体" w:hAnsi="宋体" w:eastAsia="宋体" w:cs="宋体"/>
          <w:color w:val="auto"/>
          <w:highlight w:val="none"/>
        </w:rPr>
      </w:pPr>
    </w:p>
    <w:p w14:paraId="301343EE">
      <w:pPr>
        <w:pStyle w:val="32"/>
        <w:rPr>
          <w:rFonts w:hint="eastAsia" w:ascii="宋体" w:hAnsi="宋体" w:eastAsia="宋体" w:cs="宋体"/>
          <w:color w:val="auto"/>
          <w:highlight w:val="none"/>
        </w:rPr>
      </w:pPr>
    </w:p>
    <w:p w14:paraId="7683C523">
      <w:pPr>
        <w:pStyle w:val="32"/>
        <w:rPr>
          <w:rFonts w:hint="eastAsia" w:ascii="宋体" w:hAnsi="宋体" w:eastAsia="宋体" w:cs="宋体"/>
          <w:color w:val="auto"/>
          <w:highlight w:val="none"/>
        </w:rPr>
      </w:pPr>
    </w:p>
    <w:p w14:paraId="11987644">
      <w:pPr>
        <w:pStyle w:val="32"/>
        <w:rPr>
          <w:rFonts w:hint="eastAsia" w:ascii="宋体" w:hAnsi="宋体" w:eastAsia="宋体" w:cs="宋体"/>
          <w:color w:val="auto"/>
          <w:highlight w:val="none"/>
        </w:rPr>
      </w:pPr>
    </w:p>
    <w:p w14:paraId="68DFAF7A">
      <w:pPr>
        <w:pStyle w:val="32"/>
        <w:rPr>
          <w:rFonts w:hint="eastAsia" w:ascii="宋体" w:hAnsi="宋体" w:eastAsia="宋体" w:cs="宋体"/>
          <w:color w:val="auto"/>
          <w:highlight w:val="none"/>
        </w:rPr>
      </w:pPr>
    </w:p>
    <w:p w14:paraId="4241AF9A">
      <w:pPr>
        <w:pStyle w:val="32"/>
        <w:rPr>
          <w:rFonts w:hint="eastAsia" w:ascii="宋体" w:hAnsi="宋体" w:eastAsia="宋体" w:cs="宋体"/>
          <w:color w:val="auto"/>
          <w:highlight w:val="none"/>
        </w:rPr>
      </w:pPr>
    </w:p>
    <w:p w14:paraId="0B3BAA1E">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364" w:name="_Toc816"/>
      <w:bookmarkStart w:id="365" w:name="_Toc30503"/>
      <w:bookmarkStart w:id="366" w:name="_Toc21175"/>
      <w:bookmarkStart w:id="367" w:name="_Toc9015"/>
      <w:bookmarkStart w:id="368" w:name="_Toc5351"/>
      <w:bookmarkStart w:id="369" w:name="_Toc7427"/>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362"/>
      <w:bookmarkEnd w:id="363"/>
      <w:bookmarkEnd w:id="364"/>
      <w:bookmarkEnd w:id="365"/>
      <w:bookmarkEnd w:id="366"/>
      <w:bookmarkEnd w:id="367"/>
      <w:bookmarkEnd w:id="368"/>
      <w:bookmarkEnd w:id="369"/>
    </w:p>
    <w:p w14:paraId="45C7C1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项目名称：</w:t>
      </w:r>
      <w:r>
        <w:rPr>
          <w:rFonts w:hint="eastAsia" w:ascii="宋体" w:hAnsi="宋体" w:cs="宋体"/>
          <w:color w:val="auto"/>
          <w:sz w:val="21"/>
          <w:szCs w:val="24"/>
          <w:highlight w:val="none"/>
          <w:lang w:val="en-US" w:eastAsia="zh-CN"/>
        </w:rPr>
        <w:t>荔浦市电子政务外网横向接入专线服务</w:t>
      </w:r>
      <w:r>
        <w:rPr>
          <w:rFonts w:hint="eastAsia" w:ascii="宋体" w:hAnsi="宋体" w:eastAsia="宋体" w:cs="宋体"/>
          <w:color w:val="auto"/>
          <w:sz w:val="21"/>
          <w:szCs w:val="24"/>
          <w:highlight w:val="none"/>
          <w:lang w:val="en-US" w:eastAsia="zh-CN"/>
        </w:rPr>
        <w:t xml:space="preserve"> </w:t>
      </w:r>
    </w:p>
    <w:p w14:paraId="64B27D5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项目编号：</w:t>
      </w:r>
      <w:r>
        <w:rPr>
          <w:rFonts w:hint="eastAsia" w:ascii="宋体" w:hAnsi="宋体" w:cs="宋体"/>
          <w:color w:val="auto"/>
          <w:sz w:val="21"/>
          <w:szCs w:val="24"/>
          <w:highlight w:val="none"/>
          <w:lang w:val="en-US" w:eastAsia="zh-CN"/>
        </w:rPr>
        <w:t>GLZC2026-C3-310007-GLSZ</w:t>
      </w:r>
    </w:p>
    <w:p w14:paraId="4EA1B72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4D3ED17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（成交供应商）</w:t>
      </w:r>
    </w:p>
    <w:p w14:paraId="7D3E2AC0">
      <w:pPr>
        <w:keepNext w:val="0"/>
        <w:keepLines w:val="0"/>
        <w:widowControl/>
        <w:suppressLineNumbers w:val="0"/>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w:t>
      </w:r>
      <w:r>
        <w:rPr>
          <w:rFonts w:hint="eastAsia" w:ascii="宋体" w:hAnsi="宋体" w:eastAsia="宋体" w:cs="宋体"/>
          <w:color w:val="auto"/>
          <w:highlight w:val="none"/>
          <w:lang w:val="en-US" w:eastAsia="zh-CN"/>
        </w:rPr>
        <w:t>《中华人民共和国政府采购法实施条例》</w:t>
      </w:r>
      <w:r>
        <w:rPr>
          <w:rFonts w:hint="eastAsia" w:ascii="宋体" w:hAnsi="宋体" w:eastAsia="宋体" w:cs="宋体"/>
          <w:color w:val="auto"/>
          <w:highlight w:val="none"/>
        </w:rPr>
        <w:t>《中华人民共和国</w:t>
      </w:r>
      <w:r>
        <w:rPr>
          <w:rFonts w:hint="eastAsia" w:ascii="宋体" w:hAnsi="宋体" w:eastAsia="宋体" w:cs="宋体"/>
          <w:color w:val="auto"/>
          <w:highlight w:val="none"/>
          <w:lang w:val="en-US" w:eastAsia="zh-CN"/>
        </w:rPr>
        <w:t>民法典</w:t>
      </w:r>
      <w:r>
        <w:rPr>
          <w:rFonts w:hint="eastAsia" w:ascii="宋体" w:hAnsi="宋体" w:eastAsia="宋体" w:cs="宋体"/>
          <w:color w:val="auto"/>
          <w:highlight w:val="none"/>
        </w:rPr>
        <w:t>》等法律、法规规定，按照竞争性磋商文件（以下简称磋商文件）、竞争性磋商响应文件（以下简称响应文件）规定条款和成交供应商的承诺、甲乙双方签订本合同。</w:t>
      </w:r>
    </w:p>
    <w:p w14:paraId="45B27344">
      <w:pPr>
        <w:pStyle w:val="4"/>
        <w:bidi w:val="0"/>
        <w:ind w:left="567" w:leftChars="200" w:hanging="147" w:hangingChars="70"/>
        <w:rPr>
          <w:rFonts w:hint="eastAsia" w:ascii="宋体" w:hAnsi="宋体" w:eastAsia="宋体" w:cs="宋体"/>
          <w:b/>
          <w:bCs w:val="0"/>
          <w:color w:val="auto"/>
          <w:sz w:val="21"/>
          <w:szCs w:val="21"/>
          <w:highlight w:val="none"/>
        </w:rPr>
      </w:pPr>
      <w:bookmarkStart w:id="370" w:name="_Toc20217"/>
      <w:bookmarkStart w:id="371" w:name="_Toc30275"/>
      <w:bookmarkStart w:id="372" w:name="_Toc16752"/>
      <w:bookmarkStart w:id="373" w:name="_Toc19914"/>
      <w:bookmarkStart w:id="374" w:name="_Toc1157"/>
      <w:bookmarkStart w:id="375" w:name="_Toc26398"/>
      <w:bookmarkStart w:id="376" w:name="_Toc845"/>
      <w:bookmarkStart w:id="377" w:name="_Toc8094"/>
      <w:r>
        <w:rPr>
          <w:rFonts w:hint="eastAsia" w:ascii="宋体" w:hAnsi="宋体" w:eastAsia="宋体" w:cs="宋体"/>
          <w:b/>
          <w:bCs w:val="0"/>
          <w:color w:val="auto"/>
          <w:sz w:val="21"/>
          <w:szCs w:val="21"/>
          <w:highlight w:val="none"/>
        </w:rPr>
        <w:t>第一条 合同文件</w:t>
      </w:r>
      <w:bookmarkEnd w:id="370"/>
      <w:bookmarkEnd w:id="371"/>
      <w:bookmarkEnd w:id="372"/>
      <w:bookmarkEnd w:id="373"/>
      <w:bookmarkEnd w:id="374"/>
      <w:bookmarkEnd w:id="375"/>
      <w:bookmarkEnd w:id="376"/>
      <w:bookmarkEnd w:id="377"/>
    </w:p>
    <w:p w14:paraId="420ED9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1、本合同所附下列文件是构成本合同不可分割的部分：</w:t>
      </w:r>
    </w:p>
    <w:p w14:paraId="5E344499">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（1）成交供应商提交的</w:t>
      </w:r>
      <w:r>
        <w:rPr>
          <w:rFonts w:hint="eastAsia" w:ascii="宋体" w:hAnsi="宋体" w:eastAsia="宋体" w:cs="宋体"/>
          <w:color w:val="auto"/>
          <w:szCs w:val="21"/>
          <w:highlight w:val="none"/>
        </w:rPr>
        <w:t>磋商</w:t>
      </w:r>
      <w:r>
        <w:rPr>
          <w:rFonts w:hint="eastAsia" w:ascii="宋体" w:hAnsi="宋体" w:eastAsia="宋体" w:cs="宋体"/>
          <w:color w:val="auto"/>
          <w:highlight w:val="none"/>
        </w:rPr>
        <w:t>报价表、</w:t>
      </w:r>
      <w:r>
        <w:rPr>
          <w:rFonts w:hint="eastAsia" w:ascii="宋体" w:hAnsi="宋体" w:eastAsia="宋体" w:cs="宋体"/>
          <w:color w:val="auto"/>
          <w:szCs w:val="21"/>
          <w:highlight w:val="none"/>
        </w:rPr>
        <w:t>针对本项目的服务</w:t>
      </w:r>
      <w:r>
        <w:rPr>
          <w:rFonts w:hint="eastAsia" w:ascii="宋体" w:hAnsi="宋体" w:eastAsia="宋体" w:cs="宋体"/>
          <w:color w:val="auto"/>
          <w:szCs w:val="21"/>
          <w:highlight w:val="none"/>
          <w:lang w:eastAsia="zh-CN"/>
        </w:rPr>
        <w:t>承诺书</w:t>
      </w:r>
      <w:r>
        <w:rPr>
          <w:rFonts w:hint="eastAsia" w:ascii="宋体" w:hAnsi="宋体" w:eastAsia="宋体" w:cs="宋体"/>
          <w:color w:val="auto"/>
          <w:highlight w:val="none"/>
        </w:rPr>
        <w:t>；</w:t>
      </w:r>
    </w:p>
    <w:p w14:paraId="0289CB1E">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14:paraId="266FB720">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（3）本合同协议书及有关补充资料；</w:t>
      </w:r>
    </w:p>
    <w:p w14:paraId="59FF03D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（4）磋商文件的条款要求。</w:t>
      </w:r>
    </w:p>
    <w:p w14:paraId="22B1EF51">
      <w:pPr>
        <w:tabs>
          <w:tab w:val="left" w:pos="130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2、合同价金额包括：</w:t>
      </w:r>
      <w:r>
        <w:rPr>
          <w:rFonts w:hint="eastAsia" w:ascii="宋体" w:hAnsi="宋体" w:cs="宋体"/>
          <w:szCs w:val="21"/>
        </w:rPr>
        <w:t>服务过程中相关的一切费用</w:t>
      </w:r>
      <w:r>
        <w:rPr>
          <w:rFonts w:hint="eastAsia" w:ascii="宋体" w:hAnsi="宋体" w:eastAsia="宋体" w:cs="宋体"/>
          <w:szCs w:val="21"/>
          <w:lang w:val="en-US" w:eastAsia="zh-CN"/>
        </w:rPr>
        <w:t>,</w:t>
      </w:r>
      <w:r>
        <w:rPr>
          <w:rFonts w:hint="eastAsia" w:ascii="宋体" w:hAnsi="宋体" w:eastAsia="宋体" w:cs="宋体"/>
          <w:b w:val="0"/>
          <w:bCs w:val="0"/>
          <w:sz w:val="21"/>
          <w:szCs w:val="21"/>
          <w:lang w:val="en-US" w:eastAsia="zh-CN"/>
        </w:rPr>
        <w:t>包含服务过程中的人工、物料、交通、税费、利润等一切费用，甲方无需另行支付任何费用。</w:t>
      </w:r>
    </w:p>
    <w:p w14:paraId="2D7D1C17">
      <w:pPr>
        <w:pStyle w:val="4"/>
        <w:bidi w:val="0"/>
        <w:ind w:left="567" w:leftChars="200" w:hanging="147" w:hangingChars="70"/>
        <w:rPr>
          <w:rFonts w:hint="eastAsia" w:ascii="宋体" w:hAnsi="宋体" w:eastAsia="宋体" w:cs="宋体"/>
          <w:b/>
          <w:bCs w:val="0"/>
          <w:color w:val="auto"/>
          <w:sz w:val="21"/>
          <w:szCs w:val="21"/>
          <w:highlight w:val="none"/>
        </w:rPr>
      </w:pPr>
      <w:bookmarkStart w:id="378" w:name="_Toc28710"/>
      <w:bookmarkStart w:id="379" w:name="_Toc25572"/>
      <w:bookmarkStart w:id="380" w:name="_Toc2848"/>
      <w:bookmarkStart w:id="381" w:name="_Toc32095"/>
      <w:bookmarkStart w:id="382" w:name="_Toc3918"/>
      <w:bookmarkStart w:id="383" w:name="_Toc6972"/>
      <w:bookmarkStart w:id="384" w:name="_Toc1849"/>
      <w:bookmarkStart w:id="385" w:name="_Toc8563"/>
      <w:r>
        <w:rPr>
          <w:rFonts w:hint="eastAsia" w:ascii="宋体" w:hAnsi="宋体" w:eastAsia="宋体" w:cs="宋体"/>
          <w:b/>
          <w:bCs w:val="0"/>
          <w:color w:val="auto"/>
          <w:sz w:val="21"/>
          <w:szCs w:val="21"/>
          <w:highlight w:val="none"/>
        </w:rPr>
        <w:t>第二条　合同金额</w:t>
      </w:r>
      <w:bookmarkEnd w:id="378"/>
      <w:bookmarkEnd w:id="379"/>
      <w:bookmarkEnd w:id="380"/>
      <w:bookmarkEnd w:id="381"/>
      <w:bookmarkEnd w:id="382"/>
      <w:bookmarkEnd w:id="383"/>
      <w:bookmarkEnd w:id="384"/>
      <w:bookmarkEnd w:id="385"/>
    </w:p>
    <w:p w14:paraId="237AA856">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根据《成交通知书》的成交内容，合同的总金额为：（大写）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668A1F37">
      <w:pPr>
        <w:pStyle w:val="4"/>
        <w:bidi w:val="0"/>
        <w:ind w:left="567" w:leftChars="200" w:hanging="147" w:hangingChars="70"/>
        <w:rPr>
          <w:rFonts w:hint="eastAsia" w:ascii="宋体" w:hAnsi="宋体" w:eastAsia="宋体" w:cs="宋体"/>
          <w:b/>
          <w:bCs w:val="0"/>
          <w:color w:val="auto"/>
          <w:sz w:val="21"/>
          <w:szCs w:val="21"/>
          <w:highlight w:val="none"/>
        </w:rPr>
      </w:pPr>
      <w:bookmarkStart w:id="386" w:name="_Toc9581"/>
      <w:bookmarkStart w:id="387" w:name="_Toc29481"/>
      <w:bookmarkStart w:id="388" w:name="_Toc16138"/>
      <w:bookmarkStart w:id="389" w:name="_Toc19610"/>
      <w:bookmarkStart w:id="390" w:name="_Toc5557"/>
      <w:bookmarkStart w:id="391" w:name="_Toc1972"/>
      <w:bookmarkStart w:id="392" w:name="_Toc12284"/>
      <w:bookmarkStart w:id="393" w:name="_Toc4662"/>
      <w:r>
        <w:rPr>
          <w:rFonts w:hint="eastAsia" w:ascii="宋体" w:hAnsi="宋体" w:eastAsia="宋体" w:cs="宋体"/>
          <w:b/>
          <w:bCs w:val="0"/>
          <w:color w:val="auto"/>
          <w:sz w:val="21"/>
          <w:szCs w:val="21"/>
          <w:highlight w:val="none"/>
        </w:rPr>
        <w:t>第三条  服务保证</w:t>
      </w:r>
      <w:bookmarkEnd w:id="386"/>
      <w:bookmarkEnd w:id="387"/>
      <w:bookmarkEnd w:id="388"/>
      <w:bookmarkEnd w:id="389"/>
      <w:bookmarkEnd w:id="390"/>
      <w:bookmarkEnd w:id="391"/>
      <w:bookmarkEnd w:id="392"/>
      <w:bookmarkEnd w:id="393"/>
    </w:p>
    <w:p w14:paraId="14C5A2D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成交供应商应按</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和承诺</w:t>
      </w:r>
      <w:r>
        <w:rPr>
          <w:rFonts w:hint="eastAsia" w:ascii="宋体" w:hAnsi="宋体" w:eastAsia="宋体" w:cs="宋体"/>
          <w:color w:val="auto"/>
          <w:szCs w:val="21"/>
          <w:highlight w:val="none"/>
        </w:rPr>
        <w:t>规定的服务</w:t>
      </w:r>
      <w:r>
        <w:rPr>
          <w:rFonts w:hint="eastAsia" w:ascii="宋体" w:hAnsi="宋体" w:eastAsia="宋体" w:cs="宋体"/>
          <w:color w:val="auto"/>
          <w:szCs w:val="21"/>
          <w:highlight w:val="none"/>
          <w:lang w:eastAsia="zh-CN"/>
        </w:rPr>
        <w:t>内容</w:t>
      </w:r>
      <w:r>
        <w:rPr>
          <w:rFonts w:hint="eastAsia" w:ascii="宋体" w:hAnsi="宋体" w:eastAsia="宋体" w:cs="宋体"/>
          <w:color w:val="auto"/>
          <w:szCs w:val="21"/>
          <w:highlight w:val="none"/>
        </w:rPr>
        <w:t>向采购人提供相应服务。</w:t>
      </w:r>
    </w:p>
    <w:p w14:paraId="1356D7EB">
      <w:pPr>
        <w:pStyle w:val="4"/>
        <w:bidi w:val="0"/>
        <w:ind w:left="567" w:leftChars="200" w:hanging="147" w:hangingChars="70"/>
        <w:rPr>
          <w:rFonts w:hint="eastAsia" w:ascii="宋体" w:hAnsi="宋体" w:eastAsia="宋体" w:cs="宋体"/>
          <w:b/>
          <w:bCs w:val="0"/>
          <w:color w:val="auto"/>
          <w:sz w:val="21"/>
          <w:szCs w:val="21"/>
          <w:highlight w:val="none"/>
        </w:rPr>
      </w:pPr>
      <w:bookmarkStart w:id="394" w:name="_Toc28884"/>
      <w:bookmarkStart w:id="395" w:name="_Toc14127"/>
      <w:bookmarkStart w:id="396" w:name="_Toc25056"/>
      <w:bookmarkStart w:id="397" w:name="_Toc8669"/>
      <w:bookmarkStart w:id="398" w:name="_Toc30037"/>
      <w:bookmarkStart w:id="399" w:name="_Toc7074"/>
      <w:bookmarkStart w:id="400" w:name="_Toc16565"/>
      <w:bookmarkStart w:id="401" w:name="_Toc6104"/>
      <w:r>
        <w:rPr>
          <w:rFonts w:hint="eastAsia" w:ascii="宋体" w:hAnsi="宋体" w:eastAsia="宋体" w:cs="宋体"/>
          <w:b/>
          <w:bCs w:val="0"/>
          <w:color w:val="auto"/>
          <w:sz w:val="21"/>
          <w:szCs w:val="21"/>
          <w:highlight w:val="none"/>
        </w:rPr>
        <w:t>第四条  服务期限</w:t>
      </w:r>
      <w:bookmarkEnd w:id="394"/>
      <w:bookmarkEnd w:id="395"/>
      <w:bookmarkEnd w:id="396"/>
      <w:bookmarkEnd w:id="397"/>
      <w:bookmarkEnd w:id="398"/>
      <w:bookmarkEnd w:id="399"/>
      <w:bookmarkEnd w:id="400"/>
      <w:bookmarkEnd w:id="401"/>
    </w:p>
    <w:p w14:paraId="4B7FCFF7">
      <w:pPr>
        <w:spacing w:line="360" w:lineRule="auto"/>
        <w:ind w:firstLine="411" w:firstLineChars="196"/>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服务期限: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p>
    <w:p w14:paraId="61DD6B7B">
      <w:pPr>
        <w:pStyle w:val="4"/>
        <w:bidi w:val="0"/>
        <w:ind w:left="567" w:leftChars="200" w:hanging="147" w:hangingChars="70"/>
        <w:rPr>
          <w:rFonts w:hint="eastAsia" w:ascii="宋体" w:hAnsi="宋体" w:eastAsia="宋体" w:cs="宋体"/>
          <w:b/>
          <w:bCs w:val="0"/>
          <w:color w:val="auto"/>
          <w:sz w:val="21"/>
          <w:szCs w:val="21"/>
          <w:highlight w:val="none"/>
        </w:rPr>
      </w:pPr>
      <w:bookmarkStart w:id="402" w:name="_Toc3282"/>
      <w:bookmarkStart w:id="403" w:name="_Toc12187"/>
      <w:bookmarkStart w:id="404" w:name="_Toc15179"/>
      <w:bookmarkStart w:id="405" w:name="_Toc25521"/>
      <w:bookmarkStart w:id="406" w:name="_Toc15896"/>
      <w:bookmarkStart w:id="407" w:name="_Toc9706"/>
      <w:bookmarkStart w:id="408" w:name="_Toc24654"/>
      <w:bookmarkStart w:id="409" w:name="_Toc3169"/>
      <w:r>
        <w:rPr>
          <w:rFonts w:hint="eastAsia" w:ascii="宋体" w:hAnsi="宋体" w:eastAsia="宋体" w:cs="宋体"/>
          <w:b/>
          <w:bCs w:val="0"/>
          <w:color w:val="auto"/>
          <w:sz w:val="21"/>
          <w:szCs w:val="21"/>
          <w:highlight w:val="none"/>
        </w:rPr>
        <w:t>第五条  交付</w:t>
      </w:r>
      <w:bookmarkEnd w:id="402"/>
      <w:bookmarkEnd w:id="403"/>
      <w:bookmarkEnd w:id="404"/>
      <w:bookmarkEnd w:id="405"/>
      <w:bookmarkEnd w:id="406"/>
      <w:bookmarkEnd w:id="407"/>
      <w:bookmarkEnd w:id="408"/>
      <w:bookmarkEnd w:id="409"/>
    </w:p>
    <w:p w14:paraId="7D4006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A93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2、成交供应商提供不符合磋商文件、响应文件和本合同规定的服务，采购人有权拒绝接受。</w:t>
      </w:r>
    </w:p>
    <w:p w14:paraId="765670D4">
      <w:pPr>
        <w:pStyle w:val="4"/>
        <w:bidi w:val="0"/>
        <w:ind w:left="567" w:leftChars="200" w:hanging="147" w:hangingChars="70"/>
        <w:rPr>
          <w:rFonts w:hint="eastAsia" w:ascii="宋体" w:hAnsi="宋体" w:eastAsia="宋体" w:cs="宋体"/>
          <w:b/>
          <w:bCs w:val="0"/>
          <w:color w:val="auto"/>
          <w:sz w:val="21"/>
          <w:szCs w:val="21"/>
          <w:highlight w:val="none"/>
        </w:rPr>
      </w:pPr>
      <w:bookmarkStart w:id="410" w:name="_Toc15606"/>
      <w:bookmarkStart w:id="411" w:name="_Toc8253"/>
      <w:bookmarkStart w:id="412" w:name="_Toc22519"/>
      <w:bookmarkStart w:id="413" w:name="_Toc21969"/>
      <w:bookmarkStart w:id="414" w:name="_Toc1326"/>
      <w:bookmarkStart w:id="415" w:name="_Toc16134"/>
      <w:bookmarkStart w:id="416" w:name="_Toc20060"/>
      <w:bookmarkStart w:id="417" w:name="_Toc2633"/>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六</w:t>
      </w:r>
      <w:r>
        <w:rPr>
          <w:rFonts w:hint="eastAsia" w:ascii="宋体" w:hAnsi="宋体" w:eastAsia="宋体" w:cs="宋体"/>
          <w:b/>
          <w:bCs w:val="0"/>
          <w:color w:val="auto"/>
          <w:sz w:val="21"/>
          <w:szCs w:val="21"/>
          <w:highlight w:val="none"/>
        </w:rPr>
        <w:t>条  税费</w:t>
      </w:r>
      <w:bookmarkEnd w:id="410"/>
      <w:bookmarkEnd w:id="411"/>
      <w:bookmarkEnd w:id="412"/>
      <w:bookmarkEnd w:id="413"/>
      <w:bookmarkEnd w:id="414"/>
      <w:bookmarkEnd w:id="415"/>
      <w:bookmarkEnd w:id="416"/>
      <w:bookmarkEnd w:id="417"/>
    </w:p>
    <w:p w14:paraId="64324CBA">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本合同执行中相关的一切税费均由成交供应商负担。</w:t>
      </w:r>
      <w:bookmarkStart w:id="418" w:name="_Toc19317"/>
      <w:bookmarkStart w:id="419" w:name="_Toc2313"/>
      <w:bookmarkStart w:id="420" w:name="_Toc29885"/>
      <w:bookmarkStart w:id="421" w:name="_Toc31516"/>
      <w:bookmarkStart w:id="422" w:name="_Toc5305"/>
      <w:bookmarkStart w:id="423" w:name="_Toc11829"/>
    </w:p>
    <w:p w14:paraId="303BEF48">
      <w:pPr>
        <w:numPr>
          <w:ilvl w:val="0"/>
          <w:numId w:val="7"/>
        </w:numPr>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付款方式</w:t>
      </w:r>
      <w:bookmarkEnd w:id="418"/>
      <w:bookmarkEnd w:id="419"/>
      <w:bookmarkEnd w:id="420"/>
      <w:bookmarkEnd w:id="421"/>
      <w:bookmarkEnd w:id="422"/>
      <w:bookmarkEnd w:id="423"/>
    </w:p>
    <w:p w14:paraId="0BDEDCF9">
      <w:pPr>
        <w:pStyle w:val="10"/>
        <w:numPr>
          <w:ilvl w:val="-1"/>
          <w:numId w:val="0"/>
        </w:num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整体安装调试完毕并验收合格之后按年支付，服务期满一年后15个工作日内支付合同总金额的1/3，服务期满两年后15个工作日内支付合同总金额的1/3，服务期满三年后15个工作日内支付合同总金额的1/3。</w:t>
      </w:r>
    </w:p>
    <w:p w14:paraId="78B52847">
      <w:pPr>
        <w:widowControl/>
        <w:spacing w:line="400" w:lineRule="exact"/>
        <w:ind w:firstLine="422" w:firstLineChars="20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八</w:t>
      </w:r>
      <w:r>
        <w:rPr>
          <w:rFonts w:hint="eastAsia" w:ascii="宋体" w:hAnsi="宋体" w:eastAsia="宋体" w:cs="宋体"/>
          <w:b/>
          <w:bCs w:val="0"/>
          <w:color w:val="000000" w:themeColor="text1"/>
          <w:sz w:val="21"/>
          <w:szCs w:val="21"/>
          <w:highlight w:val="none"/>
          <w14:textFill>
            <w14:solidFill>
              <w14:schemeClr w14:val="tx1"/>
            </w14:solidFill>
          </w14:textFill>
        </w:rPr>
        <w:t xml:space="preserve">条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w:t>
      </w:r>
    </w:p>
    <w:p w14:paraId="793493A3">
      <w:pPr>
        <w:ind w:firstLine="420" w:firstLineChars="200"/>
        <w:rPr>
          <w:rFonts w:hint="default" w:ascii="Arial" w:hAnsi="Arial" w:eastAsia="宋体" w:cs="Times New Roman"/>
          <w:color w:val="000000"/>
          <w:spacing w:val="0"/>
          <w:position w:val="0"/>
          <w:sz w:val="21"/>
          <w:shd w:val="clear"/>
          <w:lang w:val="en-US" w:eastAsia="zh-CN"/>
        </w:rPr>
      </w:pPr>
      <w:bookmarkStart w:id="424" w:name="_Toc9322"/>
      <w:bookmarkStart w:id="425" w:name="_Toc17966"/>
      <w:r>
        <w:rPr>
          <w:rFonts w:hint="default" w:ascii="Arial" w:hAnsi="Arial" w:eastAsia="宋体" w:cs="Times New Roman"/>
          <w:color w:val="000000"/>
          <w:spacing w:val="0"/>
          <w:position w:val="0"/>
          <w:sz w:val="21"/>
          <w:shd w:val="clear"/>
          <w:lang w:val="en-US" w:eastAsia="zh-CN"/>
        </w:rPr>
        <w:t>无。</w:t>
      </w:r>
      <w:bookmarkEnd w:id="424"/>
    </w:p>
    <w:p w14:paraId="3AF4BE33">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426" w:name="_Toc17272"/>
      <w:bookmarkStart w:id="427" w:name="_Toc25941"/>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九</w:t>
      </w:r>
      <w:r>
        <w:rPr>
          <w:rFonts w:hint="eastAsia" w:ascii="宋体" w:hAnsi="宋体" w:eastAsia="宋体" w:cs="宋体"/>
          <w:b/>
          <w:bCs w:val="0"/>
          <w:color w:val="000000" w:themeColor="text1"/>
          <w:sz w:val="21"/>
          <w:szCs w:val="21"/>
          <w:highlight w:val="none"/>
          <w14:textFill>
            <w14:solidFill>
              <w14:schemeClr w14:val="tx1"/>
            </w14:solidFill>
          </w14:textFill>
        </w:rPr>
        <w:t>条  违约责任</w:t>
      </w:r>
      <w:bookmarkEnd w:id="425"/>
      <w:bookmarkEnd w:id="426"/>
      <w:bookmarkEnd w:id="427"/>
    </w:p>
    <w:p w14:paraId="0DE6A337">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乙方所提供的服务质量不合格的，应及时</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不及时的按逾期处罚，乙方应向甲方支付合同金额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违约金并赔偿甲方经济损失。</w:t>
      </w:r>
    </w:p>
    <w:p w14:paraId="1E310FE4">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乙方提供的服务如果侵犯了第三方合法权益而引发的任何纠纷或诉讼，均由乙方负责交涉并承担全部责任。</w:t>
      </w:r>
    </w:p>
    <w:p w14:paraId="68A9F18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乙方无故延期服务交付的，每天向甲方偿付违约合同金额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违约金，但违约金累计不得超过合同金额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天甲方有权解除合同，违约方承担因此给对方造成经济损失；甲方不能按期付款的，每天向乙方偿付延合同金额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滞纳金，但滞纳金累计不得超过合同金额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1835252A">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乙方未按本合同和投标文件中规定的服务承诺提供服务的，乙方应按本合同合同金额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向甲方支付违约金。</w:t>
      </w:r>
    </w:p>
    <w:p w14:paraId="72C1ED3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其他违约行为按照合同金额额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19A27BD7">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428" w:name="_Toc1538"/>
      <w:bookmarkStart w:id="429" w:name="_Toc11857"/>
      <w:bookmarkStart w:id="430" w:name="_Toc6699"/>
      <w:bookmarkStart w:id="431" w:name="_Toc8763"/>
      <w:bookmarkStart w:id="432" w:name="_Toc8363"/>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14:textFill>
            <w14:solidFill>
              <w14:schemeClr w14:val="tx1"/>
            </w14:solidFill>
          </w14:textFill>
        </w:rPr>
        <w:t>条  不可抗力事件处理</w:t>
      </w:r>
      <w:bookmarkEnd w:id="428"/>
      <w:bookmarkEnd w:id="429"/>
      <w:bookmarkEnd w:id="430"/>
      <w:bookmarkEnd w:id="431"/>
      <w:bookmarkEnd w:id="432"/>
    </w:p>
    <w:p w14:paraId="7D40AE3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1、在合同有效期内，成交供应商因不可抗力事件导致不能履行合同，则合同履行期可延长，其延长期与不可抗力影响期相同。</w:t>
      </w:r>
    </w:p>
    <w:p w14:paraId="280EBF7C">
      <w:pPr>
        <w:numPr>
          <w:ilvl w:val="0"/>
          <w:numId w:val="8"/>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不可抗力事件发生后，应立即通知对方，并寄送有关权威机构出具的证明。</w:t>
      </w:r>
    </w:p>
    <w:p w14:paraId="51B444CB">
      <w:pPr>
        <w:numPr>
          <w:ilvl w:val="0"/>
          <w:numId w:val="8"/>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不可抗力事件延续一百二十天以上，双方应通过友好协商，确定是否继续履行合同。</w:t>
      </w:r>
    </w:p>
    <w:p w14:paraId="09080462">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433" w:name="_Toc17902"/>
      <w:bookmarkStart w:id="434" w:name="_Toc13925"/>
      <w:bookmarkStart w:id="435" w:name="_Toc8638"/>
      <w:bookmarkStart w:id="436" w:name="_Toc7311"/>
      <w:bookmarkStart w:id="437" w:name="_Toc17639"/>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cs="宋体"/>
          <w:b/>
          <w:bCs w:val="0"/>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val="0"/>
          <w:color w:val="000000" w:themeColor="text1"/>
          <w:sz w:val="21"/>
          <w:szCs w:val="21"/>
          <w:highlight w:val="none"/>
          <w14:textFill>
            <w14:solidFill>
              <w14:schemeClr w14:val="tx1"/>
            </w14:solidFill>
          </w14:textFill>
        </w:rPr>
        <w:t>条  合同争议解决</w:t>
      </w:r>
      <w:bookmarkEnd w:id="433"/>
      <w:bookmarkEnd w:id="434"/>
      <w:bookmarkEnd w:id="435"/>
      <w:bookmarkEnd w:id="436"/>
      <w:bookmarkEnd w:id="437"/>
    </w:p>
    <w:p w14:paraId="20FFFE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1、因服务问题发生争议的，应邀请国家认可的相关机构进行鉴定。服务符合要求的，鉴定费由采购人承担；服务不符合要求的，鉴定费由成交供应商承担。</w:t>
      </w:r>
    </w:p>
    <w:p w14:paraId="14DA52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w:t>
      </w:r>
      <w:r>
        <w:rPr>
          <w:rFonts w:hint="eastAsia" w:ascii="宋体" w:hAnsi="宋体" w:eastAsia="宋体" w:cs="宋体"/>
          <w:b w:val="0"/>
          <w:bCs w:val="0"/>
          <w:sz w:val="21"/>
          <w:szCs w:val="21"/>
          <w:lang w:val="en-US" w:eastAsia="zh-CN"/>
        </w:rPr>
        <w:t>甲方所在地有管辖权的人民法院</w:t>
      </w:r>
      <w:r>
        <w:rPr>
          <w:rFonts w:hint="eastAsia" w:ascii="宋体" w:hAnsi="宋体" w:eastAsia="宋体" w:cs="宋体"/>
          <w:color w:val="000000" w:themeColor="text1"/>
          <w:szCs w:val="21"/>
          <w:highlight w:val="none"/>
          <w14:textFill>
            <w14:solidFill>
              <w14:schemeClr w14:val="tx1"/>
            </w14:solidFill>
          </w14:textFill>
        </w:rPr>
        <w:t>提起诉讼。</w:t>
      </w:r>
    </w:p>
    <w:p w14:paraId="5CAE67D5">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3、诉讼期间，本合同继续履行。</w:t>
      </w:r>
    </w:p>
    <w:p w14:paraId="195BCD78">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438" w:name="_Toc17823"/>
      <w:bookmarkStart w:id="439" w:name="_Toc4291"/>
      <w:bookmarkStart w:id="440" w:name="_Toc12419"/>
      <w:bookmarkStart w:id="441" w:name="_Toc27483"/>
      <w:bookmarkStart w:id="442" w:name="_Toc12502"/>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14:textFill>
            <w14:solidFill>
              <w14:schemeClr w14:val="tx1"/>
            </w14:solidFill>
          </w14:textFill>
        </w:rPr>
        <w:t>条  合同生效及其它</w:t>
      </w:r>
      <w:bookmarkEnd w:id="438"/>
      <w:bookmarkEnd w:id="439"/>
      <w:bookmarkEnd w:id="440"/>
      <w:bookmarkEnd w:id="441"/>
      <w:bookmarkEnd w:id="442"/>
    </w:p>
    <w:p w14:paraId="237275B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1、合同经甲乙双方法定代表人或授权代表签字并加盖单位公章后生效。</w:t>
      </w:r>
    </w:p>
    <w:p w14:paraId="26F9AFE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2、合同执行中涉及采购资金和采购内容修改或补充的，需</w:t>
      </w:r>
      <w:r>
        <w:rPr>
          <w:rFonts w:hint="eastAsia" w:ascii="宋体" w:hAnsi="宋体" w:cs="宋体"/>
          <w:color w:val="000000" w:themeColor="text1"/>
          <w:szCs w:val="21"/>
          <w:highlight w:val="none"/>
          <w:lang w:eastAsia="zh-CN"/>
          <w14:textFill>
            <w14:solidFill>
              <w14:schemeClr w14:val="tx1"/>
            </w14:solidFill>
          </w14:textFill>
        </w:rPr>
        <w:t>本级</w:t>
      </w:r>
      <w:r>
        <w:rPr>
          <w:rFonts w:hint="eastAsia" w:ascii="宋体" w:hAnsi="宋体" w:eastAsia="宋体" w:cs="宋体"/>
          <w:color w:val="000000" w:themeColor="text1"/>
          <w:szCs w:val="21"/>
          <w:highlight w:val="none"/>
          <w14:textFill>
            <w14:solidFill>
              <w14:schemeClr w14:val="tx1"/>
            </w14:solidFill>
          </w14:textFill>
        </w:rPr>
        <w:t>财政部门审批，并签订书面补充协议报</w:t>
      </w:r>
      <w:r>
        <w:rPr>
          <w:rFonts w:hint="eastAsia" w:ascii="宋体" w:hAnsi="宋体" w:eastAsia="宋体" w:cs="宋体"/>
          <w:color w:val="000000" w:themeColor="text1"/>
          <w:highlight w:val="none"/>
          <w:lang w:val="en-US" w:eastAsia="zh-CN"/>
          <w14:textFill>
            <w14:solidFill>
              <w14:schemeClr w14:val="tx1"/>
            </w14:solidFill>
          </w14:textFill>
        </w:rPr>
        <w:t>本级财政部门</w:t>
      </w:r>
      <w:r>
        <w:rPr>
          <w:rFonts w:hint="eastAsia" w:ascii="宋体" w:hAnsi="宋体" w:eastAsia="宋体" w:cs="宋体"/>
          <w:color w:val="000000" w:themeColor="text1"/>
          <w:szCs w:val="21"/>
          <w:highlight w:val="none"/>
          <w14:textFill>
            <w14:solidFill>
              <w14:schemeClr w14:val="tx1"/>
            </w14:solidFill>
          </w14:textFill>
        </w:rPr>
        <w:t>备案，方可作为主合同不可分割的一部分。</w:t>
      </w:r>
    </w:p>
    <w:p w14:paraId="031358E1">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w:t>
      </w:r>
      <w:r>
        <w:rPr>
          <w:rFonts w:hint="eastAsia" w:ascii="宋体" w:hAnsi="宋体" w:eastAsia="宋体" w:cs="宋体"/>
          <w:color w:val="000000" w:themeColor="text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Cs w:val="21"/>
          <w:highlight w:val="none"/>
          <w14:textFill>
            <w14:solidFill>
              <w14:schemeClr w14:val="tx1"/>
            </w14:solidFill>
          </w14:textFill>
        </w:rPr>
        <w:t>》有关条文执行。</w:t>
      </w:r>
    </w:p>
    <w:p w14:paraId="260755DA">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443" w:name="_Toc18405"/>
      <w:bookmarkStart w:id="444" w:name="_Toc27868"/>
      <w:bookmarkStart w:id="445" w:name="_Toc6341"/>
      <w:bookmarkStart w:id="446" w:name="_Toc12956"/>
      <w:bookmarkStart w:id="447" w:name="_Toc31438"/>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val="0"/>
          <w:color w:val="000000" w:themeColor="text1"/>
          <w:sz w:val="21"/>
          <w:szCs w:val="21"/>
          <w:highlight w:val="none"/>
          <w14:textFill>
            <w14:solidFill>
              <w14:schemeClr w14:val="tx1"/>
            </w14:solidFill>
          </w14:textFill>
        </w:rPr>
        <w:t>条  合同的变更、终止与转让</w:t>
      </w:r>
      <w:bookmarkEnd w:id="443"/>
      <w:bookmarkEnd w:id="444"/>
      <w:bookmarkEnd w:id="445"/>
      <w:bookmarkEnd w:id="446"/>
      <w:bookmarkEnd w:id="447"/>
    </w:p>
    <w:p w14:paraId="0166C85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49D8D3B5">
      <w:pPr>
        <w:numPr>
          <w:ilvl w:val="0"/>
          <w:numId w:val="9"/>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成交供应商不得擅自转让其应履行的合同义务。</w:t>
      </w:r>
    </w:p>
    <w:p w14:paraId="6B39A903">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448" w:name="_Toc14327"/>
      <w:bookmarkStart w:id="449" w:name="_Toc32608"/>
      <w:bookmarkStart w:id="450" w:name="_Toc28150"/>
      <w:bookmarkStart w:id="451" w:name="_Toc11483"/>
      <w:bookmarkStart w:id="452" w:name="_Toc29783"/>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val="0"/>
          <w:color w:val="000000" w:themeColor="text1"/>
          <w:sz w:val="21"/>
          <w:szCs w:val="21"/>
          <w:highlight w:val="none"/>
          <w14:textFill>
            <w14:solidFill>
              <w14:schemeClr w14:val="tx1"/>
            </w14:solidFill>
          </w14:textFill>
        </w:rPr>
        <w:t>条  签订本合同依据</w:t>
      </w:r>
      <w:bookmarkEnd w:id="448"/>
      <w:bookmarkEnd w:id="449"/>
      <w:bookmarkEnd w:id="450"/>
      <w:bookmarkEnd w:id="451"/>
      <w:bookmarkEnd w:id="452"/>
    </w:p>
    <w:p w14:paraId="2593DB71">
      <w:pPr>
        <w:spacing w:line="360" w:lineRule="auto"/>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1、竞争性磋商文件；</w:t>
      </w:r>
    </w:p>
    <w:p w14:paraId="171EFB4F">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w:t>
      </w:r>
      <w:r>
        <w:rPr>
          <w:rFonts w:hint="eastAsia" w:ascii="宋体" w:hAnsi="宋体" w:eastAsia="宋体" w:cs="宋体"/>
          <w:color w:val="000000" w:themeColor="text1"/>
          <w:szCs w:val="21"/>
          <w:highlight w:val="none"/>
          <w:lang w:eastAsia="zh-CN"/>
          <w14:textFill>
            <w14:solidFill>
              <w14:schemeClr w14:val="tx1"/>
            </w14:solidFill>
          </w14:textFill>
        </w:rPr>
        <w:t>的响应（或应答）文件；</w:t>
      </w:r>
    </w:p>
    <w:p w14:paraId="63FEAFFE">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承诺书；</w:t>
      </w:r>
    </w:p>
    <w:p w14:paraId="54C67C50">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磋商中的磋商记录；</w:t>
      </w:r>
    </w:p>
    <w:p w14:paraId="530E9D55">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、成交通知书。</w:t>
      </w:r>
    </w:p>
    <w:p w14:paraId="7DCD03F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p>
    <w:p w14:paraId="6E34F21A">
      <w:pPr>
        <w:spacing w:line="40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政府采购合同双方自签订之日起将自动存档于“</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”平台上，采购人于合同签订之日起七个工作日内将一份合同原件送本级财政部门备案。</w:t>
      </w:r>
    </w:p>
    <w:p w14:paraId="3A894056">
      <w:pPr>
        <w:spacing w:line="400" w:lineRule="exact"/>
        <w:rPr>
          <w:rFonts w:hint="eastAsia" w:ascii="宋体" w:hAnsi="宋体" w:cs="宋体"/>
          <w:szCs w:val="21"/>
        </w:rPr>
      </w:pPr>
    </w:p>
    <w:p w14:paraId="4793BAE1">
      <w:pPr>
        <w:spacing w:line="400" w:lineRule="exact"/>
        <w:ind w:firstLine="630" w:firstLineChars="300"/>
        <w:rPr>
          <w:rFonts w:hint="eastAsia" w:ascii="宋体" w:hAnsi="宋体" w:cs="宋体"/>
          <w:szCs w:val="21"/>
          <w:u w:val="single"/>
        </w:rPr>
      </w:pPr>
      <w:r>
        <w:rPr>
          <w:rFonts w:hint="eastAsia" w:ascii="宋体" w:hAnsi="宋体" w:cs="宋体"/>
          <w:szCs w:val="21"/>
        </w:rPr>
        <w:t>采购人名称（公章）：</w:t>
      </w:r>
      <w:r>
        <w:rPr>
          <w:rFonts w:hint="eastAsia" w:ascii="宋体" w:hAnsi="宋体" w:cs="宋体"/>
          <w:szCs w:val="21"/>
          <w:u w:val="single"/>
        </w:rPr>
        <w:t xml:space="preserve">                 </w:t>
      </w:r>
      <w:r>
        <w:rPr>
          <w:rFonts w:hint="eastAsia" w:ascii="宋体" w:hAnsi="宋体" w:cs="宋体"/>
          <w:szCs w:val="21"/>
        </w:rPr>
        <w:t>成交供应商名称（公章）：</w:t>
      </w:r>
      <w:r>
        <w:rPr>
          <w:rFonts w:hint="eastAsia" w:ascii="宋体" w:hAnsi="宋体" w:cs="宋体"/>
          <w:szCs w:val="21"/>
          <w:u w:val="single"/>
        </w:rPr>
        <w:t xml:space="preserve">                                                    </w:t>
      </w:r>
    </w:p>
    <w:p w14:paraId="0624ED10">
      <w:pPr>
        <w:spacing w:line="400" w:lineRule="exact"/>
        <w:ind w:firstLine="630" w:firstLineChars="300"/>
        <w:rPr>
          <w:rFonts w:hint="eastAsia"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宋体"/>
          <w:szCs w:val="21"/>
          <w:u w:val="single"/>
        </w:rPr>
        <w:t xml:space="preserve">                                 </w:t>
      </w:r>
    </w:p>
    <w:p w14:paraId="3D904DE6">
      <w:pPr>
        <w:tabs>
          <w:tab w:val="left" w:pos="4680"/>
        </w:tabs>
        <w:spacing w:line="400" w:lineRule="exact"/>
        <w:ind w:firstLine="630" w:firstLineChars="300"/>
        <w:rPr>
          <w:rFonts w:hint="eastAsia" w:ascii="宋体" w:hAnsi="宋体" w:cs="宋体"/>
          <w:szCs w:val="21"/>
          <w:u w:val="single"/>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委托代理人：</w:t>
      </w:r>
      <w:r>
        <w:rPr>
          <w:rFonts w:hint="eastAsia" w:ascii="宋体" w:hAnsi="宋体" w:cs="宋体"/>
          <w:szCs w:val="21"/>
          <w:u w:val="single"/>
        </w:rPr>
        <w:t xml:space="preserve">                                 </w:t>
      </w:r>
    </w:p>
    <w:p w14:paraId="6CA56C49">
      <w:pPr>
        <w:tabs>
          <w:tab w:val="left" w:pos="5040"/>
        </w:tabs>
        <w:spacing w:line="400" w:lineRule="exact"/>
        <w:ind w:firstLine="630" w:firstLineChars="300"/>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电   话： </w:t>
      </w:r>
      <w:r>
        <w:rPr>
          <w:rFonts w:hint="eastAsia" w:ascii="宋体" w:hAnsi="宋体" w:cs="宋体"/>
          <w:szCs w:val="21"/>
          <w:u w:val="single"/>
        </w:rPr>
        <w:t xml:space="preserve">                                  </w:t>
      </w:r>
    </w:p>
    <w:p w14:paraId="4A7706C4">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u w:val="single"/>
        </w:rPr>
        <w:t xml:space="preserve">                                   </w:t>
      </w:r>
    </w:p>
    <w:p w14:paraId="399353F6">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14:paraId="7D4F15D6">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p>
    <w:p w14:paraId="34E20D9A">
      <w:pPr>
        <w:tabs>
          <w:tab w:val="left" w:pos="5040"/>
        </w:tabs>
        <w:spacing w:line="360" w:lineRule="auto"/>
        <w:ind w:firstLine="630" w:firstLineChars="3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D67F6DD">
      <w:pPr>
        <w:pStyle w:val="10"/>
        <w:rPr>
          <w:rFonts w:hint="eastAsia" w:ascii="宋体" w:hAnsi="宋体" w:eastAsia="宋体" w:cs="宋体"/>
          <w:color w:val="auto"/>
          <w:highlight w:val="none"/>
        </w:rPr>
      </w:pPr>
    </w:p>
    <w:p w14:paraId="69686626">
      <w:pPr>
        <w:rPr>
          <w:rFonts w:hint="eastAsia" w:ascii="宋体" w:hAnsi="宋体" w:eastAsia="宋体" w:cs="宋体"/>
          <w:color w:val="auto"/>
          <w:highlight w:val="none"/>
        </w:rPr>
      </w:pPr>
    </w:p>
    <w:p w14:paraId="4E4EE106">
      <w:pPr>
        <w:pStyle w:val="4"/>
        <w:jc w:val="center"/>
        <w:rPr>
          <w:rFonts w:hint="eastAsia" w:ascii="宋体" w:hAnsi="宋体" w:eastAsia="宋体" w:cs="宋体"/>
          <w:b/>
          <w:bCs/>
          <w:color w:val="auto"/>
          <w:kern w:val="44"/>
          <w:sz w:val="32"/>
          <w:szCs w:val="32"/>
          <w:highlight w:val="none"/>
        </w:rPr>
      </w:pPr>
      <w:bookmarkStart w:id="453" w:name="_Toc24269"/>
      <w:bookmarkStart w:id="454" w:name="_Toc5077"/>
      <w:bookmarkStart w:id="455" w:name="_Toc10014"/>
    </w:p>
    <w:p w14:paraId="55A9D5E6">
      <w:pPr>
        <w:pStyle w:val="4"/>
        <w:jc w:val="center"/>
        <w:rPr>
          <w:rFonts w:hint="eastAsia" w:ascii="宋体" w:hAnsi="宋体" w:eastAsia="宋体" w:cs="宋体"/>
          <w:b/>
          <w:bCs/>
          <w:color w:val="auto"/>
          <w:kern w:val="44"/>
          <w:sz w:val="32"/>
          <w:szCs w:val="32"/>
          <w:highlight w:val="none"/>
        </w:rPr>
      </w:pPr>
    </w:p>
    <w:bookmarkEnd w:id="453"/>
    <w:bookmarkEnd w:id="454"/>
    <w:bookmarkEnd w:id="455"/>
    <w:p w14:paraId="52B846F7">
      <w:pPr>
        <w:pStyle w:val="4"/>
        <w:ind w:left="0" w:leftChars="0" w:firstLine="0" w:firstLineChars="0"/>
        <w:rPr>
          <w:rFonts w:hint="eastAsia" w:ascii="宋体" w:hAnsi="宋体" w:eastAsia="宋体" w:cs="宋体"/>
          <w:color w:val="auto"/>
          <w:highlight w:val="none"/>
        </w:rPr>
      </w:pPr>
    </w:p>
    <w:p w14:paraId="65A0A95B">
      <w:pPr>
        <w:rPr>
          <w:rFonts w:hint="eastAsia" w:ascii="宋体" w:hAnsi="宋体" w:eastAsia="宋体" w:cs="宋体"/>
          <w:color w:val="auto"/>
          <w:highlight w:val="none"/>
        </w:rPr>
      </w:pPr>
    </w:p>
    <w:p w14:paraId="371B0C00">
      <w:pPr>
        <w:rPr>
          <w:rFonts w:hint="eastAsia" w:ascii="宋体" w:hAnsi="宋体" w:eastAsia="宋体" w:cs="宋体"/>
          <w:color w:val="auto"/>
          <w:highlight w:val="none"/>
        </w:rPr>
      </w:pPr>
    </w:p>
    <w:p w14:paraId="72EAD943">
      <w:pPr>
        <w:pStyle w:val="4"/>
        <w:rPr>
          <w:rFonts w:hint="eastAsia"/>
          <w:color w:val="auto"/>
          <w:highlight w:val="none"/>
        </w:rPr>
      </w:pPr>
    </w:p>
    <w:p w14:paraId="1724CAFE">
      <w:pPr>
        <w:rPr>
          <w:rFonts w:hint="eastAsia"/>
          <w:color w:val="auto"/>
          <w:highlight w:val="none"/>
        </w:rPr>
      </w:pPr>
    </w:p>
    <w:p w14:paraId="23E61905">
      <w:pPr>
        <w:pStyle w:val="32"/>
        <w:rPr>
          <w:rFonts w:hint="eastAsia"/>
          <w:color w:val="auto"/>
          <w:highlight w:val="none"/>
        </w:rPr>
      </w:pPr>
    </w:p>
    <w:p w14:paraId="783CB40A">
      <w:pPr>
        <w:pStyle w:val="32"/>
        <w:rPr>
          <w:rFonts w:hint="eastAsia"/>
          <w:color w:val="auto"/>
          <w:highlight w:val="none"/>
        </w:rPr>
      </w:pPr>
    </w:p>
    <w:p w14:paraId="7E6B4164">
      <w:pPr>
        <w:pStyle w:val="32"/>
        <w:rPr>
          <w:rFonts w:hint="eastAsia"/>
          <w:color w:val="auto"/>
          <w:highlight w:val="none"/>
        </w:rPr>
      </w:pPr>
    </w:p>
    <w:p w14:paraId="7B03D9F6">
      <w:pPr>
        <w:pStyle w:val="32"/>
        <w:rPr>
          <w:rFonts w:hint="eastAsia"/>
          <w:color w:val="auto"/>
          <w:highlight w:val="none"/>
        </w:rPr>
      </w:pPr>
    </w:p>
    <w:p w14:paraId="123072B4">
      <w:pPr>
        <w:pStyle w:val="4"/>
        <w:ind w:firstLine="3200" w:firstLineChars="1000"/>
        <w:rPr>
          <w:rFonts w:hint="eastAsia" w:ascii="宋体" w:hAnsi="宋体" w:eastAsia="宋体" w:cs="宋体"/>
          <w:b/>
          <w:color w:val="auto"/>
          <w:sz w:val="32"/>
          <w:highlight w:val="none"/>
          <w:lang w:eastAsia="zh-CN"/>
        </w:rPr>
      </w:pPr>
      <w:bookmarkStart w:id="456" w:name="_Toc21552"/>
      <w:bookmarkStart w:id="457" w:name="_Toc6270"/>
      <w:bookmarkStart w:id="458" w:name="_Toc4018"/>
      <w:bookmarkStart w:id="459" w:name="_Toc2281"/>
      <w:bookmarkStart w:id="460" w:name="_Toc22521"/>
      <w:bookmarkStart w:id="461" w:name="_Toc18351"/>
      <w:bookmarkStart w:id="462" w:name="_Toc497927069"/>
      <w:bookmarkStart w:id="463" w:name="_Toc21496"/>
      <w:r>
        <w:rPr>
          <w:rFonts w:hint="eastAsia" w:ascii="宋体" w:hAnsi="宋体" w:eastAsia="宋体" w:cs="宋体"/>
          <w:b/>
          <w:bCs/>
          <w:color w:val="auto"/>
          <w:kern w:val="44"/>
          <w:sz w:val="32"/>
          <w:szCs w:val="32"/>
          <w:highlight w:val="none"/>
        </w:rPr>
        <w:t xml:space="preserve">第六章  </w:t>
      </w:r>
      <w:r>
        <w:rPr>
          <w:rFonts w:hint="eastAsia" w:ascii="宋体" w:hAnsi="宋体" w:eastAsia="宋体" w:cs="宋体"/>
          <w:b/>
          <w:bCs/>
          <w:color w:val="auto"/>
          <w:sz w:val="32"/>
          <w:szCs w:val="32"/>
          <w:highlight w:val="none"/>
        </w:rPr>
        <w:t>响应文件（格式）</w:t>
      </w:r>
      <w:bookmarkEnd w:id="456"/>
      <w:bookmarkEnd w:id="457"/>
      <w:bookmarkEnd w:id="458"/>
      <w:bookmarkEnd w:id="459"/>
      <w:bookmarkEnd w:id="460"/>
    </w:p>
    <w:p w14:paraId="0A910840">
      <w:pPr>
        <w:pStyle w:val="14"/>
        <w:jc w:val="both"/>
        <w:rPr>
          <w:rFonts w:hint="eastAsia" w:ascii="宋体" w:hAnsi="宋体" w:eastAsia="宋体" w:cs="宋体"/>
          <w:b/>
          <w:color w:val="auto"/>
          <w:sz w:val="32"/>
          <w:highlight w:val="none"/>
          <w:lang w:eastAsia="zh-CN"/>
        </w:rPr>
      </w:pPr>
    </w:p>
    <w:p w14:paraId="39AA8E08">
      <w:pPr>
        <w:pStyle w:val="14"/>
        <w:jc w:val="both"/>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一、响应文件袋（盒、箱）标记</w:t>
      </w:r>
      <w:bookmarkEnd w:id="461"/>
      <w:bookmarkEnd w:id="462"/>
      <w:bookmarkEnd w:id="463"/>
    </w:p>
    <w:p w14:paraId="2020F54D">
      <w:pPr>
        <w:adjustRightInd w:val="0"/>
        <w:snapToGrid w:val="0"/>
        <w:rPr>
          <w:rFonts w:hint="eastAsia" w:ascii="宋体" w:hAnsi="宋体" w:eastAsia="宋体" w:cs="宋体"/>
          <w:b/>
          <w:color w:val="auto"/>
          <w:sz w:val="44"/>
          <w:szCs w:val="44"/>
          <w:highlight w:val="none"/>
        </w:rPr>
      </w:pPr>
    </w:p>
    <w:p w14:paraId="38A3EAA9">
      <w:pPr>
        <w:pStyle w:val="32"/>
        <w:rPr>
          <w:rFonts w:hint="eastAsia" w:ascii="宋体" w:hAnsi="宋体" w:eastAsia="宋体" w:cs="宋体"/>
          <w:color w:val="auto"/>
          <w:highlight w:val="none"/>
        </w:rPr>
      </w:pPr>
    </w:p>
    <w:p w14:paraId="6BAD2B0C">
      <w:pPr>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752E433D">
      <w:pPr>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67B6276F">
      <w:pPr>
        <w:snapToGrid w:val="0"/>
        <w:spacing w:before="156" w:beforeLines="50" w:after="50"/>
        <w:ind w:firstLine="420" w:firstLineChars="150"/>
        <w:rPr>
          <w:rFonts w:hint="eastAsia" w:ascii="宋体" w:hAnsi="宋体" w:eastAsia="宋体" w:cs="宋体"/>
          <w:b/>
          <w:color w:val="auto"/>
          <w:sz w:val="28"/>
          <w:szCs w:val="28"/>
          <w:highlight w:val="none"/>
        </w:rPr>
      </w:pPr>
    </w:p>
    <w:p w14:paraId="60F37D87">
      <w:pPr>
        <w:snapToGrid w:val="0"/>
        <w:spacing w:before="156" w:beforeLines="50" w:after="50"/>
        <w:ind w:firstLine="420" w:firstLineChars="150"/>
        <w:rPr>
          <w:rFonts w:hint="eastAsia" w:ascii="宋体" w:hAnsi="宋体" w:eastAsia="宋体" w:cs="宋体"/>
          <w:b/>
          <w:color w:val="000000" w:themeColor="text1"/>
          <w:sz w:val="28"/>
          <w:szCs w:val="28"/>
          <w:highlight w:val="none"/>
          <w14:textFill>
            <w14:solidFill>
              <w14:schemeClr w14:val="tx1"/>
            </w14:solidFill>
          </w14:textFill>
        </w:rPr>
      </w:pPr>
    </w:p>
    <w:p w14:paraId="2D7C226B">
      <w:pPr>
        <w:ind w:left="3913" w:leftChars="1197" w:hanging="1400" w:hangingChars="500"/>
        <w:rPr>
          <w:rStyle w:val="38"/>
          <w:rFonts w:hint="eastAsia" w:ascii="宋体"/>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项目名称：</w:t>
      </w:r>
      <w:r>
        <w:rPr>
          <w:rFonts w:hint="eastAsia" w:ascii="宋体" w:hAnsi="宋体" w:cs="宋体"/>
          <w:b/>
          <w:bCs w:val="0"/>
          <w:color w:val="000000" w:themeColor="text1"/>
          <w:sz w:val="28"/>
          <w:szCs w:val="28"/>
          <w:highlight w:val="none"/>
          <w:u w:val="single"/>
          <w:lang w:val="en-US" w:eastAsia="zh-CN"/>
          <w14:textFill>
            <w14:solidFill>
              <w14:schemeClr w14:val="tx1"/>
            </w14:solidFill>
          </w14:textFill>
        </w:rPr>
        <w:t>荔浦市电子政务外网横向接入专线服务</w:t>
      </w:r>
    </w:p>
    <w:p w14:paraId="559FF02C">
      <w:pPr>
        <w:snapToGrid w:val="0"/>
        <w:spacing w:before="156" w:beforeLines="50" w:after="50"/>
        <w:ind w:left="4310" w:leftChars="1330" w:hanging="1517" w:hangingChars="542"/>
        <w:rPr>
          <w:rFonts w:hint="eastAsia" w:ascii="宋体" w:hAnsi="宋体" w:eastAsia="宋体" w:cs="宋体"/>
          <w:b/>
          <w:bCs w:val="0"/>
          <w:color w:val="000000" w:themeColor="text1"/>
          <w:sz w:val="28"/>
          <w:szCs w:val="28"/>
          <w:highlight w:val="none"/>
          <w:u w:val="single"/>
          <w:lang w:eastAsia="zh-CN"/>
          <w14:textFill>
            <w14:solidFill>
              <w14:schemeClr w14:val="tx1"/>
            </w14:solidFill>
          </w14:textFill>
        </w:rPr>
      </w:pPr>
    </w:p>
    <w:p w14:paraId="6F4267CD">
      <w:pPr>
        <w:snapToGrid w:val="0"/>
        <w:spacing w:before="156" w:beforeLines="50" w:after="50"/>
        <w:ind w:firstLine="2693" w:firstLineChars="962"/>
        <w:rPr>
          <w:rFonts w:hint="eastAsia" w:ascii="宋体" w:hAnsi="宋体" w:eastAsia="宋体" w:cs="宋体"/>
          <w:b/>
          <w:bCs w:val="0"/>
          <w:color w:val="000000" w:themeColor="text1"/>
          <w:sz w:val="28"/>
          <w:szCs w:val="28"/>
          <w:highlight w:val="none"/>
          <w14:textFill>
            <w14:solidFill>
              <w14:schemeClr w14:val="tx1"/>
            </w14:solidFill>
          </w14:textFill>
        </w:rPr>
      </w:pPr>
    </w:p>
    <w:p w14:paraId="7A262CC3">
      <w:pPr>
        <w:snapToGrid w:val="0"/>
        <w:spacing w:before="156" w:beforeLines="50" w:after="50"/>
        <w:ind w:firstLine="2693" w:firstLineChars="962"/>
        <w:rPr>
          <w:rFonts w:hint="eastAsia" w:ascii="宋体" w:hAnsi="宋体" w:eastAsia="宋体" w:cs="宋体"/>
          <w:b/>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项目编号：</w:t>
      </w:r>
      <w:r>
        <w:rPr>
          <w:rFonts w:hint="eastAsia" w:ascii="宋体" w:hAnsi="宋体" w:cs="宋体"/>
          <w:b/>
          <w:bCs w:val="0"/>
          <w:color w:val="000000" w:themeColor="text1"/>
          <w:sz w:val="28"/>
          <w:szCs w:val="28"/>
          <w:highlight w:val="none"/>
          <w:u w:val="single"/>
          <w:lang w:val="en-US" w:eastAsia="zh-CN"/>
          <w14:textFill>
            <w14:solidFill>
              <w14:schemeClr w14:val="tx1"/>
            </w14:solidFill>
          </w14:textFill>
        </w:rPr>
        <w:t>GLZC2026-C3-310007-GLSZ</w:t>
      </w:r>
    </w:p>
    <w:p w14:paraId="2D0533FA">
      <w:pPr>
        <w:rPr>
          <w:rFonts w:hint="eastAsia" w:ascii="宋体" w:hAnsi="宋体" w:eastAsia="宋体" w:cs="宋体"/>
          <w:b/>
          <w:color w:val="auto"/>
          <w:highlight w:val="none"/>
        </w:rPr>
      </w:pPr>
    </w:p>
    <w:p w14:paraId="5A1C498A">
      <w:pPr>
        <w:pStyle w:val="32"/>
        <w:rPr>
          <w:rFonts w:hint="eastAsia" w:ascii="宋体" w:hAnsi="宋体" w:eastAsia="宋体" w:cs="宋体"/>
          <w:b/>
          <w:color w:val="auto"/>
          <w:sz w:val="28"/>
          <w:szCs w:val="28"/>
          <w:highlight w:val="none"/>
        </w:rPr>
      </w:pPr>
    </w:p>
    <w:p w14:paraId="5FF7C7BA">
      <w:pPr>
        <w:pStyle w:val="32"/>
        <w:rPr>
          <w:rFonts w:hint="eastAsia" w:ascii="宋体" w:hAnsi="宋体" w:eastAsia="宋体" w:cs="宋体"/>
          <w:b/>
          <w:color w:val="auto"/>
          <w:sz w:val="28"/>
          <w:szCs w:val="28"/>
          <w:highlight w:val="none"/>
        </w:rPr>
      </w:pPr>
    </w:p>
    <w:p w14:paraId="5959D34C">
      <w:pPr>
        <w:snapToGrid w:val="0"/>
        <w:spacing w:before="156" w:beforeLines="50" w:after="50"/>
        <w:ind w:firstLine="2693" w:firstLineChars="962"/>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桂林市政府集中采购中心   </w:t>
      </w:r>
    </w:p>
    <w:p w14:paraId="45E16EA7">
      <w:pPr>
        <w:pStyle w:val="11"/>
        <w:ind w:left="980" w:hanging="560" w:hangingChars="200"/>
        <w:rPr>
          <w:rFonts w:hint="eastAsia" w:ascii="宋体" w:hAnsi="宋体" w:eastAsia="宋体" w:cs="宋体"/>
          <w:bCs/>
          <w:color w:val="auto"/>
          <w:sz w:val="28"/>
          <w:szCs w:val="28"/>
          <w:highlight w:val="none"/>
        </w:rPr>
      </w:pPr>
      <w:bookmarkStart w:id="464" w:name="_Toc4932_WPSOffice_Level2"/>
      <w:bookmarkStart w:id="465" w:name="_Toc20319_WPSOffice_Level2"/>
      <w:r>
        <w:rPr>
          <w:rFonts w:hint="eastAsia" w:ascii="宋体" w:hAnsi="宋体" w:eastAsia="宋体" w:cs="宋体"/>
          <w:bCs/>
          <w:color w:val="auto"/>
          <w:sz w:val="28"/>
          <w:szCs w:val="28"/>
          <w:highlight w:val="none"/>
          <w:lang w:eastAsia="zh-CN"/>
        </w:rPr>
        <w:t>磋商供应商</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公章</w:t>
      </w:r>
      <w:r>
        <w:rPr>
          <w:rFonts w:hint="eastAsia" w:ascii="宋体" w:hAnsi="宋体" w:eastAsia="宋体" w:cs="宋体"/>
          <w:bCs/>
          <w:color w:val="auto"/>
          <w:sz w:val="28"/>
          <w:szCs w:val="28"/>
          <w:highlight w:val="none"/>
          <w:lang w:val="en-US" w:eastAsia="zh-CN"/>
        </w:rPr>
        <w:t>(CA签章)</w:t>
      </w:r>
      <w:r>
        <w:rPr>
          <w:rFonts w:hint="eastAsia" w:ascii="宋体" w:hAnsi="宋体" w:eastAsia="宋体" w:cs="宋体"/>
          <w:bCs/>
          <w:color w:val="auto"/>
          <w:sz w:val="28"/>
          <w:szCs w:val="28"/>
          <w:highlight w:val="none"/>
        </w:rPr>
        <w:t>、自然人除外</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bookmarkEnd w:id="464"/>
      <w:bookmarkEnd w:id="465"/>
      <w:r>
        <w:rPr>
          <w:rFonts w:hint="eastAsia" w:ascii="宋体" w:hAnsi="宋体" w:eastAsia="宋体" w:cs="宋体"/>
          <w:bCs/>
          <w:color w:val="auto"/>
          <w:sz w:val="28"/>
          <w:szCs w:val="28"/>
          <w:highlight w:val="none"/>
          <w:u w:val="single"/>
        </w:rPr>
        <w:t xml:space="preserve">       </w:t>
      </w:r>
    </w:p>
    <w:p w14:paraId="1BAC9880">
      <w:pPr>
        <w:pStyle w:val="14"/>
        <w:spacing w:line="320" w:lineRule="exact"/>
        <w:ind w:firstLine="420"/>
        <w:rPr>
          <w:rFonts w:hint="eastAsia" w:ascii="宋体" w:hAnsi="宋体" w:eastAsia="宋体" w:cs="宋体"/>
          <w:color w:val="auto"/>
          <w:sz w:val="28"/>
          <w:szCs w:val="28"/>
          <w:highlight w:val="none"/>
          <w:lang w:val="en-US" w:eastAsia="zh-CN"/>
        </w:rPr>
      </w:pPr>
      <w:bookmarkStart w:id="466" w:name="_Toc32056_WPSOffice_Level2"/>
      <w:bookmarkStart w:id="467" w:name="_Toc9622_WPSOffice_Level2"/>
      <w:r>
        <w:rPr>
          <w:rFonts w:hint="eastAsia" w:ascii="宋体" w:hAnsi="宋体" w:eastAsia="宋体" w:cs="宋体"/>
          <w:color w:val="auto"/>
          <w:sz w:val="28"/>
          <w:szCs w:val="28"/>
          <w:highlight w:val="none"/>
        </w:rPr>
        <w:t>法定代表人、负责人、自然人或相应的委托代理人签字</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或盖章</w:t>
      </w:r>
      <w:r>
        <w:rPr>
          <w:rFonts w:hint="eastAsia" w:ascii="宋体" w:hAnsi="宋体" w:eastAsia="宋体" w:cs="宋体"/>
          <w:color w:val="auto"/>
          <w:sz w:val="28"/>
          <w:szCs w:val="28"/>
          <w:highlight w:val="none"/>
          <w:lang w:val="en-US" w:eastAsia="zh-CN"/>
        </w:rPr>
        <w:t>(CA签章)]</w:t>
      </w:r>
    </w:p>
    <w:p w14:paraId="20097873">
      <w:pPr>
        <w:pStyle w:val="11"/>
        <w:ind w:left="980" w:hanging="560" w:hanging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（属自然人的应在签名处加盖大拇指指印</w:t>
      </w:r>
      <w:r>
        <w:rPr>
          <w:rFonts w:hint="eastAsia" w:ascii="宋体" w:hAnsi="宋体" w:eastAsia="宋体" w:cs="宋体"/>
          <w:color w:val="auto"/>
          <w:sz w:val="28"/>
          <w:szCs w:val="28"/>
          <w:highlight w:val="none"/>
          <w:lang w:eastAsia="zh-CN"/>
        </w:rPr>
        <w:t>或</w:t>
      </w:r>
      <w:r>
        <w:rPr>
          <w:rFonts w:hint="eastAsia" w:ascii="宋体" w:hAnsi="宋体" w:eastAsia="宋体" w:cs="宋体"/>
          <w:color w:val="auto"/>
          <w:sz w:val="28"/>
          <w:szCs w:val="28"/>
          <w:highlight w:val="none"/>
          <w:lang w:val="en-US" w:eastAsia="zh-CN"/>
        </w:rPr>
        <w:t>个人CA签章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6412F0AC">
      <w:pPr>
        <w:pStyle w:val="11"/>
        <w:ind w:left="980" w:hanging="560" w:hangingChars="20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bookmarkEnd w:id="466"/>
      <w:bookmarkEnd w:id="467"/>
      <w:r>
        <w:rPr>
          <w:rFonts w:hint="eastAsia" w:ascii="宋体" w:hAnsi="宋体" w:eastAsia="宋体" w:cs="宋体"/>
          <w:bCs/>
          <w:color w:val="auto"/>
          <w:sz w:val="28"/>
          <w:szCs w:val="28"/>
          <w:highlight w:val="none"/>
          <w:u w:val="single"/>
        </w:rPr>
        <w:t xml:space="preserve">                                                </w:t>
      </w:r>
    </w:p>
    <w:p w14:paraId="1BE5E088">
      <w:pPr>
        <w:pStyle w:val="11"/>
        <w:ind w:left="980" w:hanging="560" w:hangingChars="200"/>
        <w:rPr>
          <w:rFonts w:hint="eastAsia" w:ascii="宋体" w:hAnsi="宋体" w:eastAsia="宋体" w:cs="宋体"/>
          <w:bCs/>
          <w:color w:val="auto"/>
          <w:sz w:val="28"/>
          <w:szCs w:val="28"/>
          <w:highlight w:val="none"/>
        </w:rPr>
      </w:pPr>
      <w:bookmarkStart w:id="468" w:name="_Toc26465_WPSOffice_Level2"/>
      <w:bookmarkStart w:id="469" w:name="_Toc15933_WPSOffice_Level2"/>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End w:id="468"/>
      <w:bookmarkEnd w:id="469"/>
      <w:bookmarkStart w:id="470" w:name="_Toc21615"/>
      <w:bookmarkStart w:id="471" w:name="_Toc497927070"/>
      <w:bookmarkStart w:id="472" w:name="_Toc19430"/>
    </w:p>
    <w:p w14:paraId="19740392">
      <w:pPr>
        <w:pStyle w:val="16"/>
        <w:rPr>
          <w:rFonts w:hint="eastAsia"/>
        </w:rPr>
      </w:pPr>
    </w:p>
    <w:p w14:paraId="4AE06891">
      <w:pPr>
        <w:pStyle w:val="16"/>
        <w:rPr>
          <w:rFonts w:hint="eastAsia"/>
        </w:rPr>
      </w:pPr>
    </w:p>
    <w:p w14:paraId="381127FB">
      <w:pPr>
        <w:pStyle w:val="16"/>
        <w:rPr>
          <w:rFonts w:hint="eastAsia"/>
        </w:rPr>
      </w:pPr>
    </w:p>
    <w:p w14:paraId="07418B61">
      <w:pPr>
        <w:numPr>
          <w:ilvl w:val="0"/>
          <w:numId w:val="10"/>
        </w:num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响应文件组成</w:t>
      </w:r>
      <w:bookmarkEnd w:id="470"/>
      <w:bookmarkEnd w:id="471"/>
      <w:bookmarkEnd w:id="472"/>
    </w:p>
    <w:p w14:paraId="69518AB4">
      <w:pPr>
        <w:pStyle w:val="10"/>
        <w:numPr>
          <w:ilvl w:val="0"/>
          <w:numId w:val="0"/>
        </w:numPr>
        <w:rPr>
          <w:rFonts w:hint="eastAsia" w:ascii="宋体" w:hAnsi="宋体" w:eastAsia="宋体" w:cs="宋体"/>
          <w:color w:val="auto"/>
          <w:highlight w:val="none"/>
        </w:rPr>
      </w:pPr>
    </w:p>
    <w:p w14:paraId="21781E48">
      <w:pPr>
        <w:pStyle w:val="10"/>
        <w:numPr>
          <w:ilvl w:val="0"/>
          <w:numId w:val="0"/>
        </w:numPr>
        <w:rPr>
          <w:rFonts w:hint="eastAsia" w:ascii="宋体" w:hAnsi="宋体" w:eastAsia="宋体" w:cs="宋体"/>
          <w:color w:val="auto"/>
          <w:highlight w:val="none"/>
        </w:rPr>
      </w:pPr>
    </w:p>
    <w:p w14:paraId="678CD6FF">
      <w:pPr>
        <w:numPr>
          <w:ilvl w:val="0"/>
          <w:numId w:val="0"/>
        </w:numPr>
        <w:spacing w:line="400" w:lineRule="exact"/>
        <w:rPr>
          <w:rFonts w:hint="eastAsia" w:ascii="宋体" w:hAnsi="宋体" w:eastAsia="宋体" w:cs="宋体"/>
          <w:b/>
          <w:bCs/>
          <w:color w:val="auto"/>
          <w:sz w:val="28"/>
          <w:szCs w:val="28"/>
          <w:highlight w:val="none"/>
        </w:rPr>
      </w:pPr>
    </w:p>
    <w:p w14:paraId="4E4976D6">
      <w:pPr>
        <w:pStyle w:val="10"/>
        <w:rPr>
          <w:rFonts w:hint="eastAsia" w:ascii="宋体" w:hAnsi="宋体" w:eastAsia="宋体" w:cs="宋体"/>
          <w:b/>
          <w:bCs/>
          <w:color w:val="auto"/>
          <w:sz w:val="28"/>
          <w:szCs w:val="28"/>
          <w:highlight w:val="none"/>
          <w:lang w:eastAsia="zh-CN"/>
        </w:rPr>
      </w:pPr>
    </w:p>
    <w:p w14:paraId="51DEB33F">
      <w:pPr>
        <w:numPr>
          <w:ilvl w:val="0"/>
          <w:numId w:val="11"/>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DF2E1BC">
      <w:pPr>
        <w:pStyle w:val="10"/>
        <w:rPr>
          <w:rFonts w:hint="eastAsia" w:ascii="宋体" w:hAnsi="宋体" w:eastAsia="宋体" w:cs="宋体"/>
          <w:b/>
          <w:bCs/>
          <w:color w:val="auto"/>
          <w:sz w:val="28"/>
          <w:szCs w:val="28"/>
          <w:highlight w:val="none"/>
        </w:rPr>
      </w:pPr>
    </w:p>
    <w:p w14:paraId="20D83C34">
      <w:pPr>
        <w:pStyle w:val="10"/>
        <w:rPr>
          <w:rFonts w:hint="eastAsia" w:ascii="宋体" w:hAnsi="宋体" w:eastAsia="宋体" w:cs="宋体"/>
          <w:b/>
          <w:bCs/>
          <w:color w:val="auto"/>
          <w:sz w:val="28"/>
          <w:szCs w:val="28"/>
          <w:highlight w:val="none"/>
        </w:rPr>
      </w:pPr>
    </w:p>
    <w:p w14:paraId="5B9A63E6">
      <w:pPr>
        <w:numPr>
          <w:ilvl w:val="0"/>
          <w:numId w:val="11"/>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26A49DFE">
      <w:pPr>
        <w:pStyle w:val="10"/>
        <w:rPr>
          <w:rFonts w:hint="eastAsia" w:ascii="宋体" w:hAnsi="宋体" w:eastAsia="宋体" w:cs="宋体"/>
          <w:b/>
          <w:bCs/>
          <w:color w:val="auto"/>
          <w:sz w:val="28"/>
          <w:szCs w:val="28"/>
          <w:highlight w:val="none"/>
        </w:rPr>
      </w:pPr>
    </w:p>
    <w:p w14:paraId="7D7AD5B8">
      <w:pPr>
        <w:pStyle w:val="10"/>
        <w:rPr>
          <w:rFonts w:hint="eastAsia" w:ascii="宋体" w:hAnsi="宋体" w:eastAsia="宋体" w:cs="宋体"/>
          <w:b/>
          <w:bCs/>
          <w:color w:val="auto"/>
          <w:sz w:val="28"/>
          <w:szCs w:val="28"/>
          <w:highlight w:val="none"/>
        </w:rPr>
      </w:pPr>
    </w:p>
    <w:p w14:paraId="03B9615B">
      <w:pPr>
        <w:numPr>
          <w:ilvl w:val="0"/>
          <w:numId w:val="11"/>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4DE9CB3">
      <w:pPr>
        <w:pStyle w:val="32"/>
        <w:rPr>
          <w:rFonts w:hint="eastAsia" w:ascii="宋体" w:hAnsi="宋体" w:eastAsia="宋体" w:cs="宋体"/>
          <w:color w:val="auto"/>
          <w:highlight w:val="none"/>
        </w:rPr>
      </w:pPr>
    </w:p>
    <w:p w14:paraId="2EDE533A">
      <w:pPr>
        <w:tabs>
          <w:tab w:val="left" w:pos="5040"/>
        </w:tabs>
        <w:spacing w:line="400" w:lineRule="exact"/>
        <w:rPr>
          <w:rFonts w:hint="eastAsia" w:ascii="宋体" w:hAnsi="宋体" w:eastAsia="宋体" w:cs="宋体"/>
          <w:color w:val="auto"/>
          <w:szCs w:val="21"/>
          <w:highlight w:val="none"/>
        </w:rPr>
      </w:pPr>
    </w:p>
    <w:p w14:paraId="0246698B">
      <w:pPr>
        <w:pStyle w:val="10"/>
        <w:rPr>
          <w:rFonts w:hint="eastAsia" w:ascii="宋体" w:hAnsi="宋体" w:eastAsia="宋体" w:cs="宋体"/>
          <w:color w:val="auto"/>
          <w:szCs w:val="21"/>
          <w:highlight w:val="none"/>
        </w:rPr>
      </w:pPr>
    </w:p>
    <w:p w14:paraId="5AE5F225">
      <w:pPr>
        <w:pStyle w:val="10"/>
        <w:rPr>
          <w:rFonts w:hint="eastAsia" w:ascii="宋体" w:hAnsi="宋体" w:eastAsia="宋体" w:cs="宋体"/>
          <w:color w:val="auto"/>
          <w:szCs w:val="21"/>
          <w:highlight w:val="none"/>
        </w:rPr>
      </w:pPr>
    </w:p>
    <w:p w14:paraId="6E5B3199">
      <w:pPr>
        <w:pStyle w:val="10"/>
        <w:rPr>
          <w:rFonts w:hint="eastAsia" w:ascii="宋体" w:hAnsi="宋体" w:eastAsia="宋体" w:cs="宋体"/>
          <w:color w:val="auto"/>
          <w:szCs w:val="21"/>
          <w:highlight w:val="none"/>
        </w:rPr>
      </w:pPr>
    </w:p>
    <w:p w14:paraId="0DBBDB10">
      <w:pPr>
        <w:pStyle w:val="10"/>
        <w:rPr>
          <w:rFonts w:hint="eastAsia" w:ascii="宋体" w:hAnsi="宋体" w:eastAsia="宋体" w:cs="宋体"/>
          <w:color w:val="auto"/>
          <w:szCs w:val="21"/>
          <w:highlight w:val="none"/>
        </w:rPr>
      </w:pPr>
    </w:p>
    <w:p w14:paraId="6559F13A">
      <w:pPr>
        <w:rPr>
          <w:rFonts w:hint="eastAsia" w:ascii="宋体" w:hAnsi="宋体" w:eastAsia="宋体" w:cs="宋体"/>
          <w:color w:val="auto"/>
          <w:szCs w:val="21"/>
          <w:highlight w:val="none"/>
        </w:rPr>
      </w:pPr>
    </w:p>
    <w:p w14:paraId="5665D0F6">
      <w:pPr>
        <w:pStyle w:val="4"/>
        <w:rPr>
          <w:rFonts w:hint="eastAsia" w:ascii="宋体" w:hAnsi="宋体" w:eastAsia="宋体" w:cs="宋体"/>
          <w:color w:val="auto"/>
          <w:szCs w:val="21"/>
          <w:highlight w:val="none"/>
        </w:rPr>
      </w:pPr>
    </w:p>
    <w:p w14:paraId="09CC60E9">
      <w:pPr>
        <w:rPr>
          <w:rFonts w:hint="eastAsia" w:ascii="宋体" w:hAnsi="宋体" w:eastAsia="宋体" w:cs="宋体"/>
          <w:color w:val="auto"/>
          <w:szCs w:val="21"/>
          <w:highlight w:val="none"/>
        </w:rPr>
      </w:pPr>
    </w:p>
    <w:p w14:paraId="3901AFF8">
      <w:pPr>
        <w:pStyle w:val="4"/>
        <w:rPr>
          <w:rFonts w:hint="eastAsia" w:ascii="宋体" w:hAnsi="宋体" w:eastAsia="宋体" w:cs="宋体"/>
          <w:color w:val="auto"/>
          <w:szCs w:val="21"/>
          <w:highlight w:val="none"/>
        </w:rPr>
      </w:pPr>
    </w:p>
    <w:p w14:paraId="0E33F80B">
      <w:pPr>
        <w:rPr>
          <w:rFonts w:hint="eastAsia" w:ascii="宋体" w:hAnsi="宋体" w:eastAsia="宋体" w:cs="宋体"/>
          <w:color w:val="auto"/>
          <w:szCs w:val="21"/>
          <w:highlight w:val="none"/>
        </w:rPr>
      </w:pPr>
    </w:p>
    <w:p w14:paraId="51358BB7">
      <w:pPr>
        <w:pStyle w:val="4"/>
        <w:rPr>
          <w:rFonts w:hint="eastAsia" w:ascii="宋体" w:hAnsi="宋体" w:eastAsia="宋体" w:cs="宋体"/>
          <w:color w:val="auto"/>
          <w:szCs w:val="21"/>
          <w:highlight w:val="none"/>
        </w:rPr>
      </w:pPr>
    </w:p>
    <w:p w14:paraId="23ABC0E2">
      <w:pPr>
        <w:rPr>
          <w:rFonts w:hint="eastAsia" w:ascii="宋体" w:hAnsi="宋体" w:eastAsia="宋体" w:cs="宋体"/>
          <w:color w:val="auto"/>
          <w:szCs w:val="21"/>
          <w:highlight w:val="none"/>
        </w:rPr>
      </w:pPr>
    </w:p>
    <w:p w14:paraId="62F2A9C9">
      <w:pPr>
        <w:pStyle w:val="4"/>
        <w:rPr>
          <w:rFonts w:hint="eastAsia" w:ascii="宋体" w:hAnsi="宋体" w:eastAsia="宋体" w:cs="宋体"/>
          <w:color w:val="auto"/>
          <w:szCs w:val="21"/>
          <w:highlight w:val="none"/>
        </w:rPr>
      </w:pPr>
    </w:p>
    <w:p w14:paraId="5257F428">
      <w:pPr>
        <w:rPr>
          <w:rFonts w:hint="eastAsia" w:ascii="宋体" w:hAnsi="宋体" w:eastAsia="宋体" w:cs="宋体"/>
          <w:color w:val="auto"/>
          <w:szCs w:val="21"/>
          <w:highlight w:val="none"/>
        </w:rPr>
      </w:pPr>
    </w:p>
    <w:p w14:paraId="508D877C">
      <w:pPr>
        <w:pStyle w:val="4"/>
        <w:rPr>
          <w:rFonts w:hint="eastAsia"/>
        </w:rPr>
      </w:pPr>
    </w:p>
    <w:p w14:paraId="2C992E0D">
      <w:pPr>
        <w:rPr>
          <w:rFonts w:hint="eastAsia" w:ascii="宋体" w:hAnsi="宋体" w:eastAsia="宋体" w:cs="宋体"/>
          <w:color w:val="auto"/>
          <w:highlight w:val="none"/>
          <w:lang w:eastAsia="zh-CN"/>
        </w:rPr>
      </w:pPr>
      <w:bookmarkStart w:id="473" w:name="_Toc7185"/>
      <w:bookmarkStart w:id="474" w:name="_Toc497927071"/>
      <w:bookmarkStart w:id="475" w:name="_Toc11067"/>
    </w:p>
    <w:p w14:paraId="4A07F17D">
      <w:pPr>
        <w:rPr>
          <w:rFonts w:hint="eastAsia"/>
          <w:b/>
          <w:bCs/>
          <w:sz w:val="28"/>
          <w:szCs w:val="36"/>
          <w:lang w:eastAsia="zh-CN"/>
        </w:rPr>
      </w:pPr>
    </w:p>
    <w:p w14:paraId="02721089">
      <w:pPr>
        <w:ind w:firstLine="3080" w:firstLineChars="1100"/>
        <w:rPr>
          <w:rFonts w:hint="eastAsia"/>
          <w:b/>
          <w:bCs/>
          <w:sz w:val="28"/>
          <w:szCs w:val="36"/>
        </w:rPr>
      </w:pPr>
      <w:r>
        <w:rPr>
          <w:rFonts w:hint="eastAsia"/>
          <w:b/>
          <w:bCs/>
          <w:sz w:val="28"/>
          <w:szCs w:val="36"/>
          <w:lang w:eastAsia="zh-CN"/>
        </w:rPr>
        <w:t>（一）</w:t>
      </w:r>
      <w:r>
        <w:rPr>
          <w:rFonts w:hint="eastAsia"/>
          <w:b/>
          <w:bCs/>
          <w:sz w:val="28"/>
          <w:szCs w:val="36"/>
        </w:rPr>
        <w:t>资格性响应证明材料目录</w:t>
      </w:r>
      <w:bookmarkEnd w:id="473"/>
      <w:bookmarkEnd w:id="474"/>
      <w:bookmarkEnd w:id="475"/>
    </w:p>
    <w:p w14:paraId="5D1A5D72">
      <w:pPr>
        <w:rPr>
          <w:rFonts w:hint="eastAsia" w:ascii="宋体" w:hAnsi="宋体" w:eastAsia="宋体" w:cs="宋体"/>
          <w:color w:val="auto"/>
          <w:highlight w:val="none"/>
        </w:rPr>
      </w:pPr>
    </w:p>
    <w:p w14:paraId="278335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.供应商相应的法定代表人、负责人、自然人身份证正反两面</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p>
    <w:p w14:paraId="04CCFD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.供应商的授权委托书原件、委托代理人身份证正反面</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以及由县级以上（含县级）社会养老保险经办机构出具的供应商为委托代理人交纳的响应文件递交截止时间前</w:t>
      </w:r>
      <w:r>
        <w:rPr>
          <w:rFonts w:hint="eastAsia" w:ascii="宋体" w:hAnsi="宋体" w:cs="宋体"/>
          <w:color w:val="auto"/>
          <w:sz w:val="24"/>
          <w:highlight w:val="none"/>
          <w:lang w:eastAsia="zh-CN"/>
        </w:rPr>
        <w:t>三个月内任意一个月养老保险证明扫描件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除供应商为以下</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种情形的：</w:t>
      </w:r>
    </w:p>
    <w:p w14:paraId="45D40F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如供应商为截标时间前60日以内成立的公司，可以提供供应商与委托代理人签订的劳动合同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1ED045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（2）如供应商为事业单位，可以提供事业单位机构编制管理证</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或事业单位机构为其发放工资的工资条</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3CB05FBB">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（3）如委托代理人为免缴纳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人员，提供免缴纳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的证明材料</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及供应商与委托代理人签订的劳动合同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p>
    <w:p w14:paraId="7C5EAE3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81CE558">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属</w:t>
      </w:r>
      <w:r>
        <w:rPr>
          <w:rFonts w:hint="eastAsia" w:ascii="宋体" w:hAnsi="宋体" w:eastAsia="宋体" w:cs="宋体"/>
          <w:b/>
          <w:bCs/>
          <w:color w:val="auto"/>
          <w:sz w:val="24"/>
          <w:highlight w:val="none"/>
        </w:rPr>
        <w:t>自然人的应提供由县级以上（含县级）社会养老保险经办机构出具的自然人本人及委托代理人所交纳的响应文件递交截止时间前</w:t>
      </w:r>
      <w:r>
        <w:rPr>
          <w:rFonts w:hint="eastAsia" w:ascii="宋体" w:hAnsi="宋体" w:cs="宋体"/>
          <w:b/>
          <w:bCs/>
          <w:color w:val="auto"/>
          <w:sz w:val="24"/>
          <w:highlight w:val="none"/>
          <w:lang w:eastAsia="zh-CN"/>
        </w:rPr>
        <w:t>三个月内任意一个月养老保险证明扫描件</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（委托代理时必须提供）</w:t>
      </w:r>
      <w:r>
        <w:rPr>
          <w:rFonts w:hint="eastAsia" w:ascii="宋体" w:hAnsi="宋体" w:eastAsia="宋体" w:cs="宋体"/>
          <w:b/>
          <w:bCs/>
          <w:color w:val="auto"/>
          <w:sz w:val="24"/>
          <w:highlight w:val="none"/>
          <w:lang w:eastAsia="zh-CN"/>
        </w:rPr>
        <w:t>；</w:t>
      </w:r>
    </w:p>
    <w:p w14:paraId="711C69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 w:val="24"/>
          <w:highlight w:val="none"/>
        </w:rPr>
        <w:t>（必须提供）；</w:t>
      </w:r>
    </w:p>
    <w:p w14:paraId="47F9FB54">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0B2F472B">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.供应商的法人或者其他组织营业执照等证明文件</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（必须提供，自然人除外）；</w:t>
      </w:r>
    </w:p>
    <w:p w14:paraId="64073C06">
      <w:pPr>
        <w:tabs>
          <w:tab w:val="left" w:pos="1305"/>
        </w:tabs>
        <w:spacing w:line="400" w:lineRule="exact"/>
        <w:ind w:firstLine="420" w:firstLineChars="200"/>
        <w:rPr>
          <w:rFonts w:hint="eastAsia" w:ascii="宋体" w:hAnsi="宋体" w:eastAsia="宋体" w:cs="宋体"/>
          <w:color w:val="auto"/>
          <w:sz w:val="24"/>
          <w:highlight w:val="none"/>
          <w:u w:val="none"/>
          <w:lang w:val="en-US" w:eastAsia="zh-CN"/>
        </w:rPr>
      </w:pPr>
      <w:r>
        <w:rPr>
          <w:rFonts w:hint="eastAsia" w:ascii="宋体" w:hAnsi="宋体" w:cs="宋体"/>
          <w:b/>
          <w:color w:val="000000"/>
          <w:szCs w:val="21"/>
          <w:u w:val="none"/>
        </w:rPr>
        <w:t>注：供应商为企业（包括合伙企业），应提供</w:t>
      </w:r>
      <w:r>
        <w:rPr>
          <w:rFonts w:hint="eastAsia" w:ascii="宋体" w:hAnsi="宋体" w:cs="宋体"/>
          <w:b/>
          <w:color w:val="000000"/>
          <w:szCs w:val="21"/>
          <w:u w:val="none"/>
          <w:lang w:eastAsia="zh-CN"/>
        </w:rPr>
        <w:t>市场监管部门（登记机关）</w:t>
      </w:r>
      <w:r>
        <w:rPr>
          <w:rFonts w:hint="eastAsia" w:ascii="宋体" w:hAnsi="宋体" w:cs="宋体"/>
          <w:b/>
          <w:color w:val="000000"/>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5154F3C2">
      <w:pPr>
        <w:spacing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5.财务状况报告</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格式自拟，</w:t>
      </w:r>
      <w:r>
        <w:rPr>
          <w:rFonts w:hint="eastAsia" w:ascii="宋体" w:hAnsi="宋体" w:eastAsia="宋体" w:cs="宋体"/>
          <w:b/>
          <w:bCs/>
          <w:color w:val="auto"/>
          <w:sz w:val="24"/>
          <w:highlight w:val="none"/>
          <w:lang w:val="en-US" w:eastAsia="zh-CN"/>
        </w:rPr>
        <w:t>必须提供）；</w:t>
      </w:r>
    </w:p>
    <w:p w14:paraId="2551148B">
      <w:pPr>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eastAsia="宋体" w:cs="宋体"/>
          <w:color w:val="auto"/>
          <w:sz w:val="24"/>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color w:val="auto"/>
          <w:sz w:val="24"/>
          <w:highlight w:val="none"/>
          <w:lang w:val="en-US" w:eastAsia="zh-CN"/>
        </w:rPr>
        <w:t>扫描件</w:t>
      </w:r>
      <w:r>
        <w:rPr>
          <w:rFonts w:hint="eastAsia" w:ascii="宋体" w:hAnsi="宋体" w:eastAsia="宋体" w:cs="宋体"/>
          <w:b/>
          <w:bCs/>
          <w:color w:val="auto"/>
          <w:sz w:val="24"/>
          <w:highlight w:val="none"/>
          <w:lang w:val="en-US" w:eastAsia="zh-CN"/>
        </w:rPr>
        <w:t>（必须提供）</w:t>
      </w:r>
      <w:r>
        <w:rPr>
          <w:rFonts w:hint="eastAsia" w:ascii="宋体" w:hAnsi="宋体" w:cs="宋体"/>
          <w:b/>
          <w:bCs/>
          <w:color w:val="auto"/>
          <w:sz w:val="24"/>
          <w:highlight w:val="none"/>
          <w:lang w:val="en-US" w:eastAsia="zh-CN"/>
        </w:rPr>
        <w:t>。</w:t>
      </w:r>
    </w:p>
    <w:p w14:paraId="6A21FCD1">
      <w:pPr>
        <w:spacing w:line="360" w:lineRule="auto"/>
        <w:ind w:firstLine="480"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20341F67">
      <w:pPr>
        <w:rPr>
          <w:rFonts w:hint="default" w:ascii="宋体" w:hAnsi="宋体" w:eastAsia="宋体" w:cs="宋体"/>
          <w:color w:val="auto"/>
          <w:sz w:val="24"/>
          <w:highlight w:val="none"/>
          <w:lang w:val="en-US" w:eastAsia="zh-CN"/>
        </w:rPr>
      </w:pPr>
    </w:p>
    <w:p w14:paraId="261AD5B5">
      <w:pPr>
        <w:rPr>
          <w:rFonts w:hint="default" w:ascii="宋体" w:hAnsi="宋体" w:eastAsia="宋体" w:cs="宋体"/>
          <w:color w:val="auto"/>
          <w:sz w:val="24"/>
          <w:highlight w:val="none"/>
          <w:lang w:val="en-US" w:eastAsia="zh-CN"/>
        </w:rPr>
      </w:pPr>
    </w:p>
    <w:p w14:paraId="35361133">
      <w:pPr>
        <w:rPr>
          <w:rFonts w:hint="default" w:ascii="宋体" w:hAnsi="宋体" w:eastAsia="宋体" w:cs="宋体"/>
          <w:color w:val="auto"/>
          <w:sz w:val="24"/>
          <w:highlight w:val="none"/>
          <w:lang w:val="en-US" w:eastAsia="zh-CN"/>
        </w:rPr>
      </w:pPr>
    </w:p>
    <w:p w14:paraId="48510358">
      <w:pPr>
        <w:rPr>
          <w:rFonts w:hint="default" w:ascii="宋体" w:hAnsi="宋体" w:eastAsia="宋体" w:cs="宋体"/>
          <w:color w:val="auto"/>
          <w:sz w:val="24"/>
          <w:highlight w:val="none"/>
          <w:lang w:val="en-US" w:eastAsia="zh-CN"/>
        </w:rPr>
      </w:pPr>
    </w:p>
    <w:p w14:paraId="61603739">
      <w:pPr>
        <w:rPr>
          <w:rFonts w:hint="default" w:ascii="宋体" w:hAnsi="宋体" w:eastAsia="宋体" w:cs="宋体"/>
          <w:color w:val="auto"/>
          <w:sz w:val="24"/>
          <w:highlight w:val="none"/>
          <w:lang w:val="en-US" w:eastAsia="zh-CN"/>
        </w:rPr>
      </w:pPr>
    </w:p>
    <w:p w14:paraId="5B93D48B">
      <w:pPr>
        <w:rPr>
          <w:rFonts w:hint="default" w:ascii="宋体" w:hAnsi="宋体" w:eastAsia="宋体" w:cs="宋体"/>
          <w:color w:val="auto"/>
          <w:sz w:val="24"/>
          <w:highlight w:val="none"/>
          <w:lang w:val="en-US" w:eastAsia="zh-CN"/>
        </w:rPr>
      </w:pPr>
    </w:p>
    <w:p w14:paraId="6ADD134E">
      <w:pPr>
        <w:pStyle w:val="4"/>
        <w:rPr>
          <w:rFonts w:hint="default" w:ascii="宋体" w:hAnsi="宋体" w:eastAsia="宋体" w:cs="宋体"/>
          <w:color w:val="auto"/>
          <w:sz w:val="24"/>
          <w:highlight w:val="none"/>
          <w:lang w:val="en-US" w:eastAsia="zh-CN"/>
        </w:rPr>
      </w:pPr>
    </w:p>
    <w:p w14:paraId="466E6953">
      <w:pPr>
        <w:rPr>
          <w:rFonts w:hint="default" w:ascii="宋体" w:hAnsi="宋体" w:eastAsia="宋体" w:cs="宋体"/>
          <w:color w:val="auto"/>
          <w:sz w:val="24"/>
          <w:highlight w:val="none"/>
          <w:lang w:val="en-US" w:eastAsia="zh-CN"/>
        </w:rPr>
      </w:pPr>
    </w:p>
    <w:p w14:paraId="7A8AEC96">
      <w:pPr>
        <w:pStyle w:val="4"/>
        <w:rPr>
          <w:rFonts w:hint="default" w:ascii="宋体" w:hAnsi="宋体" w:eastAsia="宋体" w:cs="宋体"/>
          <w:color w:val="auto"/>
          <w:sz w:val="24"/>
          <w:highlight w:val="none"/>
          <w:lang w:val="en-US" w:eastAsia="zh-CN"/>
        </w:rPr>
      </w:pPr>
    </w:p>
    <w:p w14:paraId="22723664">
      <w:pPr>
        <w:rPr>
          <w:rFonts w:hint="default" w:ascii="宋体" w:hAnsi="宋体" w:eastAsia="宋体" w:cs="宋体"/>
          <w:color w:val="auto"/>
          <w:sz w:val="24"/>
          <w:highlight w:val="none"/>
          <w:lang w:val="en-US" w:eastAsia="zh-CN"/>
        </w:rPr>
      </w:pPr>
    </w:p>
    <w:p w14:paraId="1DA37DF5">
      <w:pPr>
        <w:pStyle w:val="4"/>
        <w:rPr>
          <w:rFonts w:hint="default" w:ascii="宋体" w:hAnsi="宋体" w:eastAsia="宋体" w:cs="宋体"/>
          <w:color w:val="auto"/>
          <w:sz w:val="24"/>
          <w:highlight w:val="none"/>
          <w:lang w:val="en-US" w:eastAsia="zh-CN"/>
        </w:rPr>
      </w:pPr>
    </w:p>
    <w:p w14:paraId="349BCC0F">
      <w:pPr>
        <w:rPr>
          <w:rFonts w:hint="default" w:ascii="宋体" w:hAnsi="宋体" w:eastAsia="宋体" w:cs="宋体"/>
          <w:color w:val="auto"/>
          <w:sz w:val="24"/>
          <w:highlight w:val="none"/>
          <w:lang w:val="en-US" w:eastAsia="zh-CN"/>
        </w:rPr>
      </w:pPr>
    </w:p>
    <w:p w14:paraId="7047E91C">
      <w:pPr>
        <w:pStyle w:val="4"/>
        <w:rPr>
          <w:rFonts w:hint="default" w:ascii="宋体" w:hAnsi="宋体" w:eastAsia="宋体" w:cs="宋体"/>
          <w:color w:val="auto"/>
          <w:sz w:val="24"/>
          <w:highlight w:val="none"/>
          <w:lang w:val="en-US" w:eastAsia="zh-CN"/>
        </w:rPr>
      </w:pPr>
    </w:p>
    <w:p w14:paraId="5A6AEB01">
      <w:pPr>
        <w:rPr>
          <w:rFonts w:hint="default" w:ascii="宋体" w:hAnsi="宋体" w:eastAsia="宋体" w:cs="宋体"/>
          <w:color w:val="auto"/>
          <w:sz w:val="24"/>
          <w:highlight w:val="none"/>
          <w:lang w:val="en-US" w:eastAsia="zh-CN"/>
        </w:rPr>
      </w:pPr>
    </w:p>
    <w:p w14:paraId="721DA3D8">
      <w:pPr>
        <w:pStyle w:val="4"/>
        <w:rPr>
          <w:rFonts w:hint="default" w:ascii="宋体" w:hAnsi="宋体" w:eastAsia="宋体" w:cs="宋体"/>
          <w:color w:val="auto"/>
          <w:sz w:val="24"/>
          <w:highlight w:val="none"/>
          <w:lang w:val="en-US" w:eastAsia="zh-CN"/>
        </w:rPr>
      </w:pPr>
    </w:p>
    <w:p w14:paraId="19AABBAE">
      <w:pPr>
        <w:rPr>
          <w:rFonts w:hint="default" w:ascii="宋体" w:hAnsi="宋体" w:eastAsia="宋体" w:cs="宋体"/>
          <w:color w:val="auto"/>
          <w:sz w:val="24"/>
          <w:highlight w:val="none"/>
          <w:lang w:val="en-US" w:eastAsia="zh-CN"/>
        </w:rPr>
      </w:pPr>
    </w:p>
    <w:p w14:paraId="2C4C8B58">
      <w:pPr>
        <w:pStyle w:val="4"/>
        <w:rPr>
          <w:rFonts w:hint="default" w:ascii="宋体" w:hAnsi="宋体" w:eastAsia="宋体" w:cs="宋体"/>
          <w:color w:val="auto"/>
          <w:sz w:val="24"/>
          <w:highlight w:val="none"/>
          <w:lang w:val="en-US" w:eastAsia="zh-CN"/>
        </w:rPr>
      </w:pPr>
    </w:p>
    <w:p w14:paraId="25096C87">
      <w:pPr>
        <w:rPr>
          <w:rFonts w:hint="default" w:ascii="宋体" w:hAnsi="宋体" w:eastAsia="宋体" w:cs="宋体"/>
          <w:color w:val="auto"/>
          <w:sz w:val="24"/>
          <w:highlight w:val="none"/>
          <w:lang w:val="en-US" w:eastAsia="zh-CN"/>
        </w:rPr>
      </w:pPr>
    </w:p>
    <w:p w14:paraId="31539475">
      <w:pPr>
        <w:pStyle w:val="4"/>
        <w:rPr>
          <w:rFonts w:hint="default" w:ascii="宋体" w:hAnsi="宋体" w:eastAsia="宋体" w:cs="宋体"/>
          <w:color w:val="auto"/>
          <w:sz w:val="24"/>
          <w:highlight w:val="none"/>
          <w:lang w:val="en-US" w:eastAsia="zh-CN"/>
        </w:rPr>
      </w:pPr>
    </w:p>
    <w:p w14:paraId="1AE80A45">
      <w:pPr>
        <w:rPr>
          <w:rFonts w:hint="default" w:ascii="宋体" w:hAnsi="宋体" w:eastAsia="宋体" w:cs="宋体"/>
          <w:color w:val="auto"/>
          <w:sz w:val="24"/>
          <w:highlight w:val="none"/>
          <w:lang w:val="en-US" w:eastAsia="zh-CN"/>
        </w:rPr>
      </w:pPr>
    </w:p>
    <w:p w14:paraId="3709FB7D">
      <w:pPr>
        <w:pStyle w:val="4"/>
        <w:rPr>
          <w:rFonts w:hint="default" w:ascii="宋体" w:hAnsi="宋体" w:eastAsia="宋体" w:cs="宋体"/>
          <w:color w:val="auto"/>
          <w:sz w:val="24"/>
          <w:highlight w:val="none"/>
          <w:lang w:val="en-US" w:eastAsia="zh-CN"/>
        </w:rPr>
      </w:pPr>
    </w:p>
    <w:p w14:paraId="7B385A4D">
      <w:pPr>
        <w:rPr>
          <w:rFonts w:hint="default" w:ascii="宋体" w:hAnsi="宋体" w:eastAsia="宋体" w:cs="宋体"/>
          <w:color w:val="auto"/>
          <w:sz w:val="24"/>
          <w:highlight w:val="none"/>
          <w:lang w:val="en-US" w:eastAsia="zh-CN"/>
        </w:rPr>
      </w:pPr>
    </w:p>
    <w:p w14:paraId="4BE09C7D">
      <w:pPr>
        <w:pStyle w:val="4"/>
        <w:rPr>
          <w:rFonts w:hint="default" w:ascii="宋体" w:hAnsi="宋体" w:eastAsia="宋体" w:cs="宋体"/>
          <w:color w:val="auto"/>
          <w:sz w:val="24"/>
          <w:highlight w:val="none"/>
          <w:lang w:val="en-US" w:eastAsia="zh-CN"/>
        </w:rPr>
      </w:pPr>
    </w:p>
    <w:p w14:paraId="6267011F">
      <w:pPr>
        <w:rPr>
          <w:rFonts w:hint="default" w:ascii="宋体" w:hAnsi="宋体" w:eastAsia="宋体" w:cs="宋体"/>
          <w:color w:val="auto"/>
          <w:sz w:val="24"/>
          <w:highlight w:val="none"/>
          <w:lang w:val="en-US" w:eastAsia="zh-CN"/>
        </w:rPr>
      </w:pPr>
    </w:p>
    <w:p w14:paraId="3315E073">
      <w:pPr>
        <w:pStyle w:val="4"/>
        <w:rPr>
          <w:rFonts w:hint="default" w:ascii="宋体" w:hAnsi="宋体" w:eastAsia="宋体" w:cs="宋体"/>
          <w:color w:val="auto"/>
          <w:sz w:val="24"/>
          <w:highlight w:val="none"/>
          <w:lang w:val="en-US" w:eastAsia="zh-CN"/>
        </w:rPr>
      </w:pPr>
    </w:p>
    <w:p w14:paraId="707545C2">
      <w:pPr>
        <w:rPr>
          <w:rFonts w:hint="default" w:ascii="宋体" w:hAnsi="宋体" w:eastAsia="宋体" w:cs="宋体"/>
          <w:color w:val="auto"/>
          <w:sz w:val="24"/>
          <w:highlight w:val="none"/>
          <w:lang w:val="en-US" w:eastAsia="zh-CN"/>
        </w:rPr>
      </w:pPr>
    </w:p>
    <w:p w14:paraId="42598271">
      <w:pPr>
        <w:pStyle w:val="4"/>
        <w:rPr>
          <w:rFonts w:hint="default"/>
          <w:lang w:val="en-US" w:eastAsia="zh-CN"/>
        </w:rPr>
      </w:pPr>
    </w:p>
    <w:p w14:paraId="383B0777">
      <w:pPr>
        <w:pStyle w:val="10"/>
        <w:rPr>
          <w:rFonts w:hint="eastAsia" w:ascii="宋体" w:hAnsi="宋体" w:eastAsia="宋体" w:cs="宋体"/>
          <w:color w:val="auto"/>
          <w:sz w:val="24"/>
          <w:highlight w:val="none"/>
        </w:rPr>
      </w:pPr>
    </w:p>
    <w:p w14:paraId="10AD1261">
      <w:pPr>
        <w:rPr>
          <w:rFonts w:hint="eastAsia" w:ascii="宋体" w:hAnsi="宋体" w:eastAsia="宋体" w:cs="宋体"/>
          <w:color w:val="auto"/>
          <w:sz w:val="24"/>
          <w:highlight w:val="none"/>
        </w:rPr>
      </w:pPr>
    </w:p>
    <w:p w14:paraId="606883BB">
      <w:pPr>
        <w:pStyle w:val="32"/>
        <w:rPr>
          <w:rFonts w:hint="eastAsia" w:ascii="宋体" w:hAnsi="宋体" w:eastAsia="宋体" w:cs="宋体"/>
          <w:color w:val="auto"/>
          <w:highlight w:val="none"/>
        </w:rPr>
      </w:pPr>
    </w:p>
    <w:p w14:paraId="62D440C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w:t>
      </w:r>
    </w:p>
    <w:p w14:paraId="27750F92">
      <w:pPr>
        <w:spacing w:line="440" w:lineRule="atLeast"/>
        <w:rPr>
          <w:rFonts w:hint="eastAsia" w:ascii="宋体" w:hAnsi="宋体" w:eastAsia="宋体" w:cs="宋体"/>
          <w:b/>
          <w:color w:val="auto"/>
          <w:sz w:val="28"/>
          <w:szCs w:val="28"/>
          <w:highlight w:val="none"/>
        </w:rPr>
      </w:pPr>
    </w:p>
    <w:p w14:paraId="56708337">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.供应商的授权委托书原件、委托代理人身份证正反面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以及由县级以上（含县级）社会养老保险经办机构出具的供应商为委托代理人交纳的响应文件递交截止时间前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除供应商为以下</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9D9091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1C99F544">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或事业单位机构为其发放工资的工资条</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73B9A68B">
      <w:pPr>
        <w:spacing w:line="440" w:lineRule="atLeast"/>
        <w:rPr>
          <w:rFonts w:hint="eastAsia" w:ascii="宋体" w:hAnsi="宋体" w:cs="宋体"/>
          <w:b/>
          <w:color w:val="auto"/>
          <w:sz w:val="28"/>
          <w:szCs w:val="28"/>
          <w:highlight w:val="none"/>
          <w:lang w:eastAsia="zh-CN"/>
        </w:rPr>
      </w:pPr>
      <w:r>
        <w:rPr>
          <w:rFonts w:hint="eastAsia" w:ascii="宋体" w:hAnsi="宋体" w:eastAsia="宋体" w:cs="宋体"/>
          <w:b/>
          <w:color w:val="auto"/>
          <w:sz w:val="28"/>
          <w:szCs w:val="28"/>
          <w:highlight w:val="none"/>
        </w:rPr>
        <w:t>（3）如委托代理人为免缴纳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人员，提供免缴纳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的证明材料</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及供应商与委托代理人签订的劳动合同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p>
    <w:p w14:paraId="2237C0AA">
      <w:pPr>
        <w:pStyle w:val="10"/>
        <w:rPr>
          <w:rFonts w:hint="eastAsia"/>
          <w:color w:val="auto"/>
          <w:highlight w:val="none"/>
          <w:lang w:eastAsia="zh-CN"/>
        </w:rPr>
      </w:pPr>
      <w:r>
        <w:rPr>
          <w:rFonts w:hint="eastAsia" w:ascii="宋体" w:hAnsi="宋体" w:cs="宋体"/>
          <w:b/>
          <w:color w:val="auto"/>
          <w:sz w:val="28"/>
          <w:szCs w:val="28"/>
          <w:highlight w:val="none"/>
          <w:lang w:val="en-US" w:eastAsia="zh-CN"/>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7C428A08">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属</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8"/>
          <w:szCs w:val="28"/>
          <w:highlight w:val="none"/>
        </w:rPr>
        <w:t>】（委托代理时必须提供；如为联合体的，授权委托书原件须由牵头人出具）</w:t>
      </w:r>
    </w:p>
    <w:p w14:paraId="3FF1ED77">
      <w:pPr>
        <w:pStyle w:val="14"/>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20E052C1">
      <w:pPr>
        <w:pStyle w:val="14"/>
        <w:ind w:firstLine="627" w:firstLineChars="196"/>
        <w:jc w:val="center"/>
        <w:rPr>
          <w:rFonts w:hint="eastAsia" w:ascii="宋体" w:hAnsi="宋体" w:eastAsia="宋体" w:cs="宋体"/>
          <w:b/>
          <w:color w:val="auto"/>
          <w:sz w:val="32"/>
          <w:highlight w:val="none"/>
        </w:rPr>
      </w:pPr>
      <w:bookmarkStart w:id="476" w:name="_Toc964_WPSOffice_Level1"/>
      <w:bookmarkStart w:id="477" w:name="_Toc5420_WPSOffice_Level1"/>
      <w:r>
        <w:rPr>
          <w:rFonts w:hint="eastAsia" w:ascii="宋体" w:hAnsi="宋体" w:eastAsia="宋体" w:cs="宋体"/>
          <w:b/>
          <w:color w:val="auto"/>
          <w:sz w:val="32"/>
          <w:highlight w:val="none"/>
        </w:rPr>
        <w:t>授权委托书（格式一）</w:t>
      </w:r>
      <w:bookmarkEnd w:id="476"/>
      <w:bookmarkEnd w:id="477"/>
    </w:p>
    <w:p w14:paraId="2ED24EF1">
      <w:pPr>
        <w:pStyle w:val="14"/>
        <w:rPr>
          <w:rFonts w:hint="eastAsia" w:ascii="宋体" w:hAnsi="宋体" w:eastAsia="宋体" w:cs="宋体"/>
          <w:color w:val="auto"/>
          <w:highlight w:val="none"/>
        </w:rPr>
      </w:pPr>
    </w:p>
    <w:p w14:paraId="7AD5832F">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桂林市政府集中采购中心 </w:t>
      </w:r>
    </w:p>
    <w:p w14:paraId="7A1E7ED9">
      <w:pPr>
        <w:spacing w:line="400" w:lineRule="exact"/>
        <w:rPr>
          <w:rFonts w:hint="eastAsia" w:ascii="宋体" w:hAnsi="宋体" w:eastAsia="宋体" w:cs="宋体"/>
          <w:color w:val="auto"/>
          <w:szCs w:val="21"/>
          <w:highlight w:val="none"/>
        </w:rPr>
      </w:pPr>
    </w:p>
    <w:p w14:paraId="74F65BC5">
      <w:pPr>
        <w:pStyle w:val="14"/>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712CED3B">
      <w:pPr>
        <w:pStyle w:val="14"/>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865E0CB">
      <w:pPr>
        <w:pStyle w:val="14"/>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4378C902">
      <w:pPr>
        <w:pStyle w:val="14"/>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F9578E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B34ABFD">
      <w:pPr>
        <w:spacing w:line="400" w:lineRule="exact"/>
        <w:ind w:firstLine="420" w:firstLineChars="200"/>
        <w:rPr>
          <w:rFonts w:hint="eastAsia" w:ascii="宋体" w:hAnsi="宋体" w:eastAsia="宋体" w:cs="宋体"/>
          <w:color w:val="auto"/>
          <w:kern w:val="0"/>
          <w:highlight w:val="none"/>
        </w:rPr>
      </w:pPr>
    </w:p>
    <w:p w14:paraId="5E2FBC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01219BD5">
      <w:pPr>
        <w:spacing w:line="400" w:lineRule="exact"/>
        <w:ind w:firstLine="420" w:firstLineChars="200"/>
        <w:rPr>
          <w:rFonts w:hint="eastAsia" w:ascii="宋体" w:hAnsi="宋体" w:eastAsia="宋体" w:cs="宋体"/>
          <w:color w:val="auto"/>
          <w:szCs w:val="21"/>
          <w:highlight w:val="none"/>
        </w:rPr>
      </w:pPr>
    </w:p>
    <w:p w14:paraId="74BF2154">
      <w:pPr>
        <w:spacing w:line="400" w:lineRule="exact"/>
        <w:ind w:firstLine="420" w:firstLineChars="200"/>
        <w:rPr>
          <w:rFonts w:hint="eastAsia" w:ascii="宋体" w:hAnsi="宋体" w:eastAsia="宋体" w:cs="宋体"/>
          <w:color w:val="auto"/>
          <w:szCs w:val="21"/>
          <w:highlight w:val="none"/>
        </w:rPr>
      </w:pPr>
    </w:p>
    <w:p w14:paraId="738435B0">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93E78A2">
      <w:pPr>
        <w:snapToGrid w:val="0"/>
        <w:spacing w:line="400" w:lineRule="exact"/>
        <w:ind w:firstLine="420"/>
        <w:rPr>
          <w:rFonts w:hint="eastAsia" w:ascii="宋体" w:hAnsi="宋体" w:eastAsia="宋体" w:cs="宋体"/>
          <w:color w:val="auto"/>
          <w:szCs w:val="21"/>
          <w:highlight w:val="none"/>
        </w:rPr>
      </w:pPr>
    </w:p>
    <w:p w14:paraId="03F8920D">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4CC9BBC">
      <w:pPr>
        <w:snapToGrid w:val="0"/>
        <w:spacing w:line="400" w:lineRule="exact"/>
        <w:ind w:firstLine="420"/>
        <w:rPr>
          <w:rFonts w:hint="eastAsia" w:ascii="宋体" w:hAnsi="宋体" w:eastAsia="宋体" w:cs="宋体"/>
          <w:color w:val="auto"/>
          <w:szCs w:val="21"/>
          <w:highlight w:val="none"/>
        </w:rPr>
      </w:pPr>
    </w:p>
    <w:p w14:paraId="218104ED">
      <w:pPr>
        <w:pStyle w:val="10"/>
        <w:rPr>
          <w:rFonts w:hint="eastAsia" w:ascii="宋体" w:hAnsi="宋体" w:eastAsia="宋体" w:cs="宋体"/>
          <w:color w:val="auto"/>
          <w:highlight w:val="none"/>
        </w:rPr>
      </w:pPr>
    </w:p>
    <w:p w14:paraId="4B9847F4">
      <w:pPr>
        <w:pStyle w:val="14"/>
        <w:spacing w:line="340" w:lineRule="exact"/>
        <w:ind w:firstLine="480"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注：</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的授权委托书原件、委托代理人身份证正反面</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以及由县级以上（含县级）社会养老保险经办机构出具的</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为委托代理人交纳的开标截止时间前</w:t>
      </w:r>
      <w:r>
        <w:rPr>
          <w:rFonts w:hint="eastAsia" w:hAnsi="宋体" w:cs="宋体"/>
          <w:b/>
          <w:color w:val="auto"/>
          <w:sz w:val="24"/>
          <w:highlight w:val="none"/>
          <w:lang w:val="en-US" w:eastAsia="zh-CN"/>
        </w:rPr>
        <w:t>三个月内任意一个月养老保险证明扫描件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为截标时间前60日以内成立的公司，可以提供</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为事业单位，可以提供事业单位机构编制管理证</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或事业单位机构为其发放工资的工资条</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；如委托代理人为免缴纳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人员，提供免缴纳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的证明材料</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及</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4"/>
          <w:highlight w:val="none"/>
          <w:lang w:val="en-US" w:eastAsia="zh-CN"/>
        </w:rPr>
        <w:t>）委托代理时必须提供。</w:t>
      </w:r>
    </w:p>
    <w:p w14:paraId="62A816AE">
      <w:pPr>
        <w:pStyle w:val="7"/>
        <w:rPr>
          <w:rFonts w:hint="eastAsia" w:ascii="宋体" w:hAnsi="宋体" w:eastAsia="宋体" w:cs="宋体"/>
          <w:b/>
          <w:color w:val="auto"/>
          <w:sz w:val="24"/>
          <w:highlight w:val="none"/>
          <w:lang w:val="en-US" w:eastAsia="zh-CN"/>
        </w:rPr>
      </w:pPr>
    </w:p>
    <w:p w14:paraId="26593D79">
      <w:pPr>
        <w:rPr>
          <w:rFonts w:hint="eastAsia" w:ascii="宋体" w:hAnsi="宋体" w:eastAsia="宋体" w:cs="宋体"/>
          <w:b/>
          <w:color w:val="auto"/>
          <w:sz w:val="24"/>
          <w:highlight w:val="none"/>
          <w:lang w:val="en-US" w:eastAsia="zh-CN"/>
        </w:rPr>
      </w:pPr>
    </w:p>
    <w:p w14:paraId="4ED4271C">
      <w:pPr>
        <w:pStyle w:val="14"/>
        <w:spacing w:line="340" w:lineRule="exact"/>
        <w:ind w:firstLine="420" w:firstLineChars="200"/>
        <w:rPr>
          <w:rFonts w:hint="eastAsia"/>
          <w:color w:val="auto"/>
          <w:highlight w:val="none"/>
        </w:rPr>
      </w:pPr>
    </w:p>
    <w:p w14:paraId="0B193283">
      <w:pPr>
        <w:pStyle w:val="7"/>
        <w:rPr>
          <w:rFonts w:hint="eastAsia"/>
          <w:color w:val="auto"/>
          <w:highlight w:val="none"/>
        </w:rPr>
      </w:pPr>
    </w:p>
    <w:p w14:paraId="548E5B51">
      <w:pPr>
        <w:rPr>
          <w:rFonts w:hint="eastAsia"/>
          <w:color w:val="auto"/>
          <w:highlight w:val="none"/>
        </w:rPr>
      </w:pPr>
    </w:p>
    <w:p w14:paraId="0303BB2B">
      <w:pPr>
        <w:pStyle w:val="14"/>
        <w:jc w:val="center"/>
        <w:rPr>
          <w:rFonts w:hint="eastAsia" w:ascii="宋体" w:hAnsi="宋体" w:eastAsia="宋体" w:cs="宋体"/>
          <w:b/>
          <w:color w:val="auto"/>
          <w:sz w:val="32"/>
          <w:highlight w:val="none"/>
        </w:rPr>
      </w:pPr>
      <w:bookmarkStart w:id="478" w:name="_Toc6975_WPSOffice_Level1"/>
      <w:bookmarkStart w:id="479" w:name="_Toc21370_WPSOffice_Level1"/>
      <w:r>
        <w:rPr>
          <w:rFonts w:hint="eastAsia" w:ascii="宋体" w:hAnsi="宋体" w:eastAsia="宋体" w:cs="宋体"/>
          <w:b/>
          <w:color w:val="auto"/>
          <w:sz w:val="32"/>
          <w:highlight w:val="none"/>
        </w:rPr>
        <w:t>授权委托书（格式二）</w:t>
      </w:r>
      <w:bookmarkEnd w:id="478"/>
      <w:bookmarkEnd w:id="479"/>
    </w:p>
    <w:p w14:paraId="6B1D6598">
      <w:pPr>
        <w:pStyle w:val="14"/>
        <w:jc w:val="both"/>
        <w:rPr>
          <w:rFonts w:hint="eastAsia" w:ascii="宋体" w:hAnsi="宋体" w:eastAsia="宋体" w:cs="宋体"/>
          <w:b/>
          <w:color w:val="auto"/>
          <w:sz w:val="32"/>
          <w:highlight w:val="none"/>
        </w:rPr>
      </w:pPr>
    </w:p>
    <w:p w14:paraId="67E5A139">
      <w:pPr>
        <w:pStyle w:val="14"/>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61895E1D">
      <w:pPr>
        <w:rPr>
          <w:rFonts w:hint="eastAsia" w:ascii="宋体" w:hAnsi="宋体" w:eastAsia="宋体" w:cs="宋体"/>
          <w:color w:val="auto"/>
          <w:highlight w:val="none"/>
        </w:rPr>
      </w:pPr>
    </w:p>
    <w:p w14:paraId="5DB46097">
      <w:pPr>
        <w:pStyle w:val="14"/>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49257D1">
      <w:pPr>
        <w:pStyle w:val="14"/>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0C961623">
      <w:pPr>
        <w:pStyle w:val="14"/>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07F9C880">
      <w:pPr>
        <w:pStyle w:val="14"/>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28969BE">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15AEE2DB">
      <w:pPr>
        <w:spacing w:line="340" w:lineRule="exact"/>
        <w:ind w:firstLine="420" w:firstLineChars="200"/>
        <w:rPr>
          <w:rFonts w:hint="eastAsia" w:ascii="宋体" w:hAnsi="宋体" w:eastAsia="宋体" w:cs="宋体"/>
          <w:color w:val="auto"/>
          <w:kern w:val="0"/>
          <w:highlight w:val="none"/>
        </w:rPr>
      </w:pPr>
    </w:p>
    <w:p w14:paraId="2E82501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C6DF54E">
      <w:pPr>
        <w:spacing w:line="340" w:lineRule="exact"/>
        <w:ind w:firstLine="420" w:firstLineChars="200"/>
        <w:rPr>
          <w:rFonts w:hint="eastAsia" w:ascii="宋体" w:hAnsi="宋体" w:eastAsia="宋体" w:cs="宋体"/>
          <w:color w:val="auto"/>
          <w:szCs w:val="21"/>
          <w:highlight w:val="none"/>
        </w:rPr>
      </w:pPr>
    </w:p>
    <w:p w14:paraId="0D10D5D6">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C42CBA9">
      <w:pPr>
        <w:pStyle w:val="14"/>
        <w:spacing w:line="400" w:lineRule="exact"/>
        <w:ind w:left="420" w:leftChars="200"/>
        <w:rPr>
          <w:rFonts w:hint="eastAsia" w:ascii="宋体" w:hAnsi="宋体" w:eastAsia="宋体" w:cs="宋体"/>
          <w:color w:val="auto"/>
          <w:szCs w:val="21"/>
          <w:highlight w:val="none"/>
        </w:rPr>
      </w:pPr>
    </w:p>
    <w:p w14:paraId="1CEC0DD5">
      <w:pPr>
        <w:pStyle w:val="14"/>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附：委托代理人身份证正反面</w:t>
      </w:r>
      <w:r>
        <w:rPr>
          <w:rFonts w:hint="eastAsia" w:hAnsi="宋体" w:cs="宋体"/>
          <w:b/>
          <w:color w:val="auto"/>
          <w:szCs w:val="21"/>
          <w:highlight w:val="none"/>
          <w:lang w:eastAsia="zh-CN"/>
        </w:rPr>
        <w:t>扫描件</w:t>
      </w:r>
    </w:p>
    <w:p w14:paraId="7E42F24B">
      <w:pPr>
        <w:rPr>
          <w:rFonts w:hint="eastAsia" w:ascii="宋体" w:hAnsi="宋体" w:eastAsia="宋体" w:cs="宋体"/>
          <w:b/>
          <w:color w:val="auto"/>
          <w:szCs w:val="21"/>
          <w:highlight w:val="none"/>
        </w:rPr>
      </w:pPr>
    </w:p>
    <w:p w14:paraId="78EC9978">
      <w:pPr>
        <w:pStyle w:val="10"/>
        <w:rPr>
          <w:rFonts w:hint="eastAsia" w:ascii="宋体" w:hAnsi="宋体" w:eastAsia="宋体" w:cs="宋体"/>
          <w:b/>
          <w:color w:val="auto"/>
          <w:szCs w:val="21"/>
          <w:highlight w:val="none"/>
        </w:rPr>
      </w:pPr>
    </w:p>
    <w:p w14:paraId="706DF790">
      <w:pPr>
        <w:pStyle w:val="10"/>
        <w:rPr>
          <w:rFonts w:hint="eastAsia" w:ascii="宋体" w:hAnsi="宋体" w:eastAsia="宋体" w:cs="宋体"/>
          <w:b/>
          <w:color w:val="auto"/>
          <w:szCs w:val="21"/>
          <w:highlight w:val="none"/>
        </w:rPr>
      </w:pPr>
    </w:p>
    <w:p w14:paraId="2B3A9BCE">
      <w:pPr>
        <w:pStyle w:val="10"/>
        <w:rPr>
          <w:rFonts w:hint="eastAsia" w:ascii="宋体" w:hAnsi="宋体" w:eastAsia="宋体" w:cs="宋体"/>
          <w:b/>
          <w:color w:val="auto"/>
          <w:szCs w:val="21"/>
          <w:highlight w:val="none"/>
        </w:rPr>
      </w:pPr>
    </w:p>
    <w:p w14:paraId="03355E86">
      <w:pPr>
        <w:pStyle w:val="10"/>
        <w:rPr>
          <w:rFonts w:hint="eastAsia" w:ascii="宋体" w:hAnsi="宋体" w:eastAsia="宋体" w:cs="宋体"/>
          <w:b/>
          <w:color w:val="auto"/>
          <w:szCs w:val="21"/>
          <w:highlight w:val="none"/>
        </w:rPr>
      </w:pPr>
    </w:p>
    <w:p w14:paraId="38B340A3">
      <w:pPr>
        <w:pStyle w:val="10"/>
        <w:rPr>
          <w:rFonts w:hint="eastAsia" w:ascii="宋体" w:hAnsi="宋体" w:eastAsia="宋体" w:cs="宋体"/>
          <w:b/>
          <w:color w:val="auto"/>
          <w:szCs w:val="21"/>
          <w:highlight w:val="none"/>
        </w:rPr>
      </w:pPr>
    </w:p>
    <w:p w14:paraId="5B6C40B5">
      <w:pPr>
        <w:pStyle w:val="10"/>
        <w:rPr>
          <w:rFonts w:hint="eastAsia" w:ascii="宋体" w:hAnsi="宋体" w:eastAsia="宋体" w:cs="宋体"/>
          <w:b/>
          <w:color w:val="auto"/>
          <w:szCs w:val="21"/>
          <w:highlight w:val="none"/>
        </w:rPr>
      </w:pPr>
    </w:p>
    <w:p w14:paraId="73B4382A">
      <w:pPr>
        <w:pStyle w:val="10"/>
        <w:rPr>
          <w:rFonts w:hint="eastAsia" w:ascii="宋体" w:hAnsi="宋体" w:eastAsia="宋体" w:cs="宋体"/>
          <w:b/>
          <w:color w:val="auto"/>
          <w:szCs w:val="21"/>
          <w:highlight w:val="none"/>
        </w:rPr>
      </w:pPr>
    </w:p>
    <w:p w14:paraId="6C1E4681">
      <w:pPr>
        <w:pStyle w:val="10"/>
        <w:rPr>
          <w:rFonts w:hint="eastAsia" w:ascii="宋体" w:hAnsi="宋体" w:eastAsia="宋体" w:cs="宋体"/>
          <w:b/>
          <w:color w:val="auto"/>
          <w:szCs w:val="21"/>
          <w:highlight w:val="none"/>
        </w:rPr>
      </w:pPr>
    </w:p>
    <w:p w14:paraId="664B840E">
      <w:pPr>
        <w:pStyle w:val="10"/>
        <w:rPr>
          <w:rFonts w:hint="eastAsia" w:ascii="宋体" w:hAnsi="宋体" w:eastAsia="宋体" w:cs="宋体"/>
          <w:b/>
          <w:color w:val="auto"/>
          <w:szCs w:val="21"/>
          <w:highlight w:val="none"/>
        </w:rPr>
      </w:pPr>
    </w:p>
    <w:p w14:paraId="7879EA8B">
      <w:pPr>
        <w:pStyle w:val="10"/>
        <w:rPr>
          <w:rFonts w:hint="eastAsia" w:ascii="宋体" w:hAnsi="宋体" w:eastAsia="宋体" w:cs="宋体"/>
          <w:b/>
          <w:color w:val="auto"/>
          <w:szCs w:val="21"/>
          <w:highlight w:val="none"/>
        </w:rPr>
      </w:pPr>
    </w:p>
    <w:p w14:paraId="29799FB0">
      <w:pPr>
        <w:pStyle w:val="10"/>
        <w:rPr>
          <w:rFonts w:hint="eastAsia" w:ascii="宋体" w:hAnsi="宋体" w:eastAsia="宋体" w:cs="宋体"/>
          <w:b/>
          <w:color w:val="auto"/>
          <w:szCs w:val="21"/>
          <w:highlight w:val="none"/>
        </w:rPr>
      </w:pPr>
    </w:p>
    <w:p w14:paraId="57328337">
      <w:pPr>
        <w:pStyle w:val="10"/>
        <w:rPr>
          <w:rFonts w:hint="eastAsia" w:ascii="宋体" w:hAnsi="宋体" w:eastAsia="宋体" w:cs="宋体"/>
          <w:b/>
          <w:color w:val="auto"/>
          <w:szCs w:val="21"/>
          <w:highlight w:val="none"/>
        </w:rPr>
      </w:pPr>
    </w:p>
    <w:p w14:paraId="7995C20A">
      <w:pPr>
        <w:pStyle w:val="10"/>
        <w:rPr>
          <w:rFonts w:hint="eastAsia" w:ascii="宋体" w:hAnsi="宋体" w:eastAsia="宋体" w:cs="宋体"/>
          <w:b/>
          <w:color w:val="auto"/>
          <w:szCs w:val="21"/>
          <w:highlight w:val="none"/>
        </w:rPr>
      </w:pPr>
    </w:p>
    <w:p w14:paraId="0C294F4C">
      <w:pPr>
        <w:rPr>
          <w:rFonts w:hint="eastAsia"/>
          <w:color w:val="auto"/>
          <w:highlight w:val="none"/>
        </w:rPr>
      </w:pPr>
    </w:p>
    <w:p w14:paraId="3222978D">
      <w:pPr>
        <w:pStyle w:val="10"/>
        <w:rPr>
          <w:rFonts w:hint="eastAsia" w:ascii="宋体" w:hAnsi="宋体" w:eastAsia="宋体" w:cs="宋体"/>
          <w:b/>
          <w:color w:val="auto"/>
          <w:szCs w:val="21"/>
          <w:highlight w:val="none"/>
        </w:rPr>
      </w:pPr>
    </w:p>
    <w:p w14:paraId="094D8381">
      <w:pPr>
        <w:rPr>
          <w:rFonts w:hint="eastAsia" w:ascii="宋体" w:hAnsi="宋体" w:eastAsia="宋体" w:cs="宋体"/>
          <w:b/>
          <w:color w:val="auto"/>
          <w:szCs w:val="21"/>
          <w:highlight w:val="none"/>
        </w:rPr>
      </w:pPr>
    </w:p>
    <w:p w14:paraId="700BF377">
      <w:pPr>
        <w:pStyle w:val="3"/>
        <w:rPr>
          <w:rFonts w:hint="eastAsia"/>
          <w:color w:val="auto"/>
          <w:highlight w:val="none"/>
        </w:rPr>
      </w:pPr>
    </w:p>
    <w:p w14:paraId="33056BE9">
      <w:pPr>
        <w:spacing w:line="440" w:lineRule="atLeast"/>
        <w:rPr>
          <w:rFonts w:hint="eastAsia" w:ascii="宋体" w:hAnsi="宋体" w:eastAsia="宋体" w:cs="宋体"/>
          <w:b/>
          <w:color w:val="auto"/>
          <w:sz w:val="28"/>
          <w:szCs w:val="28"/>
          <w:highlight w:val="none"/>
          <w:lang w:val="en-US" w:eastAsia="zh-CN"/>
        </w:rPr>
      </w:pPr>
    </w:p>
    <w:p w14:paraId="39740561">
      <w:pPr>
        <w:numPr>
          <w:ilvl w:val="-1"/>
          <w:numId w:val="0"/>
        </w:numPr>
        <w:spacing w:line="360" w:lineRule="auto"/>
        <w:ind w:firstLine="0" w:firstLineChars="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b/>
          <w:bCs/>
          <w:color w:val="000000" w:themeColor="text1"/>
          <w:sz w:val="28"/>
          <w:szCs w:val="28"/>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 w:val="28"/>
          <w:szCs w:val="28"/>
          <w:highlight w:val="none"/>
          <w14:textFill>
            <w14:solidFill>
              <w14:schemeClr w14:val="tx1"/>
            </w14:solidFill>
          </w14:textFill>
        </w:rPr>
        <w:t>（必须提供）；</w:t>
      </w:r>
    </w:p>
    <w:p w14:paraId="1BCB6DE5">
      <w:pPr>
        <w:pStyle w:val="14"/>
        <w:spacing w:line="340" w:lineRule="exact"/>
        <w:ind w:firstLine="480" w:firstLineChars="200"/>
        <w:rPr>
          <w:rFonts w:hint="eastAsia" w:ascii="宋体" w:hAnsi="宋体" w:eastAsia="宋体" w:cs="宋体"/>
          <w:b/>
          <w:color w:val="auto"/>
          <w:sz w:val="24"/>
          <w:szCs w:val="20"/>
          <w:highlight w:val="none"/>
        </w:rPr>
      </w:pPr>
      <w:r>
        <w:rPr>
          <w:rFonts w:hint="eastAsia" w:ascii="宋体" w:hAnsi="宋体" w:eastAsia="宋体" w:cs="宋体"/>
          <w:b/>
          <w:bCs w:val="0"/>
          <w:color w:val="auto"/>
          <w:sz w:val="24"/>
          <w:highlight w:val="none"/>
          <w:lang w:eastAsia="zh-CN"/>
        </w:rPr>
        <w:t>注：</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根据注册地信用中国网站的要求获取。</w:t>
      </w:r>
    </w:p>
    <w:p w14:paraId="74B2055E">
      <w:pPr>
        <w:pStyle w:val="14"/>
        <w:spacing w:line="400" w:lineRule="exact"/>
        <w:ind w:left="420" w:leftChars="200" w:firstLine="156"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56321E8">
      <w:pPr>
        <w:pStyle w:val="14"/>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AA3CE3F">
      <w:pPr>
        <w:pStyle w:val="14"/>
        <w:spacing w:line="400" w:lineRule="exact"/>
        <w:jc w:val="center"/>
        <w:rPr>
          <w:rFonts w:hint="eastAsia" w:ascii="宋体" w:hAnsi="宋体" w:eastAsia="宋体" w:cs="宋体"/>
          <w:b/>
          <w:color w:val="auto"/>
          <w:sz w:val="32"/>
          <w:szCs w:val="32"/>
          <w:highlight w:val="none"/>
        </w:rPr>
      </w:pPr>
      <w:bookmarkStart w:id="480" w:name="_Toc30304_WPSOffice_Level1"/>
      <w:bookmarkStart w:id="481" w:name="_Toc30890_WPSOffice_Level1"/>
      <w:r>
        <w:rPr>
          <w:rFonts w:hint="eastAsia" w:ascii="宋体" w:hAnsi="宋体" w:eastAsia="宋体" w:cs="宋体"/>
          <w:b/>
          <w:color w:val="auto"/>
          <w:sz w:val="32"/>
          <w:szCs w:val="32"/>
          <w:highlight w:val="none"/>
        </w:rPr>
        <w:t>声   明</w:t>
      </w:r>
      <w:bookmarkEnd w:id="480"/>
      <w:bookmarkEnd w:id="481"/>
    </w:p>
    <w:p w14:paraId="79A36899">
      <w:pPr>
        <w:pStyle w:val="14"/>
        <w:spacing w:line="400" w:lineRule="exact"/>
        <w:jc w:val="both"/>
        <w:rPr>
          <w:rFonts w:hint="eastAsia" w:ascii="宋体" w:hAnsi="宋体" w:eastAsia="宋体" w:cs="宋体"/>
          <w:b/>
          <w:color w:val="auto"/>
          <w:sz w:val="32"/>
          <w:szCs w:val="32"/>
          <w:highlight w:val="none"/>
        </w:rPr>
      </w:pPr>
    </w:p>
    <w:p w14:paraId="59A09E3E">
      <w:pPr>
        <w:pStyle w:val="7"/>
        <w:rPr>
          <w:rFonts w:hint="eastAsia"/>
        </w:rPr>
      </w:pPr>
    </w:p>
    <w:p w14:paraId="35B18CEE">
      <w:pPr>
        <w:pStyle w:val="14"/>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4A6F5555">
      <w:pPr>
        <w:rPr>
          <w:rFonts w:hint="eastAsia" w:ascii="宋体" w:hAnsi="宋体" w:eastAsia="宋体" w:cs="宋体"/>
          <w:color w:val="auto"/>
          <w:szCs w:val="21"/>
          <w:highlight w:val="none"/>
          <w:u w:val="single"/>
        </w:rPr>
      </w:pPr>
    </w:p>
    <w:p w14:paraId="03586E58">
      <w:pPr>
        <w:pStyle w:val="10"/>
        <w:rPr>
          <w:rFonts w:hint="eastAsia" w:ascii="宋体" w:hAnsi="宋体" w:eastAsia="宋体" w:cs="宋体"/>
          <w:color w:val="auto"/>
          <w:highlight w:val="none"/>
        </w:rPr>
      </w:pPr>
    </w:p>
    <w:p w14:paraId="235DBA7A">
      <w:pPr>
        <w:pStyle w:val="14"/>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7405883">
      <w:pPr>
        <w:rPr>
          <w:rFonts w:hint="eastAsia" w:ascii="宋体" w:hAnsi="宋体" w:eastAsia="宋体" w:cs="宋体"/>
          <w:color w:val="auto"/>
          <w:highlight w:val="none"/>
        </w:rPr>
      </w:pPr>
    </w:p>
    <w:p w14:paraId="0D7F95D7">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9514F7E">
      <w:pPr>
        <w:pStyle w:val="14"/>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E8C8370">
      <w:pPr>
        <w:pStyle w:val="14"/>
        <w:spacing w:line="340" w:lineRule="exact"/>
        <w:rPr>
          <w:rFonts w:hint="eastAsia" w:ascii="宋体" w:hAnsi="宋体" w:eastAsia="宋体" w:cs="宋体"/>
          <w:b/>
          <w:color w:val="auto"/>
          <w:sz w:val="28"/>
          <w:szCs w:val="28"/>
          <w:highlight w:val="none"/>
        </w:rPr>
      </w:pPr>
    </w:p>
    <w:p w14:paraId="168B051C">
      <w:pPr>
        <w:pStyle w:val="14"/>
        <w:spacing w:line="340" w:lineRule="exact"/>
        <w:rPr>
          <w:rFonts w:hint="eastAsia" w:ascii="宋体" w:hAnsi="宋体" w:eastAsia="宋体" w:cs="宋体"/>
          <w:b/>
          <w:color w:val="auto"/>
          <w:sz w:val="28"/>
          <w:szCs w:val="28"/>
          <w:highlight w:val="none"/>
          <w:lang w:val="en-US" w:eastAsia="zh-CN"/>
        </w:rPr>
      </w:pPr>
    </w:p>
    <w:p w14:paraId="7BF88AD7">
      <w:pPr>
        <w:pStyle w:val="14"/>
        <w:spacing w:line="340" w:lineRule="exact"/>
        <w:rPr>
          <w:rFonts w:hint="eastAsia" w:ascii="宋体" w:hAnsi="宋体" w:eastAsia="宋体" w:cs="宋体"/>
          <w:b/>
          <w:color w:val="auto"/>
          <w:sz w:val="28"/>
          <w:szCs w:val="28"/>
          <w:highlight w:val="none"/>
          <w:lang w:val="en-US" w:eastAsia="zh-CN"/>
        </w:rPr>
      </w:pPr>
    </w:p>
    <w:p w14:paraId="58ABF830">
      <w:pPr>
        <w:rPr>
          <w:rFonts w:hint="eastAsia" w:ascii="宋体" w:hAnsi="宋体" w:eastAsia="宋体" w:cs="宋体"/>
          <w:b/>
          <w:color w:val="auto"/>
          <w:sz w:val="28"/>
          <w:szCs w:val="28"/>
          <w:highlight w:val="none"/>
          <w:lang w:val="en-US" w:eastAsia="zh-CN"/>
        </w:rPr>
      </w:pPr>
    </w:p>
    <w:p w14:paraId="57663F32">
      <w:pPr>
        <w:pStyle w:val="8"/>
        <w:rPr>
          <w:rFonts w:hint="eastAsia"/>
          <w:lang w:val="en-US" w:eastAsia="zh-CN"/>
        </w:rPr>
      </w:pPr>
    </w:p>
    <w:p w14:paraId="4608A629">
      <w:pPr>
        <w:pStyle w:val="14"/>
        <w:spacing w:line="340" w:lineRule="exact"/>
        <w:rPr>
          <w:rFonts w:hint="eastAsia" w:ascii="宋体" w:hAnsi="宋体" w:eastAsia="宋体" w:cs="宋体"/>
          <w:b/>
          <w:color w:val="auto"/>
          <w:sz w:val="28"/>
          <w:szCs w:val="28"/>
          <w:highlight w:val="none"/>
          <w:lang w:val="en-US" w:eastAsia="zh-CN"/>
        </w:rPr>
      </w:pPr>
    </w:p>
    <w:p w14:paraId="6EAFE087">
      <w:pPr>
        <w:pStyle w:val="14"/>
        <w:spacing w:line="340" w:lineRule="exact"/>
        <w:rPr>
          <w:rFonts w:hint="eastAsia" w:ascii="宋体" w:hAnsi="宋体" w:eastAsia="宋体" w:cs="宋体"/>
          <w:b/>
          <w:color w:val="auto"/>
          <w:sz w:val="28"/>
          <w:szCs w:val="28"/>
          <w:highlight w:val="none"/>
          <w:lang w:val="en-US" w:eastAsia="zh-CN"/>
        </w:rPr>
      </w:pPr>
    </w:p>
    <w:p w14:paraId="0F703D0B">
      <w:pPr>
        <w:pStyle w:val="14"/>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w:t>
      </w:r>
      <w:r>
        <w:rPr>
          <w:rFonts w:hint="eastAsia"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（必须提供，自然人除外）；</w:t>
      </w:r>
    </w:p>
    <w:p w14:paraId="7694B6D8">
      <w:pPr>
        <w:tabs>
          <w:tab w:val="left" w:pos="1305"/>
        </w:tabs>
        <w:spacing w:line="340" w:lineRule="exact"/>
        <w:rPr>
          <w:rFonts w:hint="eastAsia" w:ascii="宋体" w:hAnsi="宋体" w:eastAsia="宋体" w:cs="宋体"/>
          <w:b/>
          <w:color w:val="auto"/>
          <w:szCs w:val="21"/>
          <w:highlight w:val="none"/>
        </w:rPr>
      </w:pPr>
    </w:p>
    <w:p w14:paraId="4AC66ACF">
      <w:pPr>
        <w:pStyle w:val="14"/>
        <w:spacing w:line="340" w:lineRule="exact"/>
        <w:ind w:firstLine="480" w:firstLineChars="200"/>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24EBA1E5">
      <w:pPr>
        <w:rPr>
          <w:rFonts w:hint="eastAsia"/>
          <w:color w:val="auto"/>
          <w:highlight w:val="none"/>
        </w:rPr>
      </w:pPr>
    </w:p>
    <w:p w14:paraId="3C06DC7C">
      <w:pPr>
        <w:pStyle w:val="14"/>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5.财务状况报告（</w:t>
      </w:r>
      <w:r>
        <w:rPr>
          <w:rFonts w:hint="eastAsia" w:hAnsi="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val="en-US" w:eastAsia="zh-CN"/>
        </w:rPr>
        <w:t>必须提供）；</w:t>
      </w:r>
    </w:p>
    <w:p w14:paraId="5AA8CF89">
      <w:pPr>
        <w:pStyle w:val="7"/>
        <w:ind w:left="0" w:leftChars="0" w:firstLine="0" w:firstLineChars="0"/>
        <w:rPr>
          <w:rFonts w:hint="eastAsia" w:ascii="宋体" w:hAnsi="宋体" w:eastAsia="宋体" w:cs="宋体"/>
          <w:color w:val="auto"/>
          <w:highlight w:val="none"/>
        </w:rPr>
      </w:pPr>
    </w:p>
    <w:p w14:paraId="4D828645">
      <w:pPr>
        <w:pStyle w:val="7"/>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b/>
          <w:color w:val="auto"/>
          <w:sz w:val="28"/>
          <w:szCs w:val="28"/>
          <w:highlight w:val="none"/>
          <w:lang w:val="en-US" w:eastAsia="zh-CN"/>
        </w:rPr>
        <w:t>扫描件</w:t>
      </w:r>
      <w:r>
        <w:rPr>
          <w:rFonts w:hint="eastAsia" w:ascii="宋体" w:hAnsi="宋体" w:eastAsia="宋体" w:cs="宋体"/>
          <w:b/>
          <w:color w:val="auto"/>
          <w:sz w:val="28"/>
          <w:szCs w:val="28"/>
          <w:highlight w:val="none"/>
          <w:lang w:val="en-US" w:eastAsia="zh-CN"/>
        </w:rPr>
        <w:t>（必须提供）</w:t>
      </w:r>
      <w:r>
        <w:rPr>
          <w:rFonts w:hint="eastAsia" w:ascii="宋体" w:hAnsi="宋体" w:cs="宋体"/>
          <w:b/>
          <w:color w:val="auto"/>
          <w:sz w:val="28"/>
          <w:szCs w:val="28"/>
          <w:highlight w:val="none"/>
          <w:lang w:val="en-US" w:eastAsia="zh-CN"/>
        </w:rPr>
        <w:t>。</w:t>
      </w:r>
    </w:p>
    <w:p w14:paraId="13700E69">
      <w:pPr>
        <w:pStyle w:val="14"/>
        <w:numPr>
          <w:ilvl w:val="0"/>
          <w:numId w:val="0"/>
        </w:numPr>
        <w:spacing w:line="340" w:lineRule="exact"/>
        <w:ind w:leftChars="0"/>
        <w:rPr>
          <w:rFonts w:hint="eastAsia" w:hAnsi="宋体" w:cs="宋体"/>
          <w:b/>
          <w:color w:val="auto"/>
          <w:sz w:val="28"/>
          <w:szCs w:val="28"/>
          <w:highlight w:val="none"/>
          <w:lang w:val="en-US" w:eastAsia="zh-CN"/>
        </w:rPr>
      </w:pPr>
    </w:p>
    <w:p w14:paraId="52BAF77F">
      <w:pPr>
        <w:pStyle w:val="7"/>
        <w:rPr>
          <w:rFonts w:hint="eastAsia"/>
          <w:color w:val="auto"/>
          <w:highlight w:val="none"/>
          <w:lang w:val="en-US" w:eastAsia="zh-CN"/>
        </w:rPr>
      </w:pPr>
    </w:p>
    <w:p w14:paraId="1F7874F9">
      <w:pPr>
        <w:numPr>
          <w:ilvl w:val="0"/>
          <w:numId w:val="0"/>
        </w:numPr>
        <w:ind w:left="420" w:leftChars="0"/>
        <w:jc w:val="center"/>
        <w:rPr>
          <w:rFonts w:hint="eastAsia" w:ascii="宋体" w:hAnsi="宋体" w:cs="宋体"/>
          <w:b/>
          <w:bCs/>
          <w:color w:val="auto"/>
          <w:sz w:val="32"/>
          <w:szCs w:val="32"/>
          <w:highlight w:val="none"/>
          <w:lang w:eastAsia="zh-CN"/>
        </w:rPr>
      </w:pPr>
    </w:p>
    <w:p w14:paraId="3896F240">
      <w:pPr>
        <w:numPr>
          <w:ilvl w:val="0"/>
          <w:numId w:val="0"/>
        </w:numPr>
        <w:ind w:left="420" w:leftChars="0"/>
        <w:jc w:val="center"/>
        <w:rPr>
          <w:rFonts w:hint="eastAsia" w:ascii="宋体" w:hAnsi="宋体" w:cs="宋体"/>
          <w:b/>
          <w:bCs/>
          <w:color w:val="auto"/>
          <w:sz w:val="32"/>
          <w:szCs w:val="32"/>
          <w:highlight w:val="none"/>
          <w:lang w:eastAsia="zh-CN"/>
        </w:rPr>
      </w:pPr>
    </w:p>
    <w:p w14:paraId="35EAA186">
      <w:pPr>
        <w:numPr>
          <w:ilvl w:val="0"/>
          <w:numId w:val="0"/>
        </w:numPr>
        <w:ind w:left="420" w:leftChars="0"/>
        <w:jc w:val="center"/>
        <w:rPr>
          <w:rFonts w:hint="eastAsia" w:ascii="宋体" w:hAnsi="宋体" w:cs="宋体"/>
          <w:b/>
          <w:bCs/>
          <w:color w:val="auto"/>
          <w:sz w:val="32"/>
          <w:szCs w:val="32"/>
          <w:highlight w:val="none"/>
          <w:lang w:eastAsia="zh-CN"/>
        </w:rPr>
      </w:pPr>
    </w:p>
    <w:p w14:paraId="6B79A427">
      <w:pPr>
        <w:numPr>
          <w:ilvl w:val="0"/>
          <w:numId w:val="0"/>
        </w:numPr>
        <w:ind w:left="420" w:leftChars="0"/>
        <w:jc w:val="center"/>
        <w:rPr>
          <w:rFonts w:hint="eastAsia" w:ascii="宋体" w:hAnsi="宋体" w:cs="宋体"/>
          <w:b/>
          <w:bCs/>
          <w:color w:val="auto"/>
          <w:sz w:val="32"/>
          <w:szCs w:val="32"/>
          <w:highlight w:val="none"/>
          <w:lang w:eastAsia="zh-CN"/>
        </w:rPr>
      </w:pPr>
    </w:p>
    <w:p w14:paraId="216A34FE">
      <w:pPr>
        <w:numPr>
          <w:ilvl w:val="0"/>
          <w:numId w:val="0"/>
        </w:numPr>
        <w:ind w:left="420" w:leftChars="0"/>
        <w:jc w:val="center"/>
        <w:rPr>
          <w:rFonts w:hint="eastAsia" w:ascii="宋体" w:hAnsi="宋体" w:cs="宋体"/>
          <w:b/>
          <w:bCs/>
          <w:color w:val="auto"/>
          <w:sz w:val="32"/>
          <w:szCs w:val="32"/>
          <w:highlight w:val="none"/>
          <w:lang w:eastAsia="zh-CN"/>
        </w:rPr>
      </w:pPr>
    </w:p>
    <w:p w14:paraId="069B57B1">
      <w:pPr>
        <w:numPr>
          <w:ilvl w:val="0"/>
          <w:numId w:val="0"/>
        </w:numPr>
        <w:ind w:left="420" w:leftChars="0"/>
        <w:jc w:val="center"/>
        <w:rPr>
          <w:rFonts w:hint="eastAsia" w:ascii="宋体" w:hAnsi="宋体" w:cs="宋体"/>
          <w:b/>
          <w:bCs/>
          <w:color w:val="auto"/>
          <w:sz w:val="32"/>
          <w:szCs w:val="32"/>
          <w:highlight w:val="none"/>
          <w:lang w:eastAsia="zh-CN"/>
        </w:rPr>
      </w:pPr>
    </w:p>
    <w:p w14:paraId="7C7C8613">
      <w:pPr>
        <w:numPr>
          <w:ilvl w:val="0"/>
          <w:numId w:val="0"/>
        </w:numPr>
        <w:ind w:left="420" w:leftChars="0"/>
        <w:jc w:val="center"/>
        <w:rPr>
          <w:rFonts w:hint="eastAsia" w:ascii="宋体" w:hAnsi="宋体" w:cs="宋体"/>
          <w:b/>
          <w:bCs/>
          <w:color w:val="auto"/>
          <w:sz w:val="32"/>
          <w:szCs w:val="32"/>
          <w:highlight w:val="none"/>
          <w:lang w:eastAsia="zh-CN"/>
        </w:rPr>
      </w:pPr>
    </w:p>
    <w:p w14:paraId="28D8E914">
      <w:pPr>
        <w:numPr>
          <w:ilvl w:val="0"/>
          <w:numId w:val="0"/>
        </w:numPr>
        <w:ind w:left="420" w:leftChars="0"/>
        <w:jc w:val="center"/>
        <w:rPr>
          <w:rFonts w:hint="eastAsia" w:ascii="宋体" w:hAnsi="宋体" w:cs="宋体"/>
          <w:b/>
          <w:bCs/>
          <w:color w:val="auto"/>
          <w:sz w:val="32"/>
          <w:szCs w:val="32"/>
          <w:highlight w:val="none"/>
          <w:lang w:eastAsia="zh-CN"/>
        </w:rPr>
      </w:pPr>
    </w:p>
    <w:p w14:paraId="1163C240">
      <w:pPr>
        <w:numPr>
          <w:ilvl w:val="0"/>
          <w:numId w:val="0"/>
        </w:numPr>
        <w:ind w:left="420" w:leftChars="0"/>
        <w:jc w:val="center"/>
        <w:rPr>
          <w:rFonts w:hint="eastAsia" w:ascii="宋体" w:hAnsi="宋体" w:cs="宋体"/>
          <w:b/>
          <w:bCs/>
          <w:color w:val="auto"/>
          <w:sz w:val="32"/>
          <w:szCs w:val="32"/>
          <w:highlight w:val="none"/>
          <w:lang w:eastAsia="zh-CN"/>
        </w:rPr>
      </w:pPr>
    </w:p>
    <w:p w14:paraId="572CF936">
      <w:pPr>
        <w:numPr>
          <w:ilvl w:val="0"/>
          <w:numId w:val="0"/>
        </w:numPr>
        <w:ind w:left="420" w:leftChars="0"/>
        <w:jc w:val="center"/>
        <w:rPr>
          <w:rFonts w:hint="eastAsia" w:ascii="宋体" w:hAnsi="宋体" w:cs="宋体"/>
          <w:b/>
          <w:bCs/>
          <w:color w:val="auto"/>
          <w:sz w:val="32"/>
          <w:szCs w:val="32"/>
          <w:highlight w:val="none"/>
          <w:lang w:eastAsia="zh-CN"/>
        </w:rPr>
      </w:pPr>
    </w:p>
    <w:p w14:paraId="3662B2F8">
      <w:pPr>
        <w:numPr>
          <w:ilvl w:val="0"/>
          <w:numId w:val="0"/>
        </w:numPr>
        <w:ind w:left="420" w:leftChars="0"/>
        <w:jc w:val="center"/>
        <w:rPr>
          <w:rFonts w:hint="eastAsia" w:ascii="宋体" w:hAnsi="宋体" w:cs="宋体"/>
          <w:b/>
          <w:bCs/>
          <w:color w:val="auto"/>
          <w:sz w:val="32"/>
          <w:szCs w:val="32"/>
          <w:highlight w:val="none"/>
          <w:lang w:eastAsia="zh-CN"/>
        </w:rPr>
      </w:pPr>
    </w:p>
    <w:p w14:paraId="6D3CAD23">
      <w:pPr>
        <w:numPr>
          <w:ilvl w:val="0"/>
          <w:numId w:val="0"/>
        </w:numPr>
        <w:ind w:left="420" w:leftChars="0"/>
        <w:jc w:val="center"/>
        <w:rPr>
          <w:rFonts w:hint="eastAsia" w:ascii="宋体" w:hAnsi="宋体" w:cs="宋体"/>
          <w:b/>
          <w:bCs/>
          <w:color w:val="auto"/>
          <w:sz w:val="32"/>
          <w:szCs w:val="32"/>
          <w:highlight w:val="none"/>
          <w:lang w:eastAsia="zh-CN"/>
        </w:rPr>
      </w:pPr>
    </w:p>
    <w:p w14:paraId="39FDC1C5">
      <w:pPr>
        <w:numPr>
          <w:ilvl w:val="0"/>
          <w:numId w:val="0"/>
        </w:numPr>
        <w:ind w:left="420" w:leftChars="0"/>
        <w:jc w:val="center"/>
        <w:rPr>
          <w:rFonts w:hint="eastAsia" w:ascii="宋体" w:hAnsi="宋体" w:cs="宋体"/>
          <w:b/>
          <w:bCs/>
          <w:color w:val="auto"/>
          <w:sz w:val="32"/>
          <w:szCs w:val="32"/>
          <w:highlight w:val="none"/>
          <w:lang w:eastAsia="zh-CN"/>
        </w:rPr>
      </w:pPr>
    </w:p>
    <w:p w14:paraId="2AD50A06">
      <w:pPr>
        <w:numPr>
          <w:ilvl w:val="0"/>
          <w:numId w:val="0"/>
        </w:numPr>
        <w:ind w:left="420" w:leftChars="0"/>
        <w:jc w:val="center"/>
        <w:rPr>
          <w:rFonts w:hint="eastAsia" w:ascii="宋体" w:hAnsi="宋体" w:cs="宋体"/>
          <w:b/>
          <w:bCs/>
          <w:color w:val="auto"/>
          <w:sz w:val="32"/>
          <w:szCs w:val="32"/>
          <w:highlight w:val="none"/>
          <w:lang w:eastAsia="zh-CN"/>
        </w:rPr>
      </w:pPr>
    </w:p>
    <w:p w14:paraId="7717EBBA">
      <w:pPr>
        <w:numPr>
          <w:ilvl w:val="0"/>
          <w:numId w:val="0"/>
        </w:numPr>
        <w:ind w:left="420" w:leftChars="0"/>
        <w:jc w:val="center"/>
        <w:rPr>
          <w:rFonts w:hint="eastAsia" w:ascii="宋体" w:hAnsi="宋体" w:cs="宋体"/>
          <w:b/>
          <w:bCs/>
          <w:color w:val="auto"/>
          <w:sz w:val="32"/>
          <w:szCs w:val="32"/>
          <w:highlight w:val="none"/>
          <w:lang w:eastAsia="zh-CN"/>
        </w:rPr>
      </w:pPr>
    </w:p>
    <w:p w14:paraId="580F9457">
      <w:pPr>
        <w:pStyle w:val="22"/>
        <w:rPr>
          <w:rFonts w:hint="eastAsia" w:ascii="宋体" w:hAnsi="宋体" w:cs="宋体"/>
          <w:b/>
          <w:bCs/>
          <w:color w:val="auto"/>
          <w:sz w:val="32"/>
          <w:szCs w:val="32"/>
          <w:highlight w:val="none"/>
          <w:lang w:eastAsia="zh-CN"/>
        </w:rPr>
      </w:pPr>
    </w:p>
    <w:p w14:paraId="3E6351B5">
      <w:pPr>
        <w:rPr>
          <w:rFonts w:hint="eastAsia"/>
          <w:lang w:eastAsia="zh-CN"/>
        </w:rPr>
      </w:pPr>
    </w:p>
    <w:p w14:paraId="35F515B8">
      <w:pPr>
        <w:numPr>
          <w:ilvl w:val="0"/>
          <w:numId w:val="0"/>
        </w:numPr>
        <w:ind w:left="420" w:leftChars="0"/>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47AF3E7B">
      <w:pPr>
        <w:numPr>
          <w:ilvl w:val="0"/>
          <w:numId w:val="0"/>
        </w:numPr>
        <w:spacing w:line="360" w:lineRule="auto"/>
        <w:ind w:left="-60" w:leftChars="0" w:firstLine="480" w:firstLineChars="0"/>
        <w:rPr>
          <w:rFonts w:hint="eastAsia" w:ascii="宋体" w:hAnsi="宋体" w:eastAsia="宋体" w:cs="宋体"/>
          <w:color w:val="auto"/>
          <w:sz w:val="24"/>
          <w:highlight w:val="none"/>
        </w:rPr>
      </w:pPr>
      <w:r>
        <w:rPr>
          <w:rFonts w:hint="default" w:ascii="宋体" w:hAnsi="宋体" w:eastAsia="宋体" w:cs="宋体"/>
          <w:b w:val="0"/>
          <w:bCs w:val="0"/>
          <w:color w:val="auto"/>
          <w:kern w:val="2"/>
          <w:sz w:val="24"/>
          <w:szCs w:val="24"/>
          <w:lang w:val="en-US" w:eastAsia="zh-CN" w:bidi="ar-SA"/>
        </w:rPr>
        <w:t>1．</w:t>
      </w: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7DA11ECC">
      <w:pPr>
        <w:spacing w:line="360" w:lineRule="auto"/>
        <w:rPr>
          <w:rFonts w:hint="default" w:ascii="宋体" w:hAnsi="宋体" w:eastAsia="宋体" w:cs="宋体"/>
          <w:color w:val="auto"/>
          <w:sz w:val="24"/>
          <w:highlight w:val="none"/>
          <w:lang w:val="en-US" w:eastAsia="zh-CN"/>
        </w:rPr>
      </w:pPr>
    </w:p>
    <w:p w14:paraId="433C02E5">
      <w:pPr>
        <w:numPr>
          <w:ilvl w:val="0"/>
          <w:numId w:val="0"/>
        </w:numPr>
        <w:spacing w:line="360" w:lineRule="auto"/>
        <w:ind w:left="-60" w:leftChars="0" w:firstLine="480" w:firstLineChars="0"/>
        <w:rPr>
          <w:rFonts w:hint="eastAsia" w:ascii="宋体" w:hAnsi="宋体" w:eastAsia="宋体" w:cs="宋体"/>
          <w:b/>
          <w:bCs/>
          <w:color w:val="auto"/>
          <w:sz w:val="24"/>
          <w:highlight w:val="none"/>
        </w:rPr>
      </w:pPr>
      <w:r>
        <w:rPr>
          <w:rFonts w:hint="default" w:ascii="宋体" w:hAnsi="宋体" w:eastAsia="宋体" w:cs="宋体"/>
          <w:b w:val="0"/>
          <w:bCs w:val="0"/>
          <w:color w:val="auto"/>
          <w:kern w:val="2"/>
          <w:sz w:val="24"/>
          <w:szCs w:val="24"/>
          <w:lang w:val="en-US" w:eastAsia="zh-CN" w:bidi="ar-SA"/>
        </w:rPr>
        <w:t>2．</w:t>
      </w: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14:paraId="64804F75">
      <w:pPr>
        <w:pStyle w:val="10"/>
        <w:rPr>
          <w:rFonts w:hint="eastAsia" w:ascii="宋体" w:hAnsi="宋体" w:eastAsia="宋体" w:cs="宋体"/>
          <w:color w:val="auto"/>
          <w:highlight w:val="none"/>
        </w:rPr>
      </w:pPr>
    </w:p>
    <w:p w14:paraId="4C90CBF9">
      <w:pPr>
        <w:tabs>
          <w:tab w:val="left" w:pos="1305"/>
        </w:tabs>
        <w:spacing w:line="360" w:lineRule="exact"/>
        <w:ind w:firstLine="480" w:firstLineChars="200"/>
        <w:rPr>
          <w:rFonts w:ascii="宋体" w:hAnsi="宋体" w:eastAsia="宋体" w:cs="宋体"/>
          <w:szCs w:val="21"/>
        </w:rPr>
      </w:pPr>
      <w:r>
        <w:rPr>
          <w:rFonts w:hint="default" w:ascii="宋体" w:hAnsi="宋体" w:eastAsia="宋体" w:cs="宋体"/>
          <w:color w:val="auto"/>
          <w:sz w:val="24"/>
          <w:szCs w:val="24"/>
          <w:lang w:val="en-US" w:eastAsia="zh-CN"/>
        </w:rPr>
        <w:t>3</w:t>
      </w:r>
      <w:r>
        <w:rPr>
          <w:rFonts w:hint="default" w:ascii="宋体" w:hAnsi="宋体" w:eastAsia="宋体" w:cs="宋体"/>
          <w:color w:val="auto"/>
          <w:sz w:val="24"/>
          <w:szCs w:val="24"/>
        </w:rPr>
        <w:t>.</w:t>
      </w:r>
      <w:r>
        <w:rPr>
          <w:rFonts w:hint="default" w:ascii="宋体" w:hAnsi="宋体" w:eastAsia="宋体" w:cs="宋体"/>
          <w:color w:val="auto"/>
          <w:sz w:val="24"/>
          <w:szCs w:val="24"/>
          <w:lang w:eastAsia="zh-CN"/>
        </w:rPr>
        <w:t>服务响应</w:t>
      </w:r>
      <w:r>
        <w:rPr>
          <w:rFonts w:hint="default" w:ascii="宋体" w:hAnsi="宋体" w:eastAsia="宋体" w:cs="宋体"/>
          <w:color w:val="auto"/>
          <w:sz w:val="24"/>
          <w:szCs w:val="24"/>
        </w:rPr>
        <w:t>表</w:t>
      </w:r>
      <w:r>
        <w:rPr>
          <w:rFonts w:hint="eastAsia" w:ascii="宋体" w:hAnsi="宋体" w:eastAsia="宋体" w:cs="宋体"/>
          <w:b/>
          <w:bCs/>
          <w:color w:val="auto"/>
          <w:sz w:val="24"/>
          <w:szCs w:val="24"/>
          <w:highlight w:val="none"/>
        </w:rPr>
        <w:t>（格式见附件）（必须提供）</w:t>
      </w:r>
      <w:r>
        <w:rPr>
          <w:rFonts w:hint="eastAsia" w:ascii="宋体" w:hAnsi="宋体" w:eastAsia="宋体" w:cs="宋体"/>
          <w:bCs/>
          <w:szCs w:val="21"/>
        </w:rPr>
        <w:t>；</w:t>
      </w:r>
    </w:p>
    <w:p w14:paraId="0941D520">
      <w:pPr>
        <w:tabs>
          <w:tab w:val="left" w:pos="1305"/>
        </w:tabs>
        <w:spacing w:line="360" w:lineRule="exact"/>
        <w:ind w:firstLine="420" w:firstLineChars="200"/>
        <w:rPr>
          <w:rFonts w:hint="eastAsia" w:ascii="宋体" w:hAnsi="宋体" w:eastAsia="宋体" w:cs="宋体"/>
          <w:szCs w:val="21"/>
          <w:lang w:val="en-US" w:eastAsia="zh-CN"/>
        </w:rPr>
      </w:pPr>
    </w:p>
    <w:p w14:paraId="1D2B4C0B">
      <w:pPr>
        <w:tabs>
          <w:tab w:val="left" w:pos="1305"/>
        </w:tabs>
        <w:spacing w:line="360" w:lineRule="exact"/>
        <w:ind w:firstLine="480" w:firstLineChars="200"/>
        <w:rPr>
          <w:rFonts w:ascii="宋体" w:hAnsi="宋体" w:eastAsia="宋体" w:cs="宋体"/>
          <w:szCs w:val="21"/>
        </w:rPr>
      </w:pPr>
      <w:r>
        <w:rPr>
          <w:rFonts w:hint="default" w:ascii="宋体" w:hAnsi="宋体" w:eastAsia="宋体" w:cs="宋体"/>
          <w:color w:val="auto"/>
          <w:sz w:val="24"/>
          <w:szCs w:val="24"/>
          <w:lang w:val="en-US" w:eastAsia="zh-CN"/>
        </w:rPr>
        <w:t>4</w:t>
      </w:r>
      <w:r>
        <w:rPr>
          <w:rFonts w:hint="default" w:ascii="宋体" w:hAnsi="宋体" w:eastAsia="宋体" w:cs="宋体"/>
          <w:color w:val="auto"/>
          <w:sz w:val="24"/>
          <w:szCs w:val="24"/>
        </w:rPr>
        <w:t>.商务响应表</w:t>
      </w:r>
      <w:r>
        <w:rPr>
          <w:rFonts w:hint="eastAsia" w:ascii="宋体" w:hAnsi="宋体" w:eastAsia="宋体" w:cs="宋体"/>
          <w:b/>
          <w:bCs/>
          <w:color w:val="auto"/>
          <w:sz w:val="24"/>
          <w:szCs w:val="24"/>
          <w:highlight w:val="none"/>
        </w:rPr>
        <w:t>（格式见附件）（必须提供）</w:t>
      </w:r>
      <w:r>
        <w:rPr>
          <w:rFonts w:hint="eastAsia" w:ascii="宋体" w:hAnsi="宋体" w:eastAsia="宋体" w:cs="宋体"/>
          <w:bCs/>
          <w:szCs w:val="21"/>
        </w:rPr>
        <w:t>；</w:t>
      </w:r>
    </w:p>
    <w:p w14:paraId="7A353B62">
      <w:pPr>
        <w:pStyle w:val="10"/>
        <w:rPr>
          <w:rFonts w:hint="eastAsia" w:ascii="宋体" w:hAnsi="宋体" w:eastAsia="宋体" w:cs="宋体"/>
          <w:color w:val="auto"/>
          <w:highlight w:val="none"/>
        </w:rPr>
      </w:pPr>
    </w:p>
    <w:p w14:paraId="1285F7A8">
      <w:pPr>
        <w:numPr>
          <w:ilvl w:val="0"/>
          <w:numId w:val="0"/>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cs="宋体"/>
          <w:b w:val="0"/>
          <w:bCs w:val="0"/>
          <w:color w:val="auto"/>
          <w:kern w:val="2"/>
          <w:sz w:val="24"/>
          <w:szCs w:val="24"/>
          <w:lang w:val="en-US" w:eastAsia="zh-CN" w:bidi="ar-SA"/>
        </w:rPr>
        <w:t>5.</w:t>
      </w:r>
      <w:r>
        <w:rPr>
          <w:rFonts w:hint="eastAsia" w:ascii="宋体" w:hAnsi="宋体" w:eastAsia="宋体" w:cs="宋体"/>
          <w:color w:val="auto"/>
          <w:sz w:val="24"/>
          <w:highlight w:val="none"/>
          <w:lang w:eastAsia="zh-CN"/>
        </w:rPr>
        <w:t>服务承诺书</w:t>
      </w:r>
      <w:r>
        <w:rPr>
          <w:rFonts w:hint="eastAsia" w:ascii="宋体" w:hAnsi="宋体" w:eastAsia="宋体" w:cs="宋体"/>
          <w:color w:val="auto"/>
          <w:sz w:val="24"/>
          <w:highlight w:val="none"/>
        </w:rPr>
        <w:t>（由供应商根据本项目采购需求、特点及供应商自身的处理能力自行编写，承诺书内容至少应包括“采购需求”的所有服务条款）</w:t>
      </w:r>
      <w:r>
        <w:rPr>
          <w:rFonts w:hint="eastAsia" w:ascii="宋体" w:hAnsi="宋体" w:eastAsia="宋体" w:cs="宋体"/>
          <w:b/>
          <w:bCs/>
          <w:color w:val="auto"/>
          <w:sz w:val="24"/>
          <w:highlight w:val="none"/>
        </w:rPr>
        <w:t>（格式见附件）（必须提供）；</w:t>
      </w:r>
    </w:p>
    <w:p w14:paraId="0182B179">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45284931">
      <w:pPr>
        <w:numPr>
          <w:ilvl w:val="0"/>
          <w:numId w:val="0"/>
        </w:numPr>
        <w:spacing w:line="360" w:lineRule="auto"/>
        <w:ind w:left="-60" w:leftChars="0" w:firstLine="480" w:firstLineChars="0"/>
        <w:rPr>
          <w:rFonts w:hint="eastAsia" w:ascii="宋体" w:hAnsi="宋体" w:eastAsia="宋体" w:cs="宋体"/>
          <w:color w:val="auto"/>
          <w:sz w:val="24"/>
          <w:highlight w:val="none"/>
          <w:lang w:val="en-US" w:eastAsia="zh-CN"/>
        </w:rPr>
      </w:pPr>
      <w:r>
        <w:rPr>
          <w:rFonts w:hint="eastAsia" w:ascii="宋体" w:hAnsi="宋体" w:cs="宋体"/>
          <w:b w:val="0"/>
          <w:bCs w:val="0"/>
          <w:color w:val="auto"/>
          <w:kern w:val="2"/>
          <w:sz w:val="24"/>
          <w:szCs w:val="24"/>
          <w:lang w:val="en-US" w:eastAsia="zh-CN" w:bidi="ar-SA"/>
        </w:rPr>
        <w:t>6</w:t>
      </w:r>
      <w:r>
        <w:rPr>
          <w:rFonts w:hint="default" w:ascii="宋体" w:hAnsi="宋体" w:eastAsia="宋体" w:cs="宋体"/>
          <w:b w:val="0"/>
          <w:bCs w:val="0"/>
          <w:color w:val="auto"/>
          <w:kern w:val="2"/>
          <w:sz w:val="24"/>
          <w:szCs w:val="24"/>
          <w:lang w:val="en-US" w:eastAsia="zh-CN" w:bidi="ar-SA"/>
        </w:rPr>
        <w:t>．</w:t>
      </w:r>
      <w:r>
        <w:rPr>
          <w:rFonts w:hint="eastAsia" w:ascii="宋体" w:hAnsi="宋体" w:cs="宋体"/>
          <w:color w:val="auto"/>
          <w:sz w:val="24"/>
          <w:highlight w:val="none"/>
          <w:lang w:val="en-US" w:eastAsia="zh-CN"/>
        </w:rPr>
        <w:t>针对本项目的服务方案</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格式见附件）（必须提供）</w:t>
      </w:r>
      <w:r>
        <w:rPr>
          <w:rFonts w:hint="eastAsia" w:ascii="宋体" w:hAnsi="宋体" w:eastAsia="宋体" w:cs="宋体"/>
          <w:b/>
          <w:bCs/>
          <w:color w:val="auto"/>
          <w:sz w:val="24"/>
          <w:highlight w:val="none"/>
          <w:lang w:eastAsia="zh-CN"/>
        </w:rPr>
        <w:t>。</w:t>
      </w:r>
    </w:p>
    <w:p w14:paraId="5F1BAC19">
      <w:pPr>
        <w:pStyle w:val="10"/>
        <w:rPr>
          <w:rFonts w:hint="eastAsia"/>
          <w:color w:val="auto"/>
          <w:highlight w:val="none"/>
        </w:rPr>
      </w:pPr>
    </w:p>
    <w:p w14:paraId="6B3EB6EC">
      <w:pPr>
        <w:pStyle w:val="32"/>
        <w:rPr>
          <w:rFonts w:hint="eastAsia" w:ascii="宋体" w:hAnsi="宋体" w:eastAsia="宋体" w:cs="宋体"/>
          <w:color w:val="auto"/>
          <w:highlight w:val="none"/>
        </w:rPr>
      </w:pPr>
    </w:p>
    <w:p w14:paraId="5F6E71DE">
      <w:pPr>
        <w:pStyle w:val="10"/>
        <w:rPr>
          <w:rFonts w:hint="eastAsia" w:ascii="宋体" w:hAnsi="宋体" w:eastAsia="宋体" w:cs="宋体"/>
          <w:color w:val="auto"/>
          <w:highlight w:val="none"/>
        </w:rPr>
      </w:pPr>
    </w:p>
    <w:p w14:paraId="73C90CB9">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1035F056">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2CEB0CE7">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452B6A06">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781EA40E">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481E6F37">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0FF8C404">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7EEBE53F">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5624D17F">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5CCE5A49">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519FF0EA">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0D6FDF45">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544E0DA1">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2EE3FA8A">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25F091EA">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3C30B3D8">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06498CF3">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2FE7C8EF">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6B948D7E">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39E42E98">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68763370">
      <w:pPr>
        <w:rPr>
          <w:rFonts w:hint="eastAsia" w:ascii="宋体" w:hAnsi="宋体" w:eastAsia="宋体" w:cs="宋体"/>
          <w:b/>
          <w:color w:val="auto"/>
          <w:sz w:val="28"/>
          <w:szCs w:val="28"/>
          <w:highlight w:val="none"/>
          <w:lang w:val="en-US" w:eastAsia="zh-CN"/>
        </w:rPr>
      </w:pPr>
    </w:p>
    <w:p w14:paraId="37FBDF8B">
      <w:pPr>
        <w:pStyle w:val="10"/>
        <w:rPr>
          <w:rFonts w:hint="eastAsia"/>
          <w:color w:val="auto"/>
          <w:highlight w:val="none"/>
          <w:lang w:val="en-US" w:eastAsia="zh-CN"/>
        </w:rPr>
      </w:pPr>
    </w:p>
    <w:p w14:paraId="44DB35F8">
      <w:pPr>
        <w:numPr>
          <w:ilvl w:val="0"/>
          <w:numId w:val="0"/>
        </w:numPr>
        <w:spacing w:line="400" w:lineRule="exact"/>
        <w:rPr>
          <w:rFonts w:hint="eastAsia" w:ascii="宋体" w:hAnsi="宋体" w:eastAsia="宋体" w:cs="宋体"/>
          <w:b/>
          <w:bCs/>
          <w:color w:val="auto"/>
          <w:sz w:val="28"/>
          <w:szCs w:val="28"/>
          <w:highlight w:val="none"/>
          <w:lang w:eastAsia="zh-CN"/>
        </w:rPr>
      </w:pPr>
      <w:bookmarkStart w:id="482" w:name="_Toc12920"/>
      <w:bookmarkStart w:id="483" w:name="_Toc497927072"/>
      <w:bookmarkStart w:id="484" w:name="_Toc17617"/>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482"/>
      <w:bookmarkEnd w:id="483"/>
      <w:bookmarkEnd w:id="484"/>
      <w:r>
        <w:rPr>
          <w:rFonts w:hint="eastAsia" w:ascii="宋体" w:hAnsi="宋体" w:cs="宋体"/>
          <w:b/>
          <w:bCs/>
          <w:color w:val="auto"/>
          <w:sz w:val="28"/>
          <w:szCs w:val="28"/>
          <w:highlight w:val="none"/>
          <w:lang w:eastAsia="zh-CN"/>
        </w:rPr>
        <w:t>；</w:t>
      </w:r>
    </w:p>
    <w:p w14:paraId="0E146AD0">
      <w:pPr>
        <w:pStyle w:val="32"/>
        <w:rPr>
          <w:rFonts w:hint="eastAsia" w:ascii="宋体" w:hAnsi="宋体" w:eastAsia="宋体" w:cs="宋体"/>
          <w:color w:val="auto"/>
          <w:highlight w:val="none"/>
        </w:rPr>
      </w:pPr>
    </w:p>
    <w:p w14:paraId="49B4C891">
      <w:pPr>
        <w:pStyle w:val="14"/>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1D8345CE">
      <w:pPr>
        <w:pStyle w:val="14"/>
        <w:ind w:firstLine="800" w:firstLineChars="250"/>
        <w:jc w:val="center"/>
        <w:rPr>
          <w:rFonts w:hint="eastAsia" w:ascii="宋体" w:hAnsi="宋体" w:eastAsia="宋体" w:cs="宋体"/>
          <w:b/>
          <w:color w:val="auto"/>
          <w:sz w:val="32"/>
          <w:highlight w:val="none"/>
        </w:rPr>
      </w:pPr>
      <w:bookmarkStart w:id="485" w:name="_Toc7273_WPSOffice_Level1"/>
      <w:bookmarkStart w:id="486" w:name="_Toc17832_WPSOffice_Level1"/>
      <w:r>
        <w:rPr>
          <w:rFonts w:hint="eastAsia" w:ascii="宋体" w:hAnsi="宋体" w:eastAsia="宋体" w:cs="宋体"/>
          <w:b/>
          <w:color w:val="auto"/>
          <w:sz w:val="32"/>
          <w:highlight w:val="none"/>
        </w:rPr>
        <w:t>响 应 函 （格 式）</w:t>
      </w:r>
      <w:bookmarkEnd w:id="485"/>
      <w:bookmarkEnd w:id="486"/>
    </w:p>
    <w:p w14:paraId="0E8A0FF7">
      <w:pPr>
        <w:spacing w:line="240" w:lineRule="exact"/>
        <w:jc w:val="center"/>
        <w:rPr>
          <w:rFonts w:hint="eastAsia" w:ascii="宋体" w:hAnsi="宋体" w:eastAsia="宋体" w:cs="宋体"/>
          <w:color w:val="auto"/>
          <w:sz w:val="32"/>
          <w:highlight w:val="none"/>
        </w:rPr>
      </w:pPr>
    </w:p>
    <w:p w14:paraId="2B2C6F48">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：桂林市政府集中采购中心</w:t>
      </w:r>
    </w:p>
    <w:p w14:paraId="4EBD263B">
      <w:pPr>
        <w:spacing w:line="400" w:lineRule="exact"/>
        <w:rPr>
          <w:rFonts w:hint="eastAsia" w:ascii="宋体" w:hAnsi="宋体" w:eastAsia="宋体" w:cs="宋体"/>
          <w:color w:val="auto"/>
          <w:szCs w:val="21"/>
          <w:highlight w:val="none"/>
        </w:rPr>
      </w:pPr>
    </w:p>
    <w:p w14:paraId="37256359">
      <w:pPr>
        <w:pStyle w:val="14"/>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04ECE059">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7ADC30EB">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5CDE0CA6">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磋商总报价（大写）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D152EF">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4AB5CB6">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5C82C9A7">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0F27D7A8">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2E801B5F">
      <w:pPr>
        <w:pStyle w:val="14"/>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F1B725D">
      <w:pPr>
        <w:pStyle w:val="14"/>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596AC42B">
      <w:pPr>
        <w:pStyle w:val="14"/>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179D976F">
      <w:pPr>
        <w:pStyle w:val="14"/>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69E92890">
      <w:pPr>
        <w:rPr>
          <w:rFonts w:hint="eastAsia" w:ascii="宋体" w:hAnsi="宋体" w:eastAsia="宋体" w:cs="宋体"/>
          <w:color w:val="auto"/>
          <w:sz w:val="21"/>
          <w:szCs w:val="21"/>
          <w:highlight w:val="none"/>
        </w:rPr>
      </w:pPr>
    </w:p>
    <w:p w14:paraId="08546599">
      <w:pPr>
        <w:pStyle w:val="14"/>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46CCEDDC">
      <w:pPr>
        <w:pStyle w:val="14"/>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01BE8A9">
      <w:pPr>
        <w:pStyle w:val="14"/>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0112886">
      <w:pPr>
        <w:pStyle w:val="14"/>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50CE822">
      <w:pPr>
        <w:pStyle w:val="14"/>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59D11D32">
      <w:pPr>
        <w:pStyle w:val="14"/>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0E40BAB5">
      <w:pPr>
        <w:pStyle w:val="14"/>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74066EB">
      <w:pPr>
        <w:pStyle w:val="7"/>
        <w:rPr>
          <w:rFonts w:hint="eastAsia" w:ascii="宋体" w:hAnsi="宋体" w:eastAsia="宋体" w:cs="宋体"/>
          <w:color w:val="auto"/>
          <w:sz w:val="21"/>
          <w:szCs w:val="21"/>
          <w:highlight w:val="none"/>
          <w:u w:val="single"/>
        </w:rPr>
      </w:pPr>
    </w:p>
    <w:p w14:paraId="1D859932">
      <w:pPr>
        <w:rPr>
          <w:rFonts w:hint="eastAsia" w:ascii="宋体" w:hAnsi="宋体" w:eastAsia="宋体" w:cs="宋体"/>
          <w:color w:val="auto"/>
          <w:sz w:val="21"/>
          <w:szCs w:val="21"/>
          <w:highlight w:val="none"/>
          <w:u w:val="single"/>
        </w:rPr>
      </w:pPr>
    </w:p>
    <w:p w14:paraId="0C1F8AF8">
      <w:pPr>
        <w:pStyle w:val="4"/>
        <w:rPr>
          <w:rFonts w:hint="eastAsia" w:ascii="宋体" w:hAnsi="宋体" w:eastAsia="宋体" w:cs="宋体"/>
          <w:color w:val="auto"/>
          <w:sz w:val="21"/>
          <w:szCs w:val="21"/>
          <w:highlight w:val="none"/>
          <w:u w:val="single"/>
        </w:rPr>
      </w:pPr>
    </w:p>
    <w:p w14:paraId="03F6AE08">
      <w:pPr>
        <w:rPr>
          <w:rFonts w:hint="eastAsia" w:ascii="宋体" w:hAnsi="宋体" w:eastAsia="宋体" w:cs="宋体"/>
          <w:color w:val="auto"/>
          <w:sz w:val="21"/>
          <w:szCs w:val="21"/>
          <w:highlight w:val="none"/>
          <w:u w:val="single"/>
        </w:rPr>
      </w:pPr>
    </w:p>
    <w:p w14:paraId="18D969A3">
      <w:pPr>
        <w:pStyle w:val="8"/>
        <w:rPr>
          <w:rFonts w:hint="eastAsia" w:ascii="宋体" w:hAnsi="宋体" w:eastAsia="宋体" w:cs="宋体"/>
          <w:color w:val="auto"/>
          <w:sz w:val="21"/>
          <w:szCs w:val="21"/>
          <w:highlight w:val="none"/>
          <w:u w:val="single"/>
        </w:rPr>
      </w:pPr>
    </w:p>
    <w:p w14:paraId="0F83A8BA">
      <w:pPr>
        <w:pStyle w:val="4"/>
        <w:ind w:left="0" w:leftChars="0" w:firstLine="0" w:firstLineChars="0"/>
        <w:rPr>
          <w:rFonts w:hint="eastAsia"/>
          <w:color w:val="auto"/>
          <w:highlight w:val="none"/>
        </w:rPr>
      </w:pPr>
    </w:p>
    <w:p w14:paraId="41CC6AF5">
      <w:pPr>
        <w:pStyle w:val="14"/>
        <w:numPr>
          <w:ilvl w:val="0"/>
          <w:numId w:val="0"/>
        </w:numPr>
        <w:spacing w:line="340" w:lineRule="exact"/>
        <w:rPr>
          <w:rFonts w:hint="eastAsia" w:ascii="宋体" w:hAnsi="宋体" w:eastAsia="宋体" w:cs="宋体"/>
          <w:b/>
          <w:color w:val="auto"/>
          <w:sz w:val="28"/>
          <w:szCs w:val="28"/>
          <w:highlight w:val="none"/>
          <w:lang w:val="en-US" w:eastAsia="zh-CN"/>
        </w:rPr>
      </w:pPr>
    </w:p>
    <w:p w14:paraId="48E24224">
      <w:pPr>
        <w:pStyle w:val="14"/>
        <w:numPr>
          <w:ilvl w:val="0"/>
          <w:numId w:val="0"/>
        </w:numPr>
        <w:spacing w:line="340" w:lineRule="exact"/>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磋商报价表（必须提供）；</w:t>
      </w:r>
    </w:p>
    <w:p w14:paraId="4F358B38">
      <w:pPr>
        <w:pStyle w:val="14"/>
        <w:spacing w:line="320" w:lineRule="exact"/>
        <w:jc w:val="left"/>
        <w:rPr>
          <w:rFonts w:hint="eastAsia" w:ascii="宋体" w:hAnsi="宋体" w:eastAsia="宋体" w:cs="宋体"/>
          <w:b/>
          <w:color w:val="auto"/>
          <w:sz w:val="28"/>
          <w:szCs w:val="28"/>
          <w:highlight w:val="none"/>
        </w:rPr>
      </w:pPr>
    </w:p>
    <w:p w14:paraId="381CD171">
      <w:pPr>
        <w:pStyle w:val="7"/>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sz w:val="30"/>
          <w:szCs w:val="30"/>
          <w:highlight w:val="none"/>
        </w:rPr>
        <w:t>附件：</w:t>
      </w:r>
    </w:p>
    <w:p w14:paraId="468AEE3C">
      <w:pPr>
        <w:pStyle w:val="14"/>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磋商报价表（格式）</w:t>
      </w:r>
    </w:p>
    <w:tbl>
      <w:tblPr>
        <w:tblStyle w:val="23"/>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744DD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0"/>
            <w:vAlign w:val="center"/>
          </w:tcPr>
          <w:p w14:paraId="6C8CB260">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C5A3132">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9AA39D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F6885A3">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BF99CC">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271886">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4ECF279">
            <w:pPr>
              <w:spacing w:line="3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单项合计</w:t>
            </w:r>
            <w:r>
              <w:rPr>
                <w:rFonts w:hint="eastAsia" w:ascii="宋体" w:hAnsi="宋体" w:eastAsia="宋体" w:cs="宋体"/>
                <w:color w:val="auto"/>
                <w:highlight w:val="none"/>
                <w:lang w:val="en-US" w:eastAsia="zh-CN"/>
              </w:rPr>
              <w:t>=数量×单价</w:t>
            </w:r>
          </w:p>
          <w:p w14:paraId="70BB12F8">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w:t>
            </w:r>
            <w:r>
              <w:rPr>
                <w:rFonts w:hint="eastAsia" w:ascii="宋体" w:hAnsi="宋体" w:eastAsia="宋体" w:cs="宋体"/>
                <w:color w:val="auto"/>
                <w:sz w:val="21"/>
                <w:szCs w:val="21"/>
                <w:highlight w:val="none"/>
              </w:rPr>
              <w:t>①</w:t>
            </w: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lang w:val="en-US" w:eastAsia="zh-CN"/>
              </w:rPr>
              <w:t>②</w:t>
            </w:r>
          </w:p>
        </w:tc>
        <w:tc>
          <w:tcPr>
            <w:tcW w:w="1710" w:type="dxa"/>
            <w:tcBorders>
              <w:top w:val="single" w:color="auto" w:sz="4" w:space="0"/>
              <w:bottom w:val="single" w:color="auto" w:sz="4" w:space="0"/>
            </w:tcBorders>
            <w:noWrap w:val="0"/>
            <w:vAlign w:val="center"/>
          </w:tcPr>
          <w:p w14:paraId="669F339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44B0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3F8928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5FF1BA1">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B8851E4">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848124">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52C016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E9522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4E19EC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2EABE0B4">
            <w:pPr>
              <w:spacing w:line="300" w:lineRule="exact"/>
              <w:jc w:val="center"/>
              <w:rPr>
                <w:rFonts w:hint="eastAsia" w:ascii="宋体" w:hAnsi="宋体" w:eastAsia="宋体" w:cs="宋体"/>
                <w:b/>
                <w:bCs/>
                <w:color w:val="auto"/>
                <w:sz w:val="21"/>
                <w:szCs w:val="21"/>
                <w:highlight w:val="none"/>
              </w:rPr>
            </w:pPr>
          </w:p>
        </w:tc>
      </w:tr>
      <w:tr w14:paraId="7F14B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D621C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5A4D1C4">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DCE2AF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93331DC">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E239DDA">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97221A">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73F62E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05CE3F9E">
            <w:pPr>
              <w:spacing w:line="300" w:lineRule="exact"/>
              <w:jc w:val="center"/>
              <w:rPr>
                <w:rFonts w:hint="eastAsia" w:ascii="宋体" w:hAnsi="宋体" w:eastAsia="宋体" w:cs="宋体"/>
                <w:b/>
                <w:bCs/>
                <w:color w:val="auto"/>
                <w:sz w:val="21"/>
                <w:szCs w:val="21"/>
                <w:highlight w:val="none"/>
              </w:rPr>
            </w:pPr>
          </w:p>
        </w:tc>
      </w:tr>
      <w:tr w14:paraId="00FE5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5EC838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B137C06">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1645D8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E60B3D6">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374285F">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05FA2E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5F290A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29C4CFD">
            <w:pPr>
              <w:spacing w:line="300" w:lineRule="exact"/>
              <w:jc w:val="center"/>
              <w:rPr>
                <w:rFonts w:hint="eastAsia" w:ascii="宋体" w:hAnsi="宋体" w:eastAsia="宋体" w:cs="宋体"/>
                <w:b/>
                <w:bCs/>
                <w:color w:val="auto"/>
                <w:sz w:val="21"/>
                <w:szCs w:val="21"/>
                <w:highlight w:val="none"/>
              </w:rPr>
            </w:pPr>
          </w:p>
        </w:tc>
      </w:tr>
      <w:tr w14:paraId="3CC7B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5077D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0619E02">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C3B3838">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66CDCA">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A73298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EA6866">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BC9058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7944532">
            <w:pPr>
              <w:spacing w:line="300" w:lineRule="exact"/>
              <w:jc w:val="center"/>
              <w:rPr>
                <w:rFonts w:hint="eastAsia" w:ascii="宋体" w:hAnsi="宋体" w:eastAsia="宋体" w:cs="宋体"/>
                <w:b/>
                <w:bCs/>
                <w:color w:val="auto"/>
                <w:sz w:val="21"/>
                <w:szCs w:val="21"/>
                <w:highlight w:val="none"/>
              </w:rPr>
            </w:pPr>
          </w:p>
        </w:tc>
      </w:tr>
      <w:tr w14:paraId="46E56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0"/>
            <w:vAlign w:val="center"/>
          </w:tcPr>
          <w:p w14:paraId="18B26693">
            <w:pPr>
              <w:spacing w:line="30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pacing w:val="-6"/>
                <w:sz w:val="21"/>
                <w:szCs w:val="21"/>
                <w:highlight w:val="none"/>
              </w:rPr>
              <w:t xml:space="preserve">总报价（大写）：人民币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 xml:space="preserve">                   ）</w:t>
            </w:r>
          </w:p>
        </w:tc>
      </w:tr>
      <w:tr w14:paraId="27E20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noWrap w:val="0"/>
            <w:vAlign w:val="center"/>
          </w:tcPr>
          <w:p w14:paraId="19CA43F6">
            <w:pPr>
              <w:spacing w:line="300" w:lineRule="exact"/>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服务时间：</w:t>
            </w:r>
          </w:p>
        </w:tc>
      </w:tr>
      <w:tr w14:paraId="1777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0"/>
            <w:vAlign w:val="center"/>
          </w:tcPr>
          <w:p w14:paraId="2CADCA03">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说明：</w:t>
            </w:r>
            <w:r>
              <w:rPr>
                <w:rFonts w:hint="eastAsia" w:ascii="宋体" w:hAnsi="宋体" w:cs="宋体"/>
                <w:color w:val="000000" w:themeColor="text1"/>
                <w:spacing w:val="-6"/>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cs="宋体"/>
                <w:color w:val="000000" w:themeColor="text1"/>
                <w:szCs w:val="21"/>
                <w:highlight w:val="none"/>
                <w:lang w:eastAsia="zh-CN"/>
                <w14:textFill>
                  <w14:solidFill>
                    <w14:schemeClr w14:val="tx1"/>
                  </w14:solidFill>
                </w14:textFill>
              </w:rPr>
              <w:t>包括</w:t>
            </w:r>
            <w:r>
              <w:rPr>
                <w:rFonts w:hint="eastAsia" w:ascii="宋体" w:hAnsi="宋体" w:cs="宋体"/>
                <w:color w:val="000000" w:themeColor="text1"/>
                <w:szCs w:val="21"/>
                <w:highlight w:val="none"/>
                <w14:textFill>
                  <w14:solidFill>
                    <w14:schemeClr w14:val="tx1"/>
                  </w14:solidFill>
                </w14:textFill>
              </w:rPr>
              <w:t>服务过程中相关的一切费用</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包含服务过程中的人工、物料、交通、税费、利润等一切费用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综合考虑在报价中。</w:t>
            </w:r>
          </w:p>
        </w:tc>
      </w:tr>
    </w:tbl>
    <w:p w14:paraId="304F2F43">
      <w:pPr>
        <w:spacing w:line="340" w:lineRule="exact"/>
        <w:rPr>
          <w:rFonts w:hint="eastAsia" w:ascii="宋体" w:hAnsi="宋体" w:eastAsia="宋体" w:cs="宋体"/>
          <w:color w:val="auto"/>
          <w:szCs w:val="21"/>
          <w:highlight w:val="none"/>
        </w:rPr>
      </w:pPr>
    </w:p>
    <w:p w14:paraId="60836F47">
      <w:pPr>
        <w:spacing w:line="3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36844126">
      <w:pPr>
        <w:spacing w:line="340" w:lineRule="exact"/>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388C635A">
      <w:pPr>
        <w:tabs>
          <w:tab w:val="left" w:pos="1305"/>
        </w:tabs>
        <w:spacing w:line="340" w:lineRule="exact"/>
        <w:rPr>
          <w:rFonts w:hint="eastAsia" w:ascii="宋体" w:hAnsi="宋体" w:eastAsia="宋体" w:cs="宋体"/>
          <w:bCs/>
          <w:color w:val="auto"/>
          <w:sz w:val="21"/>
          <w:szCs w:val="21"/>
          <w:highlight w:val="none"/>
        </w:rPr>
      </w:pPr>
    </w:p>
    <w:p w14:paraId="0280B3FE">
      <w:pPr>
        <w:tabs>
          <w:tab w:val="left" w:pos="1305"/>
        </w:tabs>
        <w:spacing w:line="3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1.各</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必须就“采购需求”中所投分标的所有内容作完整唯一报价，否则，其投标将被拒绝。投标文件只允许有一个报价。</w:t>
      </w:r>
    </w:p>
    <w:p w14:paraId="5699B4A4">
      <w:pPr>
        <w:pStyle w:val="14"/>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如实填写投标报价表</w:t>
      </w:r>
      <w:r>
        <w:rPr>
          <w:rFonts w:hint="eastAsia" w:ascii="宋体" w:hAnsi="宋体" w:eastAsia="宋体" w:cs="宋体"/>
          <w:bCs/>
          <w:color w:val="auto"/>
          <w:sz w:val="21"/>
          <w:szCs w:val="21"/>
          <w:highlight w:val="none"/>
        </w:rPr>
        <w:t>的各项内容。</w:t>
      </w:r>
    </w:p>
    <w:p w14:paraId="2D6B692A">
      <w:pPr>
        <w:ind w:firstLine="42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highlight w:val="none"/>
          <w:lang w:eastAsia="zh-CN"/>
        </w:rPr>
        <w:t>磋商</w:t>
      </w:r>
      <w:r>
        <w:rPr>
          <w:rFonts w:hint="eastAsia" w:ascii="宋体" w:hAnsi="宋体" w:eastAsia="宋体" w:cs="宋体"/>
          <w:color w:val="auto"/>
          <w:highlight w:val="none"/>
        </w:rPr>
        <w:t>报价表须由法定代表人负责人、自然人或相应的委托代理人签字或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）并加盖</w:t>
      </w:r>
      <w:r>
        <w:rPr>
          <w:rFonts w:hint="eastAsia" w:ascii="宋体" w:hAnsi="宋体" w:cs="宋体"/>
          <w:color w:val="auto"/>
          <w:highlight w:val="none"/>
          <w:lang w:eastAsia="zh-CN"/>
        </w:rPr>
        <w:t>供应商</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cs="宋体"/>
          <w:b/>
          <w:color w:val="auto"/>
          <w:highlight w:val="none"/>
          <w:lang w:eastAsia="zh-CN"/>
        </w:rPr>
        <w:t>供应商</w:t>
      </w:r>
      <w:r>
        <w:rPr>
          <w:rFonts w:hint="eastAsia" w:ascii="宋体" w:hAnsi="宋体" w:eastAsia="宋体" w:cs="宋体"/>
          <w:b/>
          <w:color w:val="auto"/>
          <w:highlight w:val="none"/>
        </w:rPr>
        <w:t>公章（属自然人的须逐页签字</w:t>
      </w:r>
      <w:r>
        <w:rPr>
          <w:rFonts w:hint="eastAsia" w:ascii="宋体" w:hAnsi="宋体" w:eastAsia="宋体" w:cs="宋体"/>
          <w:b/>
          <w:color w:val="auto"/>
          <w:highlight w:val="none"/>
          <w:lang w:eastAsia="zh-CN"/>
        </w:rPr>
        <w:t>或个人</w:t>
      </w:r>
      <w:r>
        <w:rPr>
          <w:rFonts w:hint="eastAsia" w:ascii="宋体" w:hAnsi="宋体" w:eastAsia="宋体" w:cs="宋体"/>
          <w:b/>
          <w:color w:val="auto"/>
          <w:highlight w:val="none"/>
          <w:lang w:val="en-US" w:eastAsia="zh-CN"/>
        </w:rPr>
        <w:t>CA签章</w:t>
      </w:r>
      <w:r>
        <w:rPr>
          <w:rFonts w:hint="eastAsia" w:ascii="宋体" w:hAnsi="宋体" w:eastAsia="宋体" w:cs="宋体"/>
          <w:b/>
          <w:color w:val="auto"/>
          <w:highlight w:val="none"/>
        </w:rPr>
        <w:t>）</w:t>
      </w:r>
    </w:p>
    <w:p w14:paraId="574C1600">
      <w:pPr>
        <w:rPr>
          <w:rFonts w:hint="eastAsia" w:ascii="宋体" w:hAnsi="宋体" w:eastAsia="宋体" w:cs="宋体"/>
          <w:b/>
          <w:bCs/>
          <w:color w:val="auto"/>
          <w:sz w:val="32"/>
          <w:szCs w:val="32"/>
          <w:highlight w:val="none"/>
        </w:rPr>
      </w:pPr>
    </w:p>
    <w:p w14:paraId="6CA4C6F0">
      <w:pPr>
        <w:pStyle w:val="10"/>
        <w:rPr>
          <w:rFonts w:hint="eastAsia"/>
          <w:color w:val="auto"/>
          <w:highlight w:val="none"/>
          <w:lang w:val="en-US" w:eastAsia="zh-CN"/>
        </w:rPr>
      </w:pPr>
    </w:p>
    <w:p w14:paraId="2F82D238">
      <w:pPr>
        <w:rPr>
          <w:rFonts w:hint="eastAsia" w:ascii="宋体" w:hAnsi="宋体" w:eastAsia="宋体" w:cs="宋体"/>
          <w:b/>
          <w:bCs/>
          <w:color w:val="auto"/>
          <w:sz w:val="32"/>
          <w:szCs w:val="32"/>
          <w:highlight w:val="none"/>
        </w:rPr>
      </w:pPr>
    </w:p>
    <w:p w14:paraId="38EDEC48">
      <w:pPr>
        <w:pStyle w:val="9"/>
        <w:rPr>
          <w:rFonts w:hint="eastAsia" w:ascii="宋体" w:hAnsi="宋体" w:eastAsia="宋体" w:cs="宋体"/>
          <w:color w:val="auto"/>
          <w:highlight w:val="none"/>
        </w:rPr>
      </w:pPr>
    </w:p>
    <w:p w14:paraId="78F3D04C">
      <w:pPr>
        <w:pStyle w:val="9"/>
        <w:rPr>
          <w:rFonts w:hint="eastAsia" w:ascii="宋体" w:hAnsi="宋体" w:eastAsia="宋体" w:cs="宋体"/>
          <w:color w:val="auto"/>
          <w:highlight w:val="none"/>
        </w:rPr>
      </w:pPr>
    </w:p>
    <w:p w14:paraId="561BF659">
      <w:pPr>
        <w:pStyle w:val="9"/>
        <w:rPr>
          <w:rFonts w:hint="eastAsia" w:ascii="宋体" w:hAnsi="宋体" w:eastAsia="宋体" w:cs="宋体"/>
          <w:color w:val="auto"/>
          <w:highlight w:val="none"/>
        </w:rPr>
      </w:pPr>
    </w:p>
    <w:p w14:paraId="734F9D70">
      <w:pPr>
        <w:pStyle w:val="9"/>
        <w:rPr>
          <w:rFonts w:hint="eastAsia" w:ascii="宋体" w:hAnsi="宋体" w:eastAsia="宋体" w:cs="宋体"/>
          <w:color w:val="auto"/>
          <w:highlight w:val="none"/>
        </w:rPr>
      </w:pPr>
    </w:p>
    <w:p w14:paraId="4B858FA6">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lang w:val="en-US" w:eastAsia="zh-CN"/>
        </w:rPr>
        <w:t>3.</w:t>
      </w:r>
      <w:r>
        <w:rPr>
          <w:rFonts w:hint="eastAsia" w:ascii="宋体" w:hAnsi="宋体" w:cs="宋体"/>
          <w:b/>
          <w:bCs/>
          <w:color w:val="000000"/>
          <w:sz w:val="32"/>
          <w:szCs w:val="32"/>
          <w:highlight w:val="none"/>
          <w:lang w:eastAsia="zh-CN"/>
        </w:rPr>
        <w:t>服务响应表</w:t>
      </w:r>
      <w:r>
        <w:rPr>
          <w:rFonts w:hint="eastAsia" w:ascii="宋体" w:hAnsi="宋体" w:cs="宋体"/>
          <w:b/>
          <w:bCs/>
          <w:color w:val="000000"/>
          <w:sz w:val="32"/>
          <w:szCs w:val="32"/>
          <w:highlight w:val="none"/>
        </w:rPr>
        <w:t>（格式见附件）（必须提供）</w:t>
      </w:r>
      <w:r>
        <w:rPr>
          <w:rFonts w:hint="eastAsia" w:ascii="宋体" w:hAnsi="宋体" w:cs="宋体"/>
          <w:b/>
          <w:bCs/>
          <w:color w:val="000000"/>
          <w:sz w:val="32"/>
          <w:szCs w:val="32"/>
          <w:highlight w:val="none"/>
          <w:lang w:eastAsia="zh-CN"/>
        </w:rPr>
        <w:t>；</w:t>
      </w:r>
    </w:p>
    <w:p w14:paraId="158088F6">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3EC87EC2">
      <w:pPr>
        <w:jc w:val="center"/>
        <w:rPr>
          <w:rFonts w:hint="eastAsia" w:ascii="宋体" w:hAnsi="宋体" w:cs="宋体"/>
          <w:b/>
          <w:bCs/>
          <w:color w:val="000000"/>
          <w:sz w:val="32"/>
          <w:highlight w:val="none"/>
        </w:rPr>
      </w:pPr>
      <w:r>
        <w:rPr>
          <w:rFonts w:hint="eastAsia" w:ascii="宋体" w:hAnsi="宋体" w:cs="宋体"/>
          <w:b/>
          <w:color w:val="000000"/>
          <w:sz w:val="32"/>
          <w:szCs w:val="32"/>
          <w:highlight w:val="none"/>
          <w:lang w:eastAsia="zh-CN"/>
        </w:rPr>
        <w:t>服务响应表</w:t>
      </w:r>
      <w:r>
        <w:rPr>
          <w:rFonts w:hint="eastAsia" w:ascii="宋体" w:hAnsi="宋体" w:cs="宋体"/>
          <w:b/>
          <w:bCs/>
          <w:color w:val="000000"/>
          <w:sz w:val="32"/>
          <w:highlight w:val="none"/>
        </w:rPr>
        <w:t>（格式）</w:t>
      </w:r>
    </w:p>
    <w:p w14:paraId="60B0603C">
      <w:pPr>
        <w:pStyle w:val="10"/>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150863EA">
      <w:pPr>
        <w:pStyle w:val="10"/>
        <w:rPr>
          <w:rFonts w:hint="eastAsia"/>
          <w:sz w:val="18"/>
          <w:szCs w:val="21"/>
          <w:lang w:eastAsia="zh-CN"/>
        </w:rPr>
      </w:pPr>
      <w:r>
        <w:rPr>
          <w:rFonts w:hint="eastAsia" w:ascii="宋体" w:hAnsi="宋体" w:cs="宋体"/>
          <w:b/>
          <w:bCs/>
          <w:color w:val="000000"/>
          <w:sz w:val="24"/>
          <w:szCs w:val="21"/>
          <w:highlight w:val="none"/>
          <w:lang w:eastAsia="zh-CN"/>
        </w:rPr>
        <w:t>项目名称：</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32"/>
        <w:gridCol w:w="3168"/>
        <w:gridCol w:w="2604"/>
      </w:tblGrid>
      <w:tr w14:paraId="5B87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shd w:val="clear" w:color="auto" w:fill="8DB3E2"/>
            <w:noWrap w:val="0"/>
            <w:vAlign w:val="center"/>
          </w:tcPr>
          <w:p w14:paraId="401685CC">
            <w:pPr>
              <w:spacing w:line="400" w:lineRule="exact"/>
              <w:jc w:val="center"/>
              <w:rPr>
                <w:rFonts w:ascii="宋体" w:hAnsi="宋体" w:cs="宋体"/>
                <w:b/>
                <w:color w:val="000000"/>
                <w:highlight w:val="none"/>
              </w:rPr>
            </w:pPr>
            <w:r>
              <w:rPr>
                <w:rFonts w:hint="eastAsia" w:ascii="宋体" w:hAnsi="宋体" w:cs="宋体"/>
                <w:b/>
                <w:color w:val="000000"/>
                <w:highlight w:val="none"/>
              </w:rPr>
              <w:t>序号</w:t>
            </w:r>
          </w:p>
        </w:tc>
        <w:tc>
          <w:tcPr>
            <w:tcW w:w="3232" w:type="dxa"/>
            <w:shd w:val="clear" w:color="auto" w:fill="8DB3E2"/>
            <w:noWrap w:val="0"/>
            <w:vAlign w:val="center"/>
          </w:tcPr>
          <w:p w14:paraId="21439B78">
            <w:pPr>
              <w:spacing w:line="400" w:lineRule="exact"/>
              <w:jc w:val="center"/>
              <w:rPr>
                <w:rFonts w:hint="eastAsia" w:ascii="宋体" w:hAnsi="宋体" w:eastAsia="宋体" w:cs="宋体"/>
                <w:b/>
                <w:color w:val="000000"/>
                <w:highlight w:val="none"/>
                <w:lang w:eastAsia="zh-CN"/>
              </w:rPr>
            </w:pPr>
            <w:r>
              <w:rPr>
                <w:rFonts w:hint="eastAsia" w:ascii="宋体" w:hAnsi="宋体" w:cs="宋体"/>
                <w:b/>
                <w:color w:val="000000"/>
                <w:szCs w:val="21"/>
                <w:highlight w:val="none"/>
                <w:lang w:eastAsia="zh-CN"/>
              </w:rPr>
              <w:t>竞争性磋商文件的</w:t>
            </w:r>
            <w:r>
              <w:rPr>
                <w:rFonts w:hint="eastAsia" w:ascii="宋体" w:hAnsi="宋体" w:eastAsia="宋体" w:cs="宋体"/>
                <w:b/>
                <w:color w:val="000000"/>
                <w:sz w:val="21"/>
                <w:szCs w:val="21"/>
                <w:highlight w:val="none"/>
              </w:rPr>
              <w:t>采购需求</w:t>
            </w:r>
          </w:p>
        </w:tc>
        <w:tc>
          <w:tcPr>
            <w:tcW w:w="3168" w:type="dxa"/>
            <w:shd w:val="clear" w:color="auto" w:fill="8DB3E2"/>
            <w:noWrap w:val="0"/>
            <w:vAlign w:val="center"/>
          </w:tcPr>
          <w:p w14:paraId="2DE65E11">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lang w:eastAsia="zh-CN"/>
              </w:rPr>
              <w:t>竞争性磋商响应文件</w:t>
            </w:r>
            <w:r>
              <w:rPr>
                <w:rFonts w:hint="eastAsia" w:ascii="宋体" w:hAnsi="宋体" w:cs="宋体"/>
                <w:b/>
                <w:color w:val="000000"/>
                <w:szCs w:val="21"/>
                <w:highlight w:val="none"/>
              </w:rPr>
              <w:t>的响应情况</w:t>
            </w:r>
          </w:p>
        </w:tc>
        <w:tc>
          <w:tcPr>
            <w:tcW w:w="2604" w:type="dxa"/>
            <w:shd w:val="clear" w:color="auto" w:fill="8DB3E2"/>
            <w:noWrap w:val="0"/>
            <w:vAlign w:val="center"/>
          </w:tcPr>
          <w:p w14:paraId="6BBC3171">
            <w:pPr>
              <w:spacing w:line="400" w:lineRule="exact"/>
              <w:jc w:val="center"/>
              <w:rPr>
                <w:rFonts w:ascii="宋体" w:hAnsi="宋体" w:cs="宋体"/>
                <w:b/>
                <w:color w:val="000000"/>
                <w:highlight w:val="none"/>
              </w:rPr>
            </w:pPr>
            <w:bookmarkStart w:id="487" w:name="_Toc254970701"/>
            <w:bookmarkStart w:id="488" w:name="_Toc254970560"/>
            <w:r>
              <w:rPr>
                <w:rFonts w:hint="eastAsia" w:ascii="宋体" w:hAnsi="宋体" w:cs="宋体"/>
                <w:b/>
                <w:color w:val="000000"/>
                <w:highlight w:val="none"/>
              </w:rPr>
              <w:t>偏离情况</w:t>
            </w:r>
            <w:bookmarkEnd w:id="487"/>
            <w:bookmarkEnd w:id="488"/>
            <w:r>
              <w:rPr>
                <w:rFonts w:hint="eastAsia" w:ascii="宋体" w:hAnsi="宋体" w:cs="宋体"/>
                <w:b/>
                <w:color w:val="000000"/>
                <w:highlight w:val="none"/>
              </w:rPr>
              <w:t>说明</w:t>
            </w:r>
          </w:p>
        </w:tc>
      </w:tr>
      <w:tr w14:paraId="6D69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5D2968DE">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3232" w:type="dxa"/>
            <w:noWrap w:val="0"/>
            <w:vAlign w:val="center"/>
          </w:tcPr>
          <w:p w14:paraId="2A7CFF9F">
            <w:pPr>
              <w:spacing w:line="400" w:lineRule="exact"/>
              <w:jc w:val="left"/>
              <w:rPr>
                <w:rFonts w:ascii="宋体" w:hAnsi="宋体" w:cs="宋体"/>
                <w:color w:val="000000"/>
                <w:highlight w:val="none"/>
              </w:rPr>
            </w:pPr>
          </w:p>
        </w:tc>
        <w:tc>
          <w:tcPr>
            <w:tcW w:w="3168" w:type="dxa"/>
            <w:noWrap w:val="0"/>
            <w:vAlign w:val="top"/>
          </w:tcPr>
          <w:p w14:paraId="06FB6A71">
            <w:pPr>
              <w:spacing w:line="400" w:lineRule="exact"/>
              <w:jc w:val="left"/>
              <w:rPr>
                <w:rFonts w:ascii="宋体" w:hAnsi="宋体" w:cs="宋体"/>
                <w:color w:val="000000"/>
                <w:highlight w:val="none"/>
              </w:rPr>
            </w:pPr>
          </w:p>
        </w:tc>
        <w:tc>
          <w:tcPr>
            <w:tcW w:w="2604" w:type="dxa"/>
            <w:noWrap w:val="0"/>
            <w:vAlign w:val="center"/>
          </w:tcPr>
          <w:p w14:paraId="5E48CC66">
            <w:pPr>
              <w:spacing w:line="400" w:lineRule="exact"/>
              <w:jc w:val="left"/>
              <w:rPr>
                <w:rFonts w:ascii="宋体" w:hAnsi="宋体" w:cs="宋体"/>
                <w:color w:val="000000"/>
                <w:highlight w:val="none"/>
              </w:rPr>
            </w:pPr>
          </w:p>
        </w:tc>
      </w:tr>
      <w:tr w14:paraId="389D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57AD9E7">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3232" w:type="dxa"/>
            <w:noWrap w:val="0"/>
            <w:vAlign w:val="center"/>
          </w:tcPr>
          <w:p w14:paraId="08C9185E">
            <w:pPr>
              <w:spacing w:line="400" w:lineRule="exact"/>
              <w:jc w:val="left"/>
              <w:rPr>
                <w:rFonts w:ascii="宋体" w:hAnsi="宋体" w:cs="宋体"/>
                <w:color w:val="000000"/>
                <w:highlight w:val="none"/>
              </w:rPr>
            </w:pPr>
          </w:p>
        </w:tc>
        <w:tc>
          <w:tcPr>
            <w:tcW w:w="3168" w:type="dxa"/>
            <w:noWrap w:val="0"/>
            <w:vAlign w:val="top"/>
          </w:tcPr>
          <w:p w14:paraId="579C0DD3">
            <w:pPr>
              <w:spacing w:line="400" w:lineRule="exact"/>
              <w:jc w:val="left"/>
              <w:rPr>
                <w:rFonts w:ascii="宋体" w:hAnsi="宋体" w:cs="宋体"/>
                <w:color w:val="000000"/>
                <w:highlight w:val="none"/>
              </w:rPr>
            </w:pPr>
          </w:p>
        </w:tc>
        <w:tc>
          <w:tcPr>
            <w:tcW w:w="2604" w:type="dxa"/>
            <w:noWrap w:val="0"/>
            <w:vAlign w:val="center"/>
          </w:tcPr>
          <w:p w14:paraId="25F7A382">
            <w:pPr>
              <w:spacing w:line="400" w:lineRule="exact"/>
              <w:jc w:val="left"/>
              <w:rPr>
                <w:rFonts w:ascii="宋体" w:hAnsi="宋体" w:cs="宋体"/>
                <w:color w:val="000000"/>
                <w:highlight w:val="none"/>
              </w:rPr>
            </w:pPr>
          </w:p>
        </w:tc>
      </w:tr>
      <w:tr w14:paraId="2031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3CBC71C">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3232" w:type="dxa"/>
            <w:noWrap w:val="0"/>
            <w:vAlign w:val="top"/>
          </w:tcPr>
          <w:p w14:paraId="50945844">
            <w:pPr>
              <w:spacing w:line="400" w:lineRule="exact"/>
              <w:jc w:val="left"/>
              <w:rPr>
                <w:rFonts w:ascii="宋体" w:hAnsi="宋体" w:cs="宋体"/>
                <w:color w:val="000000"/>
                <w:highlight w:val="none"/>
              </w:rPr>
            </w:pPr>
          </w:p>
        </w:tc>
        <w:tc>
          <w:tcPr>
            <w:tcW w:w="3168" w:type="dxa"/>
            <w:noWrap w:val="0"/>
            <w:vAlign w:val="top"/>
          </w:tcPr>
          <w:p w14:paraId="02094E7A">
            <w:pPr>
              <w:spacing w:line="400" w:lineRule="exact"/>
              <w:jc w:val="left"/>
              <w:rPr>
                <w:rFonts w:ascii="宋体" w:hAnsi="宋体" w:cs="宋体"/>
                <w:color w:val="000000"/>
                <w:highlight w:val="none"/>
              </w:rPr>
            </w:pPr>
          </w:p>
        </w:tc>
        <w:tc>
          <w:tcPr>
            <w:tcW w:w="2604" w:type="dxa"/>
            <w:noWrap w:val="0"/>
            <w:vAlign w:val="top"/>
          </w:tcPr>
          <w:p w14:paraId="5E86EE6E">
            <w:pPr>
              <w:spacing w:line="400" w:lineRule="exact"/>
              <w:jc w:val="left"/>
              <w:rPr>
                <w:rFonts w:ascii="宋体" w:hAnsi="宋体" w:cs="宋体"/>
                <w:color w:val="000000"/>
                <w:highlight w:val="none"/>
              </w:rPr>
            </w:pPr>
          </w:p>
        </w:tc>
      </w:tr>
      <w:tr w14:paraId="57B8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7C572E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3232" w:type="dxa"/>
            <w:noWrap w:val="0"/>
            <w:vAlign w:val="top"/>
          </w:tcPr>
          <w:p w14:paraId="4BABA9FA">
            <w:pPr>
              <w:spacing w:line="400" w:lineRule="exact"/>
              <w:jc w:val="left"/>
              <w:rPr>
                <w:rFonts w:ascii="宋体" w:hAnsi="宋体" w:cs="宋体"/>
                <w:color w:val="000000"/>
                <w:highlight w:val="none"/>
              </w:rPr>
            </w:pPr>
          </w:p>
        </w:tc>
        <w:tc>
          <w:tcPr>
            <w:tcW w:w="3168" w:type="dxa"/>
            <w:noWrap w:val="0"/>
            <w:vAlign w:val="top"/>
          </w:tcPr>
          <w:p w14:paraId="01E2B0BF">
            <w:pPr>
              <w:spacing w:line="400" w:lineRule="exact"/>
              <w:jc w:val="left"/>
              <w:rPr>
                <w:rFonts w:ascii="宋体" w:hAnsi="宋体" w:cs="宋体"/>
                <w:color w:val="000000"/>
                <w:highlight w:val="none"/>
              </w:rPr>
            </w:pPr>
          </w:p>
        </w:tc>
        <w:tc>
          <w:tcPr>
            <w:tcW w:w="2604" w:type="dxa"/>
            <w:noWrap w:val="0"/>
            <w:vAlign w:val="top"/>
          </w:tcPr>
          <w:p w14:paraId="6D1FAF74">
            <w:pPr>
              <w:spacing w:line="400" w:lineRule="exact"/>
              <w:jc w:val="left"/>
              <w:rPr>
                <w:rFonts w:ascii="宋体" w:hAnsi="宋体" w:cs="宋体"/>
                <w:color w:val="000000"/>
                <w:highlight w:val="none"/>
              </w:rPr>
            </w:pPr>
          </w:p>
        </w:tc>
      </w:tr>
      <w:tr w14:paraId="256A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2A5B6DC7">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3232" w:type="dxa"/>
            <w:noWrap w:val="0"/>
            <w:vAlign w:val="top"/>
          </w:tcPr>
          <w:p w14:paraId="37E680BF">
            <w:pPr>
              <w:spacing w:line="400" w:lineRule="exact"/>
              <w:jc w:val="left"/>
              <w:rPr>
                <w:rFonts w:ascii="宋体" w:hAnsi="宋体" w:cs="宋体"/>
                <w:color w:val="000000"/>
                <w:highlight w:val="none"/>
              </w:rPr>
            </w:pPr>
          </w:p>
        </w:tc>
        <w:tc>
          <w:tcPr>
            <w:tcW w:w="3168" w:type="dxa"/>
            <w:noWrap w:val="0"/>
            <w:vAlign w:val="top"/>
          </w:tcPr>
          <w:p w14:paraId="31EE5841">
            <w:pPr>
              <w:spacing w:line="400" w:lineRule="exact"/>
              <w:jc w:val="left"/>
              <w:rPr>
                <w:rFonts w:ascii="宋体" w:hAnsi="宋体" w:cs="宋体"/>
                <w:color w:val="000000"/>
                <w:highlight w:val="none"/>
              </w:rPr>
            </w:pPr>
          </w:p>
        </w:tc>
        <w:tc>
          <w:tcPr>
            <w:tcW w:w="2604" w:type="dxa"/>
            <w:noWrap w:val="0"/>
            <w:vAlign w:val="top"/>
          </w:tcPr>
          <w:p w14:paraId="2DA81CDD">
            <w:pPr>
              <w:spacing w:line="400" w:lineRule="exact"/>
              <w:jc w:val="left"/>
              <w:rPr>
                <w:rFonts w:ascii="宋体" w:hAnsi="宋体" w:cs="宋体"/>
                <w:color w:val="000000"/>
                <w:highlight w:val="none"/>
              </w:rPr>
            </w:pPr>
          </w:p>
        </w:tc>
      </w:tr>
      <w:tr w14:paraId="1489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32029DF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N</w:t>
            </w:r>
          </w:p>
        </w:tc>
        <w:tc>
          <w:tcPr>
            <w:tcW w:w="3232" w:type="dxa"/>
            <w:noWrap w:val="0"/>
            <w:vAlign w:val="top"/>
          </w:tcPr>
          <w:p w14:paraId="7F4B8962">
            <w:pPr>
              <w:spacing w:line="400" w:lineRule="exact"/>
              <w:jc w:val="left"/>
              <w:rPr>
                <w:rFonts w:ascii="宋体" w:hAnsi="宋体" w:cs="宋体"/>
                <w:color w:val="000000"/>
                <w:highlight w:val="none"/>
              </w:rPr>
            </w:pPr>
          </w:p>
        </w:tc>
        <w:tc>
          <w:tcPr>
            <w:tcW w:w="3168" w:type="dxa"/>
            <w:noWrap w:val="0"/>
            <w:vAlign w:val="top"/>
          </w:tcPr>
          <w:p w14:paraId="595E41BE">
            <w:pPr>
              <w:spacing w:line="400" w:lineRule="exact"/>
              <w:jc w:val="left"/>
              <w:rPr>
                <w:rFonts w:ascii="宋体" w:hAnsi="宋体" w:cs="宋体"/>
                <w:color w:val="000000"/>
                <w:highlight w:val="none"/>
              </w:rPr>
            </w:pPr>
          </w:p>
        </w:tc>
        <w:tc>
          <w:tcPr>
            <w:tcW w:w="2604" w:type="dxa"/>
            <w:noWrap w:val="0"/>
            <w:vAlign w:val="top"/>
          </w:tcPr>
          <w:p w14:paraId="7CC1D8D2">
            <w:pPr>
              <w:spacing w:line="400" w:lineRule="exact"/>
              <w:jc w:val="left"/>
              <w:rPr>
                <w:rFonts w:ascii="宋体" w:hAnsi="宋体" w:cs="宋体"/>
                <w:color w:val="000000"/>
                <w:highlight w:val="none"/>
              </w:rPr>
            </w:pPr>
          </w:p>
        </w:tc>
      </w:tr>
    </w:tbl>
    <w:p w14:paraId="7051FBBC">
      <w:pPr>
        <w:snapToGrid w:val="0"/>
        <w:spacing w:line="400" w:lineRule="exact"/>
        <w:rPr>
          <w:rFonts w:ascii="宋体" w:hAnsi="宋体" w:cs="宋体"/>
          <w:color w:val="000000"/>
          <w:szCs w:val="20"/>
          <w:highlight w:val="none"/>
          <w:u w:val="single"/>
        </w:rPr>
      </w:pPr>
    </w:p>
    <w:p w14:paraId="1F31454B">
      <w:pPr>
        <w:snapToGrid w:val="0"/>
        <w:spacing w:line="400" w:lineRule="exact"/>
        <w:ind w:firstLine="3780" w:firstLineChars="1800"/>
        <w:rPr>
          <w:rFonts w:ascii="宋体" w:hAnsi="宋体" w:cs="宋体"/>
          <w:color w:val="000000"/>
          <w:szCs w:val="20"/>
          <w:highlight w:val="none"/>
          <w:u w:val="single"/>
        </w:rPr>
      </w:pPr>
    </w:p>
    <w:p w14:paraId="2EB1BDA4">
      <w:pPr>
        <w:snapToGrid w:val="0"/>
        <w:spacing w:line="400" w:lineRule="exact"/>
        <w:ind w:firstLine="1890" w:firstLineChars="900"/>
        <w:rPr>
          <w:rFonts w:ascii="宋体" w:hAnsi="宋体" w:cs="宋体"/>
          <w:color w:val="000000"/>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cs="宋体"/>
          <w:color w:val="000000"/>
          <w:szCs w:val="21"/>
          <w:highlight w:val="none"/>
        </w:rPr>
        <w:t>[公章(CA签章)，自然人签字或个人CA签章]：</w:t>
      </w:r>
      <w:r>
        <w:rPr>
          <w:rFonts w:hint="eastAsia" w:ascii="宋体" w:hAnsi="宋体" w:cs="宋体"/>
          <w:color w:val="000000"/>
          <w:szCs w:val="21"/>
          <w:highlight w:val="none"/>
          <w:u w:val="single"/>
        </w:rPr>
        <w:t xml:space="preserve">                                         </w:t>
      </w:r>
    </w:p>
    <w:p w14:paraId="2B9F47A2">
      <w:pPr>
        <w:spacing w:line="340" w:lineRule="exact"/>
        <w:rPr>
          <w:rFonts w:ascii="宋体" w:hAnsi="宋体" w:cs="宋体"/>
          <w:color w:val="000000"/>
          <w:szCs w:val="21"/>
          <w:highlight w:val="none"/>
          <w:u w:val="single"/>
        </w:rPr>
      </w:pPr>
    </w:p>
    <w:p w14:paraId="69AD26B3">
      <w:pPr>
        <w:ind w:firstLine="1890" w:firstLineChars="900"/>
        <w:rPr>
          <w:rFonts w:ascii="宋体" w:hAnsi="宋体" w:cs="宋体"/>
          <w:color w:val="000000"/>
          <w:highlight w:val="none"/>
          <w:u w:val="singl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7E56C5E8">
      <w:pPr>
        <w:spacing w:line="360" w:lineRule="exact"/>
        <w:rPr>
          <w:rFonts w:ascii="宋体" w:hAnsi="宋体" w:cs="宋体"/>
          <w:color w:val="000000"/>
          <w:highlight w:val="none"/>
        </w:rPr>
      </w:pPr>
    </w:p>
    <w:p w14:paraId="64836886">
      <w:pPr>
        <w:spacing w:line="400" w:lineRule="exact"/>
        <w:ind w:left="900" w:leftChars="200" w:hanging="480" w:hangingChars="200"/>
        <w:rPr>
          <w:rFonts w:hint="eastAsia" w:ascii="宋体" w:hAnsi="宋体" w:cs="宋体"/>
          <w:b/>
          <w:bCs/>
          <w:color w:val="000000"/>
          <w:sz w:val="24"/>
          <w:szCs w:val="24"/>
          <w:highlight w:val="none"/>
        </w:rPr>
      </w:pPr>
    </w:p>
    <w:p w14:paraId="07F46CE3">
      <w:pPr>
        <w:spacing w:line="400" w:lineRule="exact"/>
        <w:ind w:left="482" w:leftChars="230" w:firstLine="0" w:firstLineChars="0"/>
        <w:rPr>
          <w:rFonts w:hint="eastAsia" w:ascii="宋体" w:hAnsi="宋体" w:eastAsia="宋体" w:cs="宋体"/>
          <w:b/>
          <w:color w:val="000000"/>
          <w:sz w:val="24"/>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color w:val="000000"/>
          <w:sz w:val="24"/>
          <w:highlight w:val="none"/>
        </w:rPr>
        <w:t>1.“</w:t>
      </w:r>
      <w:r>
        <w:rPr>
          <w:rFonts w:hint="eastAsia" w:ascii="宋体" w:hAnsi="宋体" w:eastAsia="宋体" w:cs="宋体"/>
          <w:b/>
          <w:color w:val="000000"/>
          <w:sz w:val="24"/>
          <w:highlight w:val="none"/>
          <w:lang w:eastAsia="zh-CN"/>
        </w:rPr>
        <w:t>服务响应表</w:t>
      </w:r>
      <w:r>
        <w:rPr>
          <w:rFonts w:hint="eastAsia" w:ascii="宋体" w:hAnsi="宋体" w:eastAsia="宋体" w:cs="宋体"/>
          <w:b/>
          <w:color w:val="000000"/>
          <w:sz w:val="24"/>
          <w:highlight w:val="none"/>
        </w:rPr>
        <w:t>”各项内容必须如实填写。</w:t>
      </w:r>
    </w:p>
    <w:p w14:paraId="51FA3E40">
      <w:pPr>
        <w:spacing w:line="400" w:lineRule="exact"/>
        <w:ind w:left="0" w:leftChars="0" w:firstLine="900" w:firstLineChars="375"/>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2.当本表由多页构成时，需逐页加盖</w:t>
      </w:r>
      <w:r>
        <w:rPr>
          <w:rFonts w:hint="eastAsia" w:ascii="宋体" w:hAnsi="宋体" w:eastAsia="宋体" w:cs="宋体"/>
          <w:b/>
          <w:color w:val="000000"/>
          <w:sz w:val="24"/>
          <w:highlight w:val="none"/>
          <w:lang w:eastAsia="zh-CN"/>
        </w:rPr>
        <w:t>磋商供应商</w:t>
      </w:r>
      <w:r>
        <w:rPr>
          <w:rFonts w:hint="eastAsia" w:ascii="宋体" w:hAnsi="宋体" w:eastAsia="宋体" w:cs="宋体"/>
          <w:b/>
          <w:color w:val="000000"/>
          <w:sz w:val="24"/>
          <w:highlight w:val="none"/>
        </w:rPr>
        <w:t>公章（CA签章）（属自然人的须逐页签字或个人CA签章）。</w:t>
      </w:r>
    </w:p>
    <w:p w14:paraId="5196C110">
      <w:pPr>
        <w:pStyle w:val="14"/>
        <w:jc w:val="both"/>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3.磋商供应商</w:t>
      </w:r>
      <w:r>
        <w:rPr>
          <w:rFonts w:hint="eastAsia" w:ascii="宋体" w:hAnsi="宋体" w:eastAsia="宋体" w:cs="宋体"/>
          <w:b/>
          <w:color w:val="000000"/>
          <w:sz w:val="24"/>
          <w:szCs w:val="24"/>
          <w:highlight w:val="none"/>
        </w:rPr>
        <w:t>应对照</w:t>
      </w:r>
      <w:r>
        <w:rPr>
          <w:rFonts w:hint="eastAsia" w:ascii="宋体" w:hAnsi="宋体" w:eastAsia="宋体" w:cs="宋体"/>
          <w:b/>
          <w:color w:val="000000"/>
          <w:sz w:val="24"/>
          <w:szCs w:val="24"/>
          <w:highlight w:val="none"/>
          <w:lang w:eastAsia="zh-CN"/>
        </w:rPr>
        <w:t>竞争性磋商文件</w:t>
      </w:r>
      <w:r>
        <w:rPr>
          <w:rFonts w:hint="eastAsia" w:ascii="宋体" w:hAnsi="宋体" w:eastAsia="宋体" w:cs="宋体"/>
          <w:b/>
          <w:color w:val="000000"/>
          <w:sz w:val="24"/>
          <w:szCs w:val="24"/>
          <w:highlight w:val="none"/>
        </w:rPr>
        <w:t>中</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第三章</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采购需求</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的</w:t>
      </w:r>
      <w:r>
        <w:rPr>
          <w:rFonts w:hint="eastAsia" w:ascii="宋体" w:hAnsi="宋体" w:eastAsia="宋体" w:cs="宋体"/>
          <w:b/>
          <w:color w:val="000000"/>
          <w:sz w:val="24"/>
          <w:szCs w:val="24"/>
          <w:highlight w:val="none"/>
          <w:lang w:eastAsia="zh-CN"/>
        </w:rPr>
        <w:t>全部</w:t>
      </w:r>
      <w:r>
        <w:rPr>
          <w:rFonts w:hint="eastAsia" w:ascii="宋体" w:hAnsi="宋体" w:eastAsia="宋体" w:cs="宋体"/>
          <w:b/>
          <w:color w:val="000000"/>
          <w:sz w:val="24"/>
          <w:szCs w:val="24"/>
          <w:highlight w:val="none"/>
        </w:rPr>
        <w:t>内容</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商务要求</w:t>
      </w:r>
      <w:r>
        <w:rPr>
          <w:rFonts w:hint="eastAsia" w:ascii="宋体" w:hAnsi="宋体" w:eastAsia="宋体" w:cs="宋体"/>
          <w:b/>
          <w:color w:val="000000"/>
          <w:sz w:val="24"/>
          <w:szCs w:val="24"/>
          <w:highlight w:val="none"/>
          <w:lang w:eastAsia="zh-CN"/>
        </w:rPr>
        <w:t>除外）</w:t>
      </w:r>
      <w:r>
        <w:rPr>
          <w:rFonts w:hint="eastAsia" w:ascii="宋体" w:hAnsi="宋体" w:eastAsia="宋体" w:cs="宋体"/>
          <w:b/>
          <w:color w:val="000000"/>
          <w:sz w:val="24"/>
          <w:szCs w:val="24"/>
          <w:highlight w:val="none"/>
        </w:rPr>
        <w:t>逐条响应，并在“偏离情况说明”栏注明“正偏离”、“负偏离”或“无偏离”。</w:t>
      </w:r>
      <w:r>
        <w:rPr>
          <w:rFonts w:hint="eastAsia" w:ascii="宋体" w:hAnsi="宋体" w:eastAsia="宋体" w:cs="宋体"/>
          <w:b/>
          <w:color w:val="000000"/>
          <w:sz w:val="24"/>
          <w:szCs w:val="24"/>
          <w:highlight w:val="none"/>
          <w:lang w:eastAsia="zh-CN"/>
        </w:rPr>
        <w:t>否则，响应无效。</w:t>
      </w:r>
    </w:p>
    <w:p w14:paraId="45A7D469">
      <w:pPr>
        <w:pStyle w:val="14"/>
        <w:jc w:val="both"/>
        <w:rPr>
          <w:rFonts w:hint="eastAsia" w:ascii="宋体" w:hAnsi="宋体" w:eastAsia="宋体" w:cs="宋体"/>
          <w:b/>
          <w:color w:val="000000"/>
          <w:sz w:val="24"/>
          <w:szCs w:val="24"/>
          <w:highlight w:val="none"/>
          <w:lang w:val="en-US" w:eastAsia="zh-CN"/>
        </w:rPr>
      </w:pPr>
    </w:p>
    <w:p w14:paraId="0F46D6CF">
      <w:pPr>
        <w:pStyle w:val="14"/>
        <w:jc w:val="center"/>
        <w:rPr>
          <w:rFonts w:hAnsi="宋体" w:cs="宋体"/>
          <w:b/>
          <w:color w:val="000000"/>
          <w:sz w:val="32"/>
          <w:highlight w:val="none"/>
        </w:rPr>
      </w:pPr>
    </w:p>
    <w:p w14:paraId="7D905A52">
      <w:pPr>
        <w:pStyle w:val="14"/>
        <w:jc w:val="center"/>
        <w:rPr>
          <w:rFonts w:hAnsi="宋体" w:cs="宋体"/>
          <w:b/>
          <w:color w:val="000000"/>
          <w:sz w:val="32"/>
          <w:highlight w:val="none"/>
        </w:rPr>
      </w:pPr>
    </w:p>
    <w:p w14:paraId="78635CEF">
      <w:pPr>
        <w:pStyle w:val="14"/>
        <w:jc w:val="center"/>
        <w:rPr>
          <w:rFonts w:hAnsi="宋体" w:cs="宋体"/>
          <w:b/>
          <w:color w:val="000000"/>
          <w:sz w:val="32"/>
          <w:highlight w:val="none"/>
        </w:rPr>
      </w:pPr>
    </w:p>
    <w:p w14:paraId="058B3039">
      <w:pPr>
        <w:pStyle w:val="14"/>
        <w:jc w:val="center"/>
        <w:rPr>
          <w:rFonts w:hAnsi="宋体" w:cs="宋体"/>
          <w:b/>
          <w:color w:val="000000"/>
          <w:sz w:val="32"/>
          <w:highlight w:val="none"/>
        </w:rPr>
      </w:pPr>
    </w:p>
    <w:p w14:paraId="66B6B571">
      <w:pPr>
        <w:pStyle w:val="10"/>
        <w:rPr>
          <w:color w:val="000000"/>
          <w:highlight w:val="none"/>
        </w:rPr>
      </w:pPr>
    </w:p>
    <w:p w14:paraId="425D1ED1">
      <w:pPr>
        <w:rPr>
          <w:color w:val="000000"/>
          <w:highlight w:val="none"/>
        </w:rPr>
      </w:pPr>
    </w:p>
    <w:p w14:paraId="321F0BC5">
      <w:pPr>
        <w:rPr>
          <w:rFonts w:hint="eastAsia" w:ascii="宋体" w:hAnsi="宋体" w:eastAsia="宋体" w:cs="宋体"/>
          <w:b/>
          <w:bCs/>
          <w:color w:val="000000"/>
          <w:sz w:val="32"/>
          <w:szCs w:val="32"/>
          <w:highlight w:val="none"/>
          <w:lang w:eastAsia="zh-CN"/>
        </w:rPr>
      </w:pPr>
      <w:bookmarkStart w:id="489" w:name="_Toc15632"/>
      <w:r>
        <w:rPr>
          <w:rFonts w:hint="eastAsia" w:ascii="宋体" w:hAnsi="宋体" w:cs="宋体"/>
          <w:b/>
          <w:bCs/>
          <w:color w:val="000000"/>
          <w:sz w:val="32"/>
          <w:szCs w:val="32"/>
          <w:highlight w:val="none"/>
          <w:lang w:val="en-US" w:eastAsia="zh-CN"/>
        </w:rPr>
        <w:t>4</w:t>
      </w:r>
      <w:r>
        <w:rPr>
          <w:rFonts w:hint="eastAsia" w:ascii="宋体" w:hAnsi="宋体" w:cs="宋体"/>
          <w:b/>
          <w:bCs/>
          <w:color w:val="000000"/>
          <w:sz w:val="32"/>
          <w:szCs w:val="32"/>
          <w:highlight w:val="none"/>
        </w:rPr>
        <w:t>.商务响应表（格式见附件）（必须提供）</w:t>
      </w:r>
      <w:bookmarkEnd w:id="489"/>
      <w:r>
        <w:rPr>
          <w:rFonts w:hint="eastAsia" w:ascii="宋体" w:hAnsi="宋体" w:cs="宋体"/>
          <w:b/>
          <w:bCs/>
          <w:color w:val="000000"/>
          <w:sz w:val="32"/>
          <w:szCs w:val="32"/>
          <w:highlight w:val="none"/>
          <w:lang w:eastAsia="zh-CN"/>
        </w:rPr>
        <w:t>；</w:t>
      </w:r>
    </w:p>
    <w:p w14:paraId="4956CEB5">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079F21F6">
      <w:pPr>
        <w:jc w:val="center"/>
        <w:rPr>
          <w:rFonts w:ascii="宋体" w:hAnsi="宋体" w:cs="宋体"/>
          <w:b/>
          <w:bCs/>
          <w:color w:val="000000"/>
          <w:sz w:val="32"/>
          <w:szCs w:val="32"/>
          <w:highlight w:val="none"/>
        </w:rPr>
      </w:pPr>
      <w:r>
        <w:rPr>
          <w:rFonts w:hint="eastAsia" w:ascii="宋体" w:hAnsi="宋体" w:cs="宋体"/>
          <w:b/>
          <w:bCs/>
          <w:color w:val="000000"/>
          <w:sz w:val="32"/>
          <w:szCs w:val="32"/>
          <w:highlight w:val="none"/>
        </w:rPr>
        <w:t>商务响应表（格式）</w:t>
      </w:r>
    </w:p>
    <w:p w14:paraId="2FFE660C">
      <w:pPr>
        <w:pStyle w:val="10"/>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78DDD92B">
      <w:pPr>
        <w:pStyle w:val="10"/>
        <w:rPr>
          <w:color w:val="000000"/>
          <w:highlight w:val="none"/>
        </w:rPr>
      </w:pPr>
      <w:r>
        <w:rPr>
          <w:rFonts w:hint="eastAsia" w:ascii="宋体" w:hAnsi="宋体" w:cs="宋体"/>
          <w:b/>
          <w:bCs/>
          <w:color w:val="000000"/>
          <w:sz w:val="24"/>
          <w:szCs w:val="21"/>
          <w:highlight w:val="none"/>
          <w:lang w:eastAsia="zh-CN"/>
        </w:rPr>
        <w:t>项目名称：</w:t>
      </w:r>
    </w:p>
    <w:tbl>
      <w:tblPr>
        <w:tblStyle w:val="2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117"/>
        <w:gridCol w:w="2616"/>
        <w:gridCol w:w="2885"/>
      </w:tblGrid>
      <w:tr w14:paraId="17749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2931915">
            <w:pPr>
              <w:snapToGrid w:val="0"/>
              <w:spacing w:line="36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项号</w:t>
            </w:r>
          </w:p>
        </w:tc>
        <w:tc>
          <w:tcPr>
            <w:tcW w:w="311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472BBE4">
            <w:pPr>
              <w:pStyle w:val="14"/>
              <w:spacing w:line="360" w:lineRule="exact"/>
              <w:jc w:val="center"/>
              <w:rPr>
                <w:rFonts w:hAnsi="宋体" w:cs="宋体"/>
                <w:b/>
                <w:bCs/>
                <w:color w:val="000000"/>
                <w:highlight w:val="none"/>
              </w:rPr>
            </w:pPr>
            <w:r>
              <w:rPr>
                <w:rFonts w:hint="eastAsia" w:ascii="宋体" w:hAnsi="宋体" w:cs="宋体"/>
                <w:b/>
                <w:color w:val="000000"/>
                <w:szCs w:val="21"/>
                <w:highlight w:val="none"/>
                <w:lang w:eastAsia="zh-CN"/>
              </w:rPr>
              <w:t>竞争性磋商文件</w:t>
            </w:r>
            <w:r>
              <w:rPr>
                <w:rFonts w:hint="eastAsia" w:hAnsi="宋体" w:cs="宋体"/>
                <w:b/>
                <w:bCs/>
                <w:color w:val="000000"/>
                <w:szCs w:val="24"/>
                <w:highlight w:val="none"/>
              </w:rPr>
              <w:t>的商务</w:t>
            </w:r>
            <w:r>
              <w:rPr>
                <w:rFonts w:hint="eastAsia" w:hAnsi="宋体" w:cs="宋体"/>
                <w:b/>
                <w:bCs/>
                <w:color w:val="000000"/>
                <w:szCs w:val="24"/>
                <w:highlight w:val="none"/>
                <w:lang w:eastAsia="zh-CN"/>
              </w:rPr>
              <w:t>要求</w:t>
            </w:r>
          </w:p>
        </w:tc>
        <w:tc>
          <w:tcPr>
            <w:tcW w:w="261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1F03130">
            <w:pPr>
              <w:pStyle w:val="14"/>
              <w:spacing w:line="360" w:lineRule="exact"/>
              <w:jc w:val="center"/>
              <w:rPr>
                <w:rFonts w:hAnsi="宋体" w:cs="宋体"/>
                <w:b/>
                <w:bCs/>
                <w:color w:val="000000"/>
                <w:highlight w:val="none"/>
              </w:rPr>
            </w:pPr>
            <w:r>
              <w:rPr>
                <w:rFonts w:hint="eastAsia" w:ascii="宋体" w:hAnsi="宋体" w:cs="宋体"/>
                <w:b/>
                <w:color w:val="000000"/>
                <w:szCs w:val="21"/>
                <w:highlight w:val="none"/>
                <w:lang w:eastAsia="zh-CN"/>
              </w:rPr>
              <w:t>竞争性磋商响应文件</w:t>
            </w:r>
            <w:r>
              <w:rPr>
                <w:rFonts w:hint="eastAsia" w:hAnsi="宋体" w:cs="宋体"/>
                <w:b/>
                <w:bCs/>
                <w:color w:val="000000"/>
                <w:szCs w:val="24"/>
                <w:highlight w:val="none"/>
              </w:rPr>
              <w:t>承诺的商务</w:t>
            </w:r>
            <w:r>
              <w:rPr>
                <w:rFonts w:hint="eastAsia" w:hAnsi="宋体" w:cs="宋体"/>
                <w:b/>
                <w:bCs/>
                <w:color w:val="000000"/>
                <w:szCs w:val="24"/>
                <w:highlight w:val="none"/>
                <w:lang w:eastAsia="zh-CN"/>
              </w:rPr>
              <w:t>要求</w:t>
            </w:r>
          </w:p>
        </w:tc>
        <w:tc>
          <w:tcPr>
            <w:tcW w:w="288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5B13CC6">
            <w:pPr>
              <w:pStyle w:val="14"/>
              <w:spacing w:line="360" w:lineRule="exact"/>
              <w:jc w:val="center"/>
              <w:rPr>
                <w:rFonts w:hAnsi="宋体" w:cs="宋体"/>
                <w:b/>
                <w:bCs/>
                <w:color w:val="000000"/>
                <w:highlight w:val="none"/>
              </w:rPr>
            </w:pPr>
            <w:r>
              <w:rPr>
                <w:rFonts w:hint="eastAsia" w:hAnsi="宋体" w:cs="宋体"/>
                <w:b/>
                <w:bCs/>
                <w:color w:val="000000"/>
                <w:szCs w:val="24"/>
                <w:highlight w:val="none"/>
              </w:rPr>
              <w:t>偏离情况说明</w:t>
            </w:r>
          </w:p>
        </w:tc>
      </w:tr>
      <w:tr w14:paraId="2BC32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50D30DFB">
            <w:pPr>
              <w:snapToGrid w:val="0"/>
              <w:spacing w:before="156" w:beforeLines="50"/>
              <w:jc w:val="center"/>
              <w:rPr>
                <w:rFonts w:ascii="宋体" w:hAnsi="宋体" w:cs="宋体"/>
                <w:color w:val="000000"/>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0"/>
            <w:vAlign w:val="top"/>
          </w:tcPr>
          <w:p w14:paraId="7DEB6441">
            <w:pPr>
              <w:snapToGrid w:val="0"/>
              <w:spacing w:before="156" w:beforeLines="50"/>
              <w:jc w:val="left"/>
              <w:rPr>
                <w:rFonts w:ascii="宋体" w:hAnsi="宋体" w:cs="宋体"/>
                <w:color w:val="000000"/>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2A9453EA">
            <w:pPr>
              <w:snapToGrid w:val="0"/>
              <w:spacing w:before="156" w:beforeLines="50"/>
              <w:jc w:val="center"/>
              <w:rPr>
                <w:rFonts w:ascii="宋体" w:hAnsi="宋体" w:cs="宋体"/>
                <w:color w:val="000000"/>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2078F85C">
            <w:pPr>
              <w:snapToGrid w:val="0"/>
              <w:spacing w:before="156" w:beforeLines="50"/>
              <w:jc w:val="center"/>
              <w:rPr>
                <w:rFonts w:ascii="宋体" w:hAnsi="宋体" w:cs="宋体"/>
                <w:color w:val="000000"/>
                <w:szCs w:val="21"/>
                <w:highlight w:val="none"/>
              </w:rPr>
            </w:pPr>
          </w:p>
        </w:tc>
      </w:tr>
      <w:tr w14:paraId="183AD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81646F7">
            <w:pPr>
              <w:snapToGrid w:val="0"/>
              <w:spacing w:before="156" w:beforeLines="50"/>
              <w:jc w:val="center"/>
              <w:rPr>
                <w:rFonts w:ascii="宋体" w:hAnsi="宋体" w:cs="宋体"/>
                <w:color w:val="000000"/>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64A790EB">
            <w:pPr>
              <w:snapToGrid w:val="0"/>
              <w:spacing w:before="156" w:beforeLines="50"/>
              <w:jc w:val="center"/>
              <w:rPr>
                <w:rFonts w:ascii="宋体" w:hAnsi="宋体" w:cs="宋体"/>
                <w:color w:val="000000"/>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574AF28F">
            <w:pPr>
              <w:snapToGrid w:val="0"/>
              <w:spacing w:before="156" w:beforeLines="50"/>
              <w:jc w:val="center"/>
              <w:rPr>
                <w:rFonts w:ascii="宋体" w:hAnsi="宋体" w:cs="宋体"/>
                <w:color w:val="000000"/>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38DBFEED">
            <w:pPr>
              <w:snapToGrid w:val="0"/>
              <w:spacing w:before="156" w:beforeLines="50"/>
              <w:jc w:val="center"/>
              <w:rPr>
                <w:rFonts w:ascii="宋体" w:hAnsi="宋体" w:cs="宋体"/>
                <w:color w:val="000000"/>
                <w:szCs w:val="21"/>
                <w:highlight w:val="none"/>
              </w:rPr>
            </w:pPr>
          </w:p>
        </w:tc>
      </w:tr>
      <w:tr w14:paraId="3EE62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0F59681B">
            <w:pPr>
              <w:snapToGrid w:val="0"/>
              <w:spacing w:before="156" w:beforeLines="50"/>
              <w:jc w:val="center"/>
              <w:rPr>
                <w:rFonts w:ascii="宋体" w:hAnsi="宋体" w:cs="宋体"/>
                <w:color w:val="000000"/>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1A9860E1">
            <w:pPr>
              <w:snapToGrid w:val="0"/>
              <w:spacing w:before="156" w:beforeLines="50"/>
              <w:jc w:val="center"/>
              <w:rPr>
                <w:rFonts w:ascii="宋体" w:hAnsi="宋体" w:cs="宋体"/>
                <w:color w:val="000000"/>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73C1AA58">
            <w:pPr>
              <w:snapToGrid w:val="0"/>
              <w:spacing w:before="156" w:beforeLines="50"/>
              <w:ind w:left="43"/>
              <w:jc w:val="center"/>
              <w:rPr>
                <w:rFonts w:ascii="宋体" w:hAnsi="宋体" w:cs="宋体"/>
                <w:color w:val="000000"/>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44D8345A">
            <w:pPr>
              <w:snapToGrid w:val="0"/>
              <w:spacing w:before="156" w:beforeLines="50"/>
              <w:ind w:left="43"/>
              <w:jc w:val="center"/>
              <w:rPr>
                <w:rFonts w:ascii="宋体" w:hAnsi="宋体" w:cs="宋体"/>
                <w:color w:val="000000"/>
                <w:szCs w:val="21"/>
                <w:highlight w:val="none"/>
              </w:rPr>
            </w:pPr>
          </w:p>
        </w:tc>
      </w:tr>
      <w:tr w14:paraId="2DC0D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10A2B08A">
            <w:pPr>
              <w:snapToGrid w:val="0"/>
              <w:spacing w:before="156" w:beforeLines="50"/>
              <w:jc w:val="center"/>
              <w:rPr>
                <w:rFonts w:ascii="宋体" w:hAnsi="宋体" w:cs="宋体"/>
                <w:color w:val="000000"/>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075B1BFB">
            <w:pPr>
              <w:snapToGrid w:val="0"/>
              <w:spacing w:before="156" w:beforeLines="50"/>
              <w:jc w:val="center"/>
              <w:rPr>
                <w:rFonts w:ascii="宋体" w:hAnsi="宋体" w:cs="宋体"/>
                <w:color w:val="000000"/>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7D69ED04">
            <w:pPr>
              <w:snapToGrid w:val="0"/>
              <w:spacing w:before="156" w:beforeLines="50"/>
              <w:jc w:val="center"/>
              <w:rPr>
                <w:rFonts w:ascii="宋体" w:hAnsi="宋体" w:cs="宋体"/>
                <w:color w:val="000000"/>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6DD88623">
            <w:pPr>
              <w:snapToGrid w:val="0"/>
              <w:spacing w:before="156" w:beforeLines="50"/>
              <w:jc w:val="center"/>
              <w:rPr>
                <w:rFonts w:ascii="宋体" w:hAnsi="宋体" w:cs="宋体"/>
                <w:color w:val="000000"/>
                <w:szCs w:val="21"/>
                <w:highlight w:val="none"/>
              </w:rPr>
            </w:pPr>
          </w:p>
        </w:tc>
      </w:tr>
      <w:tr w14:paraId="0A1C0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7A3FB9D3">
            <w:pPr>
              <w:snapToGrid w:val="0"/>
              <w:spacing w:before="156" w:beforeLines="50"/>
              <w:jc w:val="center"/>
              <w:rPr>
                <w:rFonts w:ascii="宋体" w:hAnsi="宋体" w:cs="宋体"/>
                <w:color w:val="000000"/>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7E6D3D70">
            <w:pPr>
              <w:snapToGrid w:val="0"/>
              <w:spacing w:before="156" w:beforeLines="50"/>
              <w:jc w:val="center"/>
              <w:rPr>
                <w:rFonts w:ascii="宋体" w:hAnsi="宋体" w:cs="宋体"/>
                <w:color w:val="000000"/>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15CF09E4">
            <w:pPr>
              <w:snapToGrid w:val="0"/>
              <w:spacing w:before="156" w:beforeLines="50"/>
              <w:jc w:val="center"/>
              <w:rPr>
                <w:rFonts w:ascii="宋体" w:hAnsi="宋体" w:cs="宋体"/>
                <w:color w:val="000000"/>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342249C7">
            <w:pPr>
              <w:snapToGrid w:val="0"/>
              <w:spacing w:before="156" w:beforeLines="50"/>
              <w:jc w:val="center"/>
              <w:rPr>
                <w:rFonts w:ascii="宋体" w:hAnsi="宋体" w:cs="宋体"/>
                <w:color w:val="000000"/>
                <w:szCs w:val="21"/>
                <w:highlight w:val="none"/>
              </w:rPr>
            </w:pPr>
          </w:p>
        </w:tc>
      </w:tr>
      <w:tr w14:paraId="13F66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510D7EFA">
            <w:pPr>
              <w:snapToGrid w:val="0"/>
              <w:spacing w:before="156" w:beforeLines="50"/>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5F562CAC">
            <w:pPr>
              <w:snapToGrid w:val="0"/>
              <w:spacing w:before="156" w:beforeLines="50"/>
              <w:jc w:val="center"/>
              <w:rPr>
                <w:rFonts w:ascii="宋体" w:hAnsi="宋体" w:cs="宋体"/>
                <w:color w:val="000000"/>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18145443">
            <w:pPr>
              <w:snapToGrid w:val="0"/>
              <w:spacing w:before="156" w:beforeLines="50"/>
              <w:jc w:val="center"/>
              <w:rPr>
                <w:rFonts w:ascii="宋体" w:hAnsi="宋体" w:cs="宋体"/>
                <w:color w:val="000000"/>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491C0E4D">
            <w:pPr>
              <w:snapToGrid w:val="0"/>
              <w:spacing w:before="156" w:beforeLines="50"/>
              <w:jc w:val="center"/>
              <w:rPr>
                <w:rFonts w:ascii="宋体" w:hAnsi="宋体" w:cs="宋体"/>
                <w:color w:val="000000"/>
                <w:szCs w:val="21"/>
                <w:highlight w:val="none"/>
              </w:rPr>
            </w:pPr>
          </w:p>
        </w:tc>
      </w:tr>
    </w:tbl>
    <w:p w14:paraId="1671F21C">
      <w:pPr>
        <w:snapToGrid w:val="0"/>
        <w:spacing w:before="50" w:after="50"/>
        <w:rPr>
          <w:rFonts w:ascii="宋体" w:hAnsi="宋体" w:cs="宋体"/>
          <w:color w:val="000000"/>
          <w:highlight w:val="none"/>
        </w:rPr>
      </w:pPr>
    </w:p>
    <w:p w14:paraId="66510F34">
      <w:pPr>
        <w:snapToGrid w:val="0"/>
        <w:spacing w:before="50" w:after="50"/>
        <w:rPr>
          <w:rFonts w:ascii="宋体" w:hAnsi="宋体" w:cs="宋体"/>
          <w:color w:val="000000"/>
          <w:spacing w:val="20"/>
          <w:sz w:val="24"/>
          <w:highlight w:val="none"/>
        </w:rPr>
      </w:pPr>
    </w:p>
    <w:p w14:paraId="7F509154">
      <w:pPr>
        <w:snapToGrid w:val="0"/>
        <w:spacing w:line="400" w:lineRule="exact"/>
        <w:ind w:firstLine="1890" w:firstLineChars="900"/>
        <w:rPr>
          <w:rFonts w:hint="eastAsia" w:ascii="宋体" w:hAnsi="宋体" w:cs="宋体"/>
          <w:color w:val="000000"/>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cs="宋体"/>
          <w:color w:val="000000"/>
          <w:szCs w:val="21"/>
          <w:highlight w:val="none"/>
        </w:rPr>
        <w:t>[公章(CA签章)，自然人签字或个人CA签章]：</w:t>
      </w:r>
      <w:r>
        <w:rPr>
          <w:rFonts w:hint="eastAsia" w:ascii="宋体" w:hAnsi="宋体" w:cs="宋体"/>
          <w:color w:val="000000"/>
          <w:szCs w:val="21"/>
          <w:highlight w:val="none"/>
          <w:u w:val="single"/>
        </w:rPr>
        <w:t xml:space="preserve">                                </w:t>
      </w:r>
    </w:p>
    <w:p w14:paraId="5FE2CBF5">
      <w:pPr>
        <w:spacing w:line="340" w:lineRule="exact"/>
        <w:rPr>
          <w:color w:val="000000"/>
          <w:highlight w:val="none"/>
        </w:rPr>
      </w:pPr>
    </w:p>
    <w:p w14:paraId="5D6474BC">
      <w:pPr>
        <w:snapToGrid w:val="0"/>
        <w:spacing w:line="400" w:lineRule="exact"/>
        <w:ind w:firstLine="1680" w:firstLineChars="800"/>
        <w:rPr>
          <w:rFonts w:hint="eastAsia" w:ascii="宋体" w:hAnsi="宋体" w:cs="宋体"/>
          <w:color w:val="000000"/>
          <w:highlight w:val="none"/>
        </w:rPr>
      </w:pPr>
    </w:p>
    <w:p w14:paraId="0E0BA14B">
      <w:pPr>
        <w:snapToGrid w:val="0"/>
        <w:spacing w:line="400" w:lineRule="exact"/>
        <w:ind w:firstLine="1680" w:firstLineChars="800"/>
        <w:rPr>
          <w:rFonts w:ascii="宋体" w:hAnsi="宋体" w:cs="宋体"/>
          <w:color w:val="000000"/>
          <w:highlight w:val="non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23BD7606">
      <w:pPr>
        <w:ind w:firstLine="1890" w:firstLineChars="900"/>
        <w:rPr>
          <w:rFonts w:ascii="宋体" w:hAnsi="宋体" w:cs="宋体"/>
          <w:color w:val="000000"/>
          <w:highlight w:val="none"/>
          <w:u w:val="single"/>
        </w:rPr>
      </w:pPr>
    </w:p>
    <w:p w14:paraId="118092A6">
      <w:pPr>
        <w:ind w:firstLine="1890" w:firstLineChars="900"/>
        <w:rPr>
          <w:rFonts w:ascii="宋体" w:hAnsi="宋体" w:cs="宋体"/>
          <w:color w:val="000000"/>
          <w:highlight w:val="none"/>
          <w:u w:val="single"/>
        </w:rPr>
      </w:pPr>
    </w:p>
    <w:p w14:paraId="0989DD43">
      <w:pPr>
        <w:spacing w:line="400" w:lineRule="exact"/>
        <w:ind w:left="900" w:leftChars="200" w:hanging="480" w:hanging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color w:val="000000"/>
          <w:sz w:val="24"/>
          <w:highlight w:val="none"/>
        </w:rPr>
        <w:t>1.“商务响应表”各项内容必须如实填写。</w:t>
      </w:r>
    </w:p>
    <w:p w14:paraId="7466D8F3">
      <w:pPr>
        <w:spacing w:line="400" w:lineRule="exact"/>
        <w:ind w:firstLine="960" w:firstLineChars="4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2.当本表由多页构成时，需逐页加盖</w:t>
      </w:r>
      <w:r>
        <w:rPr>
          <w:rFonts w:hint="eastAsia" w:ascii="宋体" w:hAnsi="宋体" w:eastAsia="宋体" w:cs="宋体"/>
          <w:b/>
          <w:color w:val="000000"/>
          <w:sz w:val="24"/>
          <w:highlight w:val="none"/>
          <w:lang w:eastAsia="zh-CN"/>
        </w:rPr>
        <w:t>磋商供应商</w:t>
      </w:r>
      <w:r>
        <w:rPr>
          <w:rFonts w:hint="eastAsia" w:ascii="宋体" w:hAnsi="宋体" w:eastAsia="宋体" w:cs="宋体"/>
          <w:b/>
          <w:color w:val="000000"/>
          <w:sz w:val="24"/>
          <w:highlight w:val="none"/>
        </w:rPr>
        <w:t>公章（CA签章）（属自然人的须逐页签字或个人CA签章）。</w:t>
      </w:r>
    </w:p>
    <w:p w14:paraId="71327E74">
      <w:pPr>
        <w:pStyle w:val="9"/>
        <w:rPr>
          <w:rFonts w:hint="eastAsia" w:ascii="宋体" w:hAnsi="宋体" w:eastAsia="宋体" w:cs="宋体"/>
          <w:color w:val="auto"/>
          <w:sz w:val="24"/>
          <w:highlight w:val="none"/>
        </w:rPr>
        <w:sectPr>
          <w:footerReference r:id="rId7" w:type="default"/>
          <w:pgSz w:w="11906" w:h="16838"/>
          <w:pgMar w:top="1440" w:right="935" w:bottom="1440" w:left="777" w:header="851" w:footer="992" w:gutter="0"/>
          <w:pgNumType w:fmt="numberInDash" w:start="1"/>
          <w:cols w:space="720" w:num="1"/>
          <w:rtlGutter w:val="0"/>
          <w:docGrid w:type="linesAndChars" w:linePitch="312" w:charSpace="0"/>
        </w:sectPr>
      </w:pPr>
      <w:r>
        <w:rPr>
          <w:rFonts w:hint="eastAsia" w:ascii="宋体" w:hAnsi="宋体" w:eastAsia="宋体" w:cs="宋体"/>
          <w:sz w:val="24"/>
          <w:lang w:val="en-US" w:eastAsia="zh-CN"/>
        </w:rPr>
        <w:t xml:space="preserve">       </w:t>
      </w:r>
      <w:r>
        <w:rPr>
          <w:rFonts w:hint="eastAsia" w:ascii="宋体" w:hAnsi="宋体" w:eastAsia="宋体" w:cs="宋体"/>
          <w:b/>
          <w:color w:val="000000"/>
          <w:sz w:val="24"/>
          <w:highlight w:val="none"/>
          <w:lang w:val="en-US" w:eastAsia="zh-CN"/>
        </w:rPr>
        <w:t xml:space="preserve"> 3.磋商供应商</w:t>
      </w:r>
      <w:r>
        <w:rPr>
          <w:rFonts w:hint="eastAsia" w:ascii="宋体" w:hAnsi="宋体" w:eastAsia="宋体" w:cs="宋体"/>
          <w:b/>
          <w:color w:val="000000"/>
          <w:sz w:val="24"/>
          <w:highlight w:val="none"/>
        </w:rPr>
        <w:t>应对照</w:t>
      </w:r>
      <w:r>
        <w:rPr>
          <w:rFonts w:hint="eastAsia" w:ascii="宋体" w:hAnsi="宋体" w:eastAsia="宋体" w:cs="宋体"/>
          <w:b/>
          <w:color w:val="000000"/>
          <w:sz w:val="24"/>
          <w:highlight w:val="none"/>
          <w:lang w:eastAsia="zh-CN"/>
        </w:rPr>
        <w:t>竞争性磋商文件</w:t>
      </w:r>
      <w:r>
        <w:rPr>
          <w:rFonts w:hint="eastAsia" w:ascii="宋体" w:hAnsi="宋体" w:eastAsia="宋体" w:cs="宋体"/>
          <w:b/>
          <w:color w:val="000000"/>
          <w:sz w:val="24"/>
          <w:highlight w:val="none"/>
        </w:rPr>
        <w:t>中</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第三章</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采购需求</w:t>
      </w:r>
      <w:r>
        <w:rPr>
          <w:rFonts w:hint="eastAsia" w:ascii="宋体" w:hAnsi="宋体" w:eastAsia="宋体" w:cs="宋体"/>
          <w:b/>
          <w:color w:val="000000"/>
          <w:sz w:val="24"/>
          <w:highlight w:val="none"/>
          <w:lang w:eastAsia="zh-CN"/>
        </w:rPr>
        <w:t>”中的“</w:t>
      </w:r>
      <w:r>
        <w:rPr>
          <w:rFonts w:hint="eastAsia" w:ascii="宋体" w:hAnsi="宋体" w:eastAsia="宋体" w:cs="宋体"/>
          <w:b/>
          <w:color w:val="000000"/>
          <w:sz w:val="24"/>
          <w:highlight w:val="none"/>
        </w:rPr>
        <w:t>商务要求</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的内容逐条响应，并在“偏离情况说明”栏注明“正偏离”、“负偏离”或“无偏离”。</w:t>
      </w:r>
      <w:r>
        <w:rPr>
          <w:rFonts w:hint="eastAsia" w:ascii="宋体" w:hAnsi="宋体" w:eastAsia="宋体" w:cs="宋体"/>
          <w:b/>
          <w:color w:val="000000"/>
          <w:sz w:val="24"/>
          <w:highlight w:val="none"/>
          <w:lang w:eastAsia="zh-CN"/>
        </w:rPr>
        <w:t>否则，响应无效。</w:t>
      </w:r>
    </w:p>
    <w:p w14:paraId="170373C4">
      <w:pPr>
        <w:pStyle w:val="14"/>
        <w:numPr>
          <w:ilvl w:val="0"/>
          <w:numId w:val="0"/>
        </w:numPr>
        <w:spacing w:line="34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5. </w:t>
      </w:r>
      <w:r>
        <w:rPr>
          <w:rFonts w:hint="eastAsia" w:ascii="宋体" w:hAnsi="宋体" w:eastAsia="宋体" w:cs="宋体"/>
          <w:b/>
          <w:color w:val="auto"/>
          <w:sz w:val="28"/>
          <w:szCs w:val="28"/>
          <w:highlight w:val="none"/>
          <w:lang w:eastAsia="zh-CN"/>
        </w:rPr>
        <w:t>服务承诺书</w:t>
      </w:r>
      <w:r>
        <w:rPr>
          <w:rFonts w:hint="eastAsia" w:ascii="宋体" w:hAnsi="宋体" w:eastAsia="宋体" w:cs="宋体"/>
          <w:b/>
          <w:color w:val="auto"/>
          <w:sz w:val="28"/>
          <w:szCs w:val="28"/>
          <w:highlight w:val="none"/>
        </w:rPr>
        <w:t>（由供应商根据本项目采购需求、特点及供应商自身的处理能力自行编写，承诺书内容至少应包括“采购需求”的所有服务条款）（必须提供）；</w:t>
      </w:r>
    </w:p>
    <w:p w14:paraId="388289F7">
      <w:pPr>
        <w:rPr>
          <w:rFonts w:hint="eastAsia" w:ascii="宋体" w:hAnsi="宋体" w:eastAsia="宋体" w:cs="宋体"/>
          <w:color w:val="auto"/>
          <w:highlight w:val="none"/>
        </w:rPr>
      </w:pPr>
    </w:p>
    <w:p w14:paraId="09CC644E">
      <w:pPr>
        <w:pStyle w:val="14"/>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20E55A1">
      <w:pPr>
        <w:rPr>
          <w:rFonts w:hint="eastAsia" w:ascii="宋体" w:hAnsi="宋体" w:eastAsia="宋体" w:cs="宋体"/>
          <w:color w:val="auto"/>
          <w:highlight w:val="none"/>
        </w:rPr>
      </w:pPr>
    </w:p>
    <w:p w14:paraId="0AAA5F24">
      <w:pPr>
        <w:pStyle w:val="10"/>
        <w:rPr>
          <w:rFonts w:hint="eastAsia" w:ascii="宋体" w:hAnsi="宋体" w:eastAsia="宋体" w:cs="宋体"/>
          <w:color w:val="auto"/>
          <w:highlight w:val="none"/>
        </w:rPr>
      </w:pPr>
    </w:p>
    <w:p w14:paraId="4C2F58EC">
      <w:pPr>
        <w:pStyle w:val="10"/>
        <w:rPr>
          <w:rFonts w:hint="eastAsia" w:ascii="宋体" w:hAnsi="宋体" w:eastAsia="宋体" w:cs="宋体"/>
          <w:color w:val="auto"/>
          <w:highlight w:val="none"/>
        </w:rPr>
      </w:pPr>
    </w:p>
    <w:p w14:paraId="4FFF0874">
      <w:pPr>
        <w:pStyle w:val="10"/>
        <w:rPr>
          <w:rFonts w:hint="eastAsia" w:ascii="宋体" w:hAnsi="宋体" w:eastAsia="宋体" w:cs="宋体"/>
          <w:color w:val="auto"/>
          <w:highlight w:val="none"/>
        </w:rPr>
      </w:pPr>
    </w:p>
    <w:p w14:paraId="182AA3E8">
      <w:pPr>
        <w:pStyle w:val="14"/>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服务承诺书</w:t>
      </w:r>
      <w:r>
        <w:rPr>
          <w:rFonts w:hint="eastAsia" w:ascii="宋体" w:hAnsi="宋体" w:eastAsia="宋体" w:cs="宋体"/>
          <w:b/>
          <w:color w:val="auto"/>
          <w:sz w:val="32"/>
          <w:szCs w:val="32"/>
          <w:highlight w:val="none"/>
        </w:rPr>
        <w:t>（格式）</w:t>
      </w:r>
    </w:p>
    <w:p w14:paraId="7CD97232">
      <w:pPr>
        <w:pStyle w:val="14"/>
        <w:spacing w:line="340" w:lineRule="exact"/>
        <w:jc w:val="center"/>
        <w:rPr>
          <w:rFonts w:hint="eastAsia" w:ascii="宋体" w:hAnsi="宋体" w:eastAsia="宋体" w:cs="宋体"/>
          <w:b/>
          <w:color w:val="auto"/>
          <w:sz w:val="32"/>
          <w:szCs w:val="32"/>
          <w:highlight w:val="none"/>
        </w:rPr>
      </w:pPr>
    </w:p>
    <w:p w14:paraId="22CC613C">
      <w:pPr>
        <w:pStyle w:val="14"/>
        <w:spacing w:line="340" w:lineRule="exact"/>
        <w:jc w:val="center"/>
        <w:rPr>
          <w:rFonts w:hint="eastAsia" w:ascii="宋体" w:hAnsi="宋体" w:eastAsia="宋体" w:cs="宋体"/>
          <w:b/>
          <w:color w:val="auto"/>
          <w:sz w:val="32"/>
          <w:szCs w:val="32"/>
          <w:highlight w:val="none"/>
        </w:rPr>
      </w:pPr>
    </w:p>
    <w:p w14:paraId="30F4943F">
      <w:pPr>
        <w:pStyle w:val="14"/>
        <w:spacing w:line="340" w:lineRule="exact"/>
        <w:jc w:val="center"/>
        <w:rPr>
          <w:rFonts w:hint="eastAsia" w:ascii="宋体" w:hAnsi="宋体" w:eastAsia="宋体" w:cs="宋体"/>
          <w:b/>
          <w:color w:val="auto"/>
          <w:sz w:val="32"/>
          <w:szCs w:val="32"/>
          <w:highlight w:val="none"/>
        </w:rPr>
      </w:pPr>
    </w:p>
    <w:p w14:paraId="169A928C">
      <w:pPr>
        <w:rPr>
          <w:rFonts w:hint="eastAsia" w:ascii="宋体" w:hAnsi="宋体" w:eastAsia="宋体" w:cs="宋体"/>
          <w:b/>
          <w:color w:val="auto"/>
          <w:sz w:val="32"/>
          <w:szCs w:val="32"/>
          <w:highlight w:val="none"/>
        </w:rPr>
      </w:pPr>
    </w:p>
    <w:p w14:paraId="5C4E04B8">
      <w:pPr>
        <w:pStyle w:val="10"/>
        <w:rPr>
          <w:rFonts w:hint="eastAsia" w:ascii="宋体" w:hAnsi="宋体" w:eastAsia="宋体" w:cs="宋体"/>
          <w:color w:val="auto"/>
          <w:highlight w:val="none"/>
        </w:rPr>
      </w:pPr>
    </w:p>
    <w:p w14:paraId="6C581AE4">
      <w:pPr>
        <w:pStyle w:val="10"/>
        <w:rPr>
          <w:rFonts w:hint="eastAsia" w:ascii="宋体" w:hAnsi="宋体" w:eastAsia="宋体" w:cs="宋体"/>
          <w:b/>
          <w:color w:val="auto"/>
          <w:sz w:val="32"/>
          <w:szCs w:val="32"/>
          <w:highlight w:val="none"/>
        </w:rPr>
      </w:pPr>
    </w:p>
    <w:p w14:paraId="79BC824A">
      <w:pPr>
        <w:pStyle w:val="14"/>
        <w:spacing w:line="340" w:lineRule="exact"/>
        <w:jc w:val="center"/>
        <w:rPr>
          <w:rFonts w:hint="eastAsia" w:ascii="宋体" w:hAnsi="宋体" w:eastAsia="宋体" w:cs="宋体"/>
          <w:b/>
          <w:color w:val="auto"/>
          <w:sz w:val="32"/>
          <w:szCs w:val="32"/>
          <w:highlight w:val="none"/>
        </w:rPr>
      </w:pPr>
    </w:p>
    <w:p w14:paraId="75D2C4C7">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E69D8C4">
      <w:pPr>
        <w:pStyle w:val="4"/>
        <w:rPr>
          <w:rFonts w:hint="eastAsia" w:ascii="宋体" w:hAnsi="宋体" w:eastAsia="宋体" w:cs="宋体"/>
          <w:color w:val="auto"/>
          <w:highlight w:val="none"/>
        </w:rPr>
      </w:pPr>
    </w:p>
    <w:p w14:paraId="2C0E442F">
      <w:pPr>
        <w:snapToGrid w:val="0"/>
        <w:spacing w:line="400" w:lineRule="exact"/>
        <w:ind w:firstLine="1680" w:firstLineChars="800"/>
        <w:rPr>
          <w:rFonts w:hint="eastAsia" w:ascii="宋体" w:hAnsi="宋体" w:eastAsia="宋体" w:cs="宋体"/>
          <w:b/>
          <w:bCs/>
          <w:color w:val="auto"/>
          <w:szCs w:val="21"/>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492B94F9">
      <w:pPr>
        <w:pStyle w:val="10"/>
        <w:rPr>
          <w:rFonts w:hint="eastAsia" w:ascii="宋体" w:hAnsi="宋体" w:eastAsia="宋体" w:cs="宋体"/>
          <w:b/>
          <w:bCs/>
          <w:color w:val="auto"/>
          <w:szCs w:val="21"/>
          <w:highlight w:val="none"/>
        </w:rPr>
      </w:pPr>
    </w:p>
    <w:p w14:paraId="30135346">
      <w:pPr>
        <w:pStyle w:val="10"/>
        <w:rPr>
          <w:rFonts w:hint="eastAsia" w:ascii="宋体" w:hAnsi="宋体" w:eastAsia="宋体" w:cs="宋体"/>
          <w:b/>
          <w:bCs/>
          <w:color w:val="auto"/>
          <w:szCs w:val="21"/>
          <w:highlight w:val="none"/>
        </w:rPr>
      </w:pPr>
    </w:p>
    <w:p w14:paraId="7DACFA4E">
      <w:pPr>
        <w:pStyle w:val="10"/>
        <w:rPr>
          <w:rFonts w:hint="eastAsia" w:ascii="宋体" w:hAnsi="宋体" w:eastAsia="宋体" w:cs="宋体"/>
          <w:b/>
          <w:bCs/>
          <w:color w:val="auto"/>
          <w:szCs w:val="21"/>
          <w:highlight w:val="none"/>
        </w:rPr>
      </w:pPr>
    </w:p>
    <w:p w14:paraId="5EB0089C">
      <w:pPr>
        <w:pStyle w:val="10"/>
        <w:rPr>
          <w:rFonts w:hint="eastAsia" w:ascii="宋体" w:hAnsi="宋体" w:eastAsia="宋体" w:cs="宋体"/>
          <w:b/>
          <w:bCs/>
          <w:color w:val="auto"/>
          <w:szCs w:val="21"/>
          <w:highlight w:val="none"/>
        </w:rPr>
      </w:pPr>
    </w:p>
    <w:p w14:paraId="5F66124F">
      <w:pPr>
        <w:pStyle w:val="10"/>
        <w:rPr>
          <w:rFonts w:hint="eastAsia" w:ascii="宋体" w:hAnsi="宋体" w:eastAsia="宋体" w:cs="宋体"/>
          <w:b/>
          <w:bCs/>
          <w:color w:val="auto"/>
          <w:szCs w:val="21"/>
          <w:highlight w:val="none"/>
        </w:rPr>
      </w:pPr>
    </w:p>
    <w:p w14:paraId="76E9F98F">
      <w:pPr>
        <w:rPr>
          <w:rFonts w:hint="eastAsia" w:ascii="宋体" w:hAnsi="宋体" w:eastAsia="宋体" w:cs="宋体"/>
          <w:b/>
          <w:bCs/>
          <w:color w:val="auto"/>
          <w:szCs w:val="21"/>
          <w:highlight w:val="none"/>
        </w:rPr>
      </w:pPr>
    </w:p>
    <w:p w14:paraId="6E8C9D90">
      <w:pPr>
        <w:pStyle w:val="32"/>
        <w:rPr>
          <w:rFonts w:hint="eastAsia" w:ascii="宋体" w:hAnsi="宋体" w:eastAsia="宋体" w:cs="宋体"/>
          <w:b/>
          <w:bCs/>
          <w:color w:val="auto"/>
          <w:szCs w:val="21"/>
          <w:highlight w:val="none"/>
        </w:rPr>
      </w:pPr>
    </w:p>
    <w:p w14:paraId="49DC8F8F">
      <w:pPr>
        <w:pStyle w:val="32"/>
        <w:rPr>
          <w:rFonts w:hint="eastAsia" w:ascii="宋体" w:hAnsi="宋体" w:eastAsia="宋体" w:cs="宋体"/>
          <w:b/>
          <w:bCs/>
          <w:color w:val="auto"/>
          <w:szCs w:val="21"/>
          <w:highlight w:val="none"/>
        </w:rPr>
      </w:pPr>
    </w:p>
    <w:p w14:paraId="18DDD43C">
      <w:pPr>
        <w:pStyle w:val="32"/>
        <w:rPr>
          <w:rFonts w:hint="eastAsia" w:ascii="宋体" w:hAnsi="宋体" w:eastAsia="宋体" w:cs="宋体"/>
          <w:b/>
          <w:bCs/>
          <w:color w:val="auto"/>
          <w:szCs w:val="21"/>
          <w:highlight w:val="none"/>
        </w:rPr>
      </w:pPr>
    </w:p>
    <w:p w14:paraId="64B0C891">
      <w:pPr>
        <w:pStyle w:val="32"/>
        <w:rPr>
          <w:rFonts w:hint="eastAsia" w:ascii="宋体" w:hAnsi="宋体" w:eastAsia="宋体" w:cs="宋体"/>
          <w:b/>
          <w:bCs/>
          <w:color w:val="auto"/>
          <w:szCs w:val="21"/>
          <w:highlight w:val="none"/>
        </w:rPr>
      </w:pPr>
    </w:p>
    <w:p w14:paraId="042D2400">
      <w:pPr>
        <w:pStyle w:val="32"/>
        <w:rPr>
          <w:rFonts w:hint="eastAsia" w:ascii="宋体" w:hAnsi="宋体" w:eastAsia="宋体" w:cs="宋体"/>
          <w:b/>
          <w:bCs/>
          <w:color w:val="auto"/>
          <w:szCs w:val="21"/>
          <w:highlight w:val="none"/>
        </w:rPr>
      </w:pPr>
    </w:p>
    <w:p w14:paraId="6B1B0AE5">
      <w:pPr>
        <w:pStyle w:val="32"/>
        <w:rPr>
          <w:rFonts w:hint="eastAsia" w:ascii="宋体" w:hAnsi="宋体" w:eastAsia="宋体" w:cs="宋体"/>
          <w:b/>
          <w:bCs/>
          <w:color w:val="auto"/>
          <w:szCs w:val="21"/>
          <w:highlight w:val="none"/>
        </w:rPr>
      </w:pPr>
    </w:p>
    <w:p w14:paraId="4470EAA5">
      <w:pPr>
        <w:pStyle w:val="32"/>
        <w:rPr>
          <w:rFonts w:hint="eastAsia" w:ascii="宋体" w:hAnsi="宋体" w:eastAsia="宋体" w:cs="宋体"/>
          <w:b/>
          <w:bCs/>
          <w:color w:val="auto"/>
          <w:szCs w:val="21"/>
          <w:highlight w:val="none"/>
        </w:rPr>
      </w:pPr>
    </w:p>
    <w:p w14:paraId="7E059F22">
      <w:pPr>
        <w:pStyle w:val="32"/>
        <w:rPr>
          <w:rFonts w:hint="eastAsia" w:ascii="宋体" w:hAnsi="宋体" w:eastAsia="宋体" w:cs="宋体"/>
          <w:b/>
          <w:bCs/>
          <w:color w:val="auto"/>
          <w:szCs w:val="21"/>
          <w:highlight w:val="none"/>
        </w:rPr>
      </w:pPr>
    </w:p>
    <w:p w14:paraId="00DBC9E3">
      <w:pPr>
        <w:pStyle w:val="32"/>
        <w:rPr>
          <w:rFonts w:hint="eastAsia" w:ascii="宋体" w:hAnsi="宋体" w:eastAsia="宋体" w:cs="宋体"/>
          <w:b/>
          <w:bCs/>
          <w:color w:val="auto"/>
          <w:szCs w:val="21"/>
          <w:highlight w:val="none"/>
        </w:rPr>
      </w:pPr>
    </w:p>
    <w:p w14:paraId="610E9B08">
      <w:pPr>
        <w:pStyle w:val="10"/>
        <w:rPr>
          <w:rFonts w:hint="eastAsia" w:ascii="宋体" w:hAnsi="宋体" w:eastAsia="宋体" w:cs="宋体"/>
          <w:b/>
          <w:bCs/>
          <w:color w:val="auto"/>
          <w:szCs w:val="21"/>
          <w:highlight w:val="none"/>
        </w:rPr>
      </w:pPr>
    </w:p>
    <w:p w14:paraId="4C29A590">
      <w:pPr>
        <w:rPr>
          <w:rFonts w:hint="eastAsia" w:ascii="宋体" w:hAnsi="宋体" w:eastAsia="宋体" w:cs="宋体"/>
          <w:color w:val="auto"/>
          <w:highlight w:val="none"/>
        </w:rPr>
      </w:pPr>
    </w:p>
    <w:p w14:paraId="475B767A">
      <w:pPr>
        <w:pStyle w:val="10"/>
        <w:rPr>
          <w:rFonts w:hint="eastAsia" w:ascii="宋体" w:hAnsi="宋体" w:eastAsia="宋体" w:cs="宋体"/>
          <w:b/>
          <w:bCs/>
          <w:color w:val="auto"/>
          <w:szCs w:val="21"/>
          <w:highlight w:val="none"/>
        </w:rPr>
      </w:pPr>
    </w:p>
    <w:p w14:paraId="515310AF">
      <w:pPr>
        <w:pStyle w:val="10"/>
        <w:rPr>
          <w:rFonts w:hint="eastAsia" w:ascii="宋体" w:hAnsi="宋体" w:eastAsia="宋体" w:cs="宋体"/>
          <w:b/>
          <w:bCs/>
          <w:color w:val="auto"/>
          <w:szCs w:val="21"/>
          <w:highlight w:val="none"/>
        </w:rPr>
      </w:pPr>
    </w:p>
    <w:p w14:paraId="1C371DEF">
      <w:pPr>
        <w:pStyle w:val="10"/>
        <w:rPr>
          <w:rFonts w:hint="eastAsia" w:ascii="宋体" w:hAnsi="宋体" w:eastAsia="宋体" w:cs="宋体"/>
          <w:b/>
          <w:bCs/>
          <w:color w:val="auto"/>
          <w:szCs w:val="21"/>
          <w:highlight w:val="none"/>
        </w:rPr>
      </w:pPr>
    </w:p>
    <w:p w14:paraId="63BD6D6F">
      <w:pPr>
        <w:rPr>
          <w:rFonts w:hint="eastAsia"/>
          <w:color w:val="auto"/>
          <w:highlight w:val="none"/>
        </w:rPr>
      </w:pPr>
    </w:p>
    <w:p w14:paraId="433ACB10">
      <w:pPr>
        <w:pStyle w:val="14"/>
        <w:numPr>
          <w:ilvl w:val="0"/>
          <w:numId w:val="0"/>
        </w:numPr>
        <w:spacing w:line="340" w:lineRule="exact"/>
        <w:ind w:left="0" w:firstLine="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6</w:t>
      </w:r>
      <w:r>
        <w:rPr>
          <w:rFonts w:hint="eastAsia" w:ascii="宋体" w:hAnsi="宋体" w:eastAsia="宋体" w:cs="宋体"/>
          <w:b/>
          <w:color w:val="auto"/>
          <w:sz w:val="28"/>
          <w:szCs w:val="28"/>
          <w:highlight w:val="none"/>
          <w:lang w:val="en-US" w:eastAsia="zh-CN"/>
        </w:rPr>
        <w:t xml:space="preserve">. </w:t>
      </w:r>
      <w:r>
        <w:rPr>
          <w:rFonts w:hint="eastAsia" w:hAnsi="宋体" w:cs="宋体"/>
          <w:b/>
          <w:color w:val="auto"/>
          <w:sz w:val="28"/>
          <w:szCs w:val="28"/>
          <w:highlight w:val="none"/>
          <w:lang w:val="en-US" w:eastAsia="zh-CN"/>
        </w:rPr>
        <w:t>针对本项目的服务方案</w:t>
      </w:r>
      <w:r>
        <w:rPr>
          <w:rFonts w:hint="eastAsia" w:ascii="宋体" w:hAnsi="宋体" w:eastAsia="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0928AAA6">
      <w:pPr>
        <w:rPr>
          <w:rFonts w:hint="eastAsia" w:ascii="宋体" w:hAnsi="宋体" w:eastAsia="宋体" w:cs="宋体"/>
          <w:color w:val="auto"/>
          <w:highlight w:val="none"/>
        </w:rPr>
      </w:pPr>
    </w:p>
    <w:p w14:paraId="721835C9">
      <w:pPr>
        <w:pStyle w:val="14"/>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5004789">
      <w:pPr>
        <w:rPr>
          <w:rFonts w:hint="eastAsia" w:ascii="宋体" w:hAnsi="宋体" w:eastAsia="宋体" w:cs="宋体"/>
          <w:color w:val="auto"/>
          <w:highlight w:val="none"/>
        </w:rPr>
      </w:pPr>
    </w:p>
    <w:p w14:paraId="327E1C88">
      <w:pPr>
        <w:pStyle w:val="10"/>
        <w:rPr>
          <w:rFonts w:hint="eastAsia" w:ascii="宋体" w:hAnsi="宋体" w:eastAsia="宋体" w:cs="宋体"/>
          <w:color w:val="auto"/>
          <w:highlight w:val="none"/>
        </w:rPr>
      </w:pPr>
    </w:p>
    <w:p w14:paraId="605AA965">
      <w:pPr>
        <w:rPr>
          <w:rFonts w:hint="eastAsia" w:ascii="宋体" w:hAnsi="宋体" w:eastAsia="宋体" w:cs="宋体"/>
          <w:color w:val="auto"/>
          <w:highlight w:val="none"/>
        </w:rPr>
      </w:pPr>
    </w:p>
    <w:p w14:paraId="7F4070AD">
      <w:pPr>
        <w:pStyle w:val="14"/>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 （格式）</w:t>
      </w:r>
    </w:p>
    <w:p w14:paraId="5FCC3B72">
      <w:pPr>
        <w:rPr>
          <w:rFonts w:hint="eastAsia" w:ascii="宋体" w:hAnsi="宋体" w:eastAsia="宋体" w:cs="宋体"/>
          <w:b/>
          <w:color w:val="auto"/>
          <w:sz w:val="32"/>
          <w:szCs w:val="32"/>
          <w:highlight w:val="none"/>
        </w:rPr>
      </w:pPr>
    </w:p>
    <w:p w14:paraId="59C37BBE">
      <w:pPr>
        <w:pStyle w:val="10"/>
        <w:rPr>
          <w:rFonts w:hint="eastAsia" w:ascii="宋体" w:hAnsi="宋体" w:eastAsia="宋体" w:cs="宋体"/>
          <w:color w:val="auto"/>
          <w:highlight w:val="none"/>
        </w:rPr>
      </w:pPr>
    </w:p>
    <w:p w14:paraId="0C99417C">
      <w:pPr>
        <w:widowControl/>
        <w:ind w:firstLine="3092" w:firstLineChars="1100"/>
        <w:jc w:val="left"/>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（根据采购需求自行编制）</w:t>
      </w:r>
    </w:p>
    <w:p w14:paraId="47D4AD5A">
      <w:pPr>
        <w:widowControl/>
        <w:ind w:firstLine="3092" w:firstLineChars="1100"/>
        <w:jc w:val="left"/>
        <w:rPr>
          <w:rFonts w:hint="eastAsia" w:ascii="宋体" w:hAnsi="宋体" w:eastAsia="宋体" w:cs="宋体"/>
          <w:b/>
          <w:color w:val="auto"/>
          <w:kern w:val="0"/>
          <w:sz w:val="28"/>
          <w:szCs w:val="28"/>
          <w:highlight w:val="none"/>
          <w:lang w:bidi="ar"/>
        </w:rPr>
      </w:pPr>
    </w:p>
    <w:p w14:paraId="315A94CB">
      <w:pPr>
        <w:widowControl/>
        <w:ind w:firstLine="3092" w:firstLineChars="1100"/>
        <w:jc w:val="left"/>
        <w:rPr>
          <w:rFonts w:hint="eastAsia" w:ascii="宋体" w:hAnsi="宋体" w:eastAsia="宋体" w:cs="宋体"/>
          <w:b/>
          <w:color w:val="auto"/>
          <w:kern w:val="0"/>
          <w:sz w:val="28"/>
          <w:szCs w:val="28"/>
          <w:highlight w:val="none"/>
          <w:lang w:bidi="ar"/>
        </w:rPr>
      </w:pPr>
    </w:p>
    <w:p w14:paraId="2DC9C592">
      <w:pPr>
        <w:widowControl/>
        <w:ind w:firstLine="3092" w:firstLineChars="1100"/>
        <w:jc w:val="left"/>
        <w:rPr>
          <w:rFonts w:hint="eastAsia" w:ascii="宋体" w:hAnsi="宋体" w:eastAsia="宋体" w:cs="宋体"/>
          <w:b/>
          <w:color w:val="auto"/>
          <w:kern w:val="0"/>
          <w:sz w:val="28"/>
          <w:szCs w:val="28"/>
          <w:highlight w:val="none"/>
          <w:lang w:bidi="ar"/>
        </w:rPr>
      </w:pPr>
    </w:p>
    <w:p w14:paraId="15814AB9">
      <w:pPr>
        <w:widowControl/>
        <w:ind w:firstLine="3092" w:firstLineChars="1100"/>
        <w:jc w:val="left"/>
        <w:rPr>
          <w:rFonts w:hint="eastAsia" w:ascii="宋体" w:hAnsi="宋体" w:eastAsia="宋体" w:cs="宋体"/>
          <w:b/>
          <w:color w:val="auto"/>
          <w:kern w:val="0"/>
          <w:sz w:val="28"/>
          <w:szCs w:val="28"/>
          <w:highlight w:val="none"/>
          <w:lang w:bidi="ar"/>
        </w:rPr>
      </w:pPr>
    </w:p>
    <w:p w14:paraId="6EE38BBB">
      <w:pPr>
        <w:widowControl/>
        <w:ind w:firstLine="3092" w:firstLineChars="1100"/>
        <w:jc w:val="left"/>
        <w:rPr>
          <w:rFonts w:hint="eastAsia" w:ascii="宋体" w:hAnsi="宋体" w:eastAsia="宋体" w:cs="宋体"/>
          <w:b/>
          <w:color w:val="auto"/>
          <w:kern w:val="0"/>
          <w:sz w:val="28"/>
          <w:szCs w:val="28"/>
          <w:highlight w:val="none"/>
          <w:lang w:bidi="ar"/>
        </w:rPr>
      </w:pPr>
    </w:p>
    <w:p w14:paraId="73ADE30B">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29C5E30">
      <w:pPr>
        <w:pStyle w:val="14"/>
        <w:spacing w:line="300" w:lineRule="exact"/>
        <w:ind w:left="2940" w:leftChars="1400" w:firstLine="630" w:firstLineChars="300"/>
        <w:rPr>
          <w:rFonts w:hint="eastAsia" w:ascii="宋体" w:hAnsi="宋体" w:eastAsia="宋体" w:cs="宋体"/>
          <w:color w:val="auto"/>
          <w:highlight w:val="none"/>
        </w:rPr>
      </w:pPr>
    </w:p>
    <w:p w14:paraId="01D8E48C">
      <w:pPr>
        <w:pStyle w:val="14"/>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20998F8E">
      <w:pPr>
        <w:pStyle w:val="14"/>
        <w:spacing w:line="300" w:lineRule="exact"/>
        <w:rPr>
          <w:rFonts w:hint="eastAsia" w:ascii="宋体" w:hAnsi="宋体" w:eastAsia="宋体" w:cs="宋体"/>
          <w:b/>
          <w:color w:val="auto"/>
          <w:sz w:val="28"/>
          <w:szCs w:val="28"/>
          <w:highlight w:val="none"/>
        </w:rPr>
      </w:pPr>
    </w:p>
    <w:p w14:paraId="46ADB270">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D2DE1A9">
      <w:pPr>
        <w:snapToGrid w:val="0"/>
        <w:spacing w:line="300" w:lineRule="exact"/>
        <w:ind w:firstLine="3570" w:firstLineChars="1700"/>
        <w:rPr>
          <w:rFonts w:hint="eastAsia" w:ascii="宋体" w:hAnsi="宋体" w:eastAsia="宋体" w:cs="宋体"/>
          <w:color w:val="auto"/>
          <w:highlight w:val="none"/>
          <w:u w:val="single"/>
        </w:rPr>
      </w:pPr>
    </w:p>
    <w:p w14:paraId="3AD73109">
      <w:pPr>
        <w:pStyle w:val="10"/>
        <w:rPr>
          <w:rFonts w:hint="eastAsia" w:ascii="宋体" w:hAnsi="宋体" w:eastAsia="宋体" w:cs="宋体"/>
          <w:color w:val="auto"/>
          <w:highlight w:val="none"/>
          <w:u w:val="single"/>
        </w:rPr>
      </w:pPr>
    </w:p>
    <w:p w14:paraId="313E3BCC">
      <w:pPr>
        <w:pStyle w:val="10"/>
        <w:rPr>
          <w:rFonts w:hint="eastAsia" w:ascii="宋体" w:hAnsi="宋体" w:eastAsia="宋体" w:cs="宋体"/>
          <w:color w:val="auto"/>
          <w:highlight w:val="none"/>
          <w:u w:val="single"/>
        </w:rPr>
      </w:pPr>
    </w:p>
    <w:p w14:paraId="37579BF7">
      <w:pPr>
        <w:pStyle w:val="10"/>
        <w:rPr>
          <w:rFonts w:hint="eastAsia" w:ascii="宋体" w:hAnsi="宋体" w:eastAsia="宋体" w:cs="宋体"/>
          <w:b/>
          <w:bCs/>
          <w:color w:val="auto"/>
          <w:szCs w:val="21"/>
          <w:highlight w:val="none"/>
        </w:rPr>
      </w:pPr>
    </w:p>
    <w:p w14:paraId="2A04BEBB">
      <w:pPr>
        <w:pStyle w:val="10"/>
        <w:rPr>
          <w:rFonts w:hint="eastAsia" w:ascii="宋体" w:hAnsi="宋体" w:eastAsia="宋体" w:cs="宋体"/>
          <w:b/>
          <w:bCs/>
          <w:color w:val="auto"/>
          <w:szCs w:val="21"/>
          <w:highlight w:val="none"/>
        </w:rPr>
      </w:pPr>
    </w:p>
    <w:p w14:paraId="21C4C42D">
      <w:pPr>
        <w:pStyle w:val="10"/>
        <w:rPr>
          <w:rFonts w:hint="eastAsia" w:ascii="宋体" w:hAnsi="宋体" w:eastAsia="宋体" w:cs="宋体"/>
          <w:b/>
          <w:bCs/>
          <w:color w:val="auto"/>
          <w:szCs w:val="21"/>
          <w:highlight w:val="none"/>
        </w:rPr>
      </w:pPr>
    </w:p>
    <w:p w14:paraId="7B201429">
      <w:pPr>
        <w:pStyle w:val="10"/>
        <w:rPr>
          <w:rFonts w:hint="eastAsia" w:ascii="宋体" w:hAnsi="宋体" w:eastAsia="宋体" w:cs="宋体"/>
          <w:b/>
          <w:bCs/>
          <w:color w:val="auto"/>
          <w:szCs w:val="21"/>
          <w:highlight w:val="none"/>
        </w:rPr>
      </w:pPr>
    </w:p>
    <w:p w14:paraId="35BCC768">
      <w:pPr>
        <w:pStyle w:val="10"/>
        <w:rPr>
          <w:rFonts w:hint="eastAsia" w:ascii="宋体" w:hAnsi="宋体" w:eastAsia="宋体" w:cs="宋体"/>
          <w:b/>
          <w:bCs/>
          <w:color w:val="auto"/>
          <w:szCs w:val="21"/>
          <w:highlight w:val="none"/>
        </w:rPr>
      </w:pPr>
    </w:p>
    <w:p w14:paraId="03F06CC7">
      <w:pPr>
        <w:pStyle w:val="10"/>
        <w:rPr>
          <w:rFonts w:hint="eastAsia" w:ascii="宋体" w:hAnsi="宋体" w:eastAsia="宋体" w:cs="宋体"/>
          <w:b/>
          <w:bCs/>
          <w:color w:val="auto"/>
          <w:szCs w:val="21"/>
          <w:highlight w:val="none"/>
        </w:rPr>
      </w:pPr>
    </w:p>
    <w:p w14:paraId="0034BA6F">
      <w:pPr>
        <w:pStyle w:val="10"/>
        <w:rPr>
          <w:rFonts w:hint="eastAsia" w:ascii="宋体" w:hAnsi="宋体" w:eastAsia="宋体" w:cs="宋体"/>
          <w:b/>
          <w:bCs/>
          <w:color w:val="auto"/>
          <w:szCs w:val="21"/>
          <w:highlight w:val="none"/>
        </w:rPr>
      </w:pPr>
    </w:p>
    <w:p w14:paraId="71B0DD14">
      <w:pPr>
        <w:pStyle w:val="10"/>
        <w:rPr>
          <w:rFonts w:hint="eastAsia" w:ascii="宋体" w:hAnsi="宋体" w:eastAsia="宋体" w:cs="宋体"/>
          <w:b/>
          <w:bCs/>
          <w:color w:val="auto"/>
          <w:szCs w:val="21"/>
          <w:highlight w:val="none"/>
        </w:rPr>
      </w:pPr>
    </w:p>
    <w:p w14:paraId="315A9E9E">
      <w:pPr>
        <w:pStyle w:val="10"/>
        <w:rPr>
          <w:rFonts w:hint="eastAsia" w:ascii="宋体" w:hAnsi="宋体" w:eastAsia="宋体" w:cs="宋体"/>
          <w:b/>
          <w:bCs/>
          <w:color w:val="auto"/>
          <w:szCs w:val="21"/>
          <w:highlight w:val="none"/>
        </w:rPr>
      </w:pPr>
    </w:p>
    <w:p w14:paraId="7D142346">
      <w:pPr>
        <w:pStyle w:val="10"/>
        <w:rPr>
          <w:rFonts w:hint="eastAsia" w:ascii="宋体" w:hAnsi="宋体" w:eastAsia="宋体" w:cs="宋体"/>
          <w:b/>
          <w:bCs/>
          <w:color w:val="auto"/>
          <w:szCs w:val="21"/>
          <w:highlight w:val="none"/>
        </w:rPr>
      </w:pPr>
    </w:p>
    <w:p w14:paraId="7BC1249A">
      <w:pPr>
        <w:pStyle w:val="10"/>
        <w:rPr>
          <w:rFonts w:hint="eastAsia" w:ascii="宋体" w:hAnsi="宋体" w:eastAsia="宋体" w:cs="宋体"/>
          <w:b/>
          <w:bCs/>
          <w:color w:val="auto"/>
          <w:szCs w:val="21"/>
          <w:highlight w:val="none"/>
        </w:rPr>
      </w:pPr>
    </w:p>
    <w:p w14:paraId="28536710">
      <w:pPr>
        <w:rPr>
          <w:rFonts w:hint="eastAsia" w:ascii="宋体" w:hAnsi="宋体" w:eastAsia="宋体" w:cs="宋体"/>
          <w:color w:val="auto"/>
          <w:highlight w:val="none"/>
        </w:rPr>
      </w:pPr>
    </w:p>
    <w:p w14:paraId="413065A0">
      <w:pPr>
        <w:pStyle w:val="10"/>
        <w:rPr>
          <w:rFonts w:hint="eastAsia" w:ascii="宋体" w:hAnsi="宋体" w:eastAsia="宋体" w:cs="宋体"/>
          <w:b/>
          <w:bCs/>
          <w:color w:val="auto"/>
          <w:szCs w:val="21"/>
          <w:highlight w:val="none"/>
        </w:rPr>
      </w:pPr>
    </w:p>
    <w:p w14:paraId="42408B54">
      <w:pPr>
        <w:pStyle w:val="14"/>
        <w:spacing w:line="340" w:lineRule="exact"/>
        <w:rPr>
          <w:rFonts w:hint="eastAsia" w:ascii="宋体" w:hAnsi="宋体" w:eastAsia="宋体" w:cs="宋体"/>
          <w:b/>
          <w:color w:val="auto"/>
          <w:sz w:val="28"/>
          <w:szCs w:val="28"/>
          <w:highlight w:val="none"/>
        </w:rPr>
      </w:pPr>
    </w:p>
    <w:p w14:paraId="0DA6F15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auto"/>
          <w:szCs w:val="21"/>
          <w:highlight w:val="none"/>
        </w:rPr>
      </w:pPr>
      <w:bookmarkStart w:id="490" w:name="_Toc497927084"/>
      <w:bookmarkStart w:id="491" w:name="_Toc28672"/>
      <w:bookmarkStart w:id="492" w:name="_Toc9339"/>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490"/>
      <w:bookmarkEnd w:id="491"/>
      <w:bookmarkEnd w:id="492"/>
    </w:p>
    <w:p w14:paraId="477EC9BA">
      <w:pPr>
        <w:spacing w:line="360" w:lineRule="auto"/>
        <w:ind w:firstLine="480" w:firstLineChars="200"/>
        <w:rPr>
          <w:rFonts w:hint="eastAsia" w:ascii="宋体" w:hAnsi="宋体" w:eastAsia="宋体" w:cs="宋体"/>
          <w:b/>
          <w:bCs/>
          <w:color w:val="auto"/>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项目实施人员一览表</w:t>
      </w:r>
      <w:r>
        <w:rPr>
          <w:rFonts w:hint="eastAsia" w:ascii="宋体" w:hAnsi="宋体" w:eastAsia="宋体" w:cs="宋体"/>
          <w:b w:val="0"/>
          <w:bCs w:val="0"/>
          <w:color w:val="auto"/>
          <w:sz w:val="24"/>
          <w:highlight w:val="none"/>
        </w:rPr>
        <w:t>（格式见附件）</w:t>
      </w:r>
      <w:r>
        <w:rPr>
          <w:rFonts w:hint="eastAsia" w:ascii="宋体" w:hAnsi="宋体" w:eastAsia="宋体" w:cs="宋体"/>
          <w:b/>
          <w:bCs/>
          <w:color w:val="auto"/>
          <w:sz w:val="24"/>
          <w:highlight w:val="none"/>
        </w:rPr>
        <w:t>（如有，请提供）</w:t>
      </w:r>
      <w:r>
        <w:rPr>
          <w:rFonts w:hint="eastAsia" w:ascii="宋体" w:hAnsi="宋体" w:cs="宋体"/>
          <w:b/>
          <w:bCs/>
          <w:color w:val="auto"/>
          <w:sz w:val="24"/>
          <w:highlight w:val="none"/>
          <w:lang w:eastAsia="zh-CN"/>
        </w:rPr>
        <w:t>；</w:t>
      </w:r>
    </w:p>
    <w:p w14:paraId="5F8F18FD">
      <w:pPr>
        <w:numPr>
          <w:ilvl w:val="0"/>
          <w:numId w:val="0"/>
        </w:numPr>
        <w:spacing w:line="360" w:lineRule="auto"/>
        <w:ind w:firstLine="480" w:firstLineChars="200"/>
        <w:jc w:val="left"/>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“采购需求”需提供的有效证明文件</w:t>
      </w:r>
      <w:r>
        <w:rPr>
          <w:rFonts w:hint="eastAsia" w:ascii="宋体" w:hAnsi="宋体" w:eastAsia="宋体" w:cs="宋体"/>
          <w:b/>
          <w:bCs/>
          <w:color w:val="auto"/>
          <w:sz w:val="24"/>
          <w:highlight w:val="none"/>
        </w:rPr>
        <w:t>（如有，请提供）；</w:t>
      </w:r>
    </w:p>
    <w:p w14:paraId="7620A5E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b/>
          <w:bCs/>
          <w:color w:val="auto"/>
          <w:sz w:val="24"/>
          <w:highlight w:val="none"/>
        </w:rPr>
        <w:t>；</w:t>
      </w:r>
    </w:p>
    <w:p w14:paraId="3EE3B1C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.供应商可结合本项目的评审办法视自身情况自行提交其它相关证明材料</w:t>
      </w:r>
      <w:r>
        <w:rPr>
          <w:rFonts w:hint="eastAsia" w:ascii="宋体" w:hAnsi="宋体" w:eastAsia="宋体" w:cs="宋体"/>
          <w:b/>
          <w:bCs/>
          <w:color w:val="auto"/>
          <w:sz w:val="24"/>
          <w:highlight w:val="none"/>
          <w:lang w:val="en-US" w:eastAsia="zh-CN"/>
        </w:rPr>
        <w:t>（如有，请提供）</w:t>
      </w:r>
      <w:r>
        <w:rPr>
          <w:rFonts w:hint="eastAsia" w:ascii="宋体" w:hAnsi="宋体" w:cs="宋体"/>
          <w:color w:val="auto"/>
          <w:sz w:val="24"/>
          <w:highlight w:val="none"/>
          <w:lang w:val="en-US" w:eastAsia="zh-CN"/>
        </w:rPr>
        <w:t>；</w:t>
      </w:r>
    </w:p>
    <w:p w14:paraId="6B52826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.《中小企业声明函》（见附件）</w:t>
      </w:r>
      <w:r>
        <w:rPr>
          <w:rFonts w:hint="eastAsia" w:ascii="宋体" w:hAnsi="宋体" w:eastAsia="宋体" w:cs="宋体"/>
          <w:b/>
          <w:bCs w:val="0"/>
          <w:color w:val="000000" w:themeColor="text1"/>
          <w:sz w:val="24"/>
          <w:highlight w:val="none"/>
          <w14:textFill>
            <w14:solidFill>
              <w14:schemeClr w14:val="tx1"/>
            </w14:solidFill>
          </w14:textFill>
        </w:rPr>
        <w:t>（除监狱企业及残疾人福利性单位外，</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ascii="宋体" w:hAnsi="宋体" w:eastAsia="宋体" w:cs="宋体"/>
          <w:b/>
          <w:bCs w:val="0"/>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p w14:paraId="6498A82E">
      <w:pPr>
        <w:spacing w:line="360" w:lineRule="auto"/>
        <w:ind w:firstLine="480" w:firstLineChars="200"/>
        <w:rPr>
          <w:rFonts w:hint="eastAsia"/>
          <w:sz w:val="24"/>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w:t>
      </w:r>
      <w:r>
        <w:rPr>
          <w:rFonts w:hint="eastAsia"/>
          <w:sz w:val="24"/>
        </w:rPr>
        <w:t>如提供服务的供应商属于监狱企业的，应当提供由省级以上监狱管理局、戒毒管理局等（含</w:t>
      </w:r>
    </w:p>
    <w:p w14:paraId="749C65D5">
      <w:pPr>
        <w:spacing w:line="360" w:lineRule="auto"/>
        <w:rPr>
          <w:rFonts w:hint="eastAsia" w:ascii="宋体" w:hAnsi="宋体" w:eastAsia="宋体" w:cs="宋体"/>
          <w:color w:val="000000" w:themeColor="text1"/>
          <w:sz w:val="24"/>
          <w:highlight w:val="none"/>
          <w14:textFill>
            <w14:solidFill>
              <w14:schemeClr w14:val="tx1"/>
            </w14:solidFill>
          </w14:textFill>
        </w:rPr>
      </w:pPr>
      <w:bookmarkStart w:id="493" w:name="_Toc506"/>
      <w:r>
        <w:rPr>
          <w:rFonts w:hint="default" w:ascii="Times New Roman" w:hAnsi="Times New Roman" w:eastAsia="宋体" w:cs="Times New Roman"/>
          <w:sz w:val="24"/>
          <w:lang w:val="en-US"/>
        </w:rPr>
        <w:t>新疆生产建设兵团）出具的属于监狱企业的证明文件, 否则不予享受优惠政策</w:t>
      </w:r>
      <w:r>
        <w:rPr>
          <w:rFonts w:hint="eastAsia" w:ascii="宋体" w:hAnsi="宋体" w:eastAsia="宋体" w:cs="宋体"/>
          <w:b/>
          <w:bCs w:val="0"/>
          <w:color w:val="000000" w:themeColor="text1"/>
          <w:sz w:val="24"/>
          <w:highlight w:val="none"/>
          <w14:textFill>
            <w14:solidFill>
              <w14:schemeClr w14:val="tx1"/>
            </w14:solidFill>
          </w14:textFill>
        </w:rPr>
        <w:t>（如供应商属于监狱企业的，</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ascii="宋体" w:hAnsi="宋体" w:eastAsia="宋体" w:cs="宋体"/>
          <w:b/>
          <w:bCs w:val="0"/>
          <w:color w:val="000000" w:themeColor="text1"/>
          <w:sz w:val="24"/>
          <w:highlight w:val="none"/>
          <w14:textFill>
            <w14:solidFill>
              <w14:schemeClr w14:val="tx1"/>
            </w14:solidFill>
          </w14:textFill>
        </w:rPr>
        <w:t>）；</w:t>
      </w:r>
      <w:bookmarkEnd w:id="493"/>
    </w:p>
    <w:p w14:paraId="407010DE">
      <w:pPr>
        <w:spacing w:line="360" w:lineRule="auto"/>
        <w:ind w:firstLine="480" w:firstLineChars="200"/>
        <w:rPr>
          <w:rFonts w:hint="eastAsia"/>
          <w:sz w:val="24"/>
        </w:rPr>
      </w:pPr>
      <w:bookmarkStart w:id="494" w:name="_Toc2805"/>
      <w:r>
        <w:rPr>
          <w:rFonts w:hint="eastAsia"/>
          <w:sz w:val="24"/>
          <w:lang w:val="en-US" w:eastAsia="zh-CN"/>
        </w:rPr>
        <w:t>7.</w:t>
      </w:r>
      <w:r>
        <w:rPr>
          <w:rFonts w:hint="eastAsia"/>
          <w:sz w:val="24"/>
        </w:rPr>
        <w:t>符合条件的残疾人福利性单位在参加政府采购活动时，应当提供《残疾人福利性单位声明</w:t>
      </w:r>
      <w:bookmarkEnd w:id="494"/>
    </w:p>
    <w:p w14:paraId="3EF37199">
      <w:pPr>
        <w:spacing w:line="360" w:lineRule="auto"/>
        <w:rPr>
          <w:rFonts w:hint="eastAsia"/>
          <w:lang w:eastAsia="zh-CN"/>
        </w:rPr>
      </w:pPr>
      <w:bookmarkStart w:id="495" w:name="_Toc23982"/>
      <w:r>
        <w:rPr>
          <w:rFonts w:hint="eastAsia"/>
          <w:sz w:val="24"/>
        </w:rPr>
        <w:t>函》（见附件），并对声明的真实性负责（如供应商属于残疾人福利性单位的，如有，请提供</w:t>
      </w:r>
      <w:r>
        <w:rPr>
          <w:rFonts w:hint="eastAsia"/>
          <w:sz w:val="24"/>
          <w:lang w:eastAsia="zh-CN"/>
        </w:rPr>
        <w:t>）。</w:t>
      </w:r>
      <w:bookmarkEnd w:id="495"/>
    </w:p>
    <w:p w14:paraId="49390321">
      <w:pPr>
        <w:pStyle w:val="32"/>
        <w:rPr>
          <w:rFonts w:hint="eastAsia" w:ascii="宋体" w:hAnsi="宋体" w:eastAsia="宋体" w:cs="宋体"/>
          <w:b/>
          <w:bCs/>
          <w:color w:val="000000" w:themeColor="text1"/>
          <w:sz w:val="24"/>
          <w:highlight w:val="none"/>
          <w14:textFill>
            <w14:solidFill>
              <w14:schemeClr w14:val="tx1"/>
            </w14:solidFill>
          </w14:textFill>
        </w:rPr>
      </w:pPr>
    </w:p>
    <w:p w14:paraId="5A264502">
      <w:pPr>
        <w:pStyle w:val="32"/>
        <w:rPr>
          <w:rFonts w:hint="eastAsia" w:ascii="宋体" w:hAnsi="宋体" w:eastAsia="宋体" w:cs="宋体"/>
          <w:b/>
          <w:bCs/>
          <w:color w:val="000000" w:themeColor="text1"/>
          <w:sz w:val="24"/>
          <w:highlight w:val="none"/>
          <w14:textFill>
            <w14:solidFill>
              <w14:schemeClr w14:val="tx1"/>
            </w14:solidFill>
          </w14:textFill>
        </w:rPr>
      </w:pPr>
    </w:p>
    <w:p w14:paraId="2C7D9219">
      <w:pPr>
        <w:spacing w:line="360" w:lineRule="auto"/>
        <w:ind w:firstLine="480" w:firstLineChars="200"/>
        <w:rPr>
          <w:rFonts w:hint="eastAsia" w:ascii="宋体" w:hAnsi="宋体" w:eastAsia="宋体" w:cs="宋体"/>
          <w:color w:val="auto"/>
          <w:sz w:val="24"/>
          <w:highlight w:val="none"/>
        </w:rPr>
      </w:pPr>
    </w:p>
    <w:p w14:paraId="077EE90E">
      <w:pPr>
        <w:pStyle w:val="32"/>
        <w:rPr>
          <w:rFonts w:hint="eastAsia" w:ascii="宋体" w:hAnsi="宋体" w:eastAsia="宋体" w:cs="宋体"/>
          <w:b/>
          <w:bCs/>
          <w:color w:val="auto"/>
          <w:sz w:val="24"/>
          <w:highlight w:val="none"/>
        </w:rPr>
      </w:pPr>
    </w:p>
    <w:p w14:paraId="685B6A51">
      <w:pPr>
        <w:pStyle w:val="32"/>
        <w:rPr>
          <w:rFonts w:hint="eastAsia" w:ascii="宋体" w:hAnsi="宋体" w:eastAsia="宋体" w:cs="宋体"/>
          <w:b/>
          <w:bCs/>
          <w:color w:val="auto"/>
          <w:sz w:val="24"/>
          <w:highlight w:val="none"/>
        </w:rPr>
      </w:pPr>
    </w:p>
    <w:p w14:paraId="216225CA">
      <w:pPr>
        <w:pStyle w:val="32"/>
        <w:rPr>
          <w:rFonts w:hint="eastAsia" w:ascii="宋体" w:hAnsi="宋体" w:eastAsia="宋体" w:cs="宋体"/>
          <w:b/>
          <w:bCs/>
          <w:color w:val="auto"/>
          <w:sz w:val="24"/>
          <w:highlight w:val="none"/>
        </w:rPr>
      </w:pPr>
    </w:p>
    <w:p w14:paraId="33C4E397">
      <w:pPr>
        <w:pStyle w:val="32"/>
        <w:rPr>
          <w:rFonts w:hint="eastAsia" w:ascii="宋体" w:hAnsi="宋体" w:eastAsia="宋体" w:cs="宋体"/>
          <w:b/>
          <w:bCs/>
          <w:color w:val="auto"/>
          <w:sz w:val="24"/>
          <w:highlight w:val="none"/>
        </w:rPr>
      </w:pPr>
    </w:p>
    <w:p w14:paraId="7BEB2381">
      <w:pPr>
        <w:pStyle w:val="32"/>
        <w:rPr>
          <w:rFonts w:hint="eastAsia" w:ascii="宋体" w:hAnsi="宋体" w:eastAsia="宋体" w:cs="宋体"/>
          <w:b/>
          <w:bCs/>
          <w:color w:val="auto"/>
          <w:sz w:val="24"/>
          <w:highlight w:val="none"/>
        </w:rPr>
      </w:pPr>
    </w:p>
    <w:p w14:paraId="6A25FFC5">
      <w:pPr>
        <w:pStyle w:val="32"/>
        <w:rPr>
          <w:rFonts w:hint="eastAsia" w:ascii="宋体" w:hAnsi="宋体" w:eastAsia="宋体" w:cs="宋体"/>
          <w:b/>
          <w:bCs/>
          <w:color w:val="auto"/>
          <w:sz w:val="24"/>
          <w:highlight w:val="none"/>
        </w:rPr>
      </w:pPr>
    </w:p>
    <w:p w14:paraId="50B47158">
      <w:pPr>
        <w:pStyle w:val="32"/>
        <w:rPr>
          <w:rFonts w:hint="eastAsia" w:ascii="宋体" w:hAnsi="宋体" w:eastAsia="宋体" w:cs="宋体"/>
          <w:b/>
          <w:bCs/>
          <w:color w:val="auto"/>
          <w:sz w:val="24"/>
          <w:highlight w:val="none"/>
        </w:rPr>
      </w:pPr>
    </w:p>
    <w:p w14:paraId="5B9E63A5">
      <w:pPr>
        <w:pStyle w:val="32"/>
        <w:rPr>
          <w:rFonts w:hint="eastAsia" w:ascii="宋体" w:hAnsi="宋体" w:eastAsia="宋体" w:cs="宋体"/>
          <w:b/>
          <w:bCs/>
          <w:color w:val="auto"/>
          <w:sz w:val="24"/>
          <w:highlight w:val="none"/>
        </w:rPr>
      </w:pPr>
    </w:p>
    <w:p w14:paraId="777F71A3">
      <w:pPr>
        <w:pStyle w:val="32"/>
        <w:rPr>
          <w:rFonts w:hint="eastAsia" w:ascii="宋体" w:hAnsi="宋体" w:eastAsia="宋体" w:cs="宋体"/>
          <w:b/>
          <w:bCs/>
          <w:color w:val="auto"/>
          <w:sz w:val="24"/>
          <w:highlight w:val="none"/>
        </w:rPr>
      </w:pPr>
    </w:p>
    <w:p w14:paraId="3A0DE61D">
      <w:pPr>
        <w:pStyle w:val="32"/>
        <w:rPr>
          <w:rFonts w:hint="eastAsia" w:ascii="宋体" w:hAnsi="宋体" w:eastAsia="宋体" w:cs="宋体"/>
          <w:b/>
          <w:bCs/>
          <w:color w:val="auto"/>
          <w:sz w:val="24"/>
          <w:highlight w:val="none"/>
        </w:rPr>
      </w:pPr>
    </w:p>
    <w:p w14:paraId="613E6942">
      <w:pPr>
        <w:pStyle w:val="32"/>
        <w:rPr>
          <w:rFonts w:hint="eastAsia" w:ascii="宋体" w:hAnsi="宋体" w:eastAsia="宋体" w:cs="宋体"/>
          <w:b/>
          <w:bCs/>
          <w:color w:val="auto"/>
          <w:sz w:val="24"/>
          <w:highlight w:val="none"/>
        </w:rPr>
      </w:pPr>
    </w:p>
    <w:p w14:paraId="4BD0850B">
      <w:pPr>
        <w:pStyle w:val="32"/>
        <w:rPr>
          <w:rFonts w:hint="eastAsia" w:ascii="宋体" w:hAnsi="宋体" w:eastAsia="宋体" w:cs="宋体"/>
          <w:b/>
          <w:bCs/>
          <w:color w:val="auto"/>
          <w:sz w:val="24"/>
          <w:highlight w:val="none"/>
        </w:rPr>
      </w:pPr>
    </w:p>
    <w:p w14:paraId="09FD90D3">
      <w:pPr>
        <w:pStyle w:val="32"/>
        <w:rPr>
          <w:rFonts w:hint="eastAsia" w:ascii="宋体" w:hAnsi="宋体" w:eastAsia="宋体" w:cs="宋体"/>
          <w:b/>
          <w:bCs/>
          <w:color w:val="auto"/>
          <w:sz w:val="24"/>
          <w:highlight w:val="none"/>
        </w:rPr>
      </w:pPr>
    </w:p>
    <w:p w14:paraId="05D6EF12">
      <w:pPr>
        <w:pStyle w:val="32"/>
        <w:rPr>
          <w:rFonts w:hint="eastAsia" w:ascii="宋体" w:hAnsi="宋体" w:eastAsia="宋体" w:cs="宋体"/>
          <w:b/>
          <w:bCs/>
          <w:color w:val="auto"/>
          <w:sz w:val="24"/>
          <w:highlight w:val="none"/>
        </w:rPr>
      </w:pPr>
    </w:p>
    <w:p w14:paraId="5E2A9387">
      <w:pPr>
        <w:pStyle w:val="32"/>
        <w:rPr>
          <w:rFonts w:hint="eastAsia" w:ascii="宋体" w:hAnsi="宋体" w:eastAsia="宋体" w:cs="宋体"/>
          <w:b/>
          <w:bCs/>
          <w:color w:val="auto"/>
          <w:sz w:val="24"/>
          <w:highlight w:val="none"/>
        </w:rPr>
      </w:pPr>
    </w:p>
    <w:p w14:paraId="1B0FCDC0">
      <w:pPr>
        <w:pStyle w:val="32"/>
        <w:rPr>
          <w:rFonts w:hint="eastAsia" w:ascii="宋体" w:hAnsi="宋体" w:eastAsia="宋体" w:cs="宋体"/>
          <w:b/>
          <w:bCs/>
          <w:color w:val="auto"/>
          <w:sz w:val="24"/>
          <w:highlight w:val="none"/>
        </w:rPr>
      </w:pPr>
    </w:p>
    <w:p w14:paraId="3024805E">
      <w:pPr>
        <w:pStyle w:val="32"/>
        <w:rPr>
          <w:rFonts w:hint="eastAsia" w:ascii="宋体" w:hAnsi="宋体" w:eastAsia="宋体" w:cs="宋体"/>
          <w:b/>
          <w:bCs/>
          <w:color w:val="auto"/>
          <w:sz w:val="24"/>
          <w:highlight w:val="none"/>
        </w:rPr>
      </w:pPr>
    </w:p>
    <w:p w14:paraId="0D87BBBD">
      <w:pPr>
        <w:pStyle w:val="32"/>
        <w:rPr>
          <w:rFonts w:hint="eastAsia" w:ascii="宋体" w:hAnsi="宋体" w:eastAsia="宋体" w:cs="宋体"/>
          <w:b/>
          <w:bCs/>
          <w:color w:val="auto"/>
          <w:sz w:val="24"/>
          <w:highlight w:val="none"/>
        </w:rPr>
      </w:pPr>
    </w:p>
    <w:p w14:paraId="0AEA9989">
      <w:pPr>
        <w:pStyle w:val="32"/>
        <w:rPr>
          <w:rFonts w:hint="eastAsia" w:ascii="宋体" w:hAnsi="宋体" w:eastAsia="宋体" w:cs="宋体"/>
          <w:b/>
          <w:bCs/>
          <w:color w:val="auto"/>
          <w:sz w:val="24"/>
          <w:highlight w:val="none"/>
        </w:rPr>
      </w:pPr>
    </w:p>
    <w:p w14:paraId="3715B6CF">
      <w:pPr>
        <w:pStyle w:val="32"/>
        <w:rPr>
          <w:rFonts w:hint="eastAsia" w:ascii="宋体" w:hAnsi="宋体" w:eastAsia="宋体" w:cs="宋体"/>
          <w:b/>
          <w:bCs/>
          <w:color w:val="auto"/>
          <w:sz w:val="24"/>
          <w:highlight w:val="none"/>
        </w:rPr>
      </w:pPr>
    </w:p>
    <w:p w14:paraId="0CA600BD">
      <w:pPr>
        <w:pStyle w:val="32"/>
        <w:rPr>
          <w:rFonts w:hint="eastAsia" w:ascii="宋体" w:hAnsi="宋体" w:eastAsia="宋体" w:cs="宋体"/>
          <w:b/>
          <w:bCs/>
          <w:color w:val="auto"/>
          <w:sz w:val="24"/>
          <w:highlight w:val="none"/>
        </w:rPr>
      </w:pPr>
    </w:p>
    <w:p w14:paraId="179F85E0">
      <w:pPr>
        <w:pStyle w:val="32"/>
        <w:rPr>
          <w:rFonts w:hint="eastAsia" w:ascii="宋体" w:hAnsi="宋体" w:eastAsia="宋体" w:cs="宋体"/>
          <w:b/>
          <w:bCs/>
          <w:color w:val="auto"/>
          <w:sz w:val="24"/>
          <w:highlight w:val="none"/>
        </w:rPr>
      </w:pPr>
    </w:p>
    <w:p w14:paraId="63A4FF38">
      <w:pPr>
        <w:pStyle w:val="32"/>
        <w:rPr>
          <w:rFonts w:hint="eastAsia" w:ascii="宋体" w:hAnsi="宋体" w:eastAsia="宋体" w:cs="宋体"/>
          <w:b/>
          <w:bCs/>
          <w:color w:val="auto"/>
          <w:sz w:val="24"/>
          <w:highlight w:val="none"/>
        </w:rPr>
      </w:pPr>
    </w:p>
    <w:p w14:paraId="3AFB46AD">
      <w:pPr>
        <w:pStyle w:val="14"/>
        <w:spacing w:line="340" w:lineRule="exact"/>
        <w:rPr>
          <w:rFonts w:hint="eastAsia" w:ascii="宋体" w:hAnsi="宋体" w:eastAsia="宋体" w:cs="宋体"/>
          <w:b/>
          <w:color w:val="auto"/>
          <w:sz w:val="28"/>
          <w:szCs w:val="28"/>
          <w:highlight w:val="none"/>
          <w:lang w:eastAsia="zh-CN"/>
        </w:rPr>
      </w:pPr>
      <w:r>
        <w:rPr>
          <w:rFonts w:hint="eastAsia" w:hAnsi="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color w:val="auto"/>
          <w:kern w:val="2"/>
          <w:sz w:val="28"/>
          <w:szCs w:val="28"/>
          <w:highlight w:val="none"/>
          <w:lang w:val="en-US" w:eastAsia="zh-CN" w:bidi="ar-SA"/>
        </w:rPr>
        <w:t xml:space="preserve">项目实施人员一览表 </w:t>
      </w:r>
      <w:r>
        <w:rPr>
          <w:rFonts w:hint="eastAsia" w:ascii="宋体" w:hAnsi="宋体" w:eastAsia="宋体" w:cs="宋体"/>
          <w:b/>
          <w:bCs/>
          <w:color w:val="auto"/>
          <w:sz w:val="24"/>
          <w:highlight w:val="none"/>
        </w:rPr>
        <w:t>（如有，请提供）</w:t>
      </w:r>
      <w:r>
        <w:rPr>
          <w:rFonts w:hint="eastAsia" w:hAnsi="宋体" w:cs="宋体"/>
          <w:b/>
          <w:bCs/>
          <w:color w:val="auto"/>
          <w:sz w:val="24"/>
          <w:highlight w:val="none"/>
          <w:lang w:eastAsia="zh-CN"/>
        </w:rPr>
        <w:t>；</w:t>
      </w:r>
    </w:p>
    <w:p w14:paraId="6CA2CDEB">
      <w:pPr>
        <w:rPr>
          <w:rFonts w:hint="eastAsia" w:ascii="宋体" w:hAnsi="宋体" w:eastAsia="宋体" w:cs="宋体"/>
          <w:color w:val="auto"/>
          <w:highlight w:val="none"/>
        </w:rPr>
      </w:pPr>
    </w:p>
    <w:p w14:paraId="5B8503BF">
      <w:pPr>
        <w:pStyle w:val="14"/>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326B5BE2">
      <w:pPr>
        <w:pStyle w:val="14"/>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项目实施人员一览表（格式）</w:t>
      </w:r>
    </w:p>
    <w:tbl>
      <w:tblPr>
        <w:tblStyle w:val="23"/>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48EA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32581DE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50" w:type="dxa"/>
            <w:noWrap w:val="0"/>
            <w:vAlign w:val="center"/>
          </w:tcPr>
          <w:p w14:paraId="5481084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65" w:type="dxa"/>
            <w:noWrap w:val="0"/>
            <w:vAlign w:val="center"/>
          </w:tcPr>
          <w:p w14:paraId="366CA0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200" w:type="dxa"/>
            <w:noWrap w:val="0"/>
            <w:vAlign w:val="center"/>
          </w:tcPr>
          <w:p w14:paraId="671BB09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550" w:type="dxa"/>
            <w:noWrap w:val="0"/>
            <w:vAlign w:val="center"/>
          </w:tcPr>
          <w:p w14:paraId="0CD7A165">
            <w:pPr>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参加本单位工作时间</w:t>
            </w:r>
          </w:p>
        </w:tc>
        <w:tc>
          <w:tcPr>
            <w:tcW w:w="2610" w:type="dxa"/>
            <w:noWrap w:val="0"/>
            <w:vAlign w:val="center"/>
          </w:tcPr>
          <w:p w14:paraId="316E0D2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5A10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90119A3">
            <w:pPr>
              <w:spacing w:line="400" w:lineRule="exact"/>
              <w:rPr>
                <w:rFonts w:hint="eastAsia" w:ascii="宋体" w:hAnsi="宋体" w:eastAsia="宋体" w:cs="宋体"/>
                <w:color w:val="auto"/>
                <w:szCs w:val="21"/>
                <w:highlight w:val="none"/>
              </w:rPr>
            </w:pPr>
          </w:p>
        </w:tc>
        <w:tc>
          <w:tcPr>
            <w:tcW w:w="1050" w:type="dxa"/>
            <w:noWrap w:val="0"/>
            <w:vAlign w:val="top"/>
          </w:tcPr>
          <w:p w14:paraId="6BD976FE">
            <w:pPr>
              <w:spacing w:line="400" w:lineRule="exact"/>
              <w:rPr>
                <w:rFonts w:hint="eastAsia" w:ascii="宋体" w:hAnsi="宋体" w:eastAsia="宋体" w:cs="宋体"/>
                <w:color w:val="auto"/>
                <w:szCs w:val="21"/>
                <w:highlight w:val="none"/>
              </w:rPr>
            </w:pPr>
          </w:p>
        </w:tc>
        <w:tc>
          <w:tcPr>
            <w:tcW w:w="1665" w:type="dxa"/>
            <w:noWrap w:val="0"/>
            <w:vAlign w:val="top"/>
          </w:tcPr>
          <w:p w14:paraId="31EC5CB1">
            <w:pPr>
              <w:spacing w:line="400" w:lineRule="exact"/>
              <w:rPr>
                <w:rFonts w:hint="eastAsia" w:ascii="宋体" w:hAnsi="宋体" w:eastAsia="宋体" w:cs="宋体"/>
                <w:color w:val="auto"/>
                <w:szCs w:val="21"/>
                <w:highlight w:val="none"/>
              </w:rPr>
            </w:pPr>
          </w:p>
        </w:tc>
        <w:tc>
          <w:tcPr>
            <w:tcW w:w="1200" w:type="dxa"/>
            <w:noWrap w:val="0"/>
            <w:vAlign w:val="top"/>
          </w:tcPr>
          <w:p w14:paraId="679FEA29">
            <w:pPr>
              <w:spacing w:line="400" w:lineRule="exact"/>
              <w:rPr>
                <w:rFonts w:hint="eastAsia" w:ascii="宋体" w:hAnsi="宋体" w:eastAsia="宋体" w:cs="宋体"/>
                <w:color w:val="auto"/>
                <w:szCs w:val="21"/>
                <w:highlight w:val="none"/>
              </w:rPr>
            </w:pPr>
          </w:p>
        </w:tc>
        <w:tc>
          <w:tcPr>
            <w:tcW w:w="2550" w:type="dxa"/>
            <w:noWrap w:val="0"/>
            <w:vAlign w:val="top"/>
          </w:tcPr>
          <w:p w14:paraId="5CA0BCC6">
            <w:pPr>
              <w:spacing w:line="400" w:lineRule="exact"/>
              <w:rPr>
                <w:rFonts w:hint="eastAsia" w:ascii="宋体" w:hAnsi="宋体" w:eastAsia="宋体" w:cs="宋体"/>
                <w:color w:val="auto"/>
                <w:szCs w:val="21"/>
                <w:highlight w:val="none"/>
              </w:rPr>
            </w:pPr>
          </w:p>
        </w:tc>
        <w:tc>
          <w:tcPr>
            <w:tcW w:w="2610" w:type="dxa"/>
            <w:noWrap w:val="0"/>
            <w:vAlign w:val="top"/>
          </w:tcPr>
          <w:p w14:paraId="79BDB607">
            <w:pPr>
              <w:spacing w:line="400" w:lineRule="exact"/>
              <w:rPr>
                <w:rFonts w:hint="eastAsia" w:ascii="宋体" w:hAnsi="宋体" w:eastAsia="宋体" w:cs="宋体"/>
                <w:color w:val="auto"/>
                <w:szCs w:val="21"/>
                <w:highlight w:val="none"/>
              </w:rPr>
            </w:pPr>
          </w:p>
        </w:tc>
      </w:tr>
      <w:tr w14:paraId="2C02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66B6FAA">
            <w:pPr>
              <w:spacing w:line="400" w:lineRule="exact"/>
              <w:rPr>
                <w:rFonts w:hint="eastAsia" w:ascii="宋体" w:hAnsi="宋体" w:eastAsia="宋体" w:cs="宋体"/>
                <w:color w:val="auto"/>
                <w:szCs w:val="21"/>
                <w:highlight w:val="none"/>
              </w:rPr>
            </w:pPr>
          </w:p>
        </w:tc>
        <w:tc>
          <w:tcPr>
            <w:tcW w:w="1050" w:type="dxa"/>
            <w:noWrap w:val="0"/>
            <w:vAlign w:val="top"/>
          </w:tcPr>
          <w:p w14:paraId="2F4F1CBF">
            <w:pPr>
              <w:spacing w:line="400" w:lineRule="exact"/>
              <w:rPr>
                <w:rFonts w:hint="eastAsia" w:ascii="宋体" w:hAnsi="宋体" w:eastAsia="宋体" w:cs="宋体"/>
                <w:color w:val="auto"/>
                <w:szCs w:val="21"/>
                <w:highlight w:val="none"/>
              </w:rPr>
            </w:pPr>
          </w:p>
        </w:tc>
        <w:tc>
          <w:tcPr>
            <w:tcW w:w="1665" w:type="dxa"/>
            <w:noWrap w:val="0"/>
            <w:vAlign w:val="top"/>
          </w:tcPr>
          <w:p w14:paraId="314699E4">
            <w:pPr>
              <w:spacing w:line="400" w:lineRule="exact"/>
              <w:rPr>
                <w:rFonts w:hint="eastAsia" w:ascii="宋体" w:hAnsi="宋体" w:eastAsia="宋体" w:cs="宋体"/>
                <w:color w:val="auto"/>
                <w:szCs w:val="21"/>
                <w:highlight w:val="none"/>
              </w:rPr>
            </w:pPr>
          </w:p>
        </w:tc>
        <w:tc>
          <w:tcPr>
            <w:tcW w:w="1200" w:type="dxa"/>
            <w:noWrap w:val="0"/>
            <w:vAlign w:val="top"/>
          </w:tcPr>
          <w:p w14:paraId="5A20077D">
            <w:pPr>
              <w:spacing w:line="400" w:lineRule="exact"/>
              <w:rPr>
                <w:rFonts w:hint="eastAsia" w:ascii="宋体" w:hAnsi="宋体" w:eastAsia="宋体" w:cs="宋体"/>
                <w:color w:val="auto"/>
                <w:szCs w:val="21"/>
                <w:highlight w:val="none"/>
              </w:rPr>
            </w:pPr>
          </w:p>
        </w:tc>
        <w:tc>
          <w:tcPr>
            <w:tcW w:w="2550" w:type="dxa"/>
            <w:noWrap w:val="0"/>
            <w:vAlign w:val="top"/>
          </w:tcPr>
          <w:p w14:paraId="523DB091">
            <w:pPr>
              <w:spacing w:line="400" w:lineRule="exact"/>
              <w:rPr>
                <w:rFonts w:hint="eastAsia" w:ascii="宋体" w:hAnsi="宋体" w:eastAsia="宋体" w:cs="宋体"/>
                <w:color w:val="auto"/>
                <w:szCs w:val="21"/>
                <w:highlight w:val="none"/>
              </w:rPr>
            </w:pPr>
          </w:p>
        </w:tc>
        <w:tc>
          <w:tcPr>
            <w:tcW w:w="2610" w:type="dxa"/>
            <w:noWrap w:val="0"/>
            <w:vAlign w:val="top"/>
          </w:tcPr>
          <w:p w14:paraId="54393FAD">
            <w:pPr>
              <w:spacing w:line="400" w:lineRule="exact"/>
              <w:rPr>
                <w:rFonts w:hint="eastAsia" w:ascii="宋体" w:hAnsi="宋体" w:eastAsia="宋体" w:cs="宋体"/>
                <w:color w:val="auto"/>
                <w:szCs w:val="21"/>
                <w:highlight w:val="none"/>
              </w:rPr>
            </w:pPr>
          </w:p>
        </w:tc>
      </w:tr>
    </w:tbl>
    <w:p w14:paraId="7661A6AE">
      <w:pPr>
        <w:spacing w:line="400" w:lineRule="exact"/>
        <w:rPr>
          <w:rFonts w:hint="eastAsia" w:ascii="宋体" w:hAnsi="宋体" w:eastAsia="宋体" w:cs="宋体"/>
          <w:color w:val="auto"/>
          <w:szCs w:val="21"/>
          <w:highlight w:val="none"/>
        </w:rPr>
      </w:pPr>
    </w:p>
    <w:p w14:paraId="33B00472">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8D3AD08">
      <w:pPr>
        <w:pStyle w:val="4"/>
        <w:rPr>
          <w:rFonts w:hint="eastAsia" w:ascii="宋体" w:hAnsi="宋体" w:eastAsia="宋体" w:cs="宋体"/>
          <w:color w:val="auto"/>
          <w:highlight w:val="none"/>
        </w:rPr>
      </w:pPr>
    </w:p>
    <w:p w14:paraId="724A42A9">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2289E28B">
      <w:pPr>
        <w:pStyle w:val="10"/>
        <w:rPr>
          <w:rFonts w:hint="eastAsia" w:ascii="宋体" w:hAnsi="宋体" w:eastAsia="宋体" w:cs="宋体"/>
          <w:color w:val="auto"/>
          <w:highlight w:val="none"/>
        </w:rPr>
      </w:pPr>
    </w:p>
    <w:p w14:paraId="2C248176">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sz w:val="24"/>
          <w:highlight w:val="none"/>
        </w:rPr>
        <w:t>注：供应商根据自身情况结合本项目自行制定</w:t>
      </w:r>
    </w:p>
    <w:p w14:paraId="0FB75438">
      <w:pPr>
        <w:pStyle w:val="14"/>
        <w:spacing w:line="340" w:lineRule="exact"/>
        <w:rPr>
          <w:rFonts w:hint="eastAsia" w:ascii="宋体" w:hAnsi="宋体" w:eastAsia="宋体" w:cs="宋体"/>
          <w:b/>
          <w:bCs w:val="0"/>
          <w:color w:val="auto"/>
          <w:sz w:val="28"/>
          <w:szCs w:val="28"/>
          <w:highlight w:val="none"/>
        </w:rPr>
      </w:pPr>
    </w:p>
    <w:p w14:paraId="1F4D32E7">
      <w:pPr>
        <w:pStyle w:val="7"/>
        <w:rPr>
          <w:rFonts w:hint="eastAsia" w:ascii="宋体" w:hAnsi="宋体" w:eastAsia="宋体" w:cs="宋体"/>
          <w:b/>
          <w:bCs w:val="0"/>
          <w:color w:val="auto"/>
          <w:sz w:val="28"/>
          <w:szCs w:val="28"/>
          <w:highlight w:val="none"/>
        </w:rPr>
      </w:pPr>
    </w:p>
    <w:p w14:paraId="3CAD8BA2">
      <w:pPr>
        <w:pStyle w:val="10"/>
        <w:rPr>
          <w:rFonts w:hint="eastAsia" w:ascii="宋体" w:hAnsi="宋体" w:eastAsia="宋体" w:cs="宋体"/>
          <w:b/>
          <w:bCs w:val="0"/>
          <w:color w:val="auto"/>
          <w:sz w:val="28"/>
          <w:szCs w:val="28"/>
          <w:highlight w:val="none"/>
        </w:rPr>
      </w:pPr>
    </w:p>
    <w:p w14:paraId="1156DBF2">
      <w:pPr>
        <w:rPr>
          <w:rFonts w:hint="eastAsia"/>
          <w:color w:val="auto"/>
          <w:highlight w:val="none"/>
        </w:rPr>
      </w:pPr>
    </w:p>
    <w:p w14:paraId="7CAB0C60">
      <w:pPr>
        <w:pStyle w:val="14"/>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“采购需求”需提供的有效证明文件（如有，请提供）；</w:t>
      </w:r>
    </w:p>
    <w:p w14:paraId="46300D59">
      <w:pPr>
        <w:pStyle w:val="10"/>
        <w:rPr>
          <w:rFonts w:hint="eastAsia" w:ascii="宋体" w:hAnsi="宋体" w:eastAsia="宋体" w:cs="宋体"/>
          <w:b/>
          <w:bCs w:val="0"/>
          <w:color w:val="auto"/>
          <w:highlight w:val="none"/>
        </w:rPr>
      </w:pPr>
    </w:p>
    <w:p w14:paraId="59C5139E">
      <w:pPr>
        <w:pStyle w:val="14"/>
        <w:numPr>
          <w:ilvl w:val="0"/>
          <w:numId w:val="0"/>
        </w:numPr>
        <w:spacing w:line="340" w:lineRule="exact"/>
        <w:ind w:leftChars="0"/>
        <w:rPr>
          <w:rFonts w:hint="eastAsia" w:ascii="宋体" w:hAnsi="宋体" w:eastAsia="宋体" w:cs="宋体"/>
          <w:b/>
          <w:bCs w:val="0"/>
          <w:color w:val="auto"/>
          <w:sz w:val="28"/>
          <w:szCs w:val="28"/>
          <w:highlight w:val="none"/>
          <w:lang w:val="en-US" w:eastAsia="zh-CN"/>
        </w:rPr>
      </w:pPr>
      <w:bookmarkStart w:id="496" w:name="_Toc3052"/>
      <w:bookmarkStart w:id="497" w:name="_Toc10161"/>
      <w:bookmarkStart w:id="498" w:name="_Toc497927090"/>
    </w:p>
    <w:p w14:paraId="2F629C6E">
      <w:pPr>
        <w:rPr>
          <w:rFonts w:hint="eastAsia" w:ascii="宋体" w:hAnsi="宋体" w:eastAsia="宋体" w:cs="宋体"/>
          <w:b/>
          <w:bCs w:val="0"/>
          <w:color w:val="auto"/>
          <w:sz w:val="28"/>
          <w:szCs w:val="28"/>
          <w:highlight w:val="none"/>
          <w:lang w:val="en-US" w:eastAsia="zh-CN"/>
        </w:rPr>
      </w:pPr>
    </w:p>
    <w:p w14:paraId="5DBDBF83">
      <w:pPr>
        <w:pStyle w:val="10"/>
        <w:rPr>
          <w:rFonts w:hint="eastAsia"/>
          <w:color w:val="auto"/>
          <w:highlight w:val="none"/>
          <w:lang w:val="en-US" w:eastAsia="zh-CN"/>
        </w:rPr>
      </w:pPr>
    </w:p>
    <w:p w14:paraId="02211415">
      <w:pPr>
        <w:pStyle w:val="14"/>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w:t>
      </w:r>
      <w:r>
        <w:rPr>
          <w:rFonts w:hint="eastAsia" w:hAnsi="宋体" w:cs="宋体"/>
          <w:b/>
          <w:bCs w:val="0"/>
          <w:color w:val="auto"/>
          <w:sz w:val="28"/>
          <w:szCs w:val="28"/>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bookmarkEnd w:id="496"/>
      <w:bookmarkEnd w:id="497"/>
      <w:bookmarkEnd w:id="498"/>
    </w:p>
    <w:p w14:paraId="2C9C380F">
      <w:pPr>
        <w:pStyle w:val="32"/>
        <w:rPr>
          <w:rFonts w:hint="eastAsia" w:ascii="宋体" w:hAnsi="宋体" w:eastAsia="宋体" w:cs="宋体"/>
          <w:b/>
          <w:bCs w:val="0"/>
          <w:color w:val="auto"/>
          <w:sz w:val="28"/>
          <w:szCs w:val="28"/>
          <w:highlight w:val="none"/>
        </w:rPr>
      </w:pPr>
    </w:p>
    <w:p w14:paraId="4DAA83B5">
      <w:pPr>
        <w:pStyle w:val="32"/>
        <w:rPr>
          <w:rFonts w:hint="eastAsia" w:ascii="宋体" w:hAnsi="宋体" w:eastAsia="宋体" w:cs="宋体"/>
          <w:b/>
          <w:bCs w:val="0"/>
          <w:color w:val="auto"/>
          <w:sz w:val="28"/>
          <w:szCs w:val="28"/>
          <w:highlight w:val="none"/>
        </w:rPr>
      </w:pPr>
    </w:p>
    <w:p w14:paraId="76B07933">
      <w:pPr>
        <w:pStyle w:val="14"/>
        <w:numPr>
          <w:ilvl w:val="0"/>
          <w:numId w:val="0"/>
        </w:numPr>
        <w:spacing w:line="340" w:lineRule="exact"/>
        <w:ind w:leftChars="0"/>
        <w:rPr>
          <w:rFonts w:hint="eastAsia" w:ascii="宋体" w:hAnsi="宋体" w:eastAsia="宋体" w:cs="宋体"/>
          <w:color w:val="auto"/>
          <w:highlight w:val="none"/>
        </w:rPr>
      </w:pPr>
      <w:r>
        <w:rPr>
          <w:rFonts w:hint="eastAsia" w:hAnsi="宋体" w:cs="宋体"/>
          <w:b/>
          <w:bCs w:val="0"/>
          <w:color w:val="auto"/>
          <w:sz w:val="28"/>
          <w:szCs w:val="28"/>
          <w:highlight w:val="none"/>
          <w:lang w:val="en-US" w:eastAsia="zh-CN"/>
        </w:rPr>
        <w:t>4</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rPr>
        <w:t>供应商可结合本项目的评审办法视自身情况自行提交其它相关证明材料</w:t>
      </w:r>
      <w:r>
        <w:rPr>
          <w:rFonts w:hint="eastAsia" w:ascii="宋体" w:hAnsi="宋体" w:eastAsia="宋体" w:cs="宋体"/>
          <w:b/>
          <w:bCs w:val="0"/>
          <w:color w:val="auto"/>
          <w:sz w:val="28"/>
          <w:szCs w:val="28"/>
          <w:highlight w:val="none"/>
          <w:lang w:val="en-US" w:eastAsia="zh-CN"/>
        </w:rPr>
        <w:t>（如有，请提供）</w:t>
      </w:r>
      <w:r>
        <w:rPr>
          <w:rFonts w:hint="eastAsia" w:hAnsi="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highlight w:val="none"/>
          <w:lang w:val="en-US" w:eastAsia="zh-CN"/>
        </w:rPr>
        <w:t xml:space="preserve">      </w:t>
      </w:r>
    </w:p>
    <w:p w14:paraId="6586FA4A">
      <w:pPr>
        <w:rPr>
          <w:rFonts w:hint="eastAsia" w:ascii="宋体" w:hAnsi="宋体" w:eastAsia="宋体" w:cs="宋体"/>
          <w:color w:val="auto"/>
          <w:highlight w:val="none"/>
        </w:rPr>
      </w:pPr>
    </w:p>
    <w:p w14:paraId="00191FBA">
      <w:pPr>
        <w:pStyle w:val="4"/>
        <w:rPr>
          <w:rFonts w:hint="eastAsia" w:ascii="宋体" w:hAnsi="宋体" w:eastAsia="宋体" w:cs="宋体"/>
          <w:color w:val="auto"/>
          <w:highlight w:val="none"/>
        </w:rPr>
      </w:pPr>
    </w:p>
    <w:p w14:paraId="25AF4E99">
      <w:pPr>
        <w:rPr>
          <w:rFonts w:hint="eastAsia" w:ascii="宋体" w:hAnsi="宋体" w:eastAsia="宋体" w:cs="宋体"/>
          <w:color w:val="auto"/>
          <w:highlight w:val="none"/>
        </w:rPr>
      </w:pPr>
    </w:p>
    <w:p w14:paraId="2A5D1765">
      <w:pPr>
        <w:pStyle w:val="14"/>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《中小企业声明函》（见附件）（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除监狱企业及残疾人福利性单位外，</w:t>
      </w:r>
      <w:r>
        <w:rPr>
          <w:rFonts w:hint="eastAsia" w:ascii="宋体" w:hAnsi="宋体" w:eastAsia="宋体" w:cs="宋体"/>
          <w:b/>
          <w:bCs w:val="0"/>
          <w:color w:val="000000" w:themeColor="text1"/>
          <w:sz w:val="28"/>
          <w:szCs w:val="28"/>
          <w:highlight w:val="none"/>
          <w14:textFill>
            <w14:solidFill>
              <w14:schemeClr w14:val="tx1"/>
            </w14:solidFill>
          </w14:textFill>
        </w:rPr>
        <w:t>如有，请提供</w:t>
      </w:r>
      <w:r>
        <w:rPr>
          <w:rFonts w:hint="eastAsia" w:ascii="宋体" w:hAnsi="宋体" w:eastAsia="宋体" w:cs="宋体"/>
          <w:b/>
          <w:color w:val="000000" w:themeColor="text1"/>
          <w:sz w:val="28"/>
          <w:szCs w:val="28"/>
          <w:highlight w:val="none"/>
          <w14:textFill>
            <w14:solidFill>
              <w14:schemeClr w14:val="tx1"/>
            </w14:solidFill>
          </w14:textFill>
        </w:rPr>
        <w:t>）；</w:t>
      </w:r>
    </w:p>
    <w:p w14:paraId="31C1768F">
      <w:pPr>
        <w:pStyle w:val="10"/>
        <w:rPr>
          <w:rFonts w:hint="eastAsia" w:ascii="宋体" w:hAnsi="宋体" w:eastAsia="宋体" w:cs="宋体"/>
          <w:color w:val="000000" w:themeColor="text1"/>
          <w:highlight w:val="none"/>
          <w14:textFill>
            <w14:solidFill>
              <w14:schemeClr w14:val="tx1"/>
            </w14:solidFill>
          </w14:textFill>
        </w:rPr>
      </w:pPr>
    </w:p>
    <w:p w14:paraId="5D907F7E">
      <w:pPr>
        <w:pStyle w:val="14"/>
        <w:rPr>
          <w:rFonts w:hint="eastAsia" w:ascii="宋体" w:hAnsi="宋体" w:eastAsia="宋体" w:cs="宋体"/>
          <w:b/>
          <w:bCs/>
          <w:color w:val="000000" w:themeColor="text1"/>
          <w:sz w:val="32"/>
          <w:szCs w:val="32"/>
          <w:highlight w:val="none"/>
          <w14:textFill>
            <w14:solidFill>
              <w14:schemeClr w14:val="tx1"/>
            </w14:solidFill>
          </w14:textFill>
        </w:rPr>
      </w:pPr>
    </w:p>
    <w:p w14:paraId="16E2F55C">
      <w:pPr>
        <w:pStyle w:val="14"/>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77A57720">
      <w:pPr>
        <w:pStyle w:val="14"/>
        <w:spacing w:line="440" w:lineRule="exact"/>
        <w:jc w:val="center"/>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中小企业声明函（</w:t>
      </w:r>
      <w:r>
        <w:rPr>
          <w:rFonts w:hint="eastAsia" w:hAnsi="宋体" w:cs="宋体"/>
          <w:b/>
          <w:bCs/>
          <w:color w:val="000000" w:themeColor="text1"/>
          <w:sz w:val="28"/>
          <w:szCs w:val="28"/>
          <w:highlight w:val="none"/>
          <w:lang w:eastAsia="zh-CN"/>
          <w14:textFill>
            <w14:solidFill>
              <w14:schemeClr w14:val="tx1"/>
            </w14:solidFill>
          </w14:textFill>
        </w:rPr>
        <w:t>服务</w:t>
      </w:r>
      <w:r>
        <w:rPr>
          <w:rFonts w:hint="eastAsia" w:hAnsi="宋体" w:cs="宋体"/>
          <w:b/>
          <w:bCs/>
          <w:color w:val="000000" w:themeColor="text1"/>
          <w:sz w:val="28"/>
          <w:szCs w:val="28"/>
          <w:highlight w:val="none"/>
          <w14:textFill>
            <w14:solidFill>
              <w14:schemeClr w14:val="tx1"/>
            </w14:solidFill>
          </w14:textFill>
        </w:rPr>
        <w:t>）</w:t>
      </w:r>
    </w:p>
    <w:p w14:paraId="2D091F06">
      <w:pPr>
        <w:widowControl w:val="0"/>
        <w:spacing w:line="440" w:lineRule="exact"/>
        <w:ind w:firstLine="444"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000000"/>
          <w:spacing w:val="6"/>
          <w:kern w:val="2"/>
          <w:sz w:val="21"/>
          <w:szCs w:val="21"/>
          <w:highlight w:val="none"/>
          <w:u w:val="single"/>
          <w:lang w:val="en-US" w:eastAsia="zh-CN" w:bidi="ar-SA"/>
        </w:rPr>
        <w:t>单位名称</w:t>
      </w:r>
      <w:r>
        <w:rPr>
          <w:rFonts w:hint="eastAsia" w:ascii="宋体" w:hAnsi="宋体" w:eastAsia="宋体" w:cs="宋体"/>
          <w:color w:val="000000"/>
          <w:spacing w:val="6"/>
          <w:kern w:val="2"/>
          <w:sz w:val="21"/>
          <w:szCs w:val="21"/>
          <w:highlight w:val="none"/>
          <w:lang w:val="en-US" w:eastAsia="zh-CN" w:bidi="ar-SA"/>
        </w:rPr>
        <w:t>）的（</w:t>
      </w:r>
      <w:r>
        <w:rPr>
          <w:rFonts w:hint="eastAsia" w:ascii="宋体" w:hAnsi="宋体" w:eastAsia="宋体" w:cs="宋体"/>
          <w:color w:val="000000"/>
          <w:spacing w:val="6"/>
          <w:kern w:val="2"/>
          <w:sz w:val="21"/>
          <w:szCs w:val="21"/>
          <w:highlight w:val="none"/>
          <w:u w:val="single"/>
          <w:lang w:val="en-US" w:eastAsia="zh-CN" w:bidi="ar-SA"/>
        </w:rPr>
        <w:t>项目名称</w:t>
      </w:r>
      <w:r>
        <w:rPr>
          <w:rFonts w:hint="eastAsia" w:ascii="宋体" w:hAnsi="宋体" w:eastAsia="宋体" w:cs="宋体"/>
          <w:color w:val="000000"/>
          <w:spacing w:val="6"/>
          <w:kern w:val="2"/>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638FF784">
      <w:pPr>
        <w:widowControl w:val="0"/>
        <w:spacing w:line="440" w:lineRule="exact"/>
        <w:ind w:firstLine="444" w:firstLineChars="200"/>
        <w:jc w:val="both"/>
        <w:rPr>
          <w:rFonts w:hint="eastAsia" w:ascii="宋体" w:hAnsi="Courier New" w:eastAsia="宋体" w:cs="Times New Roman"/>
          <w:color w:val="000000"/>
          <w:kern w:val="0"/>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1.</w:t>
      </w:r>
      <w:r>
        <w:rPr>
          <w:rFonts w:hint="eastAsia" w:ascii="宋体" w:hAnsi="宋体" w:eastAsia="宋体" w:cs="宋体"/>
          <w:color w:val="000000"/>
          <w:spacing w:val="6"/>
          <w:kern w:val="2"/>
          <w:sz w:val="21"/>
          <w:szCs w:val="21"/>
          <w:highlight w:val="none"/>
          <w:u w:val="single"/>
          <w:lang w:val="en-US" w:eastAsia="zh-CN" w:bidi="ar-SA"/>
        </w:rPr>
        <w:t xml:space="preserve">（标的名称） </w:t>
      </w:r>
      <w:r>
        <w:rPr>
          <w:rFonts w:hint="eastAsia" w:ascii="宋体" w:hAnsi="宋体" w:eastAsia="宋体" w:cs="宋体"/>
          <w:color w:val="000000"/>
          <w:spacing w:val="6"/>
          <w:kern w:val="2"/>
          <w:sz w:val="21"/>
          <w:szCs w:val="21"/>
          <w:highlight w:val="none"/>
          <w:lang w:val="en-US" w:eastAsia="zh-CN" w:bidi="ar-SA"/>
        </w:rPr>
        <w:t>，属于</w:t>
      </w:r>
      <w:r>
        <w:rPr>
          <w:rFonts w:hint="eastAsia" w:ascii="宋体" w:hAnsi="宋体" w:eastAsia="宋体" w:cs="宋体"/>
          <w:color w:val="000000"/>
          <w:spacing w:val="6"/>
          <w:kern w:val="2"/>
          <w:sz w:val="21"/>
          <w:szCs w:val="21"/>
          <w:highlight w:val="none"/>
          <w:u w:val="single"/>
          <w:lang w:val="en-US" w:eastAsia="zh-CN" w:bidi="ar-SA"/>
        </w:rPr>
        <w:t>（采购文件中明确的所属行业）</w:t>
      </w:r>
      <w:r>
        <w:rPr>
          <w:rFonts w:hint="eastAsia" w:ascii="宋体" w:hAnsi="宋体" w:eastAsia="宋体" w:cs="宋体"/>
          <w:color w:val="000000"/>
          <w:spacing w:val="6"/>
          <w:kern w:val="2"/>
          <w:sz w:val="21"/>
          <w:szCs w:val="21"/>
          <w:highlight w:val="none"/>
          <w:lang w:val="en-US" w:eastAsia="zh-CN" w:bidi="ar-SA"/>
        </w:rPr>
        <w:t>； 承建（承接）企业为（</w:t>
      </w:r>
      <w:r>
        <w:rPr>
          <w:rFonts w:hint="eastAsia" w:ascii="宋体" w:hAnsi="宋体" w:eastAsia="宋体" w:cs="宋体"/>
          <w:color w:val="000000"/>
          <w:spacing w:val="6"/>
          <w:kern w:val="2"/>
          <w:sz w:val="21"/>
          <w:szCs w:val="21"/>
          <w:highlight w:val="none"/>
          <w:u w:val="single"/>
          <w:lang w:val="en-US" w:eastAsia="zh-CN" w:bidi="ar-SA"/>
        </w:rPr>
        <w:t>企业名称</w:t>
      </w:r>
      <w:r>
        <w:rPr>
          <w:rFonts w:hint="eastAsia" w:ascii="宋体" w:hAnsi="宋体" w:eastAsia="宋体" w:cs="宋体"/>
          <w:color w:val="000000"/>
          <w:spacing w:val="6"/>
          <w:kern w:val="2"/>
          <w:sz w:val="21"/>
          <w:szCs w:val="21"/>
          <w:highlight w:val="none"/>
          <w:lang w:val="en-US" w:eastAsia="zh-CN" w:bidi="ar-SA"/>
        </w:rPr>
        <w:t>），从业人员</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人，营业 收入为</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万元，资产总额为</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万元，属于（</w:t>
      </w:r>
      <w:r>
        <w:rPr>
          <w:rFonts w:hint="eastAsia" w:ascii="宋体" w:hAnsi="宋体" w:eastAsia="宋体" w:cs="宋体"/>
          <w:color w:val="000000"/>
          <w:spacing w:val="6"/>
          <w:kern w:val="2"/>
          <w:sz w:val="21"/>
          <w:szCs w:val="21"/>
          <w:highlight w:val="none"/>
          <w:u w:val="single"/>
          <w:lang w:val="en-US" w:eastAsia="zh-CN" w:bidi="ar-SA"/>
        </w:rPr>
        <w:t>中型企业、 小型企业、微型企业</w:t>
      </w:r>
      <w:r>
        <w:rPr>
          <w:rFonts w:hint="eastAsia" w:ascii="宋体" w:hAnsi="宋体" w:eastAsia="宋体" w:cs="宋体"/>
          <w:color w:val="000000"/>
          <w:spacing w:val="6"/>
          <w:kern w:val="2"/>
          <w:sz w:val="21"/>
          <w:szCs w:val="21"/>
          <w:highlight w:val="none"/>
          <w:lang w:val="en-US" w:eastAsia="zh-CN" w:bidi="ar-SA"/>
        </w:rPr>
        <w:t>）</w:t>
      </w:r>
    </w:p>
    <w:p w14:paraId="099695F3">
      <w:pPr>
        <w:widowControl/>
        <w:ind w:firstLine="444" w:firstLineChars="200"/>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2.</w:t>
      </w:r>
      <w:r>
        <w:rPr>
          <w:rFonts w:hint="eastAsia" w:ascii="宋体" w:hAnsi="宋体" w:eastAsia="宋体" w:cs="宋体"/>
          <w:color w:val="000000"/>
          <w:spacing w:val="6"/>
          <w:szCs w:val="21"/>
          <w:highlight w:val="none"/>
          <w:u w:val="single"/>
        </w:rPr>
        <w:t xml:space="preserve">（标的名称） </w:t>
      </w:r>
      <w:r>
        <w:rPr>
          <w:rFonts w:hint="eastAsia" w:ascii="宋体" w:hAnsi="宋体" w:eastAsia="宋体" w:cs="宋体"/>
          <w:color w:val="000000"/>
          <w:spacing w:val="6"/>
          <w:szCs w:val="21"/>
          <w:highlight w:val="none"/>
        </w:rPr>
        <w:t>，属于</w:t>
      </w:r>
      <w:r>
        <w:rPr>
          <w:rFonts w:hint="eastAsia" w:ascii="宋体" w:hAnsi="宋体" w:eastAsia="宋体" w:cs="宋体"/>
          <w:color w:val="000000"/>
          <w:spacing w:val="6"/>
          <w:szCs w:val="21"/>
          <w:highlight w:val="none"/>
          <w:u w:val="single"/>
        </w:rPr>
        <w:t>（采购文件中明确的所属行业）</w:t>
      </w:r>
      <w:r>
        <w:rPr>
          <w:rFonts w:hint="eastAsia" w:ascii="宋体" w:hAnsi="宋体" w:eastAsia="宋体" w:cs="宋体"/>
          <w:color w:val="000000"/>
          <w:spacing w:val="6"/>
          <w:szCs w:val="21"/>
          <w:highlight w:val="none"/>
        </w:rPr>
        <w:t>；承建（承接）企业为（</w:t>
      </w:r>
      <w:r>
        <w:rPr>
          <w:rFonts w:hint="eastAsia" w:ascii="宋体" w:hAnsi="宋体" w:eastAsia="宋体" w:cs="宋体"/>
          <w:color w:val="000000"/>
          <w:spacing w:val="6"/>
          <w:szCs w:val="21"/>
          <w:highlight w:val="none"/>
          <w:u w:val="single"/>
        </w:rPr>
        <w:t>企业名称</w:t>
      </w:r>
      <w:r>
        <w:rPr>
          <w:rFonts w:hint="eastAsia" w:ascii="宋体" w:hAnsi="宋体" w:eastAsia="宋体" w:cs="宋体"/>
          <w:color w:val="000000"/>
          <w:spacing w:val="6"/>
          <w:szCs w:val="21"/>
          <w:highlight w:val="none"/>
        </w:rPr>
        <w:t>），从业人员</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人，营业收入为</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万元，资产总额为</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万元，属于（</w:t>
      </w:r>
      <w:r>
        <w:rPr>
          <w:rFonts w:hint="eastAsia" w:ascii="宋体" w:hAnsi="宋体" w:eastAsia="宋体" w:cs="宋体"/>
          <w:color w:val="000000"/>
          <w:spacing w:val="6"/>
          <w:szCs w:val="21"/>
          <w:highlight w:val="none"/>
          <w:u w:val="single"/>
        </w:rPr>
        <w:t>中型企业、 小型企业、微型企业</w:t>
      </w:r>
      <w:r>
        <w:rPr>
          <w:rFonts w:hint="eastAsia" w:ascii="宋体" w:hAnsi="宋体" w:eastAsia="宋体" w:cs="宋体"/>
          <w:color w:val="000000"/>
          <w:spacing w:val="6"/>
          <w:szCs w:val="21"/>
          <w:highlight w:val="none"/>
        </w:rPr>
        <w:t>）；</w:t>
      </w:r>
    </w:p>
    <w:p w14:paraId="60919AE9">
      <w:pPr>
        <w:widowControl w:val="0"/>
        <w:ind w:left="0"/>
        <w:jc w:val="both"/>
        <w:rPr>
          <w:rFonts w:hint="eastAsia" w:ascii="Calibri" w:hAnsi="Calibri" w:eastAsia="宋体" w:cs="Times New Roman"/>
          <w:color w:val="000000"/>
          <w:kern w:val="2"/>
          <w:sz w:val="21"/>
          <w:szCs w:val="21"/>
          <w:highlight w:val="none"/>
          <w:lang w:val="en-US" w:eastAsia="zh-CN" w:bidi="ar-SA"/>
        </w:rPr>
      </w:pPr>
      <w:r>
        <w:rPr>
          <w:rFonts w:hint="eastAsia" w:ascii="Calibri" w:hAnsi="Calibri" w:eastAsia="宋体" w:cs="Times New Roman"/>
          <w:color w:val="000000"/>
          <w:kern w:val="2"/>
          <w:sz w:val="21"/>
          <w:szCs w:val="21"/>
          <w:highlight w:val="none"/>
          <w:lang w:val="en-US" w:eastAsia="zh-CN" w:bidi="ar-SA"/>
        </w:rPr>
        <w:t>……</w:t>
      </w:r>
    </w:p>
    <w:p w14:paraId="69743DA9">
      <w:pPr>
        <w:widowControl/>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以上企业，不属于大企业的分支机构，不存在控股股东为大企业的情形，也不存在与大企业的负责人为同一人的情形。</w:t>
      </w:r>
    </w:p>
    <w:p w14:paraId="215A92E4">
      <w:pPr>
        <w:widowControl/>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 xml:space="preserve">本企业对上述声明内容的真实性负责。如有虚假，将依法承担相应责任。 </w:t>
      </w:r>
    </w:p>
    <w:p w14:paraId="6D2B4D75">
      <w:pPr>
        <w:pStyle w:val="51"/>
        <w:spacing w:after="40" w:line="400" w:lineRule="exact"/>
        <w:ind w:firstLine="640"/>
        <w:jc w:val="both"/>
        <w:rPr>
          <w:rFonts w:hint="eastAsia" w:eastAsia="宋体"/>
          <w:color w:val="000000"/>
          <w:sz w:val="24"/>
          <w:szCs w:val="24"/>
          <w:highlight w:val="none"/>
        </w:rPr>
      </w:pPr>
    </w:p>
    <w:p w14:paraId="652F06E5">
      <w:pPr>
        <w:pStyle w:val="51"/>
        <w:spacing w:line="400" w:lineRule="exact"/>
        <w:ind w:firstLine="640"/>
        <w:jc w:val="both"/>
        <w:rPr>
          <w:rFonts w:hint="eastAsia" w:eastAsia="宋体"/>
          <w:color w:val="000000"/>
          <w:spacing w:val="6"/>
          <w:kern w:val="2"/>
          <w:sz w:val="21"/>
          <w:szCs w:val="21"/>
          <w:highlight w:val="none"/>
        </w:rPr>
      </w:pPr>
      <w:r>
        <w:rPr>
          <w:rFonts w:hint="eastAsia" w:eastAsia="宋体"/>
          <w:color w:val="000000"/>
          <w:sz w:val="24"/>
          <w:szCs w:val="24"/>
          <w:highlight w:val="none"/>
        </w:rPr>
        <w:t xml:space="preserve">                          </w:t>
      </w:r>
      <w:r>
        <w:rPr>
          <w:rFonts w:hint="eastAsia" w:eastAsia="宋体"/>
          <w:color w:val="000000"/>
          <w:spacing w:val="6"/>
          <w:kern w:val="2"/>
          <w:sz w:val="21"/>
          <w:szCs w:val="21"/>
          <w:highlight w:val="none"/>
        </w:rPr>
        <w:t xml:space="preserve">                        企业名称[盖公章（CA签章）]：</w:t>
      </w:r>
    </w:p>
    <w:p w14:paraId="3D605D8F">
      <w:pPr>
        <w:pStyle w:val="51"/>
        <w:spacing w:line="400" w:lineRule="exact"/>
        <w:ind w:firstLine="640"/>
        <w:jc w:val="both"/>
        <w:rPr>
          <w:rFonts w:hint="eastAsia" w:eastAsia="宋体"/>
          <w:color w:val="000000"/>
          <w:spacing w:val="6"/>
          <w:kern w:val="2"/>
          <w:sz w:val="21"/>
          <w:szCs w:val="21"/>
          <w:highlight w:val="yellow"/>
        </w:rPr>
      </w:pPr>
      <w:r>
        <w:rPr>
          <w:rFonts w:hint="eastAsia" w:eastAsia="宋体"/>
          <w:color w:val="000000"/>
          <w:spacing w:val="6"/>
          <w:kern w:val="2"/>
          <w:sz w:val="21"/>
          <w:szCs w:val="21"/>
          <w:highlight w:val="none"/>
        </w:rPr>
        <w:t xml:space="preserve">                                                   日期：</w:t>
      </w:r>
    </w:p>
    <w:p w14:paraId="5F98A52C">
      <w:pPr>
        <w:pStyle w:val="1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b/>
          <w:bCs/>
          <w:color w:val="000000"/>
          <w:kern w:val="0"/>
          <w:sz w:val="21"/>
          <w:szCs w:val="21"/>
          <w:lang w:val="en-US" w:eastAsia="zh-CN" w:bidi="ar-SA"/>
        </w:rPr>
        <w:t>注：从业人员、营业收入、资产总额填报上一年度数据，无上一年度数据的新成立企业可不填报。</w:t>
      </w:r>
    </w:p>
    <w:p w14:paraId="3CB81A12">
      <w:pPr>
        <w:pStyle w:val="7"/>
        <w:ind w:left="0"/>
        <w:rPr>
          <w:rFonts w:hint="eastAsia" w:ascii="宋体" w:hAnsi="宋体" w:cs="宋体"/>
          <w:color w:val="000000" w:themeColor="text1"/>
          <w:highlight w:val="none"/>
          <w14:textFill>
            <w14:solidFill>
              <w14:schemeClr w14:val="tx1"/>
            </w14:solidFill>
          </w14:textFill>
        </w:rPr>
      </w:pPr>
    </w:p>
    <w:p w14:paraId="4484BF06">
      <w:pPr>
        <w:pStyle w:val="14"/>
        <w:spacing w:line="440" w:lineRule="exact"/>
        <w:ind w:firstLine="504" w:firstLineChars="200"/>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p>
    <w:p w14:paraId="25674EF4">
      <w:pPr>
        <w:pStyle w:val="14"/>
        <w:spacing w:line="440" w:lineRule="exac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p>
    <w:p w14:paraId="65C198BE">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42555C2">
      <w:pPr>
        <w:pStyle w:val="4"/>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7932D5D6">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F991F2C">
      <w:pPr>
        <w:pStyle w:val="4"/>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D10680A">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CD2DE26">
      <w:pPr>
        <w:pStyle w:val="4"/>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5B39379">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7B3D648">
      <w:pPr>
        <w:pStyle w:val="4"/>
        <w:rPr>
          <w:rFonts w:hint="eastAsia"/>
          <w:lang w:val="en-US" w:eastAsia="zh-CN"/>
        </w:rPr>
      </w:pPr>
    </w:p>
    <w:p w14:paraId="6BA4C373">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9059344">
      <w:pPr>
        <w:rPr>
          <w:rFonts w:hint="eastAsia" w:ascii="宋体" w:hAnsi="宋体" w:eastAsia="宋体" w:cs="宋体"/>
          <w:color w:val="000000" w:themeColor="text1"/>
          <w:highlight w:val="none"/>
          <w:lang w:val="en-US" w:eastAsia="zh-CN"/>
          <w14:textFill>
            <w14:solidFill>
              <w14:schemeClr w14:val="tx1"/>
            </w14:solidFill>
          </w14:textFill>
        </w:rPr>
      </w:pPr>
    </w:p>
    <w:p w14:paraId="295B809D">
      <w:pPr>
        <w:pStyle w:val="14"/>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如提供服务的供应商属于监狱企业的，应当提供由省级以上监狱管理局、戒毒管理局等（含新疆生产建设兵团）</w:t>
      </w:r>
      <w:r>
        <w:rPr>
          <w:rFonts w:hint="eastAsia" w:ascii="宋体" w:hAnsi="宋体" w:eastAsia="宋体" w:cs="宋体"/>
          <w:b/>
          <w:color w:val="000000" w:themeColor="text1"/>
          <w:sz w:val="28"/>
          <w:szCs w:val="28"/>
          <w:highlight w:val="none"/>
          <w14:textFill>
            <w14:solidFill>
              <w14:schemeClr w14:val="tx1"/>
            </w14:solidFill>
          </w14:textFill>
        </w:rPr>
        <w:t>出具的属于监狱企业的证明文件（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如供应商属于监狱企业的，如有，请提供</w:t>
      </w:r>
      <w:r>
        <w:rPr>
          <w:rFonts w:hint="eastAsia" w:ascii="宋体" w:hAnsi="宋体" w:eastAsia="宋体" w:cs="宋体"/>
          <w:b/>
          <w:color w:val="000000" w:themeColor="text1"/>
          <w:sz w:val="28"/>
          <w:szCs w:val="28"/>
          <w:highlight w:val="none"/>
          <w14:textFill>
            <w14:solidFill>
              <w14:schemeClr w14:val="tx1"/>
            </w14:solidFill>
          </w14:textFill>
        </w:rPr>
        <w:t>）；</w:t>
      </w:r>
    </w:p>
    <w:p w14:paraId="13341277">
      <w:pPr>
        <w:pStyle w:val="7"/>
        <w:rPr>
          <w:rFonts w:hint="eastAsia" w:ascii="宋体" w:hAnsi="宋体" w:eastAsia="宋体" w:cs="宋体"/>
          <w:color w:val="000000" w:themeColor="text1"/>
          <w:highlight w:val="none"/>
          <w14:textFill>
            <w14:solidFill>
              <w14:schemeClr w14:val="tx1"/>
            </w14:solidFill>
          </w14:textFill>
        </w:rPr>
      </w:pPr>
    </w:p>
    <w:p w14:paraId="0A8DF62E">
      <w:pPr>
        <w:pStyle w:val="14"/>
        <w:numPr>
          <w:ilvl w:val="0"/>
          <w:numId w:val="0"/>
        </w:numPr>
        <w:spacing w:line="340" w:lineRule="exact"/>
        <w:ind w:left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8C3B382">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26A90B6">
      <w:pPr>
        <w:pStyle w:val="4"/>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0D75770">
      <w:pPr>
        <w:rPr>
          <w:rFonts w:hint="eastAsia"/>
          <w:lang w:val="en-US" w:eastAsia="zh-CN"/>
        </w:rPr>
      </w:pPr>
    </w:p>
    <w:p w14:paraId="0A589735">
      <w:pPr>
        <w:pStyle w:val="14"/>
        <w:numPr>
          <w:ilvl w:val="0"/>
          <w:numId w:val="0"/>
        </w:numPr>
        <w:spacing w:line="340" w:lineRule="exact"/>
        <w:ind w:lef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14:textFill>
            <w14:solidFill>
              <w14:schemeClr w14:val="tx1"/>
            </w14:solidFill>
          </w14:textFill>
        </w:rPr>
        <w:t>《残疾人福利性单位声明函》（见附件）（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w:t>
      </w:r>
      <w:r>
        <w:rPr>
          <w:rFonts w:hint="eastAsia" w:ascii="宋体" w:hAnsi="宋体" w:eastAsia="宋体" w:cs="宋体"/>
          <w:b/>
          <w:color w:val="000000" w:themeColor="text1"/>
          <w:sz w:val="28"/>
          <w:szCs w:val="28"/>
          <w:highlight w:val="none"/>
          <w14:textFill>
            <w14:solidFill>
              <w14:schemeClr w14:val="tx1"/>
            </w14:solidFill>
          </w14:textFill>
        </w:rPr>
        <w:t>残疾人福利性单位</w:t>
      </w:r>
      <w:r>
        <w:rPr>
          <w:rFonts w:hint="eastAsia" w:ascii="宋体" w:hAnsi="宋体" w:eastAsia="宋体" w:cs="宋体"/>
          <w:b/>
          <w:bCs w:val="0"/>
          <w:color w:val="000000" w:themeColor="text1"/>
          <w:sz w:val="28"/>
          <w:szCs w:val="28"/>
          <w:highlight w:val="none"/>
          <w14:textFill>
            <w14:solidFill>
              <w14:schemeClr w14:val="tx1"/>
            </w14:solidFill>
          </w14:textFill>
        </w:rPr>
        <w:t>的，如有，请提供</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lang w:eastAsia="zh-CN"/>
          <w14:textFill>
            <w14:solidFill>
              <w14:schemeClr w14:val="tx1"/>
            </w14:solidFill>
          </w14:textFill>
        </w:rPr>
        <w:t>。</w:t>
      </w:r>
    </w:p>
    <w:p w14:paraId="09F2CA26">
      <w:pPr>
        <w:pStyle w:val="32"/>
        <w:rPr>
          <w:rFonts w:hint="eastAsia" w:ascii="宋体" w:hAnsi="宋体" w:eastAsia="宋体" w:cs="宋体"/>
          <w:b/>
          <w:color w:val="000000" w:themeColor="text1"/>
          <w:spacing w:val="6"/>
          <w:sz w:val="28"/>
          <w:szCs w:val="28"/>
          <w:highlight w:val="none"/>
          <w14:textFill>
            <w14:solidFill>
              <w14:schemeClr w14:val="tx1"/>
            </w14:solidFill>
          </w14:textFill>
        </w:rPr>
      </w:pPr>
    </w:p>
    <w:p w14:paraId="3CA260B1">
      <w:pPr>
        <w:spacing w:line="588" w:lineRule="exact"/>
        <w:jc w:val="center"/>
        <w:rPr>
          <w:rFonts w:hint="eastAsia" w:ascii="宋体" w:hAnsi="宋体" w:eastAsia="宋体" w:cs="宋体"/>
          <w:b/>
          <w:color w:val="000000" w:themeColor="text1"/>
          <w:spacing w:val="6"/>
          <w:sz w:val="28"/>
          <w:szCs w:val="28"/>
          <w:highlight w:val="none"/>
          <w14:textFill>
            <w14:solidFill>
              <w14:schemeClr w14:val="tx1"/>
            </w14:solidFill>
          </w14:textFill>
        </w:rPr>
      </w:pPr>
      <w:r>
        <w:rPr>
          <w:rFonts w:hint="eastAsia" w:ascii="宋体" w:hAnsi="宋体" w:eastAsia="宋体" w:cs="宋体"/>
          <w:b/>
          <w:color w:val="000000" w:themeColor="text1"/>
          <w:spacing w:val="6"/>
          <w:sz w:val="28"/>
          <w:szCs w:val="28"/>
          <w:highlight w:val="none"/>
          <w14:textFill>
            <w14:solidFill>
              <w14:schemeClr w14:val="tx1"/>
            </w14:solidFill>
          </w14:textFill>
        </w:rPr>
        <w:t>残疾人福利性单位声明函</w:t>
      </w:r>
    </w:p>
    <w:p w14:paraId="2AA87F08">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14:textFill>
            <w14:solidFill>
              <w14:schemeClr w14:val="tx1"/>
            </w14:solidFill>
          </w14:textFill>
        </w:rPr>
        <w:t>〔2017〕141</w:t>
      </w:r>
      <w:r>
        <w:rPr>
          <w:rFonts w:hint="eastAsia" w:ascii="宋体" w:hAnsi="宋体" w:eastAsia="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D9D99E">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0EF6A0A8">
      <w:pPr>
        <w:rPr>
          <w:rFonts w:hint="eastAsia" w:ascii="宋体" w:hAnsi="宋体" w:eastAsia="宋体" w:cs="宋体"/>
          <w:color w:val="000000" w:themeColor="text1"/>
          <w:highlight w:val="none"/>
          <w14:textFill>
            <w14:solidFill>
              <w14:schemeClr w14:val="tx1"/>
            </w14:solidFill>
          </w14:textFill>
        </w:rPr>
      </w:pPr>
    </w:p>
    <w:p w14:paraId="1EACCFAE">
      <w:pPr>
        <w:tabs>
          <w:tab w:val="left" w:pos="4860"/>
        </w:tabs>
        <w:spacing w:line="588" w:lineRule="exact"/>
        <w:ind w:right="1560" w:firstLine="584" w:firstLineChars="200"/>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 xml:space="preserve">  单位名称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p>
    <w:p w14:paraId="77CACF97">
      <w:pPr>
        <w:pStyle w:val="14"/>
        <w:ind w:firstLine="4032" w:firstLineChars="16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  年  月  日</w:t>
      </w:r>
    </w:p>
    <w:p w14:paraId="4E58E6DC">
      <w:pPr>
        <w:pStyle w:val="10"/>
        <w:rPr>
          <w:rFonts w:hint="eastAsia" w:ascii="宋体" w:hAnsi="宋体" w:eastAsia="宋体" w:cs="宋体"/>
          <w:color w:val="000000" w:themeColor="text1"/>
          <w:highlight w:val="none"/>
          <w14:textFill>
            <w14:solidFill>
              <w14:schemeClr w14:val="tx1"/>
            </w14:solidFill>
          </w14:textFill>
        </w:rPr>
      </w:pPr>
    </w:p>
    <w:p w14:paraId="0A585841">
      <w:pPr>
        <w:pStyle w:val="10"/>
        <w:rPr>
          <w:rFonts w:hint="eastAsia" w:ascii="宋体" w:hAnsi="宋体" w:eastAsia="宋体" w:cs="宋体"/>
          <w:color w:val="000000" w:themeColor="text1"/>
          <w:highlight w:val="none"/>
          <w14:textFill>
            <w14:solidFill>
              <w14:schemeClr w14:val="tx1"/>
            </w14:solidFill>
          </w14:textFill>
        </w:rPr>
      </w:pPr>
    </w:p>
    <w:p w14:paraId="0DEC8F3A">
      <w:pPr>
        <w:pStyle w:val="10"/>
        <w:rPr>
          <w:rFonts w:hint="eastAsia" w:ascii="宋体" w:hAnsi="宋体" w:eastAsia="宋体" w:cs="宋体"/>
          <w:color w:val="000000" w:themeColor="text1"/>
          <w:highlight w:val="none"/>
          <w14:textFill>
            <w14:solidFill>
              <w14:schemeClr w14:val="tx1"/>
            </w14:solidFill>
          </w14:textFill>
        </w:rPr>
      </w:pPr>
    </w:p>
    <w:p w14:paraId="160A4337">
      <w:pPr>
        <w:tabs>
          <w:tab w:val="left" w:pos="1305"/>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w:t>
      </w:r>
      <w:r>
        <w:rPr>
          <w:rFonts w:hint="eastAsia" w:ascii="宋体" w:hAnsi="宋体" w:eastAsia="宋体" w:cs="宋体"/>
          <w:b/>
          <w:color w:val="000000" w:themeColor="text1"/>
          <w:szCs w:val="21"/>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r>
        <w:rPr>
          <w:rFonts w:hint="eastAsia" w:ascii="宋体" w:hAnsi="宋体" w:eastAsia="宋体" w:cs="宋体"/>
          <w:color w:val="000000" w:themeColor="text1"/>
          <w:sz w:val="24"/>
          <w:highlight w:val="none"/>
          <w14:textFill>
            <w14:solidFill>
              <w14:schemeClr w14:val="tx1"/>
            </w14:solidFill>
          </w14:textFill>
        </w:rPr>
        <w:t>。</w:t>
      </w:r>
    </w:p>
    <w:p w14:paraId="5867B42E">
      <w:pPr>
        <w:rPr>
          <w:rFonts w:hint="eastAsia" w:ascii="宋体" w:hAnsi="宋体" w:eastAsia="宋体" w:cs="宋体"/>
          <w:color w:val="000000" w:themeColor="text1"/>
          <w:highlight w:val="none"/>
          <w14:textFill>
            <w14:solidFill>
              <w14:schemeClr w14:val="tx1"/>
            </w14:solidFill>
          </w14:textFill>
        </w:rPr>
      </w:pPr>
    </w:p>
    <w:p w14:paraId="340473F7">
      <w:pPr>
        <w:pStyle w:val="4"/>
        <w:rPr>
          <w:rFonts w:hint="eastAsia"/>
        </w:rPr>
      </w:pPr>
    </w:p>
    <w:sectPr>
      <w:pgSz w:w="11906" w:h="16838"/>
      <w:pgMar w:top="1440" w:right="935" w:bottom="1440" w:left="77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356A">
    <w:pPr>
      <w:pStyle w:val="15"/>
      <w:pBdr>
        <w:bottom w:val="single" w:color="auto" w:sz="4" w:space="0"/>
      </w:pBdr>
      <w:rPr>
        <w:rFonts w:hint="eastAsia"/>
      </w:rPr>
    </w:pPr>
  </w:p>
  <w:p w14:paraId="73E78367">
    <w:pPr>
      <w:pStyle w:val="15"/>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7A5B">
    <w:pPr>
      <w:pStyle w:val="15"/>
      <w:pBdr>
        <w:bottom w:val="single" w:color="auto" w:sz="4" w:space="0"/>
      </w:pBdr>
      <w:tabs>
        <w:tab w:val="clear" w:pos="4153"/>
      </w:tabs>
      <w:jc w:val="center"/>
      <w:rPr>
        <w:rFonts w:hint="eastAsia"/>
      </w:rPr>
    </w:pPr>
  </w:p>
  <w:p w14:paraId="03FD8502">
    <w:pPr>
      <w:pStyle w:val="15"/>
    </w:pPr>
    <w:r>
      <w:rPr>
        <w:rFonts w:hint="eastAsia"/>
      </w:rPr>
      <w:t xml:space="preserve">桂林市政府集中采购中心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44C8">
    <w:pPr>
      <w:pStyle w:val="15"/>
      <w:pBdr>
        <w:bottom w:val="single" w:color="auto" w:sz="4" w:space="0"/>
      </w:pBdr>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08E09">
                          <w:pPr>
                            <w:pStyle w:val="15"/>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A08E09">
                    <w:pPr>
                      <w:pStyle w:val="15"/>
                    </w:pPr>
                    <w:r>
                      <w:fldChar w:fldCharType="begin"/>
                    </w:r>
                    <w:r>
                      <w:instrText xml:space="preserve"> PAGE  \* MERGEFORMAT </w:instrText>
                    </w:r>
                    <w:r>
                      <w:fldChar w:fldCharType="separate"/>
                    </w:r>
                    <w:r>
                      <w:t>- 3 -</w:t>
                    </w:r>
                    <w:r>
                      <w:fldChar w:fldCharType="end"/>
                    </w:r>
                  </w:p>
                </w:txbxContent>
              </v:textbox>
            </v:shape>
          </w:pict>
        </mc:Fallback>
      </mc:AlternateContent>
    </w:r>
  </w:p>
  <w:p w14:paraId="1CBB2ED6">
    <w:pPr>
      <w:pStyle w:val="15"/>
    </w:pPr>
    <w:r>
      <w:rPr>
        <w:rFonts w:hint="eastAsia"/>
      </w:rPr>
      <w:t xml:space="preserve">桂林市政府集中采购中心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D4CB">
    <w:pPr>
      <w:pStyle w:val="17"/>
      <w:jc w:val="left"/>
      <w:rPr>
        <w:rFonts w:hint="eastAsia" w:eastAsia="宋体"/>
        <w:color w:val="FF0000"/>
        <w:lang w:eastAsia="zh-CN"/>
      </w:rPr>
    </w:pPr>
    <w:r>
      <w:rPr>
        <w:rFonts w:hint="eastAsia" w:ascii="宋体" w:hAnsi="宋体" w:cs="宋体"/>
        <w:color w:val="auto"/>
        <w:sz w:val="18"/>
        <w:szCs w:val="18"/>
        <w:lang w:eastAsia="zh-CN"/>
      </w:rPr>
      <w:t>荔浦市电子政务外网横向接入专线服务</w:t>
    </w:r>
    <w:r>
      <w:rPr>
        <w:rFonts w:hint="eastAsia" w:ascii="宋体" w:hAnsi="宋体" w:eastAsia="宋体" w:cs="宋体"/>
        <w:color w:val="auto"/>
        <w:sz w:val="18"/>
        <w:szCs w:val="18"/>
      </w:rPr>
      <w:t xml:space="preserve">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val="en-US" w:eastAsia="zh-CN"/>
      </w:rPr>
      <w:fldChar w:fldCharType="begin"/>
    </w:r>
    <w:r>
      <w:rPr>
        <w:rFonts w:hint="eastAsia" w:ascii="宋体" w:hAnsi="宋体" w:cs="宋体"/>
        <w:color w:val="auto"/>
        <w:sz w:val="18"/>
        <w:szCs w:val="18"/>
        <w:lang w:val="en-US" w:eastAsia="zh-CN"/>
      </w:rPr>
      <w:instrText xml:space="preserve"> HYPERLINK "https://www.gcy.zfcg.gxzf.gov.cn/project-center/_procurement_/project-result-detail/7179057734536659022?utm=web-project-center-front.42c12ca3.0.0.a1775990164611efb6717945f98356fa" \t "https://www.gcy.zfcg.gxzf.gov.cn/project-center/_procurement_/self-project/_blank" </w:instrText>
    </w:r>
    <w:r>
      <w:rPr>
        <w:rFonts w:hint="eastAsia" w:ascii="宋体" w:hAnsi="宋体" w:cs="宋体"/>
        <w:color w:val="auto"/>
        <w:sz w:val="18"/>
        <w:szCs w:val="18"/>
        <w:lang w:val="en-US" w:eastAsia="zh-CN"/>
      </w:rPr>
      <w:fldChar w:fldCharType="separate"/>
    </w:r>
    <w:r>
      <w:rPr>
        <w:rFonts w:hint="eastAsia" w:ascii="宋体" w:hAnsi="宋体" w:cs="宋体"/>
        <w:color w:val="auto"/>
        <w:sz w:val="18"/>
        <w:szCs w:val="18"/>
        <w:lang w:val="en-US" w:eastAsia="zh-CN"/>
      </w:rPr>
      <w:t>GLZC2026-C3-310007-GLSZ</w:t>
    </w:r>
    <w:r>
      <w:rPr>
        <w:rFonts w:hint="eastAsia" w:ascii="宋体" w:hAnsi="宋体" w:cs="宋体"/>
        <w:color w:val="auto"/>
        <w:sz w:val="18"/>
        <w:szCs w:val="18"/>
        <w:lang w:val="en-US"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2AC8">
    <w:pPr>
      <w:pStyle w:val="17"/>
      <w:jc w:val="left"/>
    </w:pPr>
    <w:r>
      <w:rPr>
        <w:rStyle w:val="38"/>
        <w:rFonts w:hint="eastAsia" w:ascii="宋体"/>
        <w:szCs w:val="21"/>
        <w:lang w:val="en-US" w:eastAsia="zh-CN"/>
      </w:rPr>
      <w:t>荔浦市电子政务外网横向接入专线服务</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GLZC2026-C3-310007-GLSZ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51C26"/>
    <w:multiLevelType w:val="singleLevel"/>
    <w:tmpl w:val="89751C26"/>
    <w:lvl w:ilvl="0" w:tentative="0">
      <w:start w:val="7"/>
      <w:numFmt w:val="chineseCounting"/>
      <w:suff w:val="space"/>
      <w:lvlText w:val="第%1条"/>
      <w:lvlJc w:val="left"/>
      <w:rPr>
        <w:rFonts w:hint="eastAsia"/>
      </w:rPr>
    </w:lvl>
  </w:abstractNum>
  <w:abstractNum w:abstractNumId="1">
    <w:nsid w:val="8C9D5501"/>
    <w:multiLevelType w:val="singleLevel"/>
    <w:tmpl w:val="8C9D5501"/>
    <w:lvl w:ilvl="0" w:tentative="0">
      <w:start w:val="2"/>
      <w:numFmt w:val="chineseCounting"/>
      <w:suff w:val="nothing"/>
      <w:lvlText w:val="%1、"/>
      <w:lvlJc w:val="left"/>
      <w:rPr>
        <w:rFonts w:hint="eastAsia"/>
      </w:rPr>
    </w:lvl>
  </w:abstractNum>
  <w:abstractNum w:abstractNumId="2">
    <w:nsid w:val="BB4CF58C"/>
    <w:multiLevelType w:val="singleLevel"/>
    <w:tmpl w:val="BB4CF58C"/>
    <w:lvl w:ilvl="0" w:tentative="0">
      <w:start w:val="2"/>
      <w:numFmt w:val="decimal"/>
      <w:suff w:val="nothing"/>
      <w:lvlText w:val="（%1）"/>
      <w:lvlJc w:val="left"/>
    </w:lvl>
  </w:abstractNum>
  <w:abstractNum w:abstractNumId="3">
    <w:nsid w:val="023DC6C4"/>
    <w:multiLevelType w:val="singleLevel"/>
    <w:tmpl w:val="023DC6C4"/>
    <w:lvl w:ilvl="0" w:tentative="0">
      <w:start w:val="4"/>
      <w:numFmt w:val="decimal"/>
      <w:suff w:val="nothing"/>
      <w:lvlText w:val="（%1）"/>
      <w:lvlJc w:val="left"/>
    </w:lvl>
  </w:abstractNum>
  <w:abstractNum w:abstractNumId="4">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1FD97BE0"/>
    <w:multiLevelType w:val="singleLevel"/>
    <w:tmpl w:val="1FD97BE0"/>
    <w:lvl w:ilvl="0" w:tentative="0">
      <w:start w:val="1"/>
      <w:numFmt w:val="chineseCounting"/>
      <w:suff w:val="nothing"/>
      <w:lvlText w:val="（%1）"/>
      <w:lvlJc w:val="left"/>
      <w:rPr>
        <w:rFonts w:hint="eastAsia"/>
      </w:rPr>
    </w:lvl>
  </w:abstractNum>
  <w:abstractNum w:abstractNumId="6">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2EBEB4BA"/>
    <w:multiLevelType w:val="singleLevel"/>
    <w:tmpl w:val="2EBEB4BA"/>
    <w:lvl w:ilvl="0" w:tentative="0">
      <w:start w:val="26"/>
      <w:numFmt w:val="decimal"/>
      <w:suff w:val="space"/>
      <w:lvlText w:val="%1."/>
      <w:lvlJc w:val="left"/>
    </w:lvl>
  </w:abstractNum>
  <w:abstractNum w:abstractNumId="8">
    <w:nsid w:val="4C2D75E3"/>
    <w:multiLevelType w:val="singleLevel"/>
    <w:tmpl w:val="4C2D75E3"/>
    <w:lvl w:ilvl="0" w:tentative="0">
      <w:start w:val="3"/>
      <w:numFmt w:val="decimal"/>
      <w:lvlText w:val="%1."/>
      <w:lvlJc w:val="left"/>
      <w:pPr>
        <w:tabs>
          <w:tab w:val="left" w:pos="312"/>
        </w:tabs>
      </w:pPr>
    </w:lvl>
  </w:abstractNum>
  <w:abstractNum w:abstractNumId="9">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6AD43707"/>
    <w:multiLevelType w:val="singleLevel"/>
    <w:tmpl w:val="6AD43707"/>
    <w:lvl w:ilvl="0" w:tentative="0">
      <w:start w:val="5"/>
      <w:numFmt w:val="decimal"/>
      <w:suff w:val="space"/>
      <w:lvlText w:val="%1."/>
      <w:lvlJc w:val="left"/>
    </w:lvl>
  </w:abstractNum>
  <w:num w:numId="1">
    <w:abstractNumId w:val="4"/>
  </w:num>
  <w:num w:numId="2">
    <w:abstractNumId w:val="8"/>
  </w:num>
  <w:num w:numId="3">
    <w:abstractNumId w:val="10"/>
  </w:num>
  <w:num w:numId="4">
    <w:abstractNumId w:val="3"/>
  </w:num>
  <w:num w:numId="5">
    <w:abstractNumId w:val="2"/>
  </w:num>
  <w:num w:numId="6">
    <w:abstractNumId w:val="7"/>
  </w:num>
  <w:num w:numId="7">
    <w:abstractNumId w:val="0"/>
  </w:num>
  <w:num w:numId="8">
    <w:abstractNumId w:val="9"/>
    <w:lvlOverride w:ilvl="0">
      <w:startOverride w:val="2"/>
    </w:lvlOverride>
  </w:num>
  <w:num w:numId="9">
    <w:abstractNumId w:val="6"/>
    <w:lvlOverride w:ilvl="0">
      <w:startOverride w:val="2"/>
    </w:lvlOverride>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YjFkNjE1ZjM1ZGEzMDAyNTYzZjc3MmU5NDVlNTQifQ=="/>
  </w:docVars>
  <w:rsids>
    <w:rsidRoot w:val="00000000"/>
    <w:rsid w:val="0038106E"/>
    <w:rsid w:val="00407631"/>
    <w:rsid w:val="00631F09"/>
    <w:rsid w:val="00903814"/>
    <w:rsid w:val="00A15994"/>
    <w:rsid w:val="0224337A"/>
    <w:rsid w:val="024D5C0C"/>
    <w:rsid w:val="02985BD9"/>
    <w:rsid w:val="02B95509"/>
    <w:rsid w:val="02C95F7F"/>
    <w:rsid w:val="034E7FFA"/>
    <w:rsid w:val="035C7340"/>
    <w:rsid w:val="038101A1"/>
    <w:rsid w:val="03CF0EA7"/>
    <w:rsid w:val="040156E6"/>
    <w:rsid w:val="044C7DFD"/>
    <w:rsid w:val="047F69E4"/>
    <w:rsid w:val="0498297B"/>
    <w:rsid w:val="04AD3DAA"/>
    <w:rsid w:val="04AF4A4A"/>
    <w:rsid w:val="04D54DD7"/>
    <w:rsid w:val="051031AE"/>
    <w:rsid w:val="052F4F1D"/>
    <w:rsid w:val="05331DDC"/>
    <w:rsid w:val="0550527C"/>
    <w:rsid w:val="05B96686"/>
    <w:rsid w:val="065000D1"/>
    <w:rsid w:val="065F71BB"/>
    <w:rsid w:val="068636B9"/>
    <w:rsid w:val="06C947A0"/>
    <w:rsid w:val="06EF1AF0"/>
    <w:rsid w:val="073C1880"/>
    <w:rsid w:val="07502B74"/>
    <w:rsid w:val="077010BF"/>
    <w:rsid w:val="07BB65B7"/>
    <w:rsid w:val="07BF7C4C"/>
    <w:rsid w:val="07FB2D03"/>
    <w:rsid w:val="08023BF4"/>
    <w:rsid w:val="080E18B6"/>
    <w:rsid w:val="086A7965"/>
    <w:rsid w:val="099F3813"/>
    <w:rsid w:val="09CF7BAC"/>
    <w:rsid w:val="0A6850D7"/>
    <w:rsid w:val="0A777BA7"/>
    <w:rsid w:val="0A94723C"/>
    <w:rsid w:val="0AA61955"/>
    <w:rsid w:val="0AAE05DA"/>
    <w:rsid w:val="0AE04854"/>
    <w:rsid w:val="0AF36B06"/>
    <w:rsid w:val="0B3052A0"/>
    <w:rsid w:val="0B502266"/>
    <w:rsid w:val="0B560D77"/>
    <w:rsid w:val="0B5B6603"/>
    <w:rsid w:val="0BA00026"/>
    <w:rsid w:val="0BB30B20"/>
    <w:rsid w:val="0C0C1FF2"/>
    <w:rsid w:val="0C190F0D"/>
    <w:rsid w:val="0C6B78EB"/>
    <w:rsid w:val="0C951A65"/>
    <w:rsid w:val="0CBD0E45"/>
    <w:rsid w:val="0CED55F8"/>
    <w:rsid w:val="0DAE302F"/>
    <w:rsid w:val="0DEE6EC3"/>
    <w:rsid w:val="0E1C5AFD"/>
    <w:rsid w:val="0E924082"/>
    <w:rsid w:val="0EA31AFF"/>
    <w:rsid w:val="0ED26D72"/>
    <w:rsid w:val="0F0D4861"/>
    <w:rsid w:val="0F78715E"/>
    <w:rsid w:val="0FCD34F4"/>
    <w:rsid w:val="0FEC6EA7"/>
    <w:rsid w:val="0FED7751"/>
    <w:rsid w:val="10166A85"/>
    <w:rsid w:val="105937BE"/>
    <w:rsid w:val="106E343D"/>
    <w:rsid w:val="109D268E"/>
    <w:rsid w:val="110660A6"/>
    <w:rsid w:val="115F194E"/>
    <w:rsid w:val="11A96EF0"/>
    <w:rsid w:val="11F25E7F"/>
    <w:rsid w:val="120C7AF8"/>
    <w:rsid w:val="12D55870"/>
    <w:rsid w:val="13903FD0"/>
    <w:rsid w:val="13A23753"/>
    <w:rsid w:val="13A4011C"/>
    <w:rsid w:val="13B81064"/>
    <w:rsid w:val="13D34EB0"/>
    <w:rsid w:val="13DC62BF"/>
    <w:rsid w:val="13FA243C"/>
    <w:rsid w:val="140B707A"/>
    <w:rsid w:val="141A1B4F"/>
    <w:rsid w:val="145403ED"/>
    <w:rsid w:val="14611EB8"/>
    <w:rsid w:val="14656657"/>
    <w:rsid w:val="14AE74CE"/>
    <w:rsid w:val="14D75D6A"/>
    <w:rsid w:val="15982B8F"/>
    <w:rsid w:val="16924078"/>
    <w:rsid w:val="171514C9"/>
    <w:rsid w:val="17403903"/>
    <w:rsid w:val="17440211"/>
    <w:rsid w:val="17A319A7"/>
    <w:rsid w:val="17AD4EDD"/>
    <w:rsid w:val="17B61704"/>
    <w:rsid w:val="17FE051B"/>
    <w:rsid w:val="18074343"/>
    <w:rsid w:val="181808FF"/>
    <w:rsid w:val="18343682"/>
    <w:rsid w:val="18357EE7"/>
    <w:rsid w:val="184F13F4"/>
    <w:rsid w:val="1865096D"/>
    <w:rsid w:val="18CB5CFD"/>
    <w:rsid w:val="18EC39AE"/>
    <w:rsid w:val="190D676E"/>
    <w:rsid w:val="191907B2"/>
    <w:rsid w:val="19255582"/>
    <w:rsid w:val="19BD54DA"/>
    <w:rsid w:val="1A260979"/>
    <w:rsid w:val="1A3441CE"/>
    <w:rsid w:val="1A41745E"/>
    <w:rsid w:val="1A44675F"/>
    <w:rsid w:val="1A950679"/>
    <w:rsid w:val="1AA754C7"/>
    <w:rsid w:val="1AD77FFA"/>
    <w:rsid w:val="1AFE133E"/>
    <w:rsid w:val="1B1E6884"/>
    <w:rsid w:val="1B2D50FE"/>
    <w:rsid w:val="1B6E27DE"/>
    <w:rsid w:val="1B920D2B"/>
    <w:rsid w:val="1BD712B5"/>
    <w:rsid w:val="1BDF1943"/>
    <w:rsid w:val="1C0A58DD"/>
    <w:rsid w:val="1C17120D"/>
    <w:rsid w:val="1C3B1024"/>
    <w:rsid w:val="1CB55B85"/>
    <w:rsid w:val="1CE840F9"/>
    <w:rsid w:val="1DA70534"/>
    <w:rsid w:val="1E0421F0"/>
    <w:rsid w:val="1E19797C"/>
    <w:rsid w:val="1E515AB9"/>
    <w:rsid w:val="1E6A0495"/>
    <w:rsid w:val="1E8D7CA5"/>
    <w:rsid w:val="1EAC4C7B"/>
    <w:rsid w:val="1EB70BE6"/>
    <w:rsid w:val="1EC266AA"/>
    <w:rsid w:val="1F2D74BD"/>
    <w:rsid w:val="1F69491A"/>
    <w:rsid w:val="1FAC61D5"/>
    <w:rsid w:val="1FE36AA5"/>
    <w:rsid w:val="1FE74446"/>
    <w:rsid w:val="200851A0"/>
    <w:rsid w:val="206C46C2"/>
    <w:rsid w:val="211A595D"/>
    <w:rsid w:val="213E3013"/>
    <w:rsid w:val="214A6FE7"/>
    <w:rsid w:val="21817CF9"/>
    <w:rsid w:val="21986DD2"/>
    <w:rsid w:val="21B77E17"/>
    <w:rsid w:val="21BA2B03"/>
    <w:rsid w:val="21CE6CB6"/>
    <w:rsid w:val="21EB5FD7"/>
    <w:rsid w:val="22017EBE"/>
    <w:rsid w:val="22250FCC"/>
    <w:rsid w:val="22967391"/>
    <w:rsid w:val="22CC4BB3"/>
    <w:rsid w:val="22E569AE"/>
    <w:rsid w:val="2301717C"/>
    <w:rsid w:val="231B417D"/>
    <w:rsid w:val="23540453"/>
    <w:rsid w:val="23EA3FDD"/>
    <w:rsid w:val="23FF0505"/>
    <w:rsid w:val="24197BAD"/>
    <w:rsid w:val="24267DE5"/>
    <w:rsid w:val="24773635"/>
    <w:rsid w:val="24892316"/>
    <w:rsid w:val="24966F01"/>
    <w:rsid w:val="24FE39C0"/>
    <w:rsid w:val="255C372A"/>
    <w:rsid w:val="25922CDA"/>
    <w:rsid w:val="25EA654B"/>
    <w:rsid w:val="26216436"/>
    <w:rsid w:val="2634102D"/>
    <w:rsid w:val="267A66BE"/>
    <w:rsid w:val="26821C81"/>
    <w:rsid w:val="26A24AE2"/>
    <w:rsid w:val="26A4796D"/>
    <w:rsid w:val="26B108E0"/>
    <w:rsid w:val="26C003D2"/>
    <w:rsid w:val="26F26402"/>
    <w:rsid w:val="26FB546F"/>
    <w:rsid w:val="27014FFB"/>
    <w:rsid w:val="27604BF7"/>
    <w:rsid w:val="278A13CB"/>
    <w:rsid w:val="27A36740"/>
    <w:rsid w:val="27A664AA"/>
    <w:rsid w:val="27E70BD7"/>
    <w:rsid w:val="28070704"/>
    <w:rsid w:val="28101DD7"/>
    <w:rsid w:val="28E61253"/>
    <w:rsid w:val="298E37DF"/>
    <w:rsid w:val="29D3126A"/>
    <w:rsid w:val="2AA409A1"/>
    <w:rsid w:val="2B540DF7"/>
    <w:rsid w:val="2B7D3B09"/>
    <w:rsid w:val="2B8C0AE6"/>
    <w:rsid w:val="2BB81F91"/>
    <w:rsid w:val="2C5A4D14"/>
    <w:rsid w:val="2CDE7ECC"/>
    <w:rsid w:val="2CE400DF"/>
    <w:rsid w:val="2DD64497"/>
    <w:rsid w:val="2E2A0AD2"/>
    <w:rsid w:val="2E67352D"/>
    <w:rsid w:val="2EC876BA"/>
    <w:rsid w:val="2EE1185A"/>
    <w:rsid w:val="2EF6629B"/>
    <w:rsid w:val="2FB25B44"/>
    <w:rsid w:val="2FB344DB"/>
    <w:rsid w:val="2FCD67FF"/>
    <w:rsid w:val="300E353A"/>
    <w:rsid w:val="3016766A"/>
    <w:rsid w:val="30340E45"/>
    <w:rsid w:val="306350B5"/>
    <w:rsid w:val="30657369"/>
    <w:rsid w:val="30E26D0E"/>
    <w:rsid w:val="30F07F5D"/>
    <w:rsid w:val="31924927"/>
    <w:rsid w:val="31956EA5"/>
    <w:rsid w:val="3212228C"/>
    <w:rsid w:val="323B0C2E"/>
    <w:rsid w:val="32461855"/>
    <w:rsid w:val="32A964A8"/>
    <w:rsid w:val="32BA46FC"/>
    <w:rsid w:val="32D560F7"/>
    <w:rsid w:val="32FD2E3E"/>
    <w:rsid w:val="330729FE"/>
    <w:rsid w:val="330A6C9A"/>
    <w:rsid w:val="33154745"/>
    <w:rsid w:val="33244988"/>
    <w:rsid w:val="33262E35"/>
    <w:rsid w:val="335B02C0"/>
    <w:rsid w:val="337A3E72"/>
    <w:rsid w:val="33813759"/>
    <w:rsid w:val="33833CB3"/>
    <w:rsid w:val="33D75E9F"/>
    <w:rsid w:val="33EE3F5E"/>
    <w:rsid w:val="34577303"/>
    <w:rsid w:val="347D2E4F"/>
    <w:rsid w:val="349F41D7"/>
    <w:rsid w:val="34B561E0"/>
    <w:rsid w:val="34D91F81"/>
    <w:rsid w:val="34E547F1"/>
    <w:rsid w:val="354B5DA7"/>
    <w:rsid w:val="357F67EE"/>
    <w:rsid w:val="359335C4"/>
    <w:rsid w:val="35E35C00"/>
    <w:rsid w:val="36437DBE"/>
    <w:rsid w:val="36EE0774"/>
    <w:rsid w:val="37642B96"/>
    <w:rsid w:val="38367638"/>
    <w:rsid w:val="38587782"/>
    <w:rsid w:val="38810463"/>
    <w:rsid w:val="38957EE4"/>
    <w:rsid w:val="38997BC6"/>
    <w:rsid w:val="38A16F21"/>
    <w:rsid w:val="38B92017"/>
    <w:rsid w:val="38F95CC3"/>
    <w:rsid w:val="39083B7D"/>
    <w:rsid w:val="3A2157C4"/>
    <w:rsid w:val="3A314172"/>
    <w:rsid w:val="3ACA5540"/>
    <w:rsid w:val="3B014763"/>
    <w:rsid w:val="3B211535"/>
    <w:rsid w:val="3B721655"/>
    <w:rsid w:val="3B8A6F6B"/>
    <w:rsid w:val="3BAD2CC0"/>
    <w:rsid w:val="3BE8317C"/>
    <w:rsid w:val="3C6534B3"/>
    <w:rsid w:val="3C9568F7"/>
    <w:rsid w:val="3CB6166C"/>
    <w:rsid w:val="3D1B1A4D"/>
    <w:rsid w:val="3D2C261C"/>
    <w:rsid w:val="3D314871"/>
    <w:rsid w:val="3D372EDB"/>
    <w:rsid w:val="3D8E59E4"/>
    <w:rsid w:val="3E1A0C4E"/>
    <w:rsid w:val="3E4C333F"/>
    <w:rsid w:val="3E637182"/>
    <w:rsid w:val="3E6E4482"/>
    <w:rsid w:val="3E7516A8"/>
    <w:rsid w:val="3E7A5F15"/>
    <w:rsid w:val="3ECC7453"/>
    <w:rsid w:val="3F0230D2"/>
    <w:rsid w:val="3F1E6B5B"/>
    <w:rsid w:val="3F3E40E9"/>
    <w:rsid w:val="40144020"/>
    <w:rsid w:val="40311D48"/>
    <w:rsid w:val="40572841"/>
    <w:rsid w:val="408F0936"/>
    <w:rsid w:val="40BF57BD"/>
    <w:rsid w:val="40C25E8E"/>
    <w:rsid w:val="40D45C40"/>
    <w:rsid w:val="40D55123"/>
    <w:rsid w:val="415026AD"/>
    <w:rsid w:val="419F6289"/>
    <w:rsid w:val="41EB0411"/>
    <w:rsid w:val="42141682"/>
    <w:rsid w:val="4230353B"/>
    <w:rsid w:val="42500C48"/>
    <w:rsid w:val="4290430F"/>
    <w:rsid w:val="42A2493F"/>
    <w:rsid w:val="42BB05E1"/>
    <w:rsid w:val="43040332"/>
    <w:rsid w:val="4355505C"/>
    <w:rsid w:val="43D438A7"/>
    <w:rsid w:val="43E91A02"/>
    <w:rsid w:val="444F59BE"/>
    <w:rsid w:val="449F47B6"/>
    <w:rsid w:val="44AF5CA8"/>
    <w:rsid w:val="44C64B7B"/>
    <w:rsid w:val="44FC0326"/>
    <w:rsid w:val="45210378"/>
    <w:rsid w:val="45617D73"/>
    <w:rsid w:val="456442B5"/>
    <w:rsid w:val="46AC6517"/>
    <w:rsid w:val="46E220A2"/>
    <w:rsid w:val="474F1406"/>
    <w:rsid w:val="47821E24"/>
    <w:rsid w:val="47827898"/>
    <w:rsid w:val="47AE5AD7"/>
    <w:rsid w:val="47BA3749"/>
    <w:rsid w:val="47CC1C33"/>
    <w:rsid w:val="4822043E"/>
    <w:rsid w:val="48BB7B3B"/>
    <w:rsid w:val="48EE3083"/>
    <w:rsid w:val="48FB115E"/>
    <w:rsid w:val="490A5199"/>
    <w:rsid w:val="491B7E3F"/>
    <w:rsid w:val="49387656"/>
    <w:rsid w:val="494E0559"/>
    <w:rsid w:val="4A490F74"/>
    <w:rsid w:val="4A60650B"/>
    <w:rsid w:val="4A6442BC"/>
    <w:rsid w:val="4AF12F4F"/>
    <w:rsid w:val="4BD90EFA"/>
    <w:rsid w:val="4C41795A"/>
    <w:rsid w:val="4C712581"/>
    <w:rsid w:val="4CB37051"/>
    <w:rsid w:val="4CDC173E"/>
    <w:rsid w:val="4CDD3BBC"/>
    <w:rsid w:val="4D0529ED"/>
    <w:rsid w:val="4D085C18"/>
    <w:rsid w:val="4D0B76A6"/>
    <w:rsid w:val="4D974DBA"/>
    <w:rsid w:val="4E105DDD"/>
    <w:rsid w:val="4E237DF4"/>
    <w:rsid w:val="4E3317D3"/>
    <w:rsid w:val="4E3F5A59"/>
    <w:rsid w:val="4E5E63B8"/>
    <w:rsid w:val="4EC8490A"/>
    <w:rsid w:val="4F021016"/>
    <w:rsid w:val="4FC757CB"/>
    <w:rsid w:val="4FE97071"/>
    <w:rsid w:val="500B1FA1"/>
    <w:rsid w:val="5012408F"/>
    <w:rsid w:val="502B74B0"/>
    <w:rsid w:val="50615016"/>
    <w:rsid w:val="50E95CEA"/>
    <w:rsid w:val="519304D5"/>
    <w:rsid w:val="51B0175F"/>
    <w:rsid w:val="522D2CBF"/>
    <w:rsid w:val="522F2077"/>
    <w:rsid w:val="525D67AD"/>
    <w:rsid w:val="52AC309E"/>
    <w:rsid w:val="52D11CF1"/>
    <w:rsid w:val="532B216B"/>
    <w:rsid w:val="53514ECE"/>
    <w:rsid w:val="537C30CF"/>
    <w:rsid w:val="549F218A"/>
    <w:rsid w:val="54A54BF1"/>
    <w:rsid w:val="54BE2A98"/>
    <w:rsid w:val="54EB1352"/>
    <w:rsid w:val="551E34D6"/>
    <w:rsid w:val="55501408"/>
    <w:rsid w:val="55645834"/>
    <w:rsid w:val="558A20A7"/>
    <w:rsid w:val="55B16CE6"/>
    <w:rsid w:val="55F87EEB"/>
    <w:rsid w:val="560A49D1"/>
    <w:rsid w:val="560A7324"/>
    <w:rsid w:val="562033F3"/>
    <w:rsid w:val="56463928"/>
    <w:rsid w:val="56570A4D"/>
    <w:rsid w:val="56593110"/>
    <w:rsid w:val="57071993"/>
    <w:rsid w:val="571406EC"/>
    <w:rsid w:val="57205A7F"/>
    <w:rsid w:val="57225ADB"/>
    <w:rsid w:val="57392E9C"/>
    <w:rsid w:val="575E5568"/>
    <w:rsid w:val="58183E64"/>
    <w:rsid w:val="586B5D0F"/>
    <w:rsid w:val="586E28DA"/>
    <w:rsid w:val="58A324E0"/>
    <w:rsid w:val="58BC6822"/>
    <w:rsid w:val="58DB5A41"/>
    <w:rsid w:val="595079D6"/>
    <w:rsid w:val="597E04E1"/>
    <w:rsid w:val="59D17B61"/>
    <w:rsid w:val="5A8D0ED4"/>
    <w:rsid w:val="5B345801"/>
    <w:rsid w:val="5B4930DF"/>
    <w:rsid w:val="5B884C1A"/>
    <w:rsid w:val="5BA37FCD"/>
    <w:rsid w:val="5C0F1DCA"/>
    <w:rsid w:val="5C877BB2"/>
    <w:rsid w:val="5CA60026"/>
    <w:rsid w:val="5CE63C1F"/>
    <w:rsid w:val="5D8B1A2B"/>
    <w:rsid w:val="5D9343AB"/>
    <w:rsid w:val="5DD8542A"/>
    <w:rsid w:val="5E2A55C9"/>
    <w:rsid w:val="5E317529"/>
    <w:rsid w:val="5E4A470D"/>
    <w:rsid w:val="5E763D4E"/>
    <w:rsid w:val="5EA81AA8"/>
    <w:rsid w:val="5EB13608"/>
    <w:rsid w:val="5F637828"/>
    <w:rsid w:val="5F796A7E"/>
    <w:rsid w:val="60260578"/>
    <w:rsid w:val="60273570"/>
    <w:rsid w:val="608637E0"/>
    <w:rsid w:val="60883EF9"/>
    <w:rsid w:val="6092366F"/>
    <w:rsid w:val="60995A69"/>
    <w:rsid w:val="60C717AC"/>
    <w:rsid w:val="614A7244"/>
    <w:rsid w:val="615E3A72"/>
    <w:rsid w:val="618D2FE2"/>
    <w:rsid w:val="618D6E9B"/>
    <w:rsid w:val="61A2082E"/>
    <w:rsid w:val="61C272CD"/>
    <w:rsid w:val="61CA7DC6"/>
    <w:rsid w:val="61E80CA5"/>
    <w:rsid w:val="624F48B2"/>
    <w:rsid w:val="62A21071"/>
    <w:rsid w:val="62BA2E44"/>
    <w:rsid w:val="62CF07CF"/>
    <w:rsid w:val="62E32184"/>
    <w:rsid w:val="62E47747"/>
    <w:rsid w:val="62F5481E"/>
    <w:rsid w:val="62FD60F5"/>
    <w:rsid w:val="637127FB"/>
    <w:rsid w:val="640E34C8"/>
    <w:rsid w:val="640E51FE"/>
    <w:rsid w:val="6459748D"/>
    <w:rsid w:val="648742A0"/>
    <w:rsid w:val="64D23995"/>
    <w:rsid w:val="6535605D"/>
    <w:rsid w:val="65615763"/>
    <w:rsid w:val="65C91FCA"/>
    <w:rsid w:val="65DB702E"/>
    <w:rsid w:val="66304B71"/>
    <w:rsid w:val="6631740F"/>
    <w:rsid w:val="66644AC0"/>
    <w:rsid w:val="667D1BEE"/>
    <w:rsid w:val="66A31A6E"/>
    <w:rsid w:val="66E67D6F"/>
    <w:rsid w:val="670F3E8F"/>
    <w:rsid w:val="673530ED"/>
    <w:rsid w:val="67FB37FB"/>
    <w:rsid w:val="68007DCB"/>
    <w:rsid w:val="680B1697"/>
    <w:rsid w:val="68371036"/>
    <w:rsid w:val="687E025A"/>
    <w:rsid w:val="68992F90"/>
    <w:rsid w:val="690A0C77"/>
    <w:rsid w:val="69332399"/>
    <w:rsid w:val="69F0781D"/>
    <w:rsid w:val="6A31770E"/>
    <w:rsid w:val="6A904EF4"/>
    <w:rsid w:val="6AC36259"/>
    <w:rsid w:val="6B036F9E"/>
    <w:rsid w:val="6B0D5581"/>
    <w:rsid w:val="6BB3513A"/>
    <w:rsid w:val="6BB438E6"/>
    <w:rsid w:val="6BDB0B98"/>
    <w:rsid w:val="6BE175EE"/>
    <w:rsid w:val="6C9C7F3A"/>
    <w:rsid w:val="6CE35466"/>
    <w:rsid w:val="6CEA21AA"/>
    <w:rsid w:val="6D18288B"/>
    <w:rsid w:val="6DA20B8F"/>
    <w:rsid w:val="6E0F6C5C"/>
    <w:rsid w:val="6E182A45"/>
    <w:rsid w:val="6EFE5FC0"/>
    <w:rsid w:val="6FC82564"/>
    <w:rsid w:val="6FFF72EA"/>
    <w:rsid w:val="700A66D9"/>
    <w:rsid w:val="70781894"/>
    <w:rsid w:val="70BE47CD"/>
    <w:rsid w:val="70D42484"/>
    <w:rsid w:val="70DB79BE"/>
    <w:rsid w:val="70EF0AA9"/>
    <w:rsid w:val="70F35744"/>
    <w:rsid w:val="7169570C"/>
    <w:rsid w:val="71A15E84"/>
    <w:rsid w:val="71CF2AD2"/>
    <w:rsid w:val="71DC0F04"/>
    <w:rsid w:val="72290710"/>
    <w:rsid w:val="72D2272D"/>
    <w:rsid w:val="72DC330D"/>
    <w:rsid w:val="72FD0B80"/>
    <w:rsid w:val="737D3F28"/>
    <w:rsid w:val="73A500A2"/>
    <w:rsid w:val="73C60B68"/>
    <w:rsid w:val="742319A8"/>
    <w:rsid w:val="74361FBE"/>
    <w:rsid w:val="74A569D0"/>
    <w:rsid w:val="74DE7631"/>
    <w:rsid w:val="75183A02"/>
    <w:rsid w:val="75250297"/>
    <w:rsid w:val="762D4ECF"/>
    <w:rsid w:val="767C33B3"/>
    <w:rsid w:val="76832520"/>
    <w:rsid w:val="775D59E8"/>
    <w:rsid w:val="78330DE6"/>
    <w:rsid w:val="78BE42CB"/>
    <w:rsid w:val="78FF2EC3"/>
    <w:rsid w:val="79073D34"/>
    <w:rsid w:val="796F302B"/>
    <w:rsid w:val="79B54849"/>
    <w:rsid w:val="79C405E2"/>
    <w:rsid w:val="7A85352B"/>
    <w:rsid w:val="7A863148"/>
    <w:rsid w:val="7A867083"/>
    <w:rsid w:val="7AD7263A"/>
    <w:rsid w:val="7AF11FF0"/>
    <w:rsid w:val="7B9B1896"/>
    <w:rsid w:val="7BC538FC"/>
    <w:rsid w:val="7C007C10"/>
    <w:rsid w:val="7C0F2D6B"/>
    <w:rsid w:val="7C1B0B4C"/>
    <w:rsid w:val="7CC74F52"/>
    <w:rsid w:val="7CE14795"/>
    <w:rsid w:val="7CF84488"/>
    <w:rsid w:val="7D3E79C1"/>
    <w:rsid w:val="7DC25F80"/>
    <w:rsid w:val="7DC44AEB"/>
    <w:rsid w:val="7DD06FB5"/>
    <w:rsid w:val="7DD24843"/>
    <w:rsid w:val="7DFE3170"/>
    <w:rsid w:val="7E111572"/>
    <w:rsid w:val="7E130E76"/>
    <w:rsid w:val="7E3F667C"/>
    <w:rsid w:val="7EAB445D"/>
    <w:rsid w:val="7F4C0FB5"/>
    <w:rsid w:val="7F5371B2"/>
    <w:rsid w:val="7F9E3ADD"/>
    <w:rsid w:val="7FA62B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37"/>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7">
    <w:name w:val="index 8"/>
    <w:basedOn w:val="1"/>
    <w:next w:val="1"/>
    <w:qFormat/>
    <w:uiPriority w:val="0"/>
    <w:pPr>
      <w:ind w:left="2940"/>
    </w:pPr>
  </w:style>
  <w:style w:type="paragraph" w:styleId="8">
    <w:name w:val="Normal Indent"/>
    <w:basedOn w:val="1"/>
    <w:qFormat/>
    <w:uiPriority w:val="0"/>
    <w:pPr>
      <w:ind w:firstLine="420"/>
    </w:pPr>
    <w:rPr>
      <w:rFonts w:ascii="Times New Roman" w:hAnsi="Times New Roman" w:eastAsia="宋体" w:cs="Times New Roman"/>
      <w:szCs w:val="20"/>
    </w:rPr>
  </w:style>
  <w:style w:type="paragraph" w:styleId="9">
    <w:name w:val="annotation text"/>
    <w:basedOn w:val="1"/>
    <w:qFormat/>
    <w:uiPriority w:val="0"/>
    <w:pPr>
      <w:jc w:val="left"/>
    </w:pPr>
  </w:style>
  <w:style w:type="paragraph" w:styleId="10">
    <w:name w:val="Body Text"/>
    <w:basedOn w:val="1"/>
    <w:next w:val="1"/>
    <w:qFormat/>
    <w:uiPriority w:val="0"/>
  </w:style>
  <w:style w:type="paragraph" w:styleId="11">
    <w:name w:val="Body Text Indent"/>
    <w:basedOn w:val="1"/>
    <w:next w:val="12"/>
    <w:qFormat/>
    <w:uiPriority w:val="0"/>
    <w:pPr>
      <w:spacing w:after="120"/>
      <w:ind w:left="420" w:leftChars="200"/>
    </w:pPr>
  </w:style>
  <w:style w:type="paragraph" w:styleId="12">
    <w:name w:val="annotation subject"/>
    <w:basedOn w:val="9"/>
    <w:next w:val="9"/>
    <w:qFormat/>
    <w:uiPriority w:val="0"/>
    <w:rPr>
      <w:rFonts w:ascii="Times New Roman" w:hAnsi="Times New Roman" w:eastAsia="宋体" w:cs="Times New Roman"/>
      <w:b/>
      <w:bCs/>
    </w:rPr>
  </w:style>
  <w:style w:type="paragraph" w:styleId="13">
    <w:name w:val="toc 3"/>
    <w:basedOn w:val="1"/>
    <w:next w:val="1"/>
    <w:unhideWhenUsed/>
    <w:qFormat/>
    <w:uiPriority w:val="39"/>
    <w:pPr>
      <w:ind w:left="840" w:leftChars="400"/>
    </w:pPr>
  </w:style>
  <w:style w:type="paragraph" w:styleId="14">
    <w:name w:val="Plain Text"/>
    <w:basedOn w:val="1"/>
    <w:next w:val="7"/>
    <w:qFormat/>
    <w:uiPriority w:val="99"/>
    <w:rPr>
      <w:rFonts w:ascii="宋体" w:hAnsi="Courier New"/>
      <w:szCs w:val="20"/>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2">
    <w:name w:val="Body Text First Indent 2"/>
    <w:basedOn w:val="11"/>
    <w:next w:val="1"/>
    <w:unhideWhenUsed/>
    <w:qFormat/>
    <w:uiPriority w:val="99"/>
    <w:pPr>
      <w:ind w:firstLine="420" w:firstLineChars="200"/>
    </w:p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FollowedHyperlink"/>
    <w:basedOn w:val="25"/>
    <w:qFormat/>
    <w:uiPriority w:val="0"/>
    <w:rPr>
      <w:color w:val="800080"/>
      <w:u w:val="none"/>
    </w:rPr>
  </w:style>
  <w:style w:type="character" w:styleId="28">
    <w:name w:val="Emphasis"/>
    <w:basedOn w:val="25"/>
    <w:qFormat/>
    <w:uiPriority w:val="0"/>
  </w:style>
  <w:style w:type="character" w:styleId="29">
    <w:name w:val="Hyperlink"/>
    <w:basedOn w:val="25"/>
    <w:qFormat/>
    <w:uiPriority w:val="0"/>
    <w:rPr>
      <w:color w:val="0000FF"/>
      <w:u w:val="none"/>
    </w:rPr>
  </w:style>
  <w:style w:type="character" w:styleId="30">
    <w:name w:val="annotation reference"/>
    <w:semiHidden/>
    <w:qFormat/>
    <w:uiPriority w:val="0"/>
    <w:rPr>
      <w:rFonts w:ascii="Tahoma" w:hAnsi="Tahoma"/>
      <w:sz w:val="21"/>
      <w:szCs w:val="21"/>
    </w:rPr>
  </w:style>
  <w:style w:type="character" w:styleId="31">
    <w:name w:val="footnote reference"/>
    <w:basedOn w:val="25"/>
    <w:qFormat/>
    <w:uiPriority w:val="0"/>
    <w:rPr>
      <w:vertAlign w:val="superscript"/>
    </w:rPr>
  </w:style>
  <w:style w:type="paragraph" w:customStyle="1" w:styleId="3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表格文字"/>
    <w:basedOn w:val="1"/>
    <w:qFormat/>
    <w:uiPriority w:val="0"/>
    <w:pPr>
      <w:jc w:val="left"/>
    </w:pPr>
    <w:rPr>
      <w:bCs/>
      <w:spacing w:val="10"/>
      <w:kern w:val="0"/>
    </w:rPr>
  </w:style>
  <w:style w:type="paragraph" w:customStyle="1" w:styleId="34">
    <w:name w:val="BodyText"/>
    <w:basedOn w:val="1"/>
    <w:next w:val="1"/>
    <w:qFormat/>
    <w:uiPriority w:val="0"/>
    <w:pPr>
      <w:spacing w:line="380" w:lineRule="exact"/>
    </w:pPr>
    <w:rPr>
      <w:sz w:val="24"/>
    </w:rPr>
  </w:style>
  <w:style w:type="paragraph" w:customStyle="1" w:styleId="35">
    <w:name w:val="footer1"/>
    <w:basedOn w:val="1"/>
    <w:qFormat/>
    <w:uiPriority w:val="0"/>
    <w:pPr>
      <w:tabs>
        <w:tab w:val="center" w:pos="4153"/>
        <w:tab w:val="right" w:pos="8306"/>
      </w:tabs>
      <w:snapToGrid w:val="0"/>
      <w:jc w:val="left"/>
    </w:pPr>
    <w:rPr>
      <w:rFonts w:ascii="Calibri" w:hAnsi="Calibri"/>
      <w:sz w:val="18"/>
    </w:rPr>
  </w:style>
  <w:style w:type="paragraph" w:styleId="36">
    <w:name w:val="List Paragraph"/>
    <w:basedOn w:val="1"/>
    <w:qFormat/>
    <w:uiPriority w:val="99"/>
    <w:pPr>
      <w:ind w:firstLine="420" w:firstLineChars="200"/>
    </w:pPr>
    <w:rPr>
      <w:rFonts w:ascii="Times New Roman" w:hAnsi="Times New Roman"/>
    </w:rPr>
  </w:style>
  <w:style w:type="character" w:customStyle="1" w:styleId="37">
    <w:name w:val="标题 3 字符"/>
    <w:link w:val="5"/>
    <w:qFormat/>
    <w:uiPriority w:val="0"/>
    <w:rPr>
      <w:rFonts w:ascii="Calibri" w:hAnsi="Calibri" w:eastAsia="宋体"/>
      <w:b/>
      <w:sz w:val="32"/>
    </w:rPr>
  </w:style>
  <w:style w:type="character" w:customStyle="1" w:styleId="38">
    <w:name w:val="NormalCharacter"/>
    <w:qFormat/>
    <w:uiPriority w:val="0"/>
  </w:style>
  <w:style w:type="character" w:customStyle="1" w:styleId="39">
    <w:name w:val="font41"/>
    <w:basedOn w:val="25"/>
    <w:qFormat/>
    <w:uiPriority w:val="0"/>
    <w:rPr>
      <w:rFonts w:hint="eastAsia" w:ascii="宋体" w:hAnsi="宋体" w:eastAsia="宋体" w:cs="宋体"/>
      <w:color w:val="FF0000"/>
      <w:sz w:val="24"/>
      <w:szCs w:val="24"/>
      <w:u w:val="none"/>
    </w:rPr>
  </w:style>
  <w:style w:type="paragraph" w:customStyle="1" w:styleId="40">
    <w:name w:val="UserStyle_0"/>
    <w:basedOn w:val="1"/>
    <w:qFormat/>
    <w:uiPriority w:val="0"/>
    <w:pPr>
      <w:jc w:val="left"/>
      <w:textAlignment w:val="baseline"/>
    </w:pPr>
    <w:rPr>
      <w:rFonts w:ascii="Times New Roman" w:hAnsi="Times New Roman" w:cs="Times New Roman"/>
      <w:bCs/>
      <w:spacing w:val="10"/>
      <w:kern w:val="0"/>
      <w:sz w:val="21"/>
      <w:szCs w:val="24"/>
      <w:lang w:val="en-US" w:eastAsia="zh-CN" w:bidi="ar-SA"/>
    </w:rPr>
  </w:style>
  <w:style w:type="paragraph" w:customStyle="1" w:styleId="41">
    <w:name w:val="p15"/>
    <w:basedOn w:val="1"/>
    <w:qFormat/>
    <w:uiPriority w:val="99"/>
    <w:pPr>
      <w:widowControl/>
    </w:pPr>
    <w:rPr>
      <w:rFonts w:ascii="宋体" w:hAnsi="宋体"/>
      <w:kern w:val="0"/>
      <w:szCs w:val="21"/>
    </w:rPr>
  </w:style>
  <w:style w:type="character" w:customStyle="1" w:styleId="42">
    <w:name w:val="hover4"/>
    <w:basedOn w:val="25"/>
    <w:qFormat/>
    <w:uiPriority w:val="0"/>
    <w:rPr>
      <w:color w:val="315EFB"/>
    </w:rPr>
  </w:style>
  <w:style w:type="character" w:customStyle="1" w:styleId="43">
    <w:name w:val="index-module_accountauthentication_3bwix"/>
    <w:basedOn w:val="25"/>
    <w:qFormat/>
    <w:uiPriority w:val="0"/>
  </w:style>
  <w:style w:type="paragraph" w:customStyle="1" w:styleId="44">
    <w:name w:val="Char1 Char Char Char Char Char Char"/>
    <w:basedOn w:val="1"/>
    <w:qFormat/>
    <w:uiPriority w:val="0"/>
    <w:rPr>
      <w:rFonts w:ascii="Tahoma" w:hAnsi="Tahoma"/>
      <w:sz w:val="24"/>
      <w:szCs w:val="20"/>
    </w:rPr>
  </w:style>
  <w:style w:type="table" w:customStyle="1" w:styleId="45">
    <w:name w:val="网格型1"/>
    <w:basedOn w:val="2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列出段落2"/>
    <w:basedOn w:val="1"/>
    <w:qFormat/>
    <w:uiPriority w:val="34"/>
    <w:pPr>
      <w:ind w:firstLine="420" w:firstLineChars="200"/>
    </w:pPr>
    <w:rPr>
      <w:rFonts w:ascii="Calibri" w:hAnsi="Calibri"/>
      <w:szCs w:val="22"/>
    </w:rPr>
  </w:style>
  <w:style w:type="paragraph" w:customStyle="1" w:styleId="47">
    <w:name w:val="列出段落1"/>
    <w:basedOn w:val="1"/>
    <w:qFormat/>
    <w:uiPriority w:val="34"/>
    <w:pPr>
      <w:ind w:firstLine="420" w:firstLineChars="200"/>
    </w:pPr>
    <w:rPr>
      <w:rFonts w:ascii="Calibri" w:hAnsi="Calibri"/>
      <w:szCs w:val="22"/>
    </w:rPr>
  </w:style>
  <w:style w:type="paragraph" w:customStyle="1" w:styleId="48">
    <w:name w:val="_Style 2"/>
    <w:qFormat/>
    <w:uiPriority w:val="1"/>
    <w:rPr>
      <w:rFonts w:ascii="Times New Roman" w:hAnsi="Times New Roman" w:eastAsia="宋体" w:cs="Times New Roman"/>
      <w:sz w:val="22"/>
      <w:szCs w:val="22"/>
      <w:lang w:val="en-US" w:eastAsia="zh-CN" w:bidi="ar-SA"/>
    </w:rPr>
  </w:style>
  <w:style w:type="character" w:customStyle="1" w:styleId="49">
    <w:name w:val="font31"/>
    <w:basedOn w:val="25"/>
    <w:qFormat/>
    <w:uiPriority w:val="0"/>
    <w:rPr>
      <w:rFonts w:hint="eastAsia" w:ascii="宋体" w:hAnsi="宋体" w:eastAsia="宋体" w:cs="宋体"/>
      <w:color w:val="000000"/>
      <w:sz w:val="20"/>
      <w:szCs w:val="20"/>
      <w:u w:val="none"/>
    </w:rPr>
  </w:style>
  <w:style w:type="paragraph" w:customStyle="1" w:styleId="50">
    <w:name w:val="_Style 3"/>
    <w:basedOn w:val="1"/>
    <w:qFormat/>
    <w:uiPriority w:val="99"/>
    <w:pPr>
      <w:ind w:firstLine="420" w:firstLineChars="200"/>
    </w:pPr>
  </w:style>
  <w:style w:type="paragraph" w:customStyle="1" w:styleId="51">
    <w:name w:val="Body text|1"/>
    <w:qFormat/>
    <w:uiPriority w:val="0"/>
    <w:pPr>
      <w:widowControl w:val="0"/>
      <w:spacing w:line="350" w:lineRule="auto"/>
      <w:ind w:firstLine="400"/>
      <w:jc w:val="left"/>
    </w:pPr>
    <w:rPr>
      <w:rFonts w:ascii="宋体" w:hAnsi="宋体" w:eastAsia="宋体" w:cs="宋体"/>
      <w:kern w:val="0"/>
      <w:sz w:val="30"/>
      <w:szCs w:val="30"/>
      <w:lang w:val="en-US" w:eastAsia="zh-CN" w:bidi="ar-SA"/>
    </w:rPr>
  </w:style>
  <w:style w:type="paragraph" w:customStyle="1" w:styleId="5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27919</Words>
  <Characters>30418</Characters>
  <Lines>0</Lines>
  <Paragraphs>0</Paragraphs>
  <TotalTime>36</TotalTime>
  <ScaleCrop>false</ScaleCrop>
  <LinksUpToDate>false</LinksUpToDate>
  <CharactersWithSpaces>31034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张DM</cp:lastModifiedBy>
  <dcterms:modified xsi:type="dcterms:W3CDTF">2026-04-29T02:16:14Z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94DB574207BA4DB79E473CB569FD2232_13</vt:lpwstr>
  </property>
  <property fmtid="{D5CDD505-2E9C-101B-9397-08002B2CF9AE}" pid="4" name="commondata">
    <vt:lpwstr>eyJoZGlkIjoiZGVjMTNlODU2YmY3ZjAyYWE0NGE3NmJjZTdiMTE4ZDcifQ==</vt:lpwstr>
  </property>
  <property fmtid="{D5CDD505-2E9C-101B-9397-08002B2CF9AE}" pid="5" name="KSOTemplateDocerSaveRecord">
    <vt:lpwstr>eyJoZGlkIjoiZTg5N2I0NzYxNzU0YjNiOTM5Mzg5NzAyNWEwM2U0MWUifQ==</vt:lpwstr>
  </property>
</Properties>
</file>