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52"/>
          <w:highlight w:val="none"/>
          <w:lang w:val="en-US" w:eastAsia="zh-CN"/>
        </w:rPr>
      </w:pPr>
      <w:r>
        <w:rPr>
          <w:rFonts w:hint="eastAsia" w:ascii="宋体" w:hAnsi="宋体" w:eastAsia="宋体" w:cs="宋体"/>
          <w:b/>
          <w:color w:val="auto"/>
          <w:sz w:val="52"/>
          <w:highlight w:val="none"/>
          <w:lang w:val="en-US" w:eastAsia="zh-CN"/>
        </w:rPr>
        <w:t xml:space="preserve"> 防城港市政府采购中心</w:t>
      </w:r>
    </w:p>
    <w:p>
      <w:pPr>
        <w:jc w:val="center"/>
        <w:rPr>
          <w:rFonts w:hint="eastAsia" w:ascii="宋体" w:hAnsi="宋体" w:eastAsia="宋体" w:cs="宋体"/>
          <w:b/>
          <w:color w:val="auto"/>
          <w:sz w:val="52"/>
          <w:highlight w:val="none"/>
          <w:lang w:val="en-US" w:eastAsia="zh-CN"/>
        </w:rPr>
      </w:pPr>
    </w:p>
    <w:p>
      <w:pPr>
        <w:pStyle w:val="15"/>
        <w:rPr>
          <w:rFonts w:ascii="宋体" w:hAnsi="宋体" w:cs="宋体"/>
          <w:b/>
          <w:bCs/>
          <w:color w:val="auto"/>
          <w:sz w:val="52"/>
          <w:szCs w:val="52"/>
          <w:highlight w:val="none"/>
        </w:rPr>
      </w:pPr>
    </w:p>
    <w:p>
      <w:pPr>
        <w:pStyle w:val="15"/>
        <w:rPr>
          <w:rFonts w:ascii="宋体" w:hAnsi="宋体" w:cs="宋体"/>
          <w:b/>
          <w:bCs/>
          <w:color w:val="auto"/>
          <w:sz w:val="52"/>
          <w:szCs w:val="52"/>
          <w:highlight w:val="none"/>
        </w:rPr>
      </w:pPr>
    </w:p>
    <w:p>
      <w:pPr>
        <w:spacing w:beforeLines="100" w:afterLines="50"/>
        <w:jc w:val="center"/>
        <w:rPr>
          <w:rFonts w:hint="eastAsia" w:ascii="宋体" w:hAnsi="宋体" w:cs="宋体"/>
          <w:b/>
          <w:color w:val="auto"/>
          <w:spacing w:val="93"/>
          <w:sz w:val="72"/>
          <w:szCs w:val="72"/>
          <w:highlight w:val="none"/>
        </w:rPr>
      </w:pPr>
      <w:r>
        <w:rPr>
          <w:rFonts w:hint="eastAsia" w:ascii="宋体" w:hAnsi="宋体" w:cs="宋体"/>
          <w:b/>
          <w:color w:val="auto"/>
          <w:spacing w:val="93"/>
          <w:sz w:val="72"/>
          <w:szCs w:val="72"/>
          <w:highlight w:val="none"/>
        </w:rPr>
        <w:t>公开招标文件</w:t>
      </w:r>
    </w:p>
    <w:p>
      <w:pPr>
        <w:spacing w:beforeLines="100" w:afterLines="50"/>
        <w:jc w:val="center"/>
        <w:rPr>
          <w:rFonts w:ascii="宋体" w:hAnsi="宋体" w:cs="宋体"/>
          <w:color w:val="auto"/>
          <w:sz w:val="40"/>
          <w:szCs w:val="40"/>
          <w:highlight w:val="none"/>
        </w:rPr>
      </w:pPr>
      <w:r>
        <w:rPr>
          <w:rFonts w:hint="eastAsia" w:ascii="宋体" w:hAnsi="宋体" w:cs="宋体"/>
          <w:color w:val="auto"/>
          <w:sz w:val="40"/>
          <w:szCs w:val="40"/>
          <w:highlight w:val="none"/>
        </w:rPr>
        <w:t>（全流程电子化采购）</w:t>
      </w: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jc w:val="both"/>
        <w:rPr>
          <w:rFonts w:hint="default" w:ascii="宋体" w:hAnsi="宋体" w:cs="宋体" w:eastAsiaTheme="minorEastAsia"/>
          <w:b/>
          <w:bCs/>
          <w:color w:val="auto"/>
          <w:sz w:val="32"/>
          <w:szCs w:val="32"/>
          <w:highlight w:val="none"/>
          <w:u w:val="singl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t>防城港职业技术学院物业服务采购</w:t>
      </w:r>
    </w:p>
    <w:p>
      <w:pPr>
        <w:jc w:val="both"/>
        <w:rPr>
          <w:rFonts w:hint="default" w:ascii="宋体" w:hAnsi="宋体" w:cs="宋体" w:eastAsiaTheme="minorEastAsia"/>
          <w:b/>
          <w:bCs/>
          <w:color w:val="auto"/>
          <w:sz w:val="32"/>
          <w:szCs w:val="32"/>
          <w:highlight w:val="none"/>
          <w:lang w:val="en-US" w:eastAsia="zh-CN"/>
        </w:rPr>
      </w:pPr>
      <w:r>
        <w:rPr>
          <w:rFonts w:hint="eastAsia" w:ascii="宋体" w:hAnsi="宋体" w:cs="宋体"/>
          <w:b/>
          <w:bCs/>
          <w:color w:val="auto"/>
          <w:sz w:val="32"/>
          <w:szCs w:val="32"/>
          <w:highlight w:val="none"/>
        </w:rPr>
        <w:t>项目编号：FCZC2026-G3-990027-FCGS</w:t>
      </w:r>
    </w:p>
    <w:p>
      <w:pPr>
        <w:jc w:val="both"/>
        <w:rPr>
          <w:rFonts w:ascii="宋体" w:hAnsi="宋体" w:cs="宋体"/>
          <w:color w:val="auto"/>
          <w:sz w:val="32"/>
          <w:szCs w:val="32"/>
          <w:highlight w:val="none"/>
        </w:rPr>
      </w:pPr>
    </w:p>
    <w:p>
      <w:pPr>
        <w:rPr>
          <w:rFonts w:ascii="宋体" w:hAnsi="宋体" w:cs="宋体"/>
          <w:color w:val="auto"/>
          <w:sz w:val="32"/>
          <w:szCs w:val="32"/>
          <w:highlight w:val="none"/>
        </w:rPr>
      </w:pPr>
    </w:p>
    <w:p>
      <w:pPr>
        <w:pStyle w:val="15"/>
        <w:rPr>
          <w:rFonts w:hint="default" w:ascii="宋体" w:hAnsi="宋体" w:cs="宋体" w:eastAsiaTheme="minorEastAsia"/>
          <w:b/>
          <w:bCs/>
          <w:color w:val="auto"/>
          <w:kern w:val="2"/>
          <w:sz w:val="32"/>
          <w:szCs w:val="32"/>
          <w:highlight w:val="none"/>
          <w:u w:val="none"/>
          <w:lang w:val="en-US" w:eastAsia="zh-CN" w:bidi="ar-SA"/>
        </w:rPr>
      </w:pPr>
      <w:r>
        <w:rPr>
          <w:rFonts w:hint="eastAsia" w:ascii="宋体" w:hAnsi="宋体" w:cs="宋体" w:eastAsiaTheme="minorEastAsia"/>
          <w:b/>
          <w:bCs/>
          <w:color w:val="auto"/>
          <w:kern w:val="2"/>
          <w:sz w:val="32"/>
          <w:szCs w:val="32"/>
          <w:highlight w:val="none"/>
          <w:u w:val="none"/>
          <w:lang w:val="en-US" w:eastAsia="zh-CN" w:bidi="ar-SA"/>
        </w:rPr>
        <w:t xml:space="preserve">采 </w:t>
      </w:r>
      <w:r>
        <w:rPr>
          <w:rFonts w:hint="eastAsia" w:ascii="宋体" w:hAnsi="宋体" w:cs="宋体"/>
          <w:b/>
          <w:bCs/>
          <w:color w:val="auto"/>
          <w:kern w:val="2"/>
          <w:sz w:val="32"/>
          <w:szCs w:val="32"/>
          <w:highlight w:val="none"/>
          <w:u w:val="none"/>
          <w:lang w:val="en-US" w:eastAsia="zh-CN" w:bidi="ar-SA"/>
        </w:rPr>
        <w:t xml:space="preserve">  </w:t>
      </w:r>
      <w:r>
        <w:rPr>
          <w:rFonts w:hint="eastAsia" w:ascii="宋体" w:hAnsi="宋体" w:cs="宋体" w:eastAsiaTheme="minorEastAsia"/>
          <w:b/>
          <w:bCs/>
          <w:color w:val="auto"/>
          <w:kern w:val="2"/>
          <w:sz w:val="32"/>
          <w:szCs w:val="32"/>
          <w:highlight w:val="none"/>
          <w:u w:val="none"/>
          <w:lang w:val="en-US" w:eastAsia="zh-CN" w:bidi="ar-SA"/>
        </w:rPr>
        <w:t xml:space="preserve">购 </w:t>
      </w:r>
      <w:r>
        <w:rPr>
          <w:rFonts w:hint="eastAsia" w:ascii="宋体" w:hAnsi="宋体" w:cs="宋体"/>
          <w:b/>
          <w:bCs/>
          <w:color w:val="auto"/>
          <w:kern w:val="2"/>
          <w:sz w:val="32"/>
          <w:szCs w:val="32"/>
          <w:highlight w:val="none"/>
          <w:u w:val="none"/>
          <w:lang w:val="en-US" w:eastAsia="zh-CN" w:bidi="ar-SA"/>
        </w:rPr>
        <w:t xml:space="preserve"> </w:t>
      </w:r>
      <w:r>
        <w:rPr>
          <w:rFonts w:hint="eastAsia" w:ascii="宋体" w:hAnsi="宋体" w:cs="宋体" w:eastAsiaTheme="minorEastAsia"/>
          <w:b/>
          <w:bCs/>
          <w:color w:val="auto"/>
          <w:kern w:val="2"/>
          <w:sz w:val="32"/>
          <w:szCs w:val="32"/>
          <w:highlight w:val="none"/>
          <w:u w:val="none"/>
          <w:lang w:val="en-US" w:eastAsia="zh-CN" w:bidi="ar-SA"/>
        </w:rPr>
        <w:t>人</w:t>
      </w:r>
      <w:r>
        <w:rPr>
          <w:rFonts w:hint="eastAsia" w:ascii="宋体" w:hAnsi="宋体" w:cs="宋体"/>
          <w:b/>
          <w:bCs/>
          <w:color w:val="auto"/>
          <w:kern w:val="2"/>
          <w:sz w:val="32"/>
          <w:szCs w:val="32"/>
          <w:highlight w:val="none"/>
          <w:u w:val="none"/>
          <w:lang w:val="en-US" w:eastAsia="zh-CN" w:bidi="ar-SA"/>
        </w:rPr>
        <w:t xml:space="preserve"> </w:t>
      </w:r>
      <w:r>
        <w:rPr>
          <w:rFonts w:hint="eastAsia" w:ascii="宋体" w:hAnsi="宋体" w:cs="宋体" w:eastAsiaTheme="minorEastAsia"/>
          <w:b/>
          <w:bCs/>
          <w:color w:val="auto"/>
          <w:kern w:val="2"/>
          <w:sz w:val="32"/>
          <w:szCs w:val="32"/>
          <w:highlight w:val="none"/>
          <w:u w:val="none"/>
          <w:lang w:val="en-US" w:eastAsia="zh-CN" w:bidi="ar-SA"/>
        </w:rPr>
        <w:t>：</w:t>
      </w:r>
      <w:r>
        <w:rPr>
          <w:rFonts w:hint="eastAsia" w:ascii="宋体" w:hAnsi="宋体" w:cs="宋体"/>
          <w:b/>
          <w:bCs/>
          <w:color w:val="auto"/>
          <w:kern w:val="2"/>
          <w:sz w:val="32"/>
          <w:szCs w:val="32"/>
          <w:highlight w:val="none"/>
          <w:u w:val="none"/>
          <w:lang w:val="en-US" w:eastAsia="zh-CN" w:bidi="ar-SA"/>
        </w:rPr>
        <w:t>防城港职业技术学院</w:t>
      </w:r>
    </w:p>
    <w:p>
      <w:pPr>
        <w:pStyle w:val="15"/>
        <w:ind w:left="2249" w:hanging="2249" w:hangingChars="700"/>
        <w:rPr>
          <w:rFonts w:hint="eastAsia" w:ascii="宋体" w:hAnsi="宋体" w:cs="宋体" w:eastAsiaTheme="minorEastAsia"/>
          <w:b/>
          <w:bCs/>
          <w:color w:val="auto"/>
          <w:kern w:val="2"/>
          <w:sz w:val="32"/>
          <w:szCs w:val="32"/>
          <w:highlight w:val="none"/>
          <w:u w:val="none"/>
          <w:lang w:val="en-US" w:eastAsia="zh-CN" w:bidi="ar-SA"/>
        </w:rPr>
      </w:pPr>
      <w:r>
        <w:rPr>
          <w:rFonts w:hint="eastAsia" w:ascii="宋体" w:hAnsi="宋体" w:cs="宋体" w:eastAsiaTheme="minorEastAsia"/>
          <w:b/>
          <w:bCs/>
          <w:color w:val="auto"/>
          <w:kern w:val="2"/>
          <w:sz w:val="32"/>
          <w:szCs w:val="32"/>
          <w:highlight w:val="none"/>
          <w:u w:val="none"/>
          <w:lang w:val="en-US" w:eastAsia="zh-CN" w:bidi="ar-SA"/>
        </w:rPr>
        <w:t>采购代理机构：防城港市政府采购中心</w:t>
      </w:r>
    </w:p>
    <w:p>
      <w:pPr>
        <w:rPr>
          <w:rFonts w:hint="eastAsia"/>
          <w:color w:val="auto"/>
          <w:highlight w:val="none"/>
          <w:lang w:val="en-US" w:eastAsia="zh-CN"/>
        </w:rPr>
      </w:pPr>
    </w:p>
    <w:p>
      <w:pPr>
        <w:pStyle w:val="15"/>
        <w:rPr>
          <w:rFonts w:hint="eastAsia"/>
          <w:color w:val="auto"/>
          <w:highlight w:val="none"/>
          <w:lang w:val="en-US" w:eastAsia="zh-CN"/>
        </w:rPr>
      </w:pPr>
    </w:p>
    <w:p>
      <w:pPr>
        <w:pStyle w:val="15"/>
        <w:jc w:val="center"/>
        <w:rPr>
          <w:rFonts w:hint="eastAsia" w:ascii="宋体" w:hAnsi="宋体" w:cs="宋体" w:eastAsiaTheme="minorEastAsia"/>
          <w:b/>
          <w:bCs/>
          <w:color w:val="auto"/>
          <w:kern w:val="2"/>
          <w:sz w:val="32"/>
          <w:szCs w:val="32"/>
          <w:highlight w:val="none"/>
          <w:lang w:val="en-US" w:eastAsia="zh-CN" w:bidi="ar-SA"/>
        </w:rPr>
      </w:pPr>
      <w:r>
        <w:rPr>
          <w:rFonts w:hint="eastAsia" w:ascii="宋体" w:hAnsi="宋体" w:cs="宋体" w:eastAsiaTheme="minorEastAsia"/>
          <w:b/>
          <w:bCs/>
          <w:color w:val="auto"/>
          <w:kern w:val="2"/>
          <w:sz w:val="32"/>
          <w:szCs w:val="32"/>
          <w:highlight w:val="none"/>
          <w:lang w:val="en-US" w:eastAsia="zh-CN" w:bidi="ar-SA"/>
        </w:rPr>
        <w:t>202</w:t>
      </w:r>
      <w:r>
        <w:rPr>
          <w:rFonts w:hint="eastAsia" w:ascii="宋体" w:hAnsi="宋体" w:cs="宋体"/>
          <w:b/>
          <w:bCs/>
          <w:color w:val="auto"/>
          <w:kern w:val="2"/>
          <w:sz w:val="32"/>
          <w:szCs w:val="32"/>
          <w:highlight w:val="none"/>
          <w:lang w:val="en-US" w:eastAsia="zh-CN" w:bidi="ar-SA"/>
        </w:rPr>
        <w:t>6</w:t>
      </w:r>
      <w:r>
        <w:rPr>
          <w:rFonts w:hint="eastAsia" w:ascii="宋体" w:hAnsi="宋体" w:cs="宋体" w:eastAsiaTheme="minorEastAsia"/>
          <w:b/>
          <w:bCs/>
          <w:color w:val="auto"/>
          <w:kern w:val="2"/>
          <w:sz w:val="32"/>
          <w:szCs w:val="32"/>
          <w:highlight w:val="none"/>
          <w:lang w:val="en-US" w:eastAsia="zh-CN" w:bidi="ar-SA"/>
        </w:rPr>
        <w:t>年</w:t>
      </w:r>
      <w:r>
        <w:rPr>
          <w:rFonts w:hint="eastAsia" w:ascii="宋体" w:hAnsi="宋体" w:cs="宋体"/>
          <w:b/>
          <w:bCs/>
          <w:color w:val="auto"/>
          <w:kern w:val="2"/>
          <w:sz w:val="32"/>
          <w:szCs w:val="32"/>
          <w:highlight w:val="none"/>
          <w:lang w:val="en-US" w:eastAsia="zh-CN" w:bidi="ar-SA"/>
        </w:rPr>
        <w:t>4</w:t>
      </w:r>
      <w:r>
        <w:rPr>
          <w:rFonts w:hint="eastAsia" w:ascii="宋体" w:hAnsi="宋体" w:cs="宋体" w:eastAsiaTheme="minorEastAsia"/>
          <w:b/>
          <w:bCs/>
          <w:color w:val="auto"/>
          <w:kern w:val="2"/>
          <w:sz w:val="32"/>
          <w:szCs w:val="32"/>
          <w:highlight w:val="none"/>
          <w:lang w:val="en-US" w:eastAsia="zh-CN" w:bidi="ar-SA"/>
        </w:rPr>
        <w:t>月</w:t>
      </w:r>
      <w:r>
        <w:rPr>
          <w:rFonts w:hint="eastAsia" w:ascii="宋体" w:hAnsi="宋体" w:cs="宋体"/>
          <w:b/>
          <w:bCs/>
          <w:color w:val="auto"/>
          <w:kern w:val="2"/>
          <w:sz w:val="32"/>
          <w:szCs w:val="32"/>
          <w:highlight w:val="none"/>
          <w:lang w:val="en-US" w:eastAsia="zh-CN" w:bidi="ar-SA"/>
        </w:rPr>
        <w:t>2</w:t>
      </w:r>
      <w:r>
        <w:rPr>
          <w:rFonts w:hint="eastAsia" w:ascii="宋体" w:hAnsi="宋体" w:cs="宋体" w:eastAsiaTheme="minorEastAsia"/>
          <w:b/>
          <w:bCs/>
          <w:color w:val="auto"/>
          <w:kern w:val="2"/>
          <w:sz w:val="32"/>
          <w:szCs w:val="32"/>
          <w:highlight w:val="none"/>
          <w:lang w:val="en-US" w:eastAsia="zh-CN" w:bidi="ar-SA"/>
        </w:rPr>
        <w:t>日</w:t>
      </w:r>
    </w:p>
    <w:p>
      <w:pPr>
        <w:rPr>
          <w:rFonts w:hint="eastAsia" w:ascii="宋体" w:hAnsi="宋体" w:cs="宋体" w:eastAsiaTheme="minorEastAsia"/>
          <w:b/>
          <w:bCs/>
          <w:color w:val="auto"/>
          <w:kern w:val="2"/>
          <w:sz w:val="32"/>
          <w:szCs w:val="32"/>
          <w:highlight w:val="none"/>
          <w:lang w:val="en-US" w:eastAsia="zh-CN" w:bidi="ar-SA"/>
        </w:rPr>
      </w:pPr>
    </w:p>
    <w:p>
      <w:pPr>
        <w:pStyle w:val="13"/>
        <w:pageBreakBefore w:val="0"/>
        <w:kinsoku/>
        <w:overflowPunct/>
        <w:topLinePunct w:val="0"/>
        <w:bidi w:val="0"/>
        <w:spacing w:before="120" w:after="120" w:line="240" w:lineRule="auto"/>
        <w:jc w:val="center"/>
        <w:rPr>
          <w:rFonts w:hint="eastAsia" w:ascii="宋体" w:hAnsi="宋体" w:eastAsia="宋体" w:cs="宋体"/>
          <w:b/>
          <w:color w:val="auto"/>
          <w:sz w:val="21"/>
          <w:szCs w:val="21"/>
          <w:highlight w:val="none"/>
        </w:rPr>
        <w:sectPr>
          <w:pgSz w:w="11906" w:h="16838"/>
          <w:pgMar w:top="1440" w:right="1800" w:bottom="1440" w:left="1800" w:header="851" w:footer="992" w:gutter="0"/>
          <w:cols w:space="425" w:num="1"/>
          <w:docGrid w:type="lines" w:linePitch="312" w:charSpace="0"/>
        </w:sectPr>
      </w:pPr>
    </w:p>
    <w:p>
      <w:pPr>
        <w:pStyle w:val="13"/>
        <w:pageBreakBefore w:val="0"/>
        <w:kinsoku/>
        <w:overflowPunct/>
        <w:topLinePunct w:val="0"/>
        <w:bidi w:val="0"/>
        <w:spacing w:before="120" w:after="1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pPr>
        <w:pStyle w:val="17"/>
        <w:tabs>
          <w:tab w:val="right" w:leader="dot" w:pos="8306"/>
          <w:tab w:val="clear" w:pos="8398"/>
        </w:tabs>
        <w:rPr>
          <w:color w:val="auto"/>
          <w:highlight w:val="none"/>
        </w:rPr>
      </w:pP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TOC \o "1-2" \h \z \u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_Toc28939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40"/>
          <w:highlight w:val="none"/>
        </w:rPr>
        <w:t>公开招标公告</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1"/>
          <w:highlight w:val="none"/>
        </w:rPr>
        <w:fldChar w:fldCharType="end"/>
      </w:r>
    </w:p>
    <w:p>
      <w:pPr>
        <w:pStyle w:val="17"/>
        <w:tabs>
          <w:tab w:val="right" w:leader="dot" w:pos="8306"/>
          <w:tab w:val="clear" w:pos="8398"/>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_Toc10553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pPr>
        <w:pStyle w:val="17"/>
        <w:tabs>
          <w:tab w:val="right" w:leader="dot" w:pos="8306"/>
          <w:tab w:val="clear" w:pos="8398"/>
        </w:tabs>
        <w:rPr>
          <w:rFonts w:hint="eastAsia" w:eastAsia="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rPr>
        <w:t>第三章 投标人须知</w:t>
      </w:r>
      <w:r>
        <w:rPr>
          <w:color w:val="auto"/>
          <w:highlight w:val="none"/>
        </w:rPr>
        <w:tab/>
      </w:r>
      <w:r>
        <w:rPr>
          <w:rFonts w:hint="eastAsia" w:ascii="宋体" w:hAnsi="宋体" w:eastAsia="宋体" w:cs="宋体"/>
          <w:color w:val="auto"/>
          <w:szCs w:val="21"/>
          <w:highlight w:val="none"/>
        </w:rPr>
        <w:fldChar w:fldCharType="end"/>
      </w:r>
      <w:r>
        <w:rPr>
          <w:rFonts w:hint="eastAsia"/>
          <w:color w:val="auto"/>
          <w:highlight w:val="none"/>
          <w:lang w:val="en-US" w:eastAsia="zh-CN"/>
        </w:rPr>
        <w:t>39</w:t>
      </w:r>
    </w:p>
    <w:p>
      <w:pPr>
        <w:pStyle w:val="17"/>
        <w:tabs>
          <w:tab w:val="right" w:leader="dot" w:pos="8306"/>
          <w:tab w:val="clear" w:pos="8398"/>
        </w:tabs>
        <w:rPr>
          <w:rFonts w:hint="eastAsia" w:eastAsia="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_Toc9297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lang w:val="en-US" w:eastAsia="zh-CN"/>
        </w:rPr>
        <w:t>第四章 评标方法及评标标准</w:t>
      </w:r>
      <w:r>
        <w:rPr>
          <w:color w:val="auto"/>
          <w:highlight w:val="none"/>
        </w:rPr>
        <w:tab/>
      </w:r>
      <w:r>
        <w:rPr>
          <w:rFonts w:hint="eastAsia"/>
          <w:color w:val="auto"/>
          <w:highlight w:val="none"/>
          <w:lang w:val="en-US" w:eastAsia="zh-CN"/>
        </w:rPr>
        <w:t>5</w:t>
      </w:r>
      <w:r>
        <w:rPr>
          <w:rFonts w:hint="eastAsia" w:ascii="宋体" w:hAnsi="宋体" w:eastAsia="宋体" w:cs="宋体"/>
          <w:color w:val="auto"/>
          <w:szCs w:val="21"/>
          <w:highlight w:val="none"/>
        </w:rPr>
        <w:fldChar w:fldCharType="end"/>
      </w:r>
      <w:r>
        <w:rPr>
          <w:rFonts w:hint="eastAsia" w:eastAsia="宋体" w:cs="宋体"/>
          <w:color w:val="auto"/>
          <w:szCs w:val="21"/>
          <w:highlight w:val="none"/>
          <w:lang w:val="en-US" w:eastAsia="zh-CN"/>
        </w:rPr>
        <w:t>7</w:t>
      </w:r>
    </w:p>
    <w:p>
      <w:pPr>
        <w:pStyle w:val="17"/>
        <w:tabs>
          <w:tab w:val="right" w:leader="dot" w:pos="8306"/>
          <w:tab w:val="clear" w:pos="8398"/>
        </w:tabs>
        <w:rPr>
          <w:rFonts w:hint="eastAsia" w:eastAsia="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_Toc4121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lang w:val="en-US" w:eastAsia="zh-CN"/>
        </w:rPr>
        <w:t>第五章 拟签订的合同文本</w:t>
      </w:r>
      <w:r>
        <w:rPr>
          <w:color w:val="auto"/>
          <w:highlight w:val="none"/>
        </w:rPr>
        <w:tab/>
      </w:r>
      <w:r>
        <w:rPr>
          <w:rFonts w:hint="eastAsia"/>
          <w:color w:val="auto"/>
          <w:highlight w:val="none"/>
          <w:lang w:val="en-US" w:eastAsia="zh-CN"/>
        </w:rPr>
        <w:t>6</w:t>
      </w:r>
      <w:r>
        <w:rPr>
          <w:rFonts w:hint="eastAsia" w:ascii="宋体" w:hAnsi="宋体" w:eastAsia="宋体" w:cs="宋体"/>
          <w:color w:val="auto"/>
          <w:szCs w:val="21"/>
          <w:highlight w:val="none"/>
        </w:rPr>
        <w:fldChar w:fldCharType="end"/>
      </w:r>
      <w:r>
        <w:rPr>
          <w:rFonts w:hint="eastAsia" w:eastAsia="宋体" w:cs="宋体"/>
          <w:color w:val="auto"/>
          <w:szCs w:val="21"/>
          <w:highlight w:val="none"/>
          <w:lang w:val="en-US" w:eastAsia="zh-CN"/>
        </w:rPr>
        <w:t>7</w:t>
      </w:r>
    </w:p>
    <w:p>
      <w:pPr>
        <w:pStyle w:val="17"/>
        <w:tabs>
          <w:tab w:val="right" w:leader="dot" w:pos="8306"/>
          <w:tab w:val="clear" w:pos="8398"/>
        </w:tabs>
        <w:rPr>
          <w:rFonts w:hint="eastAsia" w:eastAsia="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_Toc16478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lang w:val="en-US" w:eastAsia="zh-CN"/>
        </w:rPr>
        <w:t>第六章 投标文件格式</w:t>
      </w:r>
      <w:r>
        <w:rPr>
          <w:color w:val="auto"/>
          <w:highlight w:val="none"/>
        </w:rPr>
        <w:tab/>
      </w:r>
      <w:r>
        <w:rPr>
          <w:rFonts w:hint="eastAsia"/>
          <w:color w:val="auto"/>
          <w:highlight w:val="none"/>
          <w:lang w:val="en-US" w:eastAsia="zh-CN"/>
        </w:rPr>
        <w:t>7</w:t>
      </w:r>
      <w:r>
        <w:rPr>
          <w:rFonts w:hint="eastAsia" w:ascii="宋体" w:hAnsi="宋体" w:eastAsia="宋体" w:cs="宋体"/>
          <w:color w:val="auto"/>
          <w:szCs w:val="21"/>
          <w:highlight w:val="none"/>
        </w:rPr>
        <w:fldChar w:fldCharType="end"/>
      </w:r>
      <w:r>
        <w:rPr>
          <w:rFonts w:hint="eastAsia" w:eastAsia="宋体" w:cs="宋体"/>
          <w:color w:val="auto"/>
          <w:szCs w:val="21"/>
          <w:highlight w:val="none"/>
          <w:lang w:val="en-US" w:eastAsia="zh-CN"/>
        </w:rPr>
        <w:t>2</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jc w:val="center"/>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
        <w:pageBreakBefore w:val="0"/>
        <w:numPr>
          <w:ilvl w:val="0"/>
          <w:numId w:val="2"/>
        </w:numPr>
        <w:tabs>
          <w:tab w:val="left" w:pos="0"/>
          <w:tab w:val="left" w:pos="3165"/>
          <w:tab w:val="center" w:pos="4153"/>
        </w:tabs>
        <w:kinsoku/>
        <w:overflowPunct/>
        <w:topLinePunct w:val="0"/>
        <w:autoSpaceDE w:val="0"/>
        <w:autoSpaceDN w:val="0"/>
        <w:bidi w:val="0"/>
        <w:adjustRightInd w:val="0"/>
        <w:spacing w:before="0" w:after="0" w:line="240" w:lineRule="auto"/>
        <w:ind w:left="0" w:leftChars="0" w:firstLine="420" w:firstLineChars="0"/>
        <w:jc w:val="center"/>
        <w:rPr>
          <w:rFonts w:hint="eastAsia" w:ascii="宋体" w:hAnsi="宋体" w:eastAsia="宋体" w:cs="宋体"/>
          <w:color w:val="auto"/>
          <w:sz w:val="21"/>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pageBreakBefore w:val="0"/>
        <w:numPr>
          <w:ilvl w:val="0"/>
          <w:numId w:val="2"/>
        </w:numPr>
        <w:tabs>
          <w:tab w:val="left" w:pos="0"/>
          <w:tab w:val="left" w:pos="3165"/>
          <w:tab w:val="center" w:pos="4153"/>
        </w:tabs>
        <w:kinsoku/>
        <w:overflowPunct/>
        <w:topLinePunct w:val="0"/>
        <w:autoSpaceDE w:val="0"/>
        <w:autoSpaceDN w:val="0"/>
        <w:bidi w:val="0"/>
        <w:adjustRightInd w:val="0"/>
        <w:spacing w:before="0" w:after="0" w:line="240" w:lineRule="auto"/>
        <w:ind w:left="0" w:leftChars="0"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40"/>
          <w:szCs w:val="40"/>
          <w:highlight w:val="none"/>
        </w:rPr>
        <w:t xml:space="preserve"> </w:t>
      </w:r>
      <w:bookmarkStart w:id="0" w:name="_Toc28939"/>
      <w:r>
        <w:rPr>
          <w:rFonts w:hint="eastAsia" w:ascii="宋体" w:hAnsi="宋体" w:eastAsia="宋体" w:cs="宋体"/>
          <w:color w:val="auto"/>
          <w:sz w:val="40"/>
          <w:szCs w:val="40"/>
          <w:highlight w:val="none"/>
        </w:rPr>
        <w:t>公开招标公告</w:t>
      </w:r>
      <w:bookmarkEnd w:id="0"/>
    </w:p>
    <w:p>
      <w:pPr>
        <w:pStyle w:val="24"/>
        <w:rPr>
          <w:rFonts w:hint="eastAsia" w:ascii="宋体" w:hAnsi="宋体" w:eastAsia="宋体" w:cs="宋体"/>
          <w:color w:val="auto"/>
          <w:szCs w:val="21"/>
          <w:highlight w:val="none"/>
        </w:rPr>
      </w:pPr>
    </w:p>
    <w:p>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防城港职业技术学院物业服务采购公开招标公告</w:t>
      </w:r>
      <w:r>
        <w:rPr>
          <w:rFonts w:hint="eastAsia" w:ascii="宋体" w:hAnsi="宋体" w:cs="宋体"/>
          <w:b/>
          <w:color w:val="auto"/>
          <w:sz w:val="21"/>
          <w:szCs w:val="21"/>
          <w:highlight w:val="none"/>
          <w:lang w:val="en-US" w:eastAsia="zh-CN"/>
        </w:rPr>
        <w:t>（远程异地评标）</w:t>
      </w:r>
    </w:p>
    <w:p>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防城港职业技术学院物业服务采购</w:t>
      </w:r>
      <w:r>
        <w:rPr>
          <w:rFonts w:hint="eastAsia" w:ascii="宋体" w:hAnsi="宋体" w:eastAsia="宋体" w:cs="宋体"/>
          <w:color w:val="auto"/>
          <w:sz w:val="21"/>
          <w:szCs w:val="21"/>
          <w:highlight w:val="none"/>
        </w:rPr>
        <w:t>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4</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 xml:space="preserve">23 </w:t>
      </w:r>
      <w:r>
        <w:rPr>
          <w:rFonts w:hint="eastAsia" w:ascii="宋体" w:hAnsi="宋体" w:eastAsia="宋体" w:cs="宋体"/>
          <w:bCs/>
          <w:color w:val="auto"/>
          <w:sz w:val="21"/>
          <w:szCs w:val="21"/>
          <w:highlight w:val="none"/>
          <w:lang w:val="en-US" w:eastAsia="zh-CN"/>
        </w:rPr>
        <w:t>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1" w:name="_Toc35393621"/>
      <w:bookmarkStart w:id="2" w:name="_Toc28359002"/>
      <w:bookmarkStart w:id="3" w:name="_Toc35393790"/>
      <w:bookmarkStart w:id="4" w:name="_Toc28359079"/>
      <w:bookmarkStart w:id="5" w:name="_Hlk24379207"/>
      <w:r>
        <w:rPr>
          <w:rFonts w:hint="eastAsia" w:ascii="宋体" w:hAnsi="宋体" w:eastAsia="宋体" w:cs="宋体"/>
          <w:b/>
          <w:bCs/>
          <w:color w:val="auto"/>
          <w:sz w:val="21"/>
          <w:szCs w:val="21"/>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项目编号：FCZC2026-G3-990027-FCGS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bookmarkEnd w:id="5"/>
      <w:r>
        <w:rPr>
          <w:rFonts w:hint="eastAsia" w:ascii="宋体" w:hAnsi="宋体" w:eastAsia="宋体" w:cs="宋体"/>
          <w:color w:val="auto"/>
          <w:sz w:val="21"/>
          <w:szCs w:val="21"/>
          <w:highlight w:val="none"/>
          <w:lang w:val="en-US" w:eastAsia="zh-CN"/>
        </w:rPr>
        <w:t xml:space="preserve"> 防城港职业技术学院物业服务采购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总金额（元）：  ￥8,000,000.00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标项名称：防城港职业技术学院物业服务采购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数量：2</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 ￥8,000,000.00</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Cs w:val="21"/>
          <w:highlight w:val="none"/>
          <w:lang w:eastAsia="zh-CN"/>
        </w:rPr>
        <w:t>防城港职业技术学院位于广西防城港市防城区江山半岛教育园区（西湾跨海大桥旁），总占地面积约210000㎡，室外硬化区域面积约126000㎡，绿化面积约50000㎡，建筑物有行政楼1栋、体育馆1栋、教学楼4栋、实训楼1栋、学生活动中心1栋、图书馆1栋、宿舍楼9栋、食堂1栋，产教融合综合实训楼1栋（在建，预计2027年投入使用），在校师生人数约7600人。</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物业服务公司负责组织一支身体健康、思想素质高、业务能力强的物业服务队伍，物业服务公司必须建立健全物业服务和秩序维护服务的全套管理制度、作业流程、应急预案，具有明确的各项管理服务标准和质量保证体系，保证各项服务工作标准化、规范化，并制定物业管理工作计划及实施时间，有专职管理人员处理各项咨询、投诉、报修工作，实行24小时巡查值班，确保服务工作有序高效运行。</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作内容涵盖安全保卫服务（含消防专职管理）、保洁服务、绿化维护服务、学生宿舍管理服务、垃圾清运及处置服务、行政办公会务工作服务、教室管理服务、四害消杀等服务、化粪池清理及卫生间疏通服务、其他服务共计10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bookmarkStart w:id="140" w:name="_GoBack"/>
      <w:bookmarkEnd w:id="140"/>
      <w:r>
        <w:rPr>
          <w:rFonts w:hint="eastAsia" w:ascii="宋体" w:hAnsi="宋体" w:eastAsia="宋体" w:cs="宋体"/>
          <w:color w:val="auto"/>
          <w:sz w:val="21"/>
          <w:szCs w:val="21"/>
          <w:highlight w:val="none"/>
          <w:lang w:val="en-US" w:eastAsia="zh-CN"/>
        </w:rPr>
        <w:t>最高限价（如有）：  ￥8,000,000.00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合同履约期限：合同服务期限为合同签订生效之日起2年。</w:t>
      </w:r>
    </w:p>
    <w:p>
      <w:pPr>
        <w:pStyle w:val="24"/>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备注：</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6" w:name="_Toc28359080"/>
      <w:bookmarkStart w:id="7" w:name="_Toc35393622"/>
      <w:bookmarkStart w:id="8" w:name="_Toc35393791"/>
      <w:bookmarkStart w:id="9" w:name="_Toc28359003"/>
      <w:r>
        <w:rPr>
          <w:rFonts w:hint="eastAsia" w:ascii="宋体" w:hAnsi="宋体" w:eastAsia="宋体" w:cs="宋体"/>
          <w:b/>
          <w:bCs/>
          <w:color w:val="auto"/>
          <w:sz w:val="21"/>
          <w:szCs w:val="21"/>
          <w:highlight w:val="none"/>
        </w:rPr>
        <w:t>二、申请人的资格要求：</w:t>
      </w:r>
      <w:bookmarkEnd w:id="6"/>
      <w:bookmarkEnd w:id="7"/>
      <w:bookmarkEnd w:id="8"/>
      <w:bookmarkEnd w:id="9"/>
    </w:p>
    <w:p>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bookmarkStart w:id="10" w:name="_Hlk51746371"/>
      <w:r>
        <w:rPr>
          <w:rFonts w:hint="eastAsia" w:ascii="宋体" w:hAnsi="宋体" w:eastAsia="宋体" w:cs="宋体"/>
          <w:color w:val="auto"/>
          <w:sz w:val="21"/>
          <w:szCs w:val="21"/>
          <w:highlight w:val="none"/>
        </w:rPr>
        <w:t>1.满足《中华人民共和国政府采购法》第二十二条规定；</w:t>
      </w:r>
    </w:p>
    <w:p>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bookmarkStart w:id="11" w:name="_Toc28359004"/>
      <w:bookmarkStart w:id="12" w:name="_Toc28359081"/>
      <w:r>
        <w:rPr>
          <w:rFonts w:hint="eastAsia" w:ascii="宋体" w:hAnsi="宋体" w:eastAsia="宋体" w:cs="宋体"/>
          <w:color w:val="auto"/>
          <w:sz w:val="21"/>
          <w:szCs w:val="21"/>
          <w:highlight w:val="none"/>
        </w:rPr>
        <w:t>2.落实政府采购政策需满足的资格要求：</w:t>
      </w:r>
      <w:bookmarkEnd w:id="10"/>
      <w:bookmarkStart w:id="13" w:name="_Toc35393792"/>
      <w:bookmarkStart w:id="14" w:name="_Toc35393623"/>
      <w:r>
        <w:rPr>
          <w:rFonts w:hint="eastAsia" w:ascii="宋体" w:hAnsi="宋体" w:eastAsia="宋体" w:cs="宋体"/>
          <w:b/>
          <w:bCs/>
          <w:color w:val="auto"/>
          <w:sz w:val="21"/>
          <w:szCs w:val="21"/>
          <w:highlight w:val="none"/>
        </w:rPr>
        <w:t>本项目专门面向</w:t>
      </w:r>
      <w:r>
        <w:rPr>
          <w:rFonts w:hint="eastAsia" w:ascii="宋体" w:hAnsi="宋体" w:cs="宋体"/>
          <w:b/>
          <w:bCs/>
          <w:color w:val="auto"/>
          <w:sz w:val="21"/>
          <w:szCs w:val="21"/>
          <w:highlight w:val="none"/>
          <w:lang w:eastAsia="zh-CN"/>
        </w:rPr>
        <w:t>中小</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（投标人应符合《政府采购促进中小企业发展管理办法》（财库〔2020〕46号）中关于中</w:t>
      </w:r>
      <w:r>
        <w:rPr>
          <w:rFonts w:hint="eastAsia" w:ascii="宋体" w:hAnsi="宋体" w:cs="宋体"/>
          <w:color w:val="auto"/>
          <w:sz w:val="21"/>
          <w:szCs w:val="21"/>
          <w:highlight w:val="none"/>
          <w:lang w:eastAsia="zh-CN"/>
        </w:rPr>
        <w:t>小</w:t>
      </w:r>
      <w:r>
        <w:rPr>
          <w:rFonts w:hint="eastAsia" w:ascii="宋体" w:hAnsi="宋体" w:eastAsia="宋体" w:cs="宋体"/>
          <w:color w:val="auto"/>
          <w:sz w:val="21"/>
          <w:szCs w:val="21"/>
          <w:highlight w:val="none"/>
        </w:rPr>
        <w:t>企业的相关规定；监狱企业及残疾人福利性单位视同于小微企业）；</w:t>
      </w:r>
    </w:p>
    <w:p>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1"/>
      <w:bookmarkEnd w:id="12"/>
      <w:bookmarkEnd w:id="13"/>
      <w:bookmarkEnd w:id="14"/>
    </w:p>
    <w:p>
      <w:pPr>
        <w:pStyle w:val="19"/>
        <w:keepNext w:val="0"/>
        <w:keepLines w:val="0"/>
        <w:widowControl/>
        <w:suppressLineNumbers w:val="0"/>
        <w:wordWrap w:val="0"/>
        <w:spacing w:before="75" w:beforeAutospacing="0" w:after="75" w:afterAutospacing="0" w:line="300" w:lineRule="atLeast"/>
        <w:ind w:left="0" w:right="0" w:firstLine="630" w:firstLineChars="3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时间：2026年4月2日至2026年4月10日 ，每天上午00:00至12:00 ，下午12:00至23:59（北京时间，法定节假日除外）</w:t>
      </w:r>
    </w:p>
    <w:p>
      <w:pPr>
        <w:pStyle w:val="19"/>
        <w:keepNext w:val="0"/>
        <w:keepLines w:val="0"/>
        <w:widowControl/>
        <w:suppressLineNumbers w:val="0"/>
        <w:wordWrap w:val="0"/>
        <w:spacing w:before="75" w:beforeAutospacing="0" w:after="75"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地点（网址）：广西政府采购云平台（https：//www.gcy.zfcg.gxzf.gov.cn/） </w:t>
      </w:r>
    </w:p>
    <w:p>
      <w:pPr>
        <w:pStyle w:val="19"/>
        <w:keepNext w:val="0"/>
        <w:keepLines w:val="0"/>
        <w:widowControl/>
        <w:suppressLineNumbers w:val="0"/>
        <w:wordWrap w:val="0"/>
        <w:spacing w:before="75" w:beforeAutospacing="0" w:after="75"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方式：网上下载。本项目不提供纸质文件，潜在供应商需使用账号登录或者使用CA登录广西政府采购云平台-进入“项目采购”应用，在获取采购文件菜单中选择项目，获取采购文件（或在“政采云电子投标客户端-获取采购文件”跳转到政采云系统获取）。电子响应文件制作需要基于广西政府采购云平台获取的采购文件编制，通过其他方式获取采购文件的，将有可能导致供应商无法在广西政府采购云平台编制及上传响应文件。未注册的供应商可登录广西政府采购云平台进行注册（广西政府采购云平台-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 </w:t>
      </w:r>
    </w:p>
    <w:p>
      <w:pPr>
        <w:pStyle w:val="19"/>
        <w:keepNext w:val="0"/>
        <w:keepLines w:val="0"/>
        <w:widowControl/>
        <w:suppressLineNumbers w:val="0"/>
        <w:wordWrap w:val="0"/>
        <w:spacing w:before="75" w:beforeAutospacing="0" w:after="75"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售价（元）：0 </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pPr>
        <w:pStyle w:val="19"/>
        <w:keepNext w:val="0"/>
        <w:keepLines w:val="0"/>
        <w:widowControl/>
        <w:suppressLineNumbers w:val="0"/>
        <w:wordWrap w:val="0"/>
        <w:spacing w:before="75" w:beforeAutospacing="0" w:after="75" w:afterAutospacing="0"/>
        <w:ind w:left="0" w:right="0" w:firstLine="0"/>
        <w:jc w:val="left"/>
        <w:rPr>
          <w:rFonts w:hint="eastAsia" w:ascii="宋体" w:hAnsi="宋体" w:eastAsia="宋体" w:cs="宋体"/>
          <w:color w:val="auto"/>
          <w:kern w:val="2"/>
          <w:sz w:val="21"/>
          <w:szCs w:val="21"/>
          <w:highlight w:val="none"/>
          <w:lang w:val="en-US" w:eastAsia="zh-CN" w:bidi="ar-SA"/>
        </w:rPr>
      </w:pPr>
      <w:r>
        <w:rPr>
          <w:rFonts w:ascii="仿宋" w:hAnsi="仿宋" w:eastAsia="仿宋" w:cs="仿宋"/>
          <w:i w:val="0"/>
          <w:caps w:val="0"/>
          <w:color w:val="auto"/>
          <w:spacing w:val="0"/>
          <w:sz w:val="27"/>
          <w:szCs w:val="27"/>
          <w:highlight w:val="none"/>
        </w:rPr>
        <w:t>   </w:t>
      </w:r>
      <w:r>
        <w:rPr>
          <w:rFonts w:hint="eastAsia" w:ascii="宋体" w:hAnsi="宋体" w:eastAsia="宋体" w:cs="宋体"/>
          <w:color w:val="auto"/>
          <w:kern w:val="2"/>
          <w:sz w:val="21"/>
          <w:szCs w:val="21"/>
          <w:highlight w:val="none"/>
          <w:lang w:val="en-US" w:eastAsia="zh-CN" w:bidi="ar-SA"/>
        </w:rPr>
        <w:t> 提交投标文件截止时间：2026年4月23日 09:30（北京时间）</w:t>
      </w:r>
    </w:p>
    <w:p>
      <w:pPr>
        <w:pStyle w:val="19"/>
        <w:keepNext w:val="0"/>
        <w:keepLines w:val="0"/>
        <w:widowControl/>
        <w:suppressLineNumbers w:val="0"/>
        <w:wordWrap w:val="0"/>
        <w:spacing w:before="75" w:beforeAutospacing="0" w:after="75" w:afterAutospacing="0"/>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投标地点（网址）：通过广西政府采购云平台实行在线投标。 </w:t>
      </w:r>
    </w:p>
    <w:p>
      <w:pPr>
        <w:pStyle w:val="19"/>
        <w:keepNext w:val="0"/>
        <w:keepLines w:val="0"/>
        <w:widowControl/>
        <w:suppressLineNumbers w:val="0"/>
        <w:wordWrap w:val="0"/>
        <w:spacing w:before="75" w:beforeAutospacing="0" w:after="75" w:afterAutospacing="0"/>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开标时间：2026年4月23日 09:30 （北京时间） </w:t>
      </w:r>
    </w:p>
    <w:p>
      <w:pPr>
        <w:pStyle w:val="19"/>
        <w:keepNext w:val="0"/>
        <w:keepLines w:val="0"/>
        <w:widowControl/>
        <w:suppressLineNumbers w:val="0"/>
        <w:wordWrap w:val="0"/>
        <w:spacing w:before="75" w:beforeAutospacing="0" w:after="75" w:afterAutospacing="0"/>
        <w:ind w:left="0" w:right="0" w:firstLine="0"/>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    开标地点：广西壮族自治区防城港市开标室1政府采购开标室1    </w:t>
      </w:r>
      <w:r>
        <w:rPr>
          <w:rFonts w:hint="eastAsia" w:ascii="宋体" w:hAnsi="宋体" w:eastAsia="宋体" w:cs="宋体"/>
          <w:bCs/>
          <w:color w:val="auto"/>
          <w:kern w:val="0"/>
          <w:sz w:val="21"/>
          <w:szCs w:val="21"/>
          <w:highlight w:val="none"/>
          <w:lang w:val="en-US" w:eastAsia="zh-CN" w:bidi="ar-SA"/>
        </w:rPr>
        <w:t> </w:t>
      </w:r>
    </w:p>
    <w:p>
      <w:pPr>
        <w:pStyle w:val="19"/>
        <w:keepNext w:val="0"/>
        <w:keepLines w:val="0"/>
        <w:widowControl/>
        <w:suppressLineNumbers w:val="0"/>
        <w:wordWrap w:val="0"/>
        <w:spacing w:before="255" w:beforeAutospacing="0" w:after="255" w:afterAutospacing="0" w:line="300" w:lineRule="atLeast"/>
        <w:ind w:left="0" w:right="0" w:firstLine="0"/>
        <w:jc w:val="both"/>
        <w:rPr>
          <w:rFonts w:ascii="黑体" w:hAnsi="宋体" w:eastAsia="黑体" w:cs="黑体"/>
          <w:i w:val="0"/>
          <w:caps w:val="0"/>
          <w:color w:val="auto"/>
          <w:spacing w:val="0"/>
          <w:sz w:val="31"/>
          <w:szCs w:val="31"/>
          <w:highlight w:val="none"/>
        </w:rPr>
      </w:pPr>
      <w:r>
        <w:rPr>
          <w:rFonts w:hint="eastAsia" w:ascii="宋体" w:hAnsi="宋体" w:eastAsia="宋体" w:cs="宋体"/>
          <w:b/>
          <w:bCs/>
          <w:color w:val="auto"/>
          <w:kern w:val="2"/>
          <w:sz w:val="21"/>
          <w:szCs w:val="21"/>
          <w:highlight w:val="none"/>
          <w:lang w:val="en-US" w:eastAsia="zh-CN" w:bidi="ar-SA"/>
        </w:rPr>
        <w:t>五、公告期限</w:t>
      </w:r>
      <w:r>
        <w:rPr>
          <w:rFonts w:ascii="黑体" w:hAnsi="宋体" w:eastAsia="黑体" w:cs="黑体"/>
          <w:i w:val="0"/>
          <w:caps w:val="0"/>
          <w:color w:val="auto"/>
          <w:spacing w:val="0"/>
          <w:sz w:val="31"/>
          <w:szCs w:val="31"/>
          <w:highlight w:val="none"/>
        </w:rPr>
        <w:t> </w:t>
      </w:r>
    </w:p>
    <w:p>
      <w:pPr>
        <w:pStyle w:val="19"/>
        <w:keepNext w:val="0"/>
        <w:keepLines w:val="0"/>
        <w:widowControl/>
        <w:suppressLineNumbers w:val="0"/>
        <w:wordWrap w:val="0"/>
        <w:spacing w:before="75" w:beforeAutospacing="0" w:after="75" w:afterAutospacing="0"/>
        <w:ind w:right="0" w:firstLine="210" w:firstLineChars="1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自本公告发布之日起5个工作日。</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15" w:name="_Toc35393626"/>
      <w:bookmarkStart w:id="16" w:name="_Toc35393795"/>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、其他补充事宜</w:t>
      </w:r>
      <w:bookmarkEnd w:id="15"/>
      <w:bookmarkEnd w:id="16"/>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bookmarkStart w:id="17" w:name="_Hlk37428740"/>
      <w:bookmarkStart w:id="18" w:name="_Toc28359008"/>
      <w:bookmarkStart w:id="19" w:name="_Toc28359085"/>
      <w:bookmarkStart w:id="20" w:name="_Toc35393796"/>
      <w:bookmarkStart w:id="21" w:name="_Toc35393627"/>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17"/>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2.本项目政府采购落实政策：</w:t>
      </w:r>
    </w:p>
    <w:p>
      <w:pPr>
        <w:pStyle w:val="25"/>
        <w:keepNext w:val="0"/>
        <w:keepLines w:val="0"/>
        <w:pageBreakBefore w:val="0"/>
        <w:kinsoku/>
        <w:overflowPunct/>
        <w:topLinePunct w:val="0"/>
        <w:autoSpaceDE/>
        <w:autoSpaceDN/>
        <w:bidi w:val="0"/>
        <w:adjustRightInd/>
        <w:snapToGrid/>
        <w:spacing w:line="52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称：防城港市财政局</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话：0770-6102323</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w:t>
      </w:r>
      <w:r>
        <w:rPr>
          <w:rFonts w:hint="eastAsia" w:cs="宋体"/>
          <w:color w:val="auto"/>
          <w:sz w:val="21"/>
          <w:szCs w:val="21"/>
          <w:highlight w:val="none"/>
          <w:lang w:val="en-US" w:eastAsia="zh-CN"/>
        </w:rPr>
        <w:t>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w:t>
      </w:r>
      <w:r>
        <w:rPr>
          <w:rFonts w:hint="eastAsia" w:cs="宋体"/>
          <w:color w:val="auto"/>
          <w:sz w:val="21"/>
          <w:szCs w:val="21"/>
          <w:highlight w:val="none"/>
          <w:lang w:val="en-US" w:eastAsia="zh-CN"/>
        </w:rPr>
        <w:t>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pPr>
        <w:pStyle w:val="25"/>
        <w:keepNext w:val="0"/>
        <w:keepLines w:val="0"/>
        <w:pageBreakBefore w:val="0"/>
        <w:kinsoku/>
        <w:overflowPunct/>
        <w:topLinePunct w:val="0"/>
        <w:autoSpaceDE/>
        <w:autoSpaceDN/>
        <w:bidi w:val="0"/>
        <w:adjustRightInd/>
        <w:snapToGrid/>
        <w:spacing w:line="520" w:lineRule="exact"/>
        <w:ind w:firstLine="42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cs="宋体"/>
          <w:color w:val="auto"/>
          <w:sz w:val="21"/>
          <w:szCs w:val="21"/>
          <w:highlight w:val="none"/>
          <w:lang w:val="en-US" w:eastAsia="zh-CN"/>
        </w:rPr>
        <w:t>不同投标人的投标文件由同一单位或者个人编制，或不同投标人报名的</w:t>
      </w:r>
      <w:r>
        <w:rPr>
          <w:rFonts w:hint="default" w:ascii="Times New Roman" w:hAnsi="Times New Roman" w:cs="Times New Roman"/>
          <w:color w:val="auto"/>
          <w:sz w:val="21"/>
          <w:szCs w:val="21"/>
          <w:highlight w:val="none"/>
          <w:lang w:val="en-US" w:eastAsia="zh-CN"/>
        </w:rPr>
        <w:t>ip</w:t>
      </w:r>
      <w:r>
        <w:rPr>
          <w:rFonts w:hint="eastAsia" w:cs="宋体"/>
          <w:color w:val="auto"/>
          <w:sz w:val="21"/>
          <w:szCs w:val="21"/>
          <w:highlight w:val="none"/>
          <w:lang w:val="en-US" w:eastAsia="zh-CN"/>
        </w:rPr>
        <w:t>地址一致的，此类投标供应商将视为无效。</w:t>
      </w:r>
    </w:p>
    <w:p>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、对本次招标提出询问，请按以下方式联系。</w:t>
      </w:r>
      <w:bookmarkEnd w:id="18"/>
      <w:bookmarkEnd w:id="19"/>
      <w:bookmarkEnd w:id="20"/>
      <w:bookmarkEnd w:id="21"/>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ascii="仿宋" w:hAnsi="仿宋" w:eastAsia="仿宋" w:cs="仿宋"/>
          <w:i w:val="0"/>
          <w:caps w:val="0"/>
          <w:color w:val="auto"/>
          <w:spacing w:val="0"/>
          <w:sz w:val="27"/>
          <w:szCs w:val="27"/>
          <w:highlight w:val="none"/>
        </w:rPr>
        <w:t xml:space="preserve">  </w:t>
      </w:r>
      <w:r>
        <w:rPr>
          <w:rFonts w:hint="eastAsia" w:ascii="宋体" w:hAnsi="宋体" w:eastAsia="宋体" w:cs="宋体"/>
          <w:color w:val="auto"/>
          <w:kern w:val="0"/>
          <w:sz w:val="21"/>
          <w:szCs w:val="21"/>
          <w:highlight w:val="none"/>
          <w:lang w:val="en-US" w:eastAsia="zh-CN" w:bidi="ar-SA"/>
        </w:rPr>
        <w:t>  1.采购人信息</w:t>
      </w:r>
    </w:p>
    <w:p>
      <w:pPr>
        <w:pStyle w:val="19"/>
        <w:keepNext w:val="0"/>
        <w:keepLines w:val="0"/>
        <w:widowControl/>
        <w:suppressLineNumbers w:val="0"/>
        <w:wordWrap w:val="0"/>
        <w:spacing w:before="75" w:beforeAutospacing="0" w:after="75" w:afterAutospacing="0" w:line="300" w:lineRule="atLeast"/>
        <w:ind w:left="0" w:right="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名称：</w:t>
      </w:r>
      <w:bookmarkStart w:id="22" w:name="OLE_LINK9"/>
      <w:r>
        <w:rPr>
          <w:rFonts w:hint="eastAsia" w:ascii="宋体" w:hAnsi="宋体" w:eastAsia="宋体" w:cs="宋体"/>
          <w:color w:val="auto"/>
          <w:kern w:val="0"/>
          <w:sz w:val="21"/>
          <w:szCs w:val="21"/>
          <w:highlight w:val="none"/>
          <w:lang w:val="en-US" w:eastAsia="zh-CN" w:bidi="ar-SA"/>
        </w:rPr>
        <w:t>防城港职业技术学院</w:t>
      </w:r>
      <w:bookmarkEnd w:id="22"/>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地址： 广西壮族自治区防城港市防城区滨海公路</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项目联系人：刘圣敏  </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项目联系方式：0770-2076107</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 xml:space="preserve">    2.采购代理机构信息           </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名称：防城港市公共资源交易中心（防城港市政府采购中心）             </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地址：防城港市中心区红树林大厦东塔6楼   </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项目联系人：陈雨文             </w:t>
      </w:r>
    </w:p>
    <w:p>
      <w:pPr>
        <w:pStyle w:val="19"/>
        <w:keepNext w:val="0"/>
        <w:keepLines w:val="0"/>
        <w:widowControl/>
        <w:suppressLineNumbers w:val="0"/>
        <w:wordWrap w:val="0"/>
        <w:spacing w:before="75" w:beforeAutospacing="0" w:after="75" w:afterAutospacing="0" w:line="300" w:lineRule="atLeas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项目联系方式：0770-6126183 </w:t>
      </w:r>
    </w:p>
    <w:p>
      <w:pPr>
        <w:pStyle w:val="24"/>
        <w:rPr>
          <w:rFonts w:hint="default" w:ascii="宋体" w:hAnsi="宋体" w:eastAsia="宋体" w:cs="宋体"/>
          <w:color w:val="auto"/>
          <w:kern w:val="0"/>
          <w:sz w:val="21"/>
          <w:szCs w:val="21"/>
          <w:highlight w:val="none"/>
          <w:lang w:val="en-US" w:eastAsia="zh-CN"/>
        </w:rPr>
      </w:pPr>
    </w:p>
    <w:p>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采购人：</w:t>
      </w:r>
      <w:r>
        <w:rPr>
          <w:rFonts w:hint="eastAsia" w:ascii="宋体" w:hAnsi="宋体" w:eastAsia="宋体" w:cs="宋体"/>
          <w:color w:val="auto"/>
          <w:sz w:val="21"/>
          <w:szCs w:val="21"/>
          <w:highlight w:val="none"/>
          <w:lang w:eastAsia="zh-CN"/>
        </w:rPr>
        <w:t>防城港</w:t>
      </w:r>
      <w:r>
        <w:rPr>
          <w:rFonts w:hint="eastAsia" w:ascii="宋体" w:hAnsi="宋体" w:eastAsia="宋体" w:cs="宋体"/>
          <w:color w:val="auto"/>
          <w:sz w:val="21"/>
          <w:szCs w:val="21"/>
          <w:highlight w:val="none"/>
          <w:lang w:val="en-US" w:eastAsia="zh-CN"/>
        </w:rPr>
        <w:t>职业技术学院</w:t>
      </w:r>
    </w:p>
    <w:p>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pPr>
        <w:keepNext w:val="0"/>
        <w:keepLines w:val="0"/>
        <w:pageBreakBefore w:val="0"/>
        <w:kinsoku/>
        <w:wordWrap w:val="0"/>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日</w:t>
      </w: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rPr>
          <w:rFonts w:hint="eastAsia" w:ascii="宋体" w:hAnsi="宋体" w:eastAsia="宋体" w:cs="宋体"/>
          <w:color w:val="auto"/>
          <w:szCs w:val="21"/>
          <w:highlight w:val="none"/>
        </w:rPr>
      </w:pPr>
    </w:p>
    <w:p>
      <w:pPr>
        <w:pStyle w:val="24"/>
        <w:ind w:left="0" w:leftChars="0" w:firstLine="0" w:firstLineChars="0"/>
        <w:rPr>
          <w:rFonts w:hint="eastAsia" w:ascii="宋体" w:hAnsi="宋体" w:eastAsia="宋体" w:cs="宋体"/>
          <w:color w:val="auto"/>
          <w:szCs w:val="21"/>
          <w:highlight w:val="none"/>
        </w:rPr>
      </w:pPr>
    </w:p>
    <w:p>
      <w:pPr>
        <w:pStyle w:val="2"/>
        <w:pageBreakBefore w:val="0"/>
        <w:numPr>
          <w:ilvl w:val="0"/>
          <w:numId w:val="2"/>
        </w:numPr>
        <w:tabs>
          <w:tab w:val="left" w:pos="0"/>
          <w:tab w:val="left" w:pos="3165"/>
          <w:tab w:val="center" w:pos="4153"/>
        </w:tabs>
        <w:kinsoku/>
        <w:overflowPunct/>
        <w:topLinePunct w:val="0"/>
        <w:autoSpaceDE w:val="0"/>
        <w:autoSpaceDN w:val="0"/>
        <w:bidi w:val="0"/>
        <w:adjustRightInd w:val="0"/>
        <w:spacing w:before="0" w:after="0" w:line="240" w:lineRule="auto"/>
        <w:ind w:left="0" w:leftChars="0" w:firstLine="420" w:firstLineChars="0"/>
        <w:jc w:val="center"/>
        <w:rPr>
          <w:rFonts w:hint="eastAsia" w:ascii="宋体" w:hAnsi="宋体" w:eastAsia="宋体" w:cs="宋体"/>
          <w:color w:val="auto"/>
          <w:sz w:val="44"/>
          <w:szCs w:val="44"/>
          <w:highlight w:val="none"/>
        </w:rPr>
      </w:pPr>
      <w:bookmarkStart w:id="23" w:name="_Toc10553"/>
      <w:bookmarkStart w:id="24" w:name="_Toc1034"/>
      <w:r>
        <w:rPr>
          <w:rFonts w:hint="eastAsia" w:ascii="宋体" w:hAnsi="宋体" w:eastAsia="宋体" w:cs="宋体"/>
          <w:color w:val="auto"/>
          <w:sz w:val="44"/>
          <w:szCs w:val="44"/>
          <w:highlight w:val="none"/>
        </w:rPr>
        <w:t>采购需求</w:t>
      </w:r>
      <w:bookmarkEnd w:id="23"/>
      <w:bookmarkEnd w:id="24"/>
    </w:p>
    <w:p>
      <w:pPr>
        <w:numPr>
          <w:ilvl w:val="0"/>
          <w:numId w:val="0"/>
        </w:numPr>
        <w:ind w:left="420"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1.为落实政府采购政策需满足的要求。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2.“采购需求”中所有要求均为实质性要求，不允许负偏离，否则视为无效响应。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b/>
          <w:bCs/>
          <w:color w:val="auto"/>
          <w:highlight w:val="none"/>
          <w:u w:val="single"/>
        </w:rPr>
      </w:pPr>
      <w:r>
        <w:rPr>
          <w:rFonts w:hint="eastAsia" w:ascii="宋体" w:hAnsi="宋体" w:eastAsia="宋体" w:cs="宋体"/>
          <w:color w:val="auto"/>
          <w:highlight w:val="none"/>
        </w:rPr>
        <w:t>4.所属行业依照《中小企业划型标准规定》（工信部联企业〔2011〕300号）及《国民经济行业分类》（GB/T4754-2017）的</w:t>
      </w:r>
      <w:r>
        <w:rPr>
          <w:rFonts w:hint="eastAsia"/>
          <w:color w:val="auto"/>
          <w:highlight w:val="none"/>
        </w:rPr>
        <w:t>有关规定执行。</w:t>
      </w:r>
      <w:r>
        <w:rPr>
          <w:rFonts w:hint="eastAsia"/>
          <w:b/>
          <w:bCs/>
          <w:color w:val="auto"/>
          <w:highlight w:val="none"/>
          <w:u w:val="single"/>
        </w:rPr>
        <w:t>本采购项目所属行业为“物业管理”。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b/>
          <w:bCs/>
          <w:color w:val="auto"/>
          <w:highlight w:val="none"/>
          <w:u w:val="single"/>
          <w:lang w:val="en-US" w:eastAsia="zh-CN"/>
        </w:rPr>
      </w:pPr>
      <w:r>
        <w:rPr>
          <w:rFonts w:hint="eastAsia" w:ascii="宋体" w:hAnsi="宋体"/>
          <w:b/>
          <w:color w:val="auto"/>
          <w:szCs w:val="21"/>
          <w:highlight w:val="none"/>
        </w:rPr>
        <w:t>采购预算：</w:t>
      </w:r>
      <w:r>
        <w:rPr>
          <w:rFonts w:hint="eastAsia" w:ascii="宋体" w:hAnsi="宋体"/>
          <w:color w:val="auto"/>
          <w:szCs w:val="21"/>
          <w:highlight w:val="none"/>
        </w:rPr>
        <w:t>人民币</w:t>
      </w:r>
      <w:r>
        <w:rPr>
          <w:rFonts w:hint="eastAsia" w:ascii="宋体" w:hAnsi="宋体"/>
          <w:color w:val="auto"/>
          <w:szCs w:val="21"/>
          <w:highlight w:val="none"/>
          <w:lang w:val="en-US" w:eastAsia="zh-CN"/>
        </w:rPr>
        <w:t>捌佰</w:t>
      </w:r>
      <w:r>
        <w:rPr>
          <w:rFonts w:hint="eastAsia" w:ascii="宋体" w:hAnsi="宋体"/>
          <w:color w:val="auto"/>
          <w:szCs w:val="21"/>
          <w:highlight w:val="none"/>
        </w:rPr>
        <w:t>万</w:t>
      </w:r>
      <w:r>
        <w:rPr>
          <w:rFonts w:hint="eastAsia" w:ascii="宋体" w:hAnsi="宋体"/>
          <w:color w:val="auto"/>
          <w:szCs w:val="21"/>
          <w:highlight w:val="none"/>
          <w:lang w:val="en-US" w:eastAsia="zh-CN"/>
        </w:rPr>
        <w:t>元整（￥8,000,000.00）</w:t>
      </w:r>
    </w:p>
    <w:tbl>
      <w:tblPr>
        <w:tblStyle w:val="20"/>
        <w:tblW w:w="99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280"/>
        <w:gridCol w:w="675"/>
        <w:gridCol w:w="780"/>
        <w:gridCol w:w="6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9966" w:type="dxa"/>
            <w:gridSpan w:val="5"/>
            <w:noWrap w:val="0"/>
            <w:vAlign w:val="center"/>
          </w:tcPr>
          <w:p>
            <w:pPr>
              <w:keepLines w:val="0"/>
              <w:pageBreakBefore w:val="0"/>
              <w:widowControl w:val="0"/>
              <w:tabs>
                <w:tab w:val="left" w:pos="180"/>
                <w:tab w:val="left" w:pos="1620"/>
              </w:tabs>
              <w:kinsoku/>
              <w:wordWrap/>
              <w:overflowPunct/>
              <w:topLinePunct w:val="0"/>
              <w:bidi w:val="0"/>
              <w:snapToGrid/>
              <w:spacing w:line="360" w:lineRule="exact"/>
              <w:jc w:val="center"/>
              <w:rPr>
                <w:rFonts w:hint="eastAsia" w:ascii="宋体" w:hAnsi="宋体" w:cs="宋体"/>
                <w:color w:val="auto"/>
                <w:szCs w:val="21"/>
                <w:highlight w:val="none"/>
              </w:rPr>
            </w:pPr>
            <w:r>
              <w:rPr>
                <w:rFonts w:hint="eastAsia"/>
                <w:b/>
                <w:bCs/>
                <w:color w:val="auto"/>
                <w:sz w:val="24"/>
                <w:highlight w:val="none"/>
              </w:rPr>
              <w:t>一、采购需求一览表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0" w:hRule="atLeast"/>
          <w:jc w:val="center"/>
        </w:trPr>
        <w:tc>
          <w:tcPr>
            <w:tcW w:w="426"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80"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675"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80"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所属</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805"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技术或服务要求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1" w:hRule="atLeast"/>
          <w:jc w:val="center"/>
        </w:trPr>
        <w:tc>
          <w:tcPr>
            <w:tcW w:w="426" w:type="dxa"/>
            <w:noWrap w:val="0"/>
            <w:vAlign w:val="center"/>
          </w:tcPr>
          <w:p>
            <w:pPr>
              <w:keepLines w:val="0"/>
              <w:pageBreakBefore w:val="0"/>
              <w:widowControl w:val="0"/>
              <w:tabs>
                <w:tab w:val="left" w:pos="180"/>
                <w:tab w:val="left" w:pos="1620"/>
              </w:tabs>
              <w:kinsoku/>
              <w:wordWrap/>
              <w:overflowPunct/>
              <w:topLinePunct w:val="0"/>
              <w:bidi w:val="0"/>
              <w:snapToGrid/>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80" w:type="dxa"/>
            <w:noWrap w:val="0"/>
            <w:vAlign w:val="center"/>
          </w:tcPr>
          <w:p>
            <w:pPr>
              <w:keepLines w:val="0"/>
              <w:pageBreakBefore w:val="0"/>
              <w:widowControl w:val="0"/>
              <w:kinsoku/>
              <w:wordWrap/>
              <w:overflowPunct/>
              <w:topLinePunct w:val="0"/>
              <w:bidi w:val="0"/>
              <w:snapToGrid/>
              <w:spacing w:line="360" w:lineRule="exact"/>
              <w:jc w:val="center"/>
              <w:rPr>
                <w:rFonts w:hint="eastAsia" w:ascii="宋体" w:hAnsi="宋体" w:cs="宋体"/>
                <w:color w:val="auto"/>
                <w:kern w:val="0"/>
                <w:szCs w:val="21"/>
                <w:highlight w:val="none"/>
              </w:rPr>
            </w:pPr>
            <w:r>
              <w:rPr>
                <w:rFonts w:hint="eastAsia"/>
                <w:color w:val="auto"/>
                <w:highlight w:val="none"/>
                <w:lang w:val="en-US" w:eastAsia="zh-CN"/>
              </w:rPr>
              <w:t>防城港职业技术学院物业服务采购</w:t>
            </w:r>
          </w:p>
        </w:tc>
        <w:tc>
          <w:tcPr>
            <w:tcW w:w="675" w:type="dxa"/>
            <w:noWrap w:val="0"/>
            <w:vAlign w:val="center"/>
          </w:tcPr>
          <w:p>
            <w:pPr>
              <w:keepLines w:val="0"/>
              <w:pageBreakBefore w:val="0"/>
              <w:widowControl w:val="0"/>
              <w:kinsoku/>
              <w:wordWrap/>
              <w:overflowPunct/>
              <w:topLinePunct w:val="0"/>
              <w:bidi w:val="0"/>
              <w:snapToGrid/>
              <w:spacing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780" w:type="dxa"/>
            <w:noWrap w:val="0"/>
            <w:vAlign w:val="center"/>
          </w:tcPr>
          <w:p>
            <w:pPr>
              <w:keepLines w:val="0"/>
              <w:pageBreakBefore w:val="0"/>
              <w:widowControl w:val="0"/>
              <w:tabs>
                <w:tab w:val="left" w:pos="180"/>
                <w:tab w:val="left" w:pos="1620"/>
              </w:tabs>
              <w:kinsoku/>
              <w:wordWrap/>
              <w:overflowPunct/>
              <w:topLinePunct w:val="0"/>
              <w:bidi w:val="0"/>
              <w:snapToGrid/>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物业服务</w:t>
            </w:r>
          </w:p>
        </w:tc>
        <w:tc>
          <w:tcPr>
            <w:tcW w:w="6805" w:type="dxa"/>
            <w:noWrap w:val="0"/>
            <w:vAlign w:val="center"/>
          </w:tcPr>
          <w:p>
            <w:pPr>
              <w:keepLines w:val="0"/>
              <w:pageBreakBefore w:val="0"/>
              <w:widowControl w:val="0"/>
              <w:kinsoku/>
              <w:wordWrap/>
              <w:overflowPunct/>
              <w:topLinePunct w:val="0"/>
              <w:bidi w:val="0"/>
              <w:snapToGrid/>
              <w:spacing w:line="240" w:lineRule="auto"/>
              <w:rPr>
                <w:rFonts w:hint="eastAsia" w:ascii="宋体" w:hAnsi="宋体" w:cs="仿宋"/>
                <w:color w:val="auto"/>
                <w:sz w:val="24"/>
                <w:highlight w:val="none"/>
              </w:rPr>
            </w:pPr>
            <w:r>
              <w:rPr>
                <w:rFonts w:hint="eastAsia" w:ascii="宋体" w:hAnsi="宋体" w:cs="仿宋"/>
                <w:b/>
                <w:color w:val="auto"/>
                <w:sz w:val="24"/>
                <w:highlight w:val="none"/>
              </w:rPr>
              <w:t>一、项目概况</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bookmarkStart w:id="25" w:name="OLE_LINK1"/>
            <w:r>
              <w:rPr>
                <w:rFonts w:hint="eastAsia" w:ascii="宋体" w:hAnsi="宋体" w:cs="宋体"/>
                <w:color w:val="auto"/>
                <w:szCs w:val="21"/>
                <w:highlight w:val="none"/>
                <w:lang w:eastAsia="zh-CN"/>
              </w:rPr>
              <w:t>防城港职业技术学院</w:t>
            </w:r>
            <w:bookmarkEnd w:id="25"/>
            <w:r>
              <w:rPr>
                <w:rFonts w:hint="eastAsia" w:ascii="宋体" w:hAnsi="宋体" w:cs="宋体"/>
                <w:color w:val="auto"/>
                <w:szCs w:val="21"/>
                <w:highlight w:val="none"/>
                <w:lang w:eastAsia="zh-CN"/>
              </w:rPr>
              <w:t>位于广西防城港市防城区江山半岛教育园区（西湾跨海大桥旁），总占地面积约210000㎡，室外硬化区域面积约126000㎡，绿化面积约50000㎡，建筑物有行政楼1栋、体育馆1栋、教学楼4栋、实训楼1栋、学生活动中心1栋、图书馆1栋、宿舍楼9栋、食堂1栋，产教融合综合实训楼1栋（在建，预计2027年投入使用），在校师生人数约7600人。</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物业服务公司负责组织一支身体健康、思想素质高、业务能力强的物业服务队伍，物业服务公司必须建立健全物业服务和秩序维护服务的全套管理制度、作业流程、应急预案，具有明确的各项管理服务标准和质量保证体系，保证各项服务工作标准化、规范化，并制定物业管理工作计划及实施时间，有专职管理人员处理各项咨询、投诉、报修工作，实行24小时巡查值班，确保服务工作有序高效运行。</w:t>
            </w:r>
          </w:p>
          <w:p>
            <w:pPr>
              <w:keepLines w:val="0"/>
              <w:pageBreakBefore w:val="0"/>
              <w:widowControl w:val="0"/>
              <w:kinsoku/>
              <w:wordWrap/>
              <w:overflowPunct/>
              <w:topLinePunct w:val="0"/>
              <w:bidi w:val="0"/>
              <w:snapToGrid/>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作内容涵盖安全保卫服务（含消防专职管理）、保洁服务、绿化维护服务、学生宿舍管理服务、垃圾清运及处置服务、行政办公会务工作服务、教室管理服务、四害消杀等服务、化粪池清理及卫生间疏通服务、其他服务共计10类。</w:t>
            </w:r>
          </w:p>
          <w:p>
            <w:pPr>
              <w:keepLines w:val="0"/>
              <w:pageBreakBefore w:val="0"/>
              <w:widowControl w:val="0"/>
              <w:kinsoku/>
              <w:wordWrap/>
              <w:overflowPunct/>
              <w:topLinePunct w:val="0"/>
              <w:bidi w:val="0"/>
              <w:snapToGrid/>
              <w:spacing w:line="240" w:lineRule="auto"/>
              <w:rPr>
                <w:rFonts w:hint="eastAsia" w:ascii="宋体" w:hAnsi="宋体" w:cs="仿宋"/>
                <w:b/>
                <w:color w:val="auto"/>
                <w:sz w:val="24"/>
                <w:highlight w:val="none"/>
              </w:rPr>
            </w:pPr>
            <w:r>
              <w:rPr>
                <w:rFonts w:hint="eastAsia" w:ascii="宋体" w:hAnsi="宋体" w:cs="仿宋"/>
                <w:b/>
                <w:color w:val="auto"/>
                <w:sz w:val="24"/>
                <w:highlight w:val="none"/>
              </w:rPr>
              <w:t>二、服务内容</w:t>
            </w:r>
          </w:p>
          <w:p>
            <w:pPr>
              <w:pStyle w:val="26"/>
              <w:keepLines w:val="0"/>
              <w:pageBreakBefore w:val="0"/>
              <w:widowControl w:val="0"/>
              <w:numPr>
                <w:ilvl w:val="0"/>
                <w:numId w:val="0"/>
              </w:numPr>
              <w:kinsoku/>
              <w:wordWrap/>
              <w:overflowPunct/>
              <w:topLinePunct w:val="0"/>
              <w:bidi w:val="0"/>
              <w:snapToGrid/>
              <w:spacing w:before="127" w:line="240" w:lineRule="auto"/>
              <w:rPr>
                <w:rFonts w:hint="eastAsia"/>
                <w:b/>
                <w:bCs/>
                <w:color w:val="auto"/>
                <w:spacing w:val="-2"/>
                <w:highlight w:val="none"/>
                <w:lang w:val="en-US" w:eastAsia="zh-CN"/>
              </w:rPr>
            </w:pPr>
            <w:r>
              <w:rPr>
                <w:rFonts w:hint="eastAsia"/>
                <w:b/>
                <w:bCs/>
                <w:color w:val="auto"/>
                <w:spacing w:val="-2"/>
                <w:highlight w:val="none"/>
                <w:lang w:val="en-US" w:eastAsia="zh-CN"/>
              </w:rPr>
              <w:t>（一）人员配置要求：合计84人，要求物业公司按相关法律法规为职工购买“社会保险”，所有物业公司员工年龄要求符合用人相关法律法规要求。</w:t>
            </w:r>
          </w:p>
          <w:p>
            <w:pPr>
              <w:pStyle w:val="26"/>
              <w:keepLines w:val="0"/>
              <w:pageBreakBefore w:val="0"/>
              <w:widowControl w:val="0"/>
              <w:numPr>
                <w:ilvl w:val="0"/>
                <w:numId w:val="0"/>
              </w:numPr>
              <w:kinsoku/>
              <w:wordWrap/>
              <w:overflowPunct/>
              <w:topLinePunct w:val="0"/>
              <w:bidi w:val="0"/>
              <w:snapToGrid/>
              <w:spacing w:before="127" w:line="240" w:lineRule="auto"/>
              <w:rPr>
                <w:rFonts w:hint="default" w:ascii="仿宋_GB2312" w:hAnsi="仿宋_GB2312" w:eastAsia="仿宋_GB2312" w:cs="仿宋_GB2312"/>
                <w:b/>
                <w:bCs/>
                <w:i w:val="0"/>
                <w:iCs w:val="0"/>
                <w:caps w:val="0"/>
                <w:color w:val="auto"/>
                <w:spacing w:val="0"/>
                <w:sz w:val="30"/>
                <w:szCs w:val="30"/>
                <w:highlight w:val="none"/>
                <w:lang w:val="en-US" w:eastAsia="zh-CN"/>
              </w:rPr>
            </w:pPr>
            <w:r>
              <w:rPr>
                <w:rFonts w:hint="eastAsia"/>
                <w:b/>
                <w:bCs/>
                <w:color w:val="auto"/>
                <w:spacing w:val="-2"/>
                <w:highlight w:val="none"/>
                <w:lang w:val="en-US" w:eastAsia="zh-CN"/>
              </w:rPr>
              <w:t>（二）岗位职责：</w:t>
            </w:r>
          </w:p>
          <w:tbl>
            <w:tblPr>
              <w:tblStyle w:val="20"/>
              <w:tblW w:w="64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
              <w:gridCol w:w="1399"/>
              <w:gridCol w:w="663"/>
              <w:gridCol w:w="2670"/>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岗位名称</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基本人数要求</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基本要求</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物业经理</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1.负责全面统筹学校物业服务团队工作。身体健康，具有较强的沟通协调指挥能力。具有3年及以上物业管理工作经验</w:t>
                  </w:r>
                  <w:bookmarkStart w:id="26" w:name="OLE_LINK2"/>
                  <w:r>
                    <w:rPr>
                      <w:rFonts w:hint="eastAsia" w:ascii="宋体" w:hAnsi="宋体" w:eastAsia="宋体" w:cs="宋体"/>
                      <w:i w:val="0"/>
                      <w:iCs w:val="0"/>
                      <w:color w:val="auto"/>
                      <w:kern w:val="0"/>
                      <w:sz w:val="22"/>
                      <w:szCs w:val="22"/>
                      <w:highlight w:val="none"/>
                      <w:u w:val="none"/>
                      <w:lang w:val="en-US" w:eastAsia="zh-CN" w:bidi="ar"/>
                    </w:rPr>
                    <w:t>（须提供能证明聘任为物业管理岗位且累计工作年限≥3年的服务合同关键页扫描件</w:t>
                  </w:r>
                  <w:bookmarkEnd w:id="26"/>
                  <w:r>
                    <w:rPr>
                      <w:rFonts w:hint="eastAsia" w:ascii="宋体" w:hAnsi="宋体" w:eastAsia="宋体" w:cs="宋体"/>
                      <w:i w:val="0"/>
                      <w:iCs w:val="0"/>
                      <w:color w:val="auto"/>
                      <w:kern w:val="0"/>
                      <w:sz w:val="22"/>
                      <w:szCs w:val="22"/>
                      <w:highlight w:val="none"/>
                      <w:u w:val="none"/>
                      <w:lang w:val="en-US" w:eastAsia="zh-CN" w:bidi="ar"/>
                    </w:rPr>
                    <w:t>并加盖投标人公章，否则按无效投标处理），具有较强的会务统筹及物业管理能力。</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综合主管</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身体健康，主动热情，具有良好的沟通和言语表达能力，会使用基本的办公设备及软件，具有3年及以上物业管理经验（须提供能证明聘任为物业管理岗位且累计工作年限≥3年的服务合同关键页扫描件并加盖投标人公章，否则按无效投标处理）。</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保洁及绿化主管</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1.身体健康，无不良从业记录，</w:t>
                  </w:r>
                  <w:bookmarkStart w:id="27" w:name="OLE_LINK5"/>
                  <w:r>
                    <w:rPr>
                      <w:rFonts w:hint="eastAsia" w:ascii="宋体" w:hAnsi="宋体" w:eastAsia="宋体" w:cs="宋体"/>
                      <w:i w:val="0"/>
                      <w:iCs w:val="0"/>
                      <w:color w:val="auto"/>
                      <w:kern w:val="0"/>
                      <w:sz w:val="22"/>
                      <w:szCs w:val="22"/>
                      <w:highlight w:val="none"/>
                      <w:u w:val="none"/>
                      <w:lang w:val="en-US" w:eastAsia="zh-CN" w:bidi="ar"/>
                    </w:rPr>
                    <w:t>具备</w:t>
                  </w:r>
                  <w:bookmarkStart w:id="28" w:name="OLE_LINK6"/>
                  <w:r>
                    <w:rPr>
                      <w:rFonts w:hint="eastAsia" w:ascii="宋体" w:hAnsi="宋体" w:eastAsia="宋体" w:cs="宋体"/>
                      <w:i w:val="0"/>
                      <w:iCs w:val="0"/>
                      <w:color w:val="auto"/>
                      <w:kern w:val="0"/>
                      <w:sz w:val="22"/>
                      <w:szCs w:val="22"/>
                      <w:highlight w:val="none"/>
                      <w:u w:val="none"/>
                      <w:lang w:val="en-US" w:eastAsia="zh-CN" w:bidi="ar"/>
                    </w:rPr>
                    <w:t>2年及以上绿化工作管理</w:t>
                  </w:r>
                  <w:bookmarkEnd w:id="28"/>
                  <w:r>
                    <w:rPr>
                      <w:rFonts w:hint="eastAsia" w:ascii="宋体" w:hAnsi="宋体" w:eastAsia="宋体" w:cs="宋体"/>
                      <w:i w:val="0"/>
                      <w:iCs w:val="0"/>
                      <w:color w:val="auto"/>
                      <w:kern w:val="0"/>
                      <w:sz w:val="22"/>
                      <w:szCs w:val="22"/>
                      <w:highlight w:val="none"/>
                      <w:u w:val="none"/>
                      <w:lang w:val="en-US" w:eastAsia="zh-CN" w:bidi="ar"/>
                    </w:rPr>
                    <w:t>经验</w:t>
                  </w:r>
                  <w:bookmarkEnd w:id="27"/>
                  <w:r>
                    <w:rPr>
                      <w:rFonts w:hint="eastAsia" w:ascii="宋体" w:hAnsi="宋体" w:eastAsia="宋体" w:cs="宋体"/>
                      <w:i w:val="0"/>
                      <w:iCs w:val="0"/>
                      <w:color w:val="auto"/>
                      <w:kern w:val="0"/>
                      <w:sz w:val="22"/>
                      <w:szCs w:val="22"/>
                      <w:highlight w:val="none"/>
                      <w:u w:val="none"/>
                      <w:lang w:val="en-US" w:eastAsia="zh-CN" w:bidi="ar"/>
                    </w:rPr>
                    <w:t>（须提供能证明聘任为绿化工作管理岗位且累计工作年限≥2年的服务合同关键页扫描件并加盖投标人公章，否则按无效投标处理），熟悉绿植生长习性、病虫害防治及校园公共区域保洁标准、消杀流程。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能结合学校布局与育人需求，制定科学的绿化美化方案、年度养护计划及校园保洁、消杀工作计划，落地重大活动环境保障及摆花造景工作。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统筹管理保洁、绿化团队，合理分配工作任务，开展业务指导与技能培训，监督日常工作落实，确保保洁、绿化服务质量达标。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 定期巡查校园保洁及绿化区域，及时发现问题并制定整改措施，做好物资统筹与成本管控，优先选用环保型保洁、绿化用品，规范台账记录。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 牵头做好恶劣天气前后绿植防护、灾后恢复及校园公共区域应急保洁工作，严守行业规范与安全操作标准，杜绝作业安全隐患。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 配合学校完成植树节、重大节庆等相关工作，落实校园珍稀/名贵树木专项养护，高效对接校内相关部门，响应环境服务需求。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7.具备绿化方面专业技能，学校绿化要有规划，要严格管理，科学管护，因地制宜，做到四季常绿，根据不同的苗木、花草而采取相应的管理办法。</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9"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宿舍主管</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1.负责统筹学生宿舍管理工作，监督落实宿舍卫生、安全、纪律等各项要求。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2.协调宿管团队，组织岗前培训与日常考核，提升服务质量与应急处置能力，保障两班倒工作高效运转。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3.对接学校学工、后勤、安稳处等部门，处理学生住宿纠纷、安全隐患及突发情况，维护宿舍区稳定秩序。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4.推进宿舍文化建设，组织文明宿舍评比等活动，配合开展思政教育与安全教育宣传。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5.做好宿舍物资、设施设备的巡检与报修管理，保障门禁、水电、消防等系统正常运行，落实节能降耗要求。</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保安队长</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1.具有2年及以上秩序维护队伍的管理经验（须提供能证明从事秩序维护队伍管理岗位且累计工作年限≥2年的服务合同关键页扫描件并加盖投标人公章，否则按无效投标处理），</w:t>
                  </w:r>
                  <w:r>
                    <w:rPr>
                      <w:rFonts w:hint="eastAsia" w:ascii="宋体" w:hAnsi="宋体" w:eastAsia="宋体" w:cs="宋体"/>
                      <w:b w:val="0"/>
                      <w:bCs w:val="0"/>
                      <w:i w:val="0"/>
                      <w:iCs w:val="0"/>
                      <w:color w:val="auto"/>
                      <w:kern w:val="0"/>
                      <w:sz w:val="22"/>
                      <w:szCs w:val="22"/>
                      <w:highlight w:val="none"/>
                      <w:u w:val="none"/>
                      <w:lang w:val="en-US" w:eastAsia="zh-CN" w:bidi="ar"/>
                    </w:rPr>
                    <w:t>持有保安员证(</w:t>
                  </w:r>
                  <w:r>
                    <w:rPr>
                      <w:rFonts w:hint="eastAsia" w:ascii="宋体" w:hAnsi="宋体" w:cs="宋体"/>
                      <w:b w:val="0"/>
                      <w:bCs w:val="0"/>
                      <w:color w:val="auto"/>
                      <w:highlight w:val="none"/>
                    </w:rPr>
                    <w:t>须提供相关证件</w:t>
                  </w:r>
                  <w:r>
                    <w:rPr>
                      <w:rFonts w:hint="eastAsia" w:ascii="宋体" w:hAnsi="宋体" w:cs="宋体"/>
                      <w:b w:val="0"/>
                      <w:bCs w:val="0"/>
                      <w:color w:val="auto"/>
                      <w:highlight w:val="none"/>
                      <w:lang w:val="en-US" w:eastAsia="zh-CN"/>
                    </w:rPr>
                    <w:t>及身份证</w:t>
                  </w:r>
                  <w:r>
                    <w:rPr>
                      <w:rFonts w:hint="eastAsia" w:ascii="宋体" w:hAnsi="宋体" w:cs="宋体"/>
                      <w:b w:val="0"/>
                      <w:bCs w:val="0"/>
                      <w:color w:val="auto"/>
                      <w:highlight w:val="none"/>
                    </w:rPr>
                    <w:t>扫描件</w:t>
                  </w:r>
                  <w:r>
                    <w:rPr>
                      <w:rFonts w:hint="eastAsia" w:ascii="宋体" w:hAnsi="宋体" w:eastAsia="宋体" w:cs="宋体"/>
                      <w:i w:val="0"/>
                      <w:iCs w:val="0"/>
                      <w:color w:val="auto"/>
                      <w:kern w:val="0"/>
                      <w:sz w:val="22"/>
                      <w:szCs w:val="22"/>
                      <w:highlight w:val="none"/>
                      <w:u w:val="none"/>
                      <w:lang w:val="en-US" w:eastAsia="zh-CN" w:bidi="ar"/>
                    </w:rPr>
                    <w:t>并加盖投标人公章，否则按无效投标处理）</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做好安保维护队伍、消防与监控岗的日常管理和安全防范工作。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2.要求持</w:t>
                  </w:r>
                  <w:r>
                    <w:rPr>
                      <w:rFonts w:hint="eastAsia" w:ascii="宋体" w:hAnsi="宋体" w:cs="宋体"/>
                      <w:color w:val="auto"/>
                      <w:highlight w:val="none"/>
                    </w:rPr>
                    <w:t>有</w:t>
                  </w:r>
                  <w:r>
                    <w:rPr>
                      <w:rFonts w:hint="eastAsia" w:ascii="宋体" w:hAnsi="宋体" w:cs="宋体"/>
                      <w:color w:val="auto"/>
                      <w:highlight w:val="none"/>
                      <w:lang w:val="en-US" w:eastAsia="zh-CN"/>
                    </w:rPr>
                    <w:t>国家认可的初级</w:t>
                  </w:r>
                  <w:r>
                    <w:rPr>
                      <w:rFonts w:hint="eastAsia" w:ascii="宋体" w:hAnsi="宋体" w:cs="宋体"/>
                      <w:color w:val="auto"/>
                      <w:highlight w:val="none"/>
                    </w:rPr>
                    <w:t>消防设施操作员证书</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cs="宋体"/>
                      <w:b w:val="0"/>
                      <w:bCs w:val="0"/>
                      <w:color w:val="auto"/>
                      <w:highlight w:val="none"/>
                    </w:rPr>
                    <w:t>须提供相关证件</w:t>
                  </w:r>
                  <w:r>
                    <w:rPr>
                      <w:rFonts w:hint="eastAsia" w:ascii="宋体" w:hAnsi="宋体" w:cs="宋体"/>
                      <w:b w:val="0"/>
                      <w:bCs w:val="0"/>
                      <w:color w:val="auto"/>
                      <w:highlight w:val="none"/>
                      <w:lang w:val="en-US" w:eastAsia="zh-CN"/>
                    </w:rPr>
                    <w:t>及身份证</w:t>
                  </w:r>
                  <w:r>
                    <w:rPr>
                      <w:rFonts w:hint="eastAsia" w:ascii="宋体" w:hAnsi="宋体" w:cs="宋体"/>
                      <w:b w:val="0"/>
                      <w:bCs w:val="0"/>
                      <w:color w:val="auto"/>
                      <w:highlight w:val="none"/>
                    </w:rPr>
                    <w:t>扫描件</w:t>
                  </w:r>
                  <w:r>
                    <w:rPr>
                      <w:rFonts w:hint="eastAsia" w:ascii="宋体" w:hAnsi="宋体" w:eastAsia="宋体" w:cs="宋体"/>
                      <w:i w:val="0"/>
                      <w:iCs w:val="0"/>
                      <w:color w:val="auto"/>
                      <w:kern w:val="0"/>
                      <w:sz w:val="22"/>
                      <w:szCs w:val="22"/>
                      <w:highlight w:val="none"/>
                      <w:u w:val="none"/>
                      <w:lang w:val="en-US" w:eastAsia="zh-CN" w:bidi="ar"/>
                    </w:rPr>
                    <w:t>并加盖投标人公章，否则按无效投标处理</w:t>
                  </w:r>
                  <w:r>
                    <w:rPr>
                      <w:rFonts w:hint="eastAsia" w:ascii="宋体" w:hAnsi="宋体" w:cs="宋体"/>
                      <w:b w:val="0"/>
                      <w:bCs w:val="0"/>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。责任心强，服务意识强，熟悉监控、消控设施、设备操作。身体健康，无违法犯罪记录。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3.熟悉掌握秩序维护服务工作职责。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4.具有较高的政治思想素养和秩序维护服务业务水平，具有较强的组织、管理和协调能力，工作责任心强，能够处理突发事件。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5.熟悉治安、消防、安全的组织、管理、预防工作，协助做好秩序维护管理制度落实，对治安、消防、安全做好巡视、监督及检查，发现问题及时报告处理。</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9" w:hRule="atLeast"/>
              </w:trPr>
              <w:tc>
                <w:tcPr>
                  <w:tcW w:w="506" w:type="dxa"/>
                  <w:tcBorders>
                    <w:top w:val="single" w:color="000000" w:sz="4" w:space="0"/>
                    <w:left w:val="single" w:color="000000" w:sz="4" w:space="0"/>
                    <w:right w:val="single" w:color="000000" w:sz="4" w:space="0"/>
                  </w:tcBorders>
                  <w:noWrap/>
                  <w:vAlign w:val="bottom"/>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99" w:type="dxa"/>
                  <w:tcBorders>
                    <w:top w:val="single" w:color="000000" w:sz="4" w:space="0"/>
                    <w:left w:val="single" w:color="000000" w:sz="4" w:space="0"/>
                    <w:right w:val="single" w:color="000000" w:sz="4" w:space="0"/>
                  </w:tcBorders>
                  <w:noWrap/>
                  <w:vAlign w:val="bottom"/>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安保员</w:t>
                  </w:r>
                </w:p>
              </w:tc>
              <w:tc>
                <w:tcPr>
                  <w:tcW w:w="663" w:type="dxa"/>
                  <w:tcBorders>
                    <w:top w:val="single" w:color="000000" w:sz="4" w:space="0"/>
                    <w:left w:val="single" w:color="000000" w:sz="4" w:space="0"/>
                    <w:right w:val="single" w:color="000000" w:sz="4" w:space="0"/>
                  </w:tcBorders>
                  <w:noWrap/>
                  <w:vAlign w:val="bottom"/>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67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 要求所有安保员持有保安员证。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2.须具备思想品德良好、五官端正、身体健康、反应敏捷、作风正派、服务意识强、责任心强，语言表达能力良好且无犯罪记录。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3.须掌握普通话。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4.能接受夜间工作安排。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5.具备较强的职业敏锐感，善于发现存在安全风险的问题和隐患。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6.掌握一定的应急救护知识。</w:t>
                  </w:r>
                </w:p>
                <w:p>
                  <w:pPr>
                    <w:keepNext w:val="0"/>
                    <w:keepLines w:val="0"/>
                    <w:pageBreakBefore w:val="0"/>
                    <w:widowControl w:val="0"/>
                    <w:suppressLineNumbers w:val="0"/>
                    <w:kinsoku/>
                    <w:wordWrap/>
                    <w:overflowPunct/>
                    <w:topLinePunct w:val="0"/>
                    <w:bidi w:val="0"/>
                    <w:snapToGrid/>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7.负责教室管理工作，包括但不限制于教学楼日常管理、开关门、教学设备检查、巡查登记、故障报修等，严格执行学校常规教学及教室管理相关制度。</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kern w:val="0"/>
                      <w:sz w:val="22"/>
                      <w:szCs w:val="22"/>
                      <w:highlight w:val="none"/>
                      <w:u w:val="none"/>
                      <w:lang w:val="en-US" w:eastAsia="zh-CN" w:bidi="ar"/>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bookmarkStart w:id="29" w:name="OLE_LINK7"/>
                  <w:r>
                    <w:rPr>
                      <w:rFonts w:hint="eastAsia" w:ascii="宋体" w:hAnsi="宋体" w:eastAsia="宋体" w:cs="宋体"/>
                      <w:i w:val="0"/>
                      <w:iCs w:val="0"/>
                      <w:color w:val="auto"/>
                      <w:kern w:val="0"/>
                      <w:sz w:val="22"/>
                      <w:szCs w:val="22"/>
                      <w:highlight w:val="none"/>
                      <w:u w:val="none"/>
                      <w:lang w:val="en-US" w:eastAsia="zh-CN" w:bidi="ar"/>
                    </w:rPr>
                    <w:t>消防与监控保卫岗</w:t>
                  </w:r>
                  <w:bookmarkEnd w:id="29"/>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1.须持</w:t>
                  </w:r>
                  <w:r>
                    <w:rPr>
                      <w:rFonts w:hint="eastAsia" w:ascii="宋体" w:hAnsi="宋体" w:cs="宋体"/>
                      <w:color w:val="auto"/>
                      <w:highlight w:val="none"/>
                    </w:rPr>
                    <w:t>有</w:t>
                  </w:r>
                  <w:r>
                    <w:rPr>
                      <w:rFonts w:hint="eastAsia" w:ascii="宋体" w:hAnsi="宋体" w:cs="宋体"/>
                      <w:color w:val="auto"/>
                      <w:highlight w:val="none"/>
                      <w:lang w:val="en-US" w:eastAsia="zh-CN"/>
                    </w:rPr>
                    <w:t>国家认可的初</w:t>
                  </w:r>
                  <w:r>
                    <w:rPr>
                      <w:rFonts w:hint="eastAsia" w:ascii="宋体" w:hAnsi="宋体" w:cs="宋体"/>
                      <w:color w:val="auto"/>
                      <w:highlight w:val="none"/>
                    </w:rPr>
                    <w:t>级及以上消防设施操作员证书</w:t>
                  </w:r>
                  <w:r>
                    <w:rPr>
                      <w:rFonts w:hint="eastAsia" w:ascii="宋体" w:hAnsi="宋体" w:eastAsia="宋体" w:cs="宋体"/>
                      <w:b w:val="0"/>
                      <w:bCs w:val="0"/>
                      <w:i w:val="0"/>
                      <w:iCs w:val="0"/>
                      <w:color w:val="auto"/>
                      <w:kern w:val="0"/>
                      <w:sz w:val="22"/>
                      <w:szCs w:val="22"/>
                      <w:highlight w:val="none"/>
                      <w:u w:val="none"/>
                      <w:lang w:val="en-US" w:eastAsia="zh-CN" w:bidi="ar"/>
                    </w:rPr>
                    <w:t>(均</w:t>
                  </w:r>
                  <w:r>
                    <w:rPr>
                      <w:rFonts w:hint="eastAsia" w:ascii="宋体" w:hAnsi="宋体" w:cs="宋体"/>
                      <w:b w:val="0"/>
                      <w:bCs w:val="0"/>
                      <w:color w:val="auto"/>
                      <w:highlight w:val="none"/>
                    </w:rPr>
                    <w:t>须提供相关证件</w:t>
                  </w:r>
                  <w:r>
                    <w:rPr>
                      <w:rFonts w:hint="eastAsia" w:ascii="宋体" w:hAnsi="宋体" w:cs="宋体"/>
                      <w:b w:val="0"/>
                      <w:bCs w:val="0"/>
                      <w:color w:val="auto"/>
                      <w:highlight w:val="none"/>
                      <w:lang w:val="en-US" w:eastAsia="zh-CN"/>
                    </w:rPr>
                    <w:t>及身份证</w:t>
                  </w:r>
                  <w:r>
                    <w:rPr>
                      <w:rFonts w:hint="eastAsia" w:ascii="宋体" w:hAnsi="宋体" w:cs="宋体"/>
                      <w:b w:val="0"/>
                      <w:bCs w:val="0"/>
                      <w:color w:val="auto"/>
                      <w:highlight w:val="none"/>
                    </w:rPr>
                    <w:t>扫描件</w:t>
                  </w:r>
                  <w:r>
                    <w:rPr>
                      <w:rFonts w:hint="eastAsia" w:ascii="宋体" w:hAnsi="宋体" w:eastAsia="宋体" w:cs="宋体"/>
                      <w:i w:val="0"/>
                      <w:iCs w:val="0"/>
                      <w:color w:val="auto"/>
                      <w:kern w:val="0"/>
                      <w:sz w:val="22"/>
                      <w:szCs w:val="22"/>
                      <w:highlight w:val="none"/>
                      <w:u w:val="none"/>
                      <w:lang w:val="en-US" w:eastAsia="zh-CN" w:bidi="ar"/>
                    </w:rPr>
                    <w:t>并加盖投标人公章，否则按无效投标处理）</w:t>
                  </w:r>
                  <w:r>
                    <w:rPr>
                      <w:rFonts w:hint="eastAsia" w:ascii="宋体" w:hAnsi="宋体" w:cs="宋体"/>
                      <w:color w:val="auto"/>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负责校园消防监控室24小时专人值守，严格执行值班制度，做好值班记录、设备运行台账，确保消防控制系统、视频监控系统全天正常运转，无脱岗、空岗情况。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2.熟练操作消防报警、联动控制及视频监控全套设备，实时监控校园各区域画面，重点关注校门、宿舍区、教学区、消防通道等关键部位，及时发现火情、违规行为、安全隐患及突发事件。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到火灾报警信号后，第一时间核实火情，按流程启动应急处置程序，立即上报安稳处及物业负责人，同步配合开展火情扑救、人员疏散引导等工作；发现监控画面异常，及时上报学校相关部门并做好影像资料取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4.定期对校园消防设施（消防栓、灭火器、应急照明等）及监控设备（摄像头、线路、存储设备等）开展巡检，记录设施设备完好情况，发现损坏、缺失、画面模糊、线路故障等问题，及时报修并跟踪整改到位。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5.严格遵守监控信息保密制度，按学校要求为安稳处、公安机关等相关部门调阅、拷贝监控录像资料，办理规范的借阅登记手续，严禁泄露、外传监控内容，严禁无关人员进入消防监控室。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6.协助安稳处制定消防应急演练计划，参与并配合开展校园消防、防暴等应急演练，向物业团队普及消防安全知识和消防监控设备操作技能，落实消防安全宣传要求。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 做好消防监控档案资料管理，包括设施巡检记录、报警处置记录、演练记录、设备维修更换记录、监控资料借阅记录等，确保各类档案完整、规范、可追溯。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8.配合学校安稳处及公安机关开展消防安全检查、治安案件调查等工作，落实相关整改要求，消除校园消防及治安隐患；配合安保巡逻工作，形成人防、技防联动，保障校园安全。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9.保持消防监控室室内整洁，妥善保管设备操作密码、监控室钥匙，严禁擅自操作、改动设备参数，做好设备日常清洁与维护，确保工作环境符合安全规范。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10.完成学校安稳处及物业交办的其他消防、监控相关工作，响应校园突发安全事件的应急处置，做到快速反应、规范操作、及时上报。</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负责消防及监控室值守，三班倒，每班2人。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保洁员</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suppressLineNumbers w:val="0"/>
                    <w:kinsoku/>
                    <w:wordWrap/>
                    <w:overflowPunct/>
                    <w:topLinePunct w:val="0"/>
                    <w:bidi w:val="0"/>
                    <w:snapToGrid/>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身体健康，具备良好的服务意识与责任心，能吃苦耐劳，服从工作安排。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2.负责校园公共区域（含教学楼、办公楼、公共卫生间、道路、操场等）的日常清扫保洁，做到 “五无五净”：无垃圾、无杂物、无积泥、无积水、无污迹，路面干净，地面、路肩、路侧石干净，沟渠干净，果皮箱、垃圾桶等设施干净，学校重大活动、接待保障到位。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3.负责校园垃圾收集、分类清运及垃圾桶、果皮箱的日常清洁维护，做到日产日清，无异味、无满溢。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4.负责校园内水渠清淤、雨水井疏通及雨后积水清理，保障排水通畅。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5.负责校园公共区域预防性卫生消毒、蚊虫消杀工作，按规范频次开展作业，保障校园卫生安全。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6.负责学生宿舍公共区域（楼道、卫生间、洗漱台等）的清洁保洁，为学生提供干净、整洁的住宿环境。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7.负责景观水池清洁维护，及时打捞落叶、杂物，保证水质清洁无恶臭。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及时修复或上报损坏的垃圾桶、移动垃圾箱等保洁设施，确保设施正常使用。</w:t>
                  </w:r>
                </w:p>
                <w:p>
                  <w:pPr>
                    <w:keepNext w:val="0"/>
                    <w:keepLines w:val="0"/>
                    <w:pageBreakBefore w:val="0"/>
                    <w:widowControl w:val="0"/>
                    <w:numPr>
                      <w:ilvl w:val="-1"/>
                      <w:numId w:val="0"/>
                    </w:numPr>
                    <w:suppressLineNumbers w:val="0"/>
                    <w:kinsoku/>
                    <w:wordWrap/>
                    <w:overflowPunct/>
                    <w:topLinePunct w:val="0"/>
                    <w:bidi w:val="0"/>
                    <w:snapToGrid/>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8.负责学校日常大型会议、大型接待、开学、毕业典礼、其他重要会议等会议所要求的基本会务工作。</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绿化员</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1.身体健康，具备基础的植物养护知识，热爱绿化工作，服从管理。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2.负责校园内各类绿植、花卉的日常维护、养护、修剪，包括绿地内花池、花卉、树木、苗木的日常养护，花盆育苗，补植补栽等工作。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3.负责校园绿植的浇水、施肥、修剪整形、病虫害防治、除草等工作，做到绿地无裸露、无杂草，植株生长旺盛，无病虫害。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4.负责校园重大活动的摆花造景、环境布置工作，按要求完成绿植摆放、造型设计。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5.负责恶劣天气前后的绿植防护、灾后恢复工作，及时扶正、加固倒伏树木，清理断枝落叶。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6.负责校园绿化垃圾（如碎瓦块、断枝、草末等）的清运处理，做到日产日清。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7.负责珍稀/名贵树木的专项养护，严格按照技术规范操作，保障树木健康生长。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8.配合学校完成植树节、校园美化等相关工作，向师生普及绿化养护知识。</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宿舍管理员</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1.主要负责宿舍管理工作，提供门值、师生咨询、钥匙管理、来访登记、物品出入登记、宿舍楼内安全巡查及协助学校开展公寓文化建设、服务育人等工作。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2.要求身体健康，可根据宿舍要求配备男性或女性管理员。</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p>
              </w:tc>
            </w:tr>
          </w:tbl>
          <w:p>
            <w:pPr>
              <w:keepLines w:val="0"/>
              <w:pageBreakBefore w:val="0"/>
              <w:widowControl w:val="0"/>
              <w:kinsoku/>
              <w:wordWrap/>
              <w:overflowPunct/>
              <w:topLinePunct w:val="0"/>
              <w:bidi w:val="0"/>
              <w:snapToGrid/>
              <w:spacing w:line="240" w:lineRule="auto"/>
              <w:rPr>
                <w:rFonts w:hint="eastAsia" w:ascii="宋体" w:hAnsi="宋体" w:cs="仿宋"/>
                <w:b/>
                <w:color w:val="auto"/>
                <w:sz w:val="24"/>
                <w:highlight w:val="none"/>
              </w:rPr>
            </w:pPr>
            <w:r>
              <w:rPr>
                <w:rFonts w:hint="eastAsia" w:ascii="宋体" w:hAnsi="宋体" w:cs="仿宋"/>
                <w:b/>
                <w:color w:val="auto"/>
                <w:sz w:val="24"/>
                <w:highlight w:val="none"/>
              </w:rPr>
              <w:t>三、服务要求</w:t>
            </w:r>
          </w:p>
          <w:p>
            <w:pPr>
              <w:keepNext/>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2"/>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rPr>
              <w:t>（一）</w:t>
            </w:r>
            <w:r>
              <w:rPr>
                <w:rFonts w:hint="eastAsia" w:ascii="宋体" w:hAnsi="宋体" w:cs="仿宋"/>
                <w:b/>
                <w:bCs/>
                <w:color w:val="auto"/>
                <w:kern w:val="0"/>
                <w:szCs w:val="21"/>
                <w:highlight w:val="none"/>
                <w:lang w:val="en-US" w:eastAsia="zh-CN"/>
              </w:rPr>
              <w:t>物业服务具体要求</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bookmarkStart w:id="30" w:name="_Toc19921"/>
            <w:r>
              <w:rPr>
                <w:rFonts w:hint="eastAsia" w:ascii="宋体" w:hAnsi="宋体" w:cs="仿宋"/>
                <w:color w:val="auto"/>
                <w:szCs w:val="21"/>
                <w:highlight w:val="none"/>
              </w:rPr>
              <w:t>1.物业服务公司必须建立健全物业服务和秩序维护服务的全套管理制度、作业流程、应急预案，具有明确的各项管理服务标准和质量保证体系，保证各项服务工作标准化、规范化，并制定物业管理工作计划及实施时间，有专职管理人员处理各项咨询、投诉、报修工作，实行24小时巡查值班，确保服务工作有序高效运行。</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2.物业服务公司负责组织一支身体健康、思想素质高、业务能力强的物业服务队伍，物业服务公司聘用的员工，必须符合法律、政策的有关要求，并严格执行工作纪律和岗位责任，要求做到统一服装、佩戴标志、熟悉业务、服务意识强、敬业精神强、业务素质好，行为语言规范，服务主动、热情。</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3.物业服务公司要通过会议、培训等方式定期对服务人员进行物业管理业务培训、安全警示教育、消防培训及其他服务培训，不断提高各岗位人员业务能力，以符合服务需求。</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4.物业服务公司要明确岗位职责并考核，制定年度工作计划和员工培训计划，积极响应师生诉求、接到投诉需及时解决。提供相关的特约服务和便民服务。主动配合学校做好服务及其他临时交办的工作。如遇学校各类重大活动、会议、团体接待、突发事件等，物业服务公司须在秩序维护、保洁、绿化美化等方面无条件配合学校做好服务工作；节假日要有专题布置。</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5.建立物业服务日常巡查工作制度，其中物业服务项目经理每周全面巡查物业工作不少于3次，综合主管需每天巡查分管物业工作，并形成巡查报告每周上报给学校后勤管理部门。</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6.物业服务公司派出的工作人员</w:t>
            </w:r>
            <w:r>
              <w:rPr>
                <w:rFonts w:hint="eastAsia" w:ascii="宋体" w:hAnsi="宋体" w:cs="仿宋"/>
                <w:color w:val="auto"/>
                <w:szCs w:val="21"/>
                <w:highlight w:val="none"/>
                <w:lang w:val="en-US" w:eastAsia="zh-CN"/>
              </w:rPr>
              <w:t>严禁</w:t>
            </w:r>
            <w:r>
              <w:rPr>
                <w:rFonts w:hint="eastAsia" w:ascii="宋体" w:hAnsi="宋体" w:cs="仿宋"/>
                <w:color w:val="auto"/>
                <w:szCs w:val="21"/>
                <w:highlight w:val="none"/>
              </w:rPr>
              <w:t>与教师、学生发生谩骂、冲突、殴打等行为，否则承担一切由此引起的法律及经济责任，如发生以上严重影响学校形象的行为，学校有权终止本合同。</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7.物业服务公司投入到本项目的各类设施设备须齐全并在指定区域收纳摆放整齐，不能在工作区域堆放任何杂物或私人物品。公共区域楼内设备摆放整齐，不得占用走廊、楼梯摆放杂物。</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8.物业服务公司负责物业服务管理档案及资料归档和管理，保证各类档案、资料完整便于工作查询，本合同到期后，进行工作交接时，将各种物业管理档案及资料一并移交给学校。</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9.物业服务公司按照人员配置足额派遣服务保障人员，所有聘用人员需向学校报备，并服从学校的人员调动要求，核心岗位</w:t>
            </w:r>
            <w:r>
              <w:rPr>
                <w:rFonts w:hint="eastAsia" w:ascii="宋体" w:hAnsi="宋体" w:cs="仿宋"/>
                <w:color w:val="auto"/>
                <w:szCs w:val="21"/>
                <w:highlight w:val="none"/>
                <w:lang w:val="en-US" w:eastAsia="zh-CN"/>
              </w:rPr>
              <w:t>人员</w:t>
            </w:r>
            <w:r>
              <w:rPr>
                <w:rFonts w:hint="eastAsia" w:ascii="宋体" w:hAnsi="宋体" w:cs="仿宋"/>
                <w:color w:val="auto"/>
                <w:szCs w:val="21"/>
                <w:highlight w:val="none"/>
                <w:lang w:eastAsia="zh-CN"/>
              </w:rPr>
              <w:t>（</w:t>
            </w:r>
            <w:r>
              <w:rPr>
                <w:rFonts w:hint="eastAsia" w:ascii="宋体" w:hAnsi="宋体" w:cs="仿宋"/>
                <w:color w:val="auto"/>
                <w:szCs w:val="21"/>
                <w:highlight w:val="none"/>
              </w:rPr>
              <w:t>物业经理、综合主管、保洁及绿化主管、宿舍主管、保安队长、消防与监控保卫岗</w:t>
            </w:r>
            <w:r>
              <w:rPr>
                <w:rFonts w:hint="eastAsia" w:ascii="宋体" w:hAnsi="宋体" w:cs="仿宋"/>
                <w:color w:val="auto"/>
                <w:szCs w:val="21"/>
                <w:highlight w:val="none"/>
                <w:lang w:val="en-US" w:eastAsia="zh-CN"/>
              </w:rPr>
              <w:t>等</w:t>
            </w:r>
            <w:r>
              <w:rPr>
                <w:rFonts w:hint="eastAsia" w:ascii="宋体" w:hAnsi="宋体" w:cs="仿宋"/>
                <w:color w:val="auto"/>
                <w:szCs w:val="21"/>
                <w:highlight w:val="none"/>
                <w:lang w:eastAsia="zh-CN"/>
              </w:rPr>
              <w:t>）</w:t>
            </w:r>
            <w:r>
              <w:rPr>
                <w:rFonts w:hint="eastAsia" w:ascii="宋体" w:hAnsi="宋体" w:cs="仿宋"/>
                <w:color w:val="auto"/>
                <w:szCs w:val="21"/>
                <w:highlight w:val="none"/>
              </w:rPr>
              <w:t>进驻学校后非特殊情况（如身体状况、个人职业发展等）不允许随意变更，确需变更的，必须报学校审批，同意后方可变更；如项目人员达不到学校的服务要求，学校有权要求物业服务公司更换人员；如有人员辞退必须在不影响服务质量的前提下及时补充并做好交接工作，若因交接衔接不好，致使学校工作受到影响者，如物业服务公司未按学校要求配备、配齐相关工作人员（因员工提出辞职后导致的缺员，人员补员期为一周），或因缺员影响物业服务工作的，学校有权按所缺人员的数量及相关费用标准从物业管理费中扣除。员工补充期内不能影响学校正常工作。聘用员工需身体健康，能胜任本职工作，社会征信良好且无违法犯罪记录；物业服务公司每月要提供在校内工作人员的员工花名册及考勤记录表、工作分工、联系电话，每月由学校对应部门负责核实实际在编在岗人员数。如出现虚报人数的情况，学校有权依据合同、各类考核要求等扣减相应服务费作为处罚；物业服务公司严格按照《中华人民共和国劳动法》等相关规定进行用工，不得存在违法用工行为。</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10.物业服务公司核心岗位</w:t>
            </w:r>
            <w:r>
              <w:rPr>
                <w:rFonts w:hint="eastAsia" w:ascii="宋体" w:hAnsi="宋体" w:cs="仿宋"/>
                <w:color w:val="auto"/>
                <w:szCs w:val="21"/>
                <w:highlight w:val="none"/>
                <w:lang w:val="en-US" w:eastAsia="zh-CN"/>
              </w:rPr>
              <w:t>人员</w:t>
            </w:r>
            <w:r>
              <w:rPr>
                <w:rFonts w:hint="eastAsia" w:ascii="宋体" w:hAnsi="宋体" w:cs="仿宋"/>
                <w:color w:val="auto"/>
                <w:szCs w:val="21"/>
                <w:highlight w:val="none"/>
                <w:lang w:eastAsia="zh-CN"/>
              </w:rPr>
              <w:t>（</w:t>
            </w:r>
            <w:r>
              <w:rPr>
                <w:rFonts w:hint="eastAsia" w:ascii="宋体" w:hAnsi="宋体" w:cs="仿宋"/>
                <w:color w:val="auto"/>
                <w:szCs w:val="21"/>
                <w:highlight w:val="none"/>
              </w:rPr>
              <w:t>物业经理、综合主管、保洁及绿化主管、宿舍主管、保安队长、消防与监控保卫岗</w:t>
            </w:r>
            <w:r>
              <w:rPr>
                <w:rFonts w:hint="eastAsia" w:ascii="宋体" w:hAnsi="宋体" w:cs="仿宋"/>
                <w:color w:val="auto"/>
                <w:szCs w:val="21"/>
                <w:highlight w:val="none"/>
                <w:lang w:val="en-US" w:eastAsia="zh-CN"/>
              </w:rPr>
              <w:t>等</w:t>
            </w:r>
            <w:r>
              <w:rPr>
                <w:rFonts w:hint="eastAsia" w:ascii="宋体" w:hAnsi="宋体" w:cs="仿宋"/>
                <w:color w:val="auto"/>
                <w:szCs w:val="21"/>
                <w:highlight w:val="none"/>
                <w:lang w:eastAsia="zh-CN"/>
              </w:rPr>
              <w:t>）</w:t>
            </w:r>
            <w:r>
              <w:rPr>
                <w:rFonts w:hint="eastAsia" w:ascii="宋体" w:hAnsi="宋体" w:cs="仿宋"/>
                <w:color w:val="auto"/>
                <w:szCs w:val="21"/>
                <w:highlight w:val="none"/>
              </w:rPr>
              <w:t>正常上班时间必须在校在岗，因公、因私离岗的，必须向学校后勤管理部门办理请假报备手续，返岗后及时向学校后勤管理部门办理销假手续；寒暑假或节假日期间，必须做好相关人员的值班安排，并报学校后勤管理部门备案。</w:t>
            </w:r>
          </w:p>
          <w:p>
            <w:pPr>
              <w:keepNext/>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hint="eastAsia" w:ascii="宋体" w:hAnsi="宋体" w:cs="仿宋"/>
                <w:color w:val="auto"/>
                <w:szCs w:val="21"/>
                <w:highlight w:val="none"/>
              </w:rPr>
            </w:pPr>
            <w:r>
              <w:rPr>
                <w:rFonts w:hint="eastAsia" w:ascii="宋体" w:hAnsi="宋体" w:cs="仿宋"/>
                <w:color w:val="auto"/>
                <w:szCs w:val="21"/>
                <w:highlight w:val="none"/>
              </w:rPr>
              <w:t>11.物业公司必须按相关法律法规及行业规范为员工缴纳社保，且员工工资标准必须符合相关法律法规及行业规范要求。</w:t>
            </w:r>
          </w:p>
          <w:p>
            <w:pPr>
              <w:keepNext/>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2"/>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（二）</w:t>
            </w:r>
            <w:bookmarkEnd w:id="30"/>
            <w:r>
              <w:rPr>
                <w:rFonts w:hint="eastAsia" w:ascii="宋体" w:hAnsi="宋体" w:cs="仿宋"/>
                <w:b/>
                <w:bCs/>
                <w:color w:val="auto"/>
                <w:kern w:val="0"/>
                <w:szCs w:val="21"/>
                <w:highlight w:val="none"/>
              </w:rPr>
              <w:t>机械设备及物资配备要求</w:t>
            </w:r>
          </w:p>
          <w:p>
            <w:pPr>
              <w:pStyle w:val="27"/>
              <w:keepLines w:val="0"/>
              <w:pageBreakBefore w:val="0"/>
              <w:widowControl w:val="0"/>
              <w:kinsoku/>
              <w:wordWrap/>
              <w:overflowPunct/>
              <w:topLinePunct w:val="0"/>
              <w:autoSpaceDE/>
              <w:autoSpaceDN/>
              <w:bidi w:val="0"/>
              <w:adjustRightInd/>
              <w:snapToGrid/>
              <w:spacing w:line="360" w:lineRule="exact"/>
              <w:ind w:firstLine="420"/>
              <w:jc w:val="both"/>
              <w:textAlignment w:val="auto"/>
              <w:rPr>
                <w:rFonts w:hint="default"/>
                <w:color w:val="auto"/>
                <w:sz w:val="21"/>
                <w:szCs w:val="21"/>
                <w:highlight w:val="none"/>
                <w:lang w:eastAsia="zh-CN"/>
              </w:rPr>
            </w:pPr>
            <w:r>
              <w:rPr>
                <w:rFonts w:hint="eastAsia"/>
                <w:color w:val="auto"/>
                <w:sz w:val="21"/>
                <w:szCs w:val="21"/>
                <w:highlight w:val="none"/>
              </w:rPr>
              <w:t>物业公司至少配备安保服务所需的秩序人员装备（如服装、对讲机、手电筒、警棍等），满足必备的通讯及不少于20套非攻击性防卫器材（含防暴钢叉、橡胶棍、约束带、防刺背心等）；提供满足工作所需的车辆，至少配备二轮电动车5辆（因学校依山而建，且保安负责区域较大，因此二轮电动车主要用于值守人员日常巡逻），四轮14座及以上电动车1辆（</w:t>
            </w:r>
            <w:r>
              <w:rPr>
                <w:rFonts w:hint="eastAsia"/>
                <w:color w:val="auto"/>
                <w:sz w:val="21"/>
                <w:szCs w:val="21"/>
                <w:highlight w:val="none"/>
                <w:lang w:val="en-US" w:eastAsia="zh-CN"/>
              </w:rPr>
              <w:t>因学校人数众多，</w:t>
            </w:r>
            <w:r>
              <w:rPr>
                <w:rFonts w:hint="eastAsia"/>
                <w:color w:val="auto"/>
                <w:sz w:val="21"/>
                <w:szCs w:val="21"/>
                <w:highlight w:val="none"/>
              </w:rPr>
              <w:t>作为应对突发事件所需的多人交通工具，在遇到打架斗殴、寻衅滋事等紧急情况需要调配安保力量的，需要通过</w:t>
            </w:r>
            <w:r>
              <w:rPr>
                <w:rFonts w:hint="eastAsia"/>
                <w:color w:val="auto"/>
                <w:sz w:val="21"/>
                <w:szCs w:val="21"/>
                <w:highlight w:val="none"/>
                <w:lang w:val="en-US" w:eastAsia="zh-CN"/>
              </w:rPr>
              <w:t>多座</w:t>
            </w:r>
            <w:r>
              <w:rPr>
                <w:rFonts w:hint="eastAsia"/>
                <w:color w:val="auto"/>
                <w:sz w:val="21"/>
                <w:szCs w:val="21"/>
                <w:highlight w:val="none"/>
              </w:rPr>
              <w:t>车辆集中调遣保安人员）。根据学校绿化情况，自行配置保洁、绿化、养护的工作设备、劳动用具。如配置抽水机、大功率抽湿机、大小剪刀、草坪机、绿篱机、打边机、斗车、大手锯、油锯、柴刀等设备工具以及设备运行所用油料。根据学校工作要求及物业服务情况，配置垃圾清运车、垃圾桶/</w:t>
            </w:r>
            <w:r>
              <w:rPr>
                <w:rFonts w:hint="eastAsia"/>
                <w:color w:val="auto"/>
                <w:sz w:val="21"/>
                <w:szCs w:val="21"/>
                <w:highlight w:val="none"/>
                <w:lang w:eastAsia="zh-CN"/>
              </w:rPr>
              <w:t>移动垃圾箱</w:t>
            </w:r>
            <w:r>
              <w:rPr>
                <w:rFonts w:hint="eastAsia"/>
                <w:color w:val="auto"/>
                <w:sz w:val="21"/>
                <w:szCs w:val="21"/>
                <w:highlight w:val="none"/>
              </w:rPr>
              <w:t>等。物业公司配备的所有车辆、器材由其负责日常维护、年检及更新，确保使用状态良好，车辆仅用于校园物业服务工作，不得挪作他用。</w:t>
            </w:r>
          </w:p>
          <w:p>
            <w:pPr>
              <w:keepNext/>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2"/>
              <w:rPr>
                <w:rFonts w:hint="eastAsia" w:ascii="宋体" w:hAnsi="宋体" w:cs="仿宋"/>
                <w:b/>
                <w:bCs/>
                <w:color w:val="auto"/>
                <w:kern w:val="0"/>
                <w:szCs w:val="21"/>
                <w:highlight w:val="none"/>
                <w:lang w:eastAsia="zh-CN"/>
              </w:rPr>
            </w:pPr>
            <w:bookmarkStart w:id="31" w:name="_Toc20892"/>
            <w:bookmarkStart w:id="32" w:name="_Toc2004"/>
            <w:bookmarkStart w:id="33" w:name="_Toc9887"/>
            <w:r>
              <w:rPr>
                <w:rFonts w:hint="eastAsia" w:ascii="宋体" w:hAnsi="宋体" w:cs="仿宋"/>
                <w:b/>
                <w:bCs/>
                <w:color w:val="auto"/>
                <w:kern w:val="0"/>
                <w:szCs w:val="21"/>
                <w:highlight w:val="none"/>
              </w:rPr>
              <w:t>（三）</w:t>
            </w:r>
            <w:bookmarkEnd w:id="31"/>
            <w:bookmarkEnd w:id="32"/>
            <w:bookmarkEnd w:id="33"/>
            <w:r>
              <w:rPr>
                <w:rFonts w:hint="eastAsia" w:ascii="宋体" w:hAnsi="宋体" w:cs="仿宋"/>
                <w:b/>
                <w:bCs/>
                <w:color w:val="auto"/>
                <w:kern w:val="0"/>
                <w:szCs w:val="21"/>
                <w:highlight w:val="none"/>
              </w:rPr>
              <w:t>具体服务内容</w:t>
            </w:r>
            <w:r>
              <w:rPr>
                <w:rFonts w:hint="eastAsia" w:ascii="宋体" w:hAnsi="宋体" w:cs="仿宋"/>
                <w:b/>
                <w:bCs/>
                <w:color w:val="auto"/>
                <w:kern w:val="0"/>
                <w:szCs w:val="21"/>
                <w:highlight w:val="none"/>
                <w:lang w:eastAsia="zh-CN"/>
              </w:rPr>
              <w:t>：</w:t>
            </w:r>
          </w:p>
          <w:tbl>
            <w:tblPr>
              <w:tblStyle w:val="20"/>
              <w:tblW w:w="6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
              <w:gridCol w:w="1430"/>
              <w:gridCol w:w="4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类型</w:t>
                  </w:r>
                </w:p>
              </w:tc>
              <w:tc>
                <w:tcPr>
                  <w:tcW w:w="44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5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安全保卫服务</w:t>
                  </w:r>
                </w:p>
              </w:tc>
              <w:tc>
                <w:tcPr>
                  <w:tcW w:w="44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（一）保安服务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1.全面负责学校大门出入口24小时管理与控制，严格执行人员、车辆、物资进出登记核实制度，对外来人员及携带大件物品、外来车辆逐一询问并与相关部门核实，同意后方可入校；大件 / 大宗物品搬出需查验相关部门开具的证明，经核实后放行。对物品进出实行安检、登记、电话确认等分类管理，严防毒品、军火弹药、管制刀具、易燃易爆品等违禁品，以及动物、未经授权的专业摄影设备、无人机等限带品进入校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排查校门及校园内可疑人员，对不出示证件、不按规定登记、不听劝阻强行闯入者及时劝离，必要时通知公安机关处理；配合相关部门疏导上访人员，有效处置出入口人群聚集、车辆拥堵、货物堵塞道路等情况，维护校园出入口秩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校园出入口现场接待服务，做好来访人员、车辆进出证件登记并及时通报；现场业务办理等待时间不超过5分钟，长时间等待需及时沟通；对来访人员的咨询、建议、求助及时处理或答复，处理和答复率达100%，并告知被访人办公位置及访客注意事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负责校园全域治安巡逻，划分巡逻区域及路线，覆盖教学楼、宿舍区、实训区、体育馆、图书馆等所有区域，做好巡逻记录；重点部位实行外围定点守护，及时发现并消除防火、防盗、防投毒等安全隐患，制止校园内违规行为，维护正常教学、生活秩序；夜间巡逻需进入建筑内部开展，及时关闭公共区域、宿舍楼等非必要灯光，落实节能降耗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5.维护校园内交通秩序，做好车辆指挥与停放管理，规划车辆行驶及停放区域，保证校园内交通顺畅、行驶安全、停放有序，杜绝车辆乱停乱放、占用消防通道等行为。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合学校安稳处、后勤处、学工处开展校园内部治安综合治理工作，及时受理校区内各类纠纷和治安案件，公正、准确处置校园内各类突发事件；随时出警为师生提供紧急救助服务，具备基础应急救护能力，能第一时间开展简易救护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6.协助并配合楼宇内部安全防范工作，为宿舍、教室、办公楼等楼宇的安全管理提供安全力量支援；配合公安机关及有关部门，处理和打击校园内部与周边的治安事件、违法犯罪活动，及时提供相关线索及协助。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完成学校临时交办的其他安保相关工作，配合学校各类重大活动、会议、团体接待的现场秩序维护，制定专项安保方案，增派安保人员，确保活动顺利开展。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（二）消防及监控管理服务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1.消防监控室实行 24 小时专人值班制度，值班人员持有效消防设施操作员证书上岗，严禁脱岗、空岗、酒后值班，做好值班记录、设备运行台账，确保消防控制系统、报警系统、联动系统及校园视频监控系统全天正常运转。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值班人员熟练操作消防报警、联动控制及视频监控全套设备，实时监控校园各区域监控画面，重点关注校门、宿舍区、教学区、消防通道、配电室、食堂等关键部位，及时发现火情、违规行为、安全隐患及突发事件；熟练调阅监控画面、回放录像、存储视频资料，监控录像保存期限符合相关规定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到火灾报警信号后，第一时间通过监控画面及现场核实火情，按规范流程启动应急处置程序，立即上报学校安稳处及物业负责人，同步启动相应消防应急预案，配合开展火情扑救、人员疏散引导等工作；发现监控画面中出现人员冲突、财物失窃、设施损坏、消防通道堵塞等异常情况，及时上报学校相关部门并做好影像资料取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期对校园内消防设施设备开展巡检，包括消防栓、灭火器、应急照明、疏散指示标志、消防水泵、防火门等，检查设施完好性、有效性，做好巡检记录；发现消防设施损坏、缺失、过期、堵塞等问题，及时报修并跟踪整改到位，确保消防设施随时可启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定期对校园视频监控设备进行检查，包括摄像头、线路、存储设备、显示屏等，检查画面清晰度、设备运行状态、线路连接情况，做好检查记录；发现画面模糊、设备故障、线路损坏等问题，及时报修并配合维修人员完成检修，确保监控系统全覆盖、无死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6.严格遵守监控信息保密制度，严禁泄露、外传监控内容，严禁无关人员进入消防监控室；按学校要求，为安稳处、公安机关等相关部门调阅、拷贝监控录像资料，办理规范的借阅登记手续，做好资料交接记录。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协助学校安稳处制定消防应急演练计划，配合开展校园消防、防爆、电梯困人等应急演练，做好演练现场的设备操作、信号传递、记录备案工作；向物业安保团队及师生普及消防安全知识、消防器材使用方法及监控设备相关安全规范，落实消防安全宣传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做好消防及监控档案资料管理，包括设施设备巡检记录、报警处置记录、应急演练记录、设备维修更换记录、监控资料借阅记录等，确保各类档案完整、规范、可追溯；保持消防监控室室内整洁，妥善保管设备操作密码、监控室钥匙，严禁擅自操作、改动设备参数，做好设备日常清洁与维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配合校园安保巡逻工作，通过监控画面为巡逻人员提供现场支持，对巡逻反馈的重点区域进行重点监控，形成人防、技防联动；配合学校安稳处开展消防安全检查，落实消防安全整改要求，及时消除校园消防及治安隐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10.完成学校安稳处及物业交办的其他消防、监控相关工作，响应校园突发安全事件的应急处置，做到快速反应、规范操作、及时上报，确保校园消防及监控安全管理工作落实到位。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5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保洁服务</w:t>
                  </w:r>
                </w:p>
              </w:tc>
              <w:tc>
                <w:tcPr>
                  <w:tcW w:w="44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体要求：清洁保洁达到“五无五净”：清洁保洁区域无垃圾、无杂物、无积泥、无长时间积水、无污渍。路面干净，树池、路肩侧石干净，井沟井盖干净，果皮箱、灯杆等设施干净。垃圾收集点生活垃圾日产日清，地面干净，无垃圾散落；分类桶、果皮箱等环卫设施干净、整齐；学校重大活动、接待保障到位；突发应急事件处置得力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1.校园主干道保洁：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（1）要求维持保洁区域的清洁，及时清理道路两旁10米范围内（含绿化带）的落叶、枯枝、塑料袋、塑料瓶、果皮、废纸等垃圾和杂物，做到区域内无明显垃圾。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（2）每天上午、下午上班时间段各清扫一次，其他时间主要是捡拾道路上的垃圾、树木落枝，保持所负责区域干净。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（3）如遇下雨天，负责及时清扫、疏通保洁区域内道路排水口、排水管道，以防路面积水。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（4）不定期疏通水沟、雨水箅子等下水构造物，及时解决雨水排放问题。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2.公共区域保洁：负责对学院校园内公共区域及各种重大活动后临时安排的环境卫生整治清理保洁工作（如清理杂物及其他公共垃圾等）。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（1）办公楼大厅、楼内公共通道：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①公共通道保持干净，无异味、无杂物、无积水，每日至少开展1次清洁作业。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②门窗玻璃干净无尘，透光性好，每周至少开展1次清洁作业。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③指示牌干净，无污渍，每日至少开展1次清洁作业。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（2）电器、消防等设施设备：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①配电箱、设备机房、会议室音视频设备、消防栓及开关插座等保持表面干净，无尘无污迹，每月至少开展1次清洁作业。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②监控摄像头、门禁系统等表面光亮，无尘、无斑点，每月至少开展1次清洁作业。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（3）楼梯及楼梯间保持干净、无异味、无杂物、无积水，每日至少开展1次清洁作业。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（4）开水间保持干净、无异味、无杂物、无积水，每日至少开展1次清洁作业。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（5）作业工具间：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①保持干净，无异味、无杂物、无积水，每日至少开展1次清洁作业。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②作业工具摆放整齐有序，表面干净无渍，每日消毒。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（6）公共卫生间：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保持干净，无异味，无堵塞，垃圾无溢出，每日至少开展1次清洁作业。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（7）电梯轿厢：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①保持干净，无污渍、无粘贴物、无异味，每日至少开展1次清洁作业。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②灯具、操作指示板明亮。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（8）平台、屋顶、天沟保持干净，有杂物及时清扫，每月至少开展1次清洁作业。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（9）石材地面、内墙做好养护工作，每季度开展1次清洁作业。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（10）办公用房区域、公共场所区域和周围环境预防性卫生消毒，消毒后及时通风，每季度至少开展1次作业。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（11）采取综合措施消灭老鼠、蟑螂，控制室内外蚊虫滋生，达到基本无蝇，每季度至少开展1次作业。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（12）发生公共卫生事件时，邀请专业单位开展消毒、检测等工作。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在指定位置摆放分类垃圾桶，并在显著处张贴垃圾分类标识。分类垃圾桶和垃圾分类标识根据防城港市的要求设置，垃圾分类投放管理工作的执行标准，按防城港市的要求执行。桶身表面干净无污渍，每日开展至少1次清洁作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垃圾中转处（集中堆放垃圾的移动垃圾箱或垃圾桶）保持整洁，无明显异味，每日至少开展1次清洁作业。做到日产日清，每个工作日内要对办公楼各楼层产生的垃圾，进行清理分类，并运至垃圾集中堆放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3.室内清洁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（1）清洁范围：学校指定的办公室、会议室、报告厅、公共区域等。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（2）清洁频率：每周至少清洁一次，根据要求或实际情况增加清洁次数。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（3）玻璃门窗目视无明显污迹、手印。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（4）地面干净无污渍、无垃圾。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（5）话筒等设备，无明显灰尘、污迹。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（6）使用过的设备摆放整齐、干净。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（7）室内空气清新无异味。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（8）擦拭门、椅、柜、电脑等室内设施和室内装饰物，保证物品摆放整齐不凌乱。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（9）清洁地面，保证地面干净无浮尘、无杂物、垃圾和痰渍。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（10）指定的窗帘（含宿舍内窗帘）、沙发垫等物品每年清洗不少于2次并晾晒干燥后恢复原位。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4.负责做好校园内的排水沟内垃圾清理、排水沟堵塞疏通及各楼栋楼面清洁和排水疏通等方面工作。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5.垃圾桶及周边环境卫生要求：每月对校园内所有垃圾桶或移动垃圾箱清洗1次以上，及时清理垃圾桶和移动垃圾箱周边垃圾，保持垃圾桶和移动垃圾箱周边环境整洁。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6.卫生间要求：地面无烟头、污渍、积水、纸屑、果皮，天花板、墙角、灯具目视无灰尘和蜘蛛网，目视墙壁干净，便器洁净无黄渍，室内无异味、臭味。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7.配合校方做好环境卫生宣传教育工作，把增强学生的清洁卫生意识、纠正学生的不良卫生习惯与环境卫生管理相结合，使学生自觉地参与到环卫工作中。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服务期限内，负责每年秋季学期新生宿舍的深度清洁工作，具体包括房间、卫生间、阳台、洗漱台、吊顶和风扇的清洗，床铺桌椅及储物柜整理和清洁，宿舍内天花、地板、门窗等的清洁清扫等，为新生提供一个干净、整洁、舒适的住宿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9.景观水池清洗至少一年4次，水池水面定期清理，无枯枝落叶、水质清洁，保证水池无恶臭等，不影响美观。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10.学校临时安排的校园内的卫生保洁、校园环境治理等工作。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11.根据学校工作要求配备垃圾桶、移动垃圾箱，数量需要满足学校工作要求，现有垃圾桶/移动垃圾箱有损坏的应当及时修复，若无法修复或修复后性能达不到美观要求或不实用的，应当及时更换全新货物。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0" w:hRule="atLeast"/>
              </w:trPr>
              <w:tc>
                <w:tcPr>
                  <w:tcW w:w="5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绿化维护服务</w:t>
                  </w:r>
                </w:p>
              </w:tc>
              <w:tc>
                <w:tcPr>
                  <w:tcW w:w="44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1.负责对校园内各类绿植、花卉等进行维护、养护、修剪等。主要工作包括但不限于：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（1）绿地内的花池、花卉、草地、树木日常养护工作。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（2）绿地内花卉、植物种植、补植、换植工作。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花圃育苗育花工作。年内严格按照相关标准和规范，精心育植花盆、苗盆。所育植花卉的品种、规格、质量等需符合学校的具体要求。同时，要及时、准确地对所栽植的花卉进行摆放，确保花卉摆放的位置、布局符合实际需求。花卉育植过程中，需注意保护花卉及摆放场所的设施设备，如有损坏，应照价赔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（4）承担校园要求的校内外摆花和植树节植树任务。承担学校安排的各类重大活动的摆花任务。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（5）承担校内指定区域的摆花和景点布置。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2.校园园林绿化工作包括校园内所有的苗木、花卉、盆景、草地等。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（1）根据生长环境、植物特性进行除草、灌溉、施肥、整形修剪、防治病虫害等。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（2）根据生长情况修剪绿地，绿地内无枯草、无杂物，无干枯坏死和病虫侵害，基本无裸露土地。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（3）定期修剪树木、花卉等，灌乔木生长正常、造型美观自然、花枝新鲜，无枯叶、无病虫、无死树缺株。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（4）绿篱生长造型正常，颜色正常，修剪及时，基本无死株和干死株，有虫株率在10%以下。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（5）清除花坛和花景的花蒂、黄叶、杂草、垃圾，做好病虫害防治。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（6）根据病虫害发生规律实施综合治理，通常在病虫率高时，以药剂杀死病虫，以确保植物良好生长。产生垃圾的主要区域和路段做到日产日清。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（7）台风、暴雨、霜冻等恶劣天气来临前，专人巡查，配备相关设备设施，对绿植做好预防措施，排除安全隐患。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（8）恶劣天气后，及时恢复或移栽倒塌的树木，清除倒树断枝，疏通道路，尽快恢复原状。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每年对校园园林绿化进行施肥及喷洒农药，肥料优先选用环保型、缓释型、有机肥料，减少化学肥料对土壤结构的破坏和环境污染；农药选用符合国家标准、经过登记许可用于园林植物的农药品种，禁止使用国家明令禁止的高毒、高残留农药。树木每年施肥不少于2次。农药喷洒应做到覆盖90%以上主要绿化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3.校园内的绿化美化、布置摆设等应根据现场环境做出合理布局，对需整形的植物要做好修剪工作，使之疏密合理。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4.充分发挥美化作用，做到美观得体，协调一致。对于花木的病虫害要以预防为主，平时多检查，按不同季节容易发生的虫害要及时处理，使用农药应做到科学喷施，以减少对校园环境的污染及影响教学活动。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对遭受意外损坏或生长弱小的苗木或草地要及时修补、扶植、更新。对缺土、缺肥、缺水、有病虫害的植物要及时培土、施肥、浇水、除病虫害、除杂草，以保持其生长茂盛。对校园内有病虫害侵袭的树木要及时采取措施消除病虫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6.要经常清理绿化区内的枯枝败叶，保持整洁干净。要适时对花木进行修剪，修剪下来的树枝、叶要及时清理。做到校园内清新、舒适、雅致、美观。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7.确保绿化场地不留杂物、不缺水、不死苗、不被偷窃，遇到有违章违法行为要及时加以劝阻，不听劝阻的要及时报告主管部门，协助对其劝阻和处置。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8.按专业化要求，对校园内现有的绿地面积进行管理。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9.确保绿化带成片空地不超过1㎡，绿地草坪及植物无明显的缺漏现象。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确保校园内绿化地基本无杂草。清除绿地的腐叶、纸屑、杂物，搞好绿地保洁。定期清除杂草，杂草高度不超过20厘米，全年清除杂草不少于4次。除草要及时，做到“除早、除小、除了”，杂草多，劳力少时可用化学除草剂进行灭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及时处理死伤树木，树木无危害安全、无枯、病、残枝等，如遇强风、暴雨等灾害性天气，要加强对校区树木尤其是高大树木的巡检，发现有被损树木要及时处理，以免产生安全隐患。如不及时处理危害安全及死伤树木，造成树木伤人、毁物事件，其责任由物业公司负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对校内绿地及时进行除草、修剪、补漏、整形、浇水、施肥、松土等，使植物外观保持良好状态，并逐步增加花卉树木的名、珍、稀、新品种，使绿化工作上档次。种植的花卉、草皮、树苗等品种，必须为校方同意种植的品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绿化产生的垃圾（如砖头瓦块、箩筐、树枝、树叶、草末等），重点地区、路段（如校门口、教学办公区、主干道两侧等）做到随产随清，其他地区和路段做到日产日清，要投放到指定的移动垃圾箱并及时清运处理，不得焚烧或随意倒放，以防火灾事故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14.所有绿化养护维护须按国家园林养护规范高标准执行，肥料、农药、涂料所需费用由物业公司负责。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15.物业公司应响应学校的需要做好花圃育苗育花工作；负责摆放会议室、展览厅、报告厅、办公室及重大节日期间校园重要场所需摆放的绿植、花卉等。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16.面对校内珍稀/名贵树木应当建立专项养护方案，安排专人负责管理。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17.绿植、花卉等土壤密度不足，或雨天造成土壤流失的，应当及时补充土壤，并清洁污染区域。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0" w:hRule="atLeast"/>
              </w:trPr>
              <w:tc>
                <w:tcPr>
                  <w:tcW w:w="5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学生宿舍管理服务</w:t>
                  </w:r>
                </w:p>
              </w:tc>
              <w:tc>
                <w:tcPr>
                  <w:tcW w:w="44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1.管理服务理念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自觉遵守教育法律法规，自觉规范思想行为和职业行为，服从学校管理和制度相关要求。坚持思想教育与严格管理相结合，坚持立足学生，围绕学生、关照学生、服务学生，不能以罚代管、以罚代教。依法办事，文明执勤，严格管理，维护校园生活秩序，规范学生行为，保障学校财产和师生人身不受侵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有符合国家政策方针、法律法规，符合青少年学生成长需要的科学的、先进的管理理念，根据新时代大学生的特点及学生自身的特长，组织开展文明宿舍创建活动，丰富学生的课余生活。须承诺当管理理念与学校要求不一致时，能够按照学校要求及时进行调整，以满足学校的实际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（3）树立服务意识，管理服务人员要树立热情为学生服务的意识，尽最大努力为学生解决生活上遇到的各种困难。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2.管理服务区域与内容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（1）全面负责所有学生公寓的安全管理、日常事务管理、卫生管理、学生行为管理、公寓配套设施设备的管理和其他涉及学生管理的工作。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（2）协助学生工作处和各二级学院做好公寓思想政治教育阵地建设，开展文明公寓创建活动，丰富学生的课余生活，改善宿舍育人环境。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（3）指导开展公寓内务评比，加强公寓文化建设，建设规范化、标准化宿舍，提升学生自我管理能力和水平。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（4）严格执行学校规定，对学生违纪违法等不良行为及时进行劝阻、教育和上报。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（5）了解和掌握所辖公寓区域的基本情况及学生住宿情况，全面负责学生公寓区的治安巡逻，及时发现、上报各类安全隐患。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（6）严格执行学校作息时间，负责管理好学生的“两休”工作，检查督促学生就寝、协助管理学生“两休”纪律，做好晚归学生的登记与报告。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（7）熟悉掌握校园、学生公寓应急突发事件的处理办法和流程，积极采取有效措施，确保学校财产和师生生命健康安全。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（8）负责做好宿舍区域卫生清洁、指导学生宿舍内务卫生和安全整治工作，做好宿舍的脏、乱、差、吵闹等各种不良现象的检查及报告。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（9）负责公寓门岗进出管理，认真执行来客登记制度，严防外来人员随意进入宿舍区，积极做好贵重物品进出、借领钥匙等各项登记工作。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（10）熟悉公寓各类设施的使用方法，负责公寓配套设施的监管和公共区域的水电、设施报修。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（11）负责新生公寓的核查统计、设施设备清点、锁头钥匙更换及公寓内卫生清理的监管等工作。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（12）配合学校对学生进行国防、军事、纪律、法制、安全、反恐、电信诈骗、爱国卫生教育，配合学校管理好宿舍区内的公共设施、公共财产。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（13）强化对学生行为的管理与规范，以准军事化管理要求为目标，建立学生公寓井然有序、舒适安宁的良好居住环境。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（14）完成学校交办的其他工作。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3.管理服务要求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（1）全年公寓无安全责任事故发生，无重大公寓财产损失案件发生，无公寓区师生重大恶性群体性事件发生。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管理范围内秩序良好、整洁干净，工作人员作风正派、形象得体。物业公司工作人员任何情况下不得与教师、学生发生谩骂、冲突、殴打等行为。否则承担一切由此引起的法律及经济责任。如发生的殴打学生的行为严重影响到学校形象的，学校有权终止服务合同并保留进一步追责的权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（3）每月按照学生工作处的要求协助学生宿公寓文明宿舍评比和楼栋卫生评优等工作。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（4）完成每晚晚寝宿舍检查，协助清点各宿舍人数，严格执行晚寝宿舍考勤，每天晚上通报晚寝违纪（晚归、夜不归宿等）情况并及时处置；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（5）消除管理范围内安全隐患，发生突发事件能及时处置并上报。违纪学生能及时进行教育与整改。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（6）大型校园活动学生纪律良好，疏散有序。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（7）夜间值班期间，如遇到学生突发疾病等，负责报告相关人员（辅导员、医务室人员、学工处人员、后勤处人员等）。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0" w:hRule="atLeast"/>
              </w:trPr>
              <w:tc>
                <w:tcPr>
                  <w:tcW w:w="514"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bidi w:val="0"/>
                    <w:snapToGrid/>
                    <w:jc w:val="center"/>
                    <w:rPr>
                      <w:rFonts w:hint="eastAsia" w:ascii="宋体" w:hAnsi="宋体" w:eastAsia="宋体" w:cs="宋体"/>
                      <w:i w:val="0"/>
                      <w:iCs w:val="0"/>
                      <w:color w:val="auto"/>
                      <w:sz w:val="22"/>
                      <w:szCs w:val="22"/>
                      <w:highlight w:val="none"/>
                      <w:u w:val="none"/>
                    </w:rPr>
                  </w:pPr>
                </w:p>
              </w:tc>
              <w:tc>
                <w:tcPr>
                  <w:tcW w:w="44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val="0"/>
                    <w:pageBreakBefore w:val="0"/>
                    <w:widowControl w:val="0"/>
                    <w:kinsoku/>
                    <w:wordWrap/>
                    <w:overflowPunct/>
                    <w:topLinePunct w:val="0"/>
                    <w:bidi w:val="0"/>
                    <w:snapToGrid/>
                    <w:jc w:val="both"/>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4"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垃圾清运及处理服务</w:t>
                  </w:r>
                  <w:r>
                    <w:rPr>
                      <w:rFonts w:hint="eastAsia" w:ascii="宋体" w:hAnsi="宋体" w:eastAsia="宋体" w:cs="宋体"/>
                      <w:i w:val="0"/>
                      <w:iCs w:val="0"/>
                      <w:color w:val="auto"/>
                      <w:kern w:val="0"/>
                      <w:sz w:val="22"/>
                      <w:szCs w:val="22"/>
                      <w:highlight w:val="none"/>
                      <w:u w:val="none"/>
                      <w:lang w:val="en-US" w:eastAsia="zh-CN" w:bidi="ar"/>
                    </w:rPr>
                    <w:br w:type="textWrapping"/>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垃圾清运及处理务服务目前仍由现有服务单位运营，本次采购该项服务内容周期为：2027年5月1日起至2028年4月30日止。请中标人在合同签订后，主动与采购人及现有服务单位对接，提前做好交接工作，确保实现服务无缝衔接、平稳过渡。</w:t>
                  </w:r>
                </w:p>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（2）负责垃圾的清运，每日定时将垃圾清运至学校垃圾集中点，清运后垃圾桶（箱）内及周边无明显垃圾并及时将其归位。在垃圾装卸、运输过程中，要注意操作安全，防止发生人员伤亡和设备损坏事故。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要求做到日产日清，清运时间根据学校的具体情况确定（全校所有区域至少2次/天），生活垃圾在特殊情况下，如学校举办大型活动，应根据学校要求调整运送频次，以满足垃圾日产日清的要求；绿化垃圾在重点区域和路段做到随产随清，其他区域和路段做到日产日清，将绿化垃圾按要求投放到指定的移动垃圾箱，不得焚烧或随意倒放，以防火灾事故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（4）如遇毕业生离校、学生宿舍调整等工作时，物业服务公司需配合学校做好大量垃圾限时清运的工作。重大考试、会议或接待活动期间，另行增派至少两名人员专项清运垃圾，确保做到及时清运垃圾。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（5）结合学校实际情况，通过橱窗、宣传栏、APP等方式，引导广大师生自觉、科学地开展生活垃圾分类。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（6）按学校要求开展垃圾分类管理和知识宣传，比如指导垃圾分类投放、派发宣传资料、张贴垃圾分类宣传海报等。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（7）若发现生活垃圾投放不符合分类标准的，应当要求投放人进行分类管理后再行投放；投放人不按标准分类管理的，垃圾分类管理责任人可以拒绝其投放。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（8）垃圾清运过程中要做到不遗漏、不撒漏，运输过程中采取密闭措施，防止垃圾异味扩散和垃圾掉落造成二次污染。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（9）负责将垃圾运输至合法合规的垃圾处理场所进行妥善处置，不得随意倾倒或违规处理。因违规操作导致的一切责任由物业公司承担。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3"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会务工作服务</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学校日常大型会议、大型接待、开学、毕业典礼、其他重要会议等会议所要求的场地清洁、校园安保等基本会务服务，有特殊要求的会场布置等服务。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1.会前会后做好会议室地面、办公桌椅、门窗、台卡、水杯等保洁工作，保持干净、整洁、无垃圾。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2.检查会议室音响等设备，确保设备能正常使用。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3.茶水准备与补充以及会议过程中的各类服务工作。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4.校方安排的会务相关的其他工作。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3"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教室管理服务</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1.加强学习，熟悉学校常规教学及教室管理相关制度，能根据说明简单处理教学设备出现的问题（如电源不通），提高思想素质和业务素质，树立全心全意为教学和师生服务的思想。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2.遵守工作时间，按时上下班（含周末及夜间上课时间）。上课前及时检查教学设备（不含实训室与实验室专业设备），发现设备故障及时向相关部门报备并立即报修。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3.协助做好教室日常教学活动的监督检查工作。每次上课铃响后，如有教师没按时到岗，及时汇报教务处。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4.每天做好教室、教师休息室的巡查，做好期考教室的开关门及巡查工作，并及时将巡查结果交至教务处。有问题需要报修的，及时通过报修平台申报或直接上报对应部门。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5.做好老师和学生临时申请使用教室的情况记录，如使用教室发生冲突时，应及时报告教务处再行调整。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6.不允许闲杂人员进入教学楼，发现教学楼有异常情况应及时报告，等待相关部门处理。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7.每天做好教室卫生检查工作，发现教室卫生没做好的，应及时报告教务处。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8.接到突发事件后，需在15分钟内赶往现场处置。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9.协助学校其他部门做好教室日常的维护、安排和使用工作；完成相关部门布置的其他临时工作。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“四害”防治等服务</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负责校区灭四害（灭鼠害、灭蟑、灭蝇、灭蚊）及虫害、蚁害、蛇害等的防治，一年至少进行四次除四害集中消杀工作，防治药品及消杀费用由物业公司负责。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1.灭鼠：全校范围内各场所合理设置鼠药投放盒，每月投放毒饵不少于1次（含鼠盒购置、标签标识制作），并清理死鼠，及时清理鼠药投放盒及周边散落的毒饵、更换损坏的鼠药投放盒。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2.灭蟑螂：食堂及周边每月灭蟑螂2次，办公区、教学区、学生公寓区、教职工住宅区等室外下水道、化粪池每2月灭蟑螂1次并清理死蟑。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3.灭苍蝇、蚊子（集中在3—12月）：食堂及周边每月灭苍蝇、蚊子2次，办公区、教学区、学生公寓区、教职工住宅区、下水道、垃圾桶、绿化带每月灭苍蝇、蚊子1次。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4.红火蚁防治：全校范围内绿地、草坪、田径场等每月全面巡检2次，发现蚁害立即杀灭。平时如有发现随叫随到，及时处理。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5.白蚁防治：全校绿化树木、建筑物门窗、扶手等每月巡检排查1次发现即施药进行诱杀。平时如有发现随叫随到，及时处理。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6.蛇害防治：聘请专业除害团队，每季度进行一次全面巡查，重点区域（如池塘、竹林）增加频次。使用蛇类驱避剂（如硫黄、雄黄）在围墙边、绿化带边缘定期喷洒。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trPr>
              <w:tc>
                <w:tcPr>
                  <w:tcW w:w="51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3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化粪池清理及卫生间疏通服务</w:t>
                  </w:r>
                </w:p>
              </w:tc>
              <w:tc>
                <w:tcPr>
                  <w:tcW w:w="44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保证校区学生公寓、公共区域化粪池不能满溢。如任何一个化粪池出现化粪池污水外溢等异常情况，接到通知后须在限定时间内（2小时）到场处理，一般性堵塞需在到场后4小时内疏通完毕，严重溢漏需在到场后24小时内处理完毕，若因设备/技术问题无法 按时完成，需立即向校方报备并制定整改时限。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每学期固定全面开展化粪池清污工作不低于2次，且需做到池内的粪渣、油渣、杂物等固体废物清掏干净，每次定期清理完毕后，需确保化粪池连接至各楼栋的排污管道畅通，避免管道阻塞造成的环境污染。并使用专用运输车辆运送到符合规定的处置地点。除固定清运时间外，若因管道坍塌、堵塞等因素造成化粪池、便池反水、地下管网维修需要配合清污等情况，应立即安排清污、疏通，确保工程修复顺利，使管道堵塞问题得到彻底解决（管道塌方的工程维修由学校另行安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3.教师公寓、学生宿舍、各校内公共建筑发生厕所地漏、便池、小便槽、马桶等堵塞的，在收到报修后立即安排人员携带专业工具上门疏通，要求1小时内完成疏通并做好现场清洁。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0" w:hRule="atLeast"/>
              </w:trPr>
              <w:tc>
                <w:tcPr>
                  <w:tcW w:w="5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default" w:ascii="宋体" w:hAnsi="宋体" w:eastAsia="宋体" w:cs="宋体"/>
                      <w:i w:val="0"/>
                      <w:iCs w:val="0"/>
                      <w:color w:val="auto"/>
                      <w:sz w:val="22"/>
                      <w:szCs w:val="22"/>
                      <w:highlight w:val="none"/>
                      <w:u w:val="none"/>
                      <w:lang w:val="en-US"/>
                    </w:rPr>
                  </w:pPr>
                  <w:r>
                    <w:rPr>
                      <w:rFonts w:hint="eastAsia" w:cs="仿宋"/>
                      <w:color w:val="auto"/>
                      <w:szCs w:val="21"/>
                      <w:highlight w:val="none"/>
                      <w:lang w:val="en-US" w:eastAsia="zh-CN"/>
                    </w:rPr>
                    <w:t>其他服务</w:t>
                  </w:r>
                </w:p>
              </w:tc>
              <w:tc>
                <w:tcPr>
                  <w:tcW w:w="44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包括但不限于“门前三包”、综合治理、零星大件办公家具搬运，协助做好各类重要活动的后勤保障工作，以及学校临时安排的其他相关物业工作，具体以校方通知为准。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 “门前三包”服务：负责校园各主要出入口及周边责任区域的“三包”工作，包括包环境卫生（每日清理责任区内垃圾杂物，保持地面整洁无污渍）、包绿化维护（及时修剪责任区内杂草，保护绿植无损坏）、包秩序维护（劝阻责任区内乱停乱放、占道经营等违规行为，确保出入口通道畅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综合治理服务：配合学校及属地相关部门开展校园综合治理工作，包括参与治安联防巡逻、协助调解师生间的轻微矛盾纠纷、及时劝阻校园内的不文明行为（如随意张贴广告、破坏公共设施等），并定期向校方反馈综合治理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零星大件办公家具搬运：接到校方搬运通知后1小时内安排持有相关操作经验的人员携带防护工具（如气泡膜、推车等）到场，搬运过程中需轻拿轻放，保护家具表面及边角不受损坏，同时避免碰撞周边墙面、地面及设施；搬运完成后清理现场遗留的包装材料及杂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重要活动后勤保障：针对学校举办的各类重要会议、学术讲座、文体活动等，提前1天对接活动负责人确认需求，完成场地清洁、桌椅摆放、水电调试、音响设备辅助检查等准备工作；活动期间安排至少2名专人值守，及时响应临时需求（如补充饮用水、调整桌椅位置等）；活动结束后1小时内完成场地清理、桌椅归位等收尾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5.临时紧急工作保障：服从校方的临时调度安排，对临时交办的任务（如突发场地清理、物资紧急搬运、临时设施维护等），在规定时间内组织人员完成，确保工作质量符合校方要求。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 门锁维修与更换：负责学校的门锁（包含玻璃门、防盗门、防火门、普通门等的电子锁以及人工锁）维修，需要在收到维修任务后立即派人上门维修，维修后保证开关正常且通畅；若无法维修的，需要供应商采购新锁并完成更换直至可正常使用（锁具费用单价在100元以内（含）由中标人承担，单价超过100元的由采购人承担）。</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项目预算已包含垃圾清运及处理服务、四害防治服务、化粪池清理及卫生间疏通服务、其他物业服务等四大项服务内容，采购人不在“岗位职责”中列明具体人员要求，以上服务均由中标供应商自行安排完成工作内容，确保服务质量、服务标准、服务时限完全满足本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jc w:val="center"/>
        </w:trPr>
        <w:tc>
          <w:tcPr>
            <w:tcW w:w="9966" w:type="dxa"/>
            <w:gridSpan w:val="5"/>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bidi w:val="0"/>
              <w:snapToGrid/>
              <w:spacing w:line="360" w:lineRule="exact"/>
              <w:rPr>
                <w:rFonts w:hint="eastAsia" w:ascii="宋体" w:hAnsi="宋体"/>
                <w:color w:val="auto"/>
                <w:szCs w:val="21"/>
                <w:highlight w:val="none"/>
              </w:rPr>
            </w:pPr>
            <w:r>
              <w:rPr>
                <w:rFonts w:hint="eastAsia" w:ascii="宋体" w:hAnsi="宋体"/>
                <w:b/>
                <w:color w:val="auto"/>
                <w:sz w:val="24"/>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服务期限和地点</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1.服务期限：</w:t>
            </w:r>
            <w:r>
              <w:rPr>
                <w:rFonts w:ascii="宋体" w:hAnsi="宋体" w:cs="Arial"/>
                <w:bCs/>
                <w:iCs/>
                <w:color w:val="auto"/>
                <w:szCs w:val="21"/>
                <w:highlight w:val="none"/>
              </w:rPr>
              <w:t>自合同签订之日起</w:t>
            </w:r>
            <w:r>
              <w:rPr>
                <w:rFonts w:hint="eastAsia" w:ascii="宋体" w:hAnsi="宋体" w:cs="Arial"/>
                <w:bCs/>
                <w:iCs/>
                <w:color w:val="auto"/>
                <w:szCs w:val="21"/>
                <w:highlight w:val="none"/>
              </w:rPr>
              <w:t>2</w:t>
            </w:r>
            <w:r>
              <w:rPr>
                <w:rFonts w:ascii="宋体" w:hAnsi="宋体" w:cs="Arial"/>
                <w:bCs/>
                <w:iCs/>
                <w:color w:val="auto"/>
                <w:szCs w:val="21"/>
                <w:highlight w:val="none"/>
              </w:rPr>
              <w:t>年</w:t>
            </w:r>
            <w:r>
              <w:rPr>
                <w:rFonts w:hint="eastAsia" w:ascii="宋体" w:hAnsi="宋体" w:cs="Arial"/>
                <w:bCs/>
                <w:iCs/>
                <w:color w:val="auto"/>
                <w:szCs w:val="21"/>
                <w:highlight w:val="none"/>
              </w:rPr>
              <w:t>。</w:t>
            </w:r>
          </w:p>
          <w:p>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color w:val="auto"/>
                <w:szCs w:val="21"/>
                <w:highlight w:val="none"/>
              </w:rPr>
            </w:pPr>
            <w:r>
              <w:rPr>
                <w:rFonts w:hint="eastAsia" w:ascii="宋体" w:hAnsi="宋体" w:cs="宋体"/>
                <w:color w:val="auto"/>
                <w:szCs w:val="21"/>
                <w:highlight w:val="none"/>
              </w:rPr>
              <w:t>2.服务的地点：</w:t>
            </w:r>
            <w:r>
              <w:rPr>
                <w:rFonts w:hint="eastAsia" w:ascii="宋体" w:hAnsi="宋体"/>
                <w:color w:val="auto"/>
                <w:szCs w:val="21"/>
                <w:highlight w:val="none"/>
              </w:rPr>
              <w:t>广西</w:t>
            </w:r>
            <w:r>
              <w:rPr>
                <w:rFonts w:hint="eastAsia" w:ascii="宋体" w:hAnsi="宋体"/>
                <w:color w:val="auto"/>
                <w:szCs w:val="21"/>
                <w:highlight w:val="none"/>
                <w:u w:val="single"/>
              </w:rPr>
              <w:t>防城港</w:t>
            </w:r>
            <w:r>
              <w:rPr>
                <w:rFonts w:hint="eastAsia" w:ascii="宋体" w:hAnsi="宋体"/>
                <w:color w:val="auto"/>
                <w:szCs w:val="21"/>
                <w:highlight w:val="none"/>
              </w:rPr>
              <w:t>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合同签订时间</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both"/>
              <w:textAlignment w:val="auto"/>
              <w:rPr>
                <w:rFonts w:hint="eastAsia" w:ascii="宋体" w:hAnsi="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lang w:val="en-US" w:eastAsia="zh-CN"/>
              </w:rPr>
              <w:t>中标</w:t>
            </w:r>
            <w:r>
              <w:rPr>
                <w:rFonts w:hint="eastAsia" w:ascii="宋体" w:hAnsi="宋体"/>
                <w:color w:val="auto"/>
                <w:szCs w:val="21"/>
                <w:highlight w:val="none"/>
              </w:rPr>
              <w:t>通知书发出之日起</w:t>
            </w:r>
            <w:r>
              <w:rPr>
                <w:rFonts w:hint="eastAsia" w:ascii="宋体" w:hAnsi="宋体"/>
                <w:color w:val="auto"/>
                <w:szCs w:val="21"/>
                <w:highlight w:val="none"/>
                <w:u w:val="single"/>
              </w:rPr>
              <w:t xml:space="preserve"> 5</w:t>
            </w:r>
            <w:r>
              <w:rPr>
                <w:rFonts w:hint="eastAsia" w:ascii="宋体" w:hAnsi="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spacing w:line="360" w:lineRule="exact"/>
              <w:ind w:left="6"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报价要求</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项目实行总价包干制，供应商的竞标报价包括但不限于服务人员费用（含工资、社保费、劳保、意外伤害保险、福利、加班费、奖金等）、服务材料消耗品（清洁工具，清洁用品、生活垃圾袋、洗涤粉等洗涤用品）的补充、更换和维修维护、服装等费用、办公费用（含对讲机、通讯费、办公用品、培训费等）、人工费、管理费、利润、税费等完成合同所需的一切本身和不可或缺的所有开支、政策性文件规定的合同包含的所有风险、责任等各项全部费用的总和。服务总包的用工与采购人无劳动合同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付款条件</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项目不设置预付款，按月结算。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每月结束后，物业公司向后勤基建处提交请款相关资料，由相关部门对物业公司进行考评后结算支付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详见附表1、附表2）</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center"/>
              <w:textAlignment w:val="auto"/>
              <w:rPr>
                <w:rFonts w:hint="eastAsia" w:ascii="宋体" w:hAnsi="宋体"/>
                <w:color w:val="auto"/>
                <w:szCs w:val="21"/>
                <w:highlight w:val="none"/>
              </w:rPr>
            </w:pPr>
            <w:r>
              <w:rPr>
                <w:rFonts w:hint="eastAsia" w:ascii="宋体" w:hAnsi="宋体" w:cs="宋体"/>
                <w:color w:val="auto"/>
                <w:szCs w:val="21"/>
                <w:highlight w:val="none"/>
              </w:rPr>
              <w:t>其他要求</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（一）处罚机制</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学校通过月度考核、专项考核两方面对供应商进行综合评价，若存在被扣分及被处罚情况则进行相应的罚款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详见附表1、附表2）</w:t>
            </w:r>
            <w:r>
              <w:rPr>
                <w:rFonts w:hint="eastAsia" w:ascii="宋体" w:hAnsi="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（二）退出机制</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1.若供应商因自身原因无法继续履行合同，需提前30天书面通知学校，并协助学校完成服务交接工作。同时，供应商需支付合同总额的10%作为违约金，并承担因退出导致的额外费用。</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2.合同期内，因供应商申请退出但未完成退出流程，导致供应商无法履约合同内容的，学校有权单方面解除合同，并要求供应商支付合同总额的10%作为违约金。</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3.月度考核中，供应商在半年内有2次月度考核评分少于80分的，或一年内有3次考核低于80分的，学校有权提前解除服务合同，并要求供应商支付合同总额的10%作为违约金。4.因供应商主动退出造成的一切损失由供应商承担，学校有权依据相关法律法规及合同追究物业公司的违约责任，情节严重的，学校将向相关主管部门如实报告。</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（三）其他</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color w:val="auto"/>
                <w:szCs w:val="21"/>
                <w:highlight w:val="none"/>
              </w:rPr>
              <w:t>上述“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rPr>
              <w:t>具体服务内容”提到的工作内容，若需要采购各类设备设施及物资的，如苗木、草皮、农药、车辆、吊运机械、安防器械手套等，均由供应商自行配备，学校不增加额外费用。</w:t>
            </w:r>
          </w:p>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四）为确保物业服务不间断，中标人须在2026年4月30日前完成与原物业服务企业的全部工作交接、人员到位并具备物业服务能力。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996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jc w:val="left"/>
              <w:textAlignment w:val="auto"/>
              <w:rPr>
                <w:rFonts w:hint="eastAsia" w:ascii="宋体" w:hAnsi="宋体"/>
                <w:color w:val="auto"/>
                <w:szCs w:val="21"/>
                <w:highlight w:val="none"/>
              </w:rPr>
            </w:pPr>
            <w:r>
              <w:rPr>
                <w:rFonts w:hint="eastAsia" w:ascii="宋体" w:hAnsi="宋体"/>
                <w:b/>
                <w:color w:val="auto"/>
                <w:szCs w:val="21"/>
                <w:highlight w:val="none"/>
              </w:rPr>
              <w:t>三、与实现项目目标相关的其他要求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olor w:val="auto"/>
                <w:szCs w:val="21"/>
                <w:highlight w:val="none"/>
              </w:rPr>
            </w:pPr>
            <w:r>
              <w:rPr>
                <w:rFonts w:hint="eastAsia" w:ascii="宋体" w:hAnsi="宋体"/>
                <w:b/>
                <w:color w:val="auto"/>
                <w:szCs w:val="21"/>
                <w:highlight w:val="none"/>
                <w:lang w:val="en-US" w:eastAsia="zh-CN"/>
              </w:rPr>
              <w:t>竞标</w:t>
            </w:r>
            <w:r>
              <w:rPr>
                <w:rFonts w:hint="eastAsia" w:ascii="宋体" w:hAnsi="宋体"/>
                <w:b/>
                <w:color w:val="auto"/>
                <w:szCs w:val="21"/>
                <w:highlight w:val="none"/>
              </w:rPr>
              <w:t>人的履约能力要求</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color w:val="auto"/>
                <w:szCs w:val="21"/>
                <w:highlight w:val="none"/>
              </w:rPr>
            </w:pPr>
            <w:r>
              <w:rPr>
                <w:rFonts w:hint="eastAsia" w:ascii="宋体" w:hAnsi="宋体"/>
                <w:color w:val="auto"/>
                <w:szCs w:val="21"/>
                <w:highlight w:val="none"/>
              </w:rPr>
              <w:t>详见第四章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评标方法及评标标准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80"/>
                <w:tab w:val="left" w:pos="1620"/>
              </w:tabs>
              <w:kinsoku/>
              <w:wordWrap/>
              <w:overflowPunct/>
              <w:topLinePunct w:val="0"/>
              <w:bidi w:val="0"/>
              <w:snapToGrid/>
              <w:spacing w:line="360" w:lineRule="exact"/>
              <w:jc w:val="center"/>
              <w:textAlignment w:val="auto"/>
              <w:rPr>
                <w:rFonts w:hint="eastAsia" w:ascii="宋体" w:hAnsi="宋体" w:cs="宋体"/>
                <w:bCs/>
                <w:color w:val="auto"/>
                <w:szCs w:val="21"/>
                <w:highlight w:val="none"/>
              </w:rPr>
            </w:pPr>
            <w:r>
              <w:rPr>
                <w:b/>
                <w:bCs/>
                <w:color w:val="auto"/>
                <w:spacing w:val="-1"/>
                <w:highlight w:val="none"/>
              </w:rPr>
              <w:t>考核标准</w:t>
            </w:r>
          </w:p>
        </w:tc>
        <w:tc>
          <w:tcPr>
            <w:tcW w:w="8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80"/>
                <w:tab w:val="left" w:pos="1620"/>
              </w:tabs>
              <w:kinsoku/>
              <w:wordWrap/>
              <w:overflowPunct/>
              <w:topLinePunct w:val="0"/>
              <w:bidi w:val="0"/>
              <w:snapToGrid/>
              <w:spacing w:line="360" w:lineRule="exact"/>
              <w:textAlignment w:val="auto"/>
              <w:rPr>
                <w:b/>
                <w:bCs/>
                <w:color w:val="auto"/>
                <w:spacing w:val="-1"/>
                <w:highlight w:val="none"/>
              </w:rPr>
            </w:pPr>
            <w:r>
              <w:rPr>
                <w:rFonts w:hint="eastAsia" w:ascii="宋体" w:hAnsi="宋体"/>
                <w:color w:val="auto"/>
                <w:szCs w:val="21"/>
                <w:highlight w:val="none"/>
              </w:rPr>
              <w:t>每月结束后，物业公司向后勤基建处提交请款相关资料，由相关部门对物业公司进行考评后结算支付</w:t>
            </w:r>
            <w:r>
              <w:rPr>
                <w:rFonts w:hint="eastAsia"/>
                <w:b w:val="0"/>
                <w:bCs w:val="0"/>
                <w:color w:val="auto"/>
                <w:spacing w:val="-1"/>
                <w:highlight w:val="none"/>
              </w:rPr>
              <w:t>（考核标准见附</w:t>
            </w:r>
            <w:r>
              <w:rPr>
                <w:rFonts w:hint="eastAsia"/>
                <w:b w:val="0"/>
                <w:bCs w:val="0"/>
                <w:color w:val="auto"/>
                <w:spacing w:val="-1"/>
                <w:highlight w:val="none"/>
                <w:lang w:val="en-US" w:eastAsia="zh-CN"/>
              </w:rPr>
              <w:t>表</w:t>
            </w:r>
            <w:r>
              <w:rPr>
                <w:rFonts w:hint="eastAsia"/>
                <w:b w:val="0"/>
                <w:bCs w:val="0"/>
                <w:color w:val="auto"/>
                <w:spacing w:val="-1"/>
                <w:highlight w:val="none"/>
              </w:rPr>
              <w:t>1-2）。</w:t>
            </w:r>
          </w:p>
        </w:tc>
      </w:tr>
    </w:tbl>
    <w:p>
      <w:pPr>
        <w:widowControl/>
        <w:spacing w:line="360" w:lineRule="auto"/>
        <w:jc w:val="left"/>
        <w:textAlignment w:val="center"/>
        <w:rPr>
          <w:rFonts w:hint="eastAsia" w:ascii="宋体" w:hAnsi="宋体"/>
          <w:b/>
          <w:color w:val="auto"/>
          <w:szCs w:val="21"/>
          <w:highlight w:val="none"/>
        </w:rPr>
      </w:pPr>
    </w:p>
    <w:p>
      <w:pPr>
        <w:rPr>
          <w:color w:val="auto"/>
          <w:szCs w:val="21"/>
          <w:highlight w:val="none"/>
        </w:rPr>
      </w:pPr>
      <w:r>
        <w:rPr>
          <w:rFonts w:hint="eastAsia" w:ascii="宋体" w:hAnsi="宋体" w:cs="宋体"/>
          <w:b/>
          <w:bCs/>
          <w:snapToGrid w:val="0"/>
          <w:color w:val="auto"/>
          <w:spacing w:val="6"/>
          <w:kern w:val="0"/>
          <w:sz w:val="31"/>
          <w:szCs w:val="31"/>
          <w:highlight w:val="none"/>
        </w:rPr>
        <w:br w:type="page"/>
      </w:r>
      <w:r>
        <w:rPr>
          <w:rFonts w:hint="eastAsia" w:ascii="宋体" w:hAnsi="宋体" w:cs="宋体"/>
          <w:b/>
          <w:bCs/>
          <w:snapToGrid w:val="0"/>
          <w:color w:val="auto"/>
          <w:spacing w:val="6"/>
          <w:kern w:val="0"/>
          <w:sz w:val="31"/>
          <w:szCs w:val="31"/>
          <w:highlight w:val="none"/>
          <w:lang w:val="en-US" w:eastAsia="zh-CN"/>
        </w:rPr>
        <w:t>附表1：</w:t>
      </w:r>
    </w:p>
    <w:tbl>
      <w:tblPr>
        <w:tblStyle w:val="20"/>
        <w:tblW w:w="9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749"/>
        <w:gridCol w:w="1559"/>
        <w:gridCol w:w="821"/>
        <w:gridCol w:w="2071"/>
        <w:gridCol w:w="2497"/>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9966"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防城港职业技术学院物业服务月度考核表</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（满分100分，各项扣分均为扣完为止）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考核大类</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评分部门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（加盖部门公章）</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考核小项</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分值</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考核标准</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扣分规则</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一、安全保卫服务（含消防）</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安全保卫部门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1.人员配置与持证上岗</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按合同配齐安保人员，消防与监控保卫岗所有人员均须持</w:t>
            </w:r>
            <w:r>
              <w:rPr>
                <w:rFonts w:hint="eastAsia" w:ascii="宋体" w:hAnsi="宋体" w:cs="宋体"/>
                <w:color w:val="auto"/>
                <w:highlight w:val="none"/>
              </w:rPr>
              <w:t>有</w:t>
            </w:r>
            <w:r>
              <w:rPr>
                <w:rFonts w:hint="eastAsia" w:ascii="宋体" w:hAnsi="宋体" w:cs="宋体"/>
                <w:color w:val="auto"/>
                <w:highlight w:val="none"/>
                <w:lang w:val="en-US" w:eastAsia="zh-CN"/>
              </w:rPr>
              <w:t>国家认可的初</w:t>
            </w:r>
            <w:r>
              <w:rPr>
                <w:rFonts w:hint="eastAsia" w:ascii="宋体" w:hAnsi="宋体" w:cs="宋体"/>
                <w:color w:val="auto"/>
                <w:highlight w:val="none"/>
              </w:rPr>
              <w:t>级及以上消防设施操作员证书</w:t>
            </w:r>
            <w:r>
              <w:rPr>
                <w:rFonts w:hint="eastAsia" w:ascii="宋体" w:hAnsi="宋体" w:eastAsia="宋体" w:cs="宋体"/>
                <w:i w:val="0"/>
                <w:iCs w:val="0"/>
                <w:color w:val="auto"/>
                <w:kern w:val="0"/>
                <w:sz w:val="22"/>
                <w:szCs w:val="22"/>
                <w:highlight w:val="none"/>
                <w:u w:val="none"/>
                <w:lang w:val="en-US" w:eastAsia="zh-CN" w:bidi="ar"/>
              </w:rPr>
              <w:t>，考勤记录完整</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缺1人扣1分，无证上岗1人扣2分，考勤缺失1次扣0.5分，扣完为止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2.门岗与出入管理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校园大门24小时值班，外来人员/车辆/大件物品严格登记核实，违禁品、限带品严禁入校</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未登记1次扣0.5分，放行违规物品1次扣2分，无人值班扣5分，扣完为止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3.巡逻与治安维护</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按规定开展校园公共区域、楼栋内巡逻，做好巡逻记录，及时处置违规行为，维护交通秩序</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未巡逻1次扣1分，无记录1次扣0.5分，违规行为未处置1次扣1分，扣完为止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4.消防管理与设施维护</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消防控制室24小时值班，消防设施定期巡检、完好可用，消防通道畅通，无易燃易爆物堆放</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值班脱岗扣3分，设施损坏/缺失1处扣1分，通道堵塞1处扣1分，扣完为止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5.应急处置与演练</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制定完善应急预案，定期开展消防、防暴等演练，突发事件（火警、上访等）响应及时、处置得当，无瞒报漏报</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未演练1次扣2分，事件响应不及时/处置不当1次扣2分，瞒报漏报1次扣4分，扣完为止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二、保洁服务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1.公共区域保洁</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校园主干道、办公楼/教学楼/宿舍公共区域达到“五无五净”，门窗、墙面、灯具无积灰、蛛网、违规张贴</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1处不符合扣0.5分，扣完为止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2.卫生间与特殊区域保洁</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公共卫生间无异味、无积水、便器洁净，景观水池定期清理、水质清洁，新生宿舍完成深度清洁</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1处不符合扣0.5分，未完成深度清洁1间扣1分，扣完为止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3.垃圾收集与设施维护</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垃圾分类投放，垃圾桶/果皮箱干净无满溢，垃圾收集点日产日清、无异味</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1处满溢扣0.5分，未日产日清1次扣1分，设施损坏未上报1处扣0.5分，扣完为止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4.排水与应急保洁</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水渠、雨水井定期疏通，雨后及时清理积水，重大活动/突发情况完成专项保洁保障</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堵塞1处扣0.5分，积水未清理1处扣0.5分，保障不到位1次扣2分，扣完为止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三、绿化维护服务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1.日常养护与植株状态</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绿植按时浇水、施肥、除草，绿地无裸露、无杂草，植株生长旺盛、无明显病虫害，名贵树木专项养护</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1处裸露/杂草扣0.5分，病虫害1处扣1分，未专项养护1棵扣1分，扣完为止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2.修剪与造型管理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树木、绿篱、草坪定期修剪，造型美观，无枯枝死树、缺株断株</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未修剪1次扣1分，枯枝死树未清理1棵扣0.5分，扣完为止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3.花卉培育与摆花造景</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按要求育苗育花不少于1000盆，重大活动、节日完成校园摆花造景，布置合理美观</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育苗未达标扣2分，摆花保障不到位1次扣2分，扣完为止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4.恶劣天气防护与绿化垃圾清运</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恶劣天气前做好绿植防护，灾后及时扶正、清理，绿化垃圾随产随清/日产日清，不随意焚烧</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防护不到位1处扣0.5分，垃圾未清运1次扣0.5分，焚烧1次扣2分，扣完为止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四、学生宿舍管理服务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学工部门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1.门岗与人员管理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宿舍区24小时值班，外来人员严禁擅自入校，晚归/夜不归宿学生严格登记、及时上报，贵重物品出入登记</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脱岗1次扣2分，未登记1次扣0.5分，未上报1次扣1分，扣完为止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2.宿舍巡查与安全管理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定期巡楼，及时发现并上报安全隐患，制止宿舍内违规行为，消防通道无堵塞</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未巡楼1次扣1分，隐患未上报1处扣1分，违规行为未制止1次扣1分，扣完为止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3.卫生与内务管理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宿舍公共区域卫生干净，协助开展文明宿舍评比，督促学生做好室内内务</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公共区域脏乱1处扣0.5分，未配合评比1次扣2分，扣完为止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4.设施报修与学生服务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及时受理宿舍设施报修，无积压，热情服务学生，不与学生发生争执，突发疾病等情况及时联动校方</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报修积压1件扣0.5分，与学生争执1次扣2分，未及时联动1次扣2分，扣完为止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五、垃圾清运及处置服务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（2027年5月1日至2028年4月30日）</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1.日常清运与频次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校园生活垃圾每日清运不少于2次，做到日产日清，运输过程无撒漏、无二次污染</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未达标1次扣1分，撒漏1次扣1分，扣完为止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2.分类管理与宣传</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按要求开展垃圾分类宣传，指导师生分类投放，对未规范投放行为及时劝阻</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未宣传1次扣1分，未劝阻1次扣0.5分，扣完为止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3.特殊情况清运保障</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重大活动、毕业生离校等时段增派人手，完成限时清运，绿化垃圾按要求投放处置</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保障不到位1次扣1分，绿化垃圾处置不当1次扣1分，扣完为止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六、会务工作服务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学校办公室</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1.会前准备与场地保洁</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会前完成会议室地面、桌椅、设备保洁，检查音响、灯光等设备正常使用，备好茶水</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1处不符合扣0.5分，扣完为止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2.会中服务与应急保障</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会中及时补充茶水，响应临时需求，设备故障及时处置</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服务不到位1次扣0.5分，故障未处置1次扣1分，扣完为止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3.会后清理与场地复原</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会后1小时内完成场地清理、桌椅归位、垃圾清运</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未按时完成1次扣1分，扣完为止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七、教室管理服务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教务处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1.课前准备与设备检查</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上课前15分钟打开教室设施，检查教学设备（非专业）完好，做好登记</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未按时准备1次扣0.5分，设备故障未上报1次扣1分，扣完为止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2.课堂与人员管理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禁止闲杂人员进入教学楼，发现异常及时上报，不影响正常教学秩序</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违规放行1次扣0.5分，影响教学1次扣2分，扣完为止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3.课后检查与巡查记录</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课后检查门窗、电器关闭情况，捡拾师生遗留物品并上报，每日巡楼并做好记录，突发事件15分钟内到场</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未检查1次扣0.5分，遗留物品未上报1次扣0.5分，未巡楼/无记录1次扣1分，未按时到场1次扣2分，扣完为止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八、“四害”防治等服务</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1.常规消杀与频次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按要求开展灭鼠、蟑、蝇、蚊工作，全年集中消杀不少于4次，做好消杀记录</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未达标1次扣1分，无记录1次扣0.5分，扣完为止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2.专项虫害防治</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每月巡检红火蚁、白蚁，发现即处置，每季度开展蛇害防治，重点区域增加频次</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未巡检1次扣0.5分，未处置1次扣1分，扣完为止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3.药品与安全管理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使用合规消杀药品，特殊作业做好防范、提醒，避免人身伤害</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使用违规药品扣2分，未提醒1次扣0.5分，造成伤害扣2分，扣完为止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九、化粪池清理及卫生间疏通服务</w:t>
            </w: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1.定期清污与排查</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每学期化粪池全面清污不少于2次，做到池内无残渣，定期排查防满溢</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未清污1次扣2分，满溢1次扣3分，扣完为止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2.应急疏通与响应</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接到堵塞报修后1小时内上门疏通，化粪池溢漏2小时到场、按时限处置，处置后做好现场清洁</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未按时到场1次扣1分，未按时疏通1次扣1分，未清洁现场1次扣0.5分，扣完为止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十、其他服务</w:t>
            </w: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1.门前三包与综合治理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做好校园出入口“三包”，配合校方开展综合治理，劝阻不文明行为，及时反馈情况</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1处不符合扣0.5分，未配合1次扣1分，扣完为止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2.搬运与维修服务</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接到家具搬运、门锁维修通知后1小时内到场，轻拿轻放无损坏，维修后正常使用</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未按时到场1次扣0.5分，造成损坏1次扣1分，维修不合格1次扣1分，扣完为止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3.临时工作配合</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服从校方临时调度，完成突发场地清理、物资搬运等工作，保障重大活动后勤服务</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不配合1次扣1分，保障不到位1次扣2分，扣完为止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十一、履职情况评价</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抽选不同部门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1.制度建设与台账管理</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物业管理制度、作业流程齐全，各岗位工作台账完整、规范，按时报送计划、总结</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制度缺失1项扣0.5分，台账不完整1次扣0.3分，未报送1次扣0.5分，扣完为止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2.人员管理与培训</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人员着装统一规范，在岗履职，定期开展业务、安全培训，核心岗位人员变更按规定审批</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着装不规范1人扣0.2分，未培训1次扣0.5分，违规变更1人扣1分，扣完为止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3.投诉处理与服务响应</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设立24小时服务电话，及时处理师生咨询、投诉，处理率100%，反馈及时</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电话无人接听1次扣0.5分，投诉未处理1次扣1分，扣完为止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加分项</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1.拾金不昧</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上缴物品价值100-500元加0.5分，500元以上加1分；上缴银行卡/身份证/一卡通每次加0.1分</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累计最高加2分</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2.安全处置与见义勇为</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抓获盗窃等违法犯罪嫌疑人加1分、犯罪分子加3分；及时排除重大安全隐患加0.1-2分；见义勇为保护师生/学校财产加0.1-2分</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累计最高加2分</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3.校级及以上表扬</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获校级表扬1次加1分，市级及以上表扬1次加2分</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累计最高加1分</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月度考核总分：</w:t>
            </w:r>
          </w:p>
        </w:tc>
        <w:tc>
          <w:tcPr>
            <w:tcW w:w="31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highlight w:val="none"/>
                <w:u w:val="none"/>
              </w:rPr>
            </w:pP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加分抵扣后最终得分：</w:t>
            </w:r>
          </w:p>
        </w:tc>
        <w:tc>
          <w:tcPr>
            <w:tcW w:w="30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分值核对人（后勤部门）：</w:t>
            </w:r>
          </w:p>
        </w:tc>
        <w:tc>
          <w:tcPr>
            <w:tcW w:w="749"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各评分部门签字：</w:t>
            </w:r>
          </w:p>
        </w:tc>
        <w:tc>
          <w:tcPr>
            <w:tcW w:w="589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考核时间：</w:t>
            </w:r>
          </w:p>
        </w:tc>
        <w:tc>
          <w:tcPr>
            <w:tcW w:w="820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______年____月____日</w:t>
            </w:r>
          </w:p>
        </w:tc>
      </w:tr>
    </w:tbl>
    <w:p>
      <w:pPr>
        <w:spacing w:line="324" w:lineRule="auto"/>
        <w:rPr>
          <w:color w:val="auto"/>
          <w:szCs w:val="21"/>
          <w:highlight w:val="none"/>
        </w:rPr>
        <w:sectPr>
          <w:footerReference r:id="rId4" w:type="default"/>
          <w:pgSz w:w="11910" w:h="16840"/>
          <w:pgMar w:top="1440" w:right="1080" w:bottom="1440" w:left="1080" w:header="698" w:footer="912" w:gutter="0"/>
          <w:pgNumType w:fmt="decimal" w:start="1"/>
          <w:cols w:space="720" w:num="1"/>
        </w:sectPr>
      </w:pPr>
    </w:p>
    <w:p>
      <w:pPr>
        <w:pStyle w:val="8"/>
        <w:jc w:val="left"/>
        <w:rPr>
          <w:rFonts w:hint="default" w:ascii="宋体" w:hAnsi="宋体" w:cs="宋体"/>
          <w:b/>
          <w:bCs/>
          <w:snapToGrid w:val="0"/>
          <w:color w:val="auto"/>
          <w:spacing w:val="6"/>
          <w:kern w:val="0"/>
          <w:sz w:val="31"/>
          <w:szCs w:val="31"/>
          <w:highlight w:val="none"/>
          <w:lang w:val="en-US" w:eastAsia="zh-CN"/>
        </w:rPr>
      </w:pPr>
      <w:r>
        <w:rPr>
          <w:rFonts w:hint="eastAsia" w:ascii="宋体" w:hAnsi="宋体" w:cs="宋体"/>
          <w:b/>
          <w:bCs/>
          <w:snapToGrid w:val="0"/>
          <w:color w:val="auto"/>
          <w:spacing w:val="6"/>
          <w:kern w:val="0"/>
          <w:sz w:val="31"/>
          <w:szCs w:val="31"/>
          <w:highlight w:val="none"/>
          <w:lang w:val="en-US" w:eastAsia="zh-CN"/>
        </w:rPr>
        <w:t>附表2：</w:t>
      </w:r>
    </w:p>
    <w:tbl>
      <w:tblPr>
        <w:tblStyle w:val="2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647"/>
        <w:gridCol w:w="2263"/>
        <w:gridCol w:w="2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22" w:type="dxa"/>
            <w:gridSpan w:val="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防城港职业技术学院物业服务专项考核表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522" w:type="dxa"/>
            <w:gridSpan w:val="4"/>
            <w:tcBorders>
              <w:top w:val="nil"/>
              <w:left w:val="nil"/>
              <w:bottom w:val="nil"/>
              <w:right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1.本考核为月度考核补充，针对物业服务过程中具体违规行为及时考核、当月兑现。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2.所有扣款从当月物业服务费中直接扣除。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3.违规行为情节严重的，除扣款外，学校有权要求物业更换相关人员，涉嫌违法的报送公安机关处理。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违规行为</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扣款金额（元）</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未按合同规定派足工作人员或未执行合同规定任务的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从当月服务费中扣除缺勤人员相关费用（缺岗人员合同税前月工资/30*缺勤天数）并处罚当月服务费（实际需支付当月费用）的5%。</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缺岗未在7个自然日内补充的，另按合同执行缺岗处罚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未经学校同意，擅自更换核心岗位人员或一次性更换2名以上普通工作人员的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核心岗位：</w:t>
            </w:r>
            <w:r>
              <w:rPr>
                <w:rFonts w:hint="eastAsia" w:ascii="宋体" w:hAnsi="宋体" w:cs="仿宋"/>
                <w:color w:val="auto"/>
                <w:szCs w:val="21"/>
                <w:highlight w:val="none"/>
              </w:rPr>
              <w:t>物业经理、综合主管、保洁及绿化主管、宿舍主管、保安队长、消防与监控保卫岗</w:t>
            </w:r>
            <w:r>
              <w:rPr>
                <w:rFonts w:hint="eastAsia" w:ascii="宋体" w:hAnsi="宋体" w:cs="仿宋"/>
                <w:color w:val="auto"/>
                <w:szCs w:val="21"/>
                <w:highlight w:val="none"/>
                <w:lang w:val="en-US" w:eastAsia="zh-CN"/>
              </w:rPr>
              <w:t>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不及时处理师生咨询、投诉，或处理后未反馈的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投诉处理率未达100%的，按次累计扣款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未经学校同意，擅自外调（借）项目工作人员的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工作人员未统一着装、未配备附属装备，给学校造成不良影响的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校方指出工作问题后，未在规定时限内整改或整改不合格的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核心岗位人员正常上班时间擅自离岗，未履行请假报备手续的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工作人员酒后值班、在岗期间玩手机/睡觉等脱岗怠工行为的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门岗（校园/宿舍）对来访人员未严格履行登记手续，擅自放行的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工作人员在岗期间推诿师生合理需求，未主动提供服务的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工作人员在岗期间侮辱、谩骂、恐吓师生，与师生发生争执的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工作人员在岗期间殴打师生或有流氓行为的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1000/次+追责</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情节严重报送公安机关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突发事件发生时，未及时汇报、未按时到场协助处置的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安保人员对进入校园车辆私自收费、违规放行的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公共卫生间、校园公共区域出现违规广告，超过1天未清理的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发现以下情况未及时报告的：施工单位围挡不规范、建筑垃圾未清理、施工方对植被破坏未补植的。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拒绝配合学校开展重大活动保洁、消杀、秩序维护等后勤保障工作的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学生离校时，未如数回收宿舍钥匙/空调遥控器，未及时登记上报的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20/把（个）</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造成舆情的，加重处罚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学生离校时，未验收宿舍家具，造成损坏无法追回损失的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按实际损失由物业承担额外赔偿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未及时制止异性擅自进入学生宿舍，或发现后未上报的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对宿舍内学生违规行为未及时教育处置，造成严重后果的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未按要求检查宿舍安全隐患，或发现重大隐患未登记上报的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造成安全事故的，按合同追究违约责任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未提醒教育毕业生做好离校前宿舍清洁，导致宿舍卫生脏乱的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50/间</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工作人员为违规学生出具虚假材料、索要/接受学生财物、盗窃公私财物等违纪行为的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1000/次+追责</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情节严重解除合同并报送公安机关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维修人员接收到门锁/疏通等维修任务后，无正当理由超过24小时未处理的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维修人员遇疑难问题未及时上报，造成维修任务延迟的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因维修延误造成损失的，物业公司赔偿一切经济损失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因物业工作失误，造成校园停电、停水、设备损坏等情况的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200-500/次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轻微失误扣200元，造成设备损坏扣500元，额外承担损失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因物业履职不到位，造成校园安全事故、财产损失或师生人身伤害的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2000/次+追责</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按实际损失赔偿，情节严重解除合同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物业虚报人员数量、考勤造假，套取物业服务费的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首次发现扣款，再次发现直接终止合同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物业配备的设备、车辆未按规定使用，挪作私用或维护不当无法使用的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500/次</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设备包括巡逻车、绿化工具、消防器材等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月度考核89-80分</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每少1分扣2000元</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月度考核79-70分</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每少1分扣3000元</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月度考核69-60分</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每少1分扣5000元</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月度考核60分以下</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一次性扣60000/月</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每年秋季学期新生宿舍的深度清洁工作拒不执行的。</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扣200/间</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此项在每年9月考核，其他月份不考核。</w:t>
            </w:r>
          </w:p>
        </w:tc>
      </w:tr>
      <w:tr>
        <w:tblPrEx>
          <w:tblLayout w:type="fixed"/>
          <w:tblCellMar>
            <w:top w:w="0" w:type="dxa"/>
            <w:left w:w="108" w:type="dxa"/>
            <w:bottom w:w="0" w:type="dxa"/>
            <w:right w:w="108" w:type="dxa"/>
          </w:tblCellMar>
        </w:tblPrEx>
        <w:trPr>
          <w:trHeight w:val="740" w:hRule="atLeast"/>
        </w:trPr>
        <w:tc>
          <w:tcPr>
            <w:tcW w:w="35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本次专项考核累计扣款金额（元）：</w:t>
            </w:r>
          </w:p>
        </w:tc>
        <w:tc>
          <w:tcPr>
            <w:tcW w:w="49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35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后勤部门考核人：</w:t>
            </w:r>
          </w:p>
        </w:tc>
        <w:tc>
          <w:tcPr>
            <w:tcW w:w="49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35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后勤部门分值核对人：</w:t>
            </w:r>
          </w:p>
        </w:tc>
        <w:tc>
          <w:tcPr>
            <w:tcW w:w="49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35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后勤部门负责人签字（盖章）：</w:t>
            </w:r>
          </w:p>
        </w:tc>
        <w:tc>
          <w:tcPr>
            <w:tcW w:w="49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考核时间：______年____月____日</w:t>
            </w:r>
          </w:p>
        </w:tc>
      </w:tr>
    </w:tbl>
    <w:p>
      <w:pPr>
        <w:rPr>
          <w:rFonts w:hint="eastAsia" w:ascii="宋体" w:hAnsi="宋体" w:eastAsia="宋体" w:cs="宋体"/>
          <w:b/>
          <w:bCs/>
          <w:color w:val="auto"/>
          <w:kern w:val="44"/>
          <w:sz w:val="44"/>
          <w:szCs w:val="44"/>
          <w:highlight w:val="none"/>
          <w:lang w:val="en-US" w:eastAsia="zh-CN" w:bidi="ar-SA"/>
        </w:rPr>
      </w:pPr>
      <w:bookmarkStart w:id="34" w:name="_Toc32381"/>
    </w:p>
    <w:p>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kern w:val="44"/>
          <w:sz w:val="44"/>
          <w:szCs w:val="44"/>
          <w:highlight w:val="none"/>
          <w:lang w:val="en-US" w:eastAsia="zh-CN" w:bidi="ar-SA"/>
        </w:rPr>
        <w:t>第三章</w:t>
      </w:r>
      <w:r>
        <w:rPr>
          <w:rFonts w:hint="eastAsia" w:ascii="宋体" w:hAnsi="宋体" w:eastAsia="宋体" w:cs="宋体"/>
          <w:color w:val="auto"/>
          <w:sz w:val="44"/>
          <w:szCs w:val="44"/>
          <w:highlight w:val="none"/>
          <w:lang w:val="en-US" w:eastAsia="zh-CN"/>
        </w:rPr>
        <w:t xml:space="preserve"> </w:t>
      </w:r>
      <w:bookmarkStart w:id="35" w:name="_Toc29035"/>
      <w:r>
        <w:rPr>
          <w:rFonts w:hint="eastAsia" w:ascii="宋体" w:hAnsi="宋体" w:eastAsia="宋体" w:cs="宋体"/>
          <w:color w:val="auto"/>
          <w:sz w:val="44"/>
          <w:szCs w:val="44"/>
          <w:highlight w:val="none"/>
        </w:rPr>
        <w:t>投标人须知</w:t>
      </w:r>
      <w:bookmarkEnd w:id="34"/>
      <w:bookmarkEnd w:id="35"/>
    </w:p>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6" w:name="_Toc254970667"/>
      <w:bookmarkStart w:id="37" w:name="_Toc254970526"/>
      <w:r>
        <w:rPr>
          <w:rFonts w:hint="eastAsia" w:ascii="宋体" w:hAnsi="宋体" w:eastAsia="宋体" w:cs="宋体"/>
          <w:b/>
          <w:bCs/>
          <w:color w:val="auto"/>
          <w:sz w:val="24"/>
          <w:szCs w:val="24"/>
          <w:highlight w:val="none"/>
        </w:rPr>
        <w:t>投标人须知前附表</w:t>
      </w:r>
      <w:bookmarkEnd w:id="36"/>
      <w:bookmarkEnd w:id="37"/>
    </w:p>
    <w:tbl>
      <w:tblPr>
        <w:tblStyle w:val="20"/>
        <w:tblpPr w:leftFromText="180" w:rightFromText="180" w:vertAnchor="text" w:horzAnchor="page" w:tblpX="1042" w:tblpY="560"/>
        <w:tblOverlap w:val="never"/>
        <w:tblW w:w="10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1"/>
        <w:gridCol w:w="93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38" w:name="_5"/>
            <w:bookmarkEnd w:id="38"/>
            <w:bookmarkStart w:id="39" w:name="_9.2"/>
            <w:bookmarkEnd w:id="39"/>
            <w:bookmarkStart w:id="40" w:name="_8.1"/>
            <w:bookmarkEnd w:id="40"/>
            <w:r>
              <w:rPr>
                <w:rFonts w:hint="eastAsia" w:ascii="宋体" w:hAnsi="宋体" w:eastAsia="宋体" w:cs="宋体"/>
                <w:color w:val="auto"/>
                <w:sz w:val="21"/>
                <w:szCs w:val="21"/>
                <w:highlight w:val="none"/>
              </w:rPr>
              <w:t>6.1</w:t>
            </w:r>
          </w:p>
        </w:tc>
        <w:tc>
          <w:tcPr>
            <w:tcW w:w="9377"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9377"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不允许分包</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76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7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1" w:name="_13.1"/>
            <w:bookmarkEnd w:id="41"/>
            <w:r>
              <w:rPr>
                <w:rFonts w:hint="eastAsia" w:ascii="宋体" w:hAnsi="宋体" w:eastAsia="宋体" w:cs="宋体"/>
                <w:color w:val="auto"/>
                <w:sz w:val="21"/>
                <w:szCs w:val="21"/>
                <w:highlight w:val="none"/>
              </w:rPr>
              <w:t>13</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bookmarkStart w:id="42" w:name="_Hlk71299233"/>
            <w:r>
              <w:rPr>
                <w:rFonts w:hint="eastAsia" w:ascii="宋体" w:hAnsi="宋体" w:eastAsia="宋体" w:cs="宋体"/>
                <w:color w:val="auto"/>
                <w:sz w:val="21"/>
                <w:szCs w:val="21"/>
                <w:highlight w:val="none"/>
              </w:rPr>
              <w:t>2.</w:t>
            </w:r>
            <w:bookmarkEnd w:id="42"/>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p>
          <w:p>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3.投标人针对报价需要说明的其他文件和说明（格式自拟）。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pPr>
              <w:keepNext w:val="0"/>
              <w:keepLines w:val="0"/>
              <w:pageBreakBefore w:val="0"/>
              <w:widowControl w:val="0"/>
              <w:tabs>
                <w:tab w:val="left" w:pos="459"/>
              </w:tabs>
              <w:kinsoku/>
              <w:wordWrap/>
              <w:overflowPunct/>
              <w:topLinePunct w:val="0"/>
              <w:bidi w:val="0"/>
              <w:adjustRightInd/>
              <w:snapToGrid w:val="0"/>
              <w:spacing w:line="360" w:lineRule="exact"/>
              <w:jc w:val="left"/>
              <w:rPr>
                <w:rFonts w:hint="eastAsia"/>
                <w:color w:val="auto"/>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43" w:name="_13.2"/>
            <w:bookmarkEnd w:id="43"/>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.防城港市政府采购供应商信用承诺函（格式后附）；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bCs/>
                <w:color w:val="auto"/>
                <w:sz w:val="21"/>
                <w:szCs w:val="21"/>
                <w:highlight w:val="none"/>
                <w:lang w:val="en-US" w:eastAsia="zh-CN"/>
              </w:rPr>
              <w:t>中小</w:t>
            </w:r>
            <w:r>
              <w:rPr>
                <w:rFonts w:hint="eastAsia" w:ascii="宋体" w:hAnsi="宋体" w:eastAsia="宋体" w:cs="宋体"/>
                <w:bCs/>
                <w:color w:val="auto"/>
                <w:sz w:val="21"/>
                <w:szCs w:val="21"/>
                <w:highlight w:val="none"/>
              </w:rPr>
              <w:t>企业声明函或监狱企业证明材料或</w:t>
            </w:r>
            <w:r>
              <w:rPr>
                <w:rFonts w:hint="eastAsia" w:ascii="宋体" w:hAnsi="宋体" w:cs="宋体"/>
                <w:bCs/>
                <w:color w:val="auto"/>
                <w:sz w:val="21"/>
                <w:szCs w:val="21"/>
                <w:highlight w:val="none"/>
                <w:lang w:val="en-US" w:eastAsia="zh-CN"/>
              </w:rPr>
              <w:t>残疾人福利性单位声明函</w:t>
            </w:r>
            <w:r>
              <w:rPr>
                <w:rFonts w:hint="eastAsia" w:ascii="宋体" w:hAnsi="宋体" w:eastAsia="宋体" w:cs="宋体"/>
                <w:color w:val="auto"/>
                <w:sz w:val="21"/>
                <w:szCs w:val="21"/>
                <w:highlight w:val="none"/>
              </w:rPr>
              <w:t>（格式后附）；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b w:val="0"/>
                <w:bCs/>
                <w:color w:val="auto"/>
                <w:highlight w:val="none"/>
              </w:rPr>
              <w:t>具备履行合同所必需的设备和专业技术能力的证明材料</w:t>
            </w: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格式自拟</w:t>
            </w:r>
            <w:r>
              <w:rPr>
                <w:rFonts w:hint="eastAsia" w:ascii="宋体" w:hAnsi="宋体"/>
                <w:b w:val="0"/>
                <w:bCs/>
                <w:color w:val="auto"/>
                <w:highlight w:val="none"/>
                <w:lang w:eastAsia="zh-CN"/>
              </w:rPr>
              <w:t>）</w:t>
            </w:r>
            <w:r>
              <w:rPr>
                <w:rFonts w:hint="eastAsia" w:ascii="宋体" w:hAnsi="宋体"/>
                <w:b w:val="0"/>
                <w:bCs/>
                <w:color w:val="auto"/>
                <w:highlight w:val="none"/>
              </w:rPr>
              <w:t>；</w:t>
            </w:r>
            <w:r>
              <w:rPr>
                <w:rFonts w:hint="eastAsia" w:ascii="宋体" w:hAnsi="宋体"/>
                <w:b/>
                <w:bCs w:val="0"/>
                <w:color w:val="auto"/>
                <w:highlight w:val="none"/>
              </w:rPr>
              <w:t>（必须提供，</w:t>
            </w:r>
            <w:r>
              <w:rPr>
                <w:rFonts w:hint="eastAsia" w:ascii="宋体" w:hAnsi="宋体" w:eastAsia="宋体" w:cs="宋体"/>
                <w:b/>
                <w:bCs/>
                <w:color w:val="auto"/>
                <w:sz w:val="21"/>
                <w:szCs w:val="21"/>
                <w:highlight w:val="none"/>
              </w:rPr>
              <w:t>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.投标人认为需要提供的其他证明材料（格式自拟）。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如有请提供</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42" w:hRule="atLeast"/>
        </w:trPr>
        <w:tc>
          <w:tcPr>
            <w:tcW w:w="761"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44" w:name="_13.3"/>
            <w:bookmarkEnd w:id="44"/>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w:t>
            </w:r>
            <w:r>
              <w:rPr>
                <w:rFonts w:hint="eastAsia" w:ascii="宋体" w:hAnsi="宋体" w:eastAsia="宋体" w:cs="宋体"/>
                <w:color w:val="auto"/>
                <w:sz w:val="21"/>
                <w:szCs w:val="21"/>
                <w:highlight w:val="none"/>
                <w:lang w:val="en-US" w:eastAsia="zh-CN"/>
              </w:rPr>
              <w:t>围标</w:t>
            </w:r>
            <w:r>
              <w:rPr>
                <w:rFonts w:hint="eastAsia" w:ascii="宋体" w:hAnsi="宋体" w:eastAsia="宋体" w:cs="宋体"/>
                <w:color w:val="auto"/>
                <w:sz w:val="21"/>
                <w:szCs w:val="21"/>
                <w:highlight w:val="none"/>
              </w:rPr>
              <w:t>串</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行为的承诺函（格式后附）；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bCs/>
                <w:color w:val="auto"/>
                <w:sz w:val="21"/>
                <w:szCs w:val="21"/>
                <w:highlight w:val="none"/>
              </w:rPr>
              <w:t>（委托时必须提供，否则按无效投标处理）</w:t>
            </w:r>
          </w:p>
          <w:p>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6.投标人情况介绍（格式自拟）；</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rPr>
              <w:t>如有请提供</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rPr>
              <w:t>投标人根据“第二章 采购需求”及“第四章 评标方法及评标标准”提供有关证明材料）</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45" w:name="_13.4"/>
            <w:bookmarkEnd w:id="45"/>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w:t>
            </w:r>
            <w:r>
              <w:rPr>
                <w:rFonts w:hint="eastAsia" w:ascii="宋体" w:hAnsi="宋体" w:eastAsia="宋体" w:cs="宋体"/>
                <w:b w:val="0"/>
                <w:bCs w:val="0"/>
                <w:color w:val="auto"/>
                <w:sz w:val="21"/>
                <w:szCs w:val="21"/>
                <w:highlight w:val="none"/>
              </w:rPr>
              <w:t>（格式自拟）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w:t>
            </w:r>
            <w:r>
              <w:rPr>
                <w:rFonts w:hint="eastAsia" w:ascii="宋体" w:hAnsi="宋体" w:eastAsia="宋体" w:cs="宋体"/>
                <w:b w:val="0"/>
                <w:bCs w:val="0"/>
                <w:color w:val="auto"/>
                <w:sz w:val="21"/>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rPr>
              <w:t>如有请提供</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6" w:name="_13.5"/>
            <w:bookmarkEnd w:id="46"/>
            <w:bookmarkStart w:id="47" w:name="_16.2"/>
            <w:bookmarkEnd w:id="47"/>
            <w:r>
              <w:rPr>
                <w:rFonts w:hint="eastAsia" w:ascii="宋体" w:hAnsi="宋体" w:eastAsia="宋体" w:cs="宋体"/>
                <w:color w:val="auto"/>
                <w:sz w:val="21"/>
                <w:szCs w:val="21"/>
                <w:highlight w:val="none"/>
              </w:rPr>
              <w:t>16</w:t>
            </w:r>
            <w:bookmarkStart w:id="48" w:name="_Hlt19194066"/>
            <w:bookmarkStart w:id="49" w:name="_Hlt19194067"/>
            <w:bookmarkStart w:id="50" w:name="_Hlt19693758"/>
            <w:bookmarkStart w:id="51" w:name="_Hlt19693759"/>
            <w:r>
              <w:rPr>
                <w:rFonts w:hint="eastAsia" w:ascii="宋体" w:hAnsi="宋体" w:eastAsia="宋体" w:cs="宋体"/>
                <w:color w:val="auto"/>
                <w:sz w:val="21"/>
                <w:szCs w:val="21"/>
                <w:highlight w:val="none"/>
              </w:rPr>
              <w:t>.</w:t>
            </w:r>
            <w:bookmarkEnd w:id="48"/>
            <w:bookmarkEnd w:id="49"/>
            <w:bookmarkEnd w:id="50"/>
            <w:bookmarkEnd w:id="51"/>
            <w:r>
              <w:rPr>
                <w:rFonts w:hint="eastAsia" w:ascii="宋体" w:hAnsi="宋体" w:eastAsia="宋体" w:cs="宋体"/>
                <w:color w:val="auto"/>
                <w:sz w:val="21"/>
                <w:szCs w:val="21"/>
                <w:highlight w:val="none"/>
              </w:rPr>
              <w:t>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s="宋体"/>
                <w:color w:val="auto"/>
                <w:highlight w:val="none"/>
              </w:rPr>
            </w:pPr>
            <w:r>
              <w:rPr>
                <w:rFonts w:hint="eastAsia" w:ascii="宋体" w:hAnsi="宋体"/>
                <w:color w:val="auto"/>
                <w:szCs w:val="21"/>
                <w:highlight w:val="none"/>
              </w:rPr>
              <w:t>报价是含税的报价；</w:t>
            </w:r>
            <w:r>
              <w:rPr>
                <w:rFonts w:hint="eastAsia" w:ascii="宋体" w:hAnsi="宋体" w:cs="宋体"/>
                <w:color w:val="auto"/>
                <w:highlight w:val="none"/>
              </w:rPr>
              <w:t>投标人报价以本项目采购预算为最高限价，本项目报价为一口价。</w:t>
            </w:r>
          </w:p>
          <w:p>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结合本招标文件在采购需求下的说明，请投标人谨慎注意：</w:t>
            </w:r>
          </w:p>
          <w:p>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招标文件载明的另有由招标人承担、由第三方服务商承担的事项（费用）外，凡在合同范围内已明确为中标人义务的内容以及由中标人实施的行为（事项），其对价和成本均应包含在投标人的报价之内（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其他的经由本项目政府采购确定后的、合同明确的由中标人履行的行为、义务之对价和成本；招标文件明示或暗示的中标人的所有责任、义务和风险等中标人完成本项目所需一切费用）。</w:t>
            </w:r>
          </w:p>
          <w:p>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中标后，以合同主文为依据结算的合同价款将会是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宋体" w:hAnsi="宋体"/>
                <w:color w:val="auto"/>
                <w:szCs w:val="21"/>
                <w:highlight w:val="none"/>
                <w:lang w:val="zh-CN"/>
              </w:rPr>
              <w:t>。</w:t>
            </w:r>
          </w:p>
          <w:p>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hAnsi="宋体"/>
                <w:color w:val="auto"/>
                <w:szCs w:val="21"/>
                <w:highlight w:val="none"/>
              </w:rPr>
              <w:t>因此，</w:t>
            </w:r>
            <w:r>
              <w:rPr>
                <w:rFonts w:hAnsi="宋体"/>
                <w:color w:val="auto"/>
                <w:szCs w:val="21"/>
                <w:highlight w:val="none"/>
              </w:rPr>
              <w:t>投标人</w:t>
            </w:r>
            <w:r>
              <w:rPr>
                <w:rFonts w:hint="eastAsia" w:hAnsi="宋体"/>
                <w:color w:val="auto"/>
                <w:szCs w:val="21"/>
                <w:highlight w:val="none"/>
              </w:rPr>
              <w:t>的</w:t>
            </w:r>
            <w:r>
              <w:rPr>
                <w:rFonts w:hAnsi="宋体"/>
                <w:color w:val="auto"/>
                <w:szCs w:val="21"/>
                <w:highlight w:val="none"/>
              </w:rPr>
              <w:t>报价必须充分考虑，中标后，</w:t>
            </w:r>
            <w:r>
              <w:rPr>
                <w:rFonts w:hint="eastAsia" w:hAnsi="宋体"/>
                <w:color w:val="auto"/>
                <w:szCs w:val="21"/>
                <w:highlight w:val="none"/>
              </w:rPr>
              <w:t>中标</w:t>
            </w:r>
            <w:r>
              <w:rPr>
                <w:rFonts w:hAnsi="宋体"/>
                <w:color w:val="auto"/>
                <w:szCs w:val="21"/>
                <w:highlight w:val="none"/>
              </w:rPr>
              <w:t>人不得以</w:t>
            </w:r>
            <w:r>
              <w:rPr>
                <w:rFonts w:hint="eastAsia" w:hAnsi="宋体"/>
                <w:color w:val="auto"/>
                <w:szCs w:val="21"/>
                <w:highlight w:val="none"/>
              </w:rPr>
              <w:t>其</w:t>
            </w:r>
            <w:r>
              <w:rPr>
                <w:rFonts w:hAnsi="宋体"/>
                <w:color w:val="auto"/>
                <w:szCs w:val="21"/>
                <w:highlight w:val="none"/>
              </w:rPr>
              <w:t>报价未能涵盖</w:t>
            </w:r>
            <w:r>
              <w:rPr>
                <w:rFonts w:hint="eastAsia" w:hAnsi="宋体"/>
                <w:color w:val="auto"/>
                <w:szCs w:val="21"/>
                <w:highlight w:val="none"/>
              </w:rPr>
              <w:t>合同范围内</w:t>
            </w:r>
            <w:r>
              <w:rPr>
                <w:rFonts w:hAnsi="宋体"/>
                <w:color w:val="auto"/>
                <w:szCs w:val="21"/>
                <w:highlight w:val="none"/>
              </w:rPr>
              <w:t>为</w:t>
            </w:r>
            <w:r>
              <w:rPr>
                <w:rFonts w:hint="eastAsia" w:hAnsi="宋体"/>
                <w:color w:val="auto"/>
                <w:szCs w:val="21"/>
                <w:highlight w:val="none"/>
              </w:rPr>
              <w:t>提供</w:t>
            </w:r>
            <w:r>
              <w:rPr>
                <w:rFonts w:hAnsi="宋体"/>
                <w:color w:val="auto"/>
                <w:szCs w:val="21"/>
                <w:highlight w:val="none"/>
              </w:rPr>
              <w:t>本项目服务、为签订和履行合同所应获得的所有对价及所应支出的所有成本费用等任何理由，而要求</w:t>
            </w:r>
            <w:r>
              <w:rPr>
                <w:rFonts w:hint="eastAsia" w:hAnsi="宋体"/>
                <w:color w:val="auto"/>
                <w:szCs w:val="21"/>
                <w:highlight w:val="none"/>
              </w:rPr>
              <w:t>在其</w:t>
            </w:r>
            <w:r>
              <w:rPr>
                <w:rFonts w:hAnsi="宋体"/>
                <w:color w:val="auto"/>
                <w:szCs w:val="21"/>
                <w:highlight w:val="none"/>
              </w:rPr>
              <w:t>报价以外</w:t>
            </w:r>
            <w:r>
              <w:rPr>
                <w:rFonts w:hint="eastAsia" w:hAnsi="宋体"/>
                <w:color w:val="auto"/>
                <w:szCs w:val="21"/>
                <w:highlight w:val="none"/>
              </w:rPr>
              <w:t>实施本项目的</w:t>
            </w:r>
            <w:r>
              <w:rPr>
                <w:rFonts w:hAnsi="宋体"/>
                <w:color w:val="auto"/>
                <w:szCs w:val="21"/>
                <w:highlight w:val="none"/>
              </w:rPr>
              <w:t>其他费用，对这些费用，不再另外支付</w:t>
            </w: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2" w:name="_17.1"/>
            <w:bookmarkEnd w:id="52"/>
            <w:r>
              <w:rPr>
                <w:rFonts w:hint="eastAsia" w:ascii="宋体" w:hAnsi="宋体" w:eastAsia="宋体" w:cs="宋体"/>
                <w:color w:val="auto"/>
                <w:sz w:val="21"/>
                <w:szCs w:val="21"/>
                <w:highlight w:val="none"/>
              </w:rPr>
              <w:t>17.2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3" w:name="_18"/>
            <w:bookmarkEnd w:id="53"/>
            <w:r>
              <w:rPr>
                <w:rFonts w:hint="eastAsia" w:ascii="宋体" w:hAnsi="宋体" w:eastAsia="宋体" w:cs="宋体"/>
                <w:color w:val="auto"/>
                <w:sz w:val="21"/>
                <w:szCs w:val="21"/>
                <w:highlight w:val="none"/>
              </w:rPr>
              <w:t>18</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4" w:name="_19.2"/>
            <w:bookmarkEnd w:id="54"/>
            <w:r>
              <w:rPr>
                <w:rFonts w:hint="eastAsia" w:ascii="宋体" w:hAnsi="宋体" w:eastAsia="宋体" w:cs="宋体"/>
                <w:color w:val="auto"/>
                <w:sz w:val="21"/>
                <w:szCs w:val="21"/>
                <w:highlight w:val="none"/>
              </w:rPr>
              <w:t>20</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trPr>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5" w:name="_21.1"/>
            <w:bookmarkEnd w:id="55"/>
            <w:r>
              <w:rPr>
                <w:rFonts w:hint="eastAsia" w:ascii="宋体" w:hAnsi="宋体" w:eastAsia="宋体" w:cs="宋体"/>
                <w:color w:val="auto"/>
                <w:sz w:val="21"/>
                <w:szCs w:val="21"/>
                <w:highlight w:val="none"/>
              </w:rPr>
              <w:t>21.1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6" w:name="_23"/>
            <w:bookmarkEnd w:id="56"/>
            <w:r>
              <w:rPr>
                <w:rFonts w:hint="eastAsia" w:ascii="宋体" w:hAnsi="宋体" w:eastAsia="宋体" w:cs="宋体"/>
                <w:color w:val="auto"/>
                <w:sz w:val="21"/>
                <w:szCs w:val="21"/>
                <w:highlight w:val="none"/>
              </w:rPr>
              <w:t>23</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7" w:name="_25.3"/>
            <w:bookmarkEnd w:id="57"/>
            <w:r>
              <w:rPr>
                <w:rFonts w:hint="eastAsia" w:ascii="宋体" w:hAnsi="宋体" w:eastAsia="宋体" w:cs="宋体"/>
                <w:color w:val="auto"/>
                <w:sz w:val="21"/>
                <w:szCs w:val="21"/>
                <w:highlight w:val="none"/>
              </w:rPr>
              <w:t>25.3（2）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8" w:name="_26"/>
            <w:bookmarkEnd w:id="58"/>
            <w:r>
              <w:rPr>
                <w:rFonts w:hint="eastAsia" w:ascii="宋体" w:hAnsi="宋体" w:eastAsia="宋体" w:cs="宋体"/>
                <w:color w:val="auto"/>
                <w:sz w:val="21"/>
                <w:szCs w:val="21"/>
                <w:highlight w:val="none"/>
              </w:rPr>
              <w:t>26.1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rPr>
            </w:pPr>
            <w:bookmarkStart w:id="59" w:name="_28.3"/>
            <w:bookmarkEnd w:id="59"/>
            <w:r>
              <w:rPr>
                <w:rFonts w:hint="eastAsia" w:ascii="宋体" w:hAnsi="宋体" w:cs="宋体"/>
                <w:color w:val="auto"/>
                <w:szCs w:val="21"/>
                <w:highlight w:val="none"/>
                <w:lang w:val="en-US" w:eastAsia="zh-CN"/>
              </w:rPr>
              <w:t>29.5</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bookmarkStart w:id="60" w:name="OLE_LINK8"/>
            <w:r>
              <w:rPr>
                <w:rFonts w:hint="eastAsia" w:ascii="宋体" w:hAnsi="宋体"/>
                <w:color w:val="auto"/>
                <w:szCs w:val="21"/>
                <w:highlight w:val="none"/>
              </w:rPr>
              <w:t>异常低价审查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根据《</w:t>
            </w:r>
            <w:r>
              <w:rPr>
                <w:rFonts w:hint="eastAsia" w:ascii="宋体" w:hAnsi="宋体"/>
                <w:color w:val="auto"/>
                <w:szCs w:val="21"/>
                <w:highlight w:val="none"/>
                <w:lang w:eastAsia="zh-CN"/>
              </w:rPr>
              <w:t>关于推动解决政府采购异常低价问题的通知</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财库〔2026〕2号</w:t>
            </w:r>
            <w:r>
              <w:rPr>
                <w:rFonts w:hint="eastAsia" w:ascii="宋体" w:hAnsi="宋体"/>
                <w:color w:val="auto"/>
                <w:szCs w:val="21"/>
                <w:highlight w:val="none"/>
                <w:lang w:val="en-US" w:eastAsia="zh-CN"/>
              </w:rPr>
              <w:t>规定，政府采购评审中出现下列情形之一的，评审委员会应当启动异常低价投标（响应）审查程序：</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1.投标（响应）报价低于全部通过符合性审查供应商投标（响应）报价平均值65%的，即投标（响应）报价&lt;全部通过符合性审查供应商投标（响应）报价平均值×65%；</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2.投标（响应）报价低于通过符合性审查的次低报价供应商投标（响应）报价65%的，即投标（响应）报价&lt;通过符合性审查的次低报价供应商投标（响应）报价×65%；</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3.投标（响应）报价低于采购项目最高限价65%的，即投标（响应）报价&lt;采购项目最高限价×65%；</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4.评审委员会基于专业判断，认为供应商报价过低，有可能影响产品质量或者不能诚信履约的其他情形。</w:t>
            </w:r>
          </w:p>
          <w:p>
            <w:pPr>
              <w:pStyle w:val="17"/>
              <w:ind w:firstLine="241" w:firstLineChars="100"/>
              <w:rPr>
                <w:rFonts w:hint="eastAsia" w:ascii="宋体" w:hAnsi="宋体" w:eastAsia="宋体" w:cs="宋体"/>
                <w:color w:val="auto"/>
                <w:sz w:val="21"/>
                <w:szCs w:val="21"/>
                <w:highlight w:val="none"/>
              </w:rPr>
            </w:pPr>
            <w:r>
              <w:rPr>
                <w:rFonts w:hint="default"/>
                <w:color w:val="auto"/>
                <w:highlight w:val="none"/>
                <w:lang w:val="en-US" w:eastAsia="zh-CN"/>
              </w:rPr>
              <w:t>相关法律法规对供应商报价有规定的，从其规定。</w:t>
            </w:r>
            <w:bookmarkEnd w:id="6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29.1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default"/>
                <w:color w:val="auto"/>
                <w:highlight w:val="none"/>
                <w:lang w:val="en-US" w:eastAsia="zh-CN"/>
              </w:rPr>
            </w:pPr>
            <w:r>
              <w:rPr>
                <w:rFonts w:hint="eastAsia" w:ascii="宋体" w:hAnsi="宋体" w:eastAsia="宋体" w:cs="宋体"/>
                <w:color w:val="auto"/>
                <w:sz w:val="21"/>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1" w:name="_29.2.2（2）"/>
            <w:bookmarkEnd w:id="61"/>
            <w:r>
              <w:rPr>
                <w:rFonts w:hint="eastAsia" w:ascii="宋体" w:hAnsi="宋体" w:eastAsia="宋体" w:cs="宋体"/>
                <w:color w:val="auto"/>
                <w:sz w:val="21"/>
                <w:szCs w:val="21"/>
                <w:highlight w:val="none"/>
              </w:rPr>
              <w:t>29.2</w:t>
            </w:r>
          </w:p>
        </w:tc>
        <w:tc>
          <w:tcPr>
            <w:tcW w:w="93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项。</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93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2" w:name="_39.1"/>
            <w:bookmarkEnd w:id="62"/>
            <w:r>
              <w:rPr>
                <w:rFonts w:hint="eastAsia" w:ascii="宋体" w:hAnsi="宋体" w:eastAsia="宋体" w:cs="宋体"/>
                <w:color w:val="auto"/>
                <w:sz w:val="21"/>
                <w:szCs w:val="21"/>
                <w:highlight w:val="none"/>
              </w:rPr>
              <w:t>35</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3" w:name="_40.1"/>
            <w:bookmarkEnd w:id="63"/>
            <w:r>
              <w:rPr>
                <w:rFonts w:hint="eastAsia" w:ascii="宋体" w:hAnsi="宋体" w:eastAsia="宋体" w:cs="宋体"/>
                <w:color w:val="auto"/>
                <w:sz w:val="21"/>
                <w:szCs w:val="21"/>
                <w:highlight w:val="none"/>
              </w:rPr>
              <w:t>36.1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37</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政府采购合同公告。</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接收质疑函方式：以书面形式</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质疑联系部门及联系方式：</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 防城港职业技术学院；联系电话：0770-2076107；通讯地址：广西壮族自治区防城港市防城区滨海公路；</w:t>
            </w:r>
            <w:r>
              <w:rPr>
                <w:rFonts w:hint="eastAsia" w:ascii="宋体" w:hAnsi="宋体" w:eastAsia="宋体" w:cs="宋体"/>
                <w:color w:val="auto"/>
                <w:sz w:val="21"/>
                <w:szCs w:val="21"/>
                <w:highlight w:val="none"/>
              </w:rPr>
              <w:t>业务时间：每天上午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时00分到12时00分，下午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分到</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采购代理机构：防城港市政府采购中心；联系电话：0770-6126183；</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lang w:val="en-US" w:eastAsia="zh-CN"/>
              </w:rPr>
              <w:t>防城港市中心区红树林大厦东塔6楼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64" w:name="_41"/>
            <w:bookmarkEnd w:id="64"/>
            <w:bookmarkStart w:id="65" w:name="_42"/>
            <w:bookmarkEnd w:id="65"/>
            <w:bookmarkStart w:id="66" w:name="_Hlt17709148"/>
            <w:r>
              <w:rPr>
                <w:rFonts w:hint="eastAsia" w:ascii="宋体" w:hAnsi="宋体" w:eastAsia="宋体" w:cs="宋体"/>
                <w:color w:val="auto"/>
                <w:sz w:val="21"/>
                <w:szCs w:val="21"/>
                <w:highlight w:val="none"/>
              </w:rPr>
              <w:t>3</w:t>
            </w:r>
            <w:bookmarkEnd w:id="66"/>
            <w:r>
              <w:rPr>
                <w:rFonts w:hint="eastAsia" w:ascii="宋体" w:hAnsi="宋体" w:eastAsia="宋体" w:cs="宋体"/>
                <w:color w:val="auto"/>
                <w:sz w:val="21"/>
                <w:szCs w:val="21"/>
                <w:highlight w:val="none"/>
              </w:rPr>
              <w:t>9</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val="en-US" w:eastAsia="zh-CN"/>
              </w:rPr>
              <w:t>不收取</w:t>
            </w:r>
            <w:r>
              <w:rPr>
                <w:rFonts w:hint="eastAsia" w:ascii="宋体" w:hAnsi="宋体" w:eastAsia="宋体" w:cs="宋体"/>
                <w:bCs/>
                <w:color w:val="auto"/>
                <w:sz w:val="21"/>
                <w:szCs w:val="21"/>
                <w:highlight w:val="none"/>
              </w:rPr>
              <w:t>代理服务费</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9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trPr>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9377"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pPr>
              <w:pStyle w:val="13"/>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ind w:left="0" w:leftChars="0" w:firstLine="0" w:firstLineChars="0"/>
        <w:rPr>
          <w:color w:val="auto"/>
          <w:highlight w:val="none"/>
        </w:rPr>
      </w:pPr>
    </w:p>
    <w:p>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则</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7" w:name="_Toc254970668"/>
      <w:bookmarkStart w:id="68" w:name="_Toc254970527"/>
      <w:r>
        <w:rPr>
          <w:rFonts w:hint="eastAsia" w:ascii="宋体" w:hAnsi="宋体" w:eastAsia="宋体" w:cs="宋体"/>
          <w:color w:val="auto"/>
          <w:sz w:val="21"/>
          <w:szCs w:val="21"/>
          <w:highlight w:val="none"/>
        </w:rPr>
        <w:t>1.适用范围</w:t>
      </w:r>
      <w:bookmarkEnd w:id="67"/>
      <w:bookmarkEnd w:id="68"/>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9" w:name="_Toc254970669"/>
      <w:bookmarkStart w:id="70" w:name="_Toc254970528"/>
      <w:r>
        <w:rPr>
          <w:rFonts w:hint="eastAsia" w:ascii="宋体" w:hAnsi="宋体" w:eastAsia="宋体" w:cs="宋体"/>
          <w:color w:val="auto"/>
          <w:sz w:val="21"/>
          <w:szCs w:val="21"/>
          <w:highlight w:val="none"/>
        </w:rPr>
        <w:t>2.定义</w:t>
      </w:r>
      <w:bookmarkEnd w:id="69"/>
      <w:bookmarkEnd w:id="70"/>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、参加投标竞争的法人、其他组织或者自然人。</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文件中已经指明不满足则投标无效的条款，或者不能负偏离的条款，或者采购需求中带“▲”的条款。</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71" w:name="_Toc254970670"/>
      <w:bookmarkStart w:id="72" w:name="_Toc254970529"/>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71"/>
      <w:bookmarkEnd w:id="72"/>
      <w:r>
        <w:rPr>
          <w:rFonts w:hint="eastAsia" w:ascii="宋体" w:hAnsi="宋体" w:eastAsia="宋体" w:cs="宋体"/>
          <w:color w:val="auto"/>
          <w:sz w:val="21"/>
          <w:szCs w:val="21"/>
          <w:highlight w:val="none"/>
        </w:rPr>
        <w:t>投标人的资格要求</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73" w:name="_Toc254970671"/>
      <w:bookmarkStart w:id="74" w:name="_Toc254970530"/>
      <w:r>
        <w:rPr>
          <w:rFonts w:hint="eastAsia" w:ascii="宋体" w:hAnsi="宋体" w:eastAsia="宋体" w:cs="宋体"/>
          <w:color w:val="auto"/>
          <w:sz w:val="21"/>
          <w:szCs w:val="21"/>
          <w:highlight w:val="none"/>
        </w:rPr>
        <w:t>4.投标委托</w:t>
      </w:r>
      <w:bookmarkEnd w:id="73"/>
      <w:bookmarkEnd w:id="74"/>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75" w:name="_5.投标费用"/>
      <w:bookmarkEnd w:id="75"/>
      <w:bookmarkStart w:id="76" w:name="_Toc254970531"/>
      <w:bookmarkStart w:id="77" w:name="_Toc254970672"/>
      <w:r>
        <w:rPr>
          <w:rFonts w:hint="eastAsia" w:ascii="宋体" w:hAnsi="宋体" w:eastAsia="宋体" w:cs="宋体"/>
          <w:color w:val="auto"/>
          <w:sz w:val="21"/>
          <w:szCs w:val="21"/>
          <w:highlight w:val="none"/>
        </w:rPr>
        <w:t>5.投标费用</w:t>
      </w:r>
      <w:bookmarkEnd w:id="76"/>
      <w:bookmarkEnd w:id="77"/>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pPr>
        <w:pageBreakBefore w:val="0"/>
        <w:widowControl w:val="0"/>
        <w:kinsoku/>
        <w:wordWrap/>
        <w:overflowPunct/>
        <w:topLinePunct w:val="0"/>
        <w:autoSpaceDE/>
        <w:autoSpaceDN/>
        <w:bidi w:val="0"/>
        <w:snapToGrid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转包与分包</w:t>
      </w:r>
    </w:p>
    <w:p>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7.2本项目不允许分包。</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8.特别说明</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b/>
          <w:bCs/>
          <w:color w:val="auto"/>
          <w:kern w:val="2"/>
          <w:sz w:val="21"/>
          <w:szCs w:val="21"/>
          <w:highlight w:val="none"/>
          <w:lang w:val="en-US" w:eastAsia="zh-CN" w:bidi="ar-SA"/>
        </w:rPr>
        <w:t>其他投标无效。</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非单一产品采购项目，多家投标人提供的核心产品品牌相同的，按前两款规定处理。</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8.2如果本采购文件要求提供投标人或制造商的资格、信誉、荣誉、业绩与企业认证等材料的，资格、信誉、荣誉、业绩与企业认证等必须为投标人或者制造商所拥有或自身获得。</w:t>
      </w:r>
    </w:p>
    <w:p>
      <w:pPr>
        <w:pStyle w:val="24"/>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8.3投标人应仔细阅读采购文件的所有内容，按照采购文件的要求提交投标文件，并对所提供的全部资料的真实性承担法律责任。</w:t>
      </w:r>
    </w:p>
    <w:p>
      <w:pPr>
        <w:pStyle w:val="24"/>
        <w:pageBreakBefore w:val="0"/>
        <w:widowControl w:val="0"/>
        <w:kinsoku/>
        <w:wordWrap/>
        <w:overflowPunct/>
        <w:topLinePunct w:val="0"/>
        <w:autoSpaceDE/>
        <w:autoSpaceDN/>
        <w:bidi w:val="0"/>
        <w:spacing w:line="360" w:lineRule="exact"/>
        <w:textAlignment w:val="auto"/>
        <w:rPr>
          <w:rFonts w:hint="eastAsia"/>
          <w:color w:val="auto"/>
          <w:highlight w:val="none"/>
        </w:rPr>
      </w:pPr>
      <w:r>
        <w:rPr>
          <w:rFonts w:hint="eastAsia" w:ascii="宋体" w:hAnsi="宋体" w:eastAsia="宋体" w:cs="宋体"/>
          <w:b w:val="0"/>
          <w:color w:val="auto"/>
          <w:kern w:val="2"/>
          <w:sz w:val="21"/>
          <w:szCs w:val="21"/>
          <w:highlight w:val="none"/>
          <w:lang w:val="en-US" w:eastAsia="zh-CN" w:bidi="ar-SA"/>
        </w:rPr>
        <w:t xml:space="preserve"> 8.4投标人在投标活动中提供任何虚假材料，将报监管部门查处；中标后发现的，中标人须依照《中华人民共和国消费者</w:t>
      </w:r>
      <w:r>
        <w:rPr>
          <w:rFonts w:hint="eastAsia"/>
          <w:color w:val="auto"/>
          <w:highlight w:val="none"/>
        </w:rPr>
        <w:t>权益保护法》规定赔偿采购人，且民事赔偿并不免除违法投标人的行政与刑事责任。</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pPr>
        <w:pStyle w:val="4"/>
        <w:pageBreakBefore w:val="0"/>
        <w:widowControl w:val="0"/>
        <w:kinsoku/>
        <w:wordWrap/>
        <w:overflowPunct/>
        <w:topLinePunct w:val="0"/>
        <w:autoSpaceDE/>
        <w:autoSpaceDN/>
        <w:bidi w:val="0"/>
        <w:spacing w:before="0" w:after="0" w:line="36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（1）不同投标人的投标文件由同一单位或者个人编制；</w:t>
      </w:r>
    </w:p>
    <w:p>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（4）不同投标人的投标文件异常一致或者投标报价呈规律性差异；</w:t>
      </w:r>
    </w:p>
    <w:p>
      <w:pPr>
        <w:pStyle w:val="13"/>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（5）不同投标人的投标文件相互混装。</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78" w:name="_Toc254970534"/>
      <w:bookmarkStart w:id="79" w:name="_Toc254970675"/>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78"/>
      <w:bookmarkEnd w:id="79"/>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文件的澄清、修改、现场考察和答疑会</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80"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80"/>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81" w:name="_Toc254970535"/>
      <w:bookmarkStart w:id="82" w:name="_Toc254970676"/>
      <w:r>
        <w:rPr>
          <w:rFonts w:hint="eastAsia" w:ascii="宋体" w:hAnsi="宋体" w:eastAsia="宋体" w:cs="宋体"/>
          <w:color w:val="auto"/>
          <w:sz w:val="21"/>
          <w:szCs w:val="21"/>
          <w:highlight w:val="none"/>
        </w:rPr>
        <w:t>三、投标文件的编制</w:t>
      </w:r>
      <w:bookmarkEnd w:id="81"/>
      <w:bookmarkEnd w:id="82"/>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83" w:name="_Toc254970536"/>
      <w:bookmarkStart w:id="84" w:name="_Toc254970677"/>
      <w:r>
        <w:rPr>
          <w:rFonts w:hint="eastAsia" w:ascii="宋体" w:hAnsi="宋体" w:eastAsia="宋体" w:cs="宋体"/>
          <w:color w:val="auto"/>
          <w:sz w:val="21"/>
          <w:szCs w:val="21"/>
          <w:highlight w:val="none"/>
        </w:rPr>
        <w:t>12.投标文件的编制原则</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83"/>
      <w:bookmarkEnd w:id="84"/>
    </w:p>
    <w:p>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bookmarkStart w:id="85" w:name="_13.1报价文件:_具体材料见“投标人须知前附表”。"/>
      <w:bookmarkEnd w:id="85"/>
    </w:p>
    <w:p>
      <w:pPr>
        <w:pageBreakBefore w:val="0"/>
        <w:widowControl w:val="0"/>
        <w:numPr>
          <w:ilvl w:val="0"/>
          <w:numId w:val="5"/>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报价文件：具体材料见“投标人须知前附表”。</w:t>
      </w:r>
      <w:bookmarkStart w:id="86" w:name="_13.2资格证明文件：具体材料见“投标人须知前附表”。"/>
      <w:bookmarkEnd w:id="86"/>
    </w:p>
    <w:p>
      <w:pPr>
        <w:pageBreakBefore w:val="0"/>
        <w:widowControl w:val="0"/>
        <w:numPr>
          <w:ilvl w:val="0"/>
          <w:numId w:val="5"/>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资格证明文件：具体材料见“投标人须知前附表”。</w:t>
      </w:r>
      <w:bookmarkStart w:id="87" w:name="_13.3商务文件:_具体材料见“投标人须知前附表”。"/>
      <w:bookmarkEnd w:id="87"/>
    </w:p>
    <w:p>
      <w:pPr>
        <w:pageBreakBefore w:val="0"/>
        <w:widowControl w:val="0"/>
        <w:numPr>
          <w:ilvl w:val="0"/>
          <w:numId w:val="5"/>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商务文件：具体材料见“投标人须知前附表”。</w:t>
      </w:r>
      <w:bookmarkStart w:id="88" w:name="_13.4技术文件：具体材料见“投标人须知前附表”。"/>
      <w:bookmarkEnd w:id="88"/>
    </w:p>
    <w:p>
      <w:pPr>
        <w:pageBreakBefore w:val="0"/>
        <w:widowControl w:val="0"/>
        <w:numPr>
          <w:ilvl w:val="0"/>
          <w:numId w:val="5"/>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技术文件：具体材料见“投标人须知前附表”。</w:t>
      </w:r>
      <w:bookmarkStart w:id="89" w:name="_13.5投标文件电子版：具体材料见“投标人须知前附表”。"/>
      <w:bookmarkEnd w:id="89"/>
      <w:bookmarkStart w:id="90" w:name="_Toc254970537"/>
      <w:bookmarkStart w:id="91" w:name="_Toc254970678"/>
    </w:p>
    <w:p>
      <w:pPr>
        <w:pageBreakBefore w:val="0"/>
        <w:widowControl w:val="0"/>
        <w:numPr>
          <w:ilvl w:val="0"/>
          <w:numId w:val="6"/>
        </w:numPr>
        <w:kinsoku/>
        <w:wordWrap/>
        <w:overflowPunct/>
        <w:topLinePunct w:val="0"/>
        <w:autoSpaceDE/>
        <w:autoSpaceDN/>
        <w:bidi w:val="0"/>
        <w:snapToGrid w:val="0"/>
        <w:spacing w:line="360" w:lineRule="exact"/>
        <w:ind w:left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投标文件的语言及计量</w:t>
      </w:r>
      <w:bookmarkEnd w:id="90"/>
      <w:bookmarkEnd w:id="91"/>
    </w:p>
    <w:p>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pPr>
        <w:pStyle w:val="4"/>
        <w:pageBreakBefore w:val="0"/>
        <w:widowControl w:val="0"/>
        <w:kinsoku/>
        <w:wordWrap/>
        <w:overflowPunct/>
        <w:topLinePunct w:val="0"/>
        <w:autoSpaceDE/>
        <w:autoSpaceDN/>
        <w:bidi w:val="0"/>
        <w:spacing w:before="0" w:after="0"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pPr>
        <w:pStyle w:val="13"/>
        <w:pageBreakBefore w:val="0"/>
        <w:widowControl w:val="0"/>
        <w:kinsoku/>
        <w:wordWrap/>
        <w:overflowPunct/>
        <w:topLinePunct w:val="0"/>
        <w:autoSpaceDE/>
        <w:autoSpaceDN/>
        <w:bidi w:val="0"/>
        <w:snapToGrid w:val="0"/>
        <w:spacing w:line="360" w:lineRule="exact"/>
        <w:ind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92" w:name="_Toc254970679"/>
      <w:bookmarkStart w:id="93" w:name="_Toc254970538"/>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16.</w:t>
      </w:r>
      <w:r>
        <w:rPr>
          <w:rFonts w:hint="eastAsia" w:ascii="宋体" w:hAnsi="宋体" w:eastAsia="宋体" w:cs="宋体"/>
          <w:color w:val="auto"/>
          <w:sz w:val="21"/>
          <w:szCs w:val="21"/>
          <w:highlight w:val="none"/>
        </w:rPr>
        <w:t>投标报价</w:t>
      </w:r>
      <w:bookmarkEnd w:id="92"/>
      <w:bookmarkEnd w:id="93"/>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94" w:name="_16.2投标报价具体定义见投标人须知前附表。"/>
      <w:bookmarkEnd w:id="94"/>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17.</w:t>
      </w:r>
      <w:r>
        <w:rPr>
          <w:rFonts w:hint="eastAsia" w:ascii="宋体" w:hAnsi="宋体" w:eastAsia="宋体" w:cs="宋体"/>
          <w:color w:val="auto"/>
          <w:sz w:val="21"/>
          <w:szCs w:val="21"/>
          <w:highlight w:val="none"/>
        </w:rPr>
        <w:t>投标有效期</w:t>
      </w:r>
      <w:bookmarkStart w:id="95" w:name="_17.1投标有效期应按“投标人须知中的前附表”规定的期限。"/>
      <w:bookmarkEnd w:id="95"/>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96" w:name="_Toc254970540"/>
      <w:bookmarkStart w:id="97" w:name="_Toc254970681"/>
      <w:r>
        <w:rPr>
          <w:rFonts w:hint="eastAsia" w:ascii="宋体" w:hAnsi="宋体" w:eastAsia="宋体" w:cs="宋体"/>
          <w:b w:val="0"/>
          <w:color w:val="auto"/>
          <w:sz w:val="21"/>
          <w:szCs w:val="21"/>
          <w:highlight w:val="none"/>
        </w:rPr>
        <w:t>投标有效期应按规定的期限作出承诺，具体详见“投标人须知前附表”。</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96"/>
      <w:bookmarkEnd w:id="97"/>
      <w:bookmarkStart w:id="98" w:name="_18.投标保证金"/>
      <w:bookmarkEnd w:id="98"/>
      <w:bookmarkStart w:id="99" w:name="_Toc254970541"/>
      <w:bookmarkStart w:id="100" w:name="_Toc254970682"/>
    </w:p>
    <w:p>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val="en-US" w:eastAsia="zh-CN" w:bidi="ar-SA"/>
        </w:rPr>
        <w:t>18.</w:t>
      </w:r>
      <w:r>
        <w:rPr>
          <w:rFonts w:hint="eastAsia" w:ascii="宋体" w:hAnsi="宋体" w:eastAsia="宋体" w:cs="宋体"/>
          <w:color w:val="auto"/>
          <w:sz w:val="21"/>
          <w:szCs w:val="21"/>
          <w:highlight w:val="none"/>
        </w:rPr>
        <w:t>投标保证金</w:t>
      </w:r>
      <w:bookmarkEnd w:id="99"/>
      <w:bookmarkEnd w:id="100"/>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101" w:name="_Toc254970683"/>
      <w:bookmarkStart w:id="102" w:name="_Toc254970542"/>
    </w:p>
    <w:p>
      <w:pPr>
        <w:pStyle w:val="13"/>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19.</w:t>
      </w:r>
      <w:r>
        <w:rPr>
          <w:rFonts w:hint="eastAsia" w:ascii="宋体" w:hAnsi="宋体" w:eastAsia="宋体" w:cs="宋体"/>
          <w:color w:val="auto"/>
          <w:sz w:val="21"/>
          <w:szCs w:val="21"/>
          <w:highlight w:val="none"/>
        </w:rPr>
        <w:t>投标文件的</w:t>
      </w:r>
      <w:bookmarkEnd w:id="101"/>
      <w:bookmarkEnd w:id="102"/>
      <w:r>
        <w:rPr>
          <w:rFonts w:hint="eastAsia" w:ascii="宋体" w:hAnsi="宋体" w:eastAsia="宋体" w:cs="宋体"/>
          <w:color w:val="auto"/>
          <w:sz w:val="21"/>
          <w:szCs w:val="21"/>
          <w:highlight w:val="none"/>
        </w:rPr>
        <w:t>编制</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103" w:name="_19.2投标文件应按报价文件、资格证明文件、商务文件、技术文件分别编制"/>
      <w:bookmarkEnd w:id="103"/>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pPr>
        <w:pStyle w:val="13"/>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pPr>
        <w:pageBreakBefore w:val="0"/>
        <w:widowControl w:val="0"/>
        <w:numPr>
          <w:ilvl w:val="0"/>
          <w:numId w:val="7"/>
        </w:numPr>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投标文件的提交</w:t>
      </w:r>
      <w:bookmarkStart w:id="104" w:name="_21.1投标人必须在“投标人须知中的前附表”规定的投标文件接收时间和投"/>
      <w:bookmarkEnd w:id="104"/>
    </w:p>
    <w:p>
      <w:pPr>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w:t>
      </w:r>
    </w:p>
    <w:p>
      <w:pPr>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bookmarkStart w:id="105" w:name="_Toc254970684"/>
      <w:bookmarkStart w:id="106" w:name="_Toc254970543"/>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105"/>
    <w:bookmarkEnd w:id="106"/>
    <w:p>
      <w:pPr>
        <w:pStyle w:val="28"/>
        <w:pageBreakBefore w:val="0"/>
        <w:widowControl w:val="0"/>
        <w:kinsoku/>
        <w:wordWrap/>
        <w:overflowPunct/>
        <w:topLinePunct w:val="0"/>
        <w:autoSpaceDE/>
        <w:autoSpaceDN/>
        <w:bidi w:val="0"/>
        <w:spacing w:before="0"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107" w:name="_Toc254970544"/>
      <w:bookmarkStart w:id="108" w:name="_Toc254970685"/>
      <w:r>
        <w:rPr>
          <w:rFonts w:hint="eastAsia" w:ascii="宋体" w:hAnsi="宋体" w:eastAsia="宋体" w:cs="宋体"/>
          <w:color w:val="auto"/>
          <w:sz w:val="21"/>
          <w:szCs w:val="21"/>
          <w:highlight w:val="none"/>
        </w:rPr>
        <w:t>四、开    标</w:t>
      </w:r>
      <w:bookmarkEnd w:id="107"/>
      <w:bookmarkEnd w:id="108"/>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09" w:name="_23.开标时间和地点"/>
      <w:bookmarkEnd w:id="109"/>
      <w:r>
        <w:rPr>
          <w:rFonts w:hint="eastAsia" w:ascii="宋体" w:hAnsi="宋体" w:eastAsia="宋体" w:cs="宋体"/>
          <w:color w:val="auto"/>
          <w:sz w:val="21"/>
          <w:szCs w:val="21"/>
          <w:highlight w:val="none"/>
        </w:rPr>
        <w:t>23.开标时间和地点</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pPr>
        <w:pStyle w:val="4"/>
        <w:pageBreakBefore w:val="0"/>
        <w:widowControl w:val="0"/>
        <w:numPr>
          <w:ilvl w:val="4"/>
          <w:numId w:val="0"/>
        </w:numPr>
        <w:kinsoku/>
        <w:wordWrap/>
        <w:overflowPunct/>
        <w:topLinePunct w:val="0"/>
        <w:autoSpaceDE/>
        <w:autoSpaceDN/>
        <w:bidi w:val="0"/>
        <w:spacing w:before="0" w:after="0" w:line="360" w:lineRule="exact"/>
        <w:ind w:firstLine="422" w:firstLineChars="200"/>
        <w:textAlignment w:val="auto"/>
        <w:rPr>
          <w:rFonts w:hint="eastAsia" w:ascii="宋体" w:hAnsi="宋体" w:eastAsia="宋体" w:cs="宋体"/>
          <w:color w:val="auto"/>
          <w:sz w:val="21"/>
          <w:szCs w:val="21"/>
          <w:highlight w:val="none"/>
        </w:rPr>
      </w:pPr>
      <w:bookmarkStart w:id="110" w:name="_25.3_投标人有下列情形之一的，资格审查不通过而导致其投标无效："/>
      <w:bookmarkEnd w:id="110"/>
      <w:r>
        <w:rPr>
          <w:rFonts w:hint="eastAsia" w:ascii="宋体" w:hAnsi="宋体" w:eastAsia="宋体" w:cs="宋体"/>
          <w:color w:val="auto"/>
          <w:sz w:val="21"/>
          <w:szCs w:val="21"/>
          <w:highlight w:val="none"/>
        </w:rPr>
        <w:t>25.3投标人有下列情形之一的，资格审查不通过，作无效投标处理：</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六、评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11" w:name="_26.组建评标委员会"/>
      <w:bookmarkEnd w:id="111"/>
      <w:r>
        <w:rPr>
          <w:rFonts w:hint="eastAsia" w:ascii="宋体" w:hAnsi="宋体" w:eastAsia="宋体" w:cs="宋体"/>
          <w:color w:val="auto"/>
          <w:sz w:val="21"/>
          <w:szCs w:val="21"/>
          <w:highlight w:val="none"/>
        </w:rPr>
        <w:t>26.组建评标委员会</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26.1评标委员会由采购人代表和评审专家组成，具体人数详见“投标人须知前附表”，其中评审专家不得少于成员总数的三分之二。</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pPr>
        <w:pStyle w:val="13"/>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w:t>
      </w:r>
      <w:r>
        <w:rPr>
          <w:rFonts w:hint="eastAsia"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评标标准”为依据对投标文件进行评审，没有规定的方法、评审因素和标准，不作为评标依据。</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12" w:name="_28.3评标方法。本项目将按须知前附表规定的评标办法进行评标，具体评标"/>
      <w:bookmarkEnd w:id="112"/>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29.2商务/技术要求允许负偏离的条款数详见“投标人须知前附表”。</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29.3中标候选人推荐数量详见“投标人须知前附表”。</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29.4电子交易活动的中止。采购过程中出现以下情形，导致电子交易平台无法正常运行，或者无法保证电子交易的公平、公正和安全时，采购代理机构可以中止电子交易活动：</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pPr>
        <w:pageBreakBefore w:val="0"/>
        <w:widowControl w:val="0"/>
        <w:kinsoku/>
        <w:wordWrap/>
        <w:overflowPunct/>
        <w:topLinePunct w:val="0"/>
        <w:autoSpaceDE/>
        <w:autoSpaceDN/>
        <w:bidi w:val="0"/>
        <w:spacing w:line="36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（5）其他无法保证电子交易的公平、公正和安全的情况。</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eastAsia="zh-CN"/>
        </w:rPr>
      </w:pPr>
      <w:r>
        <w:rPr>
          <w:rFonts w:hint="eastAsia" w:ascii="宋体" w:hAnsi="宋体" w:eastAsia="宋体" w:cs="宋体"/>
          <w:color w:val="auto"/>
          <w:kern w:val="0"/>
          <w:sz w:val="21"/>
          <w:szCs w:val="21"/>
          <w:highlight w:val="none"/>
          <w:lang w:val="en-US" w:eastAsia="zh-CN" w:bidi="ar-SA"/>
        </w:rPr>
        <w:t>29.5</w:t>
      </w:r>
      <w:r>
        <w:rPr>
          <w:rFonts w:hint="eastAsia" w:hAnsi="宋体"/>
          <w:color w:val="auto"/>
          <w:highlight w:val="none"/>
        </w:rPr>
        <w:t>异常低价审查</w:t>
      </w:r>
      <w:r>
        <w:rPr>
          <w:rFonts w:hint="eastAsia" w:hAnsi="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根据《</w:t>
      </w:r>
      <w:r>
        <w:rPr>
          <w:rFonts w:hint="eastAsia" w:hAnsi="宋体"/>
          <w:color w:val="auto"/>
          <w:highlight w:val="none"/>
          <w:lang w:eastAsia="zh-CN"/>
        </w:rPr>
        <w:t>关于推动解决政府采购异常低价问题的通知</w:t>
      </w:r>
      <w:r>
        <w:rPr>
          <w:rFonts w:hint="eastAsia" w:hAnsi="宋体"/>
          <w:color w:val="auto"/>
          <w:highlight w:val="none"/>
          <w:lang w:val="en-US" w:eastAsia="zh-CN"/>
        </w:rPr>
        <w:t>》</w:t>
      </w:r>
      <w:r>
        <w:rPr>
          <w:rFonts w:hint="eastAsia" w:hAnsi="宋体"/>
          <w:color w:val="auto"/>
          <w:highlight w:val="none"/>
          <w:lang w:eastAsia="zh-CN"/>
        </w:rPr>
        <w:t>财库〔2026〕2号</w:t>
      </w:r>
      <w:r>
        <w:rPr>
          <w:rFonts w:hint="eastAsia" w:hAnsi="宋体"/>
          <w:color w:val="auto"/>
          <w:highlight w:val="none"/>
          <w:lang w:val="en-US" w:eastAsia="zh-CN"/>
        </w:rPr>
        <w:t>规定，政府采购评审中出现下列情形之一的，评审委员会应当启动异常低价投标（响应）审查程序：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1.投标（响应）报价低于全部通过符合性审查供应商投标（响应）报价平均值65%的，即投标（响应）报价&lt;全部通过符合性审查供应商投标（响应）报价平均值×65%；</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2.投标（响应）报价低于通过符合性审查的次低报价供应商投标（响应）报价65%的，即投标（响应）报价&lt;通过符合性审查的次低报价供应商投标（响应）报价×65%；</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3.投标（响应）报价低于采购项目最高限价65%的，即投标（响应）报价&lt;采购项目最高限价×65%；</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4.评审委员会基于专业判断，认为供应商报价过低，有可能影响产品质量或者不能诚信履约的其他情形。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hAnsi="宋体"/>
          <w:color w:val="auto"/>
          <w:highlight w:val="none"/>
          <w:lang w:val="en-US" w:eastAsia="zh-CN"/>
        </w:rPr>
      </w:pPr>
      <w:r>
        <w:rPr>
          <w:rFonts w:hint="default" w:hAnsi="宋体"/>
          <w:color w:val="auto"/>
          <w:highlight w:val="none"/>
          <w:lang w:val="en-US" w:eastAsia="zh-CN"/>
        </w:rPr>
        <w:t>相关法律法规对供应商报价有规定的，从其规定。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rPr>
      </w:pPr>
      <w:r>
        <w:rPr>
          <w:rFonts w:hint="eastAsia" w:hAnsi="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rPr>
      </w:pPr>
      <w:r>
        <w:rPr>
          <w:rFonts w:hint="eastAsia" w:hAnsi="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highlight w:val="none"/>
        </w:rPr>
      </w:pPr>
      <w:r>
        <w:rPr>
          <w:rFonts w:hint="eastAsia" w:hAnsi="宋体"/>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hAnsi="宋体"/>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24"/>
        <w:rPr>
          <w:rFonts w:hint="eastAsia"/>
          <w:color w:val="auto"/>
          <w:highlight w:val="none"/>
        </w:rPr>
      </w:pP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bookmarkStart w:id="113" w:name="_Toc254970687"/>
      <w:bookmarkStart w:id="114" w:name="_Toc254970546"/>
      <w:r>
        <w:rPr>
          <w:rFonts w:hint="eastAsia" w:ascii="宋体" w:hAnsi="宋体" w:eastAsia="宋体" w:cs="宋体"/>
          <w:color w:val="auto"/>
          <w:sz w:val="21"/>
          <w:szCs w:val="21"/>
          <w:highlight w:val="none"/>
        </w:rPr>
        <w:t>七、</w:t>
      </w:r>
      <w:bookmarkEnd w:id="113"/>
      <w:bookmarkEnd w:id="114"/>
      <w:r>
        <w:rPr>
          <w:rFonts w:hint="eastAsia" w:ascii="宋体" w:hAnsi="宋体" w:eastAsia="宋体" w:cs="宋体"/>
          <w:color w:val="auto"/>
          <w:sz w:val="21"/>
          <w:szCs w:val="21"/>
          <w:highlight w:val="none"/>
        </w:rPr>
        <w:t>中标和合同</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pPr>
        <w:pageBreakBefore w:val="0"/>
        <w:widowControl w:val="0"/>
        <w:numPr>
          <w:ilvl w:val="0"/>
          <w:numId w:val="8"/>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结果公告</w:t>
      </w:r>
    </w:p>
    <w:p>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pPr>
        <w:pStyle w:val="4"/>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bookmarkStart w:id="115" w:name="_39.1中标人须于签订合同前按本须知前附表规定的金额转账或电汇到指定账"/>
      <w:bookmarkEnd w:id="115"/>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bookmarkStart w:id="116" w:name="_40.1投标人接到中标通知书后，按须知前附表规定向采购人出示相关资格证"/>
      <w:bookmarkEnd w:id="116"/>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pPr>
        <w:pStyle w:val="4"/>
        <w:pageBreakBefore w:val="0"/>
        <w:widowControl w:val="0"/>
        <w:numPr>
          <w:ilvl w:val="4"/>
          <w:numId w:val="0"/>
        </w:numPr>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pPr>
        <w:pStyle w:val="4"/>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17" w:name="_41.政府采购合同公告"/>
      <w:bookmarkEnd w:id="117"/>
      <w:r>
        <w:rPr>
          <w:rFonts w:hint="eastAsia" w:ascii="宋体" w:hAnsi="宋体" w:eastAsia="宋体" w:cs="宋体"/>
          <w:color w:val="auto"/>
          <w:sz w:val="21"/>
          <w:szCs w:val="21"/>
          <w:highlight w:val="none"/>
        </w:rPr>
        <w:t>37.政府采购合同公告</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pPr>
        <w:pStyle w:val="13"/>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38.询问、质疑和投诉</w:t>
      </w:r>
    </w:p>
    <w:p>
      <w:pPr>
        <w:pStyle w:val="5"/>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pPr>
        <w:pStyle w:val="4"/>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pPr>
        <w:pStyle w:val="4"/>
        <w:pageBreakBefore w:val="0"/>
        <w:widowControl w:val="0"/>
        <w:kinsoku/>
        <w:wordWrap/>
        <w:overflowPunct/>
        <w:topLinePunct w:val="0"/>
        <w:autoSpaceDE/>
        <w:autoSpaceDN/>
        <w:bidi w:val="0"/>
        <w:snapToGrid w:val="0"/>
        <w:spacing w:before="0" w:after="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pPr>
        <w:pStyle w:val="13"/>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pPr>
        <w:pStyle w:val="13"/>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pPr>
        <w:pStyle w:val="13"/>
        <w:pageBreakBefore w:val="0"/>
        <w:widowControl w:val="0"/>
        <w:kinsoku/>
        <w:wordWrap/>
        <w:overflowPunct/>
        <w:topLinePunct w:val="0"/>
        <w:autoSpaceDE/>
        <w:autoSpaceDN/>
        <w:bidi w:val="0"/>
        <w:snapToGrid w:val="0"/>
        <w:spacing w:line="36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pPr>
        <w:pStyle w:val="13"/>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pStyle w:val="3"/>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18" w:name="_42.代理服务费"/>
      <w:bookmarkEnd w:id="118"/>
      <w:r>
        <w:rPr>
          <w:rFonts w:hint="eastAsia" w:ascii="宋体" w:hAnsi="宋体" w:eastAsia="宋体" w:cs="宋体"/>
          <w:color w:val="auto"/>
          <w:sz w:val="21"/>
          <w:szCs w:val="21"/>
          <w:highlight w:val="none"/>
        </w:rPr>
        <w:t>39.代理服务费</w:t>
      </w:r>
    </w:p>
    <w:p>
      <w:pPr>
        <w:pStyle w:val="5"/>
        <w:pageBreakBefore w:val="0"/>
        <w:widowControl w:val="0"/>
        <w:kinsoku/>
        <w:wordWrap/>
        <w:overflowPunct/>
        <w:topLinePunct w:val="0"/>
        <w:autoSpaceDE/>
        <w:autoSpaceDN/>
        <w:bidi w:val="0"/>
        <w:spacing w:line="360" w:lineRule="exact"/>
        <w:textAlignment w:val="auto"/>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本项目不收取代理服务费</w:t>
      </w:r>
    </w:p>
    <w:p>
      <w:pPr>
        <w:pStyle w:val="4"/>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bookmarkStart w:id="119" w:name="_Hlk65857140"/>
      <w:r>
        <w:rPr>
          <w:rFonts w:hint="eastAsia" w:ascii="宋体" w:hAnsi="宋体" w:eastAsia="宋体" w:cs="宋体"/>
          <w:color w:val="auto"/>
          <w:sz w:val="21"/>
          <w:szCs w:val="21"/>
          <w:highlight w:val="none"/>
        </w:rPr>
        <w:t>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文件所称</w:t>
      </w:r>
      <w:r>
        <w:rPr>
          <w:rFonts w:hint="eastAsia"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文件规定的中小企业扶持政策：</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文件规定的中小企业扶持政策。</w:t>
      </w:r>
    </w:p>
    <w:p>
      <w:pPr>
        <w:pStyle w:val="13"/>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文件规定享受扶持政策获得政府采购合同的，小微企业不得将合同分包给大中型企业，中型企业不得将合同分包给大型企业。</w:t>
      </w:r>
      <w:bookmarkEnd w:id="119"/>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20"/>
        <w:tblW w:w="8951" w:type="dxa"/>
        <w:jc w:val="center"/>
        <w:tblInd w:w="0" w:type="dxa"/>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tblPrEx>
          <w:tblLayout w:type="fixed"/>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tblPrEx>
          <w:tblLayout w:type="fixed"/>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tblPrEx>
          <w:tblLayout w:type="fixed"/>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tblPrEx>
          <w:tblLayout w:type="fixed"/>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tblPrEx>
          <w:tblLayout w:type="fixed"/>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tblPrEx>
          <w:tblLayout w:type="fixed"/>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tblPrEx>
          <w:tblLayout w:type="fixed"/>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tblPrEx>
          <w:tblLayout w:type="fixed"/>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tblPrEx>
          <w:tblLayout w:type="fixed"/>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pPr>
        <w:rPr>
          <w:rFonts w:hint="eastAsia"/>
          <w:color w:val="auto"/>
          <w:highlight w:val="none"/>
        </w:rPr>
      </w:pPr>
      <w:r>
        <w:rPr>
          <w:rFonts w:hint="eastAsia"/>
          <w:color w:val="auto"/>
          <w:highlight w:val="none"/>
        </w:rPr>
        <w:br w:type="page"/>
      </w:r>
    </w:p>
    <w:p>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w:t>
      </w:r>
    </w:p>
    <w:p>
      <w:pPr>
        <w:rPr>
          <w:rFonts w:hint="eastAsia"/>
          <w:color w:val="auto"/>
          <w:highlight w:val="none"/>
        </w:rPr>
      </w:pPr>
    </w:p>
    <w:p>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20" w:name="_Toc28361_WPSOffice_Level2"/>
      <w:r>
        <w:rPr>
          <w:rFonts w:hint="eastAsia" w:ascii="宋体" w:hAnsi="宋体" w:eastAsia="宋体" w:cs="宋体"/>
          <w:b/>
          <w:bCs/>
          <w:color w:val="auto"/>
          <w:kern w:val="0"/>
          <w:sz w:val="21"/>
          <w:szCs w:val="21"/>
          <w:highlight w:val="none"/>
        </w:rPr>
        <w:t>大中小微型企业划分标准</w:t>
      </w:r>
      <w:bookmarkEnd w:id="120"/>
    </w:p>
    <w:tbl>
      <w:tblPr>
        <w:tblStyle w:val="20"/>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color w:val="auto"/>
          <w:highlight w:val="none"/>
        </w:rPr>
      </w:pPr>
      <w:r>
        <w:rPr>
          <w:color w:val="auto"/>
          <w:highlight w:val="none"/>
        </w:rPr>
        <w:br w:type="page"/>
      </w:r>
    </w:p>
    <w:p>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0"/>
          <w:szCs w:val="40"/>
          <w:highlight w:val="none"/>
          <w:lang w:val="en-US" w:eastAsia="zh-CN"/>
        </w:rPr>
      </w:pPr>
      <w:bookmarkStart w:id="121" w:name="_Toc2191"/>
      <w:bookmarkStart w:id="122" w:name="_Toc9297"/>
      <w:r>
        <w:rPr>
          <w:rFonts w:hint="eastAsia" w:ascii="宋体" w:hAnsi="宋体" w:eastAsia="宋体" w:cs="宋体"/>
          <w:b/>
          <w:bCs/>
          <w:color w:val="auto"/>
          <w:kern w:val="44"/>
          <w:sz w:val="40"/>
          <w:szCs w:val="40"/>
          <w:highlight w:val="none"/>
          <w:lang w:val="en-US" w:eastAsia="zh-CN" w:bidi="ar-SA"/>
        </w:rPr>
        <w:t xml:space="preserve">第四章 </w:t>
      </w:r>
      <w:r>
        <w:rPr>
          <w:rFonts w:hint="eastAsia" w:ascii="宋体" w:hAnsi="宋体" w:eastAsia="宋体" w:cs="宋体"/>
          <w:color w:val="auto"/>
          <w:sz w:val="40"/>
          <w:szCs w:val="40"/>
          <w:highlight w:val="none"/>
          <w:lang w:val="en-US" w:eastAsia="zh-CN"/>
        </w:rPr>
        <w:t>评标方法及评标标准</w:t>
      </w:r>
      <w:bookmarkEnd w:id="121"/>
      <w:bookmarkEnd w:id="122"/>
    </w:p>
    <w:p>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pPr>
        <w:pStyle w:val="13"/>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pPr>
        <w:pStyle w:val="13"/>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pPr>
        <w:pStyle w:val="13"/>
        <w:pageBreakBefore w:val="0"/>
        <w:widowControl w:val="0"/>
        <w:kinsoku/>
        <w:wordWrap/>
        <w:overflowPunct/>
        <w:topLinePunct w:val="0"/>
        <w:autoSpaceDE/>
        <w:autoSpaceDN/>
        <w:bidi w:val="0"/>
        <w:adjustRightInd/>
        <w:snapToGrid w:val="0"/>
        <w:spacing w:line="240" w:lineRule="auto"/>
        <w:ind w:left="1" w:firstLine="42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pPr>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未提供“投标人须知前附表”第13条规定中“必须提供”的文件资料的；</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pPr>
        <w:pStyle w:val="5"/>
        <w:pageBreakBefore w:val="0"/>
        <w:widowControl w:val="0"/>
        <w:numPr>
          <w:ilvl w:val="0"/>
          <w:numId w:val="9"/>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投标文件未提供“投标人须知前附表”第13条规定中“必须提供”或者“委托时必须提供”的文件资料的；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pPr>
        <w:pageBreakBefore w:val="0"/>
        <w:widowControl w:val="0"/>
        <w:numPr>
          <w:ilvl w:val="0"/>
          <w:numId w:val="10"/>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（2）投标文件未提供“投标人须知前附表”第13条规定中“必须提供”的文件资料的；</w:t>
      </w:r>
    </w:p>
    <w:p>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23"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23"/>
    </w:p>
    <w:p>
      <w:pPr>
        <w:pStyle w:val="12"/>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4.1投标文件报价出现前后不一致的，按照下列规定修正：</w:t>
      </w:r>
    </w:p>
    <w:p>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pPr>
        <w:pStyle w:val="13"/>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pPr>
        <w:pStyle w:val="4"/>
        <w:pageBreakBefore w:val="0"/>
        <w:widowControl w:val="0"/>
        <w:kinsoku/>
        <w:wordWrap/>
        <w:overflowPunct/>
        <w:topLinePunct w:val="0"/>
        <w:autoSpaceDE/>
        <w:autoSpaceDN/>
        <w:bidi w:val="0"/>
        <w:adjustRightInd/>
        <w:spacing w:before="0" w:after="0" w:line="240" w:lineRule="auto"/>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pPr>
        <w:pStyle w:val="4"/>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pPr>
        <w:pageBreakBefore w:val="0"/>
        <w:widowControl w:val="0"/>
        <w:kinsoku/>
        <w:wordWrap/>
        <w:overflowPunct/>
        <w:topLinePunct w:val="0"/>
        <w:autoSpaceDE/>
        <w:autoSpaceDN/>
        <w:bidi w:val="0"/>
        <w:adjustRightInd/>
        <w:snapToGrid w:val="0"/>
        <w:spacing w:line="240" w:lineRule="auto"/>
        <w:ind w:firstLine="399" w:firstLineChars="202"/>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异常低价审查：本项目异常低价审查情形见“第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须知”规定。</w:t>
      </w:r>
    </w:p>
    <w:p>
      <w:pPr>
        <w:pStyle w:val="3"/>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highlight w:val="none"/>
          <w:lang w:val="en-US" w:eastAsia="zh-CN"/>
        </w:rPr>
      </w:pPr>
    </w:p>
    <w:p>
      <w:pPr>
        <w:pStyle w:val="3"/>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评标标准</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b/>
          <w:bCs/>
          <w:color w:val="auto"/>
          <w:szCs w:val="21"/>
          <w:highlight w:val="none"/>
        </w:rPr>
        <w:t>评标原则</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评委构成：本招标采购项目的评标委员会由采购人代表和有关技术、经济等方面的专家组成，成员人数应当为五人以上单数。其中，技术、经济等方面的专家不得少于成员总数的三分之二。</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评标依据：评委将以招投标文件为评标依据，对投标人的内容按百分制打分。</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评标方式：以封闭方式进行。</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b/>
          <w:bCs/>
          <w:color w:val="auto"/>
          <w:szCs w:val="21"/>
          <w:highlight w:val="none"/>
        </w:rPr>
        <w:t>评标方法</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（一）对进入详评的，采用百分制综合评分法。</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（二）计分办法（按四舍五入取至百分位）：</w:t>
      </w:r>
    </w:p>
    <w:p>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Cs/>
          <w:color w:val="auto"/>
          <w:sz w:val="21"/>
          <w:szCs w:val="21"/>
          <w:highlight w:val="none"/>
          <w:lang w:eastAsia="zh-CN"/>
        </w:rPr>
      </w:pP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以下各项评审因素仅作为参考，制作招标文件时，评审因素应当与相应的商务条件和采购需求对应</w:t>
      </w:r>
      <w:r>
        <w:rPr>
          <w:rFonts w:hint="eastAsia" w:ascii="宋体" w:hAnsi="宋体" w:eastAsia="宋体" w:cs="宋体"/>
          <w:bCs/>
          <w:color w:val="auto"/>
          <w:sz w:val="21"/>
          <w:szCs w:val="21"/>
          <w:highlight w:val="none"/>
          <w:lang w:eastAsia="zh-CN"/>
        </w:rPr>
        <w:t>。</w:t>
      </w:r>
      <w:r>
        <w:rPr>
          <w:rFonts w:hint="eastAsia" w:hAnsi="宋体" w:eastAsia="宋体" w:cs="宋体"/>
          <w:bCs/>
          <w:color w:val="auto"/>
          <w:sz w:val="21"/>
          <w:szCs w:val="21"/>
          <w:highlight w:val="none"/>
          <w:lang w:eastAsia="zh-CN"/>
        </w:rPr>
        <w:t>）</w:t>
      </w:r>
    </w:p>
    <w:p>
      <w:pPr>
        <w:pStyle w:val="24"/>
        <w:rPr>
          <w:color w:val="auto"/>
          <w:highlight w:val="none"/>
        </w:rPr>
      </w:pPr>
    </w:p>
    <w:tbl>
      <w:tblPr>
        <w:tblStyle w:val="20"/>
        <w:tblW w:w="9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388"/>
        <w:gridCol w:w="7505"/>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23"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评分项目</w:t>
            </w:r>
          </w:p>
        </w:tc>
        <w:tc>
          <w:tcPr>
            <w:tcW w:w="7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p>
            <w:pPr>
              <w:pStyle w:val="13"/>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hAnsi="宋体" w:eastAsia="宋体" w:cs="宋体"/>
                <w:b/>
                <w:bCs/>
                <w:color w:val="auto"/>
                <w:sz w:val="21"/>
                <w:szCs w:val="21"/>
                <w:highlight w:val="none"/>
                <w:lang w:val="en-US" w:eastAsia="zh-CN"/>
              </w:rPr>
              <w:t>满分20</w:t>
            </w:r>
            <w:r>
              <w:rPr>
                <w:rFonts w:hint="eastAsia" w:ascii="宋体" w:hAnsi="宋体" w:eastAsia="宋体" w:cs="宋体"/>
                <w:b/>
                <w:bCs/>
                <w:color w:val="auto"/>
                <w:sz w:val="21"/>
                <w:szCs w:val="21"/>
                <w:highlight w:val="none"/>
                <w:lang w:val="en-US" w:eastAsia="zh-CN"/>
              </w:rPr>
              <w:t>分）</w:t>
            </w:r>
          </w:p>
        </w:tc>
        <w:tc>
          <w:tcPr>
            <w:tcW w:w="7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2.政府采购政策性扣除计算方法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（1）按照财库〔2020〕46号文件、财库〔2022〕19号文件及《广西壮族自治区财政厅</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广西壮族自治区工业和信息化厅关于转发财政部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业和信息化部政府采购促进中小企业发展管理办法的通知》（桂财采〔2021〕70号）等文件要求，响应文件中提供《中小企业声明函》，且服务全部由符合政策要求的小型、微型企业承接的，对其最后报价给予20%的扣除。</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出具的属于监狱企业的证明文件。不重复享受政策。</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1-6%）。</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（5）除上述情况外，评审价＝最后报价。</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（6）以进入比较与评价环节的最低的评审价为基准价，基准价得分为</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pPr>
              <w:keepNext w:val="0"/>
              <w:keepLines w:val="0"/>
              <w:pageBreakBefore w:val="0"/>
              <w:kinsoku/>
              <w:wordWrap/>
              <w:overflowPunct/>
              <w:topLinePunct w:val="0"/>
              <w:autoSpaceDE/>
              <w:autoSpaceDN/>
              <w:bidi w:val="0"/>
              <w:spacing w:line="360" w:lineRule="exact"/>
              <w:rPr>
                <w:rFonts w:hint="default"/>
                <w:color w:val="auto"/>
                <w:highlight w:val="none"/>
                <w:lang w:val="en-US" w:eastAsia="zh-CN"/>
              </w:rPr>
            </w:pPr>
            <w:r>
              <w:rPr>
                <w:rFonts w:hint="eastAsia" w:ascii="宋体" w:hAnsi="宋体" w:eastAsia="宋体" w:cs="宋体"/>
                <w:color w:val="auto"/>
                <w:sz w:val="21"/>
                <w:szCs w:val="21"/>
                <w:highlight w:val="none"/>
              </w:rPr>
              <w:t>报价得分=（基准价/评审价）×</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536"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388" w:type="dxa"/>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技术分（满分</w:t>
            </w:r>
            <w:r>
              <w:rPr>
                <w:rFonts w:hint="eastAsia" w:ascii="宋体" w:hAnsi="宋体" w:cs="宋体"/>
                <w:b/>
                <w:color w:val="auto"/>
                <w:szCs w:val="21"/>
                <w:highlight w:val="none"/>
                <w:lang w:val="en-US" w:eastAsia="zh-CN"/>
              </w:rPr>
              <w:t>66</w:t>
            </w:r>
            <w:r>
              <w:rPr>
                <w:rFonts w:hint="eastAsia" w:ascii="宋体" w:hAnsi="宋体" w:cs="宋体"/>
                <w:b/>
                <w:color w:val="auto"/>
                <w:szCs w:val="21"/>
                <w:highlight w:val="none"/>
              </w:rPr>
              <w:t>分）</w:t>
            </w:r>
          </w:p>
        </w:tc>
        <w:tc>
          <w:tcPr>
            <w:tcW w:w="7525" w:type="dxa"/>
            <w:gridSpan w:val="2"/>
            <w:vAlign w:val="center"/>
          </w:tcPr>
          <w:p>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cs="宋体"/>
                <w:b/>
                <w:color w:val="auto"/>
                <w:szCs w:val="21"/>
                <w:highlight w:val="none"/>
              </w:rPr>
            </w:pPr>
            <w:r>
              <w:rPr>
                <w:rFonts w:hint="eastAsia" w:ascii="宋体" w:hAnsi="宋体" w:cs="Tahoma"/>
                <w:b/>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2.1</w:t>
            </w:r>
          </w:p>
        </w:tc>
        <w:tc>
          <w:tcPr>
            <w:tcW w:w="1388" w:type="dxa"/>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r>
              <w:rPr>
                <w:rFonts w:hint="eastAsia" w:cs="仿宋"/>
                <w:b/>
                <w:bCs/>
                <w:color w:val="auto"/>
                <w:szCs w:val="21"/>
                <w:highlight w:val="none"/>
                <w:lang w:eastAsia="zh-CN"/>
              </w:rPr>
              <w:t>（</w:t>
            </w:r>
            <w:r>
              <w:rPr>
                <w:rFonts w:hint="eastAsia" w:cs="仿宋"/>
                <w:b/>
                <w:bCs/>
                <w:color w:val="auto"/>
                <w:szCs w:val="21"/>
                <w:highlight w:val="none"/>
                <w:lang w:val="en-US" w:eastAsia="zh-CN"/>
              </w:rPr>
              <w:t>1）</w:t>
            </w:r>
            <w:r>
              <w:rPr>
                <w:rFonts w:hint="eastAsia" w:cs="仿宋"/>
                <w:b/>
                <w:bCs/>
                <w:color w:val="auto"/>
                <w:szCs w:val="21"/>
                <w:highlight w:val="none"/>
              </w:rPr>
              <w:t>总体工作计划、管理规章制度及方案分</w:t>
            </w:r>
            <w:r>
              <w:rPr>
                <w:rFonts w:hint="eastAsia" w:ascii="宋体" w:hAnsi="宋体" w:cs="宋体"/>
                <w:b/>
                <w:bCs/>
                <w:color w:val="auto"/>
                <w:kern w:val="0"/>
                <w:szCs w:val="21"/>
                <w:highlight w:val="none"/>
              </w:rPr>
              <w:t xml:space="preserve">        （满分</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分）</w:t>
            </w:r>
          </w:p>
        </w:tc>
        <w:tc>
          <w:tcPr>
            <w:tcW w:w="7525" w:type="dxa"/>
            <w:gridSpan w:val="2"/>
            <w:vAlign w:val="center"/>
          </w:tcPr>
          <w:p>
            <w:pPr>
              <w:pStyle w:val="24"/>
              <w:spacing w:line="400" w:lineRule="exact"/>
              <w:ind w:firstLine="420"/>
              <w:rPr>
                <w:rFonts w:cs="仿宋"/>
                <w:color w:val="auto"/>
                <w:szCs w:val="21"/>
                <w:highlight w:val="none"/>
              </w:rPr>
            </w:pPr>
            <w:r>
              <w:rPr>
                <w:rFonts w:hint="eastAsia" w:cs="仿宋"/>
                <w:color w:val="auto"/>
                <w:szCs w:val="21"/>
                <w:highlight w:val="none"/>
              </w:rPr>
              <w:t>方案主要包括①规章制度、②管理架构、③岗位职责、④档案管理、⑤运作机制、⑥激励机制、⑦监督机制、⑧自我约束机制、⑨信息反馈处理机制等内容。</w:t>
            </w:r>
          </w:p>
          <w:p>
            <w:pPr>
              <w:pStyle w:val="24"/>
              <w:spacing w:line="400" w:lineRule="exact"/>
              <w:ind w:firstLine="420"/>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分）：总体计划方案包括上述</w:t>
            </w:r>
            <w:r>
              <w:rPr>
                <w:rFonts w:hint="eastAsia" w:cs="仿宋"/>
                <w:color w:val="auto"/>
                <w:szCs w:val="21"/>
                <w:highlight w:val="none"/>
                <w:lang w:val="en-US" w:eastAsia="zh-CN"/>
              </w:rPr>
              <w:t>9项内容中的第</w:t>
            </w:r>
            <w:r>
              <w:rPr>
                <w:rFonts w:hint="eastAsia" w:cs="仿宋"/>
                <w:color w:val="auto"/>
                <w:szCs w:val="21"/>
                <w:highlight w:val="none"/>
              </w:rPr>
              <w:t>①-③项内容，仅有纲要、内容简略，未展开详细阐述但基本能够适用于本项目；</w:t>
            </w:r>
          </w:p>
          <w:p>
            <w:pPr>
              <w:pStyle w:val="24"/>
              <w:spacing w:line="400" w:lineRule="exact"/>
              <w:ind w:firstLine="420"/>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分）：总体计划方案包括上述</w:t>
            </w:r>
            <w:r>
              <w:rPr>
                <w:rFonts w:hint="eastAsia" w:cs="仿宋"/>
                <w:color w:val="auto"/>
                <w:szCs w:val="21"/>
                <w:highlight w:val="none"/>
                <w:lang w:val="en-US" w:eastAsia="zh-CN"/>
              </w:rPr>
              <w:t>9项内容中的第</w:t>
            </w:r>
            <w:r>
              <w:rPr>
                <w:rFonts w:hint="eastAsia" w:cs="仿宋"/>
                <w:color w:val="auto"/>
                <w:szCs w:val="21"/>
                <w:highlight w:val="none"/>
              </w:rPr>
              <w:t>①-⑦项内容，适用本项目用户需求，有管理规章制度且架构完整能够开展专业的物业管理工作、管理制度内容针对采购单位实际需求，机构设置合理，各岗位部门职责清晰明确；</w:t>
            </w:r>
          </w:p>
          <w:p>
            <w:pPr>
              <w:pStyle w:val="24"/>
              <w:spacing w:line="400" w:lineRule="exact"/>
              <w:ind w:firstLine="420"/>
              <w:rPr>
                <w:rFonts w:hint="eastAsia"/>
                <w:color w:val="auto"/>
                <w:highlight w:val="none"/>
              </w:rPr>
            </w:pPr>
            <w:r>
              <w:rPr>
                <w:rFonts w:hint="eastAsia" w:cs="仿宋"/>
                <w:color w:val="auto"/>
                <w:szCs w:val="21"/>
                <w:highlight w:val="none"/>
              </w:rPr>
              <w:t>三档（</w:t>
            </w:r>
            <w:r>
              <w:rPr>
                <w:rFonts w:hint="eastAsia" w:cs="仿宋"/>
                <w:color w:val="auto"/>
                <w:szCs w:val="21"/>
                <w:highlight w:val="none"/>
                <w:lang w:val="en-US" w:eastAsia="zh-CN"/>
              </w:rPr>
              <w:t>7</w:t>
            </w:r>
            <w:r>
              <w:rPr>
                <w:rFonts w:hint="eastAsia" w:cs="仿宋"/>
                <w:color w:val="auto"/>
                <w:szCs w:val="21"/>
                <w:highlight w:val="none"/>
              </w:rPr>
              <w:t>分）：在满足二档的基础上，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p>
            <w:pPr>
              <w:pStyle w:val="24"/>
              <w:spacing w:line="400" w:lineRule="exact"/>
              <w:ind w:left="0" w:leftChars="0" w:firstLine="0" w:firstLineChars="0"/>
              <w:rPr>
                <w:rFonts w:hint="eastAsia" w:ascii="宋体" w:hAnsi="宋体" w:eastAsia="宋体" w:cs="宋体"/>
                <w:b/>
                <w:bCs w:val="0"/>
                <w:color w:val="auto"/>
                <w:spacing w:val="0"/>
                <w:sz w:val="21"/>
                <w:szCs w:val="21"/>
                <w:highlight w:val="none"/>
              </w:rPr>
            </w:pPr>
          </w:p>
          <w:p>
            <w:pPr>
              <w:pStyle w:val="24"/>
              <w:spacing w:line="400" w:lineRule="exact"/>
              <w:rPr>
                <w:color w:val="auto"/>
                <w:highlight w:val="none"/>
              </w:rPr>
            </w:pPr>
            <w:r>
              <w:rPr>
                <w:rFonts w:hint="eastAsia" w:ascii="宋体" w:hAnsi="宋体" w:eastAsia="宋体" w:cs="宋体"/>
                <w:b w:val="0"/>
                <w:bCs/>
                <w:color w:val="auto"/>
                <w:spacing w:val="0"/>
                <w:sz w:val="21"/>
                <w:szCs w:val="21"/>
                <w:highlight w:val="none"/>
              </w:rPr>
              <w:t>注：未提供</w:t>
            </w:r>
            <w:r>
              <w:rPr>
                <w:rFonts w:hint="eastAsia" w:ascii="宋体" w:hAnsi="宋体" w:eastAsia="宋体" w:cs="宋体"/>
                <w:b w:val="0"/>
                <w:bCs/>
                <w:color w:val="auto"/>
                <w:spacing w:val="0"/>
                <w:sz w:val="21"/>
                <w:szCs w:val="21"/>
                <w:highlight w:val="none"/>
                <w:lang w:eastAsia="zh-CN"/>
              </w:rPr>
              <w:t>、</w:t>
            </w:r>
            <w:r>
              <w:rPr>
                <w:rFonts w:hint="eastAsia" w:cs="仿宋"/>
                <w:b w:val="0"/>
                <w:bCs/>
                <w:color w:val="auto"/>
                <w:szCs w:val="21"/>
                <w:highlight w:val="none"/>
              </w:rPr>
              <w:t>不满足最低进档要求得</w:t>
            </w:r>
            <w:r>
              <w:rPr>
                <w:rFonts w:hint="eastAsia" w:cs="仿宋"/>
                <w:b w:val="0"/>
                <w:bCs/>
                <w:color w:val="auto"/>
                <w:szCs w:val="21"/>
                <w:highlight w:val="none"/>
                <w:lang w:val="en-US" w:eastAsia="zh-CN"/>
              </w:rPr>
              <w:t>0</w:t>
            </w:r>
            <w:r>
              <w:rPr>
                <w:rFonts w:hint="eastAsia" w:cs="仿宋"/>
                <w:b w:val="0"/>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2.2</w:t>
            </w:r>
          </w:p>
        </w:tc>
        <w:tc>
          <w:tcPr>
            <w:tcW w:w="1388" w:type="dxa"/>
            <w:tcMar>
              <w:left w:w="57" w:type="dxa"/>
              <w:right w:w="57" w:type="dxa"/>
            </w:tcMar>
            <w:vAlign w:val="center"/>
          </w:tcPr>
          <w:p>
            <w:pPr>
              <w:spacing w:line="400" w:lineRule="exact"/>
              <w:jc w:val="left"/>
              <w:rPr>
                <w:rFonts w:cs="仿宋"/>
                <w:b/>
                <w:color w:val="auto"/>
                <w:szCs w:val="21"/>
                <w:highlight w:val="none"/>
              </w:rPr>
            </w:pPr>
            <w:r>
              <w:rPr>
                <w:rFonts w:hint="eastAsia" w:cs="仿宋"/>
                <w:b/>
                <w:color w:val="auto"/>
                <w:szCs w:val="21"/>
                <w:highlight w:val="none"/>
                <w:lang w:eastAsia="zh-CN"/>
              </w:rPr>
              <w:t>（</w:t>
            </w:r>
            <w:r>
              <w:rPr>
                <w:rFonts w:hint="eastAsia" w:cs="仿宋"/>
                <w:b/>
                <w:color w:val="auto"/>
                <w:szCs w:val="21"/>
                <w:highlight w:val="none"/>
                <w:lang w:val="en-US" w:eastAsia="zh-CN"/>
              </w:rPr>
              <w:t>2）</w:t>
            </w:r>
            <w:r>
              <w:rPr>
                <w:rFonts w:hint="eastAsia" w:cs="仿宋"/>
                <w:b/>
                <w:color w:val="auto"/>
                <w:szCs w:val="21"/>
                <w:highlight w:val="none"/>
              </w:rPr>
              <w:t>校园环境管理服务方案分（满分</w:t>
            </w:r>
            <w:r>
              <w:rPr>
                <w:rFonts w:hint="eastAsia" w:cs="仿宋"/>
                <w:b/>
                <w:color w:val="auto"/>
                <w:szCs w:val="21"/>
                <w:highlight w:val="none"/>
                <w:lang w:val="en-US" w:eastAsia="zh-CN"/>
              </w:rPr>
              <w:t>9</w:t>
            </w:r>
            <w:r>
              <w:rPr>
                <w:rFonts w:hint="eastAsia" w:cs="仿宋"/>
                <w:b/>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539" w:firstLineChars="257"/>
              <w:jc w:val="left"/>
              <w:rPr>
                <w:rFonts w:cs="仿宋"/>
                <w:color w:val="auto"/>
                <w:szCs w:val="21"/>
                <w:highlight w:val="none"/>
              </w:rPr>
            </w:pPr>
            <w:r>
              <w:rPr>
                <w:rFonts w:hint="eastAsia" w:cs="仿宋"/>
                <w:color w:val="auto"/>
                <w:szCs w:val="21"/>
                <w:highlight w:val="none"/>
              </w:rPr>
              <w:t>方案包括但不限于：①服务要求及标准、②作业现场管理、③工作操作规程、④质量标准及频率、⑤工作管理制度、⑥安全保障措施、⑦服务质量保证措施、⑧管理思路及档案管理等内容。</w:t>
            </w:r>
          </w:p>
          <w:p>
            <w:pPr>
              <w:spacing w:line="400" w:lineRule="exact"/>
              <w:ind w:firstLine="539" w:firstLineChars="257"/>
              <w:jc w:val="left"/>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分）：投标人提供的服务方案包含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校园保洁</w:t>
            </w:r>
            <w:r>
              <w:rPr>
                <w:rFonts w:hint="eastAsia" w:cs="仿宋"/>
                <w:color w:val="auto"/>
                <w:szCs w:val="21"/>
                <w:highlight w:val="none"/>
                <w:lang w:val="en-US" w:eastAsia="zh-CN"/>
              </w:rPr>
              <w:t>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垃圾</w:t>
            </w:r>
            <w:r>
              <w:rPr>
                <w:rFonts w:hint="eastAsia" w:cs="仿宋"/>
                <w:color w:val="auto"/>
                <w:szCs w:val="21"/>
                <w:highlight w:val="none"/>
                <w:lang w:val="en-US" w:eastAsia="zh-CN"/>
              </w:rPr>
              <w:t>清运</w:t>
            </w:r>
            <w:r>
              <w:rPr>
                <w:rFonts w:hint="eastAsia" w:cs="仿宋"/>
                <w:color w:val="auto"/>
                <w:szCs w:val="21"/>
                <w:highlight w:val="none"/>
              </w:rPr>
              <w:t>及</w:t>
            </w:r>
            <w:r>
              <w:rPr>
                <w:rFonts w:hint="eastAsia" w:cs="仿宋"/>
                <w:color w:val="auto"/>
                <w:szCs w:val="21"/>
                <w:highlight w:val="none"/>
                <w:lang w:val="en-US" w:eastAsia="zh-CN"/>
              </w:rPr>
              <w:t>处理服务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3）化粪池清理及卫生间</w:t>
            </w:r>
            <w:r>
              <w:rPr>
                <w:rFonts w:hint="eastAsia" w:cs="仿宋"/>
                <w:color w:val="auto"/>
                <w:szCs w:val="21"/>
                <w:highlight w:val="none"/>
              </w:rPr>
              <w:t>疏通、</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寒暑假及节假日保洁计划等</w:t>
            </w:r>
            <w:r>
              <w:rPr>
                <w:rFonts w:hint="eastAsia" w:cs="仿宋"/>
                <w:color w:val="auto"/>
                <w:szCs w:val="21"/>
                <w:highlight w:val="none"/>
                <w:lang w:val="en-US" w:eastAsia="zh-CN"/>
              </w:rPr>
              <w:t>4</w:t>
            </w:r>
            <w:r>
              <w:rPr>
                <w:rFonts w:hint="eastAsia" w:cs="仿宋"/>
                <w:color w:val="auto"/>
                <w:szCs w:val="21"/>
                <w:highlight w:val="none"/>
              </w:rPr>
              <w:t>个方面，且每个</w:t>
            </w:r>
            <w:r>
              <w:rPr>
                <w:rFonts w:hint="eastAsia" w:cs="仿宋"/>
                <w:color w:val="auto"/>
                <w:szCs w:val="21"/>
                <w:highlight w:val="none"/>
                <w:lang w:val="en-US" w:eastAsia="zh-CN"/>
              </w:rPr>
              <w:t>方面对应的</w:t>
            </w:r>
            <w:r>
              <w:rPr>
                <w:rFonts w:hint="eastAsia" w:cs="仿宋"/>
                <w:color w:val="auto"/>
                <w:szCs w:val="21"/>
                <w:highlight w:val="none"/>
              </w:rPr>
              <w:t>方案包括上述</w:t>
            </w:r>
            <w:r>
              <w:rPr>
                <w:rFonts w:hint="eastAsia" w:cs="仿宋"/>
                <w:color w:val="auto"/>
                <w:szCs w:val="21"/>
                <w:highlight w:val="none"/>
                <w:lang w:val="en-US" w:eastAsia="zh-CN"/>
              </w:rPr>
              <w:t>第</w:t>
            </w:r>
            <w:r>
              <w:rPr>
                <w:rFonts w:hint="eastAsia" w:cs="仿宋"/>
                <w:color w:val="auto"/>
                <w:szCs w:val="21"/>
                <w:highlight w:val="none"/>
              </w:rPr>
              <w:t>①-③项内容，满足本项目采购需求，但仅有纲要、内容简略，未展开阐述；</w:t>
            </w:r>
          </w:p>
          <w:p>
            <w:pPr>
              <w:spacing w:line="400" w:lineRule="exact"/>
              <w:ind w:firstLine="539" w:firstLineChars="257"/>
              <w:jc w:val="left"/>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6</w:t>
            </w:r>
            <w:r>
              <w:rPr>
                <w:rFonts w:hint="eastAsia" w:cs="仿宋"/>
                <w:color w:val="auto"/>
                <w:szCs w:val="21"/>
                <w:highlight w:val="none"/>
              </w:rPr>
              <w:t>分）：投标人提供的服务方案包含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校园保洁</w:t>
            </w:r>
            <w:r>
              <w:rPr>
                <w:rFonts w:hint="eastAsia" w:cs="仿宋"/>
                <w:color w:val="auto"/>
                <w:szCs w:val="21"/>
                <w:highlight w:val="none"/>
                <w:lang w:val="en-US" w:eastAsia="zh-CN"/>
              </w:rPr>
              <w:t>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垃圾</w:t>
            </w:r>
            <w:r>
              <w:rPr>
                <w:rFonts w:hint="eastAsia" w:cs="仿宋"/>
                <w:color w:val="auto"/>
                <w:szCs w:val="21"/>
                <w:highlight w:val="none"/>
                <w:lang w:val="en-US" w:eastAsia="zh-CN"/>
              </w:rPr>
              <w:t>清运</w:t>
            </w:r>
            <w:r>
              <w:rPr>
                <w:rFonts w:hint="eastAsia" w:cs="仿宋"/>
                <w:color w:val="auto"/>
                <w:szCs w:val="21"/>
                <w:highlight w:val="none"/>
              </w:rPr>
              <w:t>及</w:t>
            </w:r>
            <w:r>
              <w:rPr>
                <w:rFonts w:hint="eastAsia" w:cs="仿宋"/>
                <w:color w:val="auto"/>
                <w:szCs w:val="21"/>
                <w:highlight w:val="none"/>
                <w:lang w:val="en-US" w:eastAsia="zh-CN"/>
              </w:rPr>
              <w:t>处理服务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3）化粪池清理及卫生间</w:t>
            </w:r>
            <w:r>
              <w:rPr>
                <w:rFonts w:hint="eastAsia" w:cs="仿宋"/>
                <w:color w:val="auto"/>
                <w:szCs w:val="21"/>
                <w:highlight w:val="none"/>
              </w:rPr>
              <w:t>疏通、</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寒暑假及节假日保洁计划等</w:t>
            </w:r>
            <w:r>
              <w:rPr>
                <w:rFonts w:hint="eastAsia" w:cs="仿宋"/>
                <w:color w:val="auto"/>
                <w:szCs w:val="21"/>
                <w:highlight w:val="none"/>
                <w:lang w:val="en-US" w:eastAsia="zh-CN"/>
              </w:rPr>
              <w:t>4</w:t>
            </w:r>
            <w:r>
              <w:rPr>
                <w:rFonts w:hint="eastAsia" w:cs="仿宋"/>
                <w:color w:val="auto"/>
                <w:szCs w:val="21"/>
                <w:highlight w:val="none"/>
              </w:rPr>
              <w:t>个方面，且每个</w:t>
            </w:r>
            <w:r>
              <w:rPr>
                <w:rFonts w:hint="eastAsia" w:cs="仿宋"/>
                <w:color w:val="auto"/>
                <w:szCs w:val="21"/>
                <w:highlight w:val="none"/>
                <w:lang w:val="en-US" w:eastAsia="zh-CN"/>
              </w:rPr>
              <w:t>方面对应的</w:t>
            </w:r>
            <w:r>
              <w:rPr>
                <w:rFonts w:hint="eastAsia" w:cs="仿宋"/>
                <w:color w:val="auto"/>
                <w:szCs w:val="21"/>
                <w:highlight w:val="none"/>
              </w:rPr>
              <w:t>方案包括上述</w:t>
            </w:r>
            <w:r>
              <w:rPr>
                <w:rFonts w:hint="eastAsia" w:cs="仿宋"/>
                <w:color w:val="auto"/>
                <w:szCs w:val="21"/>
                <w:highlight w:val="none"/>
                <w:lang w:val="en-US" w:eastAsia="zh-CN"/>
              </w:rPr>
              <w:t>第</w:t>
            </w:r>
            <w:r>
              <w:rPr>
                <w:rFonts w:hint="eastAsia" w:cs="仿宋"/>
                <w:color w:val="auto"/>
                <w:szCs w:val="21"/>
                <w:highlight w:val="none"/>
              </w:rPr>
              <w:t>①-⑥项内容，内容完整，对服务内容展开了基本的阐述，有详细的服务工作计划、落实措施；</w:t>
            </w:r>
          </w:p>
          <w:p>
            <w:pPr>
              <w:spacing w:line="400" w:lineRule="exact"/>
              <w:ind w:firstLine="539" w:firstLineChars="257"/>
              <w:jc w:val="left"/>
              <w:rPr>
                <w:rFonts w:cs="仿宋"/>
                <w:color w:val="auto"/>
                <w:szCs w:val="21"/>
                <w:highlight w:val="none"/>
              </w:rPr>
            </w:pPr>
            <w:r>
              <w:rPr>
                <w:rFonts w:hint="eastAsia" w:cs="仿宋"/>
                <w:color w:val="auto"/>
                <w:szCs w:val="21"/>
                <w:highlight w:val="none"/>
              </w:rPr>
              <w:t>三档（</w:t>
            </w:r>
            <w:r>
              <w:rPr>
                <w:rFonts w:hint="eastAsia" w:cs="仿宋"/>
                <w:color w:val="auto"/>
                <w:szCs w:val="21"/>
                <w:highlight w:val="none"/>
                <w:lang w:val="en-US" w:eastAsia="zh-CN"/>
              </w:rPr>
              <w:t>9</w:t>
            </w:r>
            <w:r>
              <w:rPr>
                <w:rFonts w:hint="eastAsia" w:cs="仿宋"/>
                <w:color w:val="auto"/>
                <w:szCs w:val="21"/>
                <w:highlight w:val="none"/>
              </w:rPr>
              <w:t>分）：投标人提供的服务方案包含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校园保洁</w:t>
            </w:r>
            <w:r>
              <w:rPr>
                <w:rFonts w:hint="eastAsia" w:cs="仿宋"/>
                <w:color w:val="auto"/>
                <w:szCs w:val="21"/>
                <w:highlight w:val="none"/>
                <w:lang w:val="en-US" w:eastAsia="zh-CN"/>
              </w:rPr>
              <w:t>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垃圾</w:t>
            </w:r>
            <w:r>
              <w:rPr>
                <w:rFonts w:hint="eastAsia" w:cs="仿宋"/>
                <w:color w:val="auto"/>
                <w:szCs w:val="21"/>
                <w:highlight w:val="none"/>
                <w:lang w:val="en-US" w:eastAsia="zh-CN"/>
              </w:rPr>
              <w:t>清运</w:t>
            </w:r>
            <w:r>
              <w:rPr>
                <w:rFonts w:hint="eastAsia" w:cs="仿宋"/>
                <w:color w:val="auto"/>
                <w:szCs w:val="21"/>
                <w:highlight w:val="none"/>
              </w:rPr>
              <w:t>及</w:t>
            </w:r>
            <w:r>
              <w:rPr>
                <w:rFonts w:hint="eastAsia" w:cs="仿宋"/>
                <w:color w:val="auto"/>
                <w:szCs w:val="21"/>
                <w:highlight w:val="none"/>
                <w:lang w:val="en-US" w:eastAsia="zh-CN"/>
              </w:rPr>
              <w:t>处理服务</w:t>
            </w:r>
            <w:r>
              <w:rPr>
                <w:rFonts w:hint="eastAsia" w:cs="仿宋"/>
                <w:color w:val="auto"/>
                <w:szCs w:val="21"/>
                <w:highlight w:val="none"/>
              </w:rPr>
              <w:t>、</w:t>
            </w:r>
            <w:r>
              <w:rPr>
                <w:rFonts w:hint="eastAsia" w:cs="仿宋"/>
                <w:color w:val="auto"/>
                <w:szCs w:val="21"/>
                <w:highlight w:val="none"/>
                <w:lang w:eastAsia="zh-CN"/>
              </w:rPr>
              <w:t>（</w:t>
            </w:r>
            <w:r>
              <w:rPr>
                <w:rFonts w:hint="eastAsia" w:cs="仿宋"/>
                <w:color w:val="auto"/>
                <w:szCs w:val="21"/>
                <w:highlight w:val="none"/>
                <w:lang w:val="en-US" w:eastAsia="zh-CN"/>
              </w:rPr>
              <w:t>3）化粪池清理及卫生间</w:t>
            </w:r>
            <w:r>
              <w:rPr>
                <w:rFonts w:hint="eastAsia" w:cs="仿宋"/>
                <w:color w:val="auto"/>
                <w:szCs w:val="21"/>
                <w:highlight w:val="none"/>
              </w:rPr>
              <w:t>疏通、</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寒暑假及节假日保洁计划等</w:t>
            </w:r>
            <w:r>
              <w:rPr>
                <w:rFonts w:hint="eastAsia" w:cs="仿宋"/>
                <w:color w:val="auto"/>
                <w:szCs w:val="21"/>
                <w:highlight w:val="none"/>
                <w:lang w:val="en-US" w:eastAsia="zh-CN"/>
              </w:rPr>
              <w:t>4</w:t>
            </w:r>
            <w:r>
              <w:rPr>
                <w:rFonts w:hint="eastAsia" w:cs="仿宋"/>
                <w:color w:val="auto"/>
                <w:szCs w:val="21"/>
                <w:highlight w:val="none"/>
              </w:rPr>
              <w:t>个方面，且每个</w:t>
            </w:r>
            <w:r>
              <w:rPr>
                <w:rFonts w:hint="eastAsia" w:cs="仿宋"/>
                <w:color w:val="auto"/>
                <w:szCs w:val="21"/>
                <w:highlight w:val="none"/>
                <w:lang w:val="en-US" w:eastAsia="zh-CN"/>
              </w:rPr>
              <w:t>方面对应的</w:t>
            </w:r>
            <w:r>
              <w:rPr>
                <w:rFonts w:hint="eastAsia" w:cs="仿宋"/>
                <w:color w:val="auto"/>
                <w:szCs w:val="21"/>
                <w:highlight w:val="none"/>
              </w:rPr>
              <w:t>方案包括上述所有</w:t>
            </w:r>
            <w:r>
              <w:rPr>
                <w:rFonts w:hint="eastAsia" w:cs="仿宋"/>
                <w:color w:val="auto"/>
                <w:szCs w:val="21"/>
                <w:highlight w:val="none"/>
                <w:lang w:val="en-US" w:eastAsia="zh-CN"/>
              </w:rPr>
              <w:t>8项</w:t>
            </w:r>
            <w:r>
              <w:rPr>
                <w:rFonts w:hint="eastAsia" w:cs="仿宋"/>
                <w:color w:val="auto"/>
                <w:szCs w:val="21"/>
                <w:highlight w:val="none"/>
              </w:rPr>
              <w:t>内容，服务方案内容细致详尽，能够根据采购单位的特点制定详细的方案服务计划、落实措施及服务质量考核办法，整体管理方案完全适用本项目，对于本项目的保洁卫生要点能够展开详细的阐述。服务方案包括上述全部内容。</w:t>
            </w:r>
          </w:p>
          <w:p>
            <w:pPr>
              <w:pStyle w:val="29"/>
              <w:keepNext w:val="0"/>
              <w:keepLines w:val="0"/>
              <w:pageBreakBefore w:val="0"/>
              <w:kinsoku/>
              <w:wordWrap/>
              <w:overflowPunct/>
              <w:topLinePunct w:val="0"/>
              <w:autoSpaceDE/>
              <w:autoSpaceDN/>
              <w:bidi w:val="0"/>
              <w:spacing w:line="360" w:lineRule="exact"/>
              <w:ind w:firstLine="0" w:firstLineChars="0"/>
              <w:rPr>
                <w:rFonts w:hint="eastAsia" w:ascii="宋体" w:hAnsi="宋体" w:eastAsia="宋体" w:cs="宋体"/>
                <w:b/>
                <w:bCs w:val="0"/>
                <w:color w:val="auto"/>
                <w:spacing w:val="0"/>
                <w:sz w:val="21"/>
                <w:szCs w:val="21"/>
                <w:highlight w:val="none"/>
              </w:rPr>
            </w:pPr>
          </w:p>
          <w:p>
            <w:pPr>
              <w:pStyle w:val="29"/>
              <w:keepNext w:val="0"/>
              <w:keepLines w:val="0"/>
              <w:pageBreakBefore w:val="0"/>
              <w:kinsoku/>
              <w:wordWrap/>
              <w:overflowPunct/>
              <w:topLinePunct w:val="0"/>
              <w:autoSpaceDE/>
              <w:autoSpaceDN/>
              <w:bidi w:val="0"/>
              <w:spacing w:line="360" w:lineRule="exact"/>
              <w:ind w:firstLine="0" w:firstLineChars="0"/>
              <w:rPr>
                <w:color w:val="auto"/>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2.3</w:t>
            </w:r>
          </w:p>
        </w:tc>
        <w:tc>
          <w:tcPr>
            <w:tcW w:w="1388" w:type="dxa"/>
            <w:tcMar>
              <w:left w:w="57" w:type="dxa"/>
              <w:right w:w="57" w:type="dxa"/>
            </w:tcMar>
            <w:vAlign w:val="center"/>
          </w:tcPr>
          <w:p>
            <w:pPr>
              <w:spacing w:line="400" w:lineRule="exact"/>
              <w:jc w:val="left"/>
              <w:rPr>
                <w:rFonts w:cs="仿宋"/>
                <w:b/>
                <w:color w:val="auto"/>
                <w:szCs w:val="21"/>
                <w:highlight w:val="none"/>
              </w:rPr>
            </w:pPr>
            <w:r>
              <w:rPr>
                <w:rFonts w:hint="eastAsia" w:cs="仿宋"/>
                <w:b/>
                <w:color w:val="auto"/>
                <w:szCs w:val="21"/>
                <w:highlight w:val="none"/>
                <w:lang w:eastAsia="zh-CN"/>
              </w:rPr>
              <w:t>（</w:t>
            </w:r>
            <w:r>
              <w:rPr>
                <w:rFonts w:hint="eastAsia" w:cs="仿宋"/>
                <w:b/>
                <w:color w:val="auto"/>
                <w:szCs w:val="21"/>
                <w:highlight w:val="none"/>
                <w:lang w:val="en-US" w:eastAsia="zh-CN"/>
              </w:rPr>
              <w:t>3）</w:t>
            </w:r>
            <w:r>
              <w:rPr>
                <w:rFonts w:hint="eastAsia" w:cs="仿宋"/>
                <w:b/>
                <w:color w:val="auto"/>
                <w:szCs w:val="21"/>
                <w:highlight w:val="none"/>
              </w:rPr>
              <w:t>绿化</w:t>
            </w:r>
            <w:r>
              <w:rPr>
                <w:rFonts w:hint="eastAsia" w:cs="仿宋"/>
                <w:b/>
                <w:color w:val="auto"/>
                <w:szCs w:val="21"/>
                <w:highlight w:val="none"/>
                <w:lang w:val="en-US" w:eastAsia="zh-CN"/>
              </w:rPr>
              <w:t>维护</w:t>
            </w:r>
            <w:r>
              <w:rPr>
                <w:rFonts w:hint="eastAsia" w:cs="仿宋"/>
                <w:b/>
                <w:color w:val="auto"/>
                <w:szCs w:val="21"/>
                <w:highlight w:val="none"/>
              </w:rPr>
              <w:t>服务方案分（满分</w:t>
            </w:r>
            <w:r>
              <w:rPr>
                <w:rFonts w:hint="eastAsia" w:cs="仿宋"/>
                <w:b/>
                <w:color w:val="auto"/>
                <w:szCs w:val="21"/>
                <w:highlight w:val="none"/>
                <w:lang w:val="en-US" w:eastAsia="zh-CN"/>
              </w:rPr>
              <w:t>7</w:t>
            </w:r>
            <w:r>
              <w:rPr>
                <w:rFonts w:hint="eastAsia" w:cs="仿宋"/>
                <w:b/>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569" w:firstLineChars="271"/>
              <w:jc w:val="left"/>
              <w:rPr>
                <w:rFonts w:cs="仿宋"/>
                <w:color w:val="auto"/>
                <w:szCs w:val="21"/>
                <w:highlight w:val="none"/>
              </w:rPr>
            </w:pPr>
            <w:r>
              <w:rPr>
                <w:rFonts w:hint="eastAsia" w:cs="仿宋"/>
                <w:color w:val="auto"/>
                <w:szCs w:val="21"/>
                <w:highlight w:val="none"/>
              </w:rPr>
              <w:t>方案包括但不限于：①养护服务要求及标准、②现场作业管理、③工作操作规程（如修剪、施肥、灌溉等）、④养护质量标准和频率、⑤专项技术方案（如</w:t>
            </w:r>
            <w:r>
              <w:rPr>
                <w:rFonts w:hint="eastAsia" w:cs="仿宋"/>
                <w:color w:val="auto"/>
                <w:szCs w:val="21"/>
                <w:highlight w:val="none"/>
                <w:lang w:val="en-US" w:eastAsia="zh-CN"/>
              </w:rPr>
              <w:t>不同季节发生的</w:t>
            </w:r>
            <w:r>
              <w:rPr>
                <w:rFonts w:hint="eastAsia" w:cs="仿宋"/>
                <w:color w:val="auto"/>
                <w:szCs w:val="21"/>
                <w:highlight w:val="none"/>
              </w:rPr>
              <w:t>虫害综合防治及保护等）、⑥季节性工作重点等内容</w:t>
            </w:r>
            <w:r>
              <w:rPr>
                <w:rFonts w:hint="eastAsia" w:cs="仿宋"/>
                <w:color w:val="auto"/>
                <w:szCs w:val="21"/>
                <w:highlight w:val="none"/>
                <w:lang w:eastAsia="zh-CN"/>
              </w:rPr>
              <w:t>、</w:t>
            </w:r>
            <w:r>
              <w:rPr>
                <w:rFonts w:hint="eastAsia" w:cs="仿宋"/>
                <w:color w:val="auto"/>
                <w:szCs w:val="21"/>
                <w:highlight w:val="none"/>
              </w:rPr>
              <w:t>⑦应急处理预案。</w:t>
            </w:r>
          </w:p>
          <w:p>
            <w:pPr>
              <w:spacing w:line="400" w:lineRule="exact"/>
              <w:ind w:firstLine="569" w:firstLineChars="271"/>
              <w:jc w:val="left"/>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分）：投标人提供的绿化养护服务方案包含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日常养护、</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整形修剪、</w:t>
            </w:r>
            <w:r>
              <w:rPr>
                <w:rFonts w:hint="eastAsia" w:cs="仿宋"/>
                <w:color w:val="auto"/>
                <w:szCs w:val="21"/>
                <w:highlight w:val="none"/>
                <w:lang w:eastAsia="zh-CN"/>
              </w:rPr>
              <w:t>（</w:t>
            </w:r>
            <w:r>
              <w:rPr>
                <w:rFonts w:hint="eastAsia" w:cs="仿宋"/>
                <w:color w:val="auto"/>
                <w:szCs w:val="21"/>
                <w:highlight w:val="none"/>
                <w:lang w:val="en-US" w:eastAsia="zh-CN"/>
              </w:rPr>
              <w:t>3）</w:t>
            </w:r>
            <w:r>
              <w:rPr>
                <w:rFonts w:hint="eastAsia" w:cs="仿宋"/>
                <w:color w:val="auto"/>
                <w:szCs w:val="21"/>
                <w:highlight w:val="none"/>
              </w:rPr>
              <w:t>病虫害防治、</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植被培育、补植更新、</w:t>
            </w:r>
            <w:r>
              <w:rPr>
                <w:rFonts w:hint="eastAsia" w:cs="仿宋"/>
                <w:color w:val="auto"/>
                <w:szCs w:val="21"/>
                <w:highlight w:val="none"/>
                <w:lang w:eastAsia="zh-CN"/>
              </w:rPr>
              <w:t>（</w:t>
            </w:r>
            <w:r>
              <w:rPr>
                <w:rFonts w:hint="eastAsia" w:cs="仿宋"/>
                <w:color w:val="auto"/>
                <w:szCs w:val="21"/>
                <w:highlight w:val="none"/>
                <w:lang w:val="en-US" w:eastAsia="zh-CN"/>
              </w:rPr>
              <w:t>5）</w:t>
            </w:r>
            <w:r>
              <w:rPr>
                <w:rFonts w:hint="eastAsia" w:cs="仿宋"/>
                <w:color w:val="auto"/>
                <w:szCs w:val="21"/>
                <w:highlight w:val="none"/>
              </w:rPr>
              <w:t>绿化垃圾处理等5个基本方面，且每个方面对应的方案内容包括上述</w:t>
            </w:r>
            <w:r>
              <w:rPr>
                <w:rFonts w:hint="eastAsia" w:cs="仿宋"/>
                <w:color w:val="auto"/>
                <w:szCs w:val="21"/>
                <w:highlight w:val="none"/>
                <w:lang w:val="en-US" w:eastAsia="zh-CN"/>
              </w:rPr>
              <w:t>第</w:t>
            </w:r>
            <w:r>
              <w:rPr>
                <w:rFonts w:hint="eastAsia" w:cs="仿宋"/>
                <w:color w:val="auto"/>
                <w:szCs w:val="21"/>
                <w:highlight w:val="none"/>
              </w:rPr>
              <w:t>①-③项内容，方案仅满足本项目基本采购需求，但内容简略，多为纲要性描述，未结合校园环境进行具体阐述。</w:t>
            </w:r>
          </w:p>
          <w:p>
            <w:pPr>
              <w:spacing w:line="400" w:lineRule="exact"/>
              <w:ind w:firstLine="569" w:firstLineChars="271"/>
              <w:jc w:val="left"/>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分）：投标人提供的绿化养护服务方案包含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日常养护、</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整形修剪、</w:t>
            </w:r>
            <w:r>
              <w:rPr>
                <w:rFonts w:hint="eastAsia" w:cs="仿宋"/>
                <w:color w:val="auto"/>
                <w:szCs w:val="21"/>
                <w:highlight w:val="none"/>
                <w:lang w:eastAsia="zh-CN"/>
              </w:rPr>
              <w:t>（</w:t>
            </w:r>
            <w:r>
              <w:rPr>
                <w:rFonts w:hint="eastAsia" w:cs="仿宋"/>
                <w:color w:val="auto"/>
                <w:szCs w:val="21"/>
                <w:highlight w:val="none"/>
                <w:lang w:val="en-US" w:eastAsia="zh-CN"/>
              </w:rPr>
              <w:t>3）</w:t>
            </w:r>
            <w:r>
              <w:rPr>
                <w:rFonts w:hint="eastAsia" w:cs="仿宋"/>
                <w:color w:val="auto"/>
                <w:szCs w:val="21"/>
                <w:highlight w:val="none"/>
              </w:rPr>
              <w:t>病虫害防治、</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植被培育、补植更新、</w:t>
            </w:r>
            <w:r>
              <w:rPr>
                <w:rFonts w:hint="eastAsia" w:cs="仿宋"/>
                <w:color w:val="auto"/>
                <w:szCs w:val="21"/>
                <w:highlight w:val="none"/>
                <w:lang w:eastAsia="zh-CN"/>
              </w:rPr>
              <w:t>（</w:t>
            </w:r>
            <w:r>
              <w:rPr>
                <w:rFonts w:hint="eastAsia" w:cs="仿宋"/>
                <w:color w:val="auto"/>
                <w:szCs w:val="21"/>
                <w:highlight w:val="none"/>
                <w:lang w:val="en-US" w:eastAsia="zh-CN"/>
              </w:rPr>
              <w:t>5）</w:t>
            </w:r>
            <w:r>
              <w:rPr>
                <w:rFonts w:hint="eastAsia" w:cs="仿宋"/>
                <w:color w:val="auto"/>
                <w:szCs w:val="21"/>
                <w:highlight w:val="none"/>
              </w:rPr>
              <w:t>绿化垃圾处理等5个基本方面，且每个方面对应的方案内容包括上述</w:t>
            </w:r>
            <w:r>
              <w:rPr>
                <w:rFonts w:hint="eastAsia" w:cs="仿宋"/>
                <w:color w:val="auto"/>
                <w:szCs w:val="21"/>
                <w:highlight w:val="none"/>
                <w:lang w:val="en-US" w:eastAsia="zh-CN"/>
              </w:rPr>
              <w:t>第</w:t>
            </w:r>
            <w:r>
              <w:rPr>
                <w:rFonts w:hint="eastAsia" w:cs="仿宋"/>
                <w:color w:val="auto"/>
                <w:szCs w:val="21"/>
                <w:highlight w:val="none"/>
              </w:rPr>
              <w:t>①-⑥项内容。方案内容完整，对服务标准、操作规程、养护频率等展开了基本阐述，有详细的年度或季度工作计划和落实措施，具备可操作性。</w:t>
            </w:r>
          </w:p>
          <w:p>
            <w:pPr>
              <w:spacing w:line="400" w:lineRule="exact"/>
              <w:ind w:firstLine="569" w:firstLineChars="271"/>
              <w:jc w:val="left"/>
              <w:rPr>
                <w:rFonts w:cs="仿宋"/>
                <w:color w:val="auto"/>
                <w:szCs w:val="21"/>
                <w:highlight w:val="none"/>
              </w:rPr>
            </w:pPr>
            <w:r>
              <w:rPr>
                <w:rFonts w:hint="eastAsia" w:cs="仿宋"/>
                <w:color w:val="auto"/>
                <w:szCs w:val="21"/>
                <w:highlight w:val="none"/>
              </w:rPr>
              <w:t>三档（</w:t>
            </w:r>
            <w:r>
              <w:rPr>
                <w:rFonts w:hint="eastAsia" w:cs="仿宋"/>
                <w:color w:val="auto"/>
                <w:szCs w:val="21"/>
                <w:highlight w:val="none"/>
                <w:lang w:val="en-US" w:eastAsia="zh-CN"/>
              </w:rPr>
              <w:t>7</w:t>
            </w:r>
            <w:r>
              <w:rPr>
                <w:rFonts w:hint="eastAsia" w:cs="仿宋"/>
                <w:color w:val="auto"/>
                <w:szCs w:val="21"/>
                <w:highlight w:val="none"/>
              </w:rPr>
              <w:t>分）：投标人提供的绿化养护服务方案包含</w:t>
            </w:r>
            <w:r>
              <w:rPr>
                <w:rFonts w:hint="eastAsia" w:cs="仿宋"/>
                <w:color w:val="auto"/>
                <w:szCs w:val="21"/>
                <w:highlight w:val="none"/>
                <w:lang w:eastAsia="zh-CN"/>
              </w:rPr>
              <w:t>（</w:t>
            </w:r>
            <w:r>
              <w:rPr>
                <w:rFonts w:hint="eastAsia" w:cs="仿宋"/>
                <w:color w:val="auto"/>
                <w:szCs w:val="21"/>
                <w:highlight w:val="none"/>
                <w:lang w:val="en-US" w:eastAsia="zh-CN"/>
              </w:rPr>
              <w:t>1）</w:t>
            </w:r>
            <w:r>
              <w:rPr>
                <w:rFonts w:hint="eastAsia" w:cs="仿宋"/>
                <w:color w:val="auto"/>
                <w:szCs w:val="21"/>
                <w:highlight w:val="none"/>
              </w:rPr>
              <w:t>日常养护、</w:t>
            </w:r>
            <w:r>
              <w:rPr>
                <w:rFonts w:hint="eastAsia" w:cs="仿宋"/>
                <w:color w:val="auto"/>
                <w:szCs w:val="21"/>
                <w:highlight w:val="none"/>
                <w:lang w:eastAsia="zh-CN"/>
              </w:rPr>
              <w:t>（</w:t>
            </w:r>
            <w:r>
              <w:rPr>
                <w:rFonts w:hint="eastAsia" w:cs="仿宋"/>
                <w:color w:val="auto"/>
                <w:szCs w:val="21"/>
                <w:highlight w:val="none"/>
                <w:lang w:val="en-US" w:eastAsia="zh-CN"/>
              </w:rPr>
              <w:t>2）</w:t>
            </w:r>
            <w:r>
              <w:rPr>
                <w:rFonts w:hint="eastAsia" w:cs="仿宋"/>
                <w:color w:val="auto"/>
                <w:szCs w:val="21"/>
                <w:highlight w:val="none"/>
              </w:rPr>
              <w:t>整形修剪、</w:t>
            </w:r>
            <w:r>
              <w:rPr>
                <w:rFonts w:hint="eastAsia" w:cs="仿宋"/>
                <w:color w:val="auto"/>
                <w:szCs w:val="21"/>
                <w:highlight w:val="none"/>
                <w:lang w:eastAsia="zh-CN"/>
              </w:rPr>
              <w:t>（</w:t>
            </w:r>
            <w:r>
              <w:rPr>
                <w:rFonts w:hint="eastAsia" w:cs="仿宋"/>
                <w:color w:val="auto"/>
                <w:szCs w:val="21"/>
                <w:highlight w:val="none"/>
                <w:lang w:val="en-US" w:eastAsia="zh-CN"/>
              </w:rPr>
              <w:t>3）</w:t>
            </w:r>
            <w:r>
              <w:rPr>
                <w:rFonts w:hint="eastAsia" w:cs="仿宋"/>
                <w:color w:val="auto"/>
                <w:szCs w:val="21"/>
                <w:highlight w:val="none"/>
              </w:rPr>
              <w:t>病虫害防治、</w:t>
            </w:r>
            <w:r>
              <w:rPr>
                <w:rFonts w:hint="eastAsia" w:cs="仿宋"/>
                <w:color w:val="auto"/>
                <w:szCs w:val="21"/>
                <w:highlight w:val="none"/>
                <w:lang w:eastAsia="zh-CN"/>
              </w:rPr>
              <w:t>（</w:t>
            </w:r>
            <w:r>
              <w:rPr>
                <w:rFonts w:hint="eastAsia" w:cs="仿宋"/>
                <w:color w:val="auto"/>
                <w:szCs w:val="21"/>
                <w:highlight w:val="none"/>
                <w:lang w:val="en-US" w:eastAsia="zh-CN"/>
              </w:rPr>
              <w:t>4）</w:t>
            </w:r>
            <w:r>
              <w:rPr>
                <w:rFonts w:hint="eastAsia" w:cs="仿宋"/>
                <w:color w:val="auto"/>
                <w:szCs w:val="21"/>
                <w:highlight w:val="none"/>
              </w:rPr>
              <w:t>植被培育、补植更新、</w:t>
            </w:r>
            <w:r>
              <w:rPr>
                <w:rFonts w:hint="eastAsia" w:cs="仿宋"/>
                <w:color w:val="auto"/>
                <w:szCs w:val="21"/>
                <w:highlight w:val="none"/>
                <w:lang w:eastAsia="zh-CN"/>
              </w:rPr>
              <w:t>（</w:t>
            </w:r>
            <w:r>
              <w:rPr>
                <w:rFonts w:hint="eastAsia" w:cs="仿宋"/>
                <w:color w:val="auto"/>
                <w:szCs w:val="21"/>
                <w:highlight w:val="none"/>
                <w:lang w:val="en-US" w:eastAsia="zh-CN"/>
              </w:rPr>
              <w:t>5）</w:t>
            </w:r>
            <w:r>
              <w:rPr>
                <w:rFonts w:hint="eastAsia" w:cs="仿宋"/>
                <w:color w:val="auto"/>
                <w:szCs w:val="21"/>
                <w:highlight w:val="none"/>
              </w:rPr>
              <w:t>绿化垃圾处理等5个基本方面，且每个方面对应的方案内容包括上述所有</w:t>
            </w:r>
            <w:r>
              <w:rPr>
                <w:rFonts w:hint="eastAsia" w:cs="仿宋"/>
                <w:color w:val="auto"/>
                <w:szCs w:val="21"/>
                <w:highlight w:val="none"/>
                <w:lang w:val="en-US" w:eastAsia="zh-CN"/>
              </w:rPr>
              <w:t>7</w:t>
            </w:r>
            <w:r>
              <w:rPr>
                <w:rFonts w:hint="eastAsia" w:cs="仿宋"/>
                <w:color w:val="auto"/>
                <w:szCs w:val="21"/>
                <w:highlight w:val="none"/>
              </w:rPr>
              <w:t>项内容。服务方案内容细致详尽，能够根据校园的功能分区（如教学区、生活区</w:t>
            </w:r>
            <w:r>
              <w:rPr>
                <w:rFonts w:hint="eastAsia" w:cs="仿宋"/>
                <w:color w:val="auto"/>
                <w:szCs w:val="21"/>
                <w:highlight w:val="none"/>
                <w:lang w:val="en-US" w:eastAsia="zh-CN"/>
              </w:rPr>
              <w:t>等</w:t>
            </w:r>
            <w:r>
              <w:rPr>
                <w:rFonts w:hint="eastAsia" w:cs="仿宋"/>
                <w:color w:val="auto"/>
                <w:szCs w:val="21"/>
                <w:highlight w:val="none"/>
              </w:rPr>
              <w:t>）、师生作息及安全要求等特点，制定差异化的精细养护计划、落实措施及质量考核办法。方案需体现大型乔木保护、极端天气应急响应等专项方案。整体方案科学、系统，完全适用于本项目，并对校园绿化景观效果的提升有详细阐述。</w:t>
            </w:r>
          </w:p>
          <w:p>
            <w:pPr>
              <w:pStyle w:val="29"/>
              <w:keepNext w:val="0"/>
              <w:keepLines w:val="0"/>
              <w:pageBreakBefore w:val="0"/>
              <w:kinsoku/>
              <w:wordWrap/>
              <w:overflowPunct/>
              <w:topLinePunct w:val="0"/>
              <w:autoSpaceDE/>
              <w:autoSpaceDN/>
              <w:bidi w:val="0"/>
              <w:spacing w:line="360" w:lineRule="exact"/>
              <w:ind w:firstLine="0" w:firstLineChars="0"/>
              <w:rPr>
                <w:color w:val="auto"/>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2.4</w:t>
            </w:r>
          </w:p>
        </w:tc>
        <w:tc>
          <w:tcPr>
            <w:tcW w:w="1388" w:type="dxa"/>
            <w:tcMar>
              <w:left w:w="57" w:type="dxa"/>
              <w:right w:w="57" w:type="dxa"/>
            </w:tcMar>
            <w:vAlign w:val="center"/>
          </w:tcPr>
          <w:p>
            <w:pPr>
              <w:widowControl/>
              <w:spacing w:line="400" w:lineRule="exact"/>
              <w:rPr>
                <w:rFonts w:cs="仿宋"/>
                <w:b/>
                <w:color w:val="auto"/>
                <w:kern w:val="0"/>
                <w:szCs w:val="21"/>
                <w:highlight w:val="none"/>
              </w:rPr>
            </w:pPr>
            <w:r>
              <w:rPr>
                <w:rFonts w:hint="eastAsia" w:cs="仿宋"/>
                <w:b/>
                <w:color w:val="auto"/>
                <w:kern w:val="0"/>
                <w:szCs w:val="21"/>
                <w:highlight w:val="none"/>
                <w:lang w:eastAsia="zh-CN"/>
              </w:rPr>
              <w:t>（</w:t>
            </w:r>
            <w:r>
              <w:rPr>
                <w:rFonts w:hint="eastAsia" w:cs="仿宋"/>
                <w:b/>
                <w:color w:val="auto"/>
                <w:kern w:val="0"/>
                <w:szCs w:val="21"/>
                <w:highlight w:val="none"/>
                <w:lang w:val="en-US" w:eastAsia="zh-CN"/>
              </w:rPr>
              <w:t>4）安全保卫</w:t>
            </w:r>
            <w:r>
              <w:rPr>
                <w:rFonts w:hint="eastAsia" w:cs="仿宋"/>
                <w:b/>
                <w:color w:val="auto"/>
                <w:kern w:val="0"/>
                <w:szCs w:val="21"/>
                <w:highlight w:val="none"/>
              </w:rPr>
              <w:t>服务方案分（满分</w:t>
            </w:r>
            <w:r>
              <w:rPr>
                <w:rFonts w:hint="eastAsia" w:cs="仿宋"/>
                <w:b/>
                <w:color w:val="auto"/>
                <w:kern w:val="0"/>
                <w:szCs w:val="21"/>
                <w:highlight w:val="none"/>
                <w:lang w:val="en-US" w:eastAsia="zh-CN"/>
              </w:rPr>
              <w:t>7</w:t>
            </w:r>
            <w:r>
              <w:rPr>
                <w:rFonts w:hint="eastAsia" w:cs="仿宋"/>
                <w:b/>
                <w:color w:val="auto"/>
                <w:kern w:val="0"/>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462" w:firstLineChars="220"/>
              <w:jc w:val="left"/>
              <w:rPr>
                <w:rFonts w:cs="仿宋"/>
                <w:color w:val="auto"/>
                <w:szCs w:val="21"/>
                <w:highlight w:val="none"/>
              </w:rPr>
            </w:pPr>
            <w:r>
              <w:rPr>
                <w:rFonts w:hint="eastAsia" w:cs="仿宋"/>
                <w:color w:val="auto"/>
                <w:szCs w:val="21"/>
                <w:highlight w:val="none"/>
              </w:rPr>
              <w:t>方案主要包括①服务要求及标准、②公共秩序维护、③安全防范措施、④巡检计划、⑤交通车辆管理、⑥消防安全、⑦安保应急。</w:t>
            </w:r>
          </w:p>
          <w:p>
            <w:pPr>
              <w:spacing w:line="400" w:lineRule="exact"/>
              <w:ind w:firstLine="462" w:firstLineChars="220"/>
              <w:jc w:val="left"/>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分）：安保秩序管理服务方案包括上述</w:t>
            </w:r>
            <w:r>
              <w:rPr>
                <w:rFonts w:hint="eastAsia" w:cs="仿宋"/>
                <w:color w:val="auto"/>
                <w:szCs w:val="21"/>
                <w:highlight w:val="none"/>
                <w:lang w:val="en-US" w:eastAsia="zh-CN"/>
              </w:rPr>
              <w:t>第</w:t>
            </w:r>
            <w:r>
              <w:rPr>
                <w:rFonts w:hint="eastAsia" w:cs="仿宋"/>
                <w:color w:val="auto"/>
                <w:szCs w:val="21"/>
                <w:highlight w:val="none"/>
              </w:rPr>
              <w:t>①-④项内容，满足本项目采购需求，但仅有纲要、内容简略，未展开阐述；</w:t>
            </w:r>
          </w:p>
          <w:p>
            <w:pPr>
              <w:spacing w:line="400" w:lineRule="exact"/>
              <w:ind w:firstLine="462" w:firstLineChars="220"/>
              <w:jc w:val="left"/>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分）：方案包括上述</w:t>
            </w:r>
            <w:r>
              <w:rPr>
                <w:rFonts w:hint="eastAsia" w:cs="仿宋"/>
                <w:color w:val="auto"/>
                <w:szCs w:val="21"/>
                <w:highlight w:val="none"/>
                <w:lang w:val="en-US" w:eastAsia="zh-CN"/>
              </w:rPr>
              <w:t>第</w:t>
            </w:r>
            <w:r>
              <w:rPr>
                <w:rFonts w:hint="eastAsia" w:cs="仿宋"/>
                <w:color w:val="auto"/>
                <w:szCs w:val="21"/>
                <w:highlight w:val="none"/>
              </w:rPr>
              <w:t>①-⑥项内容，内容合理，对服务内容展开了阐述，有详细的服务工作计划、落实措施；</w:t>
            </w:r>
          </w:p>
          <w:p>
            <w:pPr>
              <w:spacing w:line="400" w:lineRule="exact"/>
              <w:ind w:firstLine="462" w:firstLineChars="220"/>
              <w:jc w:val="left"/>
              <w:rPr>
                <w:rFonts w:cs="仿宋"/>
                <w:color w:val="auto"/>
                <w:highlight w:val="none"/>
              </w:rPr>
            </w:pPr>
            <w:r>
              <w:rPr>
                <w:rFonts w:hint="eastAsia" w:cs="仿宋"/>
                <w:color w:val="auto"/>
                <w:szCs w:val="21"/>
                <w:highlight w:val="none"/>
              </w:rPr>
              <w:t>三档（</w:t>
            </w:r>
            <w:r>
              <w:rPr>
                <w:rFonts w:hint="eastAsia" w:cs="仿宋"/>
                <w:color w:val="auto"/>
                <w:szCs w:val="21"/>
                <w:highlight w:val="none"/>
                <w:lang w:val="en-US" w:eastAsia="zh-CN"/>
              </w:rPr>
              <w:t>7</w:t>
            </w:r>
            <w:r>
              <w:rPr>
                <w:rFonts w:hint="eastAsia" w:cs="仿宋"/>
                <w:color w:val="auto"/>
                <w:szCs w:val="21"/>
                <w:highlight w:val="none"/>
              </w:rPr>
              <w:t>分）：方案包括上述全部</w:t>
            </w:r>
            <w:r>
              <w:rPr>
                <w:rFonts w:hint="eastAsia" w:cs="仿宋"/>
                <w:color w:val="auto"/>
                <w:szCs w:val="21"/>
                <w:highlight w:val="none"/>
                <w:lang w:val="en-US" w:eastAsia="zh-CN"/>
              </w:rPr>
              <w:t>7项</w:t>
            </w:r>
            <w:r>
              <w:rPr>
                <w:rFonts w:hint="eastAsia" w:cs="仿宋"/>
                <w:color w:val="auto"/>
                <w:szCs w:val="21"/>
                <w:highlight w:val="none"/>
              </w:rPr>
              <w:t>内容，服务方案内容细致详尽，能够根据采购单位的特点制定服务计划、落实措施及服务质量考核办法，整体管理方案完全适用本项目，且对于本项目的安保秩序管理服务要点能够展开详细的阐述。</w:t>
            </w:r>
          </w:p>
          <w:p>
            <w:pPr>
              <w:pStyle w:val="24"/>
              <w:ind w:firstLine="420"/>
              <w:rPr>
                <w:rFonts w:hint="eastAsia" w:cs="仿宋"/>
                <w:color w:val="auto"/>
                <w:szCs w:val="21"/>
                <w:highlight w:val="none"/>
              </w:rPr>
            </w:pPr>
          </w:p>
          <w:p>
            <w:pPr>
              <w:pStyle w:val="29"/>
              <w:keepNext w:val="0"/>
              <w:keepLines w:val="0"/>
              <w:pageBreakBefore w:val="0"/>
              <w:kinsoku/>
              <w:wordWrap/>
              <w:overflowPunct/>
              <w:topLinePunct w:val="0"/>
              <w:autoSpaceDE/>
              <w:autoSpaceDN/>
              <w:bidi w:val="0"/>
              <w:spacing w:line="360" w:lineRule="exact"/>
              <w:ind w:firstLine="0" w:firstLineChars="0"/>
              <w:rPr>
                <w:color w:val="auto"/>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2.5</w:t>
            </w:r>
          </w:p>
        </w:tc>
        <w:tc>
          <w:tcPr>
            <w:tcW w:w="1388" w:type="dxa"/>
            <w:tcMar>
              <w:left w:w="57" w:type="dxa"/>
              <w:right w:w="57" w:type="dxa"/>
            </w:tcMar>
            <w:vAlign w:val="center"/>
          </w:tcPr>
          <w:p>
            <w:pPr>
              <w:widowControl/>
              <w:spacing w:line="400" w:lineRule="exact"/>
              <w:rPr>
                <w:rFonts w:cs="仿宋"/>
                <w:b/>
                <w:bCs/>
                <w:color w:val="auto"/>
                <w:kern w:val="0"/>
                <w:szCs w:val="21"/>
                <w:highlight w:val="none"/>
              </w:rPr>
            </w:pPr>
            <w:r>
              <w:rPr>
                <w:rFonts w:hint="eastAsia" w:cs="仿宋"/>
                <w:b/>
                <w:bCs/>
                <w:color w:val="auto"/>
                <w:kern w:val="0"/>
                <w:szCs w:val="21"/>
                <w:highlight w:val="none"/>
                <w:lang w:eastAsia="zh-CN"/>
              </w:rPr>
              <w:t>（</w:t>
            </w:r>
            <w:r>
              <w:rPr>
                <w:rFonts w:hint="eastAsia" w:cs="仿宋"/>
                <w:b/>
                <w:bCs/>
                <w:color w:val="auto"/>
                <w:kern w:val="0"/>
                <w:szCs w:val="21"/>
                <w:highlight w:val="none"/>
                <w:lang w:val="en-US" w:eastAsia="zh-CN"/>
              </w:rPr>
              <w:t>5）</w:t>
            </w:r>
            <w:r>
              <w:rPr>
                <w:rFonts w:hint="eastAsia" w:cs="仿宋"/>
                <w:b/>
                <w:bCs/>
                <w:color w:val="auto"/>
                <w:kern w:val="0"/>
                <w:szCs w:val="21"/>
                <w:highlight w:val="none"/>
              </w:rPr>
              <w:t>专项服务方案分（满分</w:t>
            </w:r>
            <w:r>
              <w:rPr>
                <w:rFonts w:hint="eastAsia" w:cs="仿宋"/>
                <w:b/>
                <w:bCs/>
                <w:color w:val="auto"/>
                <w:kern w:val="0"/>
                <w:szCs w:val="21"/>
                <w:highlight w:val="none"/>
                <w:lang w:val="en-US" w:eastAsia="zh-CN"/>
              </w:rPr>
              <w:t xml:space="preserve">  8</w:t>
            </w:r>
            <w:r>
              <w:rPr>
                <w:rFonts w:hint="eastAsia" w:cs="仿宋"/>
                <w:b/>
                <w:bCs/>
                <w:color w:val="auto"/>
                <w:kern w:val="0"/>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359" w:firstLineChars="171"/>
              <w:jc w:val="left"/>
              <w:rPr>
                <w:rFonts w:hint="eastAsia" w:cs="仿宋" w:eastAsiaTheme="minorEastAsia"/>
                <w:color w:val="auto"/>
                <w:szCs w:val="21"/>
                <w:highlight w:val="none"/>
                <w:lang w:eastAsia="zh-CN"/>
              </w:rPr>
            </w:pPr>
            <w:r>
              <w:rPr>
                <w:rFonts w:hint="eastAsia" w:cs="仿宋"/>
                <w:color w:val="auto"/>
                <w:szCs w:val="21"/>
                <w:highlight w:val="none"/>
              </w:rPr>
              <w:t>方案需针对校园专项服务的特点，全面覆盖以下内容：①学生</w:t>
            </w:r>
            <w:r>
              <w:rPr>
                <w:rFonts w:hint="eastAsia" w:cs="仿宋"/>
                <w:color w:val="auto"/>
                <w:szCs w:val="21"/>
                <w:highlight w:val="none"/>
                <w:lang w:val="en-US" w:eastAsia="zh-CN"/>
              </w:rPr>
              <w:t>宿舍</w:t>
            </w:r>
            <w:r>
              <w:rPr>
                <w:rFonts w:hint="eastAsia" w:cs="仿宋"/>
                <w:color w:val="auto"/>
                <w:szCs w:val="21"/>
                <w:highlight w:val="none"/>
              </w:rPr>
              <w:t>管理</w:t>
            </w:r>
            <w:r>
              <w:rPr>
                <w:rFonts w:hint="eastAsia" w:cs="仿宋"/>
                <w:color w:val="auto"/>
                <w:szCs w:val="21"/>
                <w:highlight w:val="none"/>
                <w:lang w:val="en-US" w:eastAsia="zh-CN"/>
              </w:rPr>
              <w:t>服务</w:t>
            </w:r>
            <w:r>
              <w:rPr>
                <w:rFonts w:hint="eastAsia" w:cs="仿宋"/>
                <w:color w:val="auto"/>
                <w:szCs w:val="21"/>
                <w:highlight w:val="none"/>
              </w:rPr>
              <w:t>、②</w:t>
            </w:r>
            <w:r>
              <w:rPr>
                <w:rFonts w:hint="eastAsia" w:cs="仿宋"/>
                <w:color w:val="auto"/>
                <w:szCs w:val="21"/>
                <w:highlight w:val="none"/>
                <w:lang w:val="en-US" w:eastAsia="zh-CN"/>
              </w:rPr>
              <w:t>会务工作服务</w:t>
            </w:r>
            <w:r>
              <w:rPr>
                <w:rFonts w:hint="eastAsia" w:cs="仿宋"/>
                <w:color w:val="auto"/>
                <w:szCs w:val="21"/>
                <w:highlight w:val="none"/>
              </w:rPr>
              <w:t>、③</w:t>
            </w:r>
            <w:r>
              <w:rPr>
                <w:rFonts w:hint="eastAsia" w:cs="仿宋"/>
                <w:color w:val="auto"/>
                <w:szCs w:val="21"/>
                <w:highlight w:val="none"/>
                <w:lang w:val="en-US" w:eastAsia="zh-CN"/>
              </w:rPr>
              <w:t>教室管理服务</w:t>
            </w:r>
            <w:r>
              <w:rPr>
                <w:rFonts w:hint="eastAsia" w:cs="仿宋"/>
                <w:color w:val="auto"/>
                <w:szCs w:val="21"/>
                <w:highlight w:val="none"/>
              </w:rPr>
              <w:t>、④</w:t>
            </w:r>
            <w:r>
              <w:rPr>
                <w:rFonts w:hint="eastAsia" w:cs="仿宋"/>
                <w:color w:val="auto"/>
                <w:szCs w:val="21"/>
                <w:highlight w:val="none"/>
                <w:lang w:eastAsia="zh-CN"/>
              </w:rPr>
              <w:t>“</w:t>
            </w:r>
            <w:r>
              <w:rPr>
                <w:rFonts w:hint="eastAsia" w:cs="仿宋"/>
                <w:color w:val="auto"/>
                <w:szCs w:val="21"/>
                <w:highlight w:val="none"/>
                <w:lang w:val="en-US" w:eastAsia="zh-CN"/>
              </w:rPr>
              <w:t>四害</w:t>
            </w:r>
            <w:r>
              <w:rPr>
                <w:rFonts w:hint="eastAsia" w:cs="仿宋"/>
                <w:color w:val="auto"/>
                <w:szCs w:val="21"/>
                <w:highlight w:val="none"/>
                <w:lang w:eastAsia="zh-CN"/>
              </w:rPr>
              <w:t>”</w:t>
            </w:r>
            <w:r>
              <w:rPr>
                <w:rFonts w:hint="eastAsia" w:cs="仿宋"/>
                <w:color w:val="auto"/>
                <w:szCs w:val="21"/>
                <w:highlight w:val="none"/>
                <w:lang w:val="en-US" w:eastAsia="zh-CN"/>
              </w:rPr>
              <w:t>防治等服务</w:t>
            </w:r>
            <w:r>
              <w:rPr>
                <w:rFonts w:hint="eastAsia" w:cs="仿宋"/>
                <w:color w:val="auto"/>
                <w:szCs w:val="21"/>
                <w:highlight w:val="none"/>
              </w:rPr>
              <w:t>⑤</w:t>
            </w:r>
            <w:r>
              <w:rPr>
                <w:rFonts w:hint="eastAsia" w:cs="仿宋"/>
                <w:color w:val="auto"/>
                <w:szCs w:val="21"/>
                <w:highlight w:val="none"/>
                <w:lang w:eastAsia="zh-CN"/>
              </w:rPr>
              <w:t>“</w:t>
            </w:r>
            <w:r>
              <w:rPr>
                <w:rFonts w:hint="eastAsia" w:cs="仿宋"/>
                <w:color w:val="auto"/>
                <w:szCs w:val="21"/>
                <w:highlight w:val="none"/>
                <w:lang w:val="en-US" w:eastAsia="zh-CN"/>
              </w:rPr>
              <w:t>门前三包</w:t>
            </w:r>
            <w:r>
              <w:rPr>
                <w:rFonts w:hint="eastAsia" w:cs="仿宋"/>
                <w:color w:val="auto"/>
                <w:szCs w:val="21"/>
                <w:highlight w:val="none"/>
                <w:lang w:eastAsia="zh-CN"/>
              </w:rPr>
              <w:t>”</w:t>
            </w:r>
            <w:r>
              <w:rPr>
                <w:rFonts w:hint="eastAsia" w:cs="仿宋"/>
                <w:color w:val="auto"/>
                <w:szCs w:val="21"/>
                <w:highlight w:val="none"/>
                <w:lang w:val="en-US" w:eastAsia="zh-CN"/>
              </w:rPr>
              <w:t>服务</w:t>
            </w:r>
            <w:r>
              <w:rPr>
                <w:rFonts w:hint="eastAsia" w:cs="仿宋"/>
                <w:color w:val="auto"/>
                <w:szCs w:val="21"/>
                <w:highlight w:val="none"/>
              </w:rPr>
              <w:t>、⑥</w:t>
            </w:r>
            <w:r>
              <w:rPr>
                <w:rFonts w:hint="eastAsia" w:cs="仿宋"/>
                <w:color w:val="auto"/>
                <w:szCs w:val="21"/>
                <w:highlight w:val="none"/>
                <w:lang w:val="en-US" w:eastAsia="zh-CN"/>
              </w:rPr>
              <w:t>综合治理服务</w:t>
            </w:r>
            <w:r>
              <w:rPr>
                <w:rFonts w:hint="eastAsia" w:cs="仿宋"/>
                <w:color w:val="auto"/>
                <w:szCs w:val="21"/>
                <w:highlight w:val="none"/>
              </w:rPr>
              <w:t>、⑦</w:t>
            </w:r>
            <w:r>
              <w:rPr>
                <w:rFonts w:hint="eastAsia" w:cs="仿宋"/>
                <w:color w:val="auto"/>
                <w:szCs w:val="21"/>
                <w:highlight w:val="none"/>
                <w:lang w:val="en-US" w:eastAsia="zh-CN"/>
              </w:rPr>
              <w:t>大件办公家具搬运服务</w:t>
            </w:r>
            <w:r>
              <w:rPr>
                <w:rFonts w:hint="eastAsia" w:cs="仿宋"/>
                <w:color w:val="auto"/>
                <w:szCs w:val="21"/>
                <w:highlight w:val="none"/>
              </w:rPr>
              <w:t>、⑧</w:t>
            </w:r>
            <w:r>
              <w:rPr>
                <w:rFonts w:hint="eastAsia" w:cs="仿宋"/>
                <w:color w:val="auto"/>
                <w:szCs w:val="21"/>
                <w:highlight w:val="none"/>
                <w:lang w:val="en-US" w:eastAsia="zh-CN"/>
              </w:rPr>
              <w:t>重要活动后勤保障</w:t>
            </w:r>
            <w:r>
              <w:rPr>
                <w:rFonts w:hint="eastAsia" w:cs="仿宋"/>
                <w:color w:val="auto"/>
                <w:szCs w:val="21"/>
                <w:highlight w:val="none"/>
              </w:rPr>
              <w:t>、⑨</w:t>
            </w:r>
            <w:r>
              <w:rPr>
                <w:rFonts w:hint="eastAsia" w:cs="仿宋"/>
                <w:color w:val="auto"/>
                <w:szCs w:val="21"/>
                <w:highlight w:val="none"/>
                <w:lang w:val="en-US" w:eastAsia="zh-CN"/>
              </w:rPr>
              <w:t>临时紧急工作保障</w:t>
            </w:r>
            <w:r>
              <w:rPr>
                <w:rFonts w:hint="eastAsia" w:cs="仿宋"/>
                <w:color w:val="auto"/>
                <w:szCs w:val="21"/>
                <w:highlight w:val="none"/>
              </w:rPr>
              <w:t>、⑩寒暑假物业服务</w:t>
            </w:r>
            <w:r>
              <w:rPr>
                <w:rFonts w:hint="eastAsia" w:cs="仿宋"/>
                <w:color w:val="auto"/>
                <w:szCs w:val="21"/>
                <w:highlight w:val="none"/>
                <w:lang w:eastAsia="zh-CN"/>
              </w:rPr>
              <w:t>。</w:t>
            </w:r>
          </w:p>
          <w:p>
            <w:pPr>
              <w:spacing w:line="400" w:lineRule="exact"/>
              <w:ind w:firstLine="359" w:firstLineChars="171"/>
              <w:jc w:val="left"/>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分）：投标人提供的专项服务方案包含上述</w:t>
            </w:r>
            <w:r>
              <w:rPr>
                <w:rFonts w:hint="eastAsia" w:cs="仿宋"/>
                <w:color w:val="auto"/>
                <w:szCs w:val="21"/>
                <w:highlight w:val="none"/>
                <w:lang w:val="en-US" w:eastAsia="zh-CN"/>
              </w:rPr>
              <w:t>10</w:t>
            </w:r>
            <w:r>
              <w:rPr>
                <w:rFonts w:hint="eastAsia" w:cs="仿宋"/>
                <w:color w:val="auto"/>
                <w:szCs w:val="21"/>
                <w:highlight w:val="none"/>
              </w:rPr>
              <w:t>项内容中的</w:t>
            </w:r>
            <w:r>
              <w:rPr>
                <w:rFonts w:hint="eastAsia" w:cs="仿宋"/>
                <w:color w:val="auto"/>
                <w:szCs w:val="21"/>
                <w:highlight w:val="none"/>
                <w:lang w:val="en-US" w:eastAsia="zh-CN"/>
              </w:rPr>
              <w:t>第</w:t>
            </w:r>
            <w:r>
              <w:rPr>
                <w:rFonts w:hint="eastAsia" w:cs="仿宋"/>
                <w:color w:val="auto"/>
                <w:szCs w:val="21"/>
                <w:highlight w:val="none"/>
              </w:rPr>
              <w:t>①-④项，方案仅为纲要性描述，内容简略，未结合各项服务的具体场景和特殊要求进行阐述，缺乏针对性和可操作性。</w:t>
            </w:r>
          </w:p>
          <w:p>
            <w:pPr>
              <w:spacing w:line="400" w:lineRule="exact"/>
              <w:ind w:firstLine="359" w:firstLineChars="171"/>
              <w:jc w:val="left"/>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分）：投标人提供的专项服务方案包含上述</w:t>
            </w:r>
            <w:r>
              <w:rPr>
                <w:rFonts w:hint="eastAsia" w:cs="仿宋"/>
                <w:color w:val="auto"/>
                <w:szCs w:val="21"/>
                <w:highlight w:val="none"/>
                <w:lang w:val="en-US" w:eastAsia="zh-CN"/>
              </w:rPr>
              <w:t>10</w:t>
            </w:r>
            <w:r>
              <w:rPr>
                <w:rFonts w:hint="eastAsia" w:cs="仿宋"/>
                <w:color w:val="auto"/>
                <w:szCs w:val="21"/>
                <w:highlight w:val="none"/>
              </w:rPr>
              <w:t>项内容中的</w:t>
            </w:r>
            <w:r>
              <w:rPr>
                <w:rFonts w:hint="eastAsia" w:cs="仿宋"/>
                <w:color w:val="auto"/>
                <w:szCs w:val="21"/>
                <w:highlight w:val="none"/>
                <w:lang w:val="en-US" w:eastAsia="zh-CN"/>
              </w:rPr>
              <w:t>第</w:t>
            </w:r>
            <w:r>
              <w:rPr>
                <w:rFonts w:hint="eastAsia" w:cs="仿宋"/>
                <w:color w:val="auto"/>
                <w:szCs w:val="21"/>
                <w:highlight w:val="none"/>
              </w:rPr>
              <w:t>①-⑧项，方案内容较为系统、完整。能对涉及专项服务的运行模式、管理要求、基本操作规程等展开合理阐述，并制定了相应的工作计划和落实措施，方案基本具备可操作性，能满足各专项服务的常规管理需求。</w:t>
            </w:r>
          </w:p>
          <w:p>
            <w:pPr>
              <w:spacing w:line="400" w:lineRule="exact"/>
              <w:ind w:firstLine="359" w:firstLineChars="171"/>
              <w:jc w:val="left"/>
              <w:rPr>
                <w:rFonts w:hint="eastAsia" w:cs="仿宋"/>
                <w:color w:val="auto"/>
                <w:szCs w:val="21"/>
                <w:highlight w:val="none"/>
              </w:rPr>
            </w:pPr>
            <w:r>
              <w:rPr>
                <w:rFonts w:hint="eastAsia" w:cs="仿宋"/>
                <w:color w:val="auto"/>
                <w:szCs w:val="21"/>
                <w:highlight w:val="none"/>
              </w:rPr>
              <w:t>三档（</w:t>
            </w:r>
            <w:r>
              <w:rPr>
                <w:rFonts w:hint="eastAsia" w:cs="仿宋"/>
                <w:color w:val="auto"/>
                <w:szCs w:val="21"/>
                <w:highlight w:val="none"/>
                <w:lang w:val="en-US" w:eastAsia="zh-CN"/>
              </w:rPr>
              <w:t>8</w:t>
            </w:r>
            <w:r>
              <w:rPr>
                <w:rFonts w:hint="eastAsia" w:cs="仿宋"/>
                <w:color w:val="auto"/>
                <w:szCs w:val="21"/>
                <w:highlight w:val="none"/>
              </w:rPr>
              <w:t>分）：投标人提供的专项服务方案全面覆盖上述全部</w:t>
            </w:r>
            <w:r>
              <w:rPr>
                <w:rFonts w:hint="eastAsia" w:cs="仿宋"/>
                <w:color w:val="auto"/>
                <w:szCs w:val="21"/>
                <w:highlight w:val="none"/>
                <w:lang w:val="en-US" w:eastAsia="zh-CN"/>
              </w:rPr>
              <w:t>10</w:t>
            </w:r>
            <w:r>
              <w:rPr>
                <w:rFonts w:hint="eastAsia" w:cs="仿宋"/>
                <w:color w:val="auto"/>
                <w:szCs w:val="21"/>
                <w:highlight w:val="none"/>
              </w:rPr>
              <w:t>项内容。方案内容细致、专业、详尽，能够深刻理解并紧密结合每项服务的独特属性（如学生公寓的住宿安全与文化育人、</w:t>
            </w:r>
            <w:r>
              <w:rPr>
                <w:rFonts w:hint="eastAsia" w:cs="仿宋"/>
                <w:color w:val="auto"/>
                <w:szCs w:val="21"/>
                <w:highlight w:val="none"/>
                <w:lang w:eastAsia="zh-CN"/>
              </w:rPr>
              <w:t>“</w:t>
            </w:r>
            <w:r>
              <w:rPr>
                <w:rFonts w:hint="eastAsia" w:cs="仿宋"/>
                <w:color w:val="auto"/>
                <w:szCs w:val="21"/>
                <w:highlight w:val="none"/>
                <w:lang w:val="en-US" w:eastAsia="zh-CN"/>
              </w:rPr>
              <w:t>四害”防治实施方案等</w:t>
            </w:r>
            <w:r>
              <w:rPr>
                <w:rFonts w:hint="eastAsia" w:cs="仿宋"/>
                <w:color w:val="auto"/>
                <w:szCs w:val="21"/>
                <w:highlight w:val="none"/>
              </w:rPr>
              <w:t>），提升物业管理服务质量，制定极具针对性、创新性的管理服务计划、运营模式及质量考核办法。</w:t>
            </w:r>
          </w:p>
          <w:p>
            <w:pPr>
              <w:pStyle w:val="24"/>
              <w:rPr>
                <w:color w:val="auto"/>
                <w:highlight w:val="none"/>
              </w:rPr>
            </w:pPr>
          </w:p>
          <w:p>
            <w:pPr>
              <w:pStyle w:val="18"/>
              <w:keepNext w:val="0"/>
              <w:keepLines w:val="0"/>
              <w:pageBreakBefore w:val="0"/>
              <w:kinsoku/>
              <w:wordWrap/>
              <w:overflowPunct/>
              <w:topLinePunct w:val="0"/>
              <w:autoSpaceDE/>
              <w:autoSpaceDN/>
              <w:bidi w:val="0"/>
              <w:spacing w:line="360" w:lineRule="exact"/>
              <w:ind w:left="0" w:leftChars="0"/>
              <w:rPr>
                <w:color w:val="auto"/>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2.6</w:t>
            </w:r>
          </w:p>
        </w:tc>
        <w:tc>
          <w:tcPr>
            <w:tcW w:w="1388" w:type="dxa"/>
            <w:tcMar>
              <w:left w:w="57" w:type="dxa"/>
              <w:right w:w="57" w:type="dxa"/>
            </w:tcMar>
            <w:vAlign w:val="center"/>
          </w:tcPr>
          <w:p>
            <w:pPr>
              <w:pStyle w:val="24"/>
              <w:spacing w:line="400" w:lineRule="exact"/>
              <w:rPr>
                <w:rFonts w:cs="仿宋"/>
                <w:b/>
                <w:bCs/>
                <w:color w:val="auto"/>
                <w:szCs w:val="21"/>
                <w:highlight w:val="none"/>
              </w:rPr>
            </w:pPr>
            <w:r>
              <w:rPr>
                <w:rFonts w:hint="eastAsia" w:cs="仿宋"/>
                <w:b/>
                <w:bCs/>
                <w:color w:val="auto"/>
                <w:szCs w:val="21"/>
                <w:highlight w:val="none"/>
                <w:lang w:eastAsia="zh-CN"/>
              </w:rPr>
              <w:t>（</w:t>
            </w:r>
            <w:r>
              <w:rPr>
                <w:rFonts w:hint="eastAsia" w:cs="仿宋"/>
                <w:b/>
                <w:bCs/>
                <w:color w:val="auto"/>
                <w:szCs w:val="21"/>
                <w:highlight w:val="none"/>
                <w:lang w:val="en-US" w:eastAsia="zh-CN"/>
              </w:rPr>
              <w:t>6）</w:t>
            </w:r>
            <w:r>
              <w:rPr>
                <w:rFonts w:hint="eastAsia" w:cs="仿宋"/>
                <w:b/>
                <w:bCs/>
                <w:color w:val="auto"/>
                <w:szCs w:val="21"/>
                <w:highlight w:val="none"/>
              </w:rPr>
              <w:t>各类突发事件的应急方案分（满分</w:t>
            </w:r>
            <w:r>
              <w:rPr>
                <w:rFonts w:hint="eastAsia" w:cs="仿宋"/>
                <w:b/>
                <w:bCs/>
                <w:color w:val="auto"/>
                <w:szCs w:val="21"/>
                <w:highlight w:val="none"/>
                <w:lang w:val="en-US" w:eastAsia="zh-CN"/>
              </w:rPr>
              <w:t>7</w:t>
            </w:r>
            <w:r>
              <w:rPr>
                <w:rFonts w:hint="eastAsia" w:cs="仿宋"/>
                <w:b/>
                <w:bCs/>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pStyle w:val="24"/>
              <w:spacing w:line="400" w:lineRule="exact"/>
              <w:ind w:firstLine="420"/>
              <w:rPr>
                <w:rFonts w:cs="仿宋"/>
                <w:color w:val="auto"/>
                <w:szCs w:val="21"/>
                <w:highlight w:val="none"/>
              </w:rPr>
            </w:pPr>
            <w:r>
              <w:rPr>
                <w:rFonts w:hint="eastAsia" w:cs="仿宋"/>
                <w:color w:val="auto"/>
                <w:szCs w:val="21"/>
                <w:highlight w:val="none"/>
              </w:rPr>
              <w:t>方案包括但不限于：①应急组织机构与职责、②预警与信息报告机制、③应急响应启动流程、④各类突发事件（如安全事件、自然灾害、设施故障、公共卫生事件等）专项处置预案、⑤重大活动及节假日保障方案、⑥应急人员调配与管理、⑦应急物资与设备保障、⑧后期评估与恢复等内容。</w:t>
            </w:r>
          </w:p>
          <w:p>
            <w:pPr>
              <w:pStyle w:val="24"/>
              <w:spacing w:line="400" w:lineRule="exact"/>
              <w:ind w:firstLine="420"/>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分）：投标人提供的应急方案内容简略，仅包含上述8项内容中的</w:t>
            </w:r>
            <w:r>
              <w:rPr>
                <w:rFonts w:hint="eastAsia" w:cs="仿宋"/>
                <w:color w:val="auto"/>
                <w:szCs w:val="21"/>
                <w:highlight w:val="none"/>
                <w:lang w:val="en-US" w:eastAsia="zh-CN"/>
              </w:rPr>
              <w:t>第</w:t>
            </w:r>
            <w:r>
              <w:rPr>
                <w:rFonts w:hint="eastAsia" w:cs="仿宋"/>
                <w:color w:val="auto"/>
                <w:szCs w:val="21"/>
                <w:highlight w:val="none"/>
              </w:rPr>
              <w:t>①-③项。方案仅为基本框架，对组织机构、处置流程等的描述不具体，未结合校园人员密集、保障要求高的特点进行阐述，缺乏可操作性。</w:t>
            </w:r>
          </w:p>
          <w:p>
            <w:pPr>
              <w:pStyle w:val="24"/>
              <w:spacing w:line="400" w:lineRule="exact"/>
              <w:ind w:firstLine="420"/>
              <w:rPr>
                <w:rFonts w:hint="eastAsia"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分）：投标人提供的应急方案内容较为系统，包含上述8项内容中的</w:t>
            </w:r>
            <w:r>
              <w:rPr>
                <w:rFonts w:hint="eastAsia" w:cs="仿宋"/>
                <w:color w:val="auto"/>
                <w:szCs w:val="21"/>
                <w:highlight w:val="none"/>
                <w:lang w:val="en-US" w:eastAsia="zh-CN"/>
              </w:rPr>
              <w:t>第</w:t>
            </w:r>
            <w:r>
              <w:rPr>
                <w:rFonts w:hint="eastAsia" w:cs="仿宋"/>
                <w:color w:val="auto"/>
                <w:szCs w:val="21"/>
                <w:highlight w:val="none"/>
              </w:rPr>
              <w:t>①-⑥项。方案对应急流程、人员职责、响应机制等有基本阐述，制定了具备可行性的处置预案和保障措施，人员与设备安排能基本满足校园应对突发事件及重大活动保障的需求。</w:t>
            </w:r>
          </w:p>
          <w:p>
            <w:pPr>
              <w:pStyle w:val="24"/>
              <w:spacing w:line="400" w:lineRule="exact"/>
              <w:ind w:firstLine="420"/>
              <w:rPr>
                <w:rFonts w:hint="eastAsia" w:cs="仿宋"/>
                <w:color w:val="auto"/>
                <w:szCs w:val="21"/>
                <w:highlight w:val="none"/>
              </w:rPr>
            </w:pPr>
            <w:r>
              <w:rPr>
                <w:rFonts w:hint="eastAsia" w:cs="仿宋"/>
                <w:color w:val="auto"/>
                <w:szCs w:val="21"/>
                <w:highlight w:val="none"/>
              </w:rPr>
              <w:t>三档（</w:t>
            </w:r>
            <w:r>
              <w:rPr>
                <w:rFonts w:hint="eastAsia" w:cs="仿宋"/>
                <w:color w:val="auto"/>
                <w:szCs w:val="21"/>
                <w:highlight w:val="none"/>
                <w:lang w:val="en-US" w:eastAsia="zh-CN"/>
              </w:rPr>
              <w:t>7</w:t>
            </w:r>
            <w:r>
              <w:rPr>
                <w:rFonts w:hint="eastAsia" w:cs="仿宋"/>
                <w:color w:val="auto"/>
                <w:szCs w:val="21"/>
                <w:highlight w:val="none"/>
              </w:rPr>
              <w:t>分）：投标人提供的应急方案全面覆盖上述全部8项内容，且内容细致、专业、可操作性极强。方案能紧密结合校园环境的特殊性（如师生安全、教学秩序、大型活动频繁等），制定极具针对性的分级响应流程、专项预案（如考试期间停电、群体性活动安保、突发疫情处置等）及善后恢复机制。方案需配备详细的应急资源清单（如应急人员组织架构图、物资储备清单与发票凭证或租赁合同），充分体现投标人高效、专业的应急保障能力和资源调配能力。</w:t>
            </w:r>
          </w:p>
          <w:p>
            <w:pPr>
              <w:pStyle w:val="24"/>
              <w:spacing w:line="400" w:lineRule="exact"/>
              <w:ind w:firstLine="420"/>
              <w:rPr>
                <w:rFonts w:hint="eastAsia" w:cs="仿宋"/>
                <w:color w:val="auto"/>
                <w:szCs w:val="21"/>
                <w:highlight w:val="none"/>
              </w:rPr>
            </w:pPr>
          </w:p>
          <w:p>
            <w:pPr>
              <w:pStyle w:val="18"/>
              <w:keepNext w:val="0"/>
              <w:keepLines w:val="0"/>
              <w:pageBreakBefore w:val="0"/>
              <w:kinsoku/>
              <w:wordWrap/>
              <w:overflowPunct/>
              <w:topLinePunct w:val="0"/>
              <w:autoSpaceDE/>
              <w:autoSpaceDN/>
              <w:bidi w:val="0"/>
              <w:spacing w:line="360" w:lineRule="exact"/>
              <w:ind w:left="0" w:leftChars="0"/>
              <w:rPr>
                <w:rFonts w:hint="eastAsia" w:ascii="宋体" w:hAnsi="宋体" w:cs="宋体"/>
                <w:b/>
                <w:color w:val="auto"/>
                <w:kern w:val="0"/>
                <w:szCs w:val="21"/>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2.7</w:t>
            </w:r>
          </w:p>
        </w:tc>
        <w:tc>
          <w:tcPr>
            <w:tcW w:w="1388" w:type="dxa"/>
            <w:tcMar>
              <w:left w:w="57" w:type="dxa"/>
              <w:right w:w="57" w:type="dxa"/>
            </w:tcMar>
            <w:vAlign w:val="center"/>
          </w:tcPr>
          <w:p>
            <w:pPr>
              <w:spacing w:line="400" w:lineRule="exact"/>
              <w:ind w:firstLine="422" w:firstLineChars="200"/>
              <w:jc w:val="left"/>
              <w:rPr>
                <w:rFonts w:cs="仿宋"/>
                <w:color w:val="auto"/>
                <w:szCs w:val="21"/>
                <w:highlight w:val="none"/>
              </w:rPr>
            </w:pPr>
            <w:r>
              <w:rPr>
                <w:rFonts w:hint="eastAsia" w:cs="仿宋"/>
                <w:b/>
                <w:color w:val="auto"/>
                <w:szCs w:val="21"/>
                <w:highlight w:val="none"/>
                <w:lang w:eastAsia="zh-CN"/>
              </w:rPr>
              <w:t>（</w:t>
            </w:r>
            <w:r>
              <w:rPr>
                <w:rFonts w:hint="eastAsia" w:cs="仿宋"/>
                <w:b/>
                <w:color w:val="auto"/>
                <w:szCs w:val="21"/>
                <w:highlight w:val="none"/>
                <w:lang w:val="en-US" w:eastAsia="zh-CN"/>
              </w:rPr>
              <w:t>7）</w:t>
            </w:r>
            <w:r>
              <w:rPr>
                <w:rFonts w:hint="eastAsia" w:cs="仿宋"/>
                <w:b/>
                <w:color w:val="auto"/>
                <w:szCs w:val="21"/>
                <w:highlight w:val="none"/>
              </w:rPr>
              <w:t>质量保障与服务承诺方案分（满分</w:t>
            </w:r>
            <w:r>
              <w:rPr>
                <w:rFonts w:hint="eastAsia" w:cs="仿宋"/>
                <w:b/>
                <w:color w:val="auto"/>
                <w:szCs w:val="21"/>
                <w:highlight w:val="none"/>
                <w:lang w:val="en-US" w:eastAsia="zh-CN"/>
              </w:rPr>
              <w:t>7</w:t>
            </w:r>
            <w:r>
              <w:rPr>
                <w:rFonts w:hint="eastAsia" w:cs="仿宋"/>
                <w:b/>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283" w:firstLineChars="135"/>
              <w:jc w:val="left"/>
              <w:rPr>
                <w:rFonts w:cs="仿宋"/>
                <w:color w:val="auto"/>
                <w:kern w:val="0"/>
                <w:szCs w:val="21"/>
                <w:highlight w:val="none"/>
              </w:rPr>
            </w:pPr>
            <w:r>
              <w:rPr>
                <w:rFonts w:hint="eastAsia" w:cs="仿宋"/>
                <w:color w:val="auto"/>
                <w:kern w:val="0"/>
                <w:szCs w:val="21"/>
                <w:highlight w:val="none"/>
              </w:rPr>
              <w:t>方案主要包括①内部管理、②科学技术管理、③风险防范措施、④服务质量管理、⑤物业服务承诺、⑥按法律法规开展各项服务及经营的承诺、⑦实施方案内容的承诺、⑧服务态度承诺、⑨服务响应时间和解决问题时限承诺、⑩服务指标承诺及监督保障等内容。</w:t>
            </w:r>
          </w:p>
          <w:p>
            <w:pPr>
              <w:spacing w:line="400" w:lineRule="exact"/>
              <w:ind w:firstLine="283" w:firstLineChars="135"/>
              <w:jc w:val="left"/>
              <w:rPr>
                <w:rFonts w:cs="仿宋"/>
                <w:color w:val="auto"/>
                <w:kern w:val="0"/>
                <w:szCs w:val="21"/>
                <w:highlight w:val="none"/>
              </w:rPr>
            </w:pPr>
            <w:r>
              <w:rPr>
                <w:rFonts w:hint="eastAsia" w:cs="仿宋"/>
                <w:color w:val="auto"/>
                <w:kern w:val="0"/>
                <w:szCs w:val="21"/>
                <w:highlight w:val="none"/>
              </w:rPr>
              <w:t>一档（</w:t>
            </w:r>
            <w:r>
              <w:rPr>
                <w:rFonts w:hint="eastAsia" w:cs="仿宋"/>
                <w:color w:val="auto"/>
                <w:kern w:val="0"/>
                <w:szCs w:val="21"/>
                <w:highlight w:val="none"/>
                <w:lang w:val="en-US" w:eastAsia="zh-CN"/>
              </w:rPr>
              <w:t>3</w:t>
            </w:r>
            <w:r>
              <w:rPr>
                <w:rFonts w:hint="eastAsia" w:cs="仿宋"/>
                <w:color w:val="auto"/>
                <w:kern w:val="0"/>
                <w:szCs w:val="21"/>
                <w:highlight w:val="none"/>
              </w:rPr>
              <w:t>分）：针对本项目提出质量保障措施及服务承诺仅有纲要、内容简略，未展开阐述，包括上述</w:t>
            </w:r>
            <w:r>
              <w:rPr>
                <w:rFonts w:hint="eastAsia" w:cs="仿宋"/>
                <w:color w:val="auto"/>
                <w:kern w:val="0"/>
                <w:szCs w:val="21"/>
                <w:highlight w:val="none"/>
                <w:lang w:val="en-US" w:eastAsia="zh-CN"/>
              </w:rPr>
              <w:t>10项内容中的第</w:t>
            </w:r>
            <w:r>
              <w:rPr>
                <w:rFonts w:hint="eastAsia" w:cs="仿宋"/>
                <w:color w:val="auto"/>
                <w:kern w:val="0"/>
                <w:szCs w:val="21"/>
                <w:highlight w:val="none"/>
              </w:rPr>
              <w:t xml:space="preserve">①-③项内容； </w:t>
            </w:r>
          </w:p>
          <w:p>
            <w:pPr>
              <w:spacing w:line="400" w:lineRule="exact"/>
              <w:ind w:firstLine="283" w:firstLineChars="135"/>
              <w:jc w:val="left"/>
              <w:rPr>
                <w:rFonts w:cs="仿宋"/>
                <w:color w:val="auto"/>
                <w:kern w:val="0"/>
                <w:szCs w:val="21"/>
                <w:highlight w:val="none"/>
              </w:rPr>
            </w:pPr>
            <w:r>
              <w:rPr>
                <w:rFonts w:hint="eastAsia" w:cs="仿宋"/>
                <w:color w:val="auto"/>
                <w:kern w:val="0"/>
                <w:szCs w:val="21"/>
                <w:highlight w:val="none"/>
              </w:rPr>
              <w:t>二档（</w:t>
            </w:r>
            <w:r>
              <w:rPr>
                <w:rFonts w:hint="eastAsia" w:cs="仿宋"/>
                <w:color w:val="auto"/>
                <w:kern w:val="0"/>
                <w:szCs w:val="21"/>
                <w:highlight w:val="none"/>
                <w:lang w:val="en-US" w:eastAsia="zh-CN"/>
              </w:rPr>
              <w:t>5</w:t>
            </w:r>
            <w:r>
              <w:rPr>
                <w:rFonts w:hint="eastAsia" w:cs="仿宋"/>
                <w:color w:val="auto"/>
                <w:kern w:val="0"/>
                <w:szCs w:val="21"/>
                <w:highlight w:val="none"/>
              </w:rPr>
              <w:t>分）：质量保障内容详细、有保障工作计划、落实措施，能够保证服务期内定期在工作现场巡视、监督服务质量，能够针对采购单位服务要求能够合理设置应急人员，有保障应急工作顺利开展，服务承诺内容详细、对服务承诺有具体的承诺落实措施，服务质量有保障，包括上述</w:t>
            </w:r>
            <w:r>
              <w:rPr>
                <w:rFonts w:hint="eastAsia" w:cs="仿宋"/>
                <w:color w:val="auto"/>
                <w:kern w:val="0"/>
                <w:szCs w:val="21"/>
                <w:highlight w:val="none"/>
                <w:lang w:val="en-US" w:eastAsia="zh-CN"/>
              </w:rPr>
              <w:t>10项内容中的第</w:t>
            </w:r>
            <w:r>
              <w:rPr>
                <w:rFonts w:hint="eastAsia" w:cs="仿宋"/>
                <w:color w:val="auto"/>
                <w:kern w:val="0"/>
                <w:szCs w:val="21"/>
                <w:highlight w:val="none"/>
              </w:rPr>
              <w:t>①-⑦项内容；</w:t>
            </w:r>
          </w:p>
          <w:p>
            <w:pPr>
              <w:spacing w:line="400" w:lineRule="exact"/>
              <w:ind w:firstLine="283" w:firstLineChars="135"/>
              <w:jc w:val="left"/>
              <w:rPr>
                <w:rFonts w:cs="仿宋"/>
                <w:color w:val="auto"/>
                <w:kern w:val="0"/>
                <w:szCs w:val="21"/>
                <w:highlight w:val="none"/>
              </w:rPr>
            </w:pPr>
            <w:r>
              <w:rPr>
                <w:rFonts w:hint="eastAsia" w:cs="仿宋"/>
                <w:color w:val="auto"/>
                <w:kern w:val="0"/>
                <w:szCs w:val="21"/>
                <w:highlight w:val="none"/>
              </w:rPr>
              <w:t>三档（</w:t>
            </w:r>
            <w:r>
              <w:rPr>
                <w:rFonts w:hint="eastAsia" w:cs="仿宋"/>
                <w:color w:val="auto"/>
                <w:kern w:val="0"/>
                <w:szCs w:val="21"/>
                <w:highlight w:val="none"/>
                <w:lang w:val="en-US" w:eastAsia="zh-CN"/>
              </w:rPr>
              <w:t>7</w:t>
            </w:r>
            <w:r>
              <w:rPr>
                <w:rFonts w:hint="eastAsia" w:cs="仿宋"/>
                <w:color w:val="auto"/>
                <w:kern w:val="0"/>
                <w:szCs w:val="21"/>
                <w:highlight w:val="none"/>
              </w:rPr>
              <w:t>分）：提出的质量保障措施详细，并细分成内部管理措施、现代化科学技术管理保证措施、法律风险、用工风险防范措施、人员招聘能力措施、企业文化和班组建设能力保障措施等内容，且适用本项目用户需求。服务承诺包括上述全部内容，内容详细，在基础服务内容上，承诺免费提供额外的物业服务内容，项目服务期间能够对各项服务保持持续跟踪和改进，包括上述全部</w:t>
            </w:r>
            <w:r>
              <w:rPr>
                <w:rFonts w:hint="eastAsia" w:cs="仿宋"/>
                <w:color w:val="auto"/>
                <w:kern w:val="0"/>
                <w:szCs w:val="21"/>
                <w:highlight w:val="none"/>
                <w:lang w:val="en-US" w:eastAsia="zh-CN"/>
              </w:rPr>
              <w:t>10项</w:t>
            </w:r>
            <w:r>
              <w:rPr>
                <w:rFonts w:hint="eastAsia" w:cs="仿宋"/>
                <w:color w:val="auto"/>
                <w:kern w:val="0"/>
                <w:szCs w:val="21"/>
                <w:highlight w:val="none"/>
              </w:rPr>
              <w:t>内容。</w:t>
            </w:r>
          </w:p>
          <w:p>
            <w:pPr>
              <w:pStyle w:val="18"/>
              <w:keepNext w:val="0"/>
              <w:keepLines w:val="0"/>
              <w:pageBreakBefore w:val="0"/>
              <w:kinsoku/>
              <w:wordWrap/>
              <w:overflowPunct/>
              <w:topLinePunct w:val="0"/>
              <w:autoSpaceDE/>
              <w:autoSpaceDN/>
              <w:bidi w:val="0"/>
              <w:spacing w:line="360" w:lineRule="exact"/>
              <w:ind w:left="0" w:leftChars="0"/>
              <w:rPr>
                <w:rFonts w:hint="eastAsia" w:ascii="宋体" w:hAnsi="宋体" w:eastAsia="宋体" w:cs="宋体"/>
                <w:b w:val="0"/>
                <w:bCs/>
                <w:color w:val="auto"/>
                <w:spacing w:val="0"/>
                <w:kern w:val="2"/>
                <w:sz w:val="21"/>
                <w:szCs w:val="21"/>
                <w:highlight w:val="none"/>
                <w:lang w:val="en-US" w:eastAsia="zh-CN" w:bidi="ar-SA"/>
              </w:rPr>
            </w:pPr>
          </w:p>
          <w:p>
            <w:pPr>
              <w:pStyle w:val="18"/>
              <w:keepNext w:val="0"/>
              <w:keepLines w:val="0"/>
              <w:pageBreakBefore w:val="0"/>
              <w:kinsoku/>
              <w:wordWrap/>
              <w:overflowPunct/>
              <w:topLinePunct w:val="0"/>
              <w:autoSpaceDE/>
              <w:autoSpaceDN/>
              <w:bidi w:val="0"/>
              <w:spacing w:line="360" w:lineRule="exact"/>
              <w:ind w:left="0" w:leftChars="0"/>
              <w:rPr>
                <w:rFonts w:hint="eastAsia" w:ascii="宋体" w:hAnsi="宋体" w:cs="宋体"/>
                <w:b/>
                <w:color w:val="auto"/>
                <w:kern w:val="0"/>
                <w:szCs w:val="21"/>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2.8</w:t>
            </w:r>
          </w:p>
        </w:tc>
        <w:tc>
          <w:tcPr>
            <w:tcW w:w="1388" w:type="dxa"/>
            <w:tcMar>
              <w:left w:w="57" w:type="dxa"/>
              <w:right w:w="57" w:type="dxa"/>
            </w:tcMar>
            <w:vAlign w:val="center"/>
          </w:tcPr>
          <w:p>
            <w:pPr>
              <w:pStyle w:val="24"/>
              <w:spacing w:line="400" w:lineRule="exact"/>
              <w:ind w:firstLine="422"/>
              <w:rPr>
                <w:rFonts w:cs="仿宋"/>
                <w:b/>
                <w:bCs/>
                <w:color w:val="auto"/>
                <w:szCs w:val="21"/>
                <w:highlight w:val="none"/>
              </w:rPr>
            </w:pPr>
            <w:r>
              <w:rPr>
                <w:rFonts w:hint="eastAsia" w:cs="仿宋"/>
                <w:b/>
                <w:bCs/>
                <w:color w:val="auto"/>
                <w:szCs w:val="21"/>
                <w:highlight w:val="none"/>
                <w:lang w:eastAsia="zh-CN"/>
              </w:rPr>
              <w:t>（</w:t>
            </w:r>
            <w:r>
              <w:rPr>
                <w:rFonts w:hint="eastAsia" w:cs="仿宋"/>
                <w:b/>
                <w:bCs/>
                <w:color w:val="auto"/>
                <w:szCs w:val="21"/>
                <w:highlight w:val="none"/>
                <w:lang w:val="en-US" w:eastAsia="zh-CN"/>
              </w:rPr>
              <w:t>8）</w:t>
            </w:r>
            <w:r>
              <w:rPr>
                <w:rFonts w:hint="eastAsia" w:cs="仿宋"/>
                <w:b/>
                <w:bCs/>
                <w:color w:val="auto"/>
                <w:szCs w:val="21"/>
                <w:highlight w:val="none"/>
              </w:rPr>
              <w:t>人员、物资配置情况方案分（满分</w:t>
            </w:r>
            <w:r>
              <w:rPr>
                <w:rFonts w:hint="eastAsia" w:cs="仿宋"/>
                <w:b/>
                <w:bCs/>
                <w:color w:val="auto"/>
                <w:szCs w:val="21"/>
                <w:highlight w:val="none"/>
                <w:lang w:val="en-US" w:eastAsia="zh-CN"/>
              </w:rPr>
              <w:t xml:space="preserve">7 </w:t>
            </w:r>
            <w:r>
              <w:rPr>
                <w:rFonts w:hint="eastAsia" w:cs="仿宋"/>
                <w:b/>
                <w:bCs/>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spacing w:line="400" w:lineRule="exact"/>
              <w:ind w:firstLine="283" w:firstLineChars="135"/>
              <w:jc w:val="left"/>
              <w:rPr>
                <w:color w:val="auto"/>
                <w:highlight w:val="none"/>
              </w:rPr>
            </w:pPr>
            <w:r>
              <w:rPr>
                <w:rFonts w:hint="eastAsia"/>
                <w:color w:val="auto"/>
                <w:highlight w:val="none"/>
              </w:rPr>
              <w:t>方案包括但不限于：①项目管理组织架构与人员配备（明确各岗位人员</w:t>
            </w:r>
            <w:r>
              <w:rPr>
                <w:rFonts w:hint="eastAsia"/>
                <w:color w:val="auto"/>
                <w:highlight w:val="none"/>
                <w:lang w:val="en-US" w:eastAsia="zh-CN"/>
              </w:rPr>
              <w:t>的工作经验、资质证书、</w:t>
            </w:r>
            <w:r>
              <w:rPr>
                <w:rFonts w:hint="eastAsia"/>
                <w:color w:val="auto"/>
                <w:highlight w:val="none"/>
              </w:rPr>
              <w:t>数量及职责）、②人员管理制度（含招聘、培训、考核、激励、淘汰及后备机制）、③物资装备配置方案（含作业器械、交通工具、安全防护装备等）、④人员与物资的协调保障措施、⑤服务团队稳定性保障方案、⑥岗前与在岗培训体系、⑦关键岗位人员储备与应急预案、⑧物资仓储、维护与更新机制等八项内容。</w:t>
            </w:r>
          </w:p>
          <w:p>
            <w:pPr>
              <w:spacing w:line="400" w:lineRule="exact"/>
              <w:ind w:firstLine="283" w:firstLineChars="135"/>
              <w:jc w:val="left"/>
              <w:rPr>
                <w:color w:val="auto"/>
                <w:highlight w:val="none"/>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分）：投标人提供的人员、物资配置方案内容简略，仅包含上述8项内容中的</w:t>
            </w:r>
            <w:r>
              <w:rPr>
                <w:rFonts w:hint="eastAsia"/>
                <w:color w:val="auto"/>
                <w:highlight w:val="none"/>
                <w:lang w:val="en-US" w:eastAsia="zh-CN"/>
              </w:rPr>
              <w:t>第</w:t>
            </w:r>
            <w:r>
              <w:rPr>
                <w:rFonts w:hint="eastAsia"/>
                <w:color w:val="auto"/>
                <w:highlight w:val="none"/>
              </w:rPr>
              <w:t>①-③项。方案仅为纲要性描述，对岗位设置、人员管理、物资清单等缺乏具体规划和详细说明，未能体现与本项目实际需求的匹配度。</w:t>
            </w:r>
          </w:p>
          <w:p>
            <w:pPr>
              <w:spacing w:line="400" w:lineRule="exact"/>
              <w:ind w:firstLine="283" w:firstLineChars="135"/>
              <w:jc w:val="left"/>
              <w:rPr>
                <w:color w:val="auto"/>
                <w:highlight w:val="none"/>
              </w:rPr>
            </w:pPr>
            <w:r>
              <w:rPr>
                <w:rFonts w:hint="eastAsia"/>
                <w:color w:val="auto"/>
                <w:highlight w:val="none"/>
              </w:rPr>
              <w:t>二档（</w:t>
            </w:r>
            <w:r>
              <w:rPr>
                <w:rFonts w:hint="eastAsia"/>
                <w:color w:val="auto"/>
                <w:highlight w:val="none"/>
                <w:lang w:val="en-US" w:eastAsia="zh-CN"/>
              </w:rPr>
              <w:t>5</w:t>
            </w:r>
            <w:r>
              <w:rPr>
                <w:rFonts w:hint="eastAsia"/>
                <w:color w:val="auto"/>
                <w:highlight w:val="none"/>
              </w:rPr>
              <w:t>分）：投标人提供的人员、物资配置方案内容较为系统、完整，包含上述8项内容中的</w:t>
            </w:r>
            <w:r>
              <w:rPr>
                <w:rFonts w:hint="eastAsia"/>
                <w:color w:val="auto"/>
                <w:highlight w:val="none"/>
                <w:lang w:val="en-US" w:eastAsia="zh-CN"/>
              </w:rPr>
              <w:t>第</w:t>
            </w:r>
            <w:r>
              <w:rPr>
                <w:rFonts w:hint="eastAsia"/>
                <w:color w:val="auto"/>
                <w:highlight w:val="none"/>
              </w:rPr>
              <w:t>①-⑥项。方案能针对项目需求合理设置岗位并规划人员配置，制定了基本的人员管理、培训及考核制度。物资装备的品类、数量及质量要求描述清晰，能够满足服务的基本运行需求，方案具备可操作性。</w:t>
            </w:r>
          </w:p>
          <w:p>
            <w:pPr>
              <w:spacing w:line="400" w:lineRule="exact"/>
              <w:ind w:firstLine="283" w:firstLineChars="135"/>
              <w:jc w:val="left"/>
              <w:rPr>
                <w:color w:val="auto"/>
                <w:highlight w:val="none"/>
              </w:rPr>
            </w:pPr>
            <w:r>
              <w:rPr>
                <w:rFonts w:hint="eastAsia"/>
                <w:color w:val="auto"/>
                <w:highlight w:val="none"/>
              </w:rPr>
              <w:t>三档（</w:t>
            </w:r>
            <w:r>
              <w:rPr>
                <w:rFonts w:hint="eastAsia"/>
                <w:color w:val="auto"/>
                <w:highlight w:val="none"/>
                <w:lang w:val="en-US" w:eastAsia="zh-CN"/>
              </w:rPr>
              <w:t>7</w:t>
            </w:r>
            <w:r>
              <w:rPr>
                <w:rFonts w:hint="eastAsia"/>
                <w:color w:val="auto"/>
                <w:highlight w:val="none"/>
              </w:rPr>
              <w:t>分）：投标人提供的方案全面覆盖上述全部8项内容，提供设施设备采购发票、租赁或采购合同，且内容细致、科学、详尽。方案能紧密结合校园物业服务特点，提出创新性、精细化的人员管理措施（如员工职业发展通道、稳定的薪酬激励体系、系统的培训计划、高效的排班与替岗机制等）。物资装备配置方案先进、合理，明确关键设备的性能参数和投入计划，并制定了完善的物资管理与更新流程。整体方案充分体现了投标人优化资源配置、保障服务团队稳定性和提升服务效能的能力，完全适用于本项目。</w:t>
            </w:r>
          </w:p>
          <w:p>
            <w:pPr>
              <w:spacing w:line="400" w:lineRule="exact"/>
              <w:ind w:firstLine="420" w:firstLineChars="200"/>
              <w:jc w:val="left"/>
              <w:rPr>
                <w:rFonts w:hint="eastAsia"/>
                <w:color w:val="auto"/>
                <w:highlight w:val="none"/>
              </w:rPr>
            </w:pPr>
            <w:r>
              <w:rPr>
                <w:rFonts w:hint="eastAsia"/>
                <w:color w:val="auto"/>
                <w:highlight w:val="none"/>
              </w:rPr>
              <w:t>投标人须按本项目需求提供人员投入情况总表</w:t>
            </w:r>
            <w:r>
              <w:rPr>
                <w:rFonts w:hint="eastAsia"/>
                <w:color w:val="auto"/>
                <w:highlight w:val="none"/>
                <w:lang w:eastAsia="zh-CN"/>
              </w:rPr>
              <w:t>（</w:t>
            </w:r>
            <w:r>
              <w:rPr>
                <w:rFonts w:hint="eastAsia"/>
                <w:color w:val="auto"/>
                <w:highlight w:val="none"/>
                <w:lang w:val="en-US" w:eastAsia="zh-CN"/>
              </w:rPr>
              <w:t>格式自拟，须加盖投标人公章）</w:t>
            </w:r>
            <w:r>
              <w:rPr>
                <w:rFonts w:hint="eastAsia"/>
                <w:color w:val="auto"/>
                <w:highlight w:val="none"/>
              </w:rPr>
              <w:t>、物资配置情况表</w:t>
            </w:r>
            <w:r>
              <w:rPr>
                <w:rFonts w:hint="eastAsia"/>
                <w:color w:val="auto"/>
                <w:highlight w:val="none"/>
                <w:lang w:eastAsia="zh-CN"/>
              </w:rPr>
              <w:t>（</w:t>
            </w:r>
            <w:r>
              <w:rPr>
                <w:rFonts w:hint="eastAsia"/>
                <w:color w:val="auto"/>
                <w:highlight w:val="none"/>
                <w:lang w:val="en-US" w:eastAsia="zh-CN"/>
              </w:rPr>
              <w:t>格式自拟，须加盖投标人公章）</w:t>
            </w:r>
            <w:r>
              <w:rPr>
                <w:rFonts w:hint="eastAsia"/>
                <w:color w:val="auto"/>
                <w:highlight w:val="none"/>
              </w:rPr>
              <w:t>，同时提供《项目实施人员一览表》；投标人</w:t>
            </w:r>
            <w:r>
              <w:rPr>
                <w:rFonts w:hint="eastAsia"/>
                <w:color w:val="auto"/>
                <w:highlight w:val="none"/>
                <w:lang w:val="en-US" w:eastAsia="zh-CN"/>
              </w:rPr>
              <w:t>须提供</w:t>
            </w:r>
            <w:r>
              <w:rPr>
                <w:rFonts w:hint="eastAsia"/>
                <w:color w:val="auto"/>
                <w:highlight w:val="none"/>
              </w:rPr>
              <w:t>拟投入的以</w:t>
            </w:r>
            <w:r>
              <w:rPr>
                <w:rFonts w:hint="eastAsia"/>
                <w:color w:val="auto"/>
                <w:highlight w:val="none"/>
                <w:lang w:val="en-US" w:eastAsia="zh-CN"/>
              </w:rPr>
              <w:t>下核心</w:t>
            </w:r>
            <w:r>
              <w:rPr>
                <w:rFonts w:hint="eastAsia"/>
                <w:color w:val="auto"/>
                <w:highlight w:val="none"/>
              </w:rPr>
              <w:t>岗位</w:t>
            </w:r>
            <w:r>
              <w:rPr>
                <w:rFonts w:hint="eastAsia"/>
                <w:color w:val="auto"/>
                <w:highlight w:val="none"/>
                <w:lang w:eastAsia="zh-CN"/>
              </w:rPr>
              <w:t>：</w:t>
            </w:r>
            <w:r>
              <w:rPr>
                <w:rFonts w:hint="eastAsia"/>
                <w:color w:val="auto"/>
                <w:highlight w:val="none"/>
                <w:lang w:val="en-US" w:eastAsia="zh-CN"/>
              </w:rPr>
              <w:t>物业经理、综合主管、保洁及绿化主管、宿舍主管、保安队长、</w:t>
            </w:r>
            <w:bookmarkStart w:id="124" w:name="OLE_LINK3"/>
            <w:r>
              <w:rPr>
                <w:rFonts w:hint="eastAsia"/>
                <w:color w:val="auto"/>
                <w:highlight w:val="none"/>
                <w:lang w:val="en-US" w:eastAsia="zh-CN"/>
              </w:rPr>
              <w:t>消防与监控保卫岗</w:t>
            </w:r>
            <w:bookmarkEnd w:id="124"/>
            <w:r>
              <w:rPr>
                <w:rFonts w:hint="eastAsia"/>
                <w:color w:val="auto"/>
                <w:highlight w:val="none"/>
              </w:rPr>
              <w:t>相关证明文件的扫描件</w:t>
            </w:r>
            <w:r>
              <w:rPr>
                <w:rFonts w:hint="eastAsia"/>
                <w:color w:val="auto"/>
                <w:highlight w:val="none"/>
                <w:lang w:eastAsia="zh-CN"/>
              </w:rPr>
              <w:t>（</w:t>
            </w:r>
            <w:r>
              <w:rPr>
                <w:rFonts w:hint="eastAsia"/>
                <w:color w:val="auto"/>
                <w:highlight w:val="none"/>
                <w:lang w:val="en-US" w:eastAsia="zh-CN"/>
              </w:rPr>
              <w:t>格式自拟，须加盖投标人公章）</w:t>
            </w:r>
            <w:r>
              <w:rPr>
                <w:rFonts w:hint="eastAsia"/>
                <w:color w:val="auto"/>
                <w:highlight w:val="none"/>
              </w:rPr>
              <w:t>。不能完全满足某一档次全部要求的，列入次低一档。</w:t>
            </w:r>
          </w:p>
          <w:p>
            <w:pPr>
              <w:pStyle w:val="24"/>
              <w:rPr>
                <w:color w:val="auto"/>
                <w:highlight w:val="none"/>
              </w:rPr>
            </w:pPr>
          </w:p>
          <w:p>
            <w:pPr>
              <w:pStyle w:val="18"/>
              <w:keepNext w:val="0"/>
              <w:keepLines w:val="0"/>
              <w:pageBreakBefore w:val="0"/>
              <w:kinsoku/>
              <w:wordWrap/>
              <w:overflowPunct/>
              <w:topLinePunct w:val="0"/>
              <w:autoSpaceDE/>
              <w:autoSpaceDN/>
              <w:bidi w:val="0"/>
              <w:spacing w:line="360" w:lineRule="exact"/>
              <w:ind w:left="0" w:leftChars="0"/>
              <w:rPr>
                <w:rFonts w:hint="eastAsia"/>
                <w:color w:val="auto"/>
                <w:highlight w:val="none"/>
                <w:lang w:val="en-US" w:eastAsia="zh-CN"/>
              </w:rPr>
            </w:pPr>
            <w:r>
              <w:rPr>
                <w:rFonts w:hint="eastAsia"/>
                <w:color w:val="auto"/>
                <w:highlight w:val="none"/>
                <w:lang w:val="en-US" w:eastAsia="zh-CN"/>
              </w:rPr>
              <w:t>注：未提供、不满足最低进档要求得0分。</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2.9</w:t>
            </w:r>
          </w:p>
        </w:tc>
        <w:tc>
          <w:tcPr>
            <w:tcW w:w="1388" w:type="dxa"/>
            <w:tcMar>
              <w:left w:w="57" w:type="dxa"/>
              <w:right w:w="57" w:type="dxa"/>
            </w:tcMar>
            <w:vAlign w:val="center"/>
          </w:tcPr>
          <w:p>
            <w:pPr>
              <w:pStyle w:val="24"/>
              <w:spacing w:line="400" w:lineRule="exact"/>
              <w:ind w:left="0" w:leftChars="0" w:firstLine="0" w:firstLineChars="0"/>
              <w:rPr>
                <w:rFonts w:hint="eastAsia" w:cs="仿宋"/>
                <w:b/>
                <w:bCs/>
                <w:color w:val="auto"/>
                <w:szCs w:val="21"/>
                <w:highlight w:val="none"/>
              </w:rPr>
            </w:pPr>
          </w:p>
          <w:p>
            <w:pPr>
              <w:pStyle w:val="24"/>
              <w:spacing w:line="400" w:lineRule="exact"/>
              <w:ind w:left="0" w:leftChars="0" w:firstLine="0" w:firstLineChars="0"/>
              <w:rPr>
                <w:rFonts w:cs="仿宋"/>
                <w:color w:val="auto"/>
                <w:szCs w:val="21"/>
                <w:highlight w:val="none"/>
              </w:rPr>
            </w:pPr>
            <w:r>
              <w:rPr>
                <w:rFonts w:hint="eastAsia" w:cs="仿宋"/>
                <w:b/>
                <w:bCs/>
                <w:color w:val="auto"/>
                <w:szCs w:val="21"/>
                <w:highlight w:val="none"/>
              </w:rPr>
              <w:t>（</w:t>
            </w:r>
            <w:r>
              <w:rPr>
                <w:rFonts w:hint="eastAsia" w:cs="仿宋"/>
                <w:b/>
                <w:bCs/>
                <w:color w:val="auto"/>
                <w:szCs w:val="21"/>
                <w:highlight w:val="none"/>
                <w:lang w:val="en-US" w:eastAsia="zh-CN"/>
              </w:rPr>
              <w:t>9</w:t>
            </w:r>
            <w:r>
              <w:rPr>
                <w:rFonts w:hint="eastAsia" w:cs="仿宋"/>
                <w:b/>
                <w:bCs/>
                <w:color w:val="auto"/>
                <w:szCs w:val="21"/>
                <w:highlight w:val="none"/>
              </w:rPr>
              <w:t>）人员培训方案（满分</w:t>
            </w:r>
            <w:r>
              <w:rPr>
                <w:rFonts w:hint="eastAsia" w:cs="仿宋"/>
                <w:b/>
                <w:bCs/>
                <w:color w:val="auto"/>
                <w:szCs w:val="21"/>
                <w:highlight w:val="none"/>
                <w:lang w:val="en-US" w:eastAsia="zh-CN"/>
              </w:rPr>
              <w:t xml:space="preserve">  7</w:t>
            </w:r>
            <w:r>
              <w:rPr>
                <w:rFonts w:hint="eastAsia" w:cs="仿宋"/>
                <w:b/>
                <w:bCs/>
                <w:color w:val="auto"/>
                <w:szCs w:val="21"/>
                <w:highlight w:val="none"/>
              </w:rPr>
              <w:t>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bCs/>
                <w:color w:val="auto"/>
                <w:kern w:val="0"/>
                <w:szCs w:val="21"/>
                <w:highlight w:val="none"/>
              </w:rPr>
            </w:pPr>
          </w:p>
        </w:tc>
        <w:tc>
          <w:tcPr>
            <w:tcW w:w="7525" w:type="dxa"/>
            <w:gridSpan w:val="2"/>
            <w:vAlign w:val="center"/>
          </w:tcPr>
          <w:p>
            <w:pPr>
              <w:pStyle w:val="24"/>
              <w:spacing w:line="400" w:lineRule="exact"/>
              <w:ind w:firstLine="420"/>
              <w:rPr>
                <w:rFonts w:hint="eastAsia" w:cs="仿宋"/>
                <w:color w:val="auto"/>
                <w:szCs w:val="21"/>
                <w:highlight w:val="none"/>
              </w:rPr>
            </w:pPr>
          </w:p>
          <w:p>
            <w:pPr>
              <w:pStyle w:val="24"/>
              <w:spacing w:line="400" w:lineRule="exact"/>
              <w:ind w:firstLine="420"/>
              <w:rPr>
                <w:rFonts w:cs="仿宋"/>
                <w:color w:val="auto"/>
                <w:szCs w:val="21"/>
                <w:highlight w:val="none"/>
              </w:rPr>
            </w:pPr>
            <w:r>
              <w:rPr>
                <w:rFonts w:hint="eastAsia" w:cs="仿宋"/>
                <w:color w:val="auto"/>
                <w:szCs w:val="21"/>
                <w:highlight w:val="none"/>
              </w:rPr>
              <w:t>方案主要包括①培训机构、②培训资料、③培训标准、④培训记录、⑤培训大纲、⑥培训方式、⑦培训方法、⑧培训效果评估等内容。</w:t>
            </w:r>
          </w:p>
          <w:p>
            <w:pPr>
              <w:pStyle w:val="24"/>
              <w:spacing w:line="400" w:lineRule="exact"/>
              <w:ind w:firstLine="420"/>
              <w:rPr>
                <w:rFonts w:cs="仿宋"/>
                <w:color w:val="auto"/>
                <w:szCs w:val="21"/>
                <w:highlight w:val="none"/>
              </w:rPr>
            </w:pPr>
            <w:r>
              <w:rPr>
                <w:rFonts w:hint="eastAsia" w:cs="仿宋"/>
                <w:color w:val="auto"/>
                <w:szCs w:val="21"/>
                <w:highlight w:val="none"/>
              </w:rPr>
              <w:t>一档（</w:t>
            </w:r>
            <w:r>
              <w:rPr>
                <w:rFonts w:hint="eastAsia" w:cs="仿宋"/>
                <w:color w:val="auto"/>
                <w:szCs w:val="21"/>
                <w:highlight w:val="none"/>
                <w:lang w:val="en-US" w:eastAsia="zh-CN"/>
              </w:rPr>
              <w:t>3</w:t>
            </w:r>
            <w:r>
              <w:rPr>
                <w:rFonts w:hint="eastAsia" w:cs="仿宋"/>
                <w:color w:val="auto"/>
                <w:szCs w:val="21"/>
                <w:highlight w:val="none"/>
              </w:rPr>
              <w:t>分）：培训方案包括上述</w:t>
            </w:r>
            <w:r>
              <w:rPr>
                <w:rFonts w:hint="eastAsia" w:cs="仿宋"/>
                <w:color w:val="auto"/>
                <w:szCs w:val="21"/>
                <w:highlight w:val="none"/>
                <w:lang w:val="en-US" w:eastAsia="zh-CN"/>
              </w:rPr>
              <w:t>8项内容中的第</w:t>
            </w:r>
            <w:r>
              <w:rPr>
                <w:rFonts w:hint="eastAsia" w:cs="仿宋"/>
                <w:color w:val="auto"/>
                <w:szCs w:val="21"/>
                <w:highlight w:val="none"/>
              </w:rPr>
              <w:t>①-③项内容，适用本项目用户需求，但仅有纲要、内容简略未展开详细具体的阐述；</w:t>
            </w:r>
          </w:p>
          <w:p>
            <w:pPr>
              <w:pStyle w:val="24"/>
              <w:spacing w:line="400" w:lineRule="exact"/>
              <w:ind w:firstLine="420"/>
              <w:rPr>
                <w:rFonts w:cs="仿宋"/>
                <w:color w:val="auto"/>
                <w:szCs w:val="21"/>
                <w:highlight w:val="none"/>
              </w:rPr>
            </w:pPr>
            <w:r>
              <w:rPr>
                <w:rFonts w:hint="eastAsia" w:cs="仿宋"/>
                <w:color w:val="auto"/>
                <w:szCs w:val="21"/>
                <w:highlight w:val="none"/>
              </w:rPr>
              <w:t>二档（</w:t>
            </w:r>
            <w:r>
              <w:rPr>
                <w:rFonts w:hint="eastAsia" w:cs="仿宋"/>
                <w:color w:val="auto"/>
                <w:szCs w:val="21"/>
                <w:highlight w:val="none"/>
                <w:lang w:val="en-US" w:eastAsia="zh-CN"/>
              </w:rPr>
              <w:t>5</w:t>
            </w:r>
            <w:r>
              <w:rPr>
                <w:rFonts w:hint="eastAsia" w:cs="仿宋"/>
                <w:color w:val="auto"/>
                <w:szCs w:val="21"/>
                <w:highlight w:val="none"/>
              </w:rPr>
              <w:t>分）：针对本项目制定有人员培训方案、方案架构完整，包括上述</w:t>
            </w:r>
            <w:r>
              <w:rPr>
                <w:rFonts w:hint="eastAsia" w:cs="仿宋"/>
                <w:color w:val="auto"/>
                <w:szCs w:val="21"/>
                <w:highlight w:val="none"/>
                <w:lang w:val="en-US" w:eastAsia="zh-CN"/>
              </w:rPr>
              <w:t>8项内容中的第</w:t>
            </w:r>
            <w:r>
              <w:rPr>
                <w:rFonts w:hint="eastAsia" w:cs="仿宋"/>
                <w:color w:val="auto"/>
                <w:szCs w:val="21"/>
                <w:highlight w:val="none"/>
              </w:rPr>
              <w:t>①-⑥项内容，培训目标清晰明确，注重提供员工综合能力，同时对培训方案展开了详细具体的阐述，有培训计划、落实措施；</w:t>
            </w:r>
          </w:p>
          <w:p>
            <w:pPr>
              <w:pStyle w:val="24"/>
              <w:spacing w:line="400" w:lineRule="exact"/>
              <w:ind w:firstLine="420"/>
              <w:rPr>
                <w:rFonts w:hint="eastAsia" w:cs="仿宋"/>
                <w:color w:val="auto"/>
                <w:szCs w:val="21"/>
                <w:highlight w:val="none"/>
              </w:rPr>
            </w:pPr>
            <w:r>
              <w:rPr>
                <w:rFonts w:hint="eastAsia" w:cs="仿宋"/>
                <w:color w:val="auto"/>
                <w:szCs w:val="21"/>
                <w:highlight w:val="none"/>
              </w:rPr>
              <w:t>三档（</w:t>
            </w:r>
            <w:r>
              <w:rPr>
                <w:rFonts w:hint="eastAsia" w:cs="仿宋"/>
                <w:color w:val="auto"/>
                <w:szCs w:val="21"/>
                <w:highlight w:val="none"/>
                <w:lang w:val="en-US" w:eastAsia="zh-CN"/>
              </w:rPr>
              <w:t>7</w:t>
            </w:r>
            <w:r>
              <w:rPr>
                <w:rFonts w:hint="eastAsia" w:cs="仿宋"/>
                <w:color w:val="auto"/>
                <w:szCs w:val="21"/>
                <w:highlight w:val="none"/>
              </w:rPr>
              <w:t>分）：方案适用本项目需求，包括上述全部</w:t>
            </w:r>
            <w:r>
              <w:rPr>
                <w:rFonts w:hint="eastAsia" w:cs="仿宋"/>
                <w:color w:val="auto"/>
                <w:szCs w:val="21"/>
                <w:highlight w:val="none"/>
                <w:lang w:val="en-US" w:eastAsia="zh-CN"/>
              </w:rPr>
              <w:t>8项</w:t>
            </w:r>
            <w:r>
              <w:rPr>
                <w:rFonts w:hint="eastAsia" w:cs="仿宋"/>
                <w:color w:val="auto"/>
                <w:szCs w:val="21"/>
                <w:highlight w:val="none"/>
              </w:rPr>
              <w:t>内容，对整体方案展开了详细的阐述，培训时间安排合理，有详尽的培训时间计划表，对人员的培训能够联系实际，专业技术培训与职业道德教育相结合，保证员工能够适应现阶段物业管理服务市场、采购</w:t>
            </w:r>
            <w:r>
              <w:rPr>
                <w:rFonts w:hint="eastAsia" w:cs="仿宋"/>
                <w:color w:val="auto"/>
                <w:szCs w:val="21"/>
                <w:highlight w:val="none"/>
                <w:lang w:val="en-US" w:eastAsia="zh-CN"/>
              </w:rPr>
              <w:t>人</w:t>
            </w:r>
            <w:r>
              <w:rPr>
                <w:rFonts w:hint="eastAsia" w:cs="仿宋"/>
                <w:color w:val="auto"/>
                <w:szCs w:val="21"/>
                <w:highlight w:val="none"/>
              </w:rPr>
              <w:t>等服务对象对物业从业人员的要求。</w:t>
            </w:r>
          </w:p>
          <w:p>
            <w:pPr>
              <w:pStyle w:val="24"/>
              <w:spacing w:line="400" w:lineRule="exact"/>
              <w:ind w:firstLine="420"/>
              <w:rPr>
                <w:rFonts w:hint="eastAsia" w:cs="仿宋"/>
                <w:color w:val="auto"/>
                <w:szCs w:val="21"/>
                <w:highlight w:val="none"/>
              </w:rPr>
            </w:pPr>
          </w:p>
          <w:p>
            <w:pPr>
              <w:pStyle w:val="18"/>
              <w:keepNext w:val="0"/>
              <w:keepLines w:val="0"/>
              <w:pageBreakBefore w:val="0"/>
              <w:kinsoku/>
              <w:wordWrap/>
              <w:overflowPunct/>
              <w:topLinePunct w:val="0"/>
              <w:autoSpaceDE/>
              <w:autoSpaceDN/>
              <w:bidi w:val="0"/>
              <w:spacing w:line="360" w:lineRule="exact"/>
              <w:ind w:left="0" w:leftChars="0"/>
              <w:rPr>
                <w:rFonts w:hint="eastAsia" w:ascii="宋体" w:hAnsi="宋体" w:cs="宋体"/>
                <w:b/>
                <w:color w:val="auto"/>
                <w:kern w:val="0"/>
                <w:szCs w:val="21"/>
                <w:highlight w:val="none"/>
              </w:rPr>
            </w:pPr>
            <w:r>
              <w:rPr>
                <w:rFonts w:hint="eastAsia" w:ascii="宋体" w:hAnsi="宋体" w:eastAsia="宋体" w:cs="宋体"/>
                <w:b w:val="0"/>
                <w:bCs/>
                <w:color w:val="auto"/>
                <w:spacing w:val="0"/>
                <w:kern w:val="2"/>
                <w:sz w:val="21"/>
                <w:szCs w:val="21"/>
                <w:highlight w:val="none"/>
                <w:lang w:val="en-US" w:eastAsia="zh-CN" w:bidi="ar-SA"/>
              </w:rPr>
              <w:t>注：未提供、不满足最低进档要求得0分。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shd w:val="clear" w:color="auto" w:fill="auto"/>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3</w:t>
            </w:r>
          </w:p>
        </w:tc>
        <w:tc>
          <w:tcPr>
            <w:tcW w:w="1388"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商务分（满分</w:t>
            </w:r>
            <w:r>
              <w:rPr>
                <w:rFonts w:hint="eastAsia" w:ascii="宋体" w:hAnsi="宋体" w:cs="Courier New"/>
                <w:b/>
                <w:bCs/>
                <w:color w:val="auto"/>
                <w:szCs w:val="21"/>
                <w:highlight w:val="none"/>
                <w:lang w:val="en-US" w:eastAsia="zh-CN"/>
              </w:rPr>
              <w:t xml:space="preserve">  14</w:t>
            </w:r>
            <w:r>
              <w:rPr>
                <w:rFonts w:hint="eastAsia" w:ascii="宋体" w:hAnsi="宋体" w:cs="Courier New"/>
                <w:b/>
                <w:bCs/>
                <w:color w:val="auto"/>
                <w:szCs w:val="21"/>
                <w:highlight w:val="none"/>
              </w:rPr>
              <w:t>分）</w:t>
            </w:r>
          </w:p>
        </w:tc>
        <w:tc>
          <w:tcPr>
            <w:tcW w:w="7525" w:type="dxa"/>
            <w:gridSpan w:val="2"/>
            <w:shd w:val="clear" w:color="auto" w:fill="auto"/>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cs="宋体"/>
                <w:b/>
                <w:color w:val="auto"/>
                <w:szCs w:val="21"/>
                <w:highlight w:val="none"/>
              </w:rPr>
            </w:pPr>
            <w:r>
              <w:rPr>
                <w:rFonts w:hint="eastAsia" w:ascii="宋体" w:hAnsi="宋体" w:cs="Tahoma"/>
                <w:b/>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shd w:val="clear" w:color="auto" w:fill="auto"/>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cs="Courier New" w:eastAsiaTheme="minorEastAsia"/>
                <w:b/>
                <w:bCs/>
                <w:color w:val="auto"/>
                <w:kern w:val="2"/>
                <w:sz w:val="21"/>
                <w:szCs w:val="21"/>
                <w:highlight w:val="none"/>
                <w:lang w:val="en-US" w:eastAsia="zh-CN" w:bidi="ar-SA"/>
              </w:rPr>
            </w:pPr>
            <w:r>
              <w:rPr>
                <w:rFonts w:hint="eastAsia" w:ascii="宋体" w:hAnsi="宋体" w:cs="Courier New"/>
                <w:b/>
                <w:bCs/>
                <w:color w:val="auto"/>
                <w:szCs w:val="21"/>
                <w:highlight w:val="none"/>
              </w:rPr>
              <w:t>3.1</w:t>
            </w:r>
          </w:p>
        </w:tc>
        <w:tc>
          <w:tcPr>
            <w:tcW w:w="1388"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Cs w:val="21"/>
                <w:highlight w:val="none"/>
              </w:rPr>
              <w:t>人员配置分</w:t>
            </w:r>
            <w:r>
              <w:rPr>
                <w:rFonts w:hint="eastAsia" w:ascii="宋体" w:hAnsi="宋体" w:cs="宋体"/>
                <w:b/>
                <w:color w:val="auto"/>
                <w:kern w:val="0"/>
                <w:szCs w:val="21"/>
                <w:highlight w:val="none"/>
              </w:rPr>
              <w:t>（满分</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分）</w:t>
            </w:r>
          </w:p>
        </w:tc>
        <w:tc>
          <w:tcPr>
            <w:tcW w:w="7525" w:type="dxa"/>
            <w:gridSpan w:val="2"/>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eastAsiaTheme="minorEastAsia"/>
                <w:b/>
                <w:bCs/>
                <w:color w:val="auto"/>
                <w:kern w:val="2"/>
                <w:sz w:val="21"/>
                <w:szCs w:val="24"/>
                <w:highlight w:val="none"/>
                <w:lang w:val="en-US" w:eastAsia="zh-CN" w:bidi="ar-SA"/>
              </w:rPr>
            </w:pPr>
            <w:r>
              <w:rPr>
                <w:rFonts w:hint="eastAsia" w:ascii="宋体" w:hAnsi="宋体" w:cs="宋体"/>
                <w:color w:val="auto"/>
                <w:highlight w:val="none"/>
                <w:lang w:val="en-US" w:eastAsia="zh-CN"/>
              </w:rPr>
              <w:t>在满足采购需求配置的基础上，每增加配置1名安保员，得1分，满分8 分。（投标人需提供《额外增配安保员承诺函》（</w:t>
            </w:r>
            <w:r>
              <w:rPr>
                <w:rFonts w:hint="eastAsia"/>
                <w:color w:val="auto"/>
                <w:highlight w:val="none"/>
                <w:lang w:val="en-US" w:eastAsia="zh-CN"/>
              </w:rPr>
              <w:t>格式自拟，须加盖投标人公章，未提供不得分）</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36" w:type="dxa"/>
            <w:shd w:val="clear" w:color="auto" w:fill="auto"/>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eastAsiaTheme="minorEastAsia"/>
                <w:color w:val="auto"/>
                <w:szCs w:val="21"/>
                <w:highlight w:val="none"/>
                <w:lang w:eastAsia="zh-CN"/>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2</w:t>
            </w:r>
          </w:p>
        </w:tc>
        <w:tc>
          <w:tcPr>
            <w:tcW w:w="1388"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业绩分</w:t>
            </w:r>
          </w:p>
          <w:p>
            <w:pPr>
              <w:keepNext w:val="0"/>
              <w:keepLines w:val="0"/>
              <w:pageBreakBefore w:val="0"/>
              <w:kinsoku/>
              <w:wordWrap/>
              <w:overflowPunct/>
              <w:topLinePunct w:val="0"/>
              <w:autoSpaceDE/>
              <w:autoSpaceDN/>
              <w:bidi w:val="0"/>
              <w:snapToGrid w:val="0"/>
              <w:spacing w:line="360" w:lineRule="exact"/>
              <w:jc w:val="center"/>
              <w:rPr>
                <w:rFonts w:hint="eastAsia" w:ascii="宋体" w:hAnsi="宋体" w:cs="宋体"/>
                <w:bCs/>
                <w:color w:val="auto"/>
                <w:kern w:val="0"/>
                <w:szCs w:val="21"/>
                <w:highlight w:val="none"/>
              </w:rPr>
            </w:pPr>
            <w:r>
              <w:rPr>
                <w:rFonts w:hint="eastAsia" w:ascii="宋体" w:hAnsi="宋体" w:cs="宋体"/>
                <w:b/>
                <w:color w:val="auto"/>
                <w:kern w:val="0"/>
                <w:szCs w:val="21"/>
                <w:highlight w:val="none"/>
              </w:rPr>
              <w:t>（满分</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分）</w:t>
            </w:r>
          </w:p>
        </w:tc>
        <w:tc>
          <w:tcPr>
            <w:tcW w:w="7525" w:type="dxa"/>
            <w:gridSpan w:val="2"/>
            <w:shd w:val="clear" w:color="auto" w:fill="auto"/>
            <w:vAlign w:val="top"/>
          </w:tcPr>
          <w:p>
            <w:pPr>
              <w:keepNext w:val="0"/>
              <w:keepLines w:val="0"/>
              <w:pageBreakBefore w:val="0"/>
              <w:kinsoku/>
              <w:wordWrap/>
              <w:overflowPunct/>
              <w:topLinePunct w:val="0"/>
              <w:autoSpaceDE/>
              <w:autoSpaceDN/>
              <w:bidi w:val="0"/>
              <w:snapToGrid w:val="0"/>
              <w:spacing w:line="36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1月1日至提交响应文件截止时间止，供应商提供同类服务内容业绩的相关证明材料（以中标、成交通知书或签订的采购合同扫描件为准并能清晰反映所提供的服务类型、种类、金额，否则将不予计分；同一个编号的项目有两个或两个以上的分标中标的只算一次），每提供一个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分，满分</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分。</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须</w:t>
            </w:r>
            <w:r>
              <w:rPr>
                <w:rFonts w:hint="eastAsia" w:ascii="宋体" w:hAnsi="宋体" w:cs="宋体"/>
                <w:b/>
                <w:bCs w:val="0"/>
                <w:color w:val="auto"/>
                <w:kern w:val="0"/>
                <w:szCs w:val="21"/>
                <w:highlight w:val="none"/>
              </w:rPr>
              <w:t>提供相关证明材料扫描件并加盖</w:t>
            </w:r>
            <w:r>
              <w:rPr>
                <w:rFonts w:hint="eastAsia" w:ascii="宋体" w:hAnsi="宋体" w:cs="宋体"/>
                <w:b/>
                <w:bCs w:val="0"/>
                <w:color w:val="auto"/>
                <w:kern w:val="0"/>
                <w:szCs w:val="21"/>
                <w:highlight w:val="none"/>
                <w:lang w:val="en-US" w:eastAsia="zh-CN"/>
              </w:rPr>
              <w:t>投标人</w:t>
            </w:r>
            <w:r>
              <w:rPr>
                <w:rFonts w:hint="eastAsia" w:ascii="宋体" w:hAnsi="宋体" w:cs="宋体"/>
                <w:b/>
                <w:bCs w:val="0"/>
                <w:color w:val="auto"/>
                <w:kern w:val="0"/>
                <w:szCs w:val="21"/>
                <w:highlight w:val="none"/>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49" w:type="dxa"/>
            <w:gridSpan w:val="4"/>
            <w:shd w:val="clear" w:color="auto" w:fill="auto"/>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cs="宋体"/>
                <w:bCs/>
                <w:color w:val="auto"/>
                <w:kern w:val="0"/>
                <w:szCs w:val="21"/>
                <w:highlight w:val="none"/>
              </w:rPr>
            </w:pPr>
            <w:r>
              <w:rPr>
                <w:rFonts w:hint="eastAsia" w:ascii="宋体" w:hAnsi="宋体" w:cs="宋体"/>
                <w:b/>
                <w:bCs/>
                <w:color w:val="auto"/>
                <w:sz w:val="24"/>
                <w:highlight w:val="none"/>
              </w:rPr>
              <w:t>总得分=1+2+3</w:t>
            </w:r>
          </w:p>
        </w:tc>
      </w:tr>
    </w:tbl>
    <w:p>
      <w:pPr>
        <w:keepNext w:val="0"/>
        <w:keepLines w:val="0"/>
        <w:pageBreakBefore w:val="0"/>
        <w:widowControl w:val="0"/>
        <w:kinsoku/>
        <w:wordWrap/>
        <w:overflowPunct/>
        <w:topLinePunct w:val="0"/>
        <w:autoSpaceDE/>
        <w:autoSpaceDN/>
        <w:bidi w:val="0"/>
        <w:adjustRightInd/>
        <w:snapToGrid w:val="0"/>
        <w:spacing w:line="240" w:lineRule="auto"/>
        <w:ind w:firstLine="426" w:firstLineChars="202"/>
        <w:jc w:val="left"/>
        <w:textAlignment w:val="auto"/>
        <w:rPr>
          <w:rFonts w:hint="eastAsia" w:ascii="宋体" w:hAnsi="宋体" w:cs="宋体"/>
          <w:b/>
          <w:bCs/>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三、中标候选人推荐原则</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color w:val="auto"/>
          <w:highlight w:val="none"/>
        </w:rPr>
      </w:pPr>
      <w:r>
        <w:rPr>
          <w:rFonts w:hint="eastAsia" w:ascii="宋体" w:hAnsi="宋体" w:cs="宋体"/>
          <w:color w:val="auto"/>
          <w:szCs w:val="21"/>
          <w:highlight w:val="none"/>
        </w:rPr>
        <w:t>（一）评标委员会将根据得分由高到低排列次序（得分相同时，以投标报价由低到高顺序排列；得分相同且投标报价相同的，按服务方案优劣顺序排列）并推荐中标候选人3名。得分最高的中标候选人（得分相同时，</w:t>
      </w: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w:t>
      </w:r>
      <w:r>
        <w:rPr>
          <w:rFonts w:hint="eastAsia" w:ascii="宋体" w:hAnsi="宋体" w:eastAsia="宋体" w:cs="宋体"/>
          <w:color w:val="auto"/>
          <w:sz w:val="21"/>
          <w:szCs w:val="21"/>
          <w:highlight w:val="none"/>
          <w:lang w:val="en-US" w:eastAsia="zh-CN"/>
        </w:rPr>
        <w:t>排列</w:t>
      </w:r>
      <w:r>
        <w:rPr>
          <w:rFonts w:hint="eastAsia" w:ascii="宋体" w:hAnsi="宋体" w:cs="宋体"/>
          <w:color w:val="auto"/>
          <w:szCs w:val="21"/>
          <w:highlight w:val="none"/>
        </w:rPr>
        <w:t>）为中标人。采购人应当确定评审委员会推荐排名第一的中标候选人为中标人。</w:t>
      </w:r>
    </w:p>
    <w:p>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pStyle w:val="24"/>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4"/>
        <w:rPr>
          <w:rFonts w:hint="eastAsia" w:ascii="宋体" w:hAnsi="宋体" w:eastAsia="宋体" w:cs="宋体"/>
          <w:color w:val="auto"/>
          <w:szCs w:val="21"/>
          <w:highlight w:val="none"/>
        </w:rPr>
      </w:pPr>
      <w:r>
        <w:rPr>
          <w:rFonts w:hint="eastAsia" w:ascii="宋体" w:hAnsi="宋体" w:cs="宋体"/>
          <w:color w:val="auto"/>
          <w:szCs w:val="21"/>
          <w:highlight w:val="none"/>
        </w:rPr>
        <w:br w:type="page"/>
      </w:r>
    </w:p>
    <w:p>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25" w:name="_Toc971"/>
      <w:bookmarkStart w:id="126" w:name="_Toc4121"/>
      <w:r>
        <w:rPr>
          <w:rFonts w:hint="eastAsia" w:ascii="宋体" w:hAnsi="宋体" w:eastAsia="宋体" w:cs="宋体"/>
          <w:b/>
          <w:bCs/>
          <w:color w:val="auto"/>
          <w:kern w:val="44"/>
          <w:sz w:val="44"/>
          <w:szCs w:val="44"/>
          <w:highlight w:val="none"/>
          <w:lang w:val="en-US" w:eastAsia="zh-CN" w:bidi="ar-SA"/>
        </w:rPr>
        <w:t xml:space="preserve">第五章 </w:t>
      </w:r>
      <w:r>
        <w:rPr>
          <w:rFonts w:hint="eastAsia" w:ascii="宋体" w:hAnsi="宋体" w:eastAsia="宋体" w:cs="宋体"/>
          <w:color w:val="auto"/>
          <w:sz w:val="44"/>
          <w:szCs w:val="44"/>
          <w:highlight w:val="none"/>
          <w:lang w:val="en-US" w:eastAsia="zh-CN"/>
        </w:rPr>
        <w:t>拟签订的合同文本</w:t>
      </w:r>
      <w:bookmarkEnd w:id="125"/>
      <w:bookmarkEnd w:id="126"/>
    </w:p>
    <w:p>
      <w:pPr>
        <w:pStyle w:val="2"/>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27" w:name="_Toc1521"/>
      <w:bookmarkStart w:id="128" w:name="_Toc18478"/>
      <w:bookmarkStart w:id="129" w:name="_Toc2695"/>
      <w:bookmarkStart w:id="130" w:name="_Toc19470"/>
      <w:bookmarkStart w:id="131" w:name="_Toc3136"/>
      <w:bookmarkStart w:id="132" w:name="_Toc12316"/>
      <w:bookmarkStart w:id="133" w:name="_Toc6256"/>
      <w:r>
        <w:rPr>
          <w:rFonts w:hint="eastAsia" w:ascii="宋体" w:hAnsi="宋体" w:eastAsia="宋体" w:cs="宋体"/>
          <w:color w:val="auto"/>
          <w:sz w:val="24"/>
          <w:szCs w:val="24"/>
          <w:highlight w:val="none"/>
        </w:rPr>
        <w:t>拟签订的合同文本</w:t>
      </w:r>
      <w:bookmarkEnd w:id="127"/>
      <w:bookmarkEnd w:id="128"/>
      <w:bookmarkEnd w:id="129"/>
      <w:bookmarkEnd w:id="130"/>
      <w:bookmarkEnd w:id="131"/>
      <w:bookmarkEnd w:id="132"/>
      <w:bookmarkEnd w:id="133"/>
    </w:p>
    <w:p>
      <w:pPr>
        <w:pStyle w:val="13"/>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甲方（采购人）：                                      合同编号：</w:t>
      </w:r>
    </w:p>
    <w:p>
      <w:pPr>
        <w:pStyle w:val="13"/>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乙方（中标人）：                                      签订地点：</w:t>
      </w:r>
    </w:p>
    <w:p>
      <w:pPr>
        <w:pStyle w:val="13"/>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Cs/>
          <w:color w:val="auto"/>
          <w:sz w:val="24"/>
          <w:szCs w:val="24"/>
          <w:highlight w:val="none"/>
        </w:rPr>
      </w:pP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根据《中华人民共和国政府采购法》、《中华人民共和国</w:t>
      </w:r>
      <w:r>
        <w:rPr>
          <w:rFonts w:hint="eastAsia" w:ascii="仿宋_GB2312" w:hAnsi="仿宋_GB2312" w:eastAsia="仿宋_GB2312" w:cs="仿宋_GB2312"/>
          <w:color w:val="auto"/>
          <w:sz w:val="24"/>
          <w:szCs w:val="24"/>
          <w:highlight w:val="none"/>
          <w:lang w:val="en-US" w:eastAsia="zh-CN"/>
        </w:rPr>
        <w:t>民法典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以及</w:t>
      </w:r>
      <w:r>
        <w:rPr>
          <w:rFonts w:hint="eastAsia" w:ascii="仿宋_GB2312" w:hAnsi="仿宋_GB2312" w:eastAsia="仿宋_GB2312" w:cs="仿宋_GB2312"/>
          <w:color w:val="auto"/>
          <w:kern w:val="0"/>
          <w:sz w:val="24"/>
          <w:szCs w:val="24"/>
          <w:highlight w:val="none"/>
        </w:rPr>
        <w:t>国家和地方政府有关物业管理的法律、法规和政策规定</w:t>
      </w:r>
      <w:r>
        <w:rPr>
          <w:rFonts w:hint="eastAsia" w:ascii="仿宋_GB2312" w:hAnsi="仿宋_GB2312" w:eastAsia="仿宋_GB2312" w:cs="仿宋_GB2312"/>
          <w:color w:val="auto"/>
          <w:sz w:val="24"/>
          <w:szCs w:val="24"/>
          <w:highlight w:val="none"/>
        </w:rPr>
        <w:t>，为保证所购的服务质量，明确双方的权利义务，甲乙双方在平等、自愿、协商一致的基础上，就有关事宜达成如下协议：</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一、合同内容</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依据采购文件（含补充、修改文件）和乙方的投标文件（含澄清、补充文件）</w:t>
      </w:r>
      <w:r>
        <w:rPr>
          <w:rFonts w:hint="eastAsia" w:ascii="仿宋_GB2312" w:hAnsi="仿宋_GB2312" w:eastAsia="仿宋_GB2312" w:cs="仿宋_GB2312"/>
          <w:color w:val="auto"/>
          <w:sz w:val="24"/>
          <w:szCs w:val="24"/>
          <w:highlight w:val="none"/>
          <w:lang w:val="en-US" w:eastAsia="zh-CN"/>
        </w:rPr>
        <w:t>内容</w:t>
      </w:r>
      <w:r>
        <w:rPr>
          <w:rFonts w:hint="eastAsia" w:ascii="仿宋_GB2312" w:hAnsi="仿宋_GB2312" w:eastAsia="仿宋_GB2312" w:cs="仿宋_GB2312"/>
          <w:color w:val="auto"/>
          <w:sz w:val="24"/>
          <w:szCs w:val="24"/>
          <w:highlight w:val="none"/>
        </w:rPr>
        <w:t>，乙方向甲方提供物业管理服务。</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物业基本情况</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项目地点</w:t>
      </w:r>
      <w:r>
        <w:rPr>
          <w:rFonts w:hint="eastAsia" w:ascii="仿宋_GB2312" w:hAnsi="仿宋_GB2312" w:eastAsia="仿宋_GB2312" w:cs="仿宋_GB2312"/>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服务场所规模</w:t>
      </w:r>
      <w:r>
        <w:rPr>
          <w:rFonts w:hint="eastAsia" w:ascii="仿宋_GB2312" w:hAnsi="仿宋_GB2312" w:eastAsia="仿宋_GB2312" w:cs="仿宋_GB2312"/>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 xml:space="preserve">3、物业管理范围：   </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具体物业范围及构成</w:t>
      </w:r>
      <w:r>
        <w:rPr>
          <w:rFonts w:hint="eastAsia" w:ascii="仿宋_GB2312" w:hAnsi="仿宋_GB2312" w:eastAsia="仿宋_GB2312" w:cs="仿宋_GB2312"/>
          <w:bCs/>
          <w:color w:val="auto"/>
          <w:sz w:val="24"/>
          <w:szCs w:val="24"/>
          <w:highlight w:val="none"/>
          <w:lang w:val="en-US" w:eastAsia="zh-CN"/>
        </w:rPr>
        <w:t>详</w:t>
      </w:r>
      <w:r>
        <w:rPr>
          <w:rFonts w:hint="eastAsia" w:ascii="仿宋_GB2312" w:hAnsi="仿宋_GB2312" w:eastAsia="仿宋_GB2312" w:cs="仿宋_GB2312"/>
          <w:bCs/>
          <w:color w:val="auto"/>
          <w:sz w:val="24"/>
          <w:szCs w:val="24"/>
          <w:highlight w:val="none"/>
        </w:rPr>
        <w:t>见本项目招标文件中第二章《采购需求》的相关内容。</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 xml:space="preserve">                                      </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物业</w:t>
      </w:r>
      <w:r>
        <w:rPr>
          <w:rFonts w:hint="eastAsia" w:ascii="仿宋_GB2312" w:hAnsi="仿宋_GB2312" w:eastAsia="仿宋_GB2312" w:cs="仿宋_GB2312"/>
          <w:b/>
          <w:bCs/>
          <w:color w:val="auto"/>
          <w:sz w:val="24"/>
          <w:szCs w:val="24"/>
          <w:highlight w:val="none"/>
        </w:rPr>
        <w:t>管理</w:t>
      </w:r>
      <w:r>
        <w:rPr>
          <w:rFonts w:hint="eastAsia" w:ascii="仿宋_GB2312" w:hAnsi="仿宋_GB2312" w:eastAsia="仿宋_GB2312" w:cs="仿宋_GB2312"/>
          <w:b/>
          <w:bCs/>
          <w:color w:val="auto"/>
          <w:sz w:val="24"/>
          <w:szCs w:val="24"/>
          <w:highlight w:val="none"/>
          <w:lang w:val="en-US" w:eastAsia="zh-CN"/>
        </w:rPr>
        <w:t>服务内容</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            ；</w:t>
      </w:r>
    </w:p>
    <w:p>
      <w:pPr>
        <w:keepNext w:val="0"/>
        <w:keepLines w:val="0"/>
        <w:pageBreakBefore w:val="0"/>
        <w:numPr>
          <w:ilvl w:val="0"/>
          <w:numId w:val="11"/>
        </w:numPr>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pacing w:line="380" w:lineRule="exact"/>
        <w:ind w:firstLine="482" w:firstLineChars="201"/>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kern w:val="0"/>
          <w:sz w:val="24"/>
          <w:szCs w:val="24"/>
          <w:highlight w:val="none"/>
        </w:rPr>
        <w:t>具体服务内容包含招标文件的《采购需求》、投标文件的《服务方案》和乙方的所有承诺服务内容；</w:t>
      </w:r>
    </w:p>
    <w:p>
      <w:pPr>
        <w:pStyle w:val="24"/>
        <w:keepNext w:val="0"/>
        <w:keepLines w:val="0"/>
        <w:pageBreakBefore w:val="0"/>
        <w:kinsoku/>
        <w:wordWrap/>
        <w:overflowPunct/>
        <w:topLinePunct w:val="0"/>
        <w:autoSpaceDE/>
        <w:autoSpaceDN/>
        <w:bidi w:val="0"/>
        <w:adjustRightInd/>
        <w:spacing w:line="380" w:lineRule="exact"/>
        <w:textAlignment w:val="auto"/>
        <w:rPr>
          <w:rFonts w:hint="eastAsia" w:ascii="仿宋_GB2312" w:hAnsi="仿宋_GB2312" w:eastAsia="仿宋_GB2312" w:cs="仿宋_GB2312"/>
          <w:b/>
          <w:bCs/>
          <w:color w:val="auto"/>
          <w:spacing w:val="10"/>
          <w:sz w:val="24"/>
          <w:szCs w:val="24"/>
          <w:highlight w:val="none"/>
        </w:rPr>
      </w:pPr>
      <w:r>
        <w:rPr>
          <w:rFonts w:hint="eastAsia" w:ascii="仿宋_GB2312" w:hAnsi="仿宋_GB2312" w:eastAsia="仿宋_GB2312" w:cs="仿宋_GB2312"/>
          <w:b/>
          <w:bCs/>
          <w:color w:val="auto"/>
          <w:spacing w:val="10"/>
          <w:sz w:val="24"/>
          <w:szCs w:val="24"/>
          <w:highlight w:val="none"/>
          <w:lang w:val="en-US" w:eastAsia="zh-CN"/>
        </w:rPr>
        <w:t>四、</w:t>
      </w:r>
      <w:r>
        <w:rPr>
          <w:rFonts w:hint="eastAsia" w:ascii="仿宋_GB2312" w:hAnsi="仿宋_GB2312" w:eastAsia="仿宋_GB2312" w:cs="仿宋_GB2312"/>
          <w:b/>
          <w:bCs/>
          <w:color w:val="auto"/>
          <w:spacing w:val="10"/>
          <w:sz w:val="24"/>
          <w:szCs w:val="24"/>
          <w:highlight w:val="none"/>
        </w:rPr>
        <w:t>人员岗位配置</w:t>
      </w:r>
    </w:p>
    <w:p>
      <w:pPr>
        <w:pStyle w:val="24"/>
        <w:keepNext w:val="0"/>
        <w:keepLines w:val="0"/>
        <w:pageBreakBefore w:val="0"/>
        <w:kinsoku/>
        <w:wordWrap/>
        <w:overflowPunct/>
        <w:topLinePunct w:val="0"/>
        <w:autoSpaceDE/>
        <w:autoSpaceDN/>
        <w:bidi w:val="0"/>
        <w:adjustRightInd/>
        <w:spacing w:line="3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pacing w:val="10"/>
          <w:sz w:val="24"/>
          <w:szCs w:val="24"/>
          <w:highlight w:val="none"/>
        </w:rPr>
        <w:t>乙方</w:t>
      </w:r>
      <w:r>
        <w:rPr>
          <w:rFonts w:hint="eastAsia" w:ascii="仿宋_GB2312" w:hAnsi="仿宋_GB2312" w:eastAsia="仿宋_GB2312" w:cs="仿宋_GB2312"/>
          <w:b w:val="0"/>
          <w:bCs w:val="0"/>
          <w:color w:val="auto"/>
          <w:spacing w:val="10"/>
          <w:sz w:val="24"/>
          <w:szCs w:val="24"/>
          <w:highlight w:val="none"/>
          <w:lang w:val="en-US" w:eastAsia="zh-CN"/>
        </w:rPr>
        <w:t>必须</w:t>
      </w:r>
      <w:r>
        <w:rPr>
          <w:rFonts w:hint="eastAsia" w:ascii="仿宋_GB2312" w:hAnsi="仿宋_GB2312" w:eastAsia="仿宋_GB2312" w:cs="仿宋_GB2312"/>
          <w:b w:val="0"/>
          <w:bCs w:val="0"/>
          <w:color w:val="auto"/>
          <w:spacing w:val="10"/>
          <w:sz w:val="24"/>
          <w:szCs w:val="24"/>
          <w:highlight w:val="none"/>
        </w:rPr>
        <w:t>严格按照投标文件承诺的</w:t>
      </w:r>
      <w:r>
        <w:rPr>
          <w:rFonts w:hint="eastAsia" w:ascii="仿宋_GB2312" w:hAnsi="仿宋_GB2312" w:eastAsia="仿宋_GB2312" w:cs="仿宋_GB2312"/>
          <w:b w:val="0"/>
          <w:bCs w:val="0"/>
          <w:color w:val="auto"/>
          <w:spacing w:val="10"/>
          <w:sz w:val="24"/>
          <w:szCs w:val="24"/>
          <w:highlight w:val="none"/>
          <w:lang w:val="en-US" w:eastAsia="zh-CN"/>
        </w:rPr>
        <w:t>人员</w:t>
      </w:r>
      <w:r>
        <w:rPr>
          <w:rFonts w:hint="eastAsia" w:ascii="仿宋_GB2312" w:hAnsi="仿宋_GB2312" w:eastAsia="仿宋_GB2312" w:cs="仿宋_GB2312"/>
          <w:b w:val="0"/>
          <w:bCs w:val="0"/>
          <w:color w:val="auto"/>
          <w:spacing w:val="10"/>
          <w:sz w:val="24"/>
          <w:szCs w:val="24"/>
          <w:highlight w:val="none"/>
        </w:rPr>
        <w:t>数量（具体以投标文件载明为准）配备服务人员</w:t>
      </w:r>
      <w:r>
        <w:rPr>
          <w:rFonts w:hint="eastAsia" w:ascii="仿宋_GB2312" w:hAnsi="仿宋_GB2312" w:eastAsia="仿宋_GB2312" w:cs="仿宋_GB2312"/>
          <w:b w:val="0"/>
          <w:bCs w:val="0"/>
          <w:color w:val="auto"/>
          <w:spacing w:val="10"/>
          <w:sz w:val="24"/>
          <w:szCs w:val="24"/>
          <w:highlight w:val="none"/>
          <w:lang w:eastAsia="zh-CN"/>
        </w:rPr>
        <w:t>，</w:t>
      </w:r>
      <w:r>
        <w:rPr>
          <w:rFonts w:hint="eastAsia" w:ascii="仿宋_GB2312" w:hAnsi="仿宋_GB2312" w:eastAsia="仿宋_GB2312" w:cs="仿宋_GB2312"/>
          <w:b w:val="0"/>
          <w:bCs w:val="0"/>
          <w:color w:val="auto"/>
          <w:spacing w:val="4"/>
          <w:sz w:val="24"/>
          <w:szCs w:val="24"/>
          <w:highlight w:val="none"/>
          <w:lang w:val="en-US" w:eastAsia="zh-CN"/>
        </w:rPr>
        <w:t>物业服务总人数不低于</w:t>
      </w:r>
      <w:r>
        <w:rPr>
          <w:rFonts w:hint="eastAsia" w:ascii="仿宋_GB2312" w:hAnsi="仿宋_GB2312" w:eastAsia="仿宋_GB2312" w:cs="仿宋_GB2312"/>
          <w:b w:val="0"/>
          <w:bCs w:val="0"/>
          <w:color w:val="auto"/>
          <w:spacing w:val="4"/>
          <w:sz w:val="24"/>
          <w:szCs w:val="24"/>
          <w:highlight w:val="none"/>
          <w:u w:val="single"/>
          <w:lang w:val="en-US" w:eastAsia="zh-CN"/>
        </w:rPr>
        <w:t xml:space="preserve">     </w:t>
      </w:r>
      <w:r>
        <w:rPr>
          <w:rFonts w:hint="eastAsia" w:ascii="仿宋_GB2312" w:hAnsi="仿宋_GB2312" w:eastAsia="仿宋_GB2312" w:cs="仿宋_GB2312"/>
          <w:b w:val="0"/>
          <w:bCs w:val="0"/>
          <w:color w:val="auto"/>
          <w:spacing w:val="4"/>
          <w:sz w:val="24"/>
          <w:szCs w:val="24"/>
          <w:highlight w:val="none"/>
          <w:lang w:val="en-US" w:eastAsia="zh-CN"/>
        </w:rPr>
        <w:t>人，其中：</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5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u w:val="single"/>
          <w:lang w:val="en-US" w:eastAsia="zh-CN"/>
        </w:rPr>
        <w:t xml:space="preserve">1.物业经理    </w:t>
      </w:r>
      <w:r>
        <w:rPr>
          <w:rFonts w:hint="eastAsia" w:ascii="仿宋_GB2312" w:hAnsi="仿宋_GB2312" w:eastAsia="仿宋_GB2312" w:cs="仿宋_GB2312"/>
          <w:color w:val="auto"/>
          <w:spacing w:val="-7"/>
          <w:sz w:val="24"/>
          <w:szCs w:val="24"/>
          <w:highlight w:val="none"/>
          <w:u w:val="single"/>
        </w:rPr>
        <w:t>人</w:t>
      </w:r>
      <w:r>
        <w:rPr>
          <w:rFonts w:hint="eastAsia" w:ascii="仿宋_GB2312" w:hAnsi="仿宋_GB2312" w:eastAsia="仿宋_GB2312" w:cs="仿宋_GB2312"/>
          <w:color w:val="auto"/>
          <w:spacing w:val="-7"/>
          <w:sz w:val="24"/>
          <w:szCs w:val="24"/>
          <w:highlight w:val="none"/>
          <w:u w:val="single"/>
          <w:lang w:eastAsia="zh-CN"/>
        </w:rPr>
        <w:t>；</w:t>
      </w:r>
      <w:r>
        <w:rPr>
          <w:rFonts w:hint="eastAsia" w:ascii="仿宋_GB2312" w:hAnsi="仿宋_GB2312" w:eastAsia="仿宋_GB2312" w:cs="仿宋_GB2312"/>
          <w:color w:val="auto"/>
          <w:sz w:val="24"/>
          <w:szCs w:val="24"/>
          <w:highlight w:val="none"/>
          <w:u w:val="single" w:color="auto"/>
        </w:rPr>
        <w:tab/>
      </w:r>
      <w:r>
        <w:rPr>
          <w:rFonts w:hint="eastAsia" w:ascii="仿宋_GB2312" w:hAnsi="仿宋_GB2312" w:eastAsia="仿宋_GB2312" w:cs="仿宋_GB2312"/>
          <w:color w:val="auto"/>
          <w:sz w:val="24"/>
          <w:szCs w:val="24"/>
          <w:highlight w:val="none"/>
        </w:rPr>
        <w:t xml:space="preserve"> </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b/>
          <w:bCs/>
          <w:color w:val="auto"/>
          <w:spacing w:val="10"/>
          <w:sz w:val="24"/>
          <w:szCs w:val="24"/>
          <w:highlight w:val="none"/>
          <w:lang w:val="en-US" w:eastAsia="zh-CN"/>
        </w:rPr>
      </w:pPr>
      <w:r>
        <w:rPr>
          <w:rFonts w:hint="eastAsia" w:ascii="仿宋_GB2312" w:hAnsi="仿宋_GB2312" w:eastAsia="仿宋_GB2312" w:cs="仿宋_GB2312"/>
          <w:color w:val="auto"/>
          <w:spacing w:val="-2"/>
          <w:sz w:val="24"/>
          <w:szCs w:val="24"/>
          <w:highlight w:val="none"/>
        </w:rPr>
        <w:t>2.</w:t>
      </w:r>
      <w:r>
        <w:rPr>
          <w:rFonts w:hint="eastAsia" w:ascii="仿宋_GB2312" w:hAnsi="仿宋_GB2312" w:eastAsia="仿宋_GB2312" w:cs="仿宋_GB2312"/>
          <w:color w:val="auto"/>
          <w:spacing w:val="-2"/>
          <w:sz w:val="24"/>
          <w:szCs w:val="24"/>
          <w:highlight w:val="none"/>
          <w:u w:val="single"/>
          <w:lang w:val="en-US" w:eastAsia="zh-CN"/>
        </w:rPr>
        <w:t xml:space="preserve">综合主管    </w:t>
      </w:r>
      <w:r>
        <w:rPr>
          <w:rFonts w:hint="eastAsia" w:ascii="仿宋_GB2312" w:hAnsi="仿宋_GB2312" w:eastAsia="仿宋_GB2312" w:cs="仿宋_GB2312"/>
          <w:color w:val="auto"/>
          <w:spacing w:val="-2"/>
          <w:sz w:val="24"/>
          <w:szCs w:val="24"/>
          <w:highlight w:val="none"/>
          <w:u w:val="single"/>
        </w:rPr>
        <w:t>人</w:t>
      </w:r>
      <w:r>
        <w:rPr>
          <w:rFonts w:hint="eastAsia" w:ascii="仿宋_GB2312" w:hAnsi="仿宋_GB2312" w:eastAsia="仿宋_GB2312" w:cs="仿宋_GB2312"/>
          <w:color w:val="auto"/>
          <w:spacing w:val="-2"/>
          <w:sz w:val="24"/>
          <w:szCs w:val="24"/>
          <w:highlight w:val="none"/>
          <w:u w:val="single"/>
          <w:lang w:eastAsia="zh-CN"/>
        </w:rPr>
        <w:t>；</w:t>
      </w:r>
      <w:r>
        <w:rPr>
          <w:rFonts w:hint="eastAsia" w:ascii="仿宋_GB2312" w:hAnsi="仿宋_GB2312" w:eastAsia="仿宋_GB2312" w:cs="仿宋_GB2312"/>
          <w:color w:val="auto"/>
          <w:sz w:val="24"/>
          <w:szCs w:val="24"/>
          <w:highlight w:val="none"/>
          <w:u w:val="single" w:color="auto"/>
        </w:rPr>
        <w:tab/>
      </w:r>
      <w:r>
        <w:rPr>
          <w:rFonts w:hint="eastAsia" w:ascii="仿宋_GB2312" w:hAnsi="仿宋_GB2312" w:eastAsia="仿宋_GB2312" w:cs="仿宋_GB2312"/>
          <w:color w:val="auto"/>
          <w:sz w:val="24"/>
          <w:szCs w:val="24"/>
          <w:highlight w:val="none"/>
        </w:rPr>
        <w:t xml:space="preserve"> </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pacing w:val="-2"/>
          <w:sz w:val="24"/>
          <w:szCs w:val="24"/>
          <w:highlight w:val="none"/>
        </w:rPr>
        <w:t>3.</w:t>
      </w:r>
      <w:r>
        <w:rPr>
          <w:rFonts w:hint="eastAsia" w:ascii="仿宋_GB2312" w:hAnsi="仿宋_GB2312" w:eastAsia="仿宋_GB2312" w:cs="仿宋_GB2312"/>
          <w:color w:val="auto"/>
          <w:spacing w:val="-2"/>
          <w:sz w:val="24"/>
          <w:szCs w:val="24"/>
          <w:highlight w:val="none"/>
          <w:u w:val="single"/>
          <w:lang w:val="en-US" w:eastAsia="zh-CN"/>
        </w:rPr>
        <w:t>宿舍</w:t>
      </w:r>
      <w:r>
        <w:rPr>
          <w:rFonts w:hint="eastAsia" w:ascii="仿宋_GB2312" w:hAnsi="仿宋_GB2312" w:eastAsia="仿宋_GB2312" w:cs="仿宋_GB2312"/>
          <w:color w:val="auto"/>
          <w:spacing w:val="-2"/>
          <w:sz w:val="24"/>
          <w:szCs w:val="24"/>
          <w:highlight w:val="none"/>
          <w:u w:val="single"/>
        </w:rPr>
        <w:t>主管</w:t>
      </w:r>
      <w:r>
        <w:rPr>
          <w:rFonts w:hint="eastAsia" w:ascii="仿宋_GB2312" w:hAnsi="仿宋_GB2312" w:eastAsia="仿宋_GB2312" w:cs="仿宋_GB2312"/>
          <w:color w:val="auto"/>
          <w:spacing w:val="-2"/>
          <w:sz w:val="24"/>
          <w:szCs w:val="24"/>
          <w:highlight w:val="none"/>
          <w:u w:val="single"/>
          <w:lang w:val="en-US" w:eastAsia="zh-CN"/>
        </w:rPr>
        <w:t xml:space="preserve">        人</w:t>
      </w:r>
      <w:r>
        <w:rPr>
          <w:rFonts w:hint="eastAsia" w:ascii="仿宋_GB2312" w:hAnsi="仿宋_GB2312" w:eastAsia="仿宋_GB2312" w:cs="仿宋_GB2312"/>
          <w:color w:val="auto"/>
          <w:spacing w:val="-2"/>
          <w:sz w:val="24"/>
          <w:szCs w:val="24"/>
          <w:highlight w:val="none"/>
          <w:u w:val="single"/>
          <w:lang w:eastAsia="zh-CN"/>
        </w:rPr>
        <w:t>，</w:t>
      </w:r>
      <w:r>
        <w:rPr>
          <w:rFonts w:hint="eastAsia" w:ascii="仿宋_GB2312" w:hAnsi="仿宋_GB2312" w:eastAsia="仿宋_GB2312" w:cs="仿宋_GB2312"/>
          <w:color w:val="auto"/>
          <w:spacing w:val="-2"/>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color="auto"/>
        </w:rPr>
        <w:tab/>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u w:val="single"/>
          <w:lang w:val="en-US" w:eastAsia="zh-CN"/>
        </w:rPr>
        <w:t xml:space="preserve">4.保安队长     </w:t>
      </w:r>
      <w:r>
        <w:rPr>
          <w:rFonts w:hint="eastAsia" w:ascii="仿宋_GB2312" w:hAnsi="仿宋_GB2312" w:eastAsia="仿宋_GB2312" w:cs="仿宋_GB2312"/>
          <w:color w:val="auto"/>
          <w:spacing w:val="-2"/>
          <w:sz w:val="24"/>
          <w:szCs w:val="24"/>
          <w:highlight w:val="none"/>
          <w:u w:val="single"/>
        </w:rPr>
        <w:t>人</w:t>
      </w:r>
      <w:r>
        <w:rPr>
          <w:rFonts w:hint="eastAsia" w:ascii="仿宋_GB2312" w:hAnsi="仿宋_GB2312" w:eastAsia="仿宋_GB2312" w:cs="仿宋_GB2312"/>
          <w:color w:val="auto"/>
          <w:spacing w:val="-2"/>
          <w:sz w:val="24"/>
          <w:szCs w:val="24"/>
          <w:highlight w:val="none"/>
          <w:u w:val="single"/>
          <w:lang w:eastAsia="zh-CN"/>
        </w:rPr>
        <w:t>，</w:t>
      </w:r>
      <w:r>
        <w:rPr>
          <w:rFonts w:hint="eastAsia" w:ascii="仿宋_GB2312" w:hAnsi="仿宋_GB2312" w:eastAsia="仿宋_GB2312" w:cs="仿宋_GB2312"/>
          <w:color w:val="auto"/>
          <w:spacing w:val="-2"/>
          <w:sz w:val="24"/>
          <w:szCs w:val="24"/>
          <w:highlight w:val="none"/>
          <w:u w:val="single"/>
        </w:rPr>
        <w:t>需持保安</w:t>
      </w:r>
      <w:r>
        <w:rPr>
          <w:rFonts w:hint="eastAsia" w:ascii="仿宋_GB2312" w:hAnsi="仿宋_GB2312" w:eastAsia="仿宋_GB2312" w:cs="仿宋_GB2312"/>
          <w:color w:val="auto"/>
          <w:spacing w:val="-2"/>
          <w:sz w:val="24"/>
          <w:szCs w:val="24"/>
          <w:highlight w:val="none"/>
          <w:u w:val="single"/>
          <w:lang w:val="en-US" w:eastAsia="zh-CN"/>
        </w:rPr>
        <w:t>员</w:t>
      </w:r>
      <w:r>
        <w:rPr>
          <w:rFonts w:hint="eastAsia" w:ascii="仿宋_GB2312" w:hAnsi="仿宋_GB2312" w:eastAsia="仿宋_GB2312" w:cs="仿宋_GB2312"/>
          <w:color w:val="auto"/>
          <w:spacing w:val="-2"/>
          <w:sz w:val="24"/>
          <w:szCs w:val="24"/>
          <w:highlight w:val="none"/>
          <w:u w:val="single"/>
        </w:rPr>
        <w:t>证</w:t>
      </w:r>
      <w:r>
        <w:rPr>
          <w:rFonts w:hint="eastAsia" w:ascii="仿宋_GB2312" w:hAnsi="仿宋_GB2312" w:eastAsia="仿宋_GB2312" w:cs="仿宋_GB2312"/>
          <w:color w:val="auto"/>
          <w:spacing w:val="-2"/>
          <w:sz w:val="24"/>
          <w:szCs w:val="24"/>
          <w:highlight w:val="none"/>
          <w:u w:val="single"/>
          <w:lang w:val="en-US" w:eastAsia="zh-CN"/>
        </w:rPr>
        <w:t>及</w:t>
      </w:r>
      <w:r>
        <w:rPr>
          <w:rFonts w:hint="eastAsia" w:ascii="仿宋_GB2312" w:hAnsi="仿宋_GB2312" w:eastAsia="仿宋_GB2312" w:cs="仿宋_GB2312"/>
          <w:color w:val="auto"/>
          <w:sz w:val="24"/>
          <w:szCs w:val="24"/>
          <w:highlight w:val="none"/>
          <w:u w:val="single"/>
          <w:lang w:val="en-US" w:eastAsia="zh-CN"/>
        </w:rPr>
        <w:t>初级</w:t>
      </w:r>
      <w:r>
        <w:rPr>
          <w:rFonts w:hint="eastAsia" w:ascii="仿宋_GB2312" w:hAnsi="仿宋_GB2312" w:eastAsia="仿宋_GB2312" w:cs="仿宋_GB2312"/>
          <w:color w:val="auto"/>
          <w:sz w:val="24"/>
          <w:szCs w:val="24"/>
          <w:highlight w:val="none"/>
          <w:u w:val="single"/>
        </w:rPr>
        <w:t>消防设施操作员证书</w:t>
      </w:r>
      <w:r>
        <w:rPr>
          <w:rFonts w:hint="eastAsia" w:ascii="仿宋_GB2312" w:hAnsi="仿宋_GB2312" w:eastAsia="仿宋_GB2312" w:cs="仿宋_GB2312"/>
          <w:color w:val="auto"/>
          <w:spacing w:val="-2"/>
          <w:sz w:val="24"/>
          <w:szCs w:val="24"/>
          <w:highlight w:val="none"/>
          <w:u w:val="single"/>
          <w:lang w:eastAsia="zh-CN"/>
        </w:rPr>
        <w:t>；</w:t>
      </w:r>
      <w:r>
        <w:rPr>
          <w:rFonts w:hint="eastAsia" w:ascii="仿宋_GB2312" w:hAnsi="仿宋_GB2312" w:eastAsia="仿宋_GB2312" w:cs="仿宋_GB2312"/>
          <w:color w:val="auto"/>
          <w:sz w:val="24"/>
          <w:szCs w:val="24"/>
          <w:highlight w:val="none"/>
          <w:u w:val="single" w:color="auto"/>
        </w:rPr>
        <w:tab/>
      </w:r>
      <w:r>
        <w:rPr>
          <w:rFonts w:hint="eastAsia" w:ascii="仿宋_GB2312" w:hAnsi="仿宋_GB2312" w:eastAsia="仿宋_GB2312" w:cs="仿宋_GB2312"/>
          <w:color w:val="auto"/>
          <w:sz w:val="24"/>
          <w:szCs w:val="24"/>
          <w:highlight w:val="none"/>
        </w:rPr>
        <w:t xml:space="preserve"> </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pacing w:val="-2"/>
          <w:sz w:val="24"/>
          <w:szCs w:val="24"/>
          <w:highlight w:val="none"/>
          <w:u w:val="single"/>
          <w:lang w:eastAsia="zh-CN"/>
        </w:rPr>
      </w:pP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z w:val="24"/>
          <w:szCs w:val="24"/>
          <w:highlight w:val="none"/>
          <w:u w:val="single"/>
          <w:lang w:val="en-US" w:eastAsia="zh-CN"/>
        </w:rPr>
        <w:t>安保员   人，</w:t>
      </w:r>
      <w:r>
        <w:rPr>
          <w:rFonts w:hint="eastAsia" w:ascii="仿宋_GB2312" w:hAnsi="仿宋_GB2312" w:eastAsia="仿宋_GB2312" w:cs="仿宋_GB2312"/>
          <w:color w:val="auto"/>
          <w:spacing w:val="-2"/>
          <w:sz w:val="24"/>
          <w:szCs w:val="24"/>
          <w:highlight w:val="none"/>
          <w:u w:val="single"/>
        </w:rPr>
        <w:t>需持保安</w:t>
      </w:r>
      <w:r>
        <w:rPr>
          <w:rFonts w:hint="eastAsia" w:ascii="仿宋_GB2312" w:hAnsi="仿宋_GB2312" w:eastAsia="仿宋_GB2312" w:cs="仿宋_GB2312"/>
          <w:color w:val="auto"/>
          <w:spacing w:val="-2"/>
          <w:sz w:val="24"/>
          <w:szCs w:val="24"/>
          <w:highlight w:val="none"/>
          <w:u w:val="single"/>
          <w:lang w:val="en-US" w:eastAsia="zh-CN"/>
        </w:rPr>
        <w:t>员</w:t>
      </w:r>
      <w:r>
        <w:rPr>
          <w:rFonts w:hint="eastAsia" w:ascii="仿宋_GB2312" w:hAnsi="仿宋_GB2312" w:eastAsia="仿宋_GB2312" w:cs="仿宋_GB2312"/>
          <w:color w:val="auto"/>
          <w:spacing w:val="-2"/>
          <w:sz w:val="24"/>
          <w:szCs w:val="24"/>
          <w:highlight w:val="none"/>
          <w:u w:val="single"/>
        </w:rPr>
        <w:t>证</w:t>
      </w:r>
      <w:r>
        <w:rPr>
          <w:rFonts w:hint="eastAsia" w:ascii="仿宋_GB2312" w:hAnsi="仿宋_GB2312" w:eastAsia="仿宋_GB2312" w:cs="仿宋_GB2312"/>
          <w:color w:val="auto"/>
          <w:spacing w:val="-2"/>
          <w:sz w:val="24"/>
          <w:szCs w:val="24"/>
          <w:highlight w:val="none"/>
          <w:u w:val="single"/>
          <w:lang w:eastAsia="zh-CN"/>
        </w:rPr>
        <w:t>；</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pacing w:val="-2"/>
          <w:sz w:val="24"/>
          <w:szCs w:val="24"/>
          <w:highlight w:val="none"/>
          <w:u w:val="single"/>
          <w:lang w:val="en-US" w:eastAsia="zh-CN"/>
        </w:rPr>
      </w:pPr>
      <w:r>
        <w:rPr>
          <w:rFonts w:hint="eastAsia" w:ascii="仿宋_GB2312" w:hAnsi="仿宋_GB2312" w:eastAsia="仿宋_GB2312" w:cs="仿宋_GB2312"/>
          <w:color w:val="auto"/>
          <w:spacing w:val="-2"/>
          <w:sz w:val="24"/>
          <w:szCs w:val="24"/>
          <w:highlight w:val="none"/>
          <w:u w:val="single"/>
          <w:lang w:val="en-US" w:eastAsia="zh-CN"/>
        </w:rPr>
        <w:t>6</w:t>
      </w:r>
      <w:r>
        <w:rPr>
          <w:rFonts w:hint="eastAsia" w:ascii="仿宋_GB2312" w:hAnsi="仿宋_GB2312" w:eastAsia="仿宋_GB2312" w:cs="仿宋_GB2312"/>
          <w:color w:val="auto"/>
          <w:sz w:val="24"/>
          <w:szCs w:val="24"/>
          <w:highlight w:val="none"/>
          <w:u w:val="single"/>
          <w:lang w:val="en-US" w:eastAsia="zh-CN"/>
        </w:rPr>
        <w:t xml:space="preserve">.消防与监控保卫岗     </w:t>
      </w:r>
      <w:r>
        <w:rPr>
          <w:rFonts w:hint="eastAsia" w:ascii="仿宋_GB2312" w:hAnsi="仿宋_GB2312" w:eastAsia="仿宋_GB2312" w:cs="仿宋_GB2312"/>
          <w:color w:val="auto"/>
          <w:sz w:val="24"/>
          <w:szCs w:val="24"/>
          <w:highlight w:val="none"/>
          <w:u w:val="single"/>
        </w:rPr>
        <w:t>人</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需持</w:t>
      </w:r>
      <w:r>
        <w:rPr>
          <w:rFonts w:hint="eastAsia" w:ascii="仿宋_GB2312" w:hAnsi="仿宋_GB2312" w:eastAsia="仿宋_GB2312" w:cs="仿宋_GB2312"/>
          <w:color w:val="auto"/>
          <w:sz w:val="24"/>
          <w:szCs w:val="24"/>
          <w:highlight w:val="none"/>
          <w:u w:val="single"/>
          <w:lang w:val="en-US" w:eastAsia="zh-CN"/>
        </w:rPr>
        <w:t>初级</w:t>
      </w:r>
      <w:r>
        <w:rPr>
          <w:rFonts w:hint="eastAsia" w:ascii="仿宋_GB2312" w:hAnsi="仿宋_GB2312" w:eastAsia="仿宋_GB2312" w:cs="仿宋_GB2312"/>
          <w:color w:val="auto"/>
          <w:sz w:val="24"/>
          <w:szCs w:val="24"/>
          <w:highlight w:val="none"/>
          <w:u w:val="single"/>
        </w:rPr>
        <w:t>消防设施操作员证书</w:t>
      </w:r>
      <w:r>
        <w:rPr>
          <w:rFonts w:hint="eastAsia" w:ascii="仿宋_GB2312" w:hAnsi="仿宋_GB2312" w:eastAsia="仿宋_GB2312" w:cs="仿宋_GB2312"/>
          <w:color w:val="auto"/>
          <w:spacing w:val="-2"/>
          <w:sz w:val="24"/>
          <w:szCs w:val="24"/>
          <w:highlight w:val="none"/>
          <w:u w:val="single"/>
          <w:lang w:eastAsia="zh-CN"/>
        </w:rPr>
        <w:t>；</w:t>
      </w:r>
      <w:r>
        <w:rPr>
          <w:rFonts w:hint="eastAsia" w:ascii="仿宋_GB2312" w:hAnsi="仿宋_GB2312" w:eastAsia="仿宋_GB2312" w:cs="仿宋_GB2312"/>
          <w:color w:val="auto"/>
          <w:sz w:val="24"/>
          <w:szCs w:val="24"/>
          <w:highlight w:val="none"/>
          <w:u w:val="single" w:color="auto"/>
        </w:rPr>
        <w:tab/>
      </w:r>
      <w:r>
        <w:rPr>
          <w:rFonts w:hint="eastAsia" w:ascii="仿宋_GB2312" w:hAnsi="仿宋_GB2312" w:eastAsia="仿宋_GB2312" w:cs="仿宋_GB2312"/>
          <w:color w:val="auto"/>
          <w:sz w:val="24"/>
          <w:szCs w:val="24"/>
          <w:highlight w:val="none"/>
        </w:rPr>
        <w:t xml:space="preserve"> </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pacing w:val="-2"/>
          <w:sz w:val="24"/>
          <w:szCs w:val="24"/>
          <w:highlight w:val="none"/>
          <w:u w:val="single"/>
          <w:lang w:val="en-US" w:eastAsia="zh-CN"/>
        </w:rPr>
      </w:pPr>
      <w:r>
        <w:rPr>
          <w:rFonts w:hint="eastAsia" w:ascii="仿宋_GB2312" w:hAnsi="仿宋_GB2312" w:eastAsia="仿宋_GB2312" w:cs="仿宋_GB2312"/>
          <w:color w:val="auto"/>
          <w:spacing w:val="-2"/>
          <w:sz w:val="24"/>
          <w:szCs w:val="24"/>
          <w:highlight w:val="none"/>
          <w:u w:val="single"/>
          <w:lang w:val="en-US" w:eastAsia="zh-CN"/>
        </w:rPr>
        <w:t>7.保洁员    人；</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pacing w:val="-2"/>
          <w:sz w:val="24"/>
          <w:szCs w:val="24"/>
          <w:highlight w:val="none"/>
          <w:u w:val="single"/>
          <w:lang w:val="en-US" w:eastAsia="zh-CN"/>
        </w:rPr>
      </w:pPr>
      <w:r>
        <w:rPr>
          <w:rFonts w:hint="eastAsia" w:ascii="仿宋_GB2312" w:hAnsi="仿宋_GB2312" w:eastAsia="仿宋_GB2312" w:cs="仿宋_GB2312"/>
          <w:color w:val="auto"/>
          <w:spacing w:val="-2"/>
          <w:sz w:val="24"/>
          <w:szCs w:val="24"/>
          <w:highlight w:val="none"/>
          <w:u w:val="single"/>
          <w:lang w:val="en-US" w:eastAsia="zh-CN"/>
        </w:rPr>
        <w:t>8.绿化员    人；</w:t>
      </w:r>
    </w:p>
    <w:p>
      <w:pPr>
        <w:pStyle w:val="24"/>
        <w:keepNext w:val="0"/>
        <w:keepLines w:val="0"/>
        <w:pageBreakBefore w:val="0"/>
        <w:numPr>
          <w:ilvl w:val="0"/>
          <w:numId w:val="0"/>
        </w:numPr>
        <w:kinsoku/>
        <w:wordWrap/>
        <w:overflowPunct/>
        <w:topLinePunct w:val="0"/>
        <w:autoSpaceDE/>
        <w:autoSpaceDN/>
        <w:bidi w:val="0"/>
        <w:adjustRightInd/>
        <w:spacing w:line="380" w:lineRule="exact"/>
        <w:ind w:firstLine="472" w:firstLineChars="200"/>
        <w:textAlignment w:val="auto"/>
        <w:rPr>
          <w:rFonts w:hint="eastAsia" w:ascii="仿宋_GB2312" w:hAnsi="仿宋_GB2312" w:eastAsia="仿宋_GB2312" w:cs="仿宋_GB2312"/>
          <w:color w:val="auto"/>
          <w:spacing w:val="-2"/>
          <w:sz w:val="24"/>
          <w:szCs w:val="24"/>
          <w:highlight w:val="none"/>
          <w:u w:val="single"/>
          <w:lang w:val="en-US" w:eastAsia="zh-CN"/>
        </w:rPr>
      </w:pPr>
      <w:r>
        <w:rPr>
          <w:rFonts w:hint="eastAsia" w:ascii="仿宋_GB2312" w:hAnsi="仿宋_GB2312" w:eastAsia="仿宋_GB2312" w:cs="仿宋_GB2312"/>
          <w:color w:val="auto"/>
          <w:spacing w:val="-2"/>
          <w:sz w:val="24"/>
          <w:szCs w:val="24"/>
          <w:highlight w:val="none"/>
          <w:u w:val="single"/>
          <w:lang w:val="en-US" w:eastAsia="zh-CN"/>
        </w:rPr>
        <w:t>9.宿舍管理员    人。</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rPr>
        <w:t>、物业管理质量</w:t>
      </w:r>
    </w:p>
    <w:p>
      <w:pPr>
        <w:pStyle w:val="13"/>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乙方提供的服务质量标准按国家和地方政府的规定和本合同约定的物业服务质量要求及乙方在投标文件中的承诺执行。</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物业</w:t>
      </w:r>
      <w:r>
        <w:rPr>
          <w:rFonts w:hint="eastAsia" w:ascii="仿宋_GB2312" w:hAnsi="仿宋_GB2312" w:eastAsia="仿宋_GB2312" w:cs="仿宋_GB2312"/>
          <w:b/>
          <w:bCs/>
          <w:color w:val="auto"/>
          <w:sz w:val="24"/>
          <w:szCs w:val="24"/>
          <w:highlight w:val="none"/>
        </w:rPr>
        <w:t>管理</w:t>
      </w:r>
      <w:r>
        <w:rPr>
          <w:rFonts w:hint="eastAsia" w:ascii="仿宋_GB2312" w:hAnsi="仿宋_GB2312" w:eastAsia="仿宋_GB2312" w:cs="仿宋_GB2312"/>
          <w:b/>
          <w:bCs/>
          <w:color w:val="auto"/>
          <w:sz w:val="24"/>
          <w:szCs w:val="24"/>
          <w:highlight w:val="none"/>
          <w:lang w:val="en-US" w:eastAsia="zh-CN"/>
        </w:rPr>
        <w:t>服务</w:t>
      </w:r>
      <w:r>
        <w:rPr>
          <w:rFonts w:hint="eastAsia" w:ascii="仿宋_GB2312" w:hAnsi="仿宋_GB2312" w:eastAsia="仿宋_GB2312" w:cs="仿宋_GB2312"/>
          <w:b/>
          <w:bCs/>
          <w:color w:val="auto"/>
          <w:sz w:val="24"/>
          <w:szCs w:val="24"/>
          <w:highlight w:val="none"/>
        </w:rPr>
        <w:t>期限</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乙方提供物业</w:t>
      </w:r>
      <w:r>
        <w:rPr>
          <w:rFonts w:hint="eastAsia" w:ascii="仿宋_GB2312" w:hAnsi="仿宋_GB2312" w:eastAsia="仿宋_GB2312" w:cs="仿宋_GB2312"/>
          <w:color w:val="auto"/>
          <w:sz w:val="24"/>
          <w:szCs w:val="24"/>
          <w:highlight w:val="none"/>
        </w:rPr>
        <w:t>管理</w:t>
      </w:r>
      <w:r>
        <w:rPr>
          <w:rFonts w:hint="eastAsia" w:ascii="仿宋_GB2312" w:hAnsi="仿宋_GB2312" w:eastAsia="仿宋_GB2312" w:cs="仿宋_GB2312"/>
          <w:color w:val="auto"/>
          <w:sz w:val="24"/>
          <w:szCs w:val="24"/>
          <w:highlight w:val="none"/>
          <w:lang w:val="en-US" w:eastAsia="zh-CN"/>
        </w:rPr>
        <w:t>服务的</w:t>
      </w:r>
      <w:r>
        <w:rPr>
          <w:rFonts w:hint="eastAsia" w:ascii="仿宋_GB2312" w:hAnsi="仿宋_GB2312" w:eastAsia="仿宋_GB2312" w:cs="仿宋_GB2312"/>
          <w:color w:val="auto"/>
          <w:sz w:val="24"/>
          <w:szCs w:val="24"/>
          <w:highlight w:val="none"/>
        </w:rPr>
        <w:t>期限为</w:t>
      </w:r>
      <w:r>
        <w:rPr>
          <w:rFonts w:hint="eastAsia" w:ascii="仿宋_GB2312" w:hAnsi="仿宋_GB2312" w:eastAsia="仿宋_GB2312" w:cs="仿宋_GB2312"/>
          <w:color w:val="auto"/>
          <w:sz w:val="24"/>
          <w:szCs w:val="24"/>
          <w:highlight w:val="none"/>
          <w:lang w:val="en-US" w:eastAsia="zh-CN"/>
        </w:rPr>
        <w:t>2年，即</w:t>
      </w:r>
      <w:r>
        <w:rPr>
          <w:rFonts w:hint="eastAsia" w:ascii="仿宋_GB2312" w:hAnsi="仿宋_GB2312" w:eastAsia="仿宋_GB2312" w:cs="仿宋_GB2312"/>
          <w:color w:val="auto"/>
          <w:sz w:val="24"/>
          <w:szCs w:val="24"/>
          <w:highlight w:val="none"/>
        </w:rPr>
        <w:t>自    年  月  日至   年  月  日止。在此期间未履行合同，不遵守承诺或达不到甲方要求，甲方有权解除合同，其一切责任由乙方负责，乙方不得以任何理由向甲方提出任何索赔要求。</w:t>
      </w:r>
    </w:p>
    <w:p>
      <w:pPr>
        <w:keepNext w:val="0"/>
        <w:keepLines w:val="0"/>
        <w:pageBreakBefore w:val="0"/>
        <w:numPr>
          <w:ilvl w:val="0"/>
          <w:numId w:val="0"/>
        </w:numPr>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七、</w:t>
      </w:r>
      <w:r>
        <w:rPr>
          <w:rFonts w:hint="eastAsia" w:ascii="仿宋_GB2312" w:hAnsi="仿宋_GB2312" w:eastAsia="仿宋_GB2312" w:cs="仿宋_GB2312"/>
          <w:b/>
          <w:bCs/>
          <w:color w:val="auto"/>
          <w:sz w:val="24"/>
          <w:szCs w:val="24"/>
          <w:highlight w:val="none"/>
        </w:rPr>
        <w:t>支付</w:t>
      </w:r>
      <w:r>
        <w:rPr>
          <w:rFonts w:hint="eastAsia" w:ascii="仿宋_GB2312" w:hAnsi="仿宋_GB2312" w:eastAsia="仿宋_GB2312" w:cs="仿宋_GB2312"/>
          <w:b/>
          <w:bCs/>
          <w:color w:val="auto"/>
          <w:sz w:val="24"/>
          <w:szCs w:val="24"/>
          <w:highlight w:val="none"/>
          <w:lang w:val="en-US" w:eastAsia="zh-CN"/>
        </w:rPr>
        <w:t>时间</w:t>
      </w:r>
      <w:r>
        <w:rPr>
          <w:rFonts w:hint="eastAsia" w:ascii="仿宋_GB2312" w:hAnsi="仿宋_GB2312" w:eastAsia="仿宋_GB2312" w:cs="仿宋_GB2312"/>
          <w:b/>
          <w:bCs/>
          <w:color w:val="auto"/>
          <w:sz w:val="24"/>
          <w:szCs w:val="24"/>
          <w:highlight w:val="none"/>
        </w:rPr>
        <w:t>及付款方式</w:t>
      </w:r>
      <w:r>
        <w:rPr>
          <w:rFonts w:hint="eastAsia" w:ascii="仿宋_GB2312" w:hAnsi="仿宋_GB2312" w:eastAsia="仿宋_GB2312" w:cs="仿宋_GB2312"/>
          <w:color w:val="auto"/>
          <w:sz w:val="24"/>
          <w:szCs w:val="24"/>
          <w:highlight w:val="none"/>
        </w:rPr>
        <w:t>：</w:t>
      </w:r>
    </w:p>
    <w:p>
      <w:pPr>
        <w:keepNext w:val="0"/>
        <w:keepLines w:val="0"/>
        <w:pageBreakBefore w:val="0"/>
        <w:numPr>
          <w:ilvl w:val="0"/>
          <w:numId w:val="0"/>
        </w:numPr>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本合同物业管理费总价为人民币</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val="en-US" w:eastAsia="zh-CN"/>
        </w:rPr>
        <w:t>元 (大写金额：</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val="en-US" w:eastAsia="zh-CN"/>
        </w:rPr>
        <w:t xml:space="preserve"> )。项目不设置预付款，按月结算。每月结束后，物业公司向后勤基建处提交请款相关资料，由相关部门对物业公司进行考评后结算支付（详见防城港职业技术学院物业服务月度考核表、防城港职业技术学院物业服务专项考核表）。</w:t>
      </w:r>
    </w:p>
    <w:p>
      <w:pPr>
        <w:keepNext w:val="0"/>
        <w:keepLines w:val="0"/>
        <w:pageBreakBefore w:val="0"/>
        <w:numPr>
          <w:ilvl w:val="0"/>
          <w:numId w:val="0"/>
        </w:numPr>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价款包括但不限于服务人员费用（含工资、社保费、劳保、意外伤害保险、福利、加班费、奖金等）、服务材料消耗品（清洁工具，清洁用品、生活垃圾袋、洗涤粉等洗涤用品）的补充、更换和维修维护、服装等费用、办公费用（含对讲机、通讯费、办公用品、培训费等）、人工费、管理费、利润、税费等完成合同所需的一切本身和不可或缺的所有开支、政策性文件规定的合同包含的所有风险、责任等各项全部费用的总和。</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、履约保证金的支付</w:t>
      </w:r>
    </w:p>
    <w:p>
      <w:pPr>
        <w:pStyle w:val="13"/>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无履约保证金。</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、双方权利义务</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（一）甲方的权利和义务</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1、代表和维护产权人、使用人的合法权益。积极协助乙方做好物业管理工作。</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2、审定乙方制定的物业管理制度及实施细则，并监督使用人遵守。</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3、审定乙方提出的物业管理年度计划、年度费用概预算、决算报告等。抽查物业管理经费的使用情况。</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4、对乙方的物业管理实施监督检查，每年进行</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次全面的考核评定，考核实施细则按照</w:t>
      </w:r>
      <w:r>
        <w:rPr>
          <w:rFonts w:hint="eastAsia" w:ascii="仿宋_GB2312" w:hAnsi="仿宋_GB2312" w:eastAsia="仿宋_GB2312" w:cs="仿宋_GB2312"/>
          <w:color w:val="auto"/>
          <w:sz w:val="24"/>
          <w:szCs w:val="24"/>
          <w:highlight w:val="none"/>
          <w:lang w:val="en-US" w:eastAsia="zh-CN"/>
        </w:rPr>
        <w:t>招标</w:t>
      </w:r>
      <w:r>
        <w:rPr>
          <w:rFonts w:hint="eastAsia" w:ascii="仿宋_GB2312" w:hAnsi="仿宋_GB2312" w:eastAsia="仿宋_GB2312" w:cs="仿宋_GB2312"/>
          <w:color w:val="auto"/>
          <w:sz w:val="24"/>
          <w:szCs w:val="24"/>
          <w:highlight w:val="none"/>
        </w:rPr>
        <w:t>文件规定执行，甲乙双方可进一步协商完善。</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负责对物业设施、设备进行清点、核查，在合同生效之日起20日内与乙方办理交接验收手续，移交相关的物业及其附属设施、设备、物业管理的原始资料和技术档案（工程建设竣工资料）等，并在乙方管理期满时予以收回。</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、依照本合同约定，按时支付物业管理费。</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（二）乙方的权利和义务</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1、不得将物业管理项目转让给他人；未经甲方同意，也不得将项目</w:t>
      </w:r>
      <w:r>
        <w:rPr>
          <w:rFonts w:hint="eastAsia" w:ascii="仿宋_GB2312" w:hAnsi="仿宋_GB2312" w:eastAsia="仿宋_GB2312" w:cs="仿宋_GB2312"/>
          <w:color w:val="auto"/>
          <w:sz w:val="24"/>
          <w:szCs w:val="24"/>
          <w:highlight w:val="none"/>
          <w:lang w:val="en-US" w:eastAsia="zh-CN"/>
        </w:rPr>
        <w:t>以任何形式</w:t>
      </w:r>
      <w:r>
        <w:rPr>
          <w:rFonts w:hint="eastAsia" w:ascii="仿宋_GB2312" w:hAnsi="仿宋_GB2312" w:eastAsia="仿宋_GB2312" w:cs="仿宋_GB2312"/>
          <w:color w:val="auto"/>
          <w:sz w:val="24"/>
          <w:szCs w:val="24"/>
          <w:highlight w:val="none"/>
        </w:rPr>
        <w:t>分包给他人。</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2、严格遵守有关法律法规和采购文件的规定，对物业实行专业规范、安全高质的管理。</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3、接受物业管理行政主管部门和甲方的监督、指导。</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4、制定物业管理的各项办法、规章制度及岗位责任。建立健全本项目的物业管理档案，及时记载有关变动情况。</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5、拟定物业管理年度计划、费用概预算决算，每半年向甲方上报财务开支情况并作出说明。</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6、对管理范围内的物业和公用设施不得擅自占用或改变使用功能，如需在本物业内改扩建完善配套项目，须报甲方和有关部门批准后方可实施。</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7、对业主和使用人违反制度的行为，针对具体行为并根据情节轻重，采取批评、规劝、警告、制止等措施。</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8、对其员工管理应符合当地政府的有关规定及甲方有关的要求。员工证件应齐全，包括身份证等，有关证件复印件乙方应送甲方备案。乙方员工食宿自行安排。</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9、乙方必须保证自身具备项目书规定的经营资格</w:t>
      </w:r>
      <w:r>
        <w:rPr>
          <w:rFonts w:hint="eastAsia" w:ascii="仿宋_GB2312" w:hAnsi="仿宋_GB2312" w:eastAsia="仿宋_GB2312" w:cs="仿宋_GB2312"/>
          <w:color w:val="auto"/>
          <w:sz w:val="24"/>
          <w:szCs w:val="24"/>
          <w:highlight w:val="none"/>
          <w:lang w:val="en-US" w:eastAsia="zh-CN"/>
        </w:rPr>
        <w:t>和能力</w:t>
      </w:r>
      <w:r>
        <w:rPr>
          <w:rFonts w:hint="eastAsia" w:ascii="仿宋_GB2312" w:hAnsi="仿宋_GB2312" w:eastAsia="仿宋_GB2312" w:cs="仿宋_GB2312"/>
          <w:color w:val="auto"/>
          <w:sz w:val="24"/>
          <w:szCs w:val="24"/>
          <w:highlight w:val="none"/>
        </w:rPr>
        <w:t>，所派遣的物业人员需经专业培训并取得上岗资格；所派遣的物业人员的基本情况，需如实向甲方书面通报，</w:t>
      </w:r>
      <w:r>
        <w:rPr>
          <w:rFonts w:hint="eastAsia" w:ascii="仿宋_GB2312" w:hAnsi="仿宋_GB2312" w:eastAsia="仿宋_GB2312" w:cs="仿宋_GB2312"/>
          <w:color w:val="auto"/>
          <w:sz w:val="24"/>
          <w:szCs w:val="24"/>
          <w:highlight w:val="none"/>
          <w:lang w:val="en-US" w:eastAsia="zh-CN"/>
        </w:rPr>
        <w:t>并提供相关工作</w:t>
      </w:r>
      <w:r>
        <w:rPr>
          <w:rFonts w:hint="eastAsia" w:ascii="仿宋_GB2312" w:hAnsi="仿宋_GB2312" w:eastAsia="仿宋_GB2312" w:cs="仿宋_GB2312"/>
          <w:color w:val="auto"/>
          <w:sz w:val="24"/>
          <w:szCs w:val="24"/>
          <w:highlight w:val="none"/>
        </w:rPr>
        <w:t>人员</w:t>
      </w:r>
      <w:r>
        <w:rPr>
          <w:rFonts w:hint="eastAsia" w:ascii="仿宋_GB2312" w:hAnsi="仿宋_GB2312" w:eastAsia="仿宋_GB2312" w:cs="仿宋_GB2312"/>
          <w:color w:val="auto"/>
          <w:sz w:val="24"/>
          <w:szCs w:val="24"/>
          <w:highlight w:val="none"/>
          <w:lang w:val="en-US" w:eastAsia="zh-CN"/>
        </w:rPr>
        <w:t>劳动/</w:t>
      </w:r>
      <w:r>
        <w:rPr>
          <w:rFonts w:hint="eastAsia" w:ascii="仿宋_GB2312" w:hAnsi="仿宋_GB2312" w:eastAsia="仿宋_GB2312" w:cs="仿宋_GB2312"/>
          <w:color w:val="auto"/>
          <w:sz w:val="24"/>
          <w:szCs w:val="24"/>
          <w:highlight w:val="none"/>
        </w:rPr>
        <w:t>劳务合同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社保登记或缴纳记录</w:t>
      </w:r>
      <w:r>
        <w:rPr>
          <w:rFonts w:hint="eastAsia" w:ascii="仿宋_GB2312" w:hAnsi="仿宋_GB2312" w:eastAsia="仿宋_GB2312" w:cs="仿宋_GB2312"/>
          <w:color w:val="auto"/>
          <w:sz w:val="24"/>
          <w:szCs w:val="24"/>
          <w:highlight w:val="none"/>
        </w:rPr>
        <w:t>、身份证复印件存档备查。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11、有权按时从甲方处支取物业管理费。</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rPr>
        <w:t>、违约责任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1、如因乙方管理不善，造成重大经济损失，经有关部门认定，甲方有权终止本合同，并追究乙方的经济责任。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不得将本合同项目转包或分包给第三方，否则甲方有权单方解除本合同，乙方应承担因此给甲方造成的经济损失，包括但不限于依法应重新招标产生的各项费用、甲方向乙方追偿而支出的律师费、诉讼费等。</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若供应商因自身原因无法继续履行合同，需提前30天书面通知学校，并协助学校完成服务交接工作。同时，供应商需支付合同总额的10%作为违约金，并承担因退出导致的额外费用。</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合同期内，因供应商申请退出但未完成退出流程，导致供应商无法履约合同内容的，学校有权单方面解除合同，并要求供应商支付合同总额的10%作为违约金。</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乙方应当按照采购需求、投标响应承诺、物业服务专项考核要求以及合同约定提供服务，否则按照《防城港职业技术学院物业服务专项考核表》计算违约金在结算费用中扣除；</w:t>
      </w:r>
      <w:r>
        <w:rPr>
          <w:rFonts w:hint="eastAsia" w:ascii="仿宋_GB2312" w:hAnsi="仿宋_GB2312" w:eastAsia="仿宋_GB2312" w:cs="仿宋_GB2312"/>
          <w:color w:val="auto"/>
          <w:sz w:val="24"/>
          <w:szCs w:val="24"/>
          <w:highlight w:val="none"/>
        </w:rPr>
        <w:t>月度考核中，供应商在半年内有2次月度考核评分少于80分的，或一年内有3次考核低于80分的，学校有权提前解除服务合同，并要求供应商支付合同总额的10%作为违约金。</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因供应商主动退出造成的一切损失由供应商承担，学校有权依据相关法律法规及合同追究物业公司的违约责任，情节严重的，学校将向相关主管部门如实报告。</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上述条款所称损失、违约责任除明确约定以外，还包括但不限于：守约方因维权支出的诉讼仲裁费、保全费、保全担保的保函费用、差旅费、律师费，前述律师费可仅凭《委托代理合同》结合律师服务收费管理实施办法确定的收费标准向违约方主张。</w:t>
      </w:r>
    </w:p>
    <w:p>
      <w:pPr>
        <w:pStyle w:val="13"/>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rPr>
        <w:t>、其他事项</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特殊物业服务要求：乙方知晓甲方单位性质，甲方如有重大活动安排时，需提前24小时通知乙方，乙方相关工作人员需保持通讯畅通，并按甲方需求安排相关工作人员在岗，及时处理活动现场的保洁需求、水电设施维护以及协调解决各类突发问题，保障活动顺利进行，防止突发事件的发生</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物业范围内如发生盗窃时间，经查确因乙方物业巡查、管理不到位或其他失职情形</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乙方同意按照被盗窃人申报金额先行垫付，直至查明盗窃行为实际实施人后，乙方自行追索垫付。</w:t>
      </w:r>
      <w:r>
        <w:rPr>
          <w:rFonts w:hint="eastAsia" w:ascii="仿宋_GB2312" w:hAnsi="仿宋_GB2312" w:eastAsia="仿宋_GB2312" w:cs="仿宋_GB2312"/>
          <w:color w:val="auto"/>
          <w:sz w:val="24"/>
          <w:szCs w:val="24"/>
          <w:highlight w:val="none"/>
        </w:rPr>
        <w:t>委托管理区域内发生人身伤害事故，按照</w:t>
      </w:r>
      <w:r>
        <w:rPr>
          <w:rFonts w:hint="eastAsia" w:ascii="仿宋_GB2312" w:hAnsi="仿宋_GB2312" w:eastAsia="仿宋_GB2312" w:cs="仿宋_GB2312"/>
          <w:color w:val="auto"/>
          <w:sz w:val="24"/>
          <w:szCs w:val="24"/>
          <w:highlight w:val="none"/>
          <w:lang w:val="en-US" w:eastAsia="zh-CN"/>
        </w:rPr>
        <w:t>本合同约定、</w:t>
      </w:r>
      <w:r>
        <w:rPr>
          <w:rFonts w:hint="eastAsia" w:ascii="仿宋_GB2312" w:hAnsi="仿宋_GB2312" w:eastAsia="仿宋_GB2312" w:cs="仿宋_GB2312"/>
          <w:color w:val="auto"/>
          <w:sz w:val="24"/>
          <w:szCs w:val="24"/>
          <w:highlight w:val="none"/>
        </w:rPr>
        <w:t>物业管理有关的法律、法规、文件规定，乙方承担相应的管理责任。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人员必须严格遵守操作规程，如因违反操作规程而造成甲方财物损失的，乙方应负全部赔偿责任。因房屋建筑质量、设备设施质量或安装技术等原因，达不到使用功能，造成重大事故的，由甲方承担责任并作善后处理，产生质量事故的直接原因，以政府主管部门的鉴定为准。</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4、由于乙方原因而损坏甲方财产的，由乙方负责赔偿。因甲方原因，造成乙方未完成规定管理目标或直接造成乙方经济损失的，甲方应给予乙方相应补偿。</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二</w:t>
      </w:r>
      <w:r>
        <w:rPr>
          <w:rFonts w:hint="eastAsia" w:ascii="仿宋_GB2312" w:hAnsi="仿宋_GB2312" w:eastAsia="仿宋_GB2312" w:cs="仿宋_GB2312"/>
          <w:b/>
          <w:color w:val="auto"/>
          <w:sz w:val="24"/>
          <w:szCs w:val="24"/>
          <w:highlight w:val="none"/>
        </w:rPr>
        <w:t>、不可抗力</w:t>
      </w:r>
      <w:r>
        <w:rPr>
          <w:rFonts w:hint="eastAsia" w:ascii="仿宋_GB2312" w:hAnsi="仿宋_GB2312" w:eastAsia="仿宋_GB2312" w:cs="仿宋_GB2312"/>
          <w:color w:val="auto"/>
          <w:sz w:val="24"/>
          <w:szCs w:val="24"/>
          <w:highlight w:val="none"/>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三</w:t>
      </w:r>
      <w:r>
        <w:rPr>
          <w:rFonts w:hint="eastAsia" w:ascii="仿宋_GB2312" w:hAnsi="仿宋_GB2312" w:eastAsia="仿宋_GB2312" w:cs="仿宋_GB2312"/>
          <w:b/>
          <w:color w:val="auto"/>
          <w:sz w:val="24"/>
          <w:szCs w:val="24"/>
          <w:highlight w:val="none"/>
        </w:rPr>
        <w:t>、本合同的其他组成文件：</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1、采购文件（含补充、修改文件）</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2、乙方的投标文件（含澄清、补充文件）</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38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3、</w:t>
      </w:r>
      <w:r>
        <w:rPr>
          <w:rFonts w:hint="eastAsia" w:ascii="仿宋_GB2312" w:hAnsi="仿宋_GB2312" w:eastAsia="仿宋_GB2312" w:cs="仿宋_GB2312"/>
          <w:color w:val="auto"/>
          <w:sz w:val="24"/>
          <w:szCs w:val="24"/>
          <w:highlight w:val="none"/>
        </w:rPr>
        <w:t>投标承诺书；</w:t>
      </w:r>
    </w:p>
    <w:p>
      <w:pPr>
        <w:keepNext w:val="0"/>
        <w:keepLines w:val="0"/>
        <w:pageBreakBefore w:val="0"/>
        <w:kinsoku/>
        <w:wordWrap/>
        <w:overflowPunct/>
        <w:topLinePunct w:val="0"/>
        <w:autoSpaceDE/>
        <w:autoSpaceDN/>
        <w:bidi w:val="0"/>
        <w:adjustRightInd/>
        <w:spacing w:line="380" w:lineRule="exact"/>
        <w:ind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4、</w:t>
      </w:r>
      <w:r>
        <w:rPr>
          <w:rFonts w:hint="eastAsia" w:ascii="仿宋_GB2312" w:hAnsi="仿宋_GB2312" w:eastAsia="仿宋_GB2312" w:cs="仿宋_GB2312"/>
          <w:color w:val="auto"/>
          <w:sz w:val="24"/>
          <w:szCs w:val="24"/>
          <w:highlight w:val="none"/>
        </w:rPr>
        <w:t>中标通知书。</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四</w:t>
      </w:r>
      <w:r>
        <w:rPr>
          <w:rFonts w:hint="eastAsia" w:ascii="仿宋_GB2312" w:hAnsi="仿宋_GB2312" w:eastAsia="仿宋_GB2312" w:cs="仿宋_GB2312"/>
          <w:b/>
          <w:color w:val="auto"/>
          <w:sz w:val="24"/>
          <w:szCs w:val="24"/>
          <w:highlight w:val="none"/>
        </w:rPr>
        <w:t>、合同补充和修改</w:t>
      </w:r>
      <w:r>
        <w:rPr>
          <w:rFonts w:hint="eastAsia" w:ascii="仿宋_GB2312" w:hAnsi="仿宋_GB2312" w:eastAsia="仿宋_GB2312" w:cs="仿宋_GB2312"/>
          <w:color w:val="auto"/>
          <w:sz w:val="24"/>
          <w:szCs w:val="24"/>
          <w:highlight w:val="none"/>
        </w:rPr>
        <w:t>：对合同条款作任何改动或偏离，增加补充条款，均须由甲、乙双方签订书面的补充合同。</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五</w:t>
      </w:r>
      <w:r>
        <w:rPr>
          <w:rFonts w:hint="eastAsia" w:ascii="仿宋_GB2312" w:hAnsi="仿宋_GB2312" w:eastAsia="仿宋_GB2312" w:cs="仿宋_GB2312"/>
          <w:b/>
          <w:color w:val="auto"/>
          <w:sz w:val="24"/>
          <w:szCs w:val="24"/>
          <w:highlight w:val="none"/>
        </w:rPr>
        <w:t>、违约</w:t>
      </w:r>
      <w:r>
        <w:rPr>
          <w:rFonts w:hint="eastAsia" w:ascii="仿宋_GB2312" w:hAnsi="仿宋_GB2312" w:eastAsia="仿宋_GB2312" w:cs="仿宋_GB2312"/>
          <w:b/>
          <w:color w:val="auto"/>
          <w:sz w:val="24"/>
          <w:szCs w:val="24"/>
          <w:highlight w:val="none"/>
          <w:lang w:val="en-US" w:eastAsia="zh-CN"/>
        </w:rPr>
        <w:t>解除</w:t>
      </w:r>
      <w:r>
        <w:rPr>
          <w:rFonts w:hint="eastAsia" w:ascii="仿宋_GB2312" w:hAnsi="仿宋_GB2312" w:eastAsia="仿宋_GB2312" w:cs="仿宋_GB2312"/>
          <w:b/>
          <w:color w:val="auto"/>
          <w:sz w:val="24"/>
          <w:szCs w:val="24"/>
          <w:highlight w:val="none"/>
        </w:rPr>
        <w:t>合同</w:t>
      </w:r>
    </w:p>
    <w:p>
      <w:pPr>
        <w:keepNext w:val="0"/>
        <w:keepLines w:val="0"/>
        <w:pageBreakBefore w:val="0"/>
        <w:kinsoku/>
        <w:wordWrap/>
        <w:overflowPunct/>
        <w:topLinePunct w:val="0"/>
        <w:autoSpaceDE/>
        <w:autoSpaceDN/>
        <w:bidi w:val="0"/>
        <w:adjustRightInd/>
        <w:snapToGrid w:val="0"/>
        <w:spacing w:line="380" w:lineRule="exact"/>
        <w:ind w:firstLine="420" w:firstLineChars="0"/>
        <w:textAlignment w:val="auto"/>
        <w:rPr>
          <w:rFonts w:hint="eastAsia" w:ascii="仿宋_GB2312" w:hAnsi="仿宋_GB2312" w:eastAsia="仿宋_GB2312" w:cs="仿宋_GB2312"/>
          <w:bCs/>
          <w:color w:val="auto"/>
          <w:sz w:val="24"/>
          <w:szCs w:val="24"/>
          <w:highlight w:val="none"/>
          <w:lang w:val="en-US" w:eastAsia="zh-CN" w:bidi="ar-SA"/>
        </w:rPr>
      </w:pPr>
      <w:r>
        <w:rPr>
          <w:rFonts w:hint="eastAsia" w:ascii="仿宋_GB2312" w:hAnsi="仿宋_GB2312" w:eastAsia="仿宋_GB2312" w:cs="仿宋_GB2312"/>
          <w:bCs/>
          <w:color w:val="auto"/>
          <w:sz w:val="24"/>
          <w:szCs w:val="24"/>
          <w:highlight w:val="none"/>
          <w:lang w:val="en-US" w:eastAsia="zh-CN" w:bidi="ar-SA"/>
        </w:rPr>
        <w:t>1、所派遣的物业人员有未按照本合同约定完成工作、消极履职造成甲方经济损失以及其他无法胜任本岗位职责，经甲方提出更换要求后，乙方拒不更换的，甲方有权提前解除合同，并要求乙方承担由此引发的经济损失和其他相关责任。</w:t>
      </w:r>
    </w:p>
    <w:p>
      <w:pPr>
        <w:keepNext w:val="0"/>
        <w:keepLines w:val="0"/>
        <w:pageBreakBefore w:val="0"/>
        <w:kinsoku/>
        <w:wordWrap/>
        <w:overflowPunct/>
        <w:topLinePunct w:val="0"/>
        <w:autoSpaceDE/>
        <w:autoSpaceDN/>
        <w:bidi w:val="0"/>
        <w:adjustRightInd/>
        <w:snapToGrid w:val="0"/>
        <w:spacing w:line="380" w:lineRule="exact"/>
        <w:ind w:firstLine="420" w:firstLineChars="0"/>
        <w:textAlignment w:val="auto"/>
        <w:rPr>
          <w:rFonts w:hint="eastAsia" w:ascii="仿宋_GB2312" w:hAnsi="仿宋_GB2312" w:eastAsia="仿宋_GB2312" w:cs="仿宋_GB2312"/>
          <w:bCs/>
          <w:color w:val="auto"/>
          <w:sz w:val="24"/>
          <w:szCs w:val="24"/>
          <w:highlight w:val="none"/>
          <w:lang w:val="en-US" w:eastAsia="zh-CN" w:bidi="ar-SA"/>
        </w:rPr>
      </w:pPr>
      <w:r>
        <w:rPr>
          <w:rFonts w:hint="eastAsia" w:ascii="仿宋_GB2312" w:hAnsi="仿宋_GB2312" w:eastAsia="仿宋_GB2312" w:cs="仿宋_GB2312"/>
          <w:bCs/>
          <w:color w:val="auto"/>
          <w:sz w:val="24"/>
          <w:szCs w:val="24"/>
          <w:highlight w:val="none"/>
          <w:lang w:val="en-US" w:eastAsia="zh-CN" w:bidi="ar-SA"/>
        </w:rPr>
        <w:t>2、因所派遣的物业人员工作失职、失误或违反职业道德给甲方或第三方造成人员伤亡、财产损失或恶劣影响的，甲方有权提前解除合同，并依法向乙方追究相应的经济赔偿。</w:t>
      </w:r>
    </w:p>
    <w:p>
      <w:pPr>
        <w:keepNext w:val="0"/>
        <w:keepLines w:val="0"/>
        <w:pageBreakBefore w:val="0"/>
        <w:kinsoku/>
        <w:wordWrap/>
        <w:overflowPunct/>
        <w:topLinePunct w:val="0"/>
        <w:autoSpaceDE/>
        <w:autoSpaceDN/>
        <w:bidi w:val="0"/>
        <w:adjustRightInd/>
        <w:snapToGrid w:val="0"/>
        <w:spacing w:line="380" w:lineRule="exact"/>
        <w:ind w:firstLine="420" w:firstLineChars="0"/>
        <w:textAlignment w:val="auto"/>
        <w:rPr>
          <w:rFonts w:hint="eastAsia" w:ascii="仿宋_GB2312" w:hAnsi="仿宋_GB2312" w:eastAsia="仿宋_GB2312" w:cs="仿宋_GB2312"/>
          <w:bCs/>
          <w:color w:val="auto"/>
          <w:sz w:val="24"/>
          <w:szCs w:val="24"/>
          <w:highlight w:val="none"/>
          <w:lang w:val="en-US" w:eastAsia="zh-CN" w:bidi="ar-SA"/>
        </w:rPr>
      </w:pPr>
      <w:r>
        <w:rPr>
          <w:rFonts w:hint="eastAsia" w:ascii="仿宋_GB2312" w:hAnsi="仿宋_GB2312" w:eastAsia="仿宋_GB2312" w:cs="仿宋_GB2312"/>
          <w:bCs/>
          <w:color w:val="auto"/>
          <w:sz w:val="24"/>
          <w:szCs w:val="24"/>
          <w:highlight w:val="none"/>
          <w:lang w:val="en-US" w:eastAsia="zh-CN" w:bidi="ar-SA"/>
        </w:rPr>
        <w:t>3、所派遣的物业人员严重失职或乙方认为需要更换时，甲方不配合致使乙方无法以组织形式安排工作时，乙方不承担由此引发的相关责任，并有权提前解除合同。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val="en-US" w:eastAsia="zh-CN" w:bidi="ar-SA"/>
        </w:rPr>
        <w:t>4、甲方已将服务费按时划拨，但乙方不按相关规定及时给所派遣的物业人员支付工资和办理其他福利待遇，造成所派遣的物业人员无法正常工作，或影响甲方单位正常有序工作时，甲方有权提前解除合同；如造成损失的甲方将依法向乙方追究赔偿经济损失：</w:t>
      </w:r>
      <w:r>
        <w:rPr>
          <w:rFonts w:hint="eastAsia" w:ascii="仿宋_GB2312" w:hAnsi="仿宋_GB2312" w:eastAsia="仿宋_GB2312" w:cs="仿宋_GB2312"/>
          <w:color w:val="auto"/>
          <w:kern w:val="2"/>
          <w:sz w:val="24"/>
          <w:szCs w:val="24"/>
          <w:highlight w:val="none"/>
          <w:lang w:val="en-US" w:eastAsia="zh-CN" w:bidi="ar-SA"/>
        </w:rPr>
        <w:t>《物业服务管理合同》生效后，乙方应于次月中旬前发放上一月份员工工资，不得无故拖欠；乙方申请预付款时应将按月按时发放物业服务员工工资承诺函作为附件；甲方有权不定期通过向乙方员工询问或调查问卷的方式掌握乙方员工工资是否按月按时发放；如乙方无故拖欠物业服务员工工资，造成员工向劳动部门上访或投诉的，乙方需承担相应的违约责任， 甲方有权责令乙方进行整改，乙方整改效果不明显的甲方可解除合同。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5、乙方不具备履行本合同的条件和能力。</w:t>
      </w:r>
    </w:p>
    <w:p>
      <w:pPr>
        <w:keepNext w:val="0"/>
        <w:keepLines w:val="0"/>
        <w:pageBreakBefore w:val="0"/>
        <w:kinsoku/>
        <w:wordWrap/>
        <w:overflowPunct/>
        <w:topLinePunct w:val="0"/>
        <w:autoSpaceDE/>
        <w:autoSpaceDN/>
        <w:bidi w:val="0"/>
        <w:adjustRightInd/>
        <w:spacing w:line="38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六</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争议解决</w:t>
      </w:r>
      <w:r>
        <w:rPr>
          <w:rFonts w:hint="eastAsia" w:ascii="仿宋_GB2312" w:hAnsi="仿宋_GB2312" w:eastAsia="仿宋_GB2312" w:cs="仿宋_GB2312"/>
          <w:color w:val="auto"/>
          <w:sz w:val="24"/>
          <w:szCs w:val="24"/>
          <w:highlight w:val="none"/>
        </w:rPr>
        <w:t>：如发生合同纠纷，甲、乙双方协商解决；协商不成时，可提请政府采购管理部门调解；调解不成，双方约定向甲方所在地人民法院提起</w:t>
      </w:r>
      <w:r>
        <w:rPr>
          <w:rFonts w:hint="eastAsia" w:ascii="仿宋_GB2312" w:hAnsi="仿宋_GB2312" w:eastAsia="仿宋_GB2312" w:cs="仿宋_GB2312"/>
          <w:color w:val="auto"/>
          <w:sz w:val="24"/>
          <w:szCs w:val="24"/>
          <w:highlight w:val="none"/>
          <w:lang w:val="en-US" w:eastAsia="zh-CN"/>
        </w:rPr>
        <w:t>诉讼。</w:t>
      </w:r>
      <w:r>
        <w:rPr>
          <w:rFonts w:hint="eastAsia" w:ascii="仿宋_GB2312" w:hAnsi="仿宋_GB2312" w:eastAsia="仿宋_GB2312" w:cs="仿宋_GB2312"/>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七</w:t>
      </w:r>
      <w:r>
        <w:rPr>
          <w:rFonts w:hint="eastAsia" w:ascii="仿宋_GB2312" w:hAnsi="仿宋_GB2312" w:eastAsia="仿宋_GB2312" w:cs="仿宋_GB2312"/>
          <w:b/>
          <w:color w:val="auto"/>
          <w:sz w:val="24"/>
          <w:szCs w:val="24"/>
          <w:highlight w:val="none"/>
        </w:rPr>
        <w:t>、未尽事宜</w:t>
      </w:r>
      <w:r>
        <w:rPr>
          <w:rFonts w:hint="eastAsia" w:ascii="仿宋_GB2312" w:hAnsi="仿宋_GB2312" w:eastAsia="仿宋_GB2312" w:cs="仿宋_GB2312"/>
          <w:color w:val="auto"/>
          <w:sz w:val="24"/>
          <w:szCs w:val="24"/>
          <w:highlight w:val="none"/>
        </w:rPr>
        <w:t>：合同如有未尽事宜，须经甲、乙方双方共同协商，作出补充约定；补充约定与本合同具有同等效力。</w:t>
      </w:r>
    </w:p>
    <w:p>
      <w:pPr>
        <w:keepNext w:val="0"/>
        <w:keepLines w:val="0"/>
        <w:pageBreakBefore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十</w:t>
      </w:r>
      <w:r>
        <w:rPr>
          <w:rFonts w:hint="eastAsia" w:ascii="仿宋_GB2312" w:hAnsi="仿宋_GB2312" w:eastAsia="仿宋_GB2312" w:cs="仿宋_GB2312"/>
          <w:b/>
          <w:color w:val="auto"/>
          <w:sz w:val="24"/>
          <w:szCs w:val="24"/>
          <w:highlight w:val="none"/>
          <w:lang w:val="en-US" w:eastAsia="zh-CN"/>
        </w:rPr>
        <w:t>八</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其他</w:t>
      </w:r>
      <w:r>
        <w:rPr>
          <w:rFonts w:hint="eastAsia" w:ascii="仿宋_GB2312" w:hAnsi="仿宋_GB2312" w:eastAsia="仿宋_GB2312" w:cs="仿宋_GB2312"/>
          <w:b/>
          <w:color w:val="auto"/>
          <w:sz w:val="24"/>
          <w:szCs w:val="24"/>
          <w:highlight w:val="none"/>
        </w:rPr>
        <w:t>：</w:t>
      </w:r>
    </w:p>
    <w:p>
      <w:pPr>
        <w:keepNext w:val="0"/>
        <w:keepLines w:val="0"/>
        <w:pageBreakBefore w:val="0"/>
        <w:numPr>
          <w:ilvl w:val="0"/>
          <w:numId w:val="12"/>
        </w:numPr>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本合同一式四份，甲方、乙方各一份，政府采购管理部门一份，采购代理机构一份。本合同经甲、乙双方</w:t>
      </w:r>
      <w:r>
        <w:rPr>
          <w:rFonts w:hint="eastAsia" w:ascii="仿宋_GB2312" w:hAnsi="仿宋_GB2312" w:eastAsia="仿宋_GB2312" w:cs="仿宋_GB2312"/>
          <w:color w:val="auto"/>
          <w:sz w:val="24"/>
          <w:szCs w:val="24"/>
          <w:highlight w:val="none"/>
          <w:lang w:val="en-US" w:eastAsia="zh-CN"/>
        </w:rPr>
        <w:t>法定代表人或授权代表签字并加</w:t>
      </w:r>
      <w:r>
        <w:rPr>
          <w:rFonts w:hint="eastAsia" w:ascii="仿宋_GB2312" w:hAnsi="仿宋_GB2312" w:eastAsia="仿宋_GB2312" w:cs="仿宋_GB2312"/>
          <w:color w:val="auto"/>
          <w:sz w:val="24"/>
          <w:szCs w:val="24"/>
          <w:highlight w:val="none"/>
        </w:rPr>
        <w:t>盖</w:t>
      </w:r>
      <w:r>
        <w:rPr>
          <w:rFonts w:hint="eastAsia" w:ascii="仿宋_GB2312" w:hAnsi="仿宋_GB2312" w:eastAsia="仿宋_GB2312" w:cs="仿宋_GB2312"/>
          <w:color w:val="auto"/>
          <w:sz w:val="24"/>
          <w:szCs w:val="24"/>
          <w:highlight w:val="none"/>
          <w:lang w:val="en-US" w:eastAsia="zh-CN"/>
        </w:rPr>
        <w:t>双方公</w:t>
      </w:r>
      <w:r>
        <w:rPr>
          <w:rFonts w:hint="eastAsia" w:ascii="仿宋_GB2312" w:hAnsi="仿宋_GB2312" w:eastAsia="仿宋_GB2312" w:cs="仿宋_GB2312"/>
          <w:color w:val="auto"/>
          <w:sz w:val="24"/>
          <w:szCs w:val="24"/>
          <w:highlight w:val="none"/>
        </w:rPr>
        <w:t>章后生效。</w:t>
      </w:r>
    </w:p>
    <w:p>
      <w:pPr>
        <w:pStyle w:val="24"/>
        <w:keepNext w:val="0"/>
        <w:keepLines w:val="0"/>
        <w:pageBreakBefore w:val="0"/>
        <w:numPr>
          <w:ilvl w:val="0"/>
          <w:numId w:val="12"/>
        </w:numPr>
        <w:kinsoku/>
        <w:wordWrap/>
        <w:overflowPunct/>
        <w:topLinePunct w:val="0"/>
        <w:autoSpaceDE/>
        <w:autoSpaceDN/>
        <w:bidi w:val="0"/>
        <w:adjustRightIn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内所载明的地址、联系方式、联系人及电子通信终端、双方的单位执照住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tbl>
      <w:tblPr>
        <w:tblStyle w:val="20"/>
        <w:tblW w:w="8573" w:type="dxa"/>
        <w:tblInd w:w="108" w:type="dxa"/>
        <w:tblLayout w:type="fixed"/>
        <w:tblCellMar>
          <w:top w:w="0" w:type="dxa"/>
          <w:left w:w="108" w:type="dxa"/>
          <w:bottom w:w="0" w:type="dxa"/>
          <w:right w:w="108" w:type="dxa"/>
        </w:tblCellMar>
      </w:tblPr>
      <w:tblGrid>
        <w:gridCol w:w="4664"/>
        <w:gridCol w:w="3909"/>
      </w:tblGrid>
      <w:tr>
        <w:tblPrEx>
          <w:tblLayout w:type="fixed"/>
          <w:tblCellMar>
            <w:top w:w="0" w:type="dxa"/>
            <w:left w:w="108" w:type="dxa"/>
            <w:bottom w:w="0" w:type="dxa"/>
            <w:right w:w="108" w:type="dxa"/>
          </w:tblCellMar>
        </w:tblPrEx>
        <w:trPr>
          <w:cantSplit/>
          <w:trHeight w:val="2608" w:hRule="atLeast"/>
        </w:trPr>
        <w:tc>
          <w:tcPr>
            <w:tcW w:w="4664" w:type="dxa"/>
            <w:noWrap w:val="0"/>
            <w:vAlign w:val="top"/>
          </w:tcPr>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甲方（盖章）</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lang w:val="en-US" w:eastAsia="zh-CN"/>
              </w:rPr>
              <w:t>法定代表人/</w:t>
            </w:r>
            <w:r>
              <w:rPr>
                <w:rFonts w:hint="eastAsia" w:hAnsi="宋体"/>
                <w:bCs/>
                <w:color w:val="auto"/>
                <w:sz w:val="21"/>
                <w:highlight w:val="none"/>
              </w:rPr>
              <w:t>授权代表（签字）：</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联系电话：</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单位地址：</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签订时间：</w:t>
            </w:r>
          </w:p>
        </w:tc>
        <w:tc>
          <w:tcPr>
            <w:tcW w:w="3909" w:type="dxa"/>
            <w:noWrap w:val="0"/>
            <w:vAlign w:val="top"/>
          </w:tcPr>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乙方（盖章）</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lang w:val="en-US" w:eastAsia="zh-CN"/>
              </w:rPr>
              <w:t>法定代表人/</w:t>
            </w:r>
            <w:r>
              <w:rPr>
                <w:rFonts w:hint="eastAsia" w:hAnsi="宋体"/>
                <w:bCs/>
                <w:color w:val="auto"/>
                <w:sz w:val="21"/>
                <w:highlight w:val="none"/>
              </w:rPr>
              <w:t>授权代表（签字）：</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联系电话：</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单位地址：</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开户银行：</w:t>
            </w: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账    号：</w:t>
            </w:r>
          </w:p>
          <w:p>
            <w:pPr>
              <w:pStyle w:val="13"/>
              <w:pageBreakBefore w:val="0"/>
              <w:kinsoku/>
              <w:overflowPunct/>
              <w:topLinePunct w:val="0"/>
              <w:bidi w:val="0"/>
              <w:spacing w:line="240" w:lineRule="auto"/>
              <w:ind w:firstLine="420" w:firstLineChars="200"/>
              <w:rPr>
                <w:rFonts w:hAnsi="宋体"/>
                <w:bCs/>
                <w:color w:val="auto"/>
                <w:sz w:val="21"/>
                <w:highlight w:val="none"/>
              </w:rPr>
            </w:pPr>
          </w:p>
          <w:p>
            <w:pPr>
              <w:pStyle w:val="13"/>
              <w:pageBreakBefore w:val="0"/>
              <w:kinsoku/>
              <w:overflowPunct/>
              <w:topLinePunct w:val="0"/>
              <w:bidi w:val="0"/>
              <w:spacing w:line="240" w:lineRule="auto"/>
              <w:ind w:firstLine="420" w:firstLineChars="200"/>
              <w:rPr>
                <w:rFonts w:hAnsi="宋体"/>
                <w:bCs/>
                <w:color w:val="auto"/>
                <w:sz w:val="21"/>
                <w:highlight w:val="none"/>
              </w:rPr>
            </w:pPr>
            <w:r>
              <w:rPr>
                <w:rFonts w:hint="eastAsia" w:hAnsi="宋体"/>
                <w:bCs/>
                <w:color w:val="auto"/>
                <w:sz w:val="21"/>
                <w:highlight w:val="none"/>
              </w:rPr>
              <w:t>签订时间：</w:t>
            </w:r>
          </w:p>
          <w:p>
            <w:pPr>
              <w:pStyle w:val="13"/>
              <w:pageBreakBefore w:val="0"/>
              <w:kinsoku/>
              <w:overflowPunct/>
              <w:topLinePunct w:val="0"/>
              <w:bidi w:val="0"/>
              <w:spacing w:line="240" w:lineRule="auto"/>
              <w:ind w:firstLine="420" w:firstLineChars="200"/>
              <w:rPr>
                <w:rFonts w:hAnsi="宋体"/>
                <w:bCs/>
                <w:color w:val="auto"/>
                <w:sz w:val="21"/>
                <w:highlight w:val="none"/>
              </w:rPr>
            </w:pPr>
          </w:p>
        </w:tc>
      </w:tr>
    </w:tbl>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pPr>
        <w:pStyle w:val="2"/>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34" w:name="_Toc16478"/>
      <w:bookmarkStart w:id="135" w:name="_Toc9058"/>
      <w:r>
        <w:rPr>
          <w:rFonts w:hint="eastAsia" w:ascii="宋体" w:hAnsi="宋体" w:eastAsia="宋体" w:cs="宋体"/>
          <w:b/>
          <w:bCs/>
          <w:color w:val="auto"/>
          <w:kern w:val="44"/>
          <w:sz w:val="44"/>
          <w:szCs w:val="44"/>
          <w:highlight w:val="none"/>
          <w:lang w:val="en-US" w:eastAsia="zh-CN" w:bidi="ar-SA"/>
        </w:rPr>
        <w:t xml:space="preserve">第六章 </w:t>
      </w:r>
      <w:r>
        <w:rPr>
          <w:rFonts w:hint="eastAsia" w:ascii="宋体" w:hAnsi="宋体" w:eastAsia="宋体" w:cs="宋体"/>
          <w:color w:val="auto"/>
          <w:sz w:val="44"/>
          <w:szCs w:val="44"/>
          <w:highlight w:val="none"/>
          <w:lang w:val="en-US" w:eastAsia="zh-CN"/>
        </w:rPr>
        <w:t>投标文件格式</w:t>
      </w:r>
      <w:bookmarkEnd w:id="134"/>
      <w:bookmarkEnd w:id="135"/>
    </w:p>
    <w:p>
      <w:pPr>
        <w:pageBreakBefore w:val="0"/>
        <w:kinsoku/>
        <w:overflowPunct/>
        <w:topLinePunct w:val="0"/>
        <w:bidi w:val="0"/>
        <w:spacing w:line="240" w:lineRule="auto"/>
        <w:rPr>
          <w:rFonts w:hint="eastAsia" w:ascii="宋体" w:hAnsi="宋体" w:eastAsia="宋体" w:cs="宋体"/>
          <w:color w:val="auto"/>
          <w:sz w:val="21"/>
          <w:szCs w:val="21"/>
          <w:highlight w:val="none"/>
        </w:rPr>
      </w:pPr>
    </w:p>
    <w:p>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6" w:name="_Toc19686836"/>
      <w:r>
        <w:rPr>
          <w:rFonts w:hint="eastAsia" w:ascii="宋体" w:hAnsi="宋体" w:eastAsia="宋体" w:cs="宋体"/>
          <w:b/>
          <w:color w:val="auto"/>
          <w:sz w:val="32"/>
          <w:szCs w:val="32"/>
          <w:highlight w:val="none"/>
        </w:rPr>
        <w:t>一、报价文件格式</w:t>
      </w:r>
      <w:bookmarkEnd w:id="136"/>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1.报价文件封面格式： </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  价  文  件</w:t>
      </w: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项目编号： </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pPr>
        <w:pStyle w:val="5"/>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8"/>
          <w:szCs w:val="28"/>
          <w:highlight w:val="none"/>
        </w:rPr>
        <w:t xml:space="preserve">  年  月  日</w:t>
      </w:r>
    </w:p>
    <w:p>
      <w:pPr>
        <w:rPr>
          <w:rFonts w:hint="eastAsia"/>
          <w:color w:val="auto"/>
          <w:highlight w:val="none"/>
        </w:rPr>
      </w:pPr>
      <w:r>
        <w:rPr>
          <w:rFonts w:hint="eastAsia" w:ascii="宋体" w:hAnsi="宋体" w:eastAsia="宋体" w:cs="宋体"/>
          <w:color w:val="auto"/>
          <w:sz w:val="21"/>
          <w:szCs w:val="21"/>
          <w:highlight w:val="none"/>
        </w:rPr>
        <w:br w:type="page"/>
      </w:r>
    </w:p>
    <w:p>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2.</w:t>
      </w:r>
      <w:r>
        <w:rPr>
          <w:rFonts w:hint="eastAsia" w:ascii="宋体" w:hAnsi="宋体" w:eastAsia="宋体" w:cs="宋体"/>
          <w:b/>
          <w:bCs/>
          <w:color w:val="auto"/>
          <w:sz w:val="30"/>
          <w:szCs w:val="30"/>
          <w:highlight w:val="none"/>
        </w:rPr>
        <w:t>报价文件目录</w:t>
      </w:r>
    </w:p>
    <w:p>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30"/>
          <w:szCs w:val="30"/>
          <w:highlight w:val="none"/>
        </w:rPr>
        <w:t>3.投标函格式：</w:t>
      </w:r>
    </w:p>
    <w:p>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 标 函</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公告，签字代表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（姓名）经正式授权并代表投标人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（投标人名称）提交投标文件。</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据此函，我方宣布同意如下：</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1.我方已详细审查全部“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文件”，包括修改文件（如有的话）以及全部参考资料和有关附件，已经了解我方对于</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文件、采购过程、采购结果有依法进行询问、质疑、投诉的权利及相关渠道和要求。</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2.我方在投标之前已经完全理解并接受</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文件的各项规定和要求，对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文件的合理性、合法性不再有异议。</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4.如中标，本投标文件至本项目合同履行完毕止均保持有效，我方将按“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文件”及政府采购法律、法规的规定履行合同责任和义务。</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5.我方同意按照贵方要求提供与投标有关的一切数据或者资料。</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6.我方向贵方提交的所有投标文件、资料都是准确的和真实的。</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7.以上事项如有虚假或者隐瞒，我方愿意承担一切后果，并不再寻求任何旨在减轻或者免除法律责任的辩解。</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9.与本投标有关的一切正式往来信函请寄：</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银行帐号：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8"/>
        <w:pageBreakBefore w:val="0"/>
        <w:kinsoku/>
        <w:overflowPunct/>
        <w:topLinePunct w:val="0"/>
        <w:bidi w:val="0"/>
        <w:spacing w:line="240" w:lineRule="auto"/>
        <w:rPr>
          <w:rFonts w:hint="eastAsia" w:ascii="宋体" w:hAnsi="宋体" w:eastAsia="宋体" w:cs="宋体"/>
          <w:color w:val="auto"/>
          <w:sz w:val="24"/>
          <w:szCs w:val="24"/>
          <w:highlight w:val="none"/>
        </w:rPr>
      </w:pP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_______ </w:t>
      </w:r>
    </w:p>
    <w:p>
      <w:pPr>
        <w:pStyle w:val="13"/>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投标人名称（公章）：</w:t>
      </w:r>
    </w:p>
    <w:p>
      <w:pPr>
        <w:pStyle w:val="13"/>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color w:val="auto"/>
          <w:highlight w:val="none"/>
          <w:lang w:val="en-US" w:eastAsia="zh-CN"/>
        </w:rPr>
        <w:br w:type="page"/>
      </w:r>
      <w:r>
        <w:rPr>
          <w:rFonts w:hint="eastAsia" w:ascii="宋体" w:hAnsi="宋体" w:eastAsia="宋体" w:cs="宋体"/>
          <w:b/>
          <w:color w:val="auto"/>
          <w:sz w:val="30"/>
          <w:szCs w:val="30"/>
          <w:highlight w:val="none"/>
        </w:rPr>
        <w:t>4.</w:t>
      </w:r>
      <w:r>
        <w:rPr>
          <w:rFonts w:hint="eastAsia" w:ascii="宋体" w:hAnsi="宋体" w:eastAsia="宋体" w:cs="宋体"/>
          <w:b/>
          <w:color w:val="auto"/>
          <w:sz w:val="30"/>
          <w:szCs w:val="30"/>
          <w:highlight w:val="none"/>
          <w:lang w:eastAsia="zh-CN"/>
        </w:rPr>
        <w:t>开标一览表</w:t>
      </w:r>
    </w:p>
    <w:p>
      <w:pPr>
        <w:pageBreakBefore w:val="0"/>
        <w:kinsoku/>
        <w:overflowPunct/>
        <w:topLinePunct w:val="0"/>
        <w:bidi w:val="0"/>
        <w:snapToGrid w:val="0"/>
        <w:spacing w:before="50" w:after="50" w:line="24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开标一览表</w:t>
      </w:r>
    </w:p>
    <w:p>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20"/>
        <w:tblW w:w="952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b/>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宋体" w:hAnsi="宋体" w:cs="宋体"/>
                <w:color w:val="auto"/>
                <w:sz w:val="24"/>
                <w:highlight w:val="none"/>
              </w:rPr>
            </w:pPr>
            <w:r>
              <w:rPr>
                <w:rFonts w:hint="eastAsia" w:ascii="宋体" w:hAnsi="宋体" w:cs="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rPr>
                <w:rFonts w:hint="eastAsia" w:ascii="宋体" w:hAnsi="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50" w:line="240" w:lineRule="auto"/>
              <w:rPr>
                <w:rFonts w:hint="eastAsia" w:ascii="宋体" w:hAnsi="宋体" w:cs="宋体"/>
                <w:color w:val="auto"/>
                <w:sz w:val="24"/>
                <w:highlight w:val="none"/>
              </w:rPr>
            </w:pPr>
            <w:r>
              <w:rPr>
                <w:rFonts w:hint="eastAsia" w:ascii="宋体" w:hAnsi="宋体" w:cs="宋体"/>
                <w:color w:val="auto"/>
                <w:sz w:val="24"/>
                <w:highlight w:val="none"/>
              </w:rPr>
              <w:t>合计金额大写：人民币（￥）</w:t>
            </w:r>
          </w:p>
        </w:tc>
      </w:tr>
    </w:tbl>
    <w:p>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pPr>
        <w:pageBreakBefore w:val="0"/>
        <w:kinsoku/>
        <w:overflowPunct/>
        <w:topLinePunct w:val="0"/>
        <w:bidi w:val="0"/>
        <w:snapToGrid w:val="0"/>
        <w:spacing w:before="50" w:after="50" w:line="240" w:lineRule="auto"/>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4.如为联合体投标，盖章处须加盖联合体各方公章，</w:t>
      </w:r>
      <w:r>
        <w:rPr>
          <w:rFonts w:hint="eastAsia" w:ascii="宋体" w:hAnsi="宋体" w:cs="宋体"/>
          <w:b/>
          <w:color w:val="auto"/>
          <w:sz w:val="24"/>
          <w:highlight w:val="none"/>
        </w:rPr>
        <w:t>否则其投标作无效标处理。</w:t>
      </w:r>
    </w:p>
    <w:p>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5.如有多分标，按分标分别提供开标一览表，</w:t>
      </w:r>
      <w:r>
        <w:rPr>
          <w:rFonts w:hint="eastAsia" w:ascii="宋体" w:hAnsi="宋体" w:cs="宋体"/>
          <w:b/>
          <w:color w:val="auto"/>
          <w:sz w:val="24"/>
          <w:highlight w:val="none"/>
        </w:rPr>
        <w:t>否则投标无效。</w:t>
      </w:r>
    </w:p>
    <w:p>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highlight w:val="none"/>
        </w:rPr>
      </w:pPr>
    </w:p>
    <w:p>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highlight w:val="none"/>
        </w:rPr>
      </w:pPr>
    </w:p>
    <w:p>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投标人（盖公章）：                                 日期：    年   月   日</w:t>
      </w:r>
    </w:p>
    <w:p>
      <w:pPr>
        <w:rPr>
          <w:rFonts w:hint="eastAsia"/>
          <w:color w:val="auto"/>
          <w:highlight w:val="none"/>
        </w:rPr>
      </w:pPr>
      <w:r>
        <w:rPr>
          <w:rFonts w:hint="eastAsia" w:ascii="宋体" w:hAnsi="宋体" w:cs="宋体"/>
          <w:color w:val="auto"/>
          <w:sz w:val="24"/>
          <w:highlight w:val="none"/>
        </w:rPr>
        <w:br w:type="page"/>
      </w:r>
    </w:p>
    <w:p>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7" w:name="_Toc19686837"/>
      <w:r>
        <w:rPr>
          <w:rFonts w:hint="eastAsia" w:ascii="宋体" w:hAnsi="宋体" w:eastAsia="宋体" w:cs="宋体"/>
          <w:b/>
          <w:color w:val="auto"/>
          <w:sz w:val="32"/>
          <w:szCs w:val="32"/>
          <w:highlight w:val="none"/>
        </w:rPr>
        <w:t>二、资格证明文件格式</w:t>
      </w:r>
      <w:bookmarkEnd w:id="137"/>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资格证明文件封面格式： </w:t>
      </w:r>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格</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证</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明</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pPr>
        <w:pStyle w:val="5"/>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rPr>
          <w:rFonts w:hint="eastAsia"/>
          <w:color w:val="auto"/>
          <w:highlight w:val="none"/>
          <w:lang w:val="en-US" w:eastAsia="zh-CN"/>
        </w:rPr>
      </w:pPr>
      <w:r>
        <w:rPr>
          <w:rFonts w:hint="eastAsia"/>
          <w:color w:val="auto"/>
          <w:highlight w:val="none"/>
          <w:lang w:val="en-US" w:eastAsia="zh-CN"/>
        </w:rPr>
        <w:br w:type="page"/>
      </w:r>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资格证明文件目录</w:t>
      </w:r>
    </w:p>
    <w:p>
      <w:pPr>
        <w:pageBreakBefore w:val="0"/>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防城港市政府采购供应商信用承诺函</w:t>
      </w:r>
    </w:p>
    <w:p>
      <w:pPr>
        <w:pStyle w:val="15"/>
        <w:pageBreakBefore w:val="0"/>
        <w:kinsoku/>
        <w:overflowPunct/>
        <w:topLinePunct w:val="0"/>
        <w:bidi w:val="0"/>
        <w:spacing w:line="240" w:lineRule="auto"/>
        <w:rPr>
          <w:rFonts w:hint="eastAsia" w:ascii="宋体" w:hAnsi="宋体" w:eastAsia="宋体" w:cs="宋体"/>
          <w:color w:val="auto"/>
          <w:sz w:val="21"/>
          <w:szCs w:val="21"/>
          <w:highlight w:val="none"/>
        </w:rPr>
      </w:pPr>
    </w:p>
    <w:p>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防城港市政府采购供应商信用承诺函</w:t>
      </w:r>
    </w:p>
    <w:p>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 ：</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rPr>
        <w:t xml:space="preserve">）的政府采购活动，严格遵守《中华人民共和国政府采购法》及相关法律法规，依法诚信经营，无条件遵守本次政府采购活动的各项规定，并郑重承诺： </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1.我方具有符合采购文件资格要求的财务状况报告。 </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2.我方具有符合采购文件资格要求的依法缴纳税收和社会保障资金的良好记录。 </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3.我方参加政府采购活动前三年内在经营活动中没有重大违法记录。 </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我方对以上承诺内容的真实性负责。如有虚假，将依法承担相应责任。</w:t>
      </w:r>
    </w:p>
    <w:p>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法定代表人或授权代表(签名)：</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（采购）文件要求，按无效投标（响应）处理。</w:t>
      </w:r>
    </w:p>
    <w:p>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2.供应商的法定代表人（其他组织的为负责人）或者授权代表的签名或盖章应真实、有效，如由授权代表签名或盖章的，应提供“法定代表人授权书”。</w:t>
      </w:r>
    </w:p>
    <w:p>
      <w:pPr>
        <w:rPr>
          <w:rFonts w:hint="eastAsia"/>
          <w:color w:val="auto"/>
          <w:highlight w:val="none"/>
          <w:lang w:val="en-US" w:eastAsia="zh-CN"/>
        </w:rPr>
      </w:pPr>
      <w:r>
        <w:rPr>
          <w:rFonts w:hint="eastAsia"/>
          <w:color w:val="auto"/>
          <w:highlight w:val="none"/>
          <w:lang w:val="en-US" w:eastAsia="zh-CN"/>
        </w:rPr>
        <w:br w:type="page"/>
      </w:r>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投标人直接控股、管理关系信息表</w:t>
      </w:r>
    </w:p>
    <w:p>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p>
    <w:p>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投标人直接控股股东信息表</w:t>
      </w:r>
    </w:p>
    <w:tbl>
      <w:tblPr>
        <w:tblStyle w:val="20"/>
        <w:tblW w:w="9476" w:type="dxa"/>
        <w:jc w:val="center"/>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Layout w:type="fixed"/>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shd w:val="clear" w:color="auto" w:fill="FBFBFB"/>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shd w:val="clear" w:color="auto" w:fill="FBFBFB"/>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shd w:val="clear" w:color="auto" w:fill="FBFBFB"/>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3.供应商不存在直接控股股东的，则在“</w:t>
      </w:r>
      <w:r>
        <w:rPr>
          <w:rFonts w:hint="eastAsia" w:ascii="宋体" w:hAnsi="宋体" w:eastAsia="宋体" w:cs="宋体"/>
          <w:b/>
          <w:bCs/>
          <w:color w:val="auto"/>
          <w:kern w:val="0"/>
          <w:sz w:val="24"/>
          <w:szCs w:val="24"/>
          <w:highlight w:val="none"/>
        </w:rPr>
        <w:t>直接控股股东名称</w:t>
      </w:r>
      <w:r>
        <w:rPr>
          <w:rFonts w:hint="eastAsia" w:ascii="宋体" w:hAnsi="宋体" w:eastAsia="宋体" w:cs="宋体"/>
          <w:color w:val="auto"/>
          <w:sz w:val="24"/>
          <w:szCs w:val="24"/>
          <w:highlight w:val="none"/>
        </w:rPr>
        <w:t>”中填“无”。</w:t>
      </w: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pPr>
        <w:rPr>
          <w:rFonts w:hint="eastAsia"/>
          <w:color w:val="auto"/>
          <w:highlight w:val="none"/>
          <w:lang w:val="en-US" w:eastAsia="zh-CN"/>
        </w:rPr>
      </w:pPr>
      <w:r>
        <w:rPr>
          <w:rFonts w:hint="eastAsia"/>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val="0"/>
        <w:spacing w:after="157" w:afterLines="5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投标人直接管理关系信息表</w:t>
      </w:r>
    </w:p>
    <w:tbl>
      <w:tblPr>
        <w:tblStyle w:val="20"/>
        <w:tblW w:w="9652" w:type="dxa"/>
        <w:jc w:val="center"/>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shd w:val="clear" w:color="auto" w:fill="FBFBFB"/>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shd w:val="clear" w:color="auto" w:fill="FBFBFB"/>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3.供应商不存在直接管理关系的，则在“</w:t>
      </w:r>
      <w:r>
        <w:rPr>
          <w:rFonts w:hint="eastAsia" w:ascii="宋体" w:hAnsi="宋体" w:eastAsia="宋体" w:cs="宋体"/>
          <w:b/>
          <w:bCs/>
          <w:color w:val="auto"/>
          <w:kern w:val="0"/>
          <w:sz w:val="24"/>
          <w:szCs w:val="24"/>
          <w:highlight w:val="none"/>
        </w:rPr>
        <w:t>直接管理关系单位名称</w:t>
      </w:r>
      <w:r>
        <w:rPr>
          <w:rFonts w:hint="eastAsia" w:ascii="宋体" w:hAnsi="宋体" w:eastAsia="宋体" w:cs="宋体"/>
          <w:color w:val="auto"/>
          <w:sz w:val="24"/>
          <w:szCs w:val="24"/>
          <w:highlight w:val="none"/>
        </w:rPr>
        <w:t>”中填“无”。</w:t>
      </w: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pPr>
        <w:pageBreakBefore w:val="0"/>
        <w:kinsoku/>
        <w:overflowPunct/>
        <w:topLinePunct w:val="0"/>
        <w:bidi w:val="0"/>
        <w:snapToGrid w:val="0"/>
        <w:spacing w:line="240" w:lineRule="auto"/>
        <w:ind w:right="480" w:firstLine="24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pPr>
        <w:rPr>
          <w:rFonts w:hint="eastAsia"/>
          <w:color w:val="auto"/>
          <w:highlight w:val="none"/>
          <w:lang w:val="en-US" w:eastAsia="zh-CN"/>
        </w:rPr>
      </w:pPr>
      <w:r>
        <w:rPr>
          <w:rFonts w:hint="eastAsia"/>
          <w:color w:val="auto"/>
          <w:highlight w:val="none"/>
          <w:lang w:val="en-US" w:eastAsia="zh-CN"/>
        </w:rPr>
        <w:br w:type="page"/>
      </w:r>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投标声明</w:t>
      </w:r>
    </w:p>
    <w:p>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pPr>
        <w:pageBreakBefore w:val="0"/>
        <w:kinsoku/>
        <w:overflowPunct/>
        <w:topLinePunct w:val="0"/>
        <w:bidi w:val="0"/>
        <w:snapToGrid w:val="0"/>
        <w:spacing w:before="50" w:after="120" w:afterLines="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投标声明</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pPr>
        <w:pageBreakBefore w:val="0"/>
        <w:kinsoku/>
        <w:overflowPunct/>
        <w:topLinePunct w:val="0"/>
        <w:bidi w:val="0"/>
        <w:spacing w:line="240" w:lineRule="auto"/>
        <w:ind w:firstLine="523" w:firstLineChars="218"/>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我方参加贵单位组织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）的政府采购活动。我方在此郑重声明：</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2.我方不是为本次采购项目提供整体设计、规范编制或者项目管理、监理、检测等服务的供应商。</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我方承诺符合《中华人民共和国政府采购法》第二十二条规定：</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4.以上事项如有虚假或者隐瞒，我方愿意承担一切后果，并不再寻求任何旨在减轻或者免除法律责任的辩解。</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特此承诺。</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年    月    日</w:t>
      </w:r>
    </w:p>
    <w:p>
      <w:pPr>
        <w:rPr>
          <w:rFonts w:hint="eastAsia"/>
          <w:color w:val="auto"/>
          <w:highlight w:val="none"/>
          <w:lang w:val="en-US" w:eastAsia="zh-CN"/>
        </w:rPr>
      </w:pPr>
      <w:r>
        <w:rPr>
          <w:rFonts w:hint="eastAsia"/>
          <w:color w:val="auto"/>
          <w:highlight w:val="none"/>
          <w:lang w:val="en-US" w:eastAsia="zh-CN"/>
        </w:rPr>
        <w:br w:type="page"/>
      </w:r>
    </w:p>
    <w:p>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中小企业声明函或监狱企业证明材料或</w:t>
      </w:r>
      <w:r>
        <w:rPr>
          <w:rFonts w:hint="eastAsia" w:ascii="宋体" w:hAnsi="宋体" w:eastAsia="宋体" w:cs="宋体"/>
          <w:b/>
          <w:color w:val="auto"/>
          <w:sz w:val="30"/>
          <w:szCs w:val="30"/>
          <w:highlight w:val="none"/>
          <w:lang w:val="en-US" w:eastAsia="zh-CN"/>
        </w:rPr>
        <w:t>残疾人福利性单位</w:t>
      </w:r>
      <w:r>
        <w:rPr>
          <w:rFonts w:hint="eastAsia" w:ascii="宋体" w:hAnsi="宋体" w:eastAsia="宋体" w:cs="宋体"/>
          <w:b/>
          <w:color w:val="auto"/>
          <w:sz w:val="30"/>
          <w:szCs w:val="30"/>
          <w:highlight w:val="none"/>
        </w:rPr>
        <w:t>声明函</w:t>
      </w:r>
    </w:p>
    <w:p>
      <w:pPr>
        <w:pStyle w:val="15"/>
        <w:pageBreakBefore w:val="0"/>
        <w:kinsoku/>
        <w:overflowPunct/>
        <w:topLinePunct w:val="0"/>
        <w:bidi w:val="0"/>
        <w:spacing w:line="240" w:lineRule="auto"/>
        <w:rPr>
          <w:rFonts w:hint="eastAsia" w:ascii="宋体" w:hAnsi="宋体" w:eastAsia="宋体" w:cs="宋体"/>
          <w:color w:val="auto"/>
          <w:sz w:val="21"/>
          <w:szCs w:val="21"/>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eastAsia="zh-CN"/>
        </w:rPr>
        <w:t>中小</w:t>
      </w:r>
      <w:r>
        <w:rPr>
          <w:rFonts w:hint="eastAsia" w:ascii="宋体" w:hAnsi="宋体" w:eastAsia="宋体" w:cs="宋体"/>
          <w:b/>
          <w:color w:val="auto"/>
          <w:sz w:val="28"/>
          <w:szCs w:val="28"/>
          <w:highlight w:val="none"/>
        </w:rPr>
        <w:t>企业声明函格式</w:t>
      </w:r>
    </w:p>
    <w:p>
      <w:pPr>
        <w:pageBreakBefore w:val="0"/>
        <w:kinsoku/>
        <w:overflowPunct/>
        <w:topLinePunct w:val="0"/>
        <w:bidi w:val="0"/>
        <w:spacing w:line="240" w:lineRule="auto"/>
        <w:rPr>
          <w:rFonts w:hint="eastAsia" w:ascii="宋体" w:hAnsi="宋体" w:eastAsia="宋体" w:cs="宋体"/>
          <w:color w:val="auto"/>
          <w:sz w:val="21"/>
          <w:szCs w:val="21"/>
          <w:highlight w:val="none"/>
        </w:rPr>
      </w:pPr>
    </w:p>
    <w:p>
      <w:pPr>
        <w:pageBreakBefore w:val="0"/>
        <w:kinsoku/>
        <w:overflowPunct/>
        <w:topLinePunct w:val="0"/>
        <w:bidi w:val="0"/>
        <w:spacing w:line="240" w:lineRule="auto"/>
        <w:ind w:left="-426" w:leftChars="-203" w:right="142" w:firstLine="480" w:firstLineChars="200"/>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pPr>
        <w:pageBreakBefore w:val="0"/>
        <w:kinsoku/>
        <w:overflowPunct/>
        <w:topLinePunct w:val="0"/>
        <w:bidi w:val="0"/>
        <w:spacing w:line="240" w:lineRule="auto"/>
        <w:ind w:left="142" w:right="142"/>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pPr>
        <w:pageBreakBefore w:val="0"/>
        <w:kinsoku/>
        <w:overflowPunct/>
        <w:topLinePunct w:val="0"/>
        <w:bidi w:val="0"/>
        <w:spacing w:line="240" w:lineRule="auto"/>
        <w:ind w:left="-405" w:leftChars="-193" w:right="142" w:firstLine="453" w:firstLineChars="189"/>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rPr>
          <w:rFonts w:hint="eastAsia" w:ascii="宋体" w:hAnsi="宋体" w:eastAsia="宋体" w:cs="宋体"/>
          <w:b/>
          <w:color w:val="auto"/>
          <w:spacing w:val="6"/>
          <w:sz w:val="21"/>
          <w:szCs w:val="21"/>
          <w:highlight w:val="none"/>
        </w:rPr>
      </w:pPr>
      <w:r>
        <w:rPr>
          <w:rFonts w:hint="eastAsia"/>
          <w:color w:val="auto"/>
          <w:highlight w:val="none"/>
          <w:lang w:val="en-US" w:eastAsia="zh-CN"/>
        </w:rPr>
        <w:br w:type="page"/>
      </w:r>
    </w:p>
    <w:p>
      <w:pPr>
        <w:pageBreakBefore w:val="0"/>
        <w:kinsoku/>
        <w:overflowPunct/>
        <w:topLinePunct w:val="0"/>
        <w:bidi w:val="0"/>
        <w:spacing w:line="240" w:lineRule="auto"/>
        <w:jc w:val="center"/>
        <w:rPr>
          <w:rFonts w:hint="eastAsia" w:ascii="宋体" w:hAnsi="宋体" w:eastAsia="宋体" w:cs="宋体"/>
          <w:b/>
          <w:bCs w:val="0"/>
          <w:color w:val="auto"/>
          <w:spacing w:val="6"/>
          <w:sz w:val="28"/>
          <w:szCs w:val="28"/>
          <w:highlight w:val="none"/>
        </w:rPr>
      </w:pPr>
      <w:r>
        <w:rPr>
          <w:rFonts w:hint="eastAsia" w:ascii="宋体" w:hAnsi="宋体" w:eastAsia="宋体" w:cs="宋体"/>
          <w:b/>
          <w:bCs w:val="0"/>
          <w:color w:val="auto"/>
          <w:spacing w:val="6"/>
          <w:sz w:val="28"/>
          <w:szCs w:val="28"/>
          <w:highlight w:val="none"/>
        </w:rPr>
        <w:t>残疾人福利性单位声明函</w:t>
      </w:r>
    </w:p>
    <w:p>
      <w:pPr>
        <w:pageBreakBefore w:val="0"/>
        <w:kinsoku/>
        <w:overflowPunct/>
        <w:topLinePunct w:val="0"/>
        <w:bidi w:val="0"/>
        <w:spacing w:line="240" w:lineRule="auto"/>
        <w:contextualSpacing/>
        <w:rPr>
          <w:rFonts w:hint="eastAsia" w:ascii="宋体" w:hAnsi="宋体" w:eastAsia="宋体" w:cs="宋体"/>
          <w:bCs/>
          <w:color w:val="auto"/>
          <w:spacing w:val="6"/>
          <w:sz w:val="24"/>
          <w:szCs w:val="24"/>
          <w:highlight w:val="none"/>
        </w:rPr>
      </w:pPr>
    </w:p>
    <w:p>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szCs w:val="24"/>
          <w:highlight w:val="none"/>
        </w:rPr>
        <w:t>疾人福利性单位制造的货物（不包括使用非残疾人福利性单位注册商标的货物）。</w:t>
      </w:r>
    </w:p>
    <w:p>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p>
    <w:p>
      <w:pPr>
        <w:pageBreakBefore w:val="0"/>
        <w:kinsoku/>
        <w:overflowPunct/>
        <w:topLinePunct w:val="0"/>
        <w:bidi w:val="0"/>
        <w:spacing w:line="240" w:lineRule="auto"/>
        <w:ind w:firstLine="504" w:firstLineChars="200"/>
        <w:contextualSpacing/>
        <w:rPr>
          <w:rFonts w:hint="eastAsia" w:ascii="宋体" w:hAnsi="宋体" w:eastAsia="宋体" w:cs="宋体"/>
          <w:color w:val="auto"/>
          <w:spacing w:val="6"/>
          <w:sz w:val="24"/>
          <w:szCs w:val="24"/>
          <w:highlight w:val="none"/>
        </w:rPr>
      </w:pPr>
    </w:p>
    <w:p>
      <w:pPr>
        <w:pageBreakBefore w:val="0"/>
        <w:tabs>
          <w:tab w:val="left" w:pos="4860"/>
        </w:tabs>
        <w:kinsoku/>
        <w:overflowPunct/>
        <w:topLinePunct w:val="0"/>
        <w:bidi w:val="0"/>
        <w:spacing w:line="240" w:lineRule="auto"/>
        <w:ind w:right="1560" w:firstLine="504" w:firstLineChars="200"/>
        <w:contextualSpacing/>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6"/>
          <w:sz w:val="24"/>
          <w:szCs w:val="24"/>
          <w:highlight w:val="none"/>
        </w:rPr>
        <w:t>）：</w:t>
      </w:r>
    </w:p>
    <w:p>
      <w:pPr>
        <w:pageBreakBefore w:val="0"/>
        <w:tabs>
          <w:tab w:val="left" w:pos="4860"/>
        </w:tabs>
        <w:kinsoku/>
        <w:overflowPunct/>
        <w:topLinePunct w:val="0"/>
        <w:bidi w:val="0"/>
        <w:spacing w:line="240" w:lineRule="auto"/>
        <w:ind w:right="1560" w:firstLine="504" w:firstLineChars="200"/>
        <w:contextualSpacing/>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00" w:lineRule="exact"/>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7.</w:t>
      </w:r>
      <w:r>
        <w:rPr>
          <w:rFonts w:hint="eastAsia" w:ascii="宋体" w:hAnsi="宋体" w:eastAsia="宋体" w:cs="宋体"/>
          <w:b/>
          <w:color w:val="auto"/>
          <w:sz w:val="30"/>
          <w:szCs w:val="30"/>
          <w:highlight w:val="none"/>
          <w:lang w:eastAsia="zh-CN"/>
        </w:rPr>
        <w:t>具备履行合同所必需的设备和专业技术能力的证明材料</w:t>
      </w:r>
    </w:p>
    <w:p>
      <w:pPr>
        <w:jc w:val="both"/>
        <w:rPr>
          <w:rFonts w:hint="eastAsia" w:ascii="宋体" w:hAnsi="宋体" w:cs="Times New Roman"/>
          <w:color w:val="auto"/>
          <w:kern w:val="2"/>
          <w:sz w:val="24"/>
          <w:szCs w:val="24"/>
          <w:highlight w:val="none"/>
          <w:lang w:val="en-US" w:eastAsia="zh-CN" w:bidi="ar-SA"/>
        </w:rPr>
      </w:pPr>
    </w:p>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color w:val="auto"/>
          <w:kern w:val="2"/>
          <w:sz w:val="24"/>
          <w:szCs w:val="24"/>
          <w:highlight w:val="none"/>
          <w:lang w:val="en-US" w:eastAsia="zh-CN" w:bidi="ar-SA"/>
        </w:rPr>
        <w:t>【</w:t>
      </w:r>
      <w:r>
        <w:rPr>
          <w:rFonts w:hint="eastAsia" w:ascii="宋体" w:hAnsi="宋体" w:eastAsia="宋体" w:cs="Times New Roman"/>
          <w:b/>
          <w:bCs/>
          <w:color w:val="auto"/>
          <w:kern w:val="2"/>
          <w:sz w:val="24"/>
          <w:szCs w:val="24"/>
          <w:highlight w:val="none"/>
          <w:lang w:val="en-US" w:eastAsia="zh-CN" w:bidi="ar-SA"/>
        </w:rPr>
        <w:t>必须提供，格式自拟</w:t>
      </w:r>
      <w:r>
        <w:rPr>
          <w:rFonts w:hint="eastAsia" w:ascii="宋体" w:hAnsi="宋体" w:cs="Times New Roman"/>
          <w:b/>
          <w:bCs/>
          <w:color w:val="auto"/>
          <w:kern w:val="2"/>
          <w:sz w:val="24"/>
          <w:szCs w:val="24"/>
          <w:highlight w:val="none"/>
          <w:lang w:val="en-US" w:eastAsia="zh-CN" w:bidi="ar-SA"/>
        </w:rPr>
        <w:t>】</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pacing w:line="24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三、商务文件格式</w:t>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1.商务文件封面格式： </w:t>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44"/>
          <w:szCs w:val="44"/>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44"/>
          <w:szCs w:val="44"/>
          <w:highlight w:val="none"/>
        </w:rPr>
        <w:t>商  务  文  件</w:t>
      </w: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pPr>
        <w:pStyle w:val="5"/>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pPr>
        <w:pStyle w:val="5"/>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2.商务文件目录</w:t>
      </w:r>
    </w:p>
    <w:p>
      <w:pPr>
        <w:pageBreakBefore w:val="0"/>
        <w:kinsoku/>
        <w:overflowPunct/>
        <w:topLinePunct w:val="0"/>
        <w:bidi w:val="0"/>
        <w:snapToGrid w:val="0"/>
        <w:spacing w:before="50" w:after="120" w:afterLines="50" w:line="24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3.投标人参加本项目无围标串标行为的承诺</w:t>
      </w:r>
    </w:p>
    <w:p>
      <w:pPr>
        <w:pageBreakBefore w:val="0"/>
        <w:kinsoku/>
        <w:overflowPunct/>
        <w:topLinePunct w:val="0"/>
        <w:bidi w:val="0"/>
        <w:snapToGrid w:val="0"/>
        <w:spacing w:before="120" w:beforeLines="50" w:after="50" w:line="240" w:lineRule="auto"/>
        <w:jc w:val="left"/>
        <w:rPr>
          <w:rFonts w:hint="eastAsia" w:ascii="宋体" w:hAnsi="宋体" w:eastAsia="宋体" w:cs="宋体"/>
          <w:b/>
          <w:bCs w:val="0"/>
          <w:color w:val="auto"/>
          <w:sz w:val="28"/>
          <w:szCs w:val="28"/>
          <w:highlight w:val="none"/>
        </w:rPr>
      </w:pPr>
    </w:p>
    <w:p>
      <w:pPr>
        <w:pageBreakBefore w:val="0"/>
        <w:kinsoku/>
        <w:overflowPunct/>
        <w:topLinePunct w:val="0"/>
        <w:bidi w:val="0"/>
        <w:spacing w:line="240" w:lineRule="auto"/>
        <w:ind w:left="420"/>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pacing w:val="-11"/>
          <w:sz w:val="28"/>
          <w:szCs w:val="28"/>
          <w:highlight w:val="none"/>
        </w:rPr>
        <w:t>投标人参加本项目无围标串标行为的承诺函</w:t>
      </w:r>
    </w:p>
    <w:p>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p>
    <w:p>
      <w:pPr>
        <w:pageBreakBefore w:val="0"/>
        <w:kinsoku/>
        <w:overflowPunct/>
        <w:topLinePunct w:val="0"/>
        <w:bidi w:val="0"/>
        <w:spacing w:line="24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5.不同投标人的投标文件相互混装；</w:t>
      </w:r>
      <w:r>
        <w:rPr>
          <w:rFonts w:hint="eastAsia" w:ascii="宋体" w:hAnsi="宋体" w:eastAsia="宋体" w:cs="宋体"/>
          <w:color w:val="auto"/>
          <w:sz w:val="24"/>
          <w:szCs w:val="24"/>
          <w:highlight w:val="none"/>
          <w:lang w:val="en-US" w:eastAsia="zh-CN"/>
        </w:rPr>
        <w:t xml:space="preserve"> </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项目中事先约定轮流以高价位或者低价位中标，或者事先约定由某一特定投标人中标，然后再参加投标；</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pPr>
        <w:pageBreakBefore w:val="0"/>
        <w:kinsoku/>
        <w:overflowPunct/>
        <w:topLinePunct w:val="0"/>
        <w:bidi w:val="0"/>
        <w:spacing w:line="240" w:lineRule="auto"/>
        <w:ind w:firstLine="472" w:firstLineChars="196"/>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pPr>
        <w:pStyle w:val="13"/>
        <w:pageBreakBefore w:val="0"/>
        <w:kinsoku/>
        <w:overflowPunct/>
        <w:topLinePunct w:val="0"/>
        <w:bidi w:val="0"/>
        <w:spacing w:line="240" w:lineRule="auto"/>
        <w:ind w:firstLine="6840" w:firstLineChars="2850"/>
        <w:contextualSpacing/>
        <w:rPr>
          <w:rFonts w:hint="eastAsia" w:ascii="宋体" w:hAnsi="宋体" w:eastAsia="宋体" w:cs="宋体"/>
          <w:color w:val="auto"/>
          <w:sz w:val="24"/>
          <w:szCs w:val="24"/>
          <w:highlight w:val="none"/>
        </w:rPr>
      </w:pPr>
    </w:p>
    <w:p>
      <w:pPr>
        <w:pStyle w:val="13"/>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pPr>
        <w:pStyle w:val="13"/>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4.法定代表人身份证明</w:t>
      </w:r>
    </w:p>
    <w:p>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法定代表人身份证明</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p>
    <w:p>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4"/>
          <w:szCs w:val="24"/>
          <w:highlight w:val="none"/>
        </w:rPr>
      </w:pP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注：自然人投标的无需提供</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5.授权委托书格式</w:t>
      </w:r>
    </w:p>
    <w:p>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授权委托书</w:t>
      </w:r>
    </w:p>
    <w:p>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（如有委托时）</w:t>
      </w:r>
    </w:p>
    <w:p>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pPr>
        <w:pageBreakBefore w:val="0"/>
        <w:kinsoku/>
        <w:overflowPunct/>
        <w:topLinePunct w:val="0"/>
        <w:bidi w:val="0"/>
        <w:spacing w:line="24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pPr>
        <w:pageBreakBefore w:val="0"/>
        <w:kinsoku/>
        <w:overflowPunct/>
        <w:topLinePunct w:val="0"/>
        <w:bidi w:val="0"/>
        <w:spacing w:line="240" w:lineRule="auto"/>
        <w:ind w:firstLine="566" w:firstLineChars="236"/>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项目的投标活动，并代表我方全权办理针对上述项目的所有采购程序和环节的具体事务和签署相关文件。</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我方对委托代理人的签字或者电子签名事项负全部责任。</w:t>
      </w:r>
    </w:p>
    <w:p>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本授权书自签署之日起生效，在撤销授权的书面通知以前，本授权书一直有效。委托代理人在授权书有效期内签署的所有文件不因授权的撤销而失效。</w:t>
      </w:r>
    </w:p>
    <w:p>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附：法定代表人身份证明及委托代理人有效身份证正反面复印件</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bookmarkStart w:id="138" w:name="_Hlk65851555"/>
      <w:bookmarkStart w:id="139" w:name="_Hlk65851620"/>
      <w:r>
        <w:rPr>
          <w:rFonts w:hint="eastAsia" w:ascii="宋体" w:hAnsi="宋体" w:eastAsia="宋体" w:cs="宋体"/>
          <w:color w:val="auto"/>
          <w:sz w:val="24"/>
          <w:szCs w:val="24"/>
          <w:highlight w:val="none"/>
        </w:rPr>
        <w:t>法定代表人必须在授权委托书上签字或者盖章或者电子签名，</w:t>
      </w:r>
      <w:bookmarkEnd w:id="138"/>
      <w:r>
        <w:rPr>
          <w:rFonts w:hint="eastAsia" w:ascii="宋体" w:hAnsi="宋体" w:eastAsia="宋体" w:cs="宋体"/>
          <w:color w:val="auto"/>
          <w:sz w:val="24"/>
          <w:szCs w:val="24"/>
          <w:highlight w:val="none"/>
        </w:rPr>
        <w:t>委托代理人必须在授权委托书上签字或者电子签名，</w:t>
      </w:r>
      <w:r>
        <w:rPr>
          <w:rFonts w:hint="eastAsia" w:ascii="宋体" w:hAnsi="宋体" w:eastAsia="宋体" w:cs="宋体"/>
          <w:b/>
          <w:bCs/>
          <w:color w:val="auto"/>
          <w:sz w:val="24"/>
          <w:szCs w:val="24"/>
          <w:highlight w:val="none"/>
        </w:rPr>
        <w:t>否则按无效投标处理</w:t>
      </w:r>
      <w:r>
        <w:rPr>
          <w:rFonts w:hint="eastAsia" w:ascii="宋体" w:hAnsi="宋体" w:eastAsia="宋体" w:cs="宋体"/>
          <w:color w:val="auto"/>
          <w:sz w:val="24"/>
          <w:szCs w:val="24"/>
          <w:highlight w:val="none"/>
        </w:rPr>
        <w:t>；</w:t>
      </w:r>
      <w:bookmarkEnd w:id="139"/>
    </w:p>
    <w:p>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2.法人、其他组织投标时“我方”是指“我单位”，自然人投标时“我方”是指“本人”。</w:t>
      </w:r>
    </w:p>
    <w:p>
      <w:pPr>
        <w:rPr>
          <w:rFonts w:hint="eastAsia"/>
          <w:color w:val="auto"/>
          <w:highlight w:val="none"/>
          <w:lang w:val="en-US" w:eastAsia="zh-CN"/>
        </w:rPr>
      </w:pPr>
      <w:r>
        <w:rPr>
          <w:rFonts w:hint="eastAsia"/>
          <w:color w:val="auto"/>
          <w:highlight w:val="none"/>
          <w:lang w:val="en-US" w:eastAsia="zh-CN"/>
        </w:rPr>
        <w:br w:type="page"/>
      </w:r>
    </w:p>
    <w:p>
      <w:pPr>
        <w:pageBreakBefore w:val="0"/>
        <w:numPr>
          <w:ilvl w:val="0"/>
          <w:numId w:val="13"/>
        </w:numPr>
        <w:kinsoku/>
        <w:overflowPunct/>
        <w:topLinePunct w:val="0"/>
        <w:bidi w:val="0"/>
        <w:spacing w:line="24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商务要求偏离表格式</w:t>
      </w:r>
    </w:p>
    <w:p>
      <w:pPr>
        <w:spacing w:line="500" w:lineRule="exact"/>
        <w:jc w:val="cente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商务要求偏离表</w:t>
      </w:r>
    </w:p>
    <w:p>
      <w:pPr>
        <w:pageBreakBefore w:val="0"/>
        <w:numPr>
          <w:ilvl w:val="0"/>
          <w:numId w:val="0"/>
        </w:numPr>
        <w:kinsoku/>
        <w:overflowPunct/>
        <w:topLinePunct w:val="0"/>
        <w:bidi w:val="0"/>
        <w:spacing w:line="240" w:lineRule="auto"/>
        <w:rPr>
          <w:rFonts w:hint="eastAsia" w:ascii="宋体" w:hAnsi="宋体" w:eastAsia="宋体" w:cs="宋体"/>
          <w:b/>
          <w:color w:val="auto"/>
          <w:sz w:val="30"/>
          <w:szCs w:val="30"/>
          <w:highlight w:val="none"/>
        </w:rPr>
      </w:pPr>
    </w:p>
    <w:tbl>
      <w:tblPr>
        <w:tblStyle w:val="20"/>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52"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2181"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19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pPr>
        <w:pStyle w:val="7"/>
        <w:pageBreakBefore w:val="0"/>
        <w:kinsoku/>
        <w:overflowPunct/>
        <w:topLinePunct w:val="0"/>
        <w:bidi w:val="0"/>
        <w:spacing w:line="240" w:lineRule="auto"/>
        <w:rPr>
          <w:rFonts w:hint="eastAsia" w:ascii="宋体" w:hAnsi="宋体" w:eastAsia="宋体" w:cs="宋体"/>
          <w:color w:val="auto"/>
          <w:sz w:val="24"/>
          <w:szCs w:val="24"/>
          <w:highlight w:val="none"/>
        </w:rPr>
      </w:pPr>
    </w:p>
    <w:p>
      <w:pPr>
        <w:pStyle w:val="7"/>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2"/>
        <w:pageBreakBefore w:val="0"/>
        <w:kinsoku/>
        <w:overflowPunct/>
        <w:topLinePunct w:val="0"/>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文件“第二章 采购需求”中的商务要求逐条作明确的投标响应，并作出偏离说明。</w:t>
      </w:r>
    </w:p>
    <w:p>
      <w:pPr>
        <w:pStyle w:val="7"/>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2.投标人应根据自身的承诺，对照</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文件要求在“偏离说明”中注明“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”或者“</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”。既不属于“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”也不属于“</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”即为“</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w:t>
      </w:r>
    </w:p>
    <w:p>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w:t>
      </w:r>
    </w:p>
    <w:p>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4"/>
          <w:szCs w:val="24"/>
          <w:highlight w:val="none"/>
        </w:rPr>
        <w:t>日  期：</w:t>
      </w:r>
      <w:r>
        <w:rPr>
          <w:rFonts w:hint="eastAsia" w:ascii="宋体" w:hAnsi="宋体" w:eastAsia="宋体" w:cs="宋体"/>
          <w:color w:val="auto"/>
          <w:spacing w:val="20"/>
          <w:sz w:val="24"/>
          <w:szCs w:val="24"/>
          <w:highlight w:val="none"/>
          <w:u w:val="single"/>
        </w:rPr>
        <w:t xml:space="preserve">         </w:t>
      </w:r>
    </w:p>
    <w:p>
      <w:pPr>
        <w:numPr>
          <w:ilvl w:val="0"/>
          <w:numId w:val="0"/>
        </w:numPr>
        <w:ind w:leftChars="0"/>
        <w:rPr>
          <w:rFonts w:hint="eastAsia"/>
          <w:color w:val="auto"/>
          <w:highlight w:val="none"/>
          <w:lang w:val="en-US" w:eastAsia="zh-CN"/>
        </w:rPr>
        <w:sectPr>
          <w:footerReference r:id="rId5" w:type="default"/>
          <w:pgSz w:w="11906" w:h="16838"/>
          <w:pgMar w:top="1440" w:right="1080" w:bottom="1440" w:left="1080" w:header="851" w:footer="992" w:gutter="0"/>
          <w:pgNumType w:fmt="decimal"/>
          <w:cols w:space="425" w:num="1"/>
          <w:docGrid w:type="lines" w:linePitch="312" w:charSpace="0"/>
        </w:sectPr>
      </w:pPr>
      <w:r>
        <w:rPr>
          <w:rFonts w:hint="eastAsia"/>
          <w:color w:val="auto"/>
          <w:highlight w:val="none"/>
          <w:lang w:val="en-US" w:eastAsia="zh-CN"/>
        </w:rPr>
        <w:br w:type="page"/>
      </w:r>
    </w:p>
    <w:p>
      <w:pPr>
        <w:pageBreakBefore w:val="0"/>
        <w:numPr>
          <w:ilvl w:val="0"/>
          <w:numId w:val="0"/>
        </w:numPr>
        <w:kinsoku/>
        <w:overflowPunct/>
        <w:topLinePunct w:val="0"/>
        <w:bidi w:val="0"/>
        <w:spacing w:line="240" w:lineRule="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7.服务承诺</w:t>
      </w:r>
    </w:p>
    <w:p>
      <w:pPr>
        <w:pageBreakBefore w:val="0"/>
        <w:kinsoku/>
        <w:overflowPunct/>
        <w:topLinePunct w:val="0"/>
        <w:bidi w:val="0"/>
        <w:spacing w:line="240" w:lineRule="auto"/>
        <w:jc w:val="center"/>
        <w:rPr>
          <w:rFonts w:hint="eastAsia" w:ascii="宋体" w:hAnsi="宋体" w:cs="Times New Roman"/>
          <w:b/>
          <w:bCs/>
          <w:color w:val="auto"/>
          <w:kern w:val="2"/>
          <w:sz w:val="24"/>
          <w:szCs w:val="24"/>
          <w:highlight w:val="none"/>
          <w:lang w:val="en-US" w:eastAsia="zh-CN" w:bidi="ar-SA"/>
        </w:rPr>
      </w:pPr>
    </w:p>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color w:val="auto"/>
          <w:kern w:val="2"/>
          <w:sz w:val="24"/>
          <w:szCs w:val="24"/>
          <w:highlight w:val="none"/>
          <w:lang w:val="en-US" w:eastAsia="zh-CN" w:bidi="ar-SA"/>
        </w:rPr>
        <w:t>【</w:t>
      </w:r>
      <w:r>
        <w:rPr>
          <w:rFonts w:hint="eastAsia" w:ascii="宋体" w:hAnsi="宋体" w:eastAsia="宋体" w:cs="Times New Roman"/>
          <w:b/>
          <w:bCs/>
          <w:color w:val="auto"/>
          <w:kern w:val="2"/>
          <w:sz w:val="24"/>
          <w:szCs w:val="24"/>
          <w:highlight w:val="none"/>
          <w:lang w:val="en-US" w:eastAsia="zh-CN" w:bidi="ar-SA"/>
        </w:rPr>
        <w:t>必须提供，格式自拟</w:t>
      </w:r>
      <w:r>
        <w:rPr>
          <w:rFonts w:hint="eastAsia" w:ascii="宋体" w:hAnsi="宋体" w:cs="Times New Roman"/>
          <w:b/>
          <w:bCs/>
          <w:color w:val="auto"/>
          <w:kern w:val="2"/>
          <w:sz w:val="24"/>
          <w:szCs w:val="24"/>
          <w:highlight w:val="none"/>
          <w:lang w:val="en-US" w:eastAsia="zh-CN" w:bidi="ar-SA"/>
        </w:rPr>
        <w:t>】</w:t>
      </w:r>
    </w:p>
    <w:p>
      <w:pPr>
        <w:numPr>
          <w:ilvl w:val="0"/>
          <w:numId w:val="0"/>
        </w:numPr>
        <w:ind w:leftChars="0"/>
        <w:rPr>
          <w:rFonts w:hint="eastAsia"/>
          <w:color w:val="auto"/>
          <w:highlight w:val="none"/>
          <w:lang w:val="en-US" w:eastAsia="zh-CN"/>
        </w:rPr>
        <w:sectPr>
          <w:pgSz w:w="11906" w:h="16838"/>
          <w:pgMar w:top="1440" w:right="1080" w:bottom="1440" w:left="1080" w:header="851" w:footer="992" w:gutter="0"/>
          <w:pgNumType w:fmt="decimal"/>
          <w:cols w:space="425" w:num="1"/>
          <w:docGrid w:type="lines" w:linePitch="312" w:charSpace="0"/>
        </w:sectPr>
      </w:pP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四、技术文件格式</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1.技术文件封面格式： </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p>
    <w:p>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术</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文</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件</w:t>
      </w: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分标：</w:t>
      </w:r>
      <w:r>
        <w:rPr>
          <w:rFonts w:hint="eastAsia" w:ascii="宋体" w:hAnsi="宋体" w:eastAsia="宋体" w:cs="宋体"/>
          <w:bCs/>
          <w:color w:val="auto"/>
          <w:sz w:val="28"/>
          <w:szCs w:val="28"/>
          <w:highlight w:val="none"/>
        </w:rPr>
        <w:t xml:space="preserve"> </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2.技术文件目录</w:t>
      </w:r>
    </w:p>
    <w:p>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3.技术要求偏离表格式</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技术要求偏离表</w:t>
      </w:r>
    </w:p>
    <w:p>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20"/>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52"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2181"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p>
    <w:p>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pPr>
        <w:pageBreakBefore w:val="0"/>
        <w:kinsoku/>
        <w:overflowPunct/>
        <w:topLinePunct w:val="0"/>
        <w:bidi w:val="0"/>
        <w:spacing w:line="24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文件“第二章 采购需求”中的“技术要求”</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作明确的投标响应，并作出偏离说明。</w:t>
      </w:r>
    </w:p>
    <w:p>
      <w:pPr>
        <w:pageBreakBefore w:val="0"/>
        <w:kinsoku/>
        <w:overflowPunct/>
        <w:topLinePunct w:val="0"/>
        <w:bidi w:val="0"/>
        <w:spacing w:line="240" w:lineRule="auto"/>
        <w:contextualSpacing/>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2.投标人应根据自身的承诺，对照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文件要求，在“偏离说明”中注明“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”或者“</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”。既不属于“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”也不属于“</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”即为“</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w:t>
      </w:r>
    </w:p>
    <w:p>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pPr>
        <w:rPr>
          <w:rFonts w:hint="eastAsia"/>
          <w:color w:val="auto"/>
          <w:sz w:val="24"/>
          <w:szCs w:val="24"/>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color w:val="auto"/>
          <w:sz w:val="24"/>
          <w:szCs w:val="24"/>
          <w:highlight w:val="none"/>
          <w:lang w:val="en-US" w:eastAsia="zh-CN"/>
        </w:rPr>
        <w:br w:type="page"/>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4.服务方案</w:t>
      </w:r>
    </w:p>
    <w:p>
      <w:pPr>
        <w:rPr>
          <w:rFonts w:hint="eastAsia"/>
          <w:color w:val="auto"/>
          <w:sz w:val="24"/>
          <w:szCs w:val="24"/>
          <w:highlight w:val="none"/>
          <w:lang w:val="en-US" w:eastAsia="zh-CN"/>
        </w:rPr>
      </w:pPr>
    </w:p>
    <w:p>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color w:val="auto"/>
          <w:kern w:val="2"/>
          <w:sz w:val="24"/>
          <w:szCs w:val="24"/>
          <w:highlight w:val="none"/>
          <w:lang w:val="en-US" w:eastAsia="zh-CN" w:bidi="ar-SA"/>
        </w:rPr>
        <w:t>【</w:t>
      </w:r>
      <w:r>
        <w:rPr>
          <w:rFonts w:hint="eastAsia" w:ascii="宋体" w:hAnsi="宋体" w:eastAsia="宋体" w:cs="Times New Roman"/>
          <w:b/>
          <w:bCs/>
          <w:color w:val="auto"/>
          <w:kern w:val="2"/>
          <w:sz w:val="24"/>
          <w:szCs w:val="24"/>
          <w:highlight w:val="none"/>
          <w:lang w:val="en-US" w:eastAsia="zh-CN" w:bidi="ar-SA"/>
        </w:rPr>
        <w:t>必须提供，格式自拟</w:t>
      </w:r>
      <w:r>
        <w:rPr>
          <w:rFonts w:hint="eastAsia" w:ascii="宋体" w:hAnsi="宋体" w:cs="Times New Roman"/>
          <w:b/>
          <w:bCs/>
          <w:color w:val="auto"/>
          <w:kern w:val="2"/>
          <w:sz w:val="24"/>
          <w:szCs w:val="24"/>
          <w:highlight w:val="none"/>
          <w:lang w:val="en-US" w:eastAsia="zh-CN" w:bidi="ar-SA"/>
        </w:rPr>
        <w:t>】</w:t>
      </w:r>
    </w:p>
    <w:p>
      <w:pPr>
        <w:rPr>
          <w:rFonts w:hint="default"/>
          <w:color w:val="auto"/>
          <w:sz w:val="24"/>
          <w:szCs w:val="24"/>
          <w:highlight w:val="none"/>
          <w:lang w:val="en-US" w:eastAsia="zh-CN"/>
        </w:rPr>
        <w:sectPr>
          <w:pgSz w:w="11906" w:h="16838"/>
          <w:pgMar w:top="1440" w:right="1080" w:bottom="1440" w:left="1080" w:header="851" w:footer="992" w:gutter="0"/>
          <w:pgNumType w:fmt="decimal"/>
          <w:cols w:space="425" w:num="1"/>
          <w:docGrid w:type="lines" w:linePitch="312" w:charSpace="0"/>
        </w:sectPr>
      </w:pPr>
    </w:p>
    <w:p>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4.项目实施人员一览表格式</w:t>
      </w:r>
    </w:p>
    <w:p>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项目实施人员一览表</w:t>
      </w:r>
    </w:p>
    <w:p>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p>
    <w:tbl>
      <w:tblPr>
        <w:tblStyle w:val="20"/>
        <w:tblpPr w:leftFromText="180" w:rightFromText="180" w:vertAnchor="text" w:horzAnchor="page" w:tblpX="1215" w:tblpY="53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11"/>
        <w:gridCol w:w="4888"/>
        <w:gridCol w:w="922"/>
        <w:gridCol w:w="169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88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专业技术资格（职称）或者职业资格或者执业资格证或者其他证书</w:t>
            </w:r>
          </w:p>
        </w:tc>
        <w:tc>
          <w:tcPr>
            <w:tcW w:w="92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69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参加本单位工作时间</w:t>
            </w:r>
          </w:p>
        </w:tc>
        <w:tc>
          <w:tcPr>
            <w:tcW w:w="123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488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92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69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23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488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92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69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23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611"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488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92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698"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1232" w:type="dxa"/>
            <w:vAlign w:val="center"/>
          </w:tcPr>
          <w:p>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bl>
    <w:p>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4"/>
          <w:szCs w:val="24"/>
          <w:highlight w:val="none"/>
        </w:rPr>
      </w:pP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1.在填写时，如本表格不适合投标单位的实际情况，可根据本表格式自行制表填写。</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2.投标人应当附本表所列证书的复印件并加盖投标人公章。</w:t>
      </w:r>
    </w:p>
    <w:p>
      <w:pPr>
        <w:pageBreakBefore w:val="0"/>
        <w:kinsoku/>
        <w:overflowPunct/>
        <w:topLinePunct w:val="0"/>
        <w:bidi w:val="0"/>
        <w:spacing w:line="240" w:lineRule="auto"/>
        <w:contextualSpacing/>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五、其他文书、文件格式</w:t>
      </w:r>
    </w:p>
    <w:p>
      <w:pPr>
        <w:pageBreakBefore w:val="0"/>
        <w:kinsoku/>
        <w:overflowPunct/>
        <w:topLinePunct w:val="0"/>
        <w:bidi w:val="0"/>
        <w:spacing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1.质疑函（格式）</w:t>
      </w:r>
    </w:p>
    <w:p>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质疑函（格式）</w:t>
      </w:r>
    </w:p>
    <w:p>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□采购结果   </w:t>
      </w:r>
    </w:p>
    <w:p>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p>
    <w:p>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pPr>
        <w:pStyle w:val="13"/>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pPr>
        <w:rPr>
          <w:rFonts w:hint="eastAsia"/>
          <w:color w:val="auto"/>
          <w:highlight w:val="none"/>
          <w:lang w:val="en-US" w:eastAsia="zh-CN"/>
        </w:rPr>
      </w:pPr>
      <w:r>
        <w:rPr>
          <w:rFonts w:hint="eastAsia"/>
          <w:color w:val="auto"/>
          <w:highlight w:val="none"/>
          <w:lang w:val="en-US" w:eastAsia="zh-CN"/>
        </w:rPr>
        <w:br w:type="page"/>
      </w:r>
    </w:p>
    <w:p>
      <w:pPr>
        <w:pageBreakBefore w:val="0"/>
        <w:kinsoku/>
        <w:overflowPunct/>
        <w:topLinePunct w:val="0"/>
        <w:bidi w:val="0"/>
        <w:spacing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2.投诉书（格式）</w:t>
      </w:r>
    </w:p>
    <w:p>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投诉书（格式）</w:t>
      </w:r>
    </w:p>
    <w:p>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pPr>
        <w:pStyle w:val="13"/>
        <w:pageBreakBefore w:val="0"/>
        <w:kinsoku/>
        <w:overflowPunct/>
        <w:topLinePunct w:val="0"/>
        <w:bidi w:val="0"/>
        <w:spacing w:line="24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pPr>
        <w:pStyle w:val="13"/>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3"/>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3"/>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13"/>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pPr>
        <w:pStyle w:val="13"/>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pPr>
        <w:pStyle w:val="13"/>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p>
      <w:pPr>
        <w:pStyle w:val="24"/>
        <w:rPr>
          <w:rFonts w:hint="eastAsia" w:ascii="宋体" w:hAnsi="宋体" w:eastAsia="宋体" w:cs="宋体"/>
          <w:color w:val="auto"/>
          <w:szCs w:val="21"/>
          <w:highlight w:val="none"/>
        </w:rPr>
      </w:pPr>
    </w:p>
    <w:sectPr>
      <w:footerReference r:id="rId6" w:type="default"/>
      <w:pgSz w:w="11906" w:h="16838"/>
      <w:pgMar w:top="1440" w:right="1800" w:bottom="1440" w:left="1800" w:header="851" w:footer="992" w:gutter="0"/>
      <w:pgNumType w:start="9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7320F"/>
    <w:multiLevelType w:val="singleLevel"/>
    <w:tmpl w:val="9407320F"/>
    <w:lvl w:ilvl="0" w:tentative="0">
      <w:start w:val="1"/>
      <w:numFmt w:val="chineseCounting"/>
      <w:suff w:val="space"/>
      <w:lvlText w:val="第%1章"/>
      <w:lvlJc w:val="left"/>
      <w:pPr>
        <w:ind w:left="0" w:firstLine="420"/>
      </w:pPr>
      <w:rPr>
        <w:rFonts w:hint="eastAsia"/>
        <w:sz w:val="40"/>
      </w:rPr>
    </w:lvl>
  </w:abstractNum>
  <w:abstractNum w:abstractNumId="1">
    <w:nsid w:val="99B8A617"/>
    <w:multiLevelType w:val="singleLevel"/>
    <w:tmpl w:val="99B8A617"/>
    <w:lvl w:ilvl="0" w:tentative="0">
      <w:start w:val="1"/>
      <w:numFmt w:val="decimal"/>
      <w:lvlText w:val="%1."/>
      <w:lvlJc w:val="left"/>
      <w:pPr>
        <w:tabs>
          <w:tab w:val="left" w:pos="312"/>
        </w:tabs>
      </w:pPr>
    </w:lvl>
  </w:abstractNum>
  <w:abstractNum w:abstractNumId="2">
    <w:nsid w:val="CF50C272"/>
    <w:multiLevelType w:val="singleLevel"/>
    <w:tmpl w:val="CF50C272"/>
    <w:lvl w:ilvl="0" w:tentative="0">
      <w:start w:val="1"/>
      <w:numFmt w:val="decimal"/>
      <w:suff w:val="nothing"/>
      <w:lvlText w:val="（%1）"/>
      <w:lvlJc w:val="left"/>
    </w:lvl>
  </w:abstractNum>
  <w:abstractNum w:abstractNumId="3">
    <w:nsid w:val="EAE71651"/>
    <w:multiLevelType w:val="singleLevel"/>
    <w:tmpl w:val="EAE71651"/>
    <w:lvl w:ilvl="0" w:tentative="0">
      <w:start w:val="14"/>
      <w:numFmt w:val="decimal"/>
      <w:lvlText w:val="%1."/>
      <w:lvlJc w:val="left"/>
      <w:pPr>
        <w:tabs>
          <w:tab w:val="left" w:pos="312"/>
        </w:tabs>
      </w:pPr>
    </w:lvl>
  </w:abstractNum>
  <w:abstractNum w:abstractNumId="4">
    <w:nsid w:val="F6BEBEDD"/>
    <w:multiLevelType w:val="singleLevel"/>
    <w:tmpl w:val="F6BEBEDD"/>
    <w:lvl w:ilvl="0" w:tentative="0">
      <w:start w:val="6"/>
      <w:numFmt w:val="decimal"/>
      <w:lvlText w:val="%1."/>
      <w:lvlJc w:val="left"/>
      <w:pPr>
        <w:tabs>
          <w:tab w:val="left" w:pos="312"/>
        </w:tabs>
      </w:pPr>
    </w:lvl>
  </w:abstractNum>
  <w:abstractNum w:abstractNumId="5">
    <w:nsid w:val="FAF085C6"/>
    <w:multiLevelType w:val="singleLevel"/>
    <w:tmpl w:val="FAF085C6"/>
    <w:lvl w:ilvl="0" w:tentative="0">
      <w:start w:val="21"/>
      <w:numFmt w:val="decimal"/>
      <w:lvlText w:val="%1."/>
      <w:lvlJc w:val="left"/>
      <w:pPr>
        <w:tabs>
          <w:tab w:val="left" w:pos="312"/>
        </w:tabs>
      </w:pPr>
    </w:lvl>
  </w:abstractNum>
  <w:abstractNum w:abstractNumId="6">
    <w:nsid w:val="FDB17BBD"/>
    <w:multiLevelType w:val="singleLevel"/>
    <w:tmpl w:val="FDB17BBD"/>
    <w:lvl w:ilvl="0" w:tentative="0">
      <w:start w:val="2"/>
      <w:numFmt w:val="decimal"/>
      <w:suff w:val="space"/>
      <w:lvlText w:val="%1、"/>
      <w:lvlJc w:val="left"/>
    </w:lvl>
  </w:abstractNum>
  <w:abstractNum w:abstractNumId="7">
    <w:nsid w:val="FFBF38EA"/>
    <w:multiLevelType w:val="singleLevel"/>
    <w:tmpl w:val="FFBF38EA"/>
    <w:lvl w:ilvl="0" w:tentative="0">
      <w:start w:val="1"/>
      <w:numFmt w:val="decimal"/>
      <w:suff w:val="nothing"/>
      <w:lvlText w:val="%1、"/>
      <w:lvlJc w:val="left"/>
    </w:lvl>
  </w:abstractNum>
  <w:abstractNum w:abstractNumId="8">
    <w:nsid w:val="202502F8"/>
    <w:multiLevelType w:val="singleLevel"/>
    <w:tmpl w:val="202502F8"/>
    <w:lvl w:ilvl="0" w:tentative="0">
      <w:start w:val="31"/>
      <w:numFmt w:val="decimal"/>
      <w:lvlText w:val="%1."/>
      <w:lvlJc w:val="left"/>
      <w:pPr>
        <w:tabs>
          <w:tab w:val="left" w:pos="312"/>
        </w:tabs>
      </w:p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D74D5C6"/>
    <w:multiLevelType w:val="singleLevel"/>
    <w:tmpl w:val="3D74D5C6"/>
    <w:lvl w:ilvl="0" w:tentative="0">
      <w:start w:val="1"/>
      <w:numFmt w:val="decimal"/>
      <w:lvlText w:val="%1."/>
      <w:lvlJc w:val="left"/>
      <w:pPr>
        <w:tabs>
          <w:tab w:val="left" w:pos="312"/>
        </w:tabs>
      </w:pPr>
    </w:lvl>
  </w:abstractNum>
  <w:abstractNum w:abstractNumId="11">
    <w:nsid w:val="4C601917"/>
    <w:multiLevelType w:val="singleLevel"/>
    <w:tmpl w:val="4C601917"/>
    <w:lvl w:ilvl="0" w:tentative="0">
      <w:start w:val="1"/>
      <w:numFmt w:val="decimal"/>
      <w:suff w:val="nothing"/>
      <w:lvlText w:val="（%1）"/>
      <w:lvlJc w:val="left"/>
      <w:pPr>
        <w:ind w:left="-2"/>
      </w:pPr>
    </w:lvl>
  </w:abstractNum>
  <w:abstractNum w:abstractNumId="12">
    <w:nsid w:val="5FABD14B"/>
    <w:multiLevelType w:val="singleLevel"/>
    <w:tmpl w:val="5FABD14B"/>
    <w:lvl w:ilvl="0" w:tentative="0">
      <w:start w:val="1"/>
      <w:numFmt w:val="decimal"/>
      <w:suff w:val="nothing"/>
      <w:lvlText w:val="（%1）"/>
      <w:lvlJc w:val="left"/>
    </w:lvl>
  </w:abstractNum>
  <w:num w:numId="1">
    <w:abstractNumId w:val="9"/>
  </w:num>
  <w:num w:numId="2">
    <w:abstractNumId w:val="0"/>
  </w:num>
  <w:num w:numId="3">
    <w:abstractNumId w:val="10"/>
  </w:num>
  <w:num w:numId="4">
    <w:abstractNumId w:val="1"/>
  </w:num>
  <w:num w:numId="5">
    <w:abstractNumId w:val="2"/>
  </w:num>
  <w:num w:numId="6">
    <w:abstractNumId w:val="3"/>
  </w:num>
  <w:num w:numId="7">
    <w:abstractNumId w:val="5"/>
  </w:num>
  <w:num w:numId="8">
    <w:abstractNumId w:val="8"/>
  </w:num>
  <w:num w:numId="9">
    <w:abstractNumId w:val="11"/>
  </w:num>
  <w:num w:numId="10">
    <w:abstractNumId w:val="12"/>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4F1C"/>
    <w:rsid w:val="012235AE"/>
    <w:rsid w:val="0153594D"/>
    <w:rsid w:val="032234B3"/>
    <w:rsid w:val="032F6A60"/>
    <w:rsid w:val="035E4AA5"/>
    <w:rsid w:val="06CF0CDA"/>
    <w:rsid w:val="06DF532A"/>
    <w:rsid w:val="074E23CF"/>
    <w:rsid w:val="07504EC1"/>
    <w:rsid w:val="0822233B"/>
    <w:rsid w:val="08CB6632"/>
    <w:rsid w:val="099706BB"/>
    <w:rsid w:val="0A215603"/>
    <w:rsid w:val="0B985C5C"/>
    <w:rsid w:val="0C143840"/>
    <w:rsid w:val="0CCB182E"/>
    <w:rsid w:val="0E306B08"/>
    <w:rsid w:val="0ECF0DC1"/>
    <w:rsid w:val="0F3019B2"/>
    <w:rsid w:val="10165775"/>
    <w:rsid w:val="10E6462C"/>
    <w:rsid w:val="10F437C9"/>
    <w:rsid w:val="12C6644F"/>
    <w:rsid w:val="12E70E3D"/>
    <w:rsid w:val="13515C4C"/>
    <w:rsid w:val="13E2733E"/>
    <w:rsid w:val="14E629C1"/>
    <w:rsid w:val="15AB4D14"/>
    <w:rsid w:val="1711641B"/>
    <w:rsid w:val="1808618D"/>
    <w:rsid w:val="18B37801"/>
    <w:rsid w:val="1910625E"/>
    <w:rsid w:val="19D24C29"/>
    <w:rsid w:val="1AF42427"/>
    <w:rsid w:val="1DCF73AE"/>
    <w:rsid w:val="1EC71AB5"/>
    <w:rsid w:val="1F366936"/>
    <w:rsid w:val="1F6277F2"/>
    <w:rsid w:val="20941658"/>
    <w:rsid w:val="20CF189F"/>
    <w:rsid w:val="20E6405B"/>
    <w:rsid w:val="221A1EFC"/>
    <w:rsid w:val="23617A8E"/>
    <w:rsid w:val="23904D98"/>
    <w:rsid w:val="25404C28"/>
    <w:rsid w:val="25776207"/>
    <w:rsid w:val="268918DF"/>
    <w:rsid w:val="272E4D75"/>
    <w:rsid w:val="27FC00CE"/>
    <w:rsid w:val="29941581"/>
    <w:rsid w:val="2A9D7D59"/>
    <w:rsid w:val="2F9E22F8"/>
    <w:rsid w:val="31777562"/>
    <w:rsid w:val="31B82A53"/>
    <w:rsid w:val="32600404"/>
    <w:rsid w:val="32FB3683"/>
    <w:rsid w:val="335D33BD"/>
    <w:rsid w:val="33634D15"/>
    <w:rsid w:val="33925D96"/>
    <w:rsid w:val="35BF62BD"/>
    <w:rsid w:val="35EA4212"/>
    <w:rsid w:val="35EF3403"/>
    <w:rsid w:val="3A143F0D"/>
    <w:rsid w:val="3B6C5D64"/>
    <w:rsid w:val="3B954675"/>
    <w:rsid w:val="3BDD2C0C"/>
    <w:rsid w:val="3C153B64"/>
    <w:rsid w:val="3D6A77AB"/>
    <w:rsid w:val="3EBB2597"/>
    <w:rsid w:val="41B4339B"/>
    <w:rsid w:val="432D1637"/>
    <w:rsid w:val="433F1281"/>
    <w:rsid w:val="4378755C"/>
    <w:rsid w:val="437C1F45"/>
    <w:rsid w:val="438F542E"/>
    <w:rsid w:val="44267B8D"/>
    <w:rsid w:val="44273BBF"/>
    <w:rsid w:val="45D067EC"/>
    <w:rsid w:val="4662249E"/>
    <w:rsid w:val="46751390"/>
    <w:rsid w:val="49A87567"/>
    <w:rsid w:val="4A5E6D8C"/>
    <w:rsid w:val="4C047FF2"/>
    <w:rsid w:val="4E2D698F"/>
    <w:rsid w:val="4EBA0560"/>
    <w:rsid w:val="4F2504B5"/>
    <w:rsid w:val="4F36792C"/>
    <w:rsid w:val="505F4BBF"/>
    <w:rsid w:val="506611C2"/>
    <w:rsid w:val="50A925E2"/>
    <w:rsid w:val="51874EEB"/>
    <w:rsid w:val="51D24CC3"/>
    <w:rsid w:val="53672943"/>
    <w:rsid w:val="53A2190A"/>
    <w:rsid w:val="54A454D1"/>
    <w:rsid w:val="54C87F18"/>
    <w:rsid w:val="56865237"/>
    <w:rsid w:val="57646494"/>
    <w:rsid w:val="588F65CD"/>
    <w:rsid w:val="58BD2249"/>
    <w:rsid w:val="58DC4756"/>
    <w:rsid w:val="5ACB3E4B"/>
    <w:rsid w:val="5D0638AC"/>
    <w:rsid w:val="5DAB65B8"/>
    <w:rsid w:val="5DAF116F"/>
    <w:rsid w:val="5DD8529D"/>
    <w:rsid w:val="5F952C60"/>
    <w:rsid w:val="5FC42736"/>
    <w:rsid w:val="60A7073A"/>
    <w:rsid w:val="62014ECC"/>
    <w:rsid w:val="636E7E24"/>
    <w:rsid w:val="64267CB1"/>
    <w:rsid w:val="64AA79D5"/>
    <w:rsid w:val="6690502B"/>
    <w:rsid w:val="66EF4F9D"/>
    <w:rsid w:val="67F3390B"/>
    <w:rsid w:val="6984658B"/>
    <w:rsid w:val="6ABE3656"/>
    <w:rsid w:val="6BF67DF1"/>
    <w:rsid w:val="6C84604E"/>
    <w:rsid w:val="6DC06DE2"/>
    <w:rsid w:val="6E55421F"/>
    <w:rsid w:val="6EE15516"/>
    <w:rsid w:val="70C17068"/>
    <w:rsid w:val="717C3606"/>
    <w:rsid w:val="71916654"/>
    <w:rsid w:val="739F430C"/>
    <w:rsid w:val="75500CA1"/>
    <w:rsid w:val="75BF558C"/>
    <w:rsid w:val="7657506C"/>
    <w:rsid w:val="788F72C4"/>
    <w:rsid w:val="7A132267"/>
    <w:rsid w:val="7A845F04"/>
    <w:rsid w:val="7B810DB6"/>
    <w:rsid w:val="7B9A566A"/>
    <w:rsid w:val="7CD67BED"/>
    <w:rsid w:val="7D785165"/>
    <w:rsid w:val="7DE203B9"/>
    <w:rsid w:val="7E3D5ECB"/>
    <w:rsid w:val="7E505BFE"/>
    <w:rsid w:val="7EA3101F"/>
    <w:rsid w:val="7EBA18DA"/>
    <w:rsid w:val="7EDC56E4"/>
    <w:rsid w:val="7F4D014B"/>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annotation text"/>
    <w:basedOn w:val="1"/>
    <w:unhideWhenUsed/>
    <w:qFormat/>
    <w:uiPriority w:val="0"/>
    <w:pPr>
      <w:jc w:val="left"/>
    </w:pPr>
  </w:style>
  <w:style w:type="paragraph" w:styleId="7">
    <w:name w:val="Body Text 3"/>
    <w:basedOn w:val="1"/>
    <w:qFormat/>
    <w:uiPriority w:val="0"/>
    <w:pPr>
      <w:spacing w:line="500" w:lineRule="exact"/>
    </w:pPr>
    <w:rPr>
      <w:b/>
      <w:bCs/>
      <w:kern w:val="0"/>
      <w:sz w:val="24"/>
    </w:rPr>
  </w:style>
  <w:style w:type="paragraph" w:styleId="8">
    <w:name w:val="Body Text"/>
    <w:basedOn w:val="1"/>
    <w:next w:val="9"/>
    <w:unhideWhenUsed/>
    <w:qFormat/>
    <w:uiPriority w:val="0"/>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14"/>
    <w:qFormat/>
    <w:uiPriority w:val="0"/>
    <w:rPr>
      <w:rFonts w:ascii="宋体" w:hAnsi="Courier New"/>
      <w:kern w:val="0"/>
      <w:sz w:val="20"/>
      <w:szCs w:val="21"/>
    </w:rPr>
  </w:style>
  <w:style w:type="paragraph" w:customStyle="1" w:styleId="14">
    <w:name w:val="TOC 标题2"/>
    <w:next w:val="1"/>
    <w:qFormat/>
    <w:uiPriority w:val="0"/>
    <w:pPr>
      <w:wordWrap w:val="0"/>
    </w:pPr>
    <w:rPr>
      <w:rFonts w:ascii="Times New Roman" w:hAnsi="Times New Roman" w:eastAsia="宋体" w:cs="Times New Roman"/>
      <w:sz w:val="32"/>
      <w:lang w:val="en-US" w:eastAsia="zh-CN" w:bidi="ar-SA"/>
    </w:rPr>
  </w:style>
  <w:style w:type="paragraph" w:styleId="15">
    <w:name w:val="footer"/>
    <w:basedOn w:val="1"/>
    <w:next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2">
    <w:name w:val="Strong"/>
    <w:basedOn w:val="21"/>
    <w:qFormat/>
    <w:uiPriority w:val="0"/>
    <w:rPr>
      <w:b/>
    </w:rPr>
  </w:style>
  <w:style w:type="character" w:styleId="23">
    <w:name w:val="HTML Sample"/>
    <w:basedOn w:val="21"/>
    <w:qFormat/>
    <w:uiPriority w:val="0"/>
    <w:rPr>
      <w:rFonts w:ascii="Courier New" w:hAnsi="Courier New"/>
    </w:rPr>
  </w:style>
  <w:style w:type="paragraph" w:customStyle="1" w:styleId="24">
    <w:name w:val="样式 0正文 + 首行缩进:  2 字符1"/>
    <w:basedOn w:val="1"/>
    <w:qFormat/>
    <w:uiPriority w:val="99"/>
    <w:pPr>
      <w:spacing w:line="360" w:lineRule="auto"/>
      <w:ind w:firstLine="200" w:firstLineChars="200"/>
    </w:pPr>
    <w:rPr>
      <w:szCs w:val="20"/>
    </w:rPr>
  </w:style>
  <w:style w:type="paragraph" w:customStyle="1" w:styleId="25">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26">
    <w:name w:val="Table Text"/>
    <w:basedOn w:val="1"/>
    <w:semiHidden/>
    <w:qFormat/>
    <w:uiPriority w:val="0"/>
    <w:rPr>
      <w:rFonts w:ascii="宋体" w:hAnsi="宋体" w:cs="宋体"/>
      <w:szCs w:val="21"/>
      <w:lang w:eastAsia="en-US"/>
    </w:rPr>
  </w:style>
  <w:style w:type="paragraph" w:customStyle="1" w:styleId="27">
    <w:name w:val="null3"/>
    <w:qFormat/>
    <w:uiPriority w:val="0"/>
    <w:rPr>
      <w:rFonts w:hint="eastAsia" w:ascii="Calibri" w:hAnsi="Calibri" w:eastAsia="宋体" w:cs="Times New Roman"/>
      <w:lang w:val="en-US" w:eastAsia="zh-Hans" w:bidi="ar-SA"/>
    </w:rPr>
  </w:style>
  <w:style w:type="paragraph" w:customStyle="1" w:styleId="28">
    <w:name w:val="正文2"/>
    <w:basedOn w:val="1"/>
    <w:qFormat/>
    <w:uiPriority w:val="0"/>
    <w:pPr>
      <w:adjustRightInd w:val="0"/>
      <w:spacing w:before="156" w:line="360" w:lineRule="auto"/>
      <w:ind w:firstLine="510" w:firstLineChars="200"/>
    </w:pPr>
    <w:rPr>
      <w:sz w:val="24"/>
      <w:szCs w:val="20"/>
    </w:rPr>
  </w:style>
  <w:style w:type="paragraph" w:customStyle="1" w:styleId="29">
    <w:name w:val="表格文字"/>
    <w:basedOn w:val="12"/>
    <w:next w:val="8"/>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19966</Words>
  <Characters>20469</Characters>
  <Lines>0</Lines>
  <Paragraphs>0</Paragraphs>
  <TotalTime>9</TotalTime>
  <ScaleCrop>false</ScaleCrop>
  <LinksUpToDate>false</LinksUpToDate>
  <CharactersWithSpaces>20667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2026-03-12T08:19:00Z</dcterms:created>
  <dc:creator>Dell</dc:creator>
  <cp:lastModifiedBy>陈雨丸</cp:lastModifiedBy>
  <cp:lastPrinted>2026-04-02T02:56:36Z</cp:lastPrinted>
  <dcterms:modified xsi:type="dcterms:W3CDTF">2026-04-02T03:01:25Z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eyJoZGlkIjoiNmI1Zjc1NGMwNGNiZjg0NTZkZmM5ZGVmZDM0OWNmMDMiLCJ1c2VySWQiOiIxNTIxNzY2MDU5In0=</vt:lpwstr>
  </property>
  <property fmtid="{D5CDD505-2E9C-101B-9397-08002B2CF9AE}" pid="4" name="ICV">
    <vt:lpwstr>C62D41966E7147BB87C3B68D831A5875_13</vt:lpwstr>
  </property>
</Properties>
</file>