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C258">
      <w:pPr>
        <w:snapToGrid w:val="0"/>
        <w:spacing w:before="120" w:beforeLines="50" w:line="360" w:lineRule="auto"/>
        <w:jc w:val="center"/>
        <w:rPr>
          <w:rFonts w:hint="eastAsia" w:ascii="宋体" w:hAnsi="宋体" w:eastAsia="宋体" w:cs="宋体"/>
          <w:b/>
          <w:color w:val="auto"/>
          <w:sz w:val="48"/>
          <w:szCs w:val="48"/>
          <w:highlight w:val="none"/>
          <w:lang w:eastAsia="zh-CN"/>
        </w:rPr>
      </w:pPr>
      <w:bookmarkStart w:id="0" w:name="_Toc434315322"/>
      <w:r>
        <w:rPr>
          <w:rFonts w:hint="eastAsia" w:ascii="宋体" w:hAnsi="宋体" w:cs="宋体"/>
          <w:b/>
          <w:color w:val="auto"/>
          <w:sz w:val="48"/>
          <w:szCs w:val="48"/>
          <w:highlight w:val="none"/>
          <w:lang w:eastAsia="zh-CN"/>
        </w:rPr>
        <w:t xml:space="preserve">广西中佰项目管理有限公司 </w:t>
      </w:r>
    </w:p>
    <w:p w14:paraId="67F8F666">
      <w:pPr>
        <w:pStyle w:val="13"/>
        <w:ind w:firstLine="105"/>
        <w:jc w:val="center"/>
        <w:rPr>
          <w:rFonts w:hint="eastAsia" w:hAnsi="宋体" w:cs="宋体"/>
          <w:color w:val="auto"/>
          <w:highlight w:val="none"/>
        </w:rPr>
      </w:pPr>
    </w:p>
    <w:p w14:paraId="16ABAC8E">
      <w:pPr>
        <w:spacing w:line="360" w:lineRule="auto"/>
        <w:jc w:val="center"/>
        <w:rPr>
          <w:rFonts w:hint="eastAsia" w:ascii="宋体" w:hAnsi="宋体" w:cs="宋体"/>
          <w:color w:val="auto"/>
          <w:highlight w:val="none"/>
        </w:rPr>
      </w:pPr>
    </w:p>
    <w:p w14:paraId="763E8B34">
      <w:pPr>
        <w:spacing w:line="360" w:lineRule="auto"/>
        <w:jc w:val="left"/>
        <w:rPr>
          <w:rFonts w:hint="eastAsia" w:ascii="宋体" w:hAnsi="宋体" w:cs="宋体"/>
          <w:color w:val="auto"/>
          <w:highlight w:val="none"/>
        </w:rPr>
      </w:pPr>
    </w:p>
    <w:p w14:paraId="5352810D">
      <w:pPr>
        <w:spacing w:line="360" w:lineRule="auto"/>
        <w:jc w:val="center"/>
        <w:rPr>
          <w:rFonts w:hint="eastAsia" w:ascii="宋体" w:hAnsi="宋体" w:cs="宋体"/>
          <w:color w:val="auto"/>
          <w:highlight w:val="none"/>
        </w:rPr>
      </w:pPr>
    </w:p>
    <w:p w14:paraId="16B730CD">
      <w:pPr>
        <w:spacing w:line="360" w:lineRule="auto"/>
        <w:jc w:val="center"/>
        <w:rPr>
          <w:rFonts w:hint="eastAsia" w:ascii="宋体" w:hAnsi="宋体" w:cs="宋体"/>
          <w:color w:val="auto"/>
          <w:highlight w:val="none"/>
        </w:rPr>
      </w:pPr>
    </w:p>
    <w:p w14:paraId="3B95574A">
      <w:pPr>
        <w:spacing w:line="360" w:lineRule="auto"/>
        <w:jc w:val="center"/>
        <w:rPr>
          <w:rFonts w:hint="eastAsia" w:ascii="宋体" w:hAnsi="宋体" w:cs="宋体"/>
          <w:color w:val="auto"/>
          <w:highlight w:val="none"/>
        </w:rPr>
      </w:pPr>
    </w:p>
    <w:p w14:paraId="0510CA64">
      <w:pPr>
        <w:spacing w:line="360" w:lineRule="auto"/>
        <w:jc w:val="center"/>
        <w:rPr>
          <w:rFonts w:hint="eastAsia" w:ascii="宋体" w:hAnsi="宋体" w:cs="宋体"/>
          <w:b/>
          <w:color w:val="auto"/>
          <w:sz w:val="44"/>
          <w:szCs w:val="44"/>
          <w:highlight w:val="none"/>
        </w:rPr>
      </w:pPr>
    </w:p>
    <w:p w14:paraId="7360827D">
      <w:pPr>
        <w:spacing w:before="120" w:beforeLines="50"/>
        <w:jc w:val="center"/>
        <w:rPr>
          <w:rFonts w:hint="eastAsia" w:ascii="宋体" w:hAnsi="宋体" w:cs="宋体"/>
          <w:color w:val="auto"/>
          <w:highlight w:val="none"/>
        </w:rPr>
      </w:pPr>
      <w:r>
        <w:rPr>
          <w:rFonts w:hint="eastAsia" w:ascii="宋体" w:hAnsi="宋体" w:cs="宋体"/>
          <w:b/>
          <w:color w:val="auto"/>
          <w:sz w:val="84"/>
          <w:szCs w:val="84"/>
          <w:highlight w:val="none"/>
          <w:lang w:val="en-US" w:eastAsia="zh-CN"/>
        </w:rPr>
        <w:t>竞争性磋商</w:t>
      </w:r>
      <w:r>
        <w:rPr>
          <w:rFonts w:hint="eastAsia" w:ascii="宋体" w:hAnsi="宋体" w:cs="宋体"/>
          <w:b/>
          <w:color w:val="auto"/>
          <w:sz w:val="84"/>
          <w:szCs w:val="84"/>
          <w:highlight w:val="none"/>
        </w:rPr>
        <w:t>文件</w:t>
      </w:r>
    </w:p>
    <w:p w14:paraId="22B43879">
      <w:pPr>
        <w:pStyle w:val="29"/>
        <w:ind w:firstLine="640"/>
        <w:rPr>
          <w:rFonts w:hint="eastAsia" w:ascii="宋体" w:hAnsi="宋体" w:eastAsia="宋体" w:cs="宋体"/>
          <w:color w:val="auto"/>
          <w:highlight w:val="none"/>
        </w:rPr>
      </w:pPr>
    </w:p>
    <w:p w14:paraId="0B32EA1A">
      <w:pPr>
        <w:pStyle w:val="29"/>
        <w:ind w:firstLine="640"/>
        <w:rPr>
          <w:rFonts w:hint="eastAsia" w:ascii="宋体" w:hAnsi="宋体" w:eastAsia="宋体" w:cs="宋体"/>
          <w:color w:val="auto"/>
          <w:highlight w:val="none"/>
        </w:rPr>
      </w:pPr>
    </w:p>
    <w:p w14:paraId="3416B3CB">
      <w:pPr>
        <w:pStyle w:val="29"/>
        <w:ind w:firstLine="640"/>
        <w:rPr>
          <w:rFonts w:hint="eastAsia" w:ascii="宋体" w:hAnsi="宋体" w:eastAsia="宋体" w:cs="宋体"/>
          <w:color w:val="auto"/>
          <w:highlight w:val="none"/>
        </w:rPr>
      </w:pPr>
    </w:p>
    <w:p w14:paraId="7546B38A">
      <w:pPr>
        <w:pStyle w:val="29"/>
        <w:ind w:firstLine="0" w:firstLineChars="0"/>
        <w:rPr>
          <w:rFonts w:hint="eastAsia" w:ascii="宋体" w:hAnsi="宋体" w:eastAsia="宋体" w:cs="宋体"/>
          <w:color w:val="auto"/>
          <w:highlight w:val="none"/>
        </w:rPr>
      </w:pPr>
    </w:p>
    <w:p w14:paraId="3979F252">
      <w:pPr>
        <w:pStyle w:val="13"/>
        <w:snapToGrid w:val="0"/>
        <w:spacing w:line="672" w:lineRule="auto"/>
        <w:ind w:firstLine="1006" w:firstLineChars="353"/>
        <w:rPr>
          <w:rFonts w:hint="eastAsia" w:hAnsi="宋体" w:cs="宋体"/>
          <w:color w:val="auto"/>
          <w:w w:val="95"/>
          <w:sz w:val="30"/>
          <w:szCs w:val="30"/>
          <w:highlight w:val="none"/>
          <w:lang w:eastAsia="zh-CN"/>
        </w:rPr>
      </w:pPr>
    </w:p>
    <w:p w14:paraId="22B947E1">
      <w:pPr>
        <w:pStyle w:val="13"/>
        <w:snapToGrid w:val="0"/>
        <w:spacing w:line="672" w:lineRule="auto"/>
        <w:ind w:left="0" w:leftChars="0" w:firstLine="1057" w:firstLineChars="371"/>
        <w:rPr>
          <w:rFonts w:hint="eastAsia" w:hAnsi="宋体" w:cs="宋体"/>
          <w:color w:val="auto"/>
          <w:w w:val="95"/>
          <w:sz w:val="30"/>
          <w:szCs w:val="30"/>
          <w:highlight w:val="none"/>
          <w:lang w:val="en-US" w:eastAsia="zh-CN"/>
        </w:rPr>
      </w:pPr>
      <w:r>
        <w:rPr>
          <w:rFonts w:hint="eastAsia" w:hAnsi="宋体" w:cs="宋体"/>
          <w:color w:val="auto"/>
          <w:w w:val="95"/>
          <w:sz w:val="30"/>
          <w:szCs w:val="30"/>
          <w:highlight w:val="none"/>
          <w:lang w:eastAsia="zh-CN"/>
        </w:rPr>
        <w:t>项目名称：世彪药业北向地块土方平整</w:t>
      </w:r>
      <w:r>
        <w:rPr>
          <w:rFonts w:hint="eastAsia" w:hAnsi="宋体" w:cs="宋体"/>
          <w:color w:val="auto"/>
          <w:w w:val="95"/>
          <w:sz w:val="30"/>
          <w:szCs w:val="30"/>
          <w:highlight w:val="none"/>
          <w:lang w:val="en-US" w:eastAsia="zh-CN"/>
        </w:rPr>
        <w:t xml:space="preserve">          </w:t>
      </w:r>
    </w:p>
    <w:p w14:paraId="7E1EB29B">
      <w:pPr>
        <w:pStyle w:val="13"/>
        <w:snapToGrid w:val="0"/>
        <w:spacing w:line="672" w:lineRule="auto"/>
        <w:ind w:firstLine="1006" w:firstLineChars="353"/>
        <w:rPr>
          <w:rFonts w:hint="eastAsia" w:hAnsi="宋体" w:cs="宋体"/>
          <w:color w:val="auto"/>
          <w:w w:val="95"/>
          <w:sz w:val="30"/>
          <w:szCs w:val="30"/>
          <w:highlight w:val="none"/>
          <w:lang w:val="en-US" w:eastAsia="zh-CN"/>
        </w:rPr>
      </w:pPr>
      <w:r>
        <w:rPr>
          <w:rFonts w:hint="eastAsia" w:hAnsi="宋体" w:cs="宋体"/>
          <w:color w:val="auto"/>
          <w:w w:val="95"/>
          <w:sz w:val="30"/>
          <w:szCs w:val="30"/>
          <w:highlight w:val="none"/>
          <w:lang w:eastAsia="zh-CN"/>
        </w:rPr>
        <w:t>项目编号：</w:t>
      </w:r>
      <w:r>
        <w:rPr>
          <w:rFonts w:hint="eastAsia" w:hAnsi="宋体" w:cs="宋体"/>
          <w:color w:val="auto"/>
          <w:w w:val="95"/>
          <w:sz w:val="30"/>
          <w:szCs w:val="30"/>
          <w:highlight w:val="none"/>
          <w:lang w:val="en-US" w:eastAsia="zh-CN"/>
        </w:rPr>
        <w:t xml:space="preserve"> QZZC2026-C2-220025-GXZB           </w:t>
      </w:r>
    </w:p>
    <w:p w14:paraId="6757194D">
      <w:pPr>
        <w:pStyle w:val="13"/>
        <w:snapToGrid w:val="0"/>
        <w:spacing w:line="672" w:lineRule="auto"/>
        <w:ind w:firstLine="1006" w:firstLineChars="353"/>
        <w:rPr>
          <w:rFonts w:hint="eastAsia" w:hAnsi="宋体" w:cs="宋体"/>
          <w:color w:val="auto"/>
          <w:w w:val="95"/>
          <w:sz w:val="30"/>
          <w:szCs w:val="30"/>
          <w:highlight w:val="none"/>
          <w:lang w:val="en-US" w:eastAsia="zh-CN"/>
        </w:rPr>
      </w:pPr>
      <w:r>
        <w:rPr>
          <w:rFonts w:hint="eastAsia" w:hAnsi="宋体" w:cs="宋体"/>
          <w:color w:val="auto"/>
          <w:w w:val="95"/>
          <w:sz w:val="30"/>
          <w:szCs w:val="30"/>
          <w:highlight w:val="none"/>
          <w:lang w:eastAsia="zh-CN"/>
        </w:rPr>
        <w:t>采购人：浦北县江城街道办事处（盖公章）</w:t>
      </w:r>
      <w:r>
        <w:rPr>
          <w:rFonts w:hint="eastAsia" w:hAnsi="宋体" w:cs="宋体"/>
          <w:color w:val="auto"/>
          <w:w w:val="95"/>
          <w:sz w:val="30"/>
          <w:szCs w:val="30"/>
          <w:highlight w:val="none"/>
          <w:lang w:val="en-US" w:eastAsia="zh-CN"/>
        </w:rPr>
        <w:t xml:space="preserve">             </w:t>
      </w:r>
    </w:p>
    <w:p w14:paraId="4F8876B5">
      <w:pPr>
        <w:pStyle w:val="13"/>
        <w:snapToGrid w:val="0"/>
        <w:spacing w:line="672" w:lineRule="auto"/>
        <w:ind w:firstLine="1006" w:firstLineChars="353"/>
        <w:rPr>
          <w:rFonts w:hint="eastAsia" w:hAnsi="宋体" w:cs="宋体"/>
          <w:color w:val="auto"/>
          <w:w w:val="95"/>
          <w:sz w:val="30"/>
          <w:szCs w:val="30"/>
          <w:highlight w:val="none"/>
        </w:rPr>
      </w:pPr>
      <w:r>
        <w:rPr>
          <w:rFonts w:hint="eastAsia" w:hAnsi="宋体" w:cs="宋体"/>
          <w:color w:val="auto"/>
          <w:w w:val="95"/>
          <w:sz w:val="30"/>
          <w:szCs w:val="30"/>
          <w:highlight w:val="none"/>
          <w:lang w:eastAsia="zh-CN"/>
        </w:rPr>
        <w:t>采购代理机构：</w:t>
      </w:r>
      <w:r>
        <w:rPr>
          <w:rFonts w:hint="eastAsia" w:hAnsi="宋体" w:cs="宋体"/>
          <w:color w:val="auto"/>
          <w:w w:val="95"/>
          <w:sz w:val="30"/>
          <w:szCs w:val="30"/>
          <w:highlight w:val="none"/>
          <w:lang w:val="en-US" w:eastAsia="zh-CN"/>
        </w:rPr>
        <w:t xml:space="preserve">广西中佰项目管理有限公司 </w:t>
      </w:r>
      <w:r>
        <w:rPr>
          <w:rFonts w:hint="eastAsia" w:hAnsi="宋体" w:cs="宋体"/>
          <w:color w:val="auto"/>
          <w:w w:val="95"/>
          <w:sz w:val="30"/>
          <w:szCs w:val="30"/>
          <w:highlight w:val="none"/>
          <w:lang w:eastAsia="zh-CN"/>
        </w:rPr>
        <w:t>（盖公章）</w:t>
      </w:r>
      <w:r>
        <w:rPr>
          <w:rFonts w:hint="eastAsia" w:hAnsi="宋体" w:cs="宋体"/>
          <w:color w:val="auto"/>
          <w:w w:val="95"/>
          <w:sz w:val="30"/>
          <w:szCs w:val="30"/>
          <w:highlight w:val="none"/>
          <w:lang w:val="en-US" w:eastAsia="zh-CN"/>
        </w:rPr>
        <w:t xml:space="preserve">       </w:t>
      </w:r>
    </w:p>
    <w:p w14:paraId="1FB873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highlight w:val="none"/>
          <w:lang w:eastAsia="zh-CN"/>
        </w:rPr>
      </w:pPr>
      <w:r>
        <w:rPr>
          <w:rFonts w:hint="eastAsia" w:hAnsi="宋体" w:cs="宋体"/>
          <w:color w:val="auto"/>
          <w:w w:val="95"/>
          <w:sz w:val="30"/>
          <w:szCs w:val="30"/>
          <w:highlight w:val="none"/>
          <w:lang w:eastAsia="zh-CN"/>
        </w:rPr>
        <w:t>202</w:t>
      </w:r>
      <w:r>
        <w:rPr>
          <w:rFonts w:hint="eastAsia" w:hAnsi="宋体" w:cs="宋体"/>
          <w:color w:val="auto"/>
          <w:w w:val="95"/>
          <w:sz w:val="30"/>
          <w:szCs w:val="30"/>
          <w:highlight w:val="none"/>
          <w:lang w:val="en-US" w:eastAsia="zh-CN"/>
        </w:rPr>
        <w:t>6</w:t>
      </w:r>
      <w:r>
        <w:rPr>
          <w:rFonts w:hint="eastAsia" w:hAnsi="宋体" w:cs="宋体"/>
          <w:color w:val="auto"/>
          <w:w w:val="95"/>
          <w:sz w:val="30"/>
          <w:szCs w:val="30"/>
          <w:highlight w:val="none"/>
          <w:lang w:eastAsia="zh-CN"/>
        </w:rPr>
        <w:t>年</w:t>
      </w:r>
      <w:r>
        <w:rPr>
          <w:rFonts w:hint="eastAsia" w:hAnsi="宋体" w:cs="宋体"/>
          <w:color w:val="auto"/>
          <w:w w:val="95"/>
          <w:sz w:val="30"/>
          <w:szCs w:val="30"/>
          <w:highlight w:val="none"/>
          <w:lang w:val="en-US" w:eastAsia="zh-CN"/>
        </w:rPr>
        <w:t>4</w:t>
      </w:r>
      <w:r>
        <w:rPr>
          <w:rFonts w:hint="eastAsia" w:hAnsi="宋体" w:cs="宋体"/>
          <w:color w:val="auto"/>
          <w:w w:val="95"/>
          <w:sz w:val="30"/>
          <w:szCs w:val="30"/>
          <w:highlight w:val="none"/>
          <w:lang w:eastAsia="zh-CN"/>
        </w:rPr>
        <w:t>月</w:t>
      </w:r>
      <w:r>
        <w:rPr>
          <w:rFonts w:hint="eastAsia" w:hAnsi="宋体" w:cs="宋体"/>
          <w:color w:val="auto"/>
          <w:w w:val="95"/>
          <w:sz w:val="30"/>
          <w:szCs w:val="30"/>
          <w:highlight w:val="none"/>
          <w:lang w:val="en-US" w:eastAsia="zh-CN"/>
        </w:rPr>
        <w:t>23</w:t>
      </w:r>
      <w:r>
        <w:rPr>
          <w:rFonts w:hint="eastAsia" w:hAnsi="宋体" w:cs="宋体"/>
          <w:color w:val="auto"/>
          <w:w w:val="95"/>
          <w:sz w:val="30"/>
          <w:szCs w:val="30"/>
          <w:highlight w:val="none"/>
          <w:lang w:eastAsia="zh-CN"/>
        </w:rPr>
        <w:t>日</w:t>
      </w:r>
      <w:r>
        <w:rPr>
          <w:rFonts w:hint="eastAsia" w:hAnsi="宋体" w:cs="宋体"/>
          <w:color w:val="auto"/>
          <w:highlight w:val="none"/>
        </w:rPr>
        <w:br w:type="page"/>
      </w:r>
    </w:p>
    <w:p w14:paraId="55EF4AF5">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auto"/>
          <w:highlight w:val="none"/>
        </w:rPr>
        <w:sectPr>
          <w:headerReference r:id="rId3" w:type="first"/>
          <w:pgSz w:w="11906" w:h="16838"/>
          <w:pgMar w:top="1134" w:right="1134" w:bottom="1134" w:left="1417" w:header="850" w:footer="992" w:gutter="0"/>
          <w:cols w:space="720" w:num="1"/>
          <w:docGrid w:type="lines" w:linePitch="317" w:charSpace="0"/>
        </w:sectPr>
      </w:pPr>
    </w:p>
    <w:sdt>
      <w:sdtPr>
        <w:rPr>
          <w:rFonts w:ascii="宋体" w:hAnsi="宋体" w:eastAsia="宋体" w:cs="Times New Roman"/>
          <w:color w:val="auto"/>
          <w:kern w:val="2"/>
          <w:sz w:val="28"/>
          <w:szCs w:val="36"/>
          <w:highlight w:val="none"/>
          <w:lang w:val="en-US" w:eastAsia="zh-CN" w:bidi="ar-SA"/>
        </w:rPr>
        <w:id w:val="147475717"/>
        <w15:color w:val="DBDBDB"/>
        <w:docPartObj>
          <w:docPartGallery w:val="Table of Contents"/>
          <w:docPartUnique/>
        </w:docPartObj>
      </w:sdtPr>
      <w:sdtEndPr>
        <w:rPr>
          <w:rFonts w:ascii="宋体" w:hAnsi="宋体" w:eastAsia="宋体" w:cs="宋体"/>
          <w:color w:val="auto"/>
          <w:kern w:val="2"/>
          <w:sz w:val="28"/>
          <w:szCs w:val="40"/>
          <w:highlight w:val="none"/>
          <w:lang w:val="en-US" w:eastAsia="zh-CN" w:bidi="ar-SA"/>
        </w:rPr>
      </w:sdtEndPr>
      <w:sdtContent>
        <w:p w14:paraId="4935ABD1">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z w:val="44"/>
              <w:szCs w:val="44"/>
              <w:highlight w:val="none"/>
            </w:rPr>
          </w:pPr>
          <w:r>
            <w:rPr>
              <w:rFonts w:ascii="宋体" w:hAnsi="宋体" w:eastAsia="宋体"/>
              <w:b/>
              <w:bCs/>
              <w:color w:val="auto"/>
              <w:sz w:val="44"/>
              <w:szCs w:val="44"/>
              <w:highlight w:val="none"/>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14:paraId="09B72D3B">
          <w:pPr>
            <w:pStyle w:val="20"/>
            <w:tabs>
              <w:tab w:val="right" w:leader="dot" w:pos="9799"/>
            </w:tabs>
            <w:rPr>
              <w:rFonts w:hint="eastAsia" w:ascii="宋体" w:hAnsi="宋体" w:eastAsia="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41C103A7">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56E43E4">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_Toc5416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kern w:val="0"/>
              <w:position w:val="-6"/>
              <w:sz w:val="24"/>
              <w:szCs w:val="24"/>
              <w:highlight w:val="none"/>
            </w:rPr>
            <w:t xml:space="preserve">第二章 </w:t>
          </w:r>
          <w:r>
            <w:rPr>
              <w:rFonts w:hint="eastAsia" w:ascii="宋体" w:hAnsi="宋体" w:cs="宋体"/>
              <w:bCs/>
              <w:color w:val="auto"/>
              <w:spacing w:val="-14"/>
              <w:kern w:val="0"/>
              <w:position w:val="-6"/>
              <w:sz w:val="24"/>
              <w:szCs w:val="24"/>
              <w:highlight w:val="none"/>
              <w:lang w:val="en-US" w:eastAsia="zh-CN"/>
            </w:rPr>
            <w:t xml:space="preserve">  供应商</w:t>
          </w:r>
          <w:r>
            <w:rPr>
              <w:rFonts w:hint="eastAsia" w:ascii="宋体" w:hAnsi="宋体" w:eastAsia="宋体" w:cs="宋体"/>
              <w:bCs/>
              <w:color w:val="auto"/>
              <w:spacing w:val="-14"/>
              <w:kern w:val="0"/>
              <w:position w:val="-6"/>
              <w:sz w:val="24"/>
              <w:szCs w:val="24"/>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A9DDD2">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_Toc26558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kern w:val="0"/>
              <w:position w:val="-6"/>
              <w:sz w:val="24"/>
              <w:szCs w:val="24"/>
              <w:highlight w:val="none"/>
            </w:rPr>
            <w:t xml:space="preserve">第三章  </w:t>
          </w:r>
          <w:r>
            <w:rPr>
              <w:rFonts w:hint="eastAsia" w:ascii="宋体" w:hAnsi="宋体" w:cs="宋体"/>
              <w:bCs/>
              <w:color w:val="auto"/>
              <w:spacing w:val="-14"/>
              <w:kern w:val="0"/>
              <w:position w:val="-6"/>
              <w:sz w:val="24"/>
              <w:szCs w:val="24"/>
              <w:highlight w:val="none"/>
              <w:lang w:val="en-US" w:eastAsia="zh-CN"/>
            </w:rPr>
            <w:t xml:space="preserve"> </w:t>
          </w:r>
          <w:r>
            <w:rPr>
              <w:rFonts w:hint="eastAsia" w:ascii="宋体" w:hAnsi="宋体" w:eastAsia="宋体" w:cs="宋体"/>
              <w:bCs/>
              <w:color w:val="auto"/>
              <w:spacing w:val="-14"/>
              <w:kern w:val="0"/>
              <w:position w:val="-6"/>
              <w:sz w:val="24"/>
              <w:szCs w:val="24"/>
              <w:highlight w:val="none"/>
            </w:rPr>
            <w:t>项目基本情况及要求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_Toc26558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135AEF">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_Toc20069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0"/>
              <w:sz w:val="24"/>
              <w:szCs w:val="24"/>
              <w:highlight w:val="none"/>
              <w:lang w:val="en-US" w:eastAsia="zh-CN"/>
            </w:rPr>
            <w:t>第四章</w:t>
          </w:r>
          <w:r>
            <w:rPr>
              <w:rFonts w:hint="eastAsia" w:ascii="宋体" w:hAnsi="宋体" w:eastAsia="宋体" w:cs="宋体"/>
              <w:bCs/>
              <w:color w:val="auto"/>
              <w:kern w:val="0"/>
              <w:sz w:val="24"/>
              <w:szCs w:val="24"/>
              <w:highlight w:val="none"/>
            </w:rPr>
            <w:t xml:space="preserve"> </w:t>
          </w:r>
          <w:r>
            <w:rPr>
              <w:rFonts w:hint="eastAsia" w:ascii="宋体" w:hAnsi="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_Toc20069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388870">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_Toc15543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0"/>
              <w:sz w:val="24"/>
              <w:szCs w:val="24"/>
              <w:highlight w:val="none"/>
            </w:rPr>
            <w:t>第</w:t>
          </w:r>
          <w:r>
            <w:rPr>
              <w:rFonts w:hint="eastAsia" w:ascii="宋体" w:hAnsi="宋体" w:eastAsia="宋体" w:cs="宋体"/>
              <w:bCs/>
              <w:color w:val="auto"/>
              <w:kern w:val="0"/>
              <w:sz w:val="24"/>
              <w:szCs w:val="24"/>
              <w:highlight w:val="none"/>
              <w:lang w:val="en-US" w:eastAsia="zh-CN"/>
            </w:rPr>
            <w:t>五</w:t>
          </w:r>
          <w:r>
            <w:rPr>
              <w:rFonts w:hint="eastAsia" w:ascii="宋体" w:hAnsi="宋体" w:eastAsia="宋体" w:cs="宋体"/>
              <w:bCs/>
              <w:color w:val="auto"/>
              <w:kern w:val="0"/>
              <w:sz w:val="24"/>
              <w:szCs w:val="24"/>
              <w:highlight w:val="none"/>
            </w:rPr>
            <w:t>章</w:t>
          </w:r>
          <w:r>
            <w:rPr>
              <w:rFonts w:hint="eastAsia" w:ascii="宋体" w:hAnsi="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 xml:space="preserve">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_Toc15543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24DFE4">
          <w:pPr>
            <w:pStyle w:val="20"/>
            <w:keepNext w:val="0"/>
            <w:keepLines w:val="0"/>
            <w:pageBreakBefore w:val="0"/>
            <w:widowControl w:val="0"/>
            <w:tabs>
              <w:tab w:val="right" w:leader="dot" w:pos="9799"/>
            </w:tabs>
            <w:kinsoku/>
            <w:wordWrap/>
            <w:overflowPunct/>
            <w:topLinePunct w:val="0"/>
            <w:autoSpaceDE/>
            <w:autoSpaceDN/>
            <w:bidi w:val="0"/>
            <w:adjustRightInd/>
            <w:snapToGrid/>
            <w:spacing w:line="700" w:lineRule="exact"/>
            <w:ind w:left="315" w:leftChars="150" w:right="210" w:rightChars="1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_Toc3612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4"/>
              <w:kern w:val="0"/>
              <w:position w:val="-6"/>
              <w:sz w:val="24"/>
              <w:szCs w:val="24"/>
              <w:highlight w:val="none"/>
            </w:rPr>
            <w:t xml:space="preserve">第六章 </w:t>
          </w:r>
          <w:r>
            <w:rPr>
              <w:rFonts w:hint="eastAsia" w:ascii="宋体" w:hAnsi="宋体" w:cs="宋体"/>
              <w:color w:val="auto"/>
              <w:spacing w:val="-14"/>
              <w:kern w:val="0"/>
              <w:position w:val="-6"/>
              <w:sz w:val="24"/>
              <w:szCs w:val="24"/>
              <w:highlight w:val="none"/>
              <w:lang w:val="en-US" w:eastAsia="zh-CN"/>
            </w:rPr>
            <w:t xml:space="preserve">  </w:t>
          </w:r>
          <w:r>
            <w:rPr>
              <w:rFonts w:hint="eastAsia" w:ascii="宋体" w:hAnsi="宋体" w:eastAsia="宋体" w:cs="宋体"/>
              <w:color w:val="auto"/>
              <w:spacing w:val="-14"/>
              <w:kern w:val="0"/>
              <w:position w:val="-6"/>
              <w:sz w:val="24"/>
              <w:szCs w:val="24"/>
              <w:highlight w:val="none"/>
            </w:rPr>
            <w:t>合同主要条款 (参考格式)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_Toc3612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75B93C">
          <w:pPr>
            <w:pStyle w:val="20"/>
            <w:tabs>
              <w:tab w:val="right" w:leader="dot" w:pos="9799"/>
            </w:tabs>
            <w:spacing w:line="360" w:lineRule="auto"/>
            <w:rPr>
              <w:color w:val="auto"/>
              <w:sz w:val="20"/>
              <w:szCs w:val="22"/>
              <w:highlight w:val="none"/>
            </w:rPr>
          </w:pPr>
        </w:p>
        <w:p w14:paraId="6B05511D">
          <w:pPr>
            <w:pStyle w:val="20"/>
            <w:keepNext w:val="0"/>
            <w:keepLines w:val="0"/>
            <w:pageBreakBefore w:val="0"/>
            <w:tabs>
              <w:tab w:val="center" w:pos="4899"/>
            </w:tabs>
            <w:kinsoku/>
            <w:wordWrap/>
            <w:overflowPunct/>
            <w:topLinePunct w:val="0"/>
            <w:autoSpaceDE/>
            <w:autoSpaceDN/>
            <w:bidi w:val="0"/>
            <w:adjustRightInd/>
            <w:snapToGrid/>
            <w:spacing w:line="360" w:lineRule="auto"/>
            <w:textAlignment w:val="auto"/>
            <w:rPr>
              <w:rFonts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lang w:eastAsia="zh-CN"/>
            </w:rPr>
            <w:tab/>
          </w:r>
        </w:p>
      </w:sdtContent>
    </w:sdt>
    <w:p w14:paraId="15E1BAA1">
      <w:pPr>
        <w:pStyle w:val="10"/>
        <w:tabs>
          <w:tab w:val="left" w:pos="4386"/>
        </w:tabs>
        <w:autoSpaceDE/>
        <w:autoSpaceDN/>
        <w:adjustRightInd/>
        <w:spacing w:line="320" w:lineRule="exact"/>
        <w:jc w:val="left"/>
        <w:rPr>
          <w:rFonts w:hint="eastAsia" w:hAnsi="宋体" w:eastAsia="宋体" w:cs="宋体"/>
          <w:b/>
          <w:bCs/>
          <w:color w:val="auto"/>
          <w:spacing w:val="-14"/>
          <w:position w:val="-6"/>
          <w:sz w:val="36"/>
          <w:szCs w:val="36"/>
          <w:highlight w:val="none"/>
          <w:lang w:eastAsia="zh-CN"/>
        </w:rPr>
      </w:pPr>
      <w:r>
        <w:rPr>
          <w:rFonts w:hint="eastAsia" w:hAnsi="宋体" w:cs="宋体"/>
          <w:b/>
          <w:bCs/>
          <w:color w:val="auto"/>
          <w:spacing w:val="-14"/>
          <w:position w:val="-6"/>
          <w:sz w:val="36"/>
          <w:szCs w:val="36"/>
          <w:highlight w:val="none"/>
          <w:lang w:eastAsia="zh-CN"/>
        </w:rPr>
        <w:tab/>
      </w:r>
    </w:p>
    <w:p w14:paraId="6467A939">
      <w:pPr>
        <w:tabs>
          <w:tab w:val="left" w:pos="6703"/>
        </w:tabs>
        <w:bidi w:val="0"/>
        <w:jc w:val="left"/>
        <w:rPr>
          <w:rFonts w:hint="eastAsia" w:eastAsia="宋体"/>
          <w:color w:val="auto"/>
          <w:highlight w:val="none"/>
          <w:lang w:eastAsia="zh-CN"/>
        </w:rPr>
        <w:sectPr>
          <w:headerReference r:id="rId4" w:type="default"/>
          <w:footerReference r:id="rId5" w:type="default"/>
          <w:pgSz w:w="11906" w:h="16838"/>
          <w:pgMar w:top="1440" w:right="1080" w:bottom="1440" w:left="460" w:header="851" w:footer="794" w:gutter="567"/>
          <w:pgNumType w:fmt="decimal" w:start="1"/>
          <w:cols w:space="720" w:num="1"/>
        </w:sectPr>
      </w:pPr>
      <w:r>
        <w:rPr>
          <w:rFonts w:hint="eastAsia"/>
          <w:color w:val="auto"/>
          <w:highlight w:val="none"/>
          <w:lang w:eastAsia="zh-CN"/>
        </w:rPr>
        <w:tab/>
      </w:r>
    </w:p>
    <w:p w14:paraId="132488B4">
      <w:pPr>
        <w:pStyle w:val="2"/>
        <w:keepNext/>
        <w:keepLines/>
        <w:pageBreakBefore w:val="0"/>
        <w:widowControl w:val="0"/>
        <w:kinsoku/>
        <w:wordWrap/>
        <w:overflowPunct/>
        <w:topLinePunct w:val="0"/>
        <w:autoSpaceDE/>
        <w:autoSpaceDN/>
        <w:bidi w:val="0"/>
        <w:adjustRightInd/>
        <w:snapToGrid/>
        <w:spacing w:before="0" w:after="0" w:afterLines="50" w:line="520" w:lineRule="exact"/>
        <w:jc w:val="center"/>
        <w:textAlignment w:val="auto"/>
        <w:rPr>
          <w:rFonts w:hint="eastAsia"/>
          <w:color w:val="auto"/>
          <w:sz w:val="32"/>
          <w:szCs w:val="32"/>
          <w:highlight w:val="none"/>
          <w:lang w:eastAsia="zh-CN"/>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lang w:val="en-US" w:eastAsia="zh-CN"/>
        </w:rPr>
        <w:t xml:space="preserve">  竞争性</w:t>
      </w:r>
      <w:r>
        <w:rPr>
          <w:rFonts w:hint="eastAsia"/>
          <w:color w:val="auto"/>
          <w:sz w:val="32"/>
          <w:szCs w:val="32"/>
          <w:highlight w:val="none"/>
          <w:lang w:eastAsia="zh-CN"/>
        </w:rPr>
        <w:t>磋商公告</w:t>
      </w:r>
    </w:p>
    <w:p w14:paraId="51068A76">
      <w:pPr>
        <w:keepNext w:val="0"/>
        <w:keepLines w:val="0"/>
        <w:pageBreakBefore w:val="0"/>
        <w:widowControl w:val="0"/>
        <w:kinsoku/>
        <w:wordWrap/>
        <w:overflowPunct/>
        <w:topLinePunct w:val="0"/>
        <w:autoSpaceDE/>
        <w:autoSpaceDN/>
        <w:bidi w:val="0"/>
        <w:adjustRightInd/>
        <w:snapToGrid/>
        <w:spacing w:after="0" w:afterLines="50" w:line="460" w:lineRule="exact"/>
        <w:jc w:val="center"/>
        <w:textAlignment w:val="auto"/>
        <w:rPr>
          <w:color w:val="auto"/>
          <w:sz w:val="30"/>
          <w:szCs w:val="30"/>
          <w:highlight w:val="none"/>
        </w:rPr>
      </w:pPr>
      <w:r>
        <w:rPr>
          <w:rFonts w:hint="eastAsia" w:ascii="宋体" w:hAnsi="宋体"/>
          <w:b/>
          <w:color w:val="auto"/>
          <w:sz w:val="30"/>
          <w:szCs w:val="30"/>
          <w:highlight w:val="none"/>
          <w:lang w:val="en-US" w:eastAsia="zh-CN"/>
        </w:rPr>
        <w:t>广西中佰项目管理有限公司</w:t>
      </w:r>
      <w:r>
        <w:rPr>
          <w:rFonts w:hint="eastAsia" w:ascii="宋体" w:hAnsi="宋体"/>
          <w:b/>
          <w:color w:val="auto"/>
          <w:sz w:val="30"/>
          <w:szCs w:val="30"/>
          <w:highlight w:val="none"/>
        </w:rPr>
        <w:t>关于</w:t>
      </w:r>
      <w:bookmarkStart w:id="3" w:name="_Toc2948"/>
      <w:r>
        <w:rPr>
          <w:rFonts w:hint="eastAsia" w:ascii="宋体" w:hAnsi="宋体"/>
          <w:b/>
          <w:color w:val="auto"/>
          <w:sz w:val="30"/>
          <w:szCs w:val="30"/>
          <w:highlight w:val="none"/>
          <w:u w:val="none"/>
          <w:lang w:val="en-US" w:eastAsia="zh-CN"/>
        </w:rPr>
        <w:t>世彪药业北向地块土方平整竞争</w:t>
      </w:r>
      <w:r>
        <w:rPr>
          <w:rFonts w:hint="eastAsia" w:ascii="宋体" w:hAnsi="宋体" w:eastAsia="宋体"/>
          <w:b/>
          <w:color w:val="auto"/>
          <w:sz w:val="30"/>
          <w:szCs w:val="30"/>
          <w:highlight w:val="none"/>
          <w:lang w:val="en-US" w:eastAsia="zh-CN"/>
        </w:rPr>
        <w:t>性</w:t>
      </w:r>
      <w:r>
        <w:rPr>
          <w:rFonts w:hint="eastAsia" w:ascii="宋体" w:hAnsi="宋体" w:eastAsia="宋体"/>
          <w:b/>
          <w:color w:val="auto"/>
          <w:sz w:val="30"/>
          <w:szCs w:val="30"/>
          <w:highlight w:val="none"/>
          <w:lang w:eastAsia="zh-CN"/>
        </w:rPr>
        <w:t>磋商公告</w:t>
      </w:r>
      <w:bookmarkEnd w:id="3"/>
    </w:p>
    <w:tbl>
      <w:tblPr>
        <w:tblStyle w:val="30"/>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4397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0FD49B3A">
            <w:pPr>
              <w:pageBreakBefore w:val="0"/>
              <w:kinsoku/>
              <w:wordWrap/>
              <w:overflowPunct/>
              <w:topLinePunct w:val="0"/>
              <w:bidi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14:paraId="3FBD58F2">
            <w:pPr>
              <w:pageBreakBefore w:val="0"/>
              <w:kinsoku/>
              <w:wordWrap/>
              <w:overflowPunct/>
              <w:topLinePunct w:val="0"/>
              <w:bidi w:val="0"/>
              <w:spacing w:line="380" w:lineRule="exact"/>
              <w:ind w:firstLine="420" w:firstLineChars="200"/>
              <w:textAlignment w:val="auto"/>
              <w:rPr>
                <w:color w:val="auto"/>
                <w:highlight w:val="none"/>
              </w:rPr>
            </w:pPr>
            <w:r>
              <w:rPr>
                <w:rFonts w:hint="eastAsia" w:ascii="宋体" w:hAnsi="宋体" w:cs="宋体"/>
                <w:color w:val="auto"/>
                <w:szCs w:val="21"/>
                <w:highlight w:val="none"/>
                <w:u w:val="single"/>
                <w:lang w:val="en-US" w:eastAsia="zh-CN"/>
              </w:rPr>
              <w:t>世彪药业北向地块土方平整</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lang w:eastAsia="zh-CN"/>
              </w:rPr>
              <w:t>广西政府采购云平台</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lang w:eastAsia="zh-CN"/>
              </w:rPr>
              <w:t>https：//www.gcy.zfcg.gxzf.gov.cn</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rPr>
              <w:t>获取</w:t>
            </w:r>
            <w:r>
              <w:rPr>
                <w:rFonts w:hint="eastAsia" w:ascii="宋体" w:hAnsi="宋体" w:cs="宋体"/>
                <w:color w:val="auto"/>
                <w:highlight w:val="none"/>
              </w:rPr>
              <w:t>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7E505F25">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auto"/>
          <w:sz w:val="21"/>
          <w:szCs w:val="21"/>
          <w:highlight w:val="none"/>
        </w:rPr>
      </w:pPr>
      <w:bookmarkStart w:id="4" w:name="_Toc31859"/>
      <w:bookmarkStart w:id="5" w:name="_Toc28359089"/>
      <w:bookmarkStart w:id="6" w:name="_Toc28359012"/>
      <w:bookmarkStart w:id="7" w:name="_Toc35393798"/>
      <w:bookmarkStart w:id="8" w:name="_Toc35393629"/>
      <w:bookmarkStart w:id="9" w:name="_Toc9324"/>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55D04ED2">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QZZC2026-C2-220025-GXZB</w:t>
      </w:r>
    </w:p>
    <w:p w14:paraId="61688E98">
      <w:pPr>
        <w:pageBreakBefore w:val="0"/>
        <w:widowControl w:val="0"/>
        <w:kinsoku/>
        <w:wordWrap/>
        <w:overflowPunct/>
        <w:topLinePunct w:val="0"/>
        <w:bidi w:val="0"/>
        <w:adjustRightInd/>
        <w:spacing w:line="380" w:lineRule="exact"/>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u w:val="none"/>
          <w:lang w:val="en-US" w:eastAsia="zh-CN"/>
        </w:rPr>
        <w:t>世彪药业北向地块土方平整</w:t>
      </w:r>
    </w:p>
    <w:p w14:paraId="3DC6C66B">
      <w:pPr>
        <w:pageBreakBefore w:val="0"/>
        <w:widowControl w:val="0"/>
        <w:kinsoku/>
        <w:wordWrap/>
        <w:overflowPunct/>
        <w:topLinePunct w:val="0"/>
        <w:bidi w:val="0"/>
        <w:adjustRightInd/>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76D9E8C8">
      <w:pPr>
        <w:pageBreakBefore w:val="0"/>
        <w:widowControl w:val="0"/>
        <w:kinsoku/>
        <w:wordWrap/>
        <w:overflowPunct/>
        <w:topLinePunct w:val="0"/>
        <w:bidi w:val="0"/>
        <w:adjustRightInd/>
        <w:spacing w:line="38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w:t>
      </w:r>
      <w:r>
        <w:rPr>
          <w:rFonts w:hint="eastAsia" w:ascii="宋体" w:hAnsi="宋体" w:cs="宋体"/>
          <w:color w:val="auto"/>
          <w:szCs w:val="21"/>
          <w:highlight w:val="none"/>
          <w:lang w:eastAsia="zh-CN"/>
        </w:rPr>
        <w:t>总</w:t>
      </w:r>
      <w:r>
        <w:rPr>
          <w:rFonts w:hint="eastAsia" w:ascii="宋体" w:hAnsi="宋体" w:cs="宋体"/>
          <w:color w:val="auto"/>
          <w:szCs w:val="21"/>
          <w:highlight w:val="none"/>
        </w:rPr>
        <w:t>金额（元）：</w:t>
      </w:r>
      <w:r>
        <w:rPr>
          <w:rFonts w:hint="eastAsia" w:ascii="宋体" w:hAnsi="宋体" w:cs="宋体"/>
          <w:color w:val="auto"/>
          <w:szCs w:val="21"/>
          <w:highlight w:val="none"/>
          <w:lang w:val="en-US" w:eastAsia="zh-CN"/>
        </w:rPr>
        <w:t>1532766.20</w:t>
      </w:r>
    </w:p>
    <w:p w14:paraId="661A39BE">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采购需求：本项目为世彪药业北向地块土方平整。根据业主提供的预算图，总挖方量为136367.10m³，无填方。具体详见竞争性磋商文件、工程量清单及施工图纸。</w:t>
      </w:r>
    </w:p>
    <w:p w14:paraId="21DFB527">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val="en-US" w:eastAsia="zh-CN"/>
        </w:rPr>
        <w:t>世彪药业北向地块土方平整</w:t>
      </w:r>
    </w:p>
    <w:p w14:paraId="5D1E595D">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cs="宋体"/>
          <w:color w:val="auto"/>
          <w:szCs w:val="21"/>
          <w:highlight w:val="none"/>
        </w:rPr>
        <w:t>不限</w:t>
      </w:r>
    </w:p>
    <w:p w14:paraId="4F9EBA68">
      <w:pPr>
        <w:pageBreakBefore w:val="0"/>
        <w:widowControl w:val="0"/>
        <w:kinsoku/>
        <w:wordWrap/>
        <w:overflowPunct/>
        <w:topLinePunct w:val="0"/>
        <w:bidi w:val="0"/>
        <w:adjustRightInd/>
        <w:spacing w:line="380" w:lineRule="exact"/>
        <w:ind w:left="420" w:leftChars="200" w:firstLine="0" w:firstLineChars="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1532766.20</w:t>
      </w:r>
    </w:p>
    <w:p w14:paraId="57C3CA7A">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u w:val="none"/>
          <w:lang w:val="en-US" w:eastAsia="zh-CN"/>
        </w:rPr>
        <w:t>世彪药业北向地块土方平整</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cs="宋体"/>
          <w:color w:val="auto"/>
          <w:szCs w:val="21"/>
          <w:highlight w:val="none"/>
          <w:lang w:eastAsia="zh-CN"/>
        </w:rPr>
        <w:t>具体详见竞争性磋商文件、工程量清单及施工图纸</w:t>
      </w:r>
      <w:r>
        <w:rPr>
          <w:rFonts w:hint="eastAsia" w:ascii="宋体" w:hAnsi="宋体" w:cs="宋体"/>
          <w:color w:val="auto"/>
          <w:szCs w:val="21"/>
          <w:highlight w:val="none"/>
          <w:lang w:val="en-US" w:eastAsia="zh-CN"/>
        </w:rPr>
        <w:t>。</w:t>
      </w:r>
    </w:p>
    <w:p w14:paraId="36215659">
      <w:pPr>
        <w:pageBreakBefore w:val="0"/>
        <w:widowControl w:val="0"/>
        <w:kinsoku/>
        <w:wordWrap/>
        <w:overflowPunct/>
        <w:topLinePunct w:val="0"/>
        <w:bidi w:val="0"/>
        <w:adjustRightInd/>
        <w:spacing w:line="38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最高限价（如有）：</w:t>
      </w:r>
      <w:r>
        <w:rPr>
          <w:rFonts w:hint="eastAsia" w:ascii="宋体" w:hAnsi="宋体" w:cs="宋体"/>
          <w:color w:val="auto"/>
          <w:szCs w:val="21"/>
          <w:highlight w:val="none"/>
          <w:lang w:eastAsia="zh-CN"/>
        </w:rPr>
        <w:t>1532766.20</w:t>
      </w:r>
    </w:p>
    <w:p w14:paraId="7998736D">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施工工期</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日历天</w:t>
      </w:r>
    </w:p>
    <w:p w14:paraId="5504D403">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本标项（否）接受联合体投标</w:t>
      </w:r>
    </w:p>
    <w:p w14:paraId="4AA1226B">
      <w:pPr>
        <w:pageBreakBefore w:val="0"/>
        <w:widowControl w:val="0"/>
        <w:kinsoku/>
        <w:wordWrap/>
        <w:overflowPunct/>
        <w:topLinePunct w:val="0"/>
        <w:bidi w:val="0"/>
        <w:adjustRightInd/>
        <w:spacing w:line="380" w:lineRule="exact"/>
        <w:ind w:left="420" w:leftChars="20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备注：</w:t>
      </w:r>
      <w:r>
        <w:rPr>
          <w:rFonts w:hint="eastAsia" w:ascii="宋体" w:hAnsi="宋体" w:cs="宋体"/>
          <w:color w:val="auto"/>
          <w:szCs w:val="21"/>
          <w:highlight w:val="none"/>
          <w:lang w:eastAsia="zh-CN"/>
        </w:rPr>
        <w:t>本项目为线上电子招标项目，有意向参与本项目的供应商应当做好参与全流程电子招投标交易的充分准备。</w:t>
      </w:r>
    </w:p>
    <w:p w14:paraId="04AB8B81">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auto"/>
          <w:sz w:val="21"/>
          <w:szCs w:val="21"/>
          <w:highlight w:val="none"/>
        </w:rPr>
      </w:pPr>
      <w:bookmarkStart w:id="10" w:name="_Toc35393799"/>
      <w:bookmarkStart w:id="11" w:name="_Toc28359090"/>
      <w:bookmarkStart w:id="12" w:name="_Toc21513"/>
      <w:bookmarkStart w:id="13" w:name="_Toc28359013"/>
      <w:bookmarkStart w:id="14" w:name="_Toc35393630"/>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0310939A">
      <w:pPr>
        <w:pageBreakBefore w:val="0"/>
        <w:widowControl w:val="0"/>
        <w:kinsoku/>
        <w:wordWrap/>
        <w:overflowPunct/>
        <w:topLinePunct w:val="0"/>
        <w:bidi w:val="0"/>
        <w:adjustRightInd/>
        <w:snapToGrid w:val="0"/>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1.符合《中华人民共和国政府采购法》第二十二条规定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6455F529">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本项目属于专门面向中小微企业采购的项目，供应商须为中小微企业（监狱企业、残疾人福利性单位视同小型、微型企业）。</w:t>
      </w:r>
    </w:p>
    <w:p w14:paraId="4682A481">
      <w:pPr>
        <w:pStyle w:val="10"/>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eastAsia" w:ascii="宋体" w:hAnsi="宋体" w:eastAsia="宋体" w:cs="宋体"/>
          <w:color w:val="auto"/>
          <w:sz w:val="21"/>
          <w:szCs w:val="21"/>
          <w:highlight w:val="none"/>
          <w:lang w:val="en-US" w:eastAsia="zh-CN"/>
        </w:rPr>
      </w:pPr>
      <w:bookmarkStart w:id="15" w:name="_Toc28359091"/>
      <w:bookmarkStart w:id="16" w:name="_Toc28359014"/>
      <w:r>
        <w:rPr>
          <w:rFonts w:hint="eastAsia" w:hAnsi="宋体" w:cs="宋体"/>
          <w:color w:val="auto"/>
          <w:sz w:val="21"/>
          <w:szCs w:val="21"/>
          <w:highlight w:val="none"/>
        </w:rPr>
        <w:t>3.本项目的特定资格要求：</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）竞标人须具备市政公用工程施工总承包三级（含三级）以上资质以及有效的安全生产许可证，在人员、设备、资金等方面具备相应的施工能力</w:t>
      </w:r>
      <w:r>
        <w:rPr>
          <w:rFonts w:hint="eastAsia" w:hAnsi="宋体" w:cs="宋体"/>
          <w:color w:val="auto"/>
          <w:sz w:val="21"/>
          <w:szCs w:val="21"/>
          <w:highlight w:val="none"/>
          <w:lang w:val="en-US" w:eastAsia="zh-CN"/>
        </w:rPr>
        <w:t>。</w:t>
      </w:r>
      <w:r>
        <w:rPr>
          <w:rFonts w:hint="eastAsia" w:hAnsi="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lang w:val="en-US" w:eastAsia="zh-CN"/>
        </w:rPr>
        <w:t>拟投入本工程的项目经理必须</w:t>
      </w:r>
      <w:r>
        <w:rPr>
          <w:rFonts w:hint="eastAsia" w:asciiTheme="minorEastAsia" w:hAnsiTheme="minorEastAsia" w:eastAsiaTheme="minorEastAsia" w:cstheme="minorEastAsia"/>
          <w:color w:val="auto"/>
          <w:sz w:val="21"/>
          <w:szCs w:val="21"/>
          <w:highlight w:val="none"/>
          <w:lang w:eastAsia="zh-CN"/>
        </w:rPr>
        <w:t>具备市政公用工程专业二级（含二级）以上注册建造师执业资格，且具备有效的安全生产考核合格证书（B类）</w:t>
      </w:r>
      <w:r>
        <w:rPr>
          <w:rFonts w:hint="eastAsia" w:ascii="宋体" w:hAnsi="宋体" w:eastAsia="宋体" w:cs="宋体"/>
          <w:color w:val="auto"/>
          <w:sz w:val="21"/>
          <w:szCs w:val="21"/>
          <w:highlight w:val="none"/>
          <w:lang w:val="en-US" w:eastAsia="zh-CN"/>
        </w:rPr>
        <w:t xml:space="preserve">。本项目不接受有在建、已中标未开工或已列为其他项目中标候选人第一名的建造师作为项目经理（符合《广西壮族自治区建筑市场诚信卡管理暂行办法》第十六条第一款及桂建管﹝2016﹞70号、桂建管〔2020〕11号文除外）。 </w:t>
      </w:r>
    </w:p>
    <w:p w14:paraId="429D22A3">
      <w:pPr>
        <w:pStyle w:val="3"/>
        <w:pageBreakBefore w:val="0"/>
        <w:widowControl w:val="0"/>
        <w:kinsoku/>
        <w:wordWrap/>
        <w:overflowPunct/>
        <w:topLinePunct w:val="0"/>
        <w:bidi w:val="0"/>
        <w:adjustRightInd/>
        <w:spacing w:line="380" w:lineRule="exact"/>
        <w:textAlignment w:val="auto"/>
        <w:outlineLvl w:val="0"/>
        <w:rPr>
          <w:rFonts w:hint="eastAsia" w:ascii="宋体" w:hAnsi="宋体" w:eastAsia="宋体" w:cs="宋体"/>
          <w:bCs w:val="0"/>
          <w:color w:val="auto"/>
          <w:sz w:val="21"/>
          <w:szCs w:val="21"/>
          <w:highlight w:val="none"/>
        </w:rPr>
      </w:pPr>
      <w:bookmarkStart w:id="17" w:name="_Toc13777"/>
      <w:bookmarkStart w:id="18" w:name="_Toc35393631"/>
      <w:bookmarkStart w:id="19" w:name="_Toc9125"/>
      <w:bookmarkStart w:id="20" w:name="_Toc35393800"/>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1E04CBC0">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时间：</w:t>
      </w:r>
      <w:r>
        <w:rPr>
          <w:rFonts w:hint="eastAsia" w:ascii="宋体" w:hAnsi="宋体" w:cs="宋体"/>
          <w:color w:val="auto"/>
          <w:szCs w:val="21"/>
          <w:highlight w:val="none"/>
          <w:u w:val="none"/>
          <w:lang w:val="en-US" w:eastAsia="zh-CN"/>
        </w:rPr>
        <w:t>2026年4月23日</w:t>
      </w:r>
      <w:r>
        <w:rPr>
          <w:rFonts w:hint="eastAsia" w:ascii="宋体" w:hAnsi="宋体" w:cs="宋体"/>
          <w:color w:val="auto"/>
          <w:szCs w:val="21"/>
          <w:highlight w:val="none"/>
          <w:u w:val="none"/>
        </w:rPr>
        <w:t>至</w:t>
      </w:r>
      <w:r>
        <w:rPr>
          <w:rFonts w:hint="eastAsia" w:ascii="宋体" w:hAnsi="宋体" w:cs="宋体"/>
          <w:color w:val="auto"/>
          <w:szCs w:val="21"/>
          <w:highlight w:val="none"/>
          <w:u w:val="none"/>
          <w:lang w:val="en-US" w:eastAsia="zh-CN"/>
        </w:rPr>
        <w:t>2026年4月30日</w:t>
      </w:r>
      <w:r>
        <w:rPr>
          <w:rFonts w:hint="eastAsia" w:ascii="宋体" w:hAnsi="宋体" w:cs="宋体"/>
          <w:color w:val="auto"/>
          <w:szCs w:val="21"/>
          <w:highlight w:val="none"/>
          <w:u w:val="none"/>
        </w:rPr>
        <w:t>，每天上午8</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00至12</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00，下午</w:t>
      </w:r>
      <w:r>
        <w:rPr>
          <w:rFonts w:hint="eastAsia" w:ascii="宋体" w:hAnsi="宋体" w:cs="宋体"/>
          <w:color w:val="auto"/>
          <w:szCs w:val="21"/>
          <w:highlight w:val="none"/>
          <w:u w:val="none"/>
          <w:lang w:val="en-US" w:eastAsia="zh-CN"/>
        </w:rPr>
        <w:t>15</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00至</w:t>
      </w:r>
      <w:r>
        <w:rPr>
          <w:rFonts w:hint="eastAsia" w:ascii="宋体" w:hAnsi="宋体" w:cs="宋体"/>
          <w:color w:val="auto"/>
          <w:szCs w:val="21"/>
          <w:highlight w:val="none"/>
          <w:u w:val="none"/>
          <w:lang w:val="en-US" w:eastAsia="zh-CN"/>
        </w:rPr>
        <w:t>18</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00</w:t>
      </w:r>
      <w:r>
        <w:rPr>
          <w:rFonts w:hint="eastAsia" w:ascii="宋体" w:hAnsi="宋体" w:cs="宋体"/>
          <w:color w:val="auto"/>
          <w:szCs w:val="21"/>
          <w:highlight w:val="none"/>
          <w:u w:val="none"/>
        </w:rPr>
        <w:t>（北京时间，法定节假日除外）</w:t>
      </w:r>
      <w:r>
        <w:rPr>
          <w:rFonts w:hint="eastAsia" w:ascii="宋体" w:hAnsi="宋体" w:cs="宋体"/>
          <w:color w:val="auto"/>
          <w:szCs w:val="21"/>
          <w:highlight w:val="none"/>
          <w:u w:val="none"/>
          <w:lang w:eastAsia="zh-CN"/>
        </w:rPr>
        <w:t>。</w:t>
      </w:r>
    </w:p>
    <w:p w14:paraId="176F8263">
      <w:pPr>
        <w:keepNext w:val="0"/>
        <w:keepLines w:val="0"/>
        <w:pageBreakBefore w:val="0"/>
        <w:widowControl w:val="0"/>
        <w:kinsoku/>
        <w:wordWrap/>
        <w:overflowPunct/>
        <w:topLinePunct w:val="0"/>
        <w:autoSpaceDE/>
        <w:autoSpaceDN/>
        <w:bidi w:val="0"/>
        <w:adjustRightInd/>
        <w:spacing w:line="380" w:lineRule="exact"/>
        <w:ind w:left="0" w:leftChars="0" w:firstLine="367" w:firstLineChars="175"/>
        <w:textAlignment w:val="auto"/>
        <w:rPr>
          <w:rFonts w:hint="eastAsia" w:ascii="宋体" w:hAnsi="宋体" w:eastAsia="宋体" w:cs="宋体"/>
          <w:iCs/>
          <w:color w:val="auto"/>
          <w:spacing w:val="0"/>
          <w:sz w:val="21"/>
          <w:szCs w:val="21"/>
          <w:highlight w:val="none"/>
          <w:u w:val="none"/>
          <w:lang w:eastAsia="zh-CN"/>
        </w:rPr>
      </w:pPr>
      <w:r>
        <w:rPr>
          <w:rFonts w:hint="eastAsia" w:ascii="宋体" w:hAnsi="宋体" w:eastAsia="宋体" w:cs="宋体"/>
          <w:color w:val="auto"/>
          <w:spacing w:val="0"/>
          <w:sz w:val="21"/>
          <w:szCs w:val="21"/>
          <w:highlight w:val="none"/>
          <w:u w:val="none"/>
        </w:rPr>
        <w:t>地</w:t>
      </w:r>
      <w:r>
        <w:rPr>
          <w:rFonts w:hint="eastAsia" w:ascii="宋体" w:hAnsi="宋体" w:cs="宋体"/>
          <w:color w:val="auto"/>
          <w:spacing w:val="0"/>
          <w:sz w:val="21"/>
          <w:szCs w:val="21"/>
          <w:highlight w:val="none"/>
          <w:u w:val="none"/>
          <w:lang w:eastAsia="zh-CN"/>
        </w:rPr>
        <w:t>点</w:t>
      </w:r>
      <w:r>
        <w:rPr>
          <w:rFonts w:hint="eastAsia" w:ascii="宋体" w:hAnsi="宋体" w:cs="宋体"/>
          <w:color w:val="auto"/>
          <w:spacing w:val="0"/>
          <w:sz w:val="21"/>
          <w:szCs w:val="21"/>
          <w:highlight w:val="none"/>
          <w:u w:val="none"/>
          <w:lang w:val="en-US" w:eastAsia="zh-CN"/>
        </w:rPr>
        <w:t>（网址）</w:t>
      </w:r>
      <w:r>
        <w:rPr>
          <w:rFonts w:hint="eastAsia" w:ascii="宋体" w:hAnsi="宋体" w:eastAsia="宋体" w:cs="宋体"/>
          <w:color w:val="auto"/>
          <w:spacing w:val="0"/>
          <w:sz w:val="21"/>
          <w:szCs w:val="21"/>
          <w:highlight w:val="none"/>
          <w:u w:val="none"/>
          <w:lang w:val="en-US" w:eastAsia="zh-CN"/>
        </w:rPr>
        <w:t>：</w:t>
      </w:r>
      <w:r>
        <w:rPr>
          <w:rFonts w:hint="eastAsia" w:ascii="宋体" w:hAnsi="宋体" w:cs="Times New Roman"/>
          <w:color w:val="auto"/>
          <w:szCs w:val="21"/>
          <w:highlight w:val="none"/>
          <w:u w:val="none"/>
          <w:lang w:eastAsia="zh-CN"/>
        </w:rPr>
        <w:t>广西政府采购云平台</w:t>
      </w:r>
      <w:r>
        <w:rPr>
          <w:rFonts w:hint="eastAsia" w:ascii="宋体" w:hAnsi="宋体" w:eastAsia="宋体" w:cs="Times New Roman"/>
          <w:color w:val="auto"/>
          <w:szCs w:val="21"/>
          <w:highlight w:val="none"/>
          <w:u w:val="none"/>
        </w:rPr>
        <w:t>（</w:t>
      </w:r>
      <w:r>
        <w:rPr>
          <w:rFonts w:hint="eastAsia" w:ascii="宋体" w:hAnsi="宋体" w:cs="Times New Roman"/>
          <w:color w:val="auto"/>
          <w:szCs w:val="21"/>
          <w:highlight w:val="none"/>
          <w:u w:val="none"/>
          <w:lang w:eastAsia="zh-CN"/>
        </w:rPr>
        <w:t>https：//www.gcy.zfcg.gxzf.gov.cn</w:t>
      </w:r>
      <w:r>
        <w:rPr>
          <w:rFonts w:hint="eastAsia" w:ascii="宋体" w:hAnsi="宋体" w:eastAsia="宋体" w:cs="Times New Roman"/>
          <w:color w:val="auto"/>
          <w:szCs w:val="21"/>
          <w:highlight w:val="none"/>
          <w:u w:val="none"/>
        </w:rPr>
        <w:t>）</w:t>
      </w:r>
    </w:p>
    <w:p w14:paraId="3B728233">
      <w:pPr>
        <w:keepNext w:val="0"/>
        <w:keepLines w:val="0"/>
        <w:pageBreakBefore w:val="0"/>
        <w:widowControl w:val="0"/>
        <w:kinsoku/>
        <w:wordWrap/>
        <w:overflowPunct/>
        <w:topLinePunct w:val="0"/>
        <w:autoSpaceDE/>
        <w:autoSpaceDN/>
        <w:bidi w:val="0"/>
        <w:adjustRightInd/>
        <w:snapToGrid w:val="0"/>
        <w:spacing w:line="380" w:lineRule="exact"/>
        <w:ind w:left="0" w:leftChars="0" w:firstLine="367" w:firstLineChars="175"/>
        <w:textAlignment w:val="auto"/>
        <w:rPr>
          <w:color w:val="auto"/>
          <w:highlight w:val="none"/>
        </w:rPr>
      </w:pPr>
      <w:r>
        <w:rPr>
          <w:rFonts w:hint="eastAsia" w:ascii="宋体" w:hAnsi="宋体"/>
          <w:color w:val="auto"/>
          <w:szCs w:val="21"/>
          <w:highlight w:val="none"/>
        </w:rPr>
        <w:t>方式</w:t>
      </w:r>
      <w:r>
        <w:rPr>
          <w:rFonts w:hint="eastAsia" w:ascii="宋体" w:hAnsi="宋体"/>
          <w:color w:val="auto"/>
          <w:szCs w:val="21"/>
          <w:highlight w:val="none"/>
          <w:lang w:eastAsia="zh-CN"/>
        </w:rPr>
        <w:t>：供应商登录广西政府采购云平台https：//www.gcy.zfcg.gxzf.gov.cn/在线申请获取采购文件（进入“项目采购”应用，在获取采购文件菜单中选择项目，申请获取采购文件）。</w:t>
      </w:r>
    </w:p>
    <w:p w14:paraId="0050715D">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auto"/>
          <w:sz w:val="21"/>
          <w:szCs w:val="21"/>
          <w:highlight w:val="none"/>
        </w:rPr>
      </w:pPr>
      <w:bookmarkStart w:id="21" w:name="_Toc28970"/>
      <w:bookmarkStart w:id="22" w:name="_Toc28359092"/>
      <w:bookmarkStart w:id="23" w:name="_Toc18110"/>
      <w:bookmarkStart w:id="24" w:name="_Toc35393801"/>
      <w:bookmarkStart w:id="25" w:name="_Toc35393632"/>
      <w:bookmarkStart w:id="26" w:name="_Toc28359015"/>
      <w:r>
        <w:rPr>
          <w:rFonts w:hint="eastAsia" w:ascii="宋体" w:hAnsi="宋体" w:eastAsia="宋体" w:cs="宋体"/>
          <w:bCs w:val="0"/>
          <w:color w:val="auto"/>
          <w:sz w:val="21"/>
          <w:szCs w:val="21"/>
          <w:highlight w:val="none"/>
        </w:rPr>
        <w:t>四、</w:t>
      </w:r>
      <w:bookmarkEnd w:id="21"/>
      <w:bookmarkEnd w:id="22"/>
      <w:bookmarkEnd w:id="23"/>
      <w:bookmarkEnd w:id="24"/>
      <w:bookmarkEnd w:id="25"/>
      <w:bookmarkEnd w:id="26"/>
      <w:r>
        <w:rPr>
          <w:rFonts w:hint="eastAsia" w:ascii="宋体" w:hAnsi="宋体" w:eastAsia="宋体" w:cs="宋体"/>
          <w:bCs w:val="0"/>
          <w:color w:val="auto"/>
          <w:sz w:val="21"/>
          <w:szCs w:val="21"/>
          <w:highlight w:val="none"/>
        </w:rPr>
        <w:t>提交投标文件截止时间、开标时间和地点</w:t>
      </w:r>
    </w:p>
    <w:p w14:paraId="33DD586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eastAsia="宋体" w:cs="Times New Roman"/>
          <w:color w:val="auto"/>
          <w:szCs w:val="21"/>
          <w:highlight w:val="none"/>
        </w:rPr>
      </w:pPr>
      <w:bookmarkStart w:id="27" w:name="_Toc35393633"/>
      <w:bookmarkStart w:id="28" w:name="_Toc28359016"/>
      <w:bookmarkStart w:id="29" w:name="_Toc35393802"/>
      <w:bookmarkStart w:id="30" w:name="_Toc24973"/>
      <w:bookmarkStart w:id="31" w:name="_Toc28359093"/>
      <w:bookmarkStart w:id="32" w:name="_Toc3197"/>
      <w:r>
        <w:rPr>
          <w:rFonts w:hint="eastAsia" w:ascii="宋体" w:hAnsi="宋体" w:eastAsia="宋体" w:cs="Times New Roman"/>
          <w:color w:val="auto"/>
          <w:szCs w:val="21"/>
          <w:highlight w:val="none"/>
        </w:rPr>
        <w:t>1、首次响应文件提交截止时间（北京时间）：</w:t>
      </w:r>
      <w:r>
        <w:rPr>
          <w:rFonts w:hint="eastAsia" w:ascii="宋体" w:hAnsi="宋体" w:eastAsia="宋体" w:cs="宋体"/>
          <w:color w:val="auto"/>
          <w:szCs w:val="21"/>
          <w:highlight w:val="none"/>
        </w:rPr>
        <w:t>2026年5月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日9时30分</w:t>
      </w:r>
      <w:r>
        <w:rPr>
          <w:rFonts w:hint="eastAsia" w:ascii="宋体" w:hAnsi="宋体" w:eastAsia="宋体" w:cs="Times New Roman"/>
          <w:color w:val="auto"/>
          <w:szCs w:val="21"/>
          <w:highlight w:val="none"/>
        </w:rPr>
        <w:t>（从磋商文件开始发出之日起至供应商提交首次响应文件截止之日止不得少于10日）</w:t>
      </w:r>
    </w:p>
    <w:p w14:paraId="657CF475">
      <w:pPr>
        <w:pStyle w:val="3"/>
        <w:pageBreakBefore w:val="0"/>
        <w:widowControl w:val="0"/>
        <w:kinsoku/>
        <w:wordWrap/>
        <w:overflowPunct/>
        <w:topLinePunct w:val="0"/>
        <w:bidi w:val="0"/>
        <w:adjustRightInd/>
        <w:spacing w:line="380" w:lineRule="exact"/>
        <w:ind w:firstLine="420" w:firstLineChars="200"/>
        <w:textAlignment w:val="auto"/>
        <w:outlineLvl w:val="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2、开标地点：本项目将在广西政府采购云平台电子开标大厅解密、开标。本项目采用远程异地评标，评标主场设在浦北县公共资源交易中心（浦北县总工会3楼），评标副会场设在</w:t>
      </w:r>
      <w:r>
        <w:rPr>
          <w:rFonts w:hint="eastAsia" w:ascii="宋体" w:hAnsi="宋体" w:eastAsia="宋体" w:cs="Times New Roman"/>
          <w:b w:val="0"/>
          <w:bCs w:val="0"/>
          <w:color w:val="auto"/>
          <w:kern w:val="2"/>
          <w:sz w:val="21"/>
          <w:szCs w:val="21"/>
          <w:highlight w:val="none"/>
          <w:u w:val="single"/>
          <w:lang w:val="en-US" w:eastAsia="zh-CN" w:bidi="ar-SA"/>
        </w:rPr>
        <w:t xml:space="preserve"> 南宁市青秀区柳沙路9号中装联盟设计产业园3号楼2层 </w:t>
      </w:r>
      <w:r>
        <w:rPr>
          <w:rFonts w:hint="eastAsia" w:ascii="宋体" w:hAnsi="宋体" w:eastAsia="宋体" w:cs="Times New Roman"/>
          <w:b w:val="0"/>
          <w:bCs w:val="0"/>
          <w:color w:val="auto"/>
          <w:kern w:val="2"/>
          <w:sz w:val="21"/>
          <w:szCs w:val="21"/>
          <w:highlight w:val="none"/>
          <w:lang w:val="en-US" w:eastAsia="zh-CN" w:bidi="ar-SA"/>
        </w:rPr>
        <w:t>。</w:t>
      </w:r>
    </w:p>
    <w:p w14:paraId="349ECAFB">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auto"/>
          <w:sz w:val="21"/>
          <w:szCs w:val="21"/>
          <w:highlight w:val="none"/>
          <w:u w:val="none"/>
        </w:rPr>
      </w:pPr>
      <w:r>
        <w:rPr>
          <w:rFonts w:hint="eastAsia" w:ascii="宋体" w:hAnsi="宋体" w:eastAsia="宋体" w:cs="宋体"/>
          <w:bCs w:val="0"/>
          <w:color w:val="auto"/>
          <w:sz w:val="21"/>
          <w:szCs w:val="21"/>
          <w:highlight w:val="none"/>
          <w:u w:val="none"/>
        </w:rPr>
        <w:t>五、响应文件开启</w:t>
      </w:r>
      <w:bookmarkEnd w:id="27"/>
      <w:bookmarkEnd w:id="28"/>
      <w:bookmarkEnd w:id="29"/>
      <w:bookmarkEnd w:id="30"/>
      <w:bookmarkEnd w:id="31"/>
      <w:bookmarkEnd w:id="32"/>
    </w:p>
    <w:p w14:paraId="67CA6DFD">
      <w:pPr>
        <w:keepNext w:val="0"/>
        <w:keepLines w:val="0"/>
        <w:pageBreakBefore w:val="0"/>
        <w:widowControl w:val="0"/>
        <w:kinsoku/>
        <w:wordWrap/>
        <w:overflowPunct/>
        <w:topLinePunct w:val="0"/>
        <w:autoSpaceDE/>
        <w:autoSpaceDN/>
        <w:bidi w:val="0"/>
        <w:adjustRightInd/>
        <w:spacing w:line="380" w:lineRule="exact"/>
        <w:ind w:left="0" w:leftChars="0" w:firstLine="367" w:firstLineChars="175"/>
        <w:textAlignment w:val="auto"/>
        <w:rPr>
          <w:rFonts w:hint="eastAsia" w:ascii="宋体" w:hAnsi="宋体" w:eastAsia="宋体"/>
          <w:bCs/>
          <w:color w:val="auto"/>
          <w:szCs w:val="21"/>
          <w:highlight w:val="none"/>
          <w:u w:val="none"/>
          <w:lang w:eastAsia="zh-CN"/>
        </w:rPr>
      </w:pPr>
      <w:r>
        <w:rPr>
          <w:rFonts w:hint="eastAsia" w:ascii="宋体" w:hAnsi="宋体"/>
          <w:bCs/>
          <w:color w:val="auto"/>
          <w:szCs w:val="21"/>
          <w:highlight w:val="none"/>
          <w:u w:val="none"/>
        </w:rPr>
        <w:t>开启时间：</w:t>
      </w:r>
      <w:r>
        <w:rPr>
          <w:rFonts w:hint="eastAsia" w:ascii="宋体" w:hAnsi="宋体" w:cs="宋体"/>
          <w:color w:val="auto"/>
          <w:szCs w:val="21"/>
          <w:highlight w:val="none"/>
          <w:u w:val="single"/>
          <w:lang w:val="en-US" w:eastAsia="zh-CN"/>
        </w:rPr>
        <w:t>2026年5月8日9时30分</w:t>
      </w:r>
      <w:r>
        <w:rPr>
          <w:rFonts w:hint="eastAsia" w:ascii="宋体" w:hAnsi="宋体"/>
          <w:bCs/>
          <w:color w:val="auto"/>
          <w:szCs w:val="21"/>
          <w:highlight w:val="none"/>
          <w:u w:val="none"/>
        </w:rPr>
        <w:t>（北京时间）</w:t>
      </w:r>
    </w:p>
    <w:p w14:paraId="5ABC3A31">
      <w:pPr>
        <w:pageBreakBefore w:val="0"/>
        <w:widowControl w:val="0"/>
        <w:kinsoku/>
        <w:wordWrap/>
        <w:overflowPunct/>
        <w:topLinePunct w:val="0"/>
        <w:bidi w:val="0"/>
        <w:adjustRightInd/>
        <w:spacing w:line="380" w:lineRule="exact"/>
        <w:ind w:firstLine="420" w:firstLineChars="200"/>
        <w:textAlignment w:val="auto"/>
        <w:rPr>
          <w:rFonts w:hint="eastAsia" w:ascii="宋体" w:hAnsi="宋体" w:eastAsia="宋体" w:cs="宋体"/>
          <w:bCs/>
          <w:color w:val="auto"/>
          <w:szCs w:val="21"/>
          <w:highlight w:val="none"/>
          <w:u w:val="none"/>
          <w:lang w:eastAsia="zh-CN"/>
        </w:rPr>
      </w:pPr>
      <w:r>
        <w:rPr>
          <w:rFonts w:hint="eastAsia" w:ascii="宋体" w:hAnsi="宋体"/>
          <w:bCs/>
          <w:color w:val="auto"/>
          <w:szCs w:val="21"/>
          <w:highlight w:val="none"/>
          <w:u w:val="none"/>
        </w:rPr>
        <w:t>地点：“</w:t>
      </w:r>
      <w:r>
        <w:rPr>
          <w:rFonts w:hint="eastAsia" w:ascii="宋体" w:hAnsi="宋体"/>
          <w:bCs/>
          <w:color w:val="auto"/>
          <w:szCs w:val="21"/>
          <w:highlight w:val="none"/>
          <w:u w:val="none"/>
          <w:lang w:val="en-US" w:eastAsia="zh-CN"/>
        </w:rPr>
        <w:t>广西</w:t>
      </w:r>
      <w:r>
        <w:rPr>
          <w:rFonts w:hint="eastAsia" w:ascii="宋体" w:hAnsi="宋体"/>
          <w:bCs/>
          <w:color w:val="auto"/>
          <w:szCs w:val="21"/>
          <w:highlight w:val="none"/>
          <w:u w:val="none"/>
        </w:rPr>
        <w:t>政采云</w:t>
      </w:r>
      <w:r>
        <w:rPr>
          <w:rFonts w:hint="eastAsia" w:ascii="宋体" w:hAnsi="宋体"/>
          <w:bCs/>
          <w:color w:val="auto"/>
          <w:szCs w:val="21"/>
          <w:highlight w:val="none"/>
          <w:u w:val="none"/>
          <w:lang w:val="en-US" w:eastAsia="zh-CN"/>
        </w:rPr>
        <w:t>平台</w:t>
      </w:r>
      <w:r>
        <w:rPr>
          <w:rFonts w:hint="eastAsia" w:ascii="宋体" w:hAnsi="宋体"/>
          <w:bCs/>
          <w:color w:val="auto"/>
          <w:szCs w:val="21"/>
          <w:highlight w:val="none"/>
          <w:u w:val="none"/>
        </w:rPr>
        <w:t>”平台电子开标大厅在线解密开启 </w:t>
      </w:r>
    </w:p>
    <w:p w14:paraId="05EA1F0D">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auto"/>
          <w:sz w:val="21"/>
          <w:szCs w:val="21"/>
          <w:highlight w:val="none"/>
          <w:u w:val="none"/>
        </w:rPr>
      </w:pPr>
      <w:bookmarkStart w:id="33" w:name="_Toc28359017"/>
      <w:bookmarkStart w:id="34" w:name="_Toc35393803"/>
      <w:bookmarkStart w:id="35" w:name="_Toc5452"/>
      <w:bookmarkStart w:id="36" w:name="_Toc28359094"/>
      <w:bookmarkStart w:id="37" w:name="_Toc35393634"/>
      <w:bookmarkStart w:id="38" w:name="_Toc17419"/>
      <w:r>
        <w:rPr>
          <w:rFonts w:hint="eastAsia" w:ascii="宋体" w:hAnsi="宋体" w:eastAsia="宋体" w:cs="宋体"/>
          <w:bCs w:val="0"/>
          <w:color w:val="auto"/>
          <w:sz w:val="21"/>
          <w:szCs w:val="21"/>
          <w:highlight w:val="none"/>
          <w:u w:val="none"/>
        </w:rPr>
        <w:t>六、公告期限</w:t>
      </w:r>
      <w:bookmarkEnd w:id="33"/>
      <w:bookmarkEnd w:id="34"/>
      <w:bookmarkEnd w:id="35"/>
      <w:bookmarkEnd w:id="36"/>
      <w:bookmarkEnd w:id="37"/>
      <w:bookmarkEnd w:id="38"/>
    </w:p>
    <w:p w14:paraId="680A484D">
      <w:pPr>
        <w:pageBreakBefore w:val="0"/>
        <w:widowControl w:val="0"/>
        <w:kinsoku/>
        <w:wordWrap/>
        <w:overflowPunct/>
        <w:topLinePunct w:val="0"/>
        <w:bidi w:val="0"/>
        <w:adjustRightInd/>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6D61536">
      <w:pPr>
        <w:pStyle w:val="3"/>
        <w:pageBreakBefore w:val="0"/>
        <w:widowControl w:val="0"/>
        <w:kinsoku/>
        <w:wordWrap/>
        <w:overflowPunct/>
        <w:topLinePunct w:val="0"/>
        <w:bidi w:val="0"/>
        <w:adjustRightInd/>
        <w:spacing w:line="380" w:lineRule="exact"/>
        <w:textAlignment w:val="auto"/>
        <w:outlineLvl w:val="0"/>
        <w:rPr>
          <w:rFonts w:ascii="宋体" w:hAnsi="宋体" w:eastAsia="宋体" w:cs="宋体"/>
          <w:bCs w:val="0"/>
          <w:color w:val="auto"/>
          <w:sz w:val="21"/>
          <w:szCs w:val="21"/>
          <w:highlight w:val="none"/>
        </w:rPr>
      </w:pPr>
      <w:bookmarkStart w:id="39" w:name="_Toc321"/>
      <w:bookmarkStart w:id="40" w:name="_Toc26297"/>
      <w:bookmarkStart w:id="41" w:name="_Toc35393635"/>
      <w:bookmarkStart w:id="42" w:name="_Toc35393804"/>
      <w:r>
        <w:rPr>
          <w:rFonts w:hint="eastAsia" w:ascii="宋体" w:hAnsi="宋体" w:eastAsia="宋体" w:cs="宋体"/>
          <w:bCs w:val="0"/>
          <w:color w:val="auto"/>
          <w:sz w:val="21"/>
          <w:szCs w:val="21"/>
          <w:highlight w:val="none"/>
        </w:rPr>
        <w:t>七、其他补充事宜</w:t>
      </w:r>
      <w:bookmarkEnd w:id="39"/>
      <w:bookmarkEnd w:id="40"/>
      <w:bookmarkEnd w:id="41"/>
      <w:bookmarkEnd w:id="42"/>
    </w:p>
    <w:p w14:paraId="7040D449">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bookmarkStart w:id="43" w:name="_Toc28359018"/>
      <w:bookmarkStart w:id="44" w:name="_Toc35393805"/>
      <w:bookmarkStart w:id="45" w:name="_Toc35393636"/>
      <w:bookmarkStart w:id="46" w:name="_Toc28359095"/>
      <w:r>
        <w:rPr>
          <w:rFonts w:hint="eastAsia" w:ascii="宋体" w:hAnsi="宋体" w:cs="宋体"/>
          <w:color w:val="auto"/>
          <w:szCs w:val="21"/>
          <w:highlight w:val="none"/>
        </w:rPr>
        <w:t>1.本项目为全流程电子化政府采购项目，供应商应按照本项目采购文件和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的要求编制、加密并提交电子响应文件。未完成</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供应商注册入驻并办理数字证书（CA认证）的供应商将无法参与本项目政府采购活动。供应商在使用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参与投标过程中遇到涉及平台使用的任何问题，</w:t>
      </w:r>
      <w:r>
        <w:rPr>
          <w:rFonts w:hint="eastAsia" w:ascii="宋体" w:hAnsi="宋体"/>
          <w:color w:val="auto"/>
          <w:szCs w:val="21"/>
          <w:highlight w:val="none"/>
        </w:rPr>
        <w:t>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3B7BC4F9">
      <w:pPr>
        <w:pageBreakBefore w:val="0"/>
        <w:kinsoku/>
        <w:wordWrap/>
        <w:overflowPunct/>
        <w:topLinePunct w:val="0"/>
        <w:bidi w:val="0"/>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（1）供应商应及时熟悉掌握电子标系统操作指南（见政采云电子卖场首页右上角—服务中心—帮助文档—项目采购）：https</w:t>
      </w:r>
      <w:r>
        <w:rPr>
          <w:rFonts w:hint="eastAsia" w:ascii="宋体" w:hAnsi="宋体" w:cs="宋体"/>
          <w:color w:val="auto"/>
          <w:szCs w:val="21"/>
          <w:highlight w:val="none"/>
          <w:lang w:eastAsia="zh-CN"/>
        </w:rPr>
        <w:t>：</w:t>
      </w:r>
      <w:r>
        <w:rPr>
          <w:rFonts w:hint="eastAsia" w:ascii="宋体" w:hAnsi="宋体" w:cs="宋体"/>
          <w:color w:val="auto"/>
          <w:szCs w:val="21"/>
          <w:highlight w:val="none"/>
        </w:rPr>
        <w:t>//service.zcygov.cn/#/knowledges/tree?tag=AG1DtGwBFdiHxlNdhY0r。</w:t>
      </w:r>
    </w:p>
    <w:p w14:paraId="2BD4C1E3">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（2）供应商应及时完成</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供应商注册入驻和办理政采云CA证书申领和绑定（见广西壮族自治区政府采购网—办事服务—下载专区-政采云CA证书办理操作指南）。</w:t>
      </w:r>
    </w:p>
    <w:p w14:paraId="0A9AA0E5">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须通过政采云供应商客户端软件制作电子响应文件，政采云供应商客户端软件请供应商自行前往下载并安装（见广西壮族自治区政府采购网—办事服务—下载专区-广西壮族自治区全流程电子招投标项目管理系统--供应商客户端）。</w:t>
      </w:r>
    </w:p>
    <w:p w14:paraId="11DFC7BC">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4D6B9BA7">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37E413AB">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45C1F2C6">
      <w:pPr>
        <w:pageBreakBefore w:val="0"/>
        <w:kinsoku/>
        <w:wordWrap/>
        <w:overflowPunct/>
        <w:topLinePunct w:val="0"/>
        <w:bidi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217613DF">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（4）政府采购促</w:t>
      </w:r>
      <w:r>
        <w:rPr>
          <w:rFonts w:hint="eastAsia" w:ascii="宋体" w:hAnsi="宋体" w:eastAsia="宋体" w:cs="宋体"/>
          <w:color w:val="auto"/>
          <w:szCs w:val="21"/>
          <w:highlight w:val="none"/>
        </w:rPr>
        <w:t>进残疾人就业政策。</w:t>
      </w:r>
    </w:p>
    <w:p w14:paraId="3ADDA238">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（5）政府采购支持监狱企业发展。</w:t>
      </w:r>
    </w:p>
    <w:p w14:paraId="4392C8A3">
      <w:pPr>
        <w:pageBreakBefore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3.网上查询地址</w:t>
      </w:r>
    </w:p>
    <w:p w14:paraId="52FFA81F">
      <w:pPr>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广西壮族自治区政府采购网http</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//zfcg.gxzf.gov.cn/、中国政府采购网http</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//www.ccgp.gov.cn/</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全国公共资源交易平台 （广西.钦州）http</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//ggzy.jgswj.gxzf.gov.cn/qzggzy/ 、全国公共资源交易平台（广西·浦北）http</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//ggzy.jgswj.gxzf.gov.cn/pbggzy/。</w:t>
      </w:r>
    </w:p>
    <w:p w14:paraId="163EA7E5">
      <w:pPr>
        <w:pageBreakBefore w:val="0"/>
        <w:widowControl/>
        <w:kinsoku/>
        <w:wordWrap/>
        <w:overflowPunct/>
        <w:topLinePunct w:val="0"/>
        <w:bidi w:val="0"/>
        <w:spacing w:line="380" w:lineRule="exact"/>
        <w:ind w:firstLine="420" w:firstLineChars="200"/>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rPr>
        <w:t>4.</w:t>
      </w:r>
      <w:r>
        <w:rPr>
          <w:rFonts w:hint="eastAsia" w:ascii="宋体" w:hAnsi="宋体" w:cs="宋体"/>
          <w:color w:val="auto"/>
          <w:szCs w:val="21"/>
          <w:highlight w:val="none"/>
          <w:lang w:bidi="ar"/>
        </w:rPr>
        <w:t>监督部门：浦北县政府采购监督管理办公室   联系电话：0777-8314622</w:t>
      </w:r>
    </w:p>
    <w:p w14:paraId="616922F5">
      <w:pPr>
        <w:pageBreakBefore w:val="0"/>
        <w:widowControl/>
        <w:kinsoku/>
        <w:wordWrap/>
        <w:overflowPunct/>
        <w:topLinePunct w:val="0"/>
        <w:bidi w:val="0"/>
        <w:spacing w:line="380" w:lineRule="exact"/>
        <w:ind w:firstLine="420" w:firstLineChars="200"/>
        <w:jc w:val="left"/>
        <w:textAlignment w:val="auto"/>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5.评标说明：本项目为远程异地全流程电子评标，评标主会场地址：浦北县公共资源交易中心（总工会3楼），评标副会场设在</w:t>
      </w:r>
      <w:r>
        <w:rPr>
          <w:rFonts w:hint="eastAsia" w:ascii="宋体" w:hAnsi="宋体" w:cs="宋体"/>
          <w:color w:val="auto"/>
          <w:szCs w:val="21"/>
          <w:highlight w:val="none"/>
          <w:u w:val="single"/>
          <w:lang w:val="en-US" w:eastAsia="zh-CN" w:bidi="ar"/>
        </w:rPr>
        <w:t>南宁市青秀区柳沙路9号中装联盟设计产业园3号楼2层</w:t>
      </w:r>
      <w:r>
        <w:rPr>
          <w:rFonts w:hint="eastAsia" w:ascii="宋体" w:hAnsi="宋体" w:cs="宋体"/>
          <w:color w:val="auto"/>
          <w:szCs w:val="21"/>
          <w:highlight w:val="none"/>
          <w:lang w:val="en-US" w:eastAsia="zh-CN" w:bidi="ar"/>
        </w:rPr>
        <w:t>。</w:t>
      </w:r>
    </w:p>
    <w:p w14:paraId="7D2ADDA7">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6</w:t>
      </w:r>
      <w:r>
        <w:rPr>
          <w:rFonts w:hint="eastAsia" w:ascii="宋体" w:hAnsi="宋体" w:cs="宋体"/>
          <w:color w:val="auto"/>
          <w:szCs w:val="21"/>
          <w:highlight w:val="none"/>
          <w:lang w:val="en-US" w:eastAsia="zh-CN" w:bidi="ar"/>
        </w:rPr>
        <w:t>.</w:t>
      </w:r>
      <w:r>
        <w:rPr>
          <w:rFonts w:hint="default" w:ascii="宋体" w:hAnsi="宋体" w:cs="宋体"/>
          <w:color w:val="auto"/>
          <w:szCs w:val="21"/>
          <w:highlight w:val="none"/>
          <w:lang w:val="en-US" w:eastAsia="zh-CN" w:bidi="ar"/>
        </w:rPr>
        <w:t>投标注意事项：</w:t>
      </w:r>
    </w:p>
    <w:p w14:paraId="7AC7549B">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1）投标文件提交方式：本项目为全流程电子化政府采购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60C167CD">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（2）供应商应及时熟悉掌握电子标系统操作指南（见广西政府采购云平台电子卖场首页右上角—服务中心—帮助文档—项目采购）；及时完成CA申领和绑定（见广西政府采购网—办事服务—下载专区- CA证书办理操作指南）。</w:t>
      </w:r>
    </w:p>
    <w:p w14:paraId="6FD10A82">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原在政采云平台注册的临时供应商需在新平台重新注册登记。</w:t>
      </w:r>
    </w:p>
    <w:p w14:paraId="5FF25781">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（4）为确保网上操作合法、有效和安全，请供应商确保在电子投标过程中能够对相关数据电文进行加密和使用电子签章，妥善保管CA数字证书并使用有效的CA数字证书参与整个采购活动。</w:t>
      </w:r>
    </w:p>
    <w:p w14:paraId="383A9E3A">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7905B64">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（5）CA证书在线解密：供应商投标时，需携带制作投标文件时用来加密的有效数字证书（CA认证）登录广西政府采购云平台电子开标大厅现场按规定时间对加密的投标文件进行解密，否则后果自负。</w:t>
      </w:r>
    </w:p>
    <w:p w14:paraId="083A982E">
      <w:pPr>
        <w:pageBreakBefore w:val="0"/>
        <w:widowControl/>
        <w:kinsoku/>
        <w:wordWrap/>
        <w:overflowPunct/>
        <w:topLinePunct w:val="0"/>
        <w:bidi w:val="0"/>
        <w:spacing w:line="380" w:lineRule="exact"/>
        <w:ind w:firstLine="420" w:firstLineChars="200"/>
        <w:jc w:val="left"/>
        <w:textAlignment w:val="auto"/>
        <w:rPr>
          <w:rFonts w:hint="default" w:ascii="宋体" w:hAnsi="宋体" w:cs="宋体"/>
          <w:color w:val="auto"/>
          <w:szCs w:val="21"/>
          <w:highlight w:val="none"/>
          <w:lang w:val="en-US" w:eastAsia="zh-CN" w:bidi="ar"/>
        </w:rPr>
      </w:pPr>
      <w:r>
        <w:rPr>
          <w:rFonts w:hint="default" w:ascii="宋体" w:hAnsi="宋体" w:cs="宋体"/>
          <w:color w:val="auto"/>
          <w:szCs w:val="21"/>
          <w:highlight w:val="none"/>
          <w:lang w:val="en-US" w:eastAsia="zh-CN" w:bidi="ar"/>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57ACA397">
      <w:pPr>
        <w:pStyle w:val="3"/>
        <w:pageBreakBefore w:val="0"/>
        <w:widowControl w:val="0"/>
        <w:kinsoku/>
        <w:wordWrap/>
        <w:overflowPunct/>
        <w:topLinePunct w:val="0"/>
        <w:bidi w:val="0"/>
        <w:adjustRightInd/>
        <w:spacing w:line="380" w:lineRule="exact"/>
        <w:textAlignment w:val="auto"/>
        <w:outlineLvl w:val="0"/>
        <w:rPr>
          <w:rFonts w:hint="eastAsia" w:ascii="宋体" w:hAnsi="宋体" w:eastAsia="宋体" w:cs="宋体"/>
          <w:bCs w:val="0"/>
          <w:color w:val="auto"/>
          <w:sz w:val="21"/>
          <w:szCs w:val="21"/>
          <w:highlight w:val="none"/>
        </w:rPr>
      </w:pPr>
      <w:bookmarkStart w:id="47" w:name="_Toc23726"/>
      <w:bookmarkStart w:id="48" w:name="_Toc227"/>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0617BE51">
      <w:pPr>
        <w:pStyle w:val="3"/>
        <w:pageBreakBefore w:val="0"/>
        <w:widowControl w:val="0"/>
        <w:kinsoku/>
        <w:wordWrap/>
        <w:overflowPunct/>
        <w:topLinePunct w:val="0"/>
        <w:bidi w:val="0"/>
        <w:adjustRightInd/>
        <w:spacing w:line="380" w:lineRule="exact"/>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bookmarkStart w:id="49" w:name="_Toc35393637"/>
      <w:bookmarkStart w:id="50" w:name="_Toc35393806"/>
      <w:bookmarkStart w:id="51" w:name="_Toc28359019"/>
      <w:bookmarkStart w:id="52" w:name="_Toc28359096"/>
      <w:r>
        <w:rPr>
          <w:rFonts w:hint="eastAsia" w:asciiTheme="minorEastAsia" w:hAnsiTheme="minorEastAsia" w:eastAsiaTheme="minorEastAsia" w:cstheme="minorEastAsia"/>
          <w:b w:val="0"/>
          <w:bCs w:val="0"/>
          <w:color w:val="auto"/>
          <w:kern w:val="0"/>
          <w:sz w:val="21"/>
          <w:szCs w:val="21"/>
          <w:highlight w:val="none"/>
          <w:lang w:val="en-US" w:eastAsia="zh-CN" w:bidi="ar-SA"/>
        </w:rPr>
        <w:t>1.采购人信息</w:t>
      </w:r>
      <w:bookmarkEnd w:id="49"/>
      <w:bookmarkEnd w:id="50"/>
      <w:bookmarkEnd w:id="51"/>
      <w:bookmarkEnd w:id="52"/>
    </w:p>
    <w:p w14:paraId="468C39FC">
      <w:pPr>
        <w:pageBreakBefore w:val="0"/>
        <w:widowControl w:val="0"/>
        <w:kinsoku/>
        <w:wordWrap/>
        <w:overflowPunct/>
        <w:topLinePunct w:val="0"/>
        <w:bidi w:val="0"/>
        <w:adjustRightInd/>
        <w:spacing w:line="380" w:lineRule="exact"/>
        <w:ind w:left="1041" w:leftChars="371" w:hanging="262" w:hangingChars="125"/>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xml:space="preserve">名    称：浦北县江城街道办事处  </w:t>
      </w:r>
    </w:p>
    <w:p w14:paraId="7ABD1EDA">
      <w:pPr>
        <w:pageBreakBefore w:val="0"/>
        <w:widowControl w:val="0"/>
        <w:kinsoku/>
        <w:wordWrap/>
        <w:overflowPunct/>
        <w:topLinePunct w:val="0"/>
        <w:bidi w:val="0"/>
        <w:adjustRightInd/>
        <w:spacing w:line="380" w:lineRule="exact"/>
        <w:ind w:left="1041" w:leftChars="371" w:hanging="262" w:hangingChars="125"/>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地    址：钦州市浦北县东滨路175号  </w:t>
      </w:r>
    </w:p>
    <w:p w14:paraId="15E48685">
      <w:pPr>
        <w:pageBreakBefore w:val="0"/>
        <w:widowControl w:val="0"/>
        <w:kinsoku/>
        <w:wordWrap/>
        <w:overflowPunct/>
        <w:topLinePunct w:val="0"/>
        <w:bidi w:val="0"/>
        <w:adjustRightInd/>
        <w:spacing w:line="380" w:lineRule="exact"/>
        <w:ind w:left="1041" w:leftChars="371" w:hanging="262" w:hangingChars="125"/>
        <w:jc w:val="lef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项目联系人：符敬武</w:t>
      </w:r>
    </w:p>
    <w:p w14:paraId="0A538D69">
      <w:pPr>
        <w:pageBreakBefore w:val="0"/>
        <w:widowControl w:val="0"/>
        <w:kinsoku/>
        <w:wordWrap/>
        <w:overflowPunct/>
        <w:topLinePunct w:val="0"/>
        <w:bidi w:val="0"/>
        <w:adjustRightInd/>
        <w:spacing w:line="380" w:lineRule="exact"/>
        <w:ind w:left="1041" w:leftChars="371" w:hanging="262" w:hangingChars="125"/>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项目联系方式：0777-8310810</w:t>
      </w:r>
    </w:p>
    <w:p w14:paraId="678EAB7D">
      <w:pPr>
        <w:pStyle w:val="3"/>
        <w:pageBreakBefore w:val="0"/>
        <w:widowControl w:val="0"/>
        <w:kinsoku/>
        <w:wordWrap/>
        <w:overflowPunct/>
        <w:topLinePunct w:val="0"/>
        <w:bidi w:val="0"/>
        <w:adjustRightInd/>
        <w:spacing w:line="380" w:lineRule="exact"/>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bookmarkStart w:id="53" w:name="_Toc28359020"/>
      <w:bookmarkStart w:id="54" w:name="_Toc35393807"/>
      <w:bookmarkStart w:id="55" w:name="_Toc35393638"/>
      <w:bookmarkStart w:id="56" w:name="_Toc28359097"/>
      <w:r>
        <w:rPr>
          <w:rFonts w:hint="eastAsia" w:asciiTheme="minorEastAsia" w:hAnsiTheme="minorEastAsia" w:eastAsiaTheme="minorEastAsia" w:cstheme="minorEastAsia"/>
          <w:b w:val="0"/>
          <w:bCs w:val="0"/>
          <w:color w:val="auto"/>
          <w:kern w:val="0"/>
          <w:sz w:val="21"/>
          <w:szCs w:val="21"/>
          <w:highlight w:val="none"/>
          <w:lang w:val="en-US" w:eastAsia="zh-CN" w:bidi="ar-SA"/>
        </w:rPr>
        <w:t>2.采购代理机构信息</w:t>
      </w:r>
      <w:bookmarkEnd w:id="53"/>
      <w:bookmarkEnd w:id="54"/>
      <w:bookmarkEnd w:id="55"/>
      <w:bookmarkEnd w:id="56"/>
    </w:p>
    <w:p w14:paraId="4F8BB3A5">
      <w:pPr>
        <w:pageBreakBefore w:val="0"/>
        <w:widowControl w:val="0"/>
        <w:kinsoku/>
        <w:wordWrap/>
        <w:overflowPunct/>
        <w:topLinePunct w:val="0"/>
        <w:bidi w:val="0"/>
        <w:adjustRightInd/>
        <w:spacing w:line="380" w:lineRule="exact"/>
        <w:ind w:firstLine="840" w:firstLineChars="4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名    称：广西中佰项目管理有限公司 　</w:t>
      </w:r>
    </w:p>
    <w:p w14:paraId="7E8118C3">
      <w:pPr>
        <w:pageBreakBefore w:val="0"/>
        <w:widowControl w:val="0"/>
        <w:kinsoku/>
        <w:wordWrap/>
        <w:overflowPunct/>
        <w:topLinePunct w:val="0"/>
        <w:bidi w:val="0"/>
        <w:adjustRightInd/>
        <w:spacing w:line="380" w:lineRule="exact"/>
        <w:ind w:firstLine="840" w:firstLineChars="4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地　　址：</w:t>
      </w:r>
      <w:bookmarkStart w:id="57" w:name="_Toc35393639"/>
      <w:bookmarkStart w:id="58" w:name="_Toc28359098"/>
      <w:bookmarkStart w:id="59" w:name="_Toc35393808"/>
      <w:bookmarkStart w:id="60" w:name="_Toc28359021"/>
      <w:r>
        <w:rPr>
          <w:rFonts w:hint="eastAsia" w:asciiTheme="minorEastAsia" w:hAnsiTheme="minorEastAsia" w:eastAsiaTheme="minorEastAsia" w:cstheme="minorEastAsia"/>
          <w:b w:val="0"/>
          <w:bCs w:val="0"/>
          <w:color w:val="auto"/>
          <w:kern w:val="0"/>
          <w:sz w:val="21"/>
          <w:szCs w:val="21"/>
          <w:highlight w:val="none"/>
          <w:lang w:val="en-US" w:eastAsia="zh-CN" w:bidi="ar-SA"/>
        </w:rPr>
        <w:t>浦北县小江镇东滨路（东方丽园）9幢32号       </w:t>
      </w:r>
    </w:p>
    <w:p w14:paraId="11D93AD9">
      <w:pPr>
        <w:pStyle w:val="3"/>
        <w:pageBreakBefore w:val="0"/>
        <w:widowControl w:val="0"/>
        <w:kinsoku/>
        <w:wordWrap/>
        <w:overflowPunct/>
        <w:topLinePunct w:val="0"/>
        <w:bidi w:val="0"/>
        <w:adjustRightInd/>
        <w:spacing w:line="380" w:lineRule="exact"/>
        <w:ind w:firstLine="630" w:firstLineChars="300"/>
        <w:textAlignment w:val="auto"/>
        <w:rPr>
          <w:rFonts w:hint="default"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项目联系人：陈慧玲</w:t>
      </w:r>
      <w:r>
        <w:rPr>
          <w:rFonts w:hint="eastAsia" w:asciiTheme="minorEastAsia" w:hAnsiTheme="minorEastAsia" w:eastAsiaTheme="minorEastAsia" w:cstheme="minorEastAsia"/>
          <w:b w:val="0"/>
          <w:bCs w:val="0"/>
          <w:color w:val="auto"/>
          <w:kern w:val="0"/>
          <w:sz w:val="21"/>
          <w:szCs w:val="21"/>
          <w:highlight w:val="none"/>
          <w:lang w:val="en-US" w:eastAsia="zh-CN" w:bidi="ar-SA"/>
        </w:rPr>
        <w:tab/>
      </w:r>
    </w:p>
    <w:p w14:paraId="251D9954">
      <w:pPr>
        <w:pStyle w:val="3"/>
        <w:pageBreakBefore w:val="0"/>
        <w:widowControl w:val="0"/>
        <w:kinsoku/>
        <w:wordWrap/>
        <w:overflowPunct/>
        <w:topLinePunct w:val="0"/>
        <w:bidi w:val="0"/>
        <w:adjustRightInd/>
        <w:spacing w:line="380" w:lineRule="exact"/>
        <w:ind w:firstLine="630" w:firstLineChars="3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项目联系方式：</w:t>
      </w:r>
      <w:bookmarkEnd w:id="57"/>
      <w:bookmarkEnd w:id="58"/>
      <w:bookmarkEnd w:id="59"/>
      <w:bookmarkEnd w:id="60"/>
      <w:r>
        <w:rPr>
          <w:rFonts w:hint="eastAsia" w:asciiTheme="minorEastAsia" w:hAnsiTheme="minorEastAsia" w:eastAsiaTheme="minorEastAsia" w:cstheme="minorEastAsia"/>
          <w:b w:val="0"/>
          <w:bCs w:val="0"/>
          <w:color w:val="auto"/>
          <w:kern w:val="0"/>
          <w:sz w:val="21"/>
          <w:szCs w:val="21"/>
          <w:highlight w:val="none"/>
          <w:lang w:val="en-US" w:eastAsia="zh-CN" w:bidi="ar-SA"/>
        </w:rPr>
        <w:t>0777-8331248</w:t>
      </w:r>
    </w:p>
    <w:p w14:paraId="7703880D">
      <w:pPr>
        <w:pStyle w:val="49"/>
        <w:pageBreakBefore w:val="0"/>
        <w:numPr>
          <w:ilvl w:val="0"/>
          <w:numId w:val="0"/>
        </w:numPr>
        <w:kinsoku/>
        <w:wordWrap/>
        <w:overflowPunct/>
        <w:topLinePunct w:val="0"/>
        <w:bidi w:val="0"/>
        <w:spacing w:line="380" w:lineRule="exact"/>
        <w:textAlignment w:val="auto"/>
        <w:rPr>
          <w:rFonts w:hint="default"/>
          <w:color w:val="auto"/>
          <w:highlight w:val="none"/>
          <w:lang w:val="en-US" w:eastAsia="zh-CN"/>
        </w:rPr>
      </w:pPr>
    </w:p>
    <w:p w14:paraId="6B76861C">
      <w:pPr>
        <w:pageBreakBefore w:val="0"/>
        <w:kinsoku/>
        <w:wordWrap/>
        <w:overflowPunct/>
        <w:topLinePunct w:val="0"/>
        <w:bidi w:val="0"/>
        <w:spacing w:line="380" w:lineRule="exact"/>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p>
    <w:p w14:paraId="6652084C">
      <w:pPr>
        <w:pageBreakBefore w:val="0"/>
        <w:kinsoku/>
        <w:wordWrap/>
        <w:overflowPunct/>
        <w:topLinePunct w:val="0"/>
        <w:bidi w:val="0"/>
        <w:spacing w:line="380" w:lineRule="exact"/>
        <w:ind w:firstLine="420" w:firstLineChars="20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 xml:space="preserve">广西中佰项目管理有限公司 </w:t>
      </w:r>
    </w:p>
    <w:p w14:paraId="6E58D567">
      <w:pPr>
        <w:pStyle w:val="10"/>
        <w:pageBreakBefore w:val="0"/>
        <w:kinsoku/>
        <w:wordWrap/>
        <w:overflowPunct/>
        <w:topLinePunct w:val="0"/>
        <w:bidi w:val="0"/>
        <w:spacing w:line="380" w:lineRule="exact"/>
        <w:ind w:firstLine="6930" w:firstLineChars="3300"/>
        <w:textAlignment w:val="auto"/>
        <w:rPr>
          <w:rFonts w:hint="eastAsia" w:ascii="宋体" w:hAnsi="宋体" w:cs="宋体"/>
          <w:b/>
          <w:bCs/>
          <w:color w:val="auto"/>
          <w:spacing w:val="-14"/>
          <w:position w:val="-6"/>
          <w:sz w:val="28"/>
          <w:szCs w:val="28"/>
          <w:highlight w:val="none"/>
        </w:rPr>
      </w:pPr>
      <w:r>
        <w:rPr>
          <w:rFonts w:hint="eastAsia" w:hAnsi="宋体" w:cs="宋体"/>
          <w:color w:val="auto"/>
          <w:kern w:val="2"/>
          <w:sz w:val="21"/>
          <w:szCs w:val="24"/>
          <w:highlight w:val="none"/>
          <w:lang w:val="en-US" w:eastAsia="zh-CN" w:bidi="ar-SA"/>
        </w:rPr>
        <w:t>2026</w:t>
      </w:r>
      <w:r>
        <w:rPr>
          <w:rFonts w:hint="eastAsia" w:ascii="宋体" w:hAnsi="宋体" w:eastAsia="宋体" w:cs="宋体"/>
          <w:color w:val="auto"/>
          <w:kern w:val="2"/>
          <w:sz w:val="21"/>
          <w:szCs w:val="24"/>
          <w:highlight w:val="none"/>
          <w:lang w:val="en-US" w:eastAsia="zh-CN" w:bidi="ar-SA"/>
        </w:rPr>
        <w:t>年</w:t>
      </w:r>
      <w:r>
        <w:rPr>
          <w:rFonts w:hint="eastAsia"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月</w:t>
      </w:r>
      <w:r>
        <w:rPr>
          <w:rFonts w:hint="eastAsia" w:hAnsi="宋体" w:cs="宋体"/>
          <w:color w:val="auto"/>
          <w:kern w:val="2"/>
          <w:sz w:val="21"/>
          <w:szCs w:val="24"/>
          <w:highlight w:val="none"/>
          <w:lang w:val="en-US" w:eastAsia="zh-CN" w:bidi="ar-SA"/>
        </w:rPr>
        <w:t>23</w:t>
      </w:r>
      <w:r>
        <w:rPr>
          <w:rFonts w:hint="eastAsia" w:ascii="宋体" w:hAnsi="宋体" w:eastAsia="宋体" w:cs="宋体"/>
          <w:color w:val="auto"/>
          <w:kern w:val="2"/>
          <w:sz w:val="21"/>
          <w:szCs w:val="24"/>
          <w:highlight w:val="none"/>
          <w:lang w:val="en-US" w:eastAsia="zh-CN" w:bidi="ar-SA"/>
        </w:rPr>
        <w:t>日</w:t>
      </w:r>
    </w:p>
    <w:p w14:paraId="3F5C5019">
      <w:pPr>
        <w:pStyle w:val="49"/>
        <w:rPr>
          <w:rFonts w:hint="eastAsia" w:asciiTheme="minorEastAsia" w:hAnsiTheme="minorEastAsia" w:eastAsiaTheme="minorEastAsia" w:cstheme="minorEastAsia"/>
          <w:b w:val="0"/>
          <w:bCs w:val="0"/>
          <w:color w:val="auto"/>
          <w:kern w:val="0"/>
          <w:sz w:val="21"/>
          <w:szCs w:val="21"/>
          <w:highlight w:val="none"/>
          <w:lang w:val="en-US" w:eastAsia="zh-CN" w:bidi="ar-SA"/>
        </w:rPr>
      </w:pPr>
    </w:p>
    <w:p w14:paraId="65C616A1">
      <w:pPr>
        <w:pStyle w:val="49"/>
        <w:rPr>
          <w:rFonts w:hint="eastAsia" w:ascii="宋体" w:hAnsi="宋体" w:eastAsia="宋体" w:cs="宋体"/>
          <w:b w:val="0"/>
          <w:color w:val="auto"/>
          <w:sz w:val="21"/>
          <w:szCs w:val="21"/>
          <w:highlight w:val="none"/>
          <w:lang w:val="en-US" w:eastAsia="zh-CN"/>
        </w:rPr>
      </w:pPr>
    </w:p>
    <w:p w14:paraId="03BBFF8D">
      <w:pPr>
        <w:pStyle w:val="49"/>
        <w:rPr>
          <w:rFonts w:hint="eastAsia" w:ascii="宋体" w:hAnsi="宋体" w:eastAsia="宋体" w:cs="宋体"/>
          <w:b w:val="0"/>
          <w:color w:val="auto"/>
          <w:sz w:val="21"/>
          <w:szCs w:val="21"/>
          <w:highlight w:val="none"/>
          <w:lang w:val="en-US" w:eastAsia="zh-CN"/>
        </w:rPr>
      </w:pPr>
    </w:p>
    <w:p w14:paraId="3EE5D3F9">
      <w:pPr>
        <w:pStyle w:val="49"/>
        <w:rPr>
          <w:rFonts w:hint="eastAsia" w:ascii="宋体" w:hAnsi="宋体" w:eastAsia="宋体" w:cs="宋体"/>
          <w:b w:val="0"/>
          <w:color w:val="auto"/>
          <w:sz w:val="21"/>
          <w:szCs w:val="21"/>
          <w:highlight w:val="none"/>
          <w:lang w:val="en-US" w:eastAsia="zh-CN"/>
        </w:rPr>
      </w:pPr>
    </w:p>
    <w:p w14:paraId="2F34C0E4">
      <w:pPr>
        <w:pStyle w:val="49"/>
        <w:rPr>
          <w:rFonts w:hint="eastAsia" w:ascii="宋体" w:hAnsi="宋体" w:eastAsia="宋体" w:cs="宋体"/>
          <w:b w:val="0"/>
          <w:color w:val="auto"/>
          <w:sz w:val="21"/>
          <w:szCs w:val="21"/>
          <w:highlight w:val="none"/>
          <w:lang w:val="en-US" w:eastAsia="zh-CN"/>
        </w:rPr>
      </w:pPr>
    </w:p>
    <w:p w14:paraId="21D29DD4">
      <w:pPr>
        <w:pStyle w:val="49"/>
        <w:rPr>
          <w:rFonts w:hint="default" w:ascii="宋体" w:hAnsi="宋体" w:eastAsia="宋体" w:cs="宋体"/>
          <w:b w:val="0"/>
          <w:color w:val="auto"/>
          <w:sz w:val="21"/>
          <w:szCs w:val="21"/>
          <w:highlight w:val="none"/>
          <w:lang w:val="en-US" w:eastAsia="zh-CN"/>
        </w:rPr>
      </w:pPr>
    </w:p>
    <w:p w14:paraId="54FEDB71">
      <w:pPr>
        <w:pStyle w:val="49"/>
        <w:rPr>
          <w:rFonts w:hint="eastAsia" w:ascii="宋体" w:hAnsi="宋体"/>
          <w:color w:val="auto"/>
          <w:szCs w:val="21"/>
          <w:highlight w:val="none"/>
        </w:rPr>
      </w:pPr>
    </w:p>
    <w:p w14:paraId="3CCDFA95">
      <w:pPr>
        <w:rPr>
          <w:rFonts w:hint="eastAsia" w:ascii="宋体" w:hAnsi="宋体"/>
          <w:color w:val="auto"/>
          <w:szCs w:val="21"/>
          <w:highlight w:val="none"/>
        </w:rPr>
      </w:pPr>
      <w:r>
        <w:rPr>
          <w:rFonts w:hint="eastAsia" w:ascii="宋体" w:hAnsi="宋体"/>
          <w:color w:val="auto"/>
          <w:szCs w:val="21"/>
          <w:highlight w:val="none"/>
        </w:rPr>
        <w:br w:type="page"/>
      </w:r>
    </w:p>
    <w:p w14:paraId="3FB34D23">
      <w:pPr>
        <w:numPr>
          <w:ilvl w:val="0"/>
          <w:numId w:val="1"/>
        </w:numPr>
        <w:jc w:val="center"/>
        <w:outlineLvl w:val="0"/>
        <w:rPr>
          <w:rFonts w:ascii="宋体" w:hAnsi="宋体" w:cs="宋体"/>
          <w:b/>
          <w:bCs/>
          <w:color w:val="auto"/>
          <w:spacing w:val="-14"/>
          <w:kern w:val="0"/>
          <w:position w:val="-6"/>
          <w:sz w:val="36"/>
          <w:szCs w:val="36"/>
          <w:highlight w:val="none"/>
        </w:rPr>
      </w:pPr>
      <w:bookmarkStart w:id="61" w:name="_Toc5416"/>
      <w:r>
        <w:rPr>
          <w:rFonts w:hint="eastAsia" w:ascii="宋体" w:hAnsi="宋体" w:cs="宋体"/>
          <w:b/>
          <w:bCs/>
          <w:color w:val="auto"/>
          <w:spacing w:val="-14"/>
          <w:kern w:val="0"/>
          <w:position w:val="-6"/>
          <w:sz w:val="36"/>
          <w:szCs w:val="36"/>
          <w:highlight w:val="none"/>
          <w:lang w:eastAsia="zh-CN"/>
        </w:rPr>
        <w:t>供应商</w:t>
      </w:r>
      <w:r>
        <w:rPr>
          <w:rFonts w:hint="eastAsia" w:ascii="宋体" w:hAnsi="宋体" w:cs="宋体"/>
          <w:b/>
          <w:bCs/>
          <w:color w:val="auto"/>
          <w:spacing w:val="-14"/>
          <w:kern w:val="0"/>
          <w:position w:val="-6"/>
          <w:sz w:val="36"/>
          <w:szCs w:val="36"/>
          <w:highlight w:val="none"/>
        </w:rPr>
        <w:t>须知前附表</w:t>
      </w:r>
      <w:bookmarkEnd w:id="61"/>
    </w:p>
    <w:bookmarkEnd w:id="2"/>
    <w:tbl>
      <w:tblPr>
        <w:tblStyle w:val="30"/>
        <w:tblpPr w:leftFromText="180" w:rightFromText="180" w:vertAnchor="text" w:horzAnchor="page" w:tblpX="1215" w:tblpY="30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92"/>
        <w:gridCol w:w="7164"/>
      </w:tblGrid>
      <w:tr w14:paraId="1F0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31A7F970">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992" w:type="dxa"/>
            <w:tcBorders>
              <w:top w:val="single" w:color="auto" w:sz="4" w:space="0"/>
              <w:left w:val="single" w:color="auto" w:sz="4" w:space="0"/>
              <w:bottom w:val="single" w:color="auto" w:sz="4" w:space="0"/>
              <w:right w:val="single" w:color="auto" w:sz="4" w:space="0"/>
            </w:tcBorders>
            <w:vAlign w:val="center"/>
          </w:tcPr>
          <w:p w14:paraId="1E20FA4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条款名称</w:t>
            </w:r>
          </w:p>
        </w:tc>
        <w:tc>
          <w:tcPr>
            <w:tcW w:w="7164" w:type="dxa"/>
            <w:tcBorders>
              <w:top w:val="single" w:color="auto" w:sz="4" w:space="0"/>
              <w:left w:val="single" w:color="auto" w:sz="4" w:space="0"/>
              <w:bottom w:val="single" w:color="auto" w:sz="4" w:space="0"/>
              <w:right w:val="single" w:color="auto" w:sz="4" w:space="0"/>
            </w:tcBorders>
            <w:vAlign w:val="center"/>
          </w:tcPr>
          <w:p w14:paraId="1299D164">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内容</w:t>
            </w:r>
          </w:p>
        </w:tc>
      </w:tr>
      <w:tr w14:paraId="7004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F4F45D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992" w:type="dxa"/>
            <w:tcBorders>
              <w:top w:val="single" w:color="auto" w:sz="4" w:space="0"/>
              <w:left w:val="single" w:color="auto" w:sz="4" w:space="0"/>
              <w:bottom w:val="single" w:color="auto" w:sz="4" w:space="0"/>
              <w:right w:val="single" w:color="auto" w:sz="4" w:space="0"/>
            </w:tcBorders>
            <w:vAlign w:val="center"/>
          </w:tcPr>
          <w:p w14:paraId="01785172">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项目名称和编号</w:t>
            </w:r>
          </w:p>
        </w:tc>
        <w:tc>
          <w:tcPr>
            <w:tcW w:w="7164" w:type="dxa"/>
            <w:tcBorders>
              <w:top w:val="single" w:color="auto" w:sz="4" w:space="0"/>
              <w:left w:val="single" w:color="auto" w:sz="4" w:space="0"/>
              <w:bottom w:val="single" w:color="auto" w:sz="4" w:space="0"/>
              <w:right w:val="single" w:color="auto" w:sz="4" w:space="0"/>
            </w:tcBorders>
            <w:vAlign w:val="center"/>
          </w:tcPr>
          <w:p w14:paraId="1777B5AD">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世彪药业北向地块土方平整</w:t>
            </w:r>
          </w:p>
          <w:p w14:paraId="6A7BFD26">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编号：</w:t>
            </w:r>
            <w:r>
              <w:rPr>
                <w:rFonts w:hint="eastAsia" w:ascii="宋体" w:hAnsi="宋体" w:cs="宋体"/>
                <w:color w:val="auto"/>
                <w:szCs w:val="21"/>
                <w:highlight w:val="none"/>
                <w:lang w:eastAsia="zh-CN"/>
              </w:rPr>
              <w:t>QZZC2026-C2-220025-GXZB</w:t>
            </w:r>
          </w:p>
        </w:tc>
      </w:tr>
      <w:tr w14:paraId="162B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B7082A5">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992" w:type="dxa"/>
            <w:tcBorders>
              <w:top w:val="single" w:color="auto" w:sz="4" w:space="0"/>
              <w:left w:val="single" w:color="auto" w:sz="4" w:space="0"/>
              <w:bottom w:val="single" w:color="auto" w:sz="4" w:space="0"/>
              <w:right w:val="single" w:color="auto" w:sz="4" w:space="0"/>
            </w:tcBorders>
            <w:vAlign w:val="center"/>
          </w:tcPr>
          <w:p w14:paraId="18CEC3B9">
            <w:pPr>
              <w:pStyle w:val="13"/>
              <w:keepNext w:val="0"/>
              <w:keepLines w:val="0"/>
              <w:pageBreakBefore w:val="0"/>
              <w:widowControl w:val="0"/>
              <w:kinsoku/>
              <w:wordWrap/>
              <w:overflowPunct/>
              <w:topLinePunct w:val="0"/>
              <w:autoSpaceDE/>
              <w:autoSpaceDN/>
              <w:bidi w:val="0"/>
              <w:adjustRightInd/>
              <w:spacing w:line="380" w:lineRule="exact"/>
              <w:jc w:val="center"/>
              <w:textAlignment w:val="auto"/>
              <w:rPr>
                <w:rFonts w:hAnsi="宋体" w:cs="宋体"/>
                <w:color w:val="auto"/>
                <w:highlight w:val="none"/>
              </w:rPr>
            </w:pPr>
            <w:r>
              <w:rPr>
                <w:rFonts w:hint="eastAsia"/>
                <w:color w:val="auto"/>
                <w:highlight w:val="none"/>
                <w:lang w:eastAsia="zh-CN"/>
              </w:rPr>
              <w:t>供应商</w:t>
            </w:r>
            <w:r>
              <w:rPr>
                <w:rFonts w:hint="eastAsia"/>
                <w:color w:val="auto"/>
                <w:highlight w:val="none"/>
              </w:rPr>
              <w:t>资格</w:t>
            </w:r>
          </w:p>
        </w:tc>
        <w:tc>
          <w:tcPr>
            <w:tcW w:w="7164" w:type="dxa"/>
            <w:tcBorders>
              <w:top w:val="single" w:color="auto" w:sz="4" w:space="0"/>
              <w:left w:val="single" w:color="auto" w:sz="4" w:space="0"/>
              <w:bottom w:val="single" w:color="auto" w:sz="4" w:space="0"/>
              <w:right w:val="single" w:color="auto" w:sz="4" w:space="0"/>
            </w:tcBorders>
            <w:vAlign w:val="center"/>
          </w:tcPr>
          <w:p w14:paraId="77C1BB67">
            <w:pPr>
              <w:keepNext w:val="0"/>
              <w:keepLines w:val="0"/>
              <w:pageBreakBefore w:val="0"/>
              <w:widowControl w:val="0"/>
              <w:kinsoku/>
              <w:wordWrap/>
              <w:overflowPunct/>
              <w:topLinePunct w:val="0"/>
              <w:autoSpaceDE/>
              <w:autoSpaceDN/>
              <w:bidi w:val="0"/>
              <w:adjustRightInd/>
              <w:spacing w:line="380" w:lineRule="exact"/>
              <w:jc w:val="left"/>
              <w:textAlignment w:val="auto"/>
              <w:rPr>
                <w:color w:val="auto"/>
                <w:highlight w:val="none"/>
              </w:rPr>
            </w:pPr>
            <w:bookmarkStart w:id="62" w:name="OLE_LINK8"/>
            <w:r>
              <w:rPr>
                <w:rFonts w:hint="eastAsia"/>
                <w:color w:val="auto"/>
                <w:highlight w:val="none"/>
                <w:lang w:eastAsia="zh-CN"/>
              </w:rPr>
              <w:t>供应商</w:t>
            </w:r>
            <w:r>
              <w:rPr>
                <w:rFonts w:hint="eastAsia"/>
                <w:color w:val="auto"/>
                <w:highlight w:val="none"/>
              </w:rPr>
              <w:t>资格</w:t>
            </w:r>
            <w:r>
              <w:rPr>
                <w:rFonts w:hint="eastAsia"/>
                <w:color w:val="auto"/>
                <w:highlight w:val="none"/>
                <w:lang w:eastAsia="zh-CN"/>
              </w:rPr>
              <w:t>要求</w:t>
            </w:r>
            <w:r>
              <w:rPr>
                <w:rFonts w:hint="eastAsia"/>
                <w:color w:val="auto"/>
                <w:highlight w:val="none"/>
              </w:rPr>
              <w:t>：</w:t>
            </w:r>
          </w:p>
          <w:bookmarkEnd w:id="62"/>
          <w:p w14:paraId="746707C4">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60FEFFE3">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本项目属于专门面向中小微企业采购的项目，供应商须为中小微企业（监狱企业、残疾人福利性单位视同小型、微型企业）。</w:t>
            </w:r>
          </w:p>
          <w:p w14:paraId="07FE6E3F">
            <w:pPr>
              <w:pStyle w:val="10"/>
              <w:keepNext w:val="0"/>
              <w:keepLines w:val="0"/>
              <w:pageBreakBefore w:val="0"/>
              <w:widowControl w:val="0"/>
              <w:kinsoku/>
              <w:wordWrap/>
              <w:overflowPunct/>
              <w:topLinePunct w:val="0"/>
              <w:autoSpaceDE/>
              <w:autoSpaceDN/>
              <w:bidi w:val="0"/>
              <w:adjustRightInd/>
              <w:spacing w:after="0"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rPr>
              <w:t>3.本项目的特定资格要求：</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）竞标人须具备</w:t>
            </w:r>
            <w:r>
              <w:rPr>
                <w:rFonts w:hint="eastAsia" w:hAnsi="宋体" w:cs="宋体"/>
                <w:color w:val="auto"/>
                <w:sz w:val="21"/>
                <w:szCs w:val="21"/>
                <w:highlight w:val="none"/>
                <w:lang w:val="en-US" w:eastAsia="zh-CN"/>
              </w:rPr>
              <w:t>市政公用工程</w:t>
            </w:r>
            <w:r>
              <w:rPr>
                <w:rFonts w:hint="eastAsia" w:hAnsi="宋体" w:cs="宋体"/>
                <w:color w:val="auto"/>
                <w:sz w:val="21"/>
                <w:szCs w:val="21"/>
                <w:highlight w:val="none"/>
                <w:lang w:eastAsia="zh-CN"/>
              </w:rPr>
              <w:t>总承包三级（含三级）以上资质以及有效的安全生产许可证，在人员、设备、资金等方面具备相应的施工能力</w:t>
            </w:r>
            <w:r>
              <w:rPr>
                <w:rFonts w:hint="eastAsia" w:hAnsi="宋体" w:cs="宋体"/>
                <w:color w:val="auto"/>
                <w:sz w:val="21"/>
                <w:szCs w:val="21"/>
                <w:highlight w:val="none"/>
                <w:lang w:val="en-US" w:eastAsia="zh-CN"/>
              </w:rPr>
              <w:t>。</w:t>
            </w:r>
            <w:r>
              <w:rPr>
                <w:rFonts w:hint="eastAsia" w:hAnsi="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lang w:val="en-US" w:eastAsia="zh-CN"/>
              </w:rPr>
              <w:t>拟投入本工程的项目经理必须</w:t>
            </w:r>
            <w:r>
              <w:rPr>
                <w:rFonts w:hint="eastAsia" w:asciiTheme="minorEastAsia" w:hAnsiTheme="minorEastAsia" w:eastAsiaTheme="minorEastAsia" w:cstheme="minorEastAsia"/>
                <w:color w:val="auto"/>
                <w:sz w:val="21"/>
                <w:szCs w:val="21"/>
                <w:highlight w:val="none"/>
                <w:lang w:eastAsia="zh-CN"/>
              </w:rPr>
              <w:t>具备市政公用工程专业二级（含二级）以上注册建造师执业资格，且具备有效的安全生产考核合格证书（B类）</w:t>
            </w:r>
            <w:r>
              <w:rPr>
                <w:rFonts w:hint="eastAsia" w:ascii="宋体" w:hAnsi="宋体" w:eastAsia="宋体" w:cs="宋体"/>
                <w:color w:val="auto"/>
                <w:sz w:val="21"/>
                <w:szCs w:val="21"/>
                <w:highlight w:val="none"/>
                <w:lang w:val="en-US" w:eastAsia="zh-CN"/>
              </w:rPr>
              <w:t>。本项目不接受有在建、已中标未开工或已列为其他项目中标候选人第一名的建造师作为项目经理（符合《广西壮族自治区建筑市场诚信卡管理暂行办法》第十六条第一款及桂建管﹝2016﹞70号、桂建管〔2020〕11号文除外）</w:t>
            </w:r>
          </w:p>
          <w:p w14:paraId="36E27EE4">
            <w:pPr>
              <w:keepNext w:val="0"/>
              <w:keepLines w:val="0"/>
              <w:pageBreakBefore w:val="0"/>
              <w:widowControl w:val="0"/>
              <w:kinsoku/>
              <w:wordWrap/>
              <w:overflowPunct/>
              <w:topLinePunct w:val="0"/>
              <w:bidi w:val="0"/>
              <w:adjustRightInd/>
              <w:spacing w:line="380" w:lineRule="exact"/>
              <w:rPr>
                <w:rFonts w:ascii="宋体" w:hAns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B2BD276">
            <w:pPr>
              <w:keepNext w:val="0"/>
              <w:keepLines w:val="0"/>
              <w:pageBreakBefore w:val="0"/>
              <w:widowControl w:val="0"/>
              <w:kinsoku/>
              <w:wordWrap/>
              <w:overflowPunct/>
              <w:topLinePunct w:val="0"/>
              <w:bidi w:val="0"/>
              <w:adjustRightInd/>
              <w:spacing w:line="38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单位负责人为同</w:t>
            </w:r>
            <w:r>
              <w:rPr>
                <w:rFonts w:hint="eastAsia" w:ascii="宋体" w:hAnsi="宋体" w:eastAsia="宋体" w:cs="宋体"/>
                <w:color w:val="auto"/>
                <w:szCs w:val="21"/>
                <w:highlight w:val="none"/>
              </w:rPr>
              <w:t>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8A2EE6">
            <w:pPr>
              <w:keepNext w:val="0"/>
              <w:keepLines w:val="0"/>
              <w:pageBreakBefore w:val="0"/>
              <w:widowControl w:val="0"/>
              <w:kinsoku/>
              <w:wordWrap/>
              <w:overflowPunct/>
              <w:topLinePunct w:val="0"/>
              <w:bidi w:val="0"/>
              <w:adjustRightInd/>
              <w:spacing w:line="3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168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1FFACAE2">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1992" w:type="dxa"/>
            <w:tcBorders>
              <w:top w:val="single" w:color="auto" w:sz="4" w:space="0"/>
              <w:left w:val="single" w:color="auto" w:sz="4" w:space="0"/>
              <w:bottom w:val="single" w:color="auto" w:sz="4" w:space="0"/>
              <w:right w:val="single" w:color="auto" w:sz="4" w:space="0"/>
            </w:tcBorders>
            <w:vAlign w:val="center"/>
          </w:tcPr>
          <w:p w14:paraId="7ACE6590">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lang w:eastAsia="zh-CN"/>
              </w:rPr>
              <w:t>竞标</w:t>
            </w:r>
            <w:r>
              <w:rPr>
                <w:rFonts w:hint="eastAsia" w:ascii="宋体" w:hAnsi="宋体" w:cs="宋体"/>
                <w:color w:val="auto"/>
                <w:szCs w:val="21"/>
                <w:highlight w:val="none"/>
              </w:rPr>
              <w:t>报价</w:t>
            </w:r>
          </w:p>
        </w:tc>
        <w:tc>
          <w:tcPr>
            <w:tcW w:w="7164" w:type="dxa"/>
            <w:tcBorders>
              <w:top w:val="single" w:color="auto" w:sz="4" w:space="0"/>
              <w:left w:val="single" w:color="auto" w:sz="4" w:space="0"/>
              <w:bottom w:val="single" w:color="auto" w:sz="4" w:space="0"/>
              <w:right w:val="single" w:color="auto" w:sz="4" w:space="0"/>
            </w:tcBorders>
            <w:vAlign w:val="center"/>
          </w:tcPr>
          <w:p w14:paraId="1501690E">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竞标</w:t>
            </w:r>
            <w:r>
              <w:rPr>
                <w:rFonts w:hint="eastAsia" w:ascii="宋体" w:hAnsi="宋体" w:cs="宋体"/>
                <w:color w:val="auto"/>
                <w:highlight w:val="none"/>
                <w:lang w:eastAsia="zh-CN"/>
              </w:rPr>
              <w:t>报价：</w:t>
            </w:r>
          </w:p>
          <w:p w14:paraId="0175467A">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1.供应商必须就所投项目的全部内容作完整唯一报价，漏项报价的或有选择的或有条件的报价，其磋商将视为无效。</w:t>
            </w:r>
          </w:p>
          <w:p w14:paraId="6A52E048">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 xml:space="preserve">磋商报价为二次报价，第二次报价为最后报价。                            </w:t>
            </w:r>
          </w:p>
          <w:p w14:paraId="28227497">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ascii="宋体" w:hAnsi="宋体" w:cs="宋体"/>
                <w:color w:val="auto"/>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45EA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6FC24321">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1992" w:type="dxa"/>
            <w:tcBorders>
              <w:top w:val="single" w:color="auto" w:sz="4" w:space="0"/>
              <w:left w:val="single" w:color="auto" w:sz="4" w:space="0"/>
              <w:bottom w:val="single" w:color="auto" w:sz="4" w:space="0"/>
              <w:right w:val="single" w:color="auto" w:sz="4" w:space="0"/>
            </w:tcBorders>
            <w:vAlign w:val="center"/>
          </w:tcPr>
          <w:p w14:paraId="3B6140EA">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164" w:type="dxa"/>
            <w:tcBorders>
              <w:top w:val="single" w:color="auto" w:sz="4" w:space="0"/>
              <w:left w:val="single" w:color="auto" w:sz="4" w:space="0"/>
              <w:bottom w:val="single" w:color="auto" w:sz="4" w:space="0"/>
              <w:right w:val="single" w:color="auto" w:sz="4" w:space="0"/>
            </w:tcBorders>
            <w:vAlign w:val="center"/>
          </w:tcPr>
          <w:p w14:paraId="23946A57">
            <w:pPr>
              <w:keepNext w:val="0"/>
              <w:keepLines w:val="0"/>
              <w:pageBreakBefore w:val="0"/>
              <w:widowControl w:val="0"/>
              <w:kinsoku/>
              <w:wordWrap/>
              <w:overflowPunct/>
              <w:topLinePunct w:val="0"/>
              <w:autoSpaceDE/>
              <w:autoSpaceDN/>
              <w:bidi w:val="0"/>
              <w:adjustRightInd/>
              <w:snapToGrid w:val="0"/>
              <w:spacing w:line="380" w:lineRule="exact"/>
              <w:ind w:lef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9D876FD">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w:t>
            </w:r>
            <w:r>
              <w:rPr>
                <w:rFonts w:hint="eastAsia" w:ascii="宋体" w:hAnsi="宋体" w:cs="Courier New"/>
                <w:color w:val="auto"/>
                <w:szCs w:val="21"/>
                <w:highlight w:val="none"/>
                <w:lang w:eastAsia="zh-CN"/>
              </w:rPr>
              <w:t>递交</w:t>
            </w:r>
            <w:r>
              <w:rPr>
                <w:rFonts w:hint="eastAsia" w:ascii="宋体" w:hAnsi="宋体" w:cs="Courier New"/>
                <w:color w:val="auto"/>
                <w:szCs w:val="21"/>
                <w:highlight w:val="none"/>
              </w:rPr>
              <w:t>。</w:t>
            </w:r>
          </w:p>
        </w:tc>
      </w:tr>
      <w:tr w14:paraId="2507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ED4671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3A641065">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164" w:type="dxa"/>
            <w:tcBorders>
              <w:top w:val="single" w:color="auto" w:sz="4" w:space="0"/>
              <w:left w:val="single" w:color="auto" w:sz="4" w:space="0"/>
              <w:bottom w:val="single" w:color="auto" w:sz="4" w:space="0"/>
              <w:right w:val="single" w:color="auto" w:sz="4" w:space="0"/>
            </w:tcBorders>
            <w:vAlign w:val="center"/>
          </w:tcPr>
          <w:p w14:paraId="7D450C59">
            <w:pPr>
              <w:pStyle w:val="9"/>
              <w:keepNext w:val="0"/>
              <w:keepLines w:val="0"/>
              <w:pageBreakBefore w:val="0"/>
              <w:widowControl w:val="0"/>
              <w:kinsoku/>
              <w:wordWrap/>
              <w:overflowPunct/>
              <w:topLinePunct w:val="0"/>
              <w:autoSpaceDE/>
              <w:autoSpaceDN/>
              <w:bidi w:val="0"/>
              <w:adjustRightInd/>
              <w:spacing w:line="380" w:lineRule="exact"/>
              <w:ind w:left="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本项目不接受</w:t>
            </w:r>
            <w:r>
              <w:rPr>
                <w:color w:val="auto"/>
                <w:spacing w:val="-3"/>
                <w:sz w:val="21"/>
                <w:highlight w:val="none"/>
              </w:rPr>
              <w:t>电子备份响应文件</w:t>
            </w:r>
            <w:r>
              <w:rPr>
                <w:rFonts w:hint="eastAsia"/>
                <w:color w:val="auto"/>
                <w:spacing w:val="-3"/>
                <w:sz w:val="21"/>
                <w:highlight w:val="none"/>
                <w:lang w:eastAsia="zh-CN"/>
              </w:rPr>
              <w:t>。</w:t>
            </w:r>
          </w:p>
          <w:p w14:paraId="7F0E143C">
            <w:pPr>
              <w:pStyle w:val="9"/>
              <w:keepNext w:val="0"/>
              <w:keepLines w:val="0"/>
              <w:pageBreakBefore w:val="0"/>
              <w:widowControl w:val="0"/>
              <w:kinsoku/>
              <w:wordWrap/>
              <w:overflowPunct/>
              <w:topLinePunct w:val="0"/>
              <w:autoSpaceDE/>
              <w:autoSpaceDN/>
              <w:bidi w:val="0"/>
              <w:adjustRightInd/>
              <w:spacing w:line="380" w:lineRule="exact"/>
              <w:ind w:left="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本项目接受</w:t>
            </w:r>
            <w:r>
              <w:rPr>
                <w:color w:val="auto"/>
                <w:spacing w:val="-3"/>
                <w:sz w:val="21"/>
                <w:highlight w:val="none"/>
              </w:rPr>
              <w:t>电子备份响应文件</w:t>
            </w:r>
            <w:r>
              <w:rPr>
                <w:rFonts w:hint="eastAsia" w:ascii="宋体" w:hAnsi="宋体"/>
                <w:color w:val="auto"/>
                <w:szCs w:val="21"/>
                <w:highlight w:val="none"/>
                <w:lang w:eastAsia="zh-CN"/>
              </w:rPr>
              <w:t>。</w:t>
            </w:r>
          </w:p>
          <w:p w14:paraId="53E4BB14">
            <w:pPr>
              <w:pStyle w:val="9"/>
              <w:keepNext w:val="0"/>
              <w:keepLines w:val="0"/>
              <w:pageBreakBefore w:val="0"/>
              <w:widowControl w:val="0"/>
              <w:kinsoku/>
              <w:wordWrap/>
              <w:overflowPunct/>
              <w:topLinePunct w:val="0"/>
              <w:autoSpaceDE/>
              <w:autoSpaceDN/>
              <w:bidi w:val="0"/>
              <w:adjustRightInd/>
              <w:spacing w:line="380" w:lineRule="exact"/>
              <w:ind w:left="0"/>
              <w:textAlignment w:val="auto"/>
              <w:rPr>
                <w:color w:val="auto"/>
                <w:spacing w:val="-3"/>
                <w:sz w:val="21"/>
                <w:highlight w:val="none"/>
              </w:rPr>
            </w:pPr>
            <w:r>
              <w:rPr>
                <w:color w:val="auto"/>
                <w:spacing w:val="-3"/>
                <w:sz w:val="21"/>
                <w:highlight w:val="none"/>
              </w:rPr>
              <w:t>供应商</w:t>
            </w:r>
            <w:r>
              <w:rPr>
                <w:rFonts w:hint="eastAsia"/>
                <w:color w:val="auto"/>
                <w:spacing w:val="-3"/>
                <w:sz w:val="21"/>
                <w:highlight w:val="none"/>
                <w:lang w:eastAsia="zh-CN"/>
              </w:rPr>
              <w:t>可根据自身情况自行准备</w:t>
            </w:r>
            <w:r>
              <w:rPr>
                <w:color w:val="auto"/>
                <w:spacing w:val="-3"/>
                <w:sz w:val="21"/>
                <w:highlight w:val="none"/>
              </w:rPr>
              <w:t xml:space="preserve">电子备份响应文件： </w:t>
            </w:r>
          </w:p>
          <w:p w14:paraId="59D25B70">
            <w:pPr>
              <w:pStyle w:val="9"/>
              <w:keepNext w:val="0"/>
              <w:keepLines w:val="0"/>
              <w:pageBreakBefore w:val="0"/>
              <w:widowControl w:val="0"/>
              <w:numPr>
                <w:ilvl w:val="0"/>
                <w:numId w:val="2"/>
              </w:numPr>
              <w:kinsoku/>
              <w:wordWrap/>
              <w:overflowPunct/>
              <w:topLinePunct w:val="0"/>
              <w:autoSpaceDE/>
              <w:autoSpaceDN/>
              <w:bidi w:val="0"/>
              <w:adjustRightInd/>
              <w:spacing w:line="380" w:lineRule="exact"/>
              <w:ind w:left="0"/>
              <w:textAlignment w:val="auto"/>
              <w:rPr>
                <w:rFonts w:ascii="Times New Roman" w:hAnsi="Times New Roman" w:eastAsia="宋体" w:cs="Times New Roman"/>
                <w:color w:val="auto"/>
                <w:spacing w:val="-3"/>
                <w:sz w:val="21"/>
                <w:highlight w:val="none"/>
              </w:rPr>
            </w:pPr>
            <w:r>
              <w:rPr>
                <w:color w:val="auto"/>
                <w:spacing w:val="-3"/>
                <w:sz w:val="21"/>
                <w:highlight w:val="none"/>
              </w:rPr>
              <w:t>电子备份响应文件</w:t>
            </w:r>
            <w:r>
              <w:rPr>
                <w:color w:val="auto"/>
                <w:spacing w:val="-7"/>
                <w:sz w:val="21"/>
                <w:highlight w:val="none"/>
              </w:rPr>
              <w:t>以</w:t>
            </w:r>
            <w:r>
              <w:rPr>
                <w:rFonts w:hint="eastAsia"/>
                <w:color w:val="auto"/>
                <w:spacing w:val="-7"/>
                <w:sz w:val="21"/>
                <w:highlight w:val="none"/>
                <w:lang w:eastAsia="zh-CN"/>
              </w:rPr>
              <w:t>邮件</w:t>
            </w:r>
            <w:r>
              <w:rPr>
                <w:color w:val="auto"/>
                <w:spacing w:val="-10"/>
                <w:sz w:val="21"/>
                <w:highlight w:val="none"/>
              </w:rPr>
              <w:t>形式提供。数量</w:t>
            </w:r>
            <w:r>
              <w:rPr>
                <w:rFonts w:ascii="Times New Roman" w:hAnsi="Times New Roman" w:eastAsia="宋体" w:cs="Times New Roman"/>
                <w:color w:val="auto"/>
                <w:spacing w:val="-3"/>
                <w:sz w:val="21"/>
                <w:highlight w:val="none"/>
              </w:rPr>
              <w:t>为1份。</w:t>
            </w:r>
          </w:p>
          <w:p w14:paraId="6E7A95B8">
            <w:pPr>
              <w:pStyle w:val="9"/>
              <w:keepNext w:val="0"/>
              <w:keepLines w:val="0"/>
              <w:pageBreakBefore w:val="0"/>
              <w:widowControl w:val="0"/>
              <w:numPr>
                <w:ilvl w:val="0"/>
                <w:numId w:val="2"/>
              </w:numPr>
              <w:kinsoku/>
              <w:wordWrap/>
              <w:overflowPunct/>
              <w:topLinePunct w:val="0"/>
              <w:autoSpaceDE/>
              <w:autoSpaceDN/>
              <w:bidi w:val="0"/>
              <w:adjustRightInd/>
              <w:spacing w:line="380" w:lineRule="exact"/>
              <w:ind w:left="0"/>
              <w:textAlignment w:val="auto"/>
              <w:rPr>
                <w:rFonts w:hint="eastAsia" w:cs="Times New Roman"/>
                <w:color w:val="auto"/>
                <w:spacing w:val="-3"/>
                <w:sz w:val="21"/>
                <w:highlight w:val="none"/>
                <w:lang w:eastAsia="zh-CN"/>
              </w:rPr>
            </w:pPr>
            <w:r>
              <w:rPr>
                <w:rFonts w:hint="eastAsia" w:cs="Times New Roman"/>
                <w:color w:val="auto"/>
                <w:spacing w:val="-3"/>
                <w:sz w:val="21"/>
                <w:highlight w:val="none"/>
                <w:lang w:eastAsia="zh-CN"/>
              </w:rPr>
              <w:t>电子备份响应文件接收邮箱：</w:t>
            </w:r>
            <w:r>
              <w:rPr>
                <w:rFonts w:hint="eastAsia" w:cs="Times New Roman"/>
                <w:color w:val="auto"/>
                <w:spacing w:val="-3"/>
                <w:sz w:val="21"/>
                <w:highlight w:val="none"/>
                <w:lang w:val="en-US" w:eastAsia="zh-CN"/>
              </w:rPr>
              <w:t xml:space="preserve"> </w:t>
            </w:r>
          </w:p>
          <w:p w14:paraId="6DC5D0AF">
            <w:pPr>
              <w:pStyle w:val="9"/>
              <w:keepNext w:val="0"/>
              <w:keepLines w:val="0"/>
              <w:pageBreakBefore w:val="0"/>
              <w:widowControl w:val="0"/>
              <w:kinsoku/>
              <w:wordWrap/>
              <w:overflowPunct/>
              <w:topLinePunct w:val="0"/>
              <w:autoSpaceDE/>
              <w:autoSpaceDN/>
              <w:bidi w:val="0"/>
              <w:adjustRightInd/>
              <w:spacing w:line="380" w:lineRule="exact"/>
              <w:ind w:left="0"/>
              <w:textAlignment w:val="auto"/>
              <w:rPr>
                <w:rFonts w:hint="eastAsia" w:ascii="Times New Roman" w:hAnsi="Times New Roman" w:eastAsia="宋体" w:cs="Times New Roman"/>
                <w:b w:val="0"/>
                <w:bCs w:val="0"/>
                <w:color w:val="auto"/>
                <w:spacing w:val="-3"/>
                <w:sz w:val="21"/>
                <w:highlight w:val="none"/>
                <w:lang w:eastAsia="zh-CN"/>
              </w:rPr>
            </w:pPr>
            <w:r>
              <w:rPr>
                <w:rFonts w:hint="eastAsia" w:ascii="Times New Roman" w:hAnsi="Times New Roman" w:eastAsia="宋体" w:cs="Times New Roman"/>
                <w:b w:val="0"/>
                <w:bCs w:val="0"/>
                <w:color w:val="auto"/>
                <w:spacing w:val="-3"/>
                <w:sz w:val="21"/>
                <w:highlight w:val="none"/>
                <w:lang w:eastAsia="zh-CN"/>
              </w:rPr>
              <w:t>（</w:t>
            </w:r>
            <w:r>
              <w:rPr>
                <w:rFonts w:hint="eastAsia" w:cs="Times New Roman"/>
                <w:b w:val="0"/>
                <w:bCs w:val="0"/>
                <w:color w:val="auto"/>
                <w:spacing w:val="-3"/>
                <w:sz w:val="21"/>
                <w:highlight w:val="none"/>
                <w:lang w:val="en-US" w:eastAsia="zh-CN"/>
              </w:rPr>
              <w:t>3</w:t>
            </w:r>
            <w:r>
              <w:rPr>
                <w:rFonts w:hint="eastAsia" w:ascii="Times New Roman" w:hAnsi="Times New Roman" w:eastAsia="宋体" w:cs="Times New Roman"/>
                <w:b w:val="0"/>
                <w:bCs w:val="0"/>
                <w:color w:val="auto"/>
                <w:spacing w:val="-3"/>
                <w:sz w:val="21"/>
                <w:highlight w:val="none"/>
                <w:lang w:eastAsia="zh-CN"/>
              </w:rPr>
              <w:t>）</w:t>
            </w:r>
            <w:r>
              <w:rPr>
                <w:rFonts w:hint="eastAsia" w:cs="Times New Roman"/>
                <w:color w:val="auto"/>
                <w:spacing w:val="-3"/>
                <w:sz w:val="21"/>
                <w:highlight w:val="none"/>
                <w:lang w:eastAsia="zh-CN"/>
              </w:rPr>
              <w:t>电子备份响应文件</w:t>
            </w:r>
            <w:r>
              <w:rPr>
                <w:rFonts w:hint="eastAsia" w:cs="Times New Roman"/>
                <w:b w:val="0"/>
                <w:bCs w:val="0"/>
                <w:color w:val="auto"/>
                <w:spacing w:val="-3"/>
                <w:sz w:val="21"/>
                <w:highlight w:val="none"/>
                <w:lang w:eastAsia="zh-CN"/>
              </w:rPr>
              <w:t>提交截止</w:t>
            </w:r>
            <w:r>
              <w:rPr>
                <w:rFonts w:hint="eastAsia" w:ascii="Times New Roman" w:hAnsi="Times New Roman" w:eastAsia="宋体" w:cs="Times New Roman"/>
                <w:b w:val="0"/>
                <w:bCs w:val="0"/>
                <w:color w:val="auto"/>
                <w:spacing w:val="-3"/>
                <w:sz w:val="21"/>
                <w:highlight w:val="none"/>
                <w:lang w:eastAsia="zh-CN"/>
              </w:rPr>
              <w:t>时间：</w:t>
            </w:r>
            <w:r>
              <w:rPr>
                <w:rFonts w:hint="eastAsia" w:cs="Times New Roman"/>
                <w:b w:val="0"/>
                <w:bCs w:val="0"/>
                <w:color w:val="auto"/>
                <w:spacing w:val="-3"/>
                <w:sz w:val="21"/>
                <w:highlight w:val="none"/>
                <w:lang w:eastAsia="zh-CN"/>
              </w:rPr>
              <w:t>与</w:t>
            </w:r>
            <w:r>
              <w:rPr>
                <w:rFonts w:hint="eastAsia" w:ascii="宋体" w:hAnsi="宋体" w:eastAsia="宋体" w:cs="宋体"/>
                <w:bCs w:val="0"/>
                <w:color w:val="auto"/>
                <w:sz w:val="21"/>
                <w:szCs w:val="21"/>
                <w:highlight w:val="none"/>
              </w:rPr>
              <w:t>响应文件提交</w:t>
            </w:r>
            <w:r>
              <w:rPr>
                <w:rFonts w:hint="eastAsia" w:ascii="宋体" w:hAnsi="宋体" w:eastAsia="宋体" w:cs="宋体"/>
                <w:bCs w:val="0"/>
                <w:color w:val="auto"/>
                <w:sz w:val="21"/>
                <w:szCs w:val="21"/>
                <w:highlight w:val="none"/>
                <w:lang w:eastAsia="zh-CN"/>
              </w:rPr>
              <w:t>截止时间一致，逾期提交的不予受理。</w:t>
            </w:r>
          </w:p>
          <w:p w14:paraId="273C5035">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lang w:eastAsia="zh-CN"/>
              </w:rPr>
              <w:t>（</w:t>
            </w:r>
            <w:r>
              <w:rPr>
                <w:rFonts w:hint="eastAsia" w:ascii="宋体" w:hAnsi="宋体" w:cs="Times New Roman"/>
                <w:b w:val="0"/>
                <w:bCs w:val="0"/>
                <w:color w:val="auto"/>
                <w:szCs w:val="21"/>
                <w:highlight w:val="none"/>
                <w:lang w:val="en-US" w:eastAsia="zh-CN"/>
              </w:rPr>
              <w:t>4</w:t>
            </w:r>
            <w:r>
              <w:rPr>
                <w:rFonts w:hint="eastAsia" w:ascii="宋体" w:hAnsi="宋体" w:eastAsia="宋体" w:cs="Times New Roman"/>
                <w:b w:val="0"/>
                <w:bCs w:val="0"/>
                <w:color w:val="auto"/>
                <w:szCs w:val="21"/>
                <w:highlight w:val="none"/>
                <w:lang w:eastAsia="zh-CN"/>
              </w:rPr>
              <w:t>）供应商邮件发送的内容如下：</w:t>
            </w:r>
          </w:p>
          <w:p w14:paraId="3DF8543C">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eastAsia="zh-CN"/>
              </w:rPr>
              <w:t>项目名称：</w:t>
            </w:r>
            <w:r>
              <w:rPr>
                <w:rFonts w:hint="eastAsia" w:ascii="宋体" w:hAnsi="宋体" w:eastAsia="宋体" w:cs="宋体"/>
                <w:b w:val="0"/>
                <w:bCs w:val="0"/>
                <w:color w:val="auto"/>
                <w:spacing w:val="0"/>
                <w:sz w:val="21"/>
                <w:szCs w:val="21"/>
                <w:highlight w:val="none"/>
                <w:u w:val="single"/>
                <w:lang w:val="en-US" w:eastAsia="zh-CN"/>
              </w:rPr>
              <w:t xml:space="preserve">                 </w:t>
            </w:r>
          </w:p>
          <w:p w14:paraId="577E2DB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spacing w:val="0"/>
                <w:sz w:val="21"/>
                <w:szCs w:val="21"/>
                <w:highlight w:val="none"/>
                <w:u w:val="single"/>
                <w:lang w:eastAsia="zh-CN"/>
              </w:rPr>
            </w:pPr>
            <w:r>
              <w:rPr>
                <w:rFonts w:hint="eastAsia" w:ascii="宋体" w:hAnsi="宋体" w:eastAsia="宋体" w:cs="宋体"/>
                <w:b w:val="0"/>
                <w:bCs w:val="0"/>
                <w:color w:val="auto"/>
                <w:spacing w:val="0"/>
                <w:sz w:val="21"/>
                <w:szCs w:val="21"/>
                <w:highlight w:val="none"/>
                <w:u w:val="none"/>
                <w:lang w:eastAsia="zh-CN"/>
              </w:rPr>
              <w:t>项目编号</w:t>
            </w:r>
            <w:r>
              <w:rPr>
                <w:rFonts w:hint="eastAsia" w:ascii="宋体" w:hAnsi="宋体" w:eastAsia="宋体" w:cs="宋体"/>
                <w:b w:val="0"/>
                <w:bCs w:val="0"/>
                <w:color w:val="auto"/>
                <w:spacing w:val="0"/>
                <w:sz w:val="21"/>
                <w:szCs w:val="21"/>
                <w:highlight w:val="none"/>
                <w:u w:val="single"/>
                <w:lang w:eastAsia="zh-CN"/>
              </w:rPr>
              <w:t>：</w:t>
            </w:r>
            <w:r>
              <w:rPr>
                <w:rFonts w:hint="eastAsia" w:ascii="宋体" w:hAnsi="宋体" w:eastAsia="宋体" w:cs="宋体"/>
                <w:b w:val="0"/>
                <w:bCs w:val="0"/>
                <w:color w:val="auto"/>
                <w:spacing w:val="0"/>
                <w:sz w:val="21"/>
                <w:szCs w:val="21"/>
                <w:highlight w:val="none"/>
                <w:u w:val="single"/>
                <w:lang w:val="en-US" w:eastAsia="zh-CN"/>
              </w:rPr>
              <w:t xml:space="preserve">                 </w:t>
            </w:r>
          </w:p>
          <w:p w14:paraId="70ED0B07">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spacing w:val="0"/>
                <w:sz w:val="21"/>
                <w:szCs w:val="21"/>
                <w:highlight w:val="none"/>
                <w:u w:val="single"/>
                <w:lang w:eastAsia="zh-CN"/>
              </w:rPr>
            </w:pPr>
            <w:r>
              <w:rPr>
                <w:rFonts w:hint="eastAsia" w:ascii="宋体" w:hAnsi="宋体" w:cs="宋体"/>
                <w:b w:val="0"/>
                <w:bCs w:val="0"/>
                <w:color w:val="auto"/>
                <w:spacing w:val="0"/>
                <w:sz w:val="21"/>
                <w:szCs w:val="21"/>
                <w:highlight w:val="none"/>
                <w:u w:val="none"/>
                <w:lang w:eastAsia="zh-CN"/>
              </w:rPr>
              <w:t>分标号</w:t>
            </w:r>
            <w:r>
              <w:rPr>
                <w:rFonts w:hint="eastAsia" w:ascii="宋体" w:hAnsi="宋体" w:eastAsia="宋体" w:cs="宋体"/>
                <w:b w:val="0"/>
                <w:bCs w:val="0"/>
                <w:color w:val="auto"/>
                <w:spacing w:val="0"/>
                <w:sz w:val="21"/>
                <w:szCs w:val="21"/>
                <w:highlight w:val="none"/>
                <w:u w:val="none"/>
                <w:lang w:eastAsia="zh-CN"/>
              </w:rPr>
              <w:t>（如有）：</w:t>
            </w:r>
            <w:r>
              <w:rPr>
                <w:rFonts w:hint="eastAsia" w:ascii="宋体" w:hAnsi="宋体" w:eastAsia="宋体" w:cs="宋体"/>
                <w:b w:val="0"/>
                <w:bCs w:val="0"/>
                <w:color w:val="auto"/>
                <w:spacing w:val="0"/>
                <w:sz w:val="21"/>
                <w:szCs w:val="21"/>
                <w:highlight w:val="none"/>
                <w:u w:val="single"/>
                <w:lang w:val="en-US" w:eastAsia="zh-CN"/>
              </w:rPr>
              <w:t xml:space="preserve">                 </w:t>
            </w:r>
          </w:p>
          <w:p w14:paraId="25F1A855">
            <w:pPr>
              <w:pStyle w:val="20"/>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eastAsia="zh-CN"/>
              </w:rPr>
              <w:t>供应商名称：</w:t>
            </w:r>
            <w:r>
              <w:rPr>
                <w:rFonts w:hint="eastAsia" w:ascii="宋体" w:hAnsi="宋体" w:eastAsia="宋体" w:cs="宋体"/>
                <w:b w:val="0"/>
                <w:bCs w:val="0"/>
                <w:color w:val="auto"/>
                <w:spacing w:val="0"/>
                <w:sz w:val="21"/>
                <w:szCs w:val="21"/>
                <w:highlight w:val="none"/>
                <w:u w:val="single"/>
                <w:lang w:val="en-US" w:eastAsia="zh-CN"/>
              </w:rPr>
              <w:t xml:space="preserve">                 </w:t>
            </w:r>
          </w:p>
          <w:p w14:paraId="03B6E500">
            <w:pPr>
              <w:keepNext w:val="0"/>
              <w:keepLines w:val="0"/>
              <w:pageBreakBefore w:val="0"/>
              <w:widowControl w:val="0"/>
              <w:kinsoku/>
              <w:wordWrap/>
              <w:overflowPunct/>
              <w:topLinePunct w:val="0"/>
              <w:autoSpaceDE/>
              <w:autoSpaceDN/>
              <w:bidi w:val="0"/>
              <w:adjustRightInd/>
              <w:snapToGrid w:val="0"/>
              <w:spacing w:line="380" w:lineRule="exact"/>
              <w:ind w:left="0"/>
              <w:jc w:val="left"/>
              <w:textAlignment w:val="auto"/>
              <w:rPr>
                <w:rFonts w:hint="eastAsia" w:ascii="宋体" w:hAnsi="宋体" w:eastAsia="宋体" w:cs="宋体"/>
                <w:b w:val="0"/>
                <w:bCs w:val="0"/>
                <w:color w:val="auto"/>
                <w:spacing w:val="0"/>
                <w:sz w:val="21"/>
                <w:szCs w:val="21"/>
                <w:highlight w:val="none"/>
                <w:u w:val="single"/>
                <w:lang w:val="en-US" w:eastAsia="zh-CN"/>
              </w:rPr>
            </w:pPr>
            <w:r>
              <w:rPr>
                <w:rFonts w:hint="eastAsia" w:ascii="宋体" w:hAnsi="宋体" w:eastAsia="宋体" w:cs="宋体"/>
                <w:b w:val="0"/>
                <w:bCs w:val="0"/>
                <w:color w:val="auto"/>
                <w:spacing w:val="0"/>
                <w:sz w:val="21"/>
                <w:szCs w:val="21"/>
                <w:highlight w:val="none"/>
                <w:u w:val="none"/>
                <w:lang w:val="en-US" w:eastAsia="zh-CN"/>
              </w:rPr>
              <w:t>法定代表人或其委托代理人姓名：</w:t>
            </w:r>
            <w:r>
              <w:rPr>
                <w:rFonts w:hint="eastAsia" w:ascii="宋体" w:hAnsi="宋体" w:eastAsia="宋体" w:cs="宋体"/>
                <w:b w:val="0"/>
                <w:bCs w:val="0"/>
                <w:color w:val="auto"/>
                <w:spacing w:val="0"/>
                <w:sz w:val="21"/>
                <w:szCs w:val="21"/>
                <w:highlight w:val="none"/>
                <w:u w:val="single"/>
                <w:lang w:val="en-US" w:eastAsia="zh-CN"/>
              </w:rPr>
              <w:t xml:space="preserve">                  </w:t>
            </w:r>
          </w:p>
          <w:p w14:paraId="213F6ABC">
            <w:pPr>
              <w:keepNext w:val="0"/>
              <w:keepLines w:val="0"/>
              <w:pageBreakBefore w:val="0"/>
              <w:widowControl w:val="0"/>
              <w:kinsoku/>
              <w:wordWrap/>
              <w:overflowPunct/>
              <w:topLinePunct w:val="0"/>
              <w:autoSpaceDE/>
              <w:autoSpaceDN/>
              <w:bidi w:val="0"/>
              <w:adjustRightInd/>
              <w:snapToGrid w:val="0"/>
              <w:spacing w:line="380" w:lineRule="exact"/>
              <w:ind w:left="0"/>
              <w:jc w:val="left"/>
              <w:textAlignment w:val="auto"/>
              <w:rPr>
                <w:rFonts w:hint="eastAsia" w:ascii="宋体" w:hAnsi="宋体" w:eastAsia="宋体" w:cs="Times New Roman"/>
                <w:b w:val="0"/>
                <w:bCs w:val="0"/>
                <w:color w:val="auto"/>
                <w:szCs w:val="21"/>
                <w:highlight w:val="none"/>
                <w:u w:val="single"/>
                <w:lang w:eastAsia="zh-CN"/>
              </w:rPr>
            </w:pPr>
            <w:r>
              <w:rPr>
                <w:rFonts w:hint="eastAsia" w:ascii="宋体" w:hAnsi="宋体" w:eastAsia="宋体" w:cs="宋体"/>
                <w:b w:val="0"/>
                <w:bCs w:val="0"/>
                <w:color w:val="auto"/>
                <w:spacing w:val="0"/>
                <w:sz w:val="21"/>
                <w:szCs w:val="21"/>
                <w:highlight w:val="none"/>
                <w:u w:val="none"/>
                <w:lang w:val="en-US" w:eastAsia="zh-CN"/>
              </w:rPr>
              <w:t>法定代表人或其委托代理人手机号码：</w:t>
            </w:r>
            <w:r>
              <w:rPr>
                <w:rFonts w:hint="eastAsia" w:ascii="宋体" w:hAnsi="宋体" w:eastAsia="宋体" w:cs="宋体"/>
                <w:b w:val="0"/>
                <w:bCs w:val="0"/>
                <w:color w:val="auto"/>
                <w:spacing w:val="0"/>
                <w:sz w:val="21"/>
                <w:szCs w:val="21"/>
                <w:highlight w:val="none"/>
                <w:u w:val="single"/>
                <w:lang w:val="en-US" w:eastAsia="zh-CN"/>
              </w:rPr>
              <w:t xml:space="preserve">                  </w:t>
            </w:r>
          </w:p>
          <w:p w14:paraId="2E8E4EBA">
            <w:pPr>
              <w:pStyle w:val="9"/>
              <w:keepNext w:val="0"/>
              <w:keepLines w:val="0"/>
              <w:pageBreakBefore w:val="0"/>
              <w:widowControl w:val="0"/>
              <w:kinsoku/>
              <w:wordWrap/>
              <w:overflowPunct/>
              <w:topLinePunct w:val="0"/>
              <w:autoSpaceDE/>
              <w:autoSpaceDN/>
              <w:bidi w:val="0"/>
              <w:adjustRightInd/>
              <w:spacing w:line="380" w:lineRule="exact"/>
              <w:ind w:left="0" w:leftChars="0"/>
              <w:textAlignment w:val="auto"/>
              <w:rPr>
                <w:rFonts w:hint="eastAsia" w:ascii="宋体" w:hAnsi="宋体" w:cs="宋体"/>
                <w:color w:val="auto"/>
                <w:szCs w:val="21"/>
                <w:highlight w:val="none"/>
              </w:rPr>
            </w:pPr>
            <w:r>
              <w:rPr>
                <w:rFonts w:hint="eastAsia" w:ascii="Times New Roman" w:hAnsi="Times New Roman" w:eastAsia="宋体" w:cs="Times New Roman"/>
                <w:b w:val="0"/>
                <w:bCs w:val="0"/>
                <w:color w:val="auto"/>
                <w:spacing w:val="-3"/>
                <w:sz w:val="21"/>
                <w:highlight w:val="none"/>
                <w:lang w:eastAsia="zh-CN"/>
              </w:rPr>
              <w:t>（</w:t>
            </w:r>
            <w:r>
              <w:rPr>
                <w:rFonts w:hint="eastAsia" w:cs="Times New Roman"/>
                <w:b w:val="0"/>
                <w:bCs w:val="0"/>
                <w:color w:val="auto"/>
                <w:spacing w:val="-3"/>
                <w:sz w:val="21"/>
                <w:highlight w:val="none"/>
                <w:lang w:val="en-US" w:eastAsia="zh-CN"/>
              </w:rPr>
              <w:t>5</w:t>
            </w:r>
            <w:r>
              <w:rPr>
                <w:rFonts w:hint="eastAsia" w:ascii="Times New Roman" w:hAnsi="Times New Roman" w:eastAsia="宋体" w:cs="Times New Roman"/>
                <w:b w:val="0"/>
                <w:bCs w:val="0"/>
                <w:color w:val="auto"/>
                <w:spacing w:val="-3"/>
                <w:sz w:val="21"/>
                <w:highlight w:val="none"/>
                <w:lang w:eastAsia="zh-CN"/>
              </w:rPr>
              <w:t>）</w:t>
            </w:r>
            <w:r>
              <w:rPr>
                <w:rFonts w:ascii="Times New Roman" w:hAnsi="Times New Roman" w:eastAsia="宋体" w:cs="Times New Roman"/>
                <w:b w:val="0"/>
                <w:bCs w:val="0"/>
                <w:color w:val="auto"/>
                <w:spacing w:val="-3"/>
                <w:sz w:val="21"/>
                <w:highlight w:val="none"/>
              </w:rPr>
              <w:t>响应文件启用顺序和效力：响应文件的启用，按先后顺位</w:t>
            </w:r>
            <w:r>
              <w:rPr>
                <w:rFonts w:ascii="Times New Roman" w:hAnsi="Times New Roman" w:eastAsia="宋体" w:cs="Times New Roman"/>
                <w:color w:val="auto"/>
                <w:spacing w:val="-3"/>
                <w:sz w:val="21"/>
                <w:highlight w:val="none"/>
              </w:rPr>
              <w:t>分别为</w:t>
            </w:r>
            <w:r>
              <w:rPr>
                <w:rFonts w:hint="eastAsia" w:cs="Times New Roman"/>
                <w:color w:val="auto"/>
                <w:spacing w:val="-3"/>
                <w:sz w:val="21"/>
                <w:highlight w:val="none"/>
                <w:lang w:eastAsia="zh-CN"/>
              </w:rPr>
              <w:t>广西政府采购云平台上传的加密</w:t>
            </w:r>
            <w:r>
              <w:rPr>
                <w:rFonts w:ascii="Times New Roman" w:hAnsi="Times New Roman" w:eastAsia="宋体" w:cs="Times New Roman"/>
                <w:color w:val="auto"/>
                <w:spacing w:val="-3"/>
                <w:sz w:val="21"/>
                <w:highlight w:val="none"/>
              </w:rPr>
              <w:t>电子响应文件、以</w:t>
            </w:r>
            <w:r>
              <w:rPr>
                <w:rFonts w:hint="eastAsia" w:cs="Times New Roman"/>
                <w:color w:val="auto"/>
                <w:spacing w:val="-3"/>
                <w:sz w:val="21"/>
                <w:highlight w:val="none"/>
                <w:lang w:eastAsia="zh-CN"/>
              </w:rPr>
              <w:t>邮件</w:t>
            </w:r>
            <w:r>
              <w:rPr>
                <w:rFonts w:ascii="Times New Roman" w:hAnsi="Times New Roman" w:eastAsia="宋体" w:cs="Times New Roman"/>
                <w:color w:val="auto"/>
                <w:spacing w:val="-3"/>
                <w:sz w:val="21"/>
                <w:highlight w:val="none"/>
              </w:rPr>
              <w:t>形式</w:t>
            </w:r>
            <w:r>
              <w:rPr>
                <w:rFonts w:hint="eastAsia" w:cs="Times New Roman"/>
                <w:color w:val="auto"/>
                <w:spacing w:val="-3"/>
                <w:sz w:val="21"/>
                <w:highlight w:val="none"/>
                <w:lang w:eastAsia="zh-CN"/>
              </w:rPr>
              <w:t>提交</w:t>
            </w:r>
            <w:r>
              <w:rPr>
                <w:rFonts w:ascii="Times New Roman" w:hAnsi="Times New Roman" w:eastAsia="宋体" w:cs="Times New Roman"/>
                <w:color w:val="auto"/>
                <w:spacing w:val="-3"/>
                <w:sz w:val="21"/>
                <w:highlight w:val="none"/>
              </w:rPr>
              <w:t>的电子备份响应文件。顺位在先的响应文件已按时解密的</w:t>
            </w:r>
            <w:r>
              <w:rPr>
                <w:rFonts w:hint="eastAsia" w:ascii="Times New Roman" w:hAnsi="Times New Roman" w:eastAsia="宋体" w:cs="Times New Roman"/>
                <w:color w:val="auto"/>
                <w:spacing w:val="-3"/>
                <w:sz w:val="21"/>
                <w:highlight w:val="none"/>
                <w:lang w:eastAsia="zh-CN"/>
              </w:rPr>
              <w:t>，</w:t>
            </w:r>
            <w:r>
              <w:rPr>
                <w:rFonts w:ascii="Times New Roman" w:hAnsi="Times New Roman" w:eastAsia="宋体" w:cs="Times New Roman"/>
                <w:color w:val="auto"/>
                <w:spacing w:val="-3"/>
                <w:sz w:val="21"/>
                <w:highlight w:val="none"/>
              </w:rPr>
              <w:t>下一顺位响应文件自动失效。在下一顺位的响应文件启用时，前一顺位的响应文件自动失效。</w:t>
            </w:r>
          </w:p>
        </w:tc>
      </w:tr>
      <w:tr w14:paraId="025C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88D4B7D">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1100178B">
            <w:pPr>
              <w:keepNext w:val="0"/>
              <w:keepLines w:val="0"/>
              <w:pageBreakBefore w:val="0"/>
              <w:widowControl w:val="0"/>
              <w:kinsoku/>
              <w:wordWrap/>
              <w:overflowPunct/>
              <w:topLinePunct w:val="0"/>
              <w:autoSpaceDE/>
              <w:autoSpaceDN/>
              <w:bidi w:val="0"/>
              <w:adjustRightInd/>
              <w:spacing w:line="380" w:lineRule="exact"/>
              <w:jc w:val="center"/>
              <w:textAlignment w:val="auto"/>
              <w:rPr>
                <w:color w:val="auto"/>
                <w:highlight w:val="none"/>
              </w:rPr>
            </w:pPr>
            <w:r>
              <w:rPr>
                <w:rFonts w:hint="eastAsia"/>
                <w:color w:val="auto"/>
                <w:highlight w:val="none"/>
                <w:lang w:eastAsia="zh-CN"/>
              </w:rPr>
              <w:t>竞标</w:t>
            </w:r>
            <w:r>
              <w:rPr>
                <w:rFonts w:hint="eastAsia"/>
                <w:color w:val="auto"/>
                <w:highlight w:val="none"/>
              </w:rPr>
              <w:t>有效期</w:t>
            </w:r>
          </w:p>
        </w:tc>
        <w:tc>
          <w:tcPr>
            <w:tcW w:w="7164" w:type="dxa"/>
            <w:tcBorders>
              <w:top w:val="single" w:color="auto" w:sz="4" w:space="0"/>
              <w:left w:val="single" w:color="auto" w:sz="4" w:space="0"/>
              <w:bottom w:val="single" w:color="auto" w:sz="4" w:space="0"/>
              <w:right w:val="single" w:color="auto" w:sz="4" w:space="0"/>
            </w:tcBorders>
            <w:vAlign w:val="center"/>
          </w:tcPr>
          <w:p w14:paraId="3C0217FB">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color w:val="auto"/>
                <w:highlight w:val="none"/>
                <w:lang w:eastAsia="zh-CN"/>
              </w:rPr>
              <w:t>竞</w:t>
            </w:r>
            <w:r>
              <w:rPr>
                <w:rFonts w:hint="eastAsia" w:ascii="宋体" w:hAnsi="宋体" w:cs="宋体"/>
                <w:color w:val="auto"/>
                <w:szCs w:val="21"/>
                <w:highlight w:val="none"/>
                <w:lang w:eastAsia="zh-CN"/>
              </w:rPr>
              <w:t>标</w:t>
            </w:r>
            <w:r>
              <w:rPr>
                <w:rFonts w:hint="eastAsia" w:ascii="宋体" w:hAnsi="宋体" w:cs="宋体"/>
                <w:color w:val="auto"/>
                <w:szCs w:val="21"/>
                <w:highlight w:val="none"/>
              </w:rPr>
              <w:t>有效期：</w:t>
            </w:r>
            <w:r>
              <w:rPr>
                <w:rFonts w:hint="eastAsia"/>
                <w:color w:val="auto"/>
                <w:highlight w:val="none"/>
                <w:lang w:eastAsia="zh-CN"/>
              </w:rPr>
              <w:t>竞</w:t>
            </w:r>
            <w:r>
              <w:rPr>
                <w:rFonts w:hint="eastAsia" w:ascii="宋体" w:hAnsi="宋体" w:cs="宋体"/>
                <w:color w:val="auto"/>
                <w:szCs w:val="21"/>
                <w:highlight w:val="none"/>
                <w:lang w:eastAsia="zh-CN"/>
              </w:rPr>
              <w:t>标</w:t>
            </w:r>
            <w:r>
              <w:rPr>
                <w:rFonts w:hint="eastAsia" w:ascii="宋体" w:hAnsi="宋体" w:cs="宋体"/>
                <w:color w:val="auto"/>
                <w:szCs w:val="21"/>
                <w:highlight w:val="none"/>
              </w:rPr>
              <w:t>截止日期后60天</w:t>
            </w:r>
          </w:p>
        </w:tc>
      </w:tr>
      <w:tr w14:paraId="0278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61E2FB5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992" w:type="dxa"/>
            <w:tcBorders>
              <w:top w:val="single" w:color="auto" w:sz="4" w:space="0"/>
              <w:left w:val="single" w:color="auto" w:sz="4" w:space="0"/>
              <w:bottom w:val="single" w:color="auto" w:sz="4" w:space="0"/>
              <w:right w:val="single" w:color="auto" w:sz="4" w:space="0"/>
            </w:tcBorders>
            <w:vAlign w:val="center"/>
          </w:tcPr>
          <w:p w14:paraId="5918F994">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磋商保证金</w:t>
            </w:r>
          </w:p>
        </w:tc>
        <w:tc>
          <w:tcPr>
            <w:tcW w:w="7164" w:type="dxa"/>
            <w:tcBorders>
              <w:top w:val="single" w:color="auto" w:sz="4" w:space="0"/>
              <w:left w:val="single" w:color="auto" w:sz="4" w:space="0"/>
              <w:bottom w:val="single" w:color="auto" w:sz="4" w:space="0"/>
              <w:right w:val="single" w:color="auto" w:sz="4" w:space="0"/>
            </w:tcBorders>
            <w:vAlign w:val="center"/>
          </w:tcPr>
          <w:p w14:paraId="354024EE">
            <w:pPr>
              <w:pStyle w:val="13"/>
              <w:keepNext w:val="0"/>
              <w:keepLines w:val="0"/>
              <w:pageBreakBefore w:val="0"/>
              <w:widowControl w:val="0"/>
              <w:kinsoku/>
              <w:wordWrap/>
              <w:overflowPunct/>
              <w:topLinePunct w:val="0"/>
              <w:bidi w:val="0"/>
              <w:adjustRightInd/>
              <w:spacing w:line="380" w:lineRule="exact"/>
              <w:rPr>
                <w:rFonts w:hint="default" w:hAnsi="宋体" w:cs="宋体"/>
                <w:color w:val="auto"/>
                <w:kern w:val="0"/>
                <w:szCs w:val="21"/>
                <w:highlight w:val="none"/>
                <w:lang w:val="en-US" w:eastAsia="zh-CN"/>
              </w:rPr>
            </w:pPr>
            <w:r>
              <w:rPr>
                <w:rFonts w:hint="eastAsia" w:hAnsi="宋体" w:cs="宋体"/>
                <w:color w:val="auto"/>
                <w:kern w:val="0"/>
                <w:szCs w:val="21"/>
                <w:highlight w:val="none"/>
                <w:lang w:eastAsia="zh-CN"/>
              </w:rPr>
              <w:t>本项目是否要求收取磋商保证金：</w:t>
            </w:r>
            <w:r>
              <w:rPr>
                <w:rFonts w:hint="eastAsia" w:hAnsi="宋体" w:cs="宋体"/>
                <w:color w:val="auto"/>
                <w:kern w:val="0"/>
                <w:szCs w:val="21"/>
                <w:highlight w:val="none"/>
                <w:lang w:val="en-US" w:eastAsia="zh-CN"/>
              </w:rPr>
              <w:sym w:font="Wingdings" w:char="00A8"/>
            </w:r>
            <w:r>
              <w:rPr>
                <w:rFonts w:hint="eastAsia" w:hAnsi="宋体" w:cs="宋体"/>
                <w:color w:val="auto"/>
                <w:kern w:val="0"/>
                <w:szCs w:val="21"/>
                <w:highlight w:val="none"/>
                <w:lang w:val="en-US" w:eastAsia="zh-CN"/>
              </w:rPr>
              <w:t xml:space="preserve">要求   </w:t>
            </w:r>
            <w:r>
              <w:rPr>
                <w:rFonts w:hint="eastAsia" w:hAnsi="宋体" w:cs="宋体"/>
                <w:color w:val="auto"/>
                <w:kern w:val="0"/>
                <w:szCs w:val="21"/>
                <w:highlight w:val="none"/>
                <w:lang w:val="en-US" w:eastAsia="zh-CN"/>
              </w:rPr>
              <w:sym w:font="Wingdings" w:char="00FE"/>
            </w:r>
            <w:r>
              <w:rPr>
                <w:rFonts w:hint="eastAsia" w:hAnsi="宋体" w:cs="宋体"/>
                <w:color w:val="auto"/>
                <w:kern w:val="0"/>
                <w:szCs w:val="21"/>
                <w:highlight w:val="none"/>
                <w:lang w:val="en-US" w:eastAsia="zh-CN"/>
              </w:rPr>
              <w:t>不要求</w:t>
            </w:r>
          </w:p>
          <w:p w14:paraId="63709A42">
            <w:pPr>
              <w:pStyle w:val="13"/>
              <w:keepNext w:val="0"/>
              <w:keepLines w:val="0"/>
              <w:pageBreakBefore w:val="0"/>
              <w:widowControl w:val="0"/>
              <w:kinsoku/>
              <w:wordWrap/>
              <w:overflowPunct/>
              <w:topLinePunct w:val="0"/>
              <w:bidi w:val="0"/>
              <w:adjustRightInd/>
              <w:spacing w:line="380" w:lineRule="exact"/>
              <w:rPr>
                <w:rFonts w:hAnsi="宋体" w:cs="宋体"/>
                <w:color w:val="auto"/>
                <w:kern w:val="0"/>
                <w:szCs w:val="21"/>
                <w:highlight w:val="none"/>
              </w:rPr>
            </w:pPr>
            <w:r>
              <w:rPr>
                <w:rFonts w:hint="eastAsia" w:hAnsi="宋体" w:cs="宋体"/>
                <w:color w:val="auto"/>
                <w:kern w:val="0"/>
                <w:szCs w:val="21"/>
                <w:highlight w:val="none"/>
                <w:lang w:eastAsia="zh-CN"/>
              </w:rPr>
              <w:t>磋商</w:t>
            </w:r>
            <w:r>
              <w:rPr>
                <w:rFonts w:hint="eastAsia" w:hAnsi="宋体" w:cs="宋体"/>
                <w:color w:val="auto"/>
                <w:kern w:val="0"/>
                <w:szCs w:val="21"/>
                <w:highlight w:val="none"/>
              </w:rPr>
              <w:t>保证金</w:t>
            </w:r>
            <w:r>
              <w:rPr>
                <w:rFonts w:hint="eastAsia" w:hAnsi="宋体" w:cs="宋体"/>
                <w:color w:val="auto"/>
                <w:kern w:val="0"/>
                <w:szCs w:val="21"/>
                <w:highlight w:val="none"/>
                <w:lang w:eastAsia="zh-CN"/>
              </w:rPr>
              <w:t>：</w:t>
            </w:r>
            <w:r>
              <w:rPr>
                <w:rFonts w:hint="eastAsia" w:hAnsi="宋体"/>
                <w:color w:val="auto"/>
                <w:szCs w:val="21"/>
                <w:highlight w:val="none"/>
                <w:lang w:val="en-US" w:eastAsia="zh-CN"/>
              </w:rPr>
              <w:t>0元</w:t>
            </w:r>
            <w:r>
              <w:rPr>
                <w:rFonts w:hint="eastAsia" w:hAnsi="宋体" w:cs="宋体"/>
                <w:color w:val="auto"/>
                <w:kern w:val="0"/>
                <w:szCs w:val="21"/>
                <w:highlight w:val="none"/>
              </w:rPr>
              <w:t>。</w:t>
            </w:r>
          </w:p>
          <w:p w14:paraId="5EED124E">
            <w:pPr>
              <w:pStyle w:val="13"/>
              <w:keepNext w:val="0"/>
              <w:keepLines w:val="0"/>
              <w:pageBreakBefore w:val="0"/>
              <w:widowControl w:val="0"/>
              <w:kinsoku/>
              <w:wordWrap/>
              <w:overflowPunct/>
              <w:topLinePunct w:val="0"/>
              <w:bidi w:val="0"/>
              <w:adjustRightInd/>
              <w:spacing w:line="380" w:lineRule="exact"/>
              <w:rPr>
                <w:rFonts w:hAnsi="宋体" w:cs="宋体"/>
                <w:color w:val="auto"/>
                <w:kern w:val="0"/>
                <w:szCs w:val="21"/>
                <w:highlight w:val="none"/>
              </w:rPr>
            </w:pPr>
            <w:r>
              <w:rPr>
                <w:rFonts w:hint="eastAsia" w:hAnsi="宋体"/>
                <w:color w:val="auto"/>
                <w:szCs w:val="21"/>
                <w:highlight w:val="none"/>
                <w:lang w:eastAsia="zh-CN"/>
              </w:rPr>
              <w:t>磋商</w:t>
            </w:r>
            <w:r>
              <w:rPr>
                <w:rFonts w:hint="eastAsia" w:hAnsi="宋体"/>
                <w:color w:val="auto"/>
                <w:szCs w:val="21"/>
                <w:highlight w:val="none"/>
              </w:rPr>
              <w:t>保证金缴纳形式：银行转账、支票、汇票、本票或者银行、保险机构出具的保函，禁止采用现钞方式。</w:t>
            </w:r>
          </w:p>
          <w:p w14:paraId="7E9F2B4E">
            <w:pPr>
              <w:pStyle w:val="13"/>
              <w:keepNext w:val="0"/>
              <w:keepLines w:val="0"/>
              <w:pageBreakBefore w:val="0"/>
              <w:widowControl w:val="0"/>
              <w:kinsoku/>
              <w:wordWrap/>
              <w:overflowPunct/>
              <w:topLinePunct w:val="0"/>
              <w:bidi w:val="0"/>
              <w:adjustRightInd/>
              <w:spacing w:line="380" w:lineRule="exact"/>
              <w:rPr>
                <w:rFonts w:hint="eastAsia" w:hAnsi="宋体" w:eastAsia="宋体" w:cs="宋体"/>
                <w:color w:val="auto"/>
                <w:kern w:val="0"/>
                <w:szCs w:val="21"/>
                <w:highlight w:val="none"/>
                <w:lang w:eastAsia="zh-CN"/>
              </w:rPr>
            </w:pPr>
            <w:r>
              <w:rPr>
                <w:rFonts w:hint="eastAsia" w:hAnsi="宋体" w:cs="宋体"/>
                <w:color w:val="auto"/>
                <w:kern w:val="0"/>
                <w:szCs w:val="21"/>
                <w:highlight w:val="none"/>
              </w:rPr>
              <w:t>采用银行转账方式的，</w:t>
            </w:r>
            <w:r>
              <w:rPr>
                <w:rFonts w:hint="eastAsia" w:hAnsi="宋体" w:cs="宋体"/>
                <w:color w:val="auto"/>
                <w:kern w:val="0"/>
                <w:szCs w:val="21"/>
                <w:highlight w:val="none"/>
                <w:lang w:eastAsia="zh-CN"/>
              </w:rPr>
              <w:t>竞</w:t>
            </w:r>
            <w:r>
              <w:rPr>
                <w:rFonts w:hint="eastAsia" w:hAnsi="宋体" w:cs="宋体"/>
                <w:color w:val="auto"/>
                <w:kern w:val="0"/>
                <w:szCs w:val="21"/>
                <w:highlight w:val="none"/>
              </w:rPr>
              <w:t>标人将</w:t>
            </w:r>
            <w:r>
              <w:rPr>
                <w:rFonts w:hint="eastAsia" w:hAnsi="宋体" w:cs="宋体"/>
                <w:color w:val="auto"/>
                <w:kern w:val="0"/>
                <w:szCs w:val="21"/>
                <w:highlight w:val="none"/>
                <w:lang w:eastAsia="zh-CN"/>
              </w:rPr>
              <w:t>磋商</w:t>
            </w:r>
            <w:r>
              <w:rPr>
                <w:rFonts w:hint="eastAsia" w:hAnsi="宋体" w:cs="宋体"/>
                <w:color w:val="auto"/>
                <w:kern w:val="0"/>
                <w:szCs w:val="21"/>
                <w:highlight w:val="none"/>
              </w:rPr>
              <w:t>保证金从</w:t>
            </w:r>
            <w:r>
              <w:rPr>
                <w:rFonts w:hint="eastAsia" w:hAnsi="宋体" w:cs="宋体"/>
                <w:color w:val="auto"/>
                <w:kern w:val="0"/>
                <w:szCs w:val="21"/>
                <w:highlight w:val="none"/>
                <w:lang w:eastAsia="zh-CN"/>
              </w:rPr>
              <w:t>竞</w:t>
            </w:r>
            <w:r>
              <w:rPr>
                <w:rFonts w:hint="eastAsia" w:hAnsi="宋体" w:cs="宋体"/>
                <w:color w:val="auto"/>
                <w:kern w:val="0"/>
                <w:szCs w:val="21"/>
                <w:highlight w:val="none"/>
              </w:rPr>
              <w:t>标人基本账户转出交至以下指定的</w:t>
            </w:r>
            <w:r>
              <w:rPr>
                <w:rFonts w:hint="eastAsia" w:hAnsi="宋体" w:cs="宋体"/>
                <w:color w:val="auto"/>
                <w:kern w:val="0"/>
                <w:szCs w:val="21"/>
                <w:highlight w:val="none"/>
                <w:lang w:eastAsia="zh-CN"/>
              </w:rPr>
              <w:t>磋商</w:t>
            </w:r>
            <w:r>
              <w:rPr>
                <w:rFonts w:hint="eastAsia" w:hAnsi="宋体" w:cs="宋体"/>
                <w:color w:val="auto"/>
                <w:kern w:val="0"/>
                <w:szCs w:val="21"/>
                <w:highlight w:val="none"/>
              </w:rPr>
              <w:t>保证金专用账户，且提交到指定账户时间不得迟于</w:t>
            </w:r>
            <w:r>
              <w:rPr>
                <w:rFonts w:hint="eastAsia" w:hAnsi="宋体" w:cs="宋体"/>
                <w:color w:val="auto"/>
                <w:kern w:val="0"/>
                <w:szCs w:val="21"/>
                <w:highlight w:val="none"/>
                <w:lang w:eastAsia="zh-CN"/>
              </w:rPr>
              <w:t>响应文件提交</w:t>
            </w:r>
            <w:r>
              <w:rPr>
                <w:rFonts w:hint="eastAsia" w:hAnsi="宋体" w:cs="宋体"/>
                <w:color w:val="auto"/>
                <w:kern w:val="0"/>
                <w:szCs w:val="21"/>
                <w:highlight w:val="none"/>
              </w:rPr>
              <w:t>截止时间（以到账为准）</w:t>
            </w:r>
            <w:r>
              <w:rPr>
                <w:rFonts w:hint="eastAsia" w:hAnsi="宋体" w:cs="宋体"/>
                <w:color w:val="auto"/>
                <w:kern w:val="0"/>
                <w:szCs w:val="21"/>
                <w:highlight w:val="none"/>
                <w:lang w:eastAsia="zh-CN"/>
              </w:rPr>
              <w:t>：</w:t>
            </w:r>
          </w:p>
          <w:p w14:paraId="37744F7D">
            <w:pPr>
              <w:pStyle w:val="13"/>
              <w:keepNext w:val="0"/>
              <w:keepLines w:val="0"/>
              <w:pageBreakBefore w:val="0"/>
              <w:widowControl w:val="0"/>
              <w:kinsoku/>
              <w:wordWrap/>
              <w:overflowPunct/>
              <w:topLinePunct w:val="0"/>
              <w:bidi w:val="0"/>
              <w:adjustRightInd/>
              <w:spacing w:line="380" w:lineRule="exact"/>
              <w:rPr>
                <w:rFonts w:hint="eastAsia" w:hAnsi="宋体" w:cs="宋体"/>
                <w:color w:val="auto"/>
                <w:kern w:val="0"/>
                <w:szCs w:val="21"/>
                <w:highlight w:val="none"/>
              </w:rPr>
            </w:pPr>
            <w:r>
              <w:rPr>
                <w:rFonts w:hint="eastAsia" w:hAnsi="宋体" w:cs="宋体"/>
                <w:color w:val="auto"/>
                <w:kern w:val="0"/>
                <w:szCs w:val="21"/>
                <w:highlight w:val="none"/>
              </w:rPr>
              <w:t>开户行：</w:t>
            </w:r>
          </w:p>
          <w:p w14:paraId="7A9D37A1">
            <w:pPr>
              <w:pStyle w:val="13"/>
              <w:keepNext w:val="0"/>
              <w:keepLines w:val="0"/>
              <w:pageBreakBefore w:val="0"/>
              <w:widowControl w:val="0"/>
              <w:kinsoku/>
              <w:wordWrap/>
              <w:overflowPunct/>
              <w:topLinePunct w:val="0"/>
              <w:bidi w:val="0"/>
              <w:adjustRightInd/>
              <w:spacing w:line="380" w:lineRule="exact"/>
              <w:rPr>
                <w:rFonts w:hint="eastAsia" w:hAnsi="宋体" w:cs="宋体"/>
                <w:color w:val="auto"/>
                <w:kern w:val="0"/>
                <w:szCs w:val="21"/>
                <w:highlight w:val="none"/>
              </w:rPr>
            </w:pPr>
            <w:r>
              <w:rPr>
                <w:rFonts w:hint="eastAsia" w:hAnsi="宋体" w:cs="宋体"/>
                <w:color w:val="auto"/>
                <w:kern w:val="0"/>
                <w:szCs w:val="21"/>
                <w:highlight w:val="none"/>
              </w:rPr>
              <w:t>户名：</w:t>
            </w:r>
          </w:p>
          <w:p w14:paraId="507B693F">
            <w:pPr>
              <w:pStyle w:val="13"/>
              <w:keepNext w:val="0"/>
              <w:keepLines w:val="0"/>
              <w:pageBreakBefore w:val="0"/>
              <w:widowControl w:val="0"/>
              <w:kinsoku/>
              <w:wordWrap/>
              <w:overflowPunct/>
              <w:topLinePunct w:val="0"/>
              <w:bidi w:val="0"/>
              <w:adjustRightInd/>
              <w:spacing w:line="380" w:lineRule="exact"/>
              <w:rPr>
                <w:rFonts w:hint="eastAsia" w:eastAsia="宋体"/>
                <w:color w:val="auto"/>
                <w:highlight w:val="none"/>
                <w:lang w:eastAsia="zh-CN"/>
              </w:rPr>
            </w:pPr>
            <w:r>
              <w:rPr>
                <w:rFonts w:hint="eastAsia" w:hAnsi="宋体" w:cs="宋体"/>
                <w:color w:val="auto"/>
                <w:kern w:val="0"/>
                <w:szCs w:val="21"/>
                <w:highlight w:val="none"/>
              </w:rPr>
              <w:t xml:space="preserve">账号： </w:t>
            </w:r>
          </w:p>
        </w:tc>
      </w:tr>
      <w:tr w14:paraId="1D28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2C827E9">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992" w:type="dxa"/>
            <w:tcBorders>
              <w:top w:val="single" w:color="auto" w:sz="4" w:space="0"/>
              <w:left w:val="single" w:color="auto" w:sz="4" w:space="0"/>
              <w:bottom w:val="single" w:color="auto" w:sz="4" w:space="0"/>
              <w:right w:val="single" w:color="auto" w:sz="4" w:space="0"/>
            </w:tcBorders>
            <w:vAlign w:val="center"/>
          </w:tcPr>
          <w:p w14:paraId="2C3F4D69">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hAnsi="宋体" w:cs="宋体"/>
                <w:color w:val="auto"/>
                <w:highlight w:val="none"/>
                <w:lang w:eastAsia="zh-CN"/>
              </w:rPr>
              <w:t>响应</w:t>
            </w:r>
            <w:r>
              <w:rPr>
                <w:rFonts w:hint="eastAsia" w:hAnsi="宋体" w:cs="宋体"/>
                <w:color w:val="auto"/>
                <w:highlight w:val="none"/>
              </w:rPr>
              <w:t>文件递交截止时间和地点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1E876ABF">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6FD4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73148D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992" w:type="dxa"/>
            <w:tcBorders>
              <w:top w:val="single" w:color="auto" w:sz="4" w:space="0"/>
              <w:left w:val="single" w:color="auto" w:sz="4" w:space="0"/>
              <w:bottom w:val="single" w:color="auto" w:sz="4" w:space="0"/>
              <w:right w:val="single" w:color="auto" w:sz="4" w:space="0"/>
            </w:tcBorders>
            <w:vAlign w:val="center"/>
          </w:tcPr>
          <w:p w14:paraId="6BE86EFE">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highlight w:val="none"/>
              </w:rPr>
              <w:t>评标委员会的组建</w:t>
            </w:r>
          </w:p>
        </w:tc>
        <w:tc>
          <w:tcPr>
            <w:tcW w:w="7164" w:type="dxa"/>
            <w:tcBorders>
              <w:top w:val="single" w:color="auto" w:sz="4" w:space="0"/>
              <w:left w:val="single" w:color="auto" w:sz="4" w:space="0"/>
              <w:bottom w:val="single" w:color="auto" w:sz="4" w:space="0"/>
              <w:right w:val="single" w:color="auto" w:sz="4" w:space="0"/>
            </w:tcBorders>
            <w:vAlign w:val="center"/>
          </w:tcPr>
          <w:p w14:paraId="4326D210">
            <w:pPr>
              <w:pStyle w:val="13"/>
              <w:keepNext w:val="0"/>
              <w:keepLines w:val="0"/>
              <w:pageBreakBefore w:val="0"/>
              <w:widowControl w:val="0"/>
              <w:kinsoku/>
              <w:wordWrap/>
              <w:overflowPunct/>
              <w:topLinePunct w:val="0"/>
              <w:autoSpaceDE/>
              <w:autoSpaceDN/>
              <w:bidi w:val="0"/>
              <w:adjustRightInd/>
              <w:spacing w:line="380" w:lineRule="exact"/>
              <w:jc w:val="left"/>
              <w:textAlignment w:val="auto"/>
              <w:rPr>
                <w:rFonts w:hAnsi="宋体" w:cs="宋体"/>
                <w:color w:val="auto"/>
                <w:highlight w:val="none"/>
              </w:rPr>
            </w:pPr>
            <w:r>
              <w:rPr>
                <w:rFonts w:hint="eastAsia" w:hAnsi="宋体" w:cs="宋体"/>
                <w:color w:val="auto"/>
                <w:highlight w:val="none"/>
              </w:rPr>
              <w:t>评标委员会构成：</w:t>
            </w:r>
            <w:r>
              <w:rPr>
                <w:rFonts w:hint="eastAsia" w:hAnsi="宋体" w:cs="宋体"/>
                <w:color w:val="auto"/>
                <w:highlight w:val="none"/>
                <w:lang w:val="en-US" w:eastAsia="zh-CN"/>
              </w:rPr>
              <w:t>3</w:t>
            </w:r>
            <w:r>
              <w:rPr>
                <w:rFonts w:hint="eastAsia" w:hAnsi="宋体" w:cs="宋体"/>
                <w:color w:val="auto"/>
                <w:highlight w:val="none"/>
              </w:rPr>
              <w:t>人，其中采购单位代表</w:t>
            </w:r>
            <w:r>
              <w:rPr>
                <w:rFonts w:hint="eastAsia" w:hAnsi="宋体" w:cs="宋体"/>
                <w:color w:val="auto"/>
                <w:highlight w:val="none"/>
                <w:lang w:val="en-US" w:eastAsia="zh-CN"/>
              </w:rPr>
              <w:t>1</w:t>
            </w:r>
            <w:r>
              <w:rPr>
                <w:rFonts w:hint="eastAsia" w:hAnsi="宋体" w:cs="宋体"/>
                <w:color w:val="auto"/>
                <w:highlight w:val="none"/>
              </w:rPr>
              <w:t>人，专家</w:t>
            </w:r>
            <w:r>
              <w:rPr>
                <w:rFonts w:hint="eastAsia" w:hAnsi="宋体" w:cs="宋体"/>
                <w:color w:val="auto"/>
                <w:highlight w:val="none"/>
                <w:lang w:val="en-US" w:eastAsia="zh-CN"/>
              </w:rPr>
              <w:t>2</w:t>
            </w:r>
            <w:r>
              <w:rPr>
                <w:rFonts w:hint="eastAsia" w:hAnsi="宋体" w:cs="宋体"/>
                <w:color w:val="auto"/>
                <w:highlight w:val="none"/>
              </w:rPr>
              <w:t>人；</w:t>
            </w:r>
          </w:p>
          <w:p w14:paraId="6E683881">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26F9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F69A07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992" w:type="dxa"/>
            <w:tcBorders>
              <w:top w:val="single" w:color="auto" w:sz="4" w:space="0"/>
              <w:left w:val="single" w:color="auto" w:sz="4" w:space="0"/>
              <w:bottom w:val="single" w:color="auto" w:sz="4" w:space="0"/>
              <w:right w:val="single" w:color="auto" w:sz="4" w:space="0"/>
            </w:tcBorders>
            <w:vAlign w:val="center"/>
          </w:tcPr>
          <w:p w14:paraId="0DAFF99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7164" w:type="dxa"/>
            <w:tcBorders>
              <w:top w:val="single" w:color="auto" w:sz="4" w:space="0"/>
              <w:left w:val="single" w:color="auto" w:sz="4" w:space="0"/>
              <w:bottom w:val="single" w:color="auto" w:sz="4" w:space="0"/>
              <w:right w:val="single" w:color="auto" w:sz="4" w:space="0"/>
            </w:tcBorders>
            <w:vAlign w:val="center"/>
          </w:tcPr>
          <w:p w14:paraId="581844B7">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36DA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33170D5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992" w:type="dxa"/>
            <w:tcBorders>
              <w:top w:val="single" w:color="auto" w:sz="4" w:space="0"/>
              <w:left w:val="single" w:color="auto" w:sz="4" w:space="0"/>
              <w:bottom w:val="single" w:color="auto" w:sz="4" w:space="0"/>
              <w:right w:val="single" w:color="auto" w:sz="4" w:space="0"/>
            </w:tcBorders>
            <w:vAlign w:val="center"/>
          </w:tcPr>
          <w:p w14:paraId="5FDE6F97">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评标方法</w:t>
            </w:r>
          </w:p>
        </w:tc>
        <w:tc>
          <w:tcPr>
            <w:tcW w:w="7164" w:type="dxa"/>
            <w:tcBorders>
              <w:top w:val="single" w:color="auto" w:sz="4" w:space="0"/>
              <w:left w:val="single" w:color="auto" w:sz="4" w:space="0"/>
              <w:bottom w:val="single" w:color="auto" w:sz="4" w:space="0"/>
              <w:right w:val="single" w:color="auto" w:sz="4" w:space="0"/>
            </w:tcBorders>
            <w:vAlign w:val="center"/>
          </w:tcPr>
          <w:p w14:paraId="7E356B03">
            <w:pPr>
              <w:keepNext w:val="0"/>
              <w:keepLines w:val="0"/>
              <w:pageBreakBefore w:val="0"/>
              <w:widowControl w:val="0"/>
              <w:kinsoku/>
              <w:wordWrap/>
              <w:overflowPunct/>
              <w:topLinePunct w:val="0"/>
              <w:autoSpaceDE/>
              <w:autoSpaceDN/>
              <w:bidi w:val="0"/>
              <w:adjustRightInd/>
              <w:spacing w:line="380" w:lineRule="exact"/>
              <w:jc w:val="left"/>
              <w:textAlignment w:val="auto"/>
              <w:rPr>
                <w:rFonts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5FAF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7F91139D">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992" w:type="dxa"/>
            <w:tcBorders>
              <w:top w:val="single" w:color="auto" w:sz="4" w:space="0"/>
              <w:left w:val="single" w:color="auto" w:sz="4" w:space="0"/>
              <w:bottom w:val="single" w:color="auto" w:sz="4" w:space="0"/>
              <w:right w:val="single" w:color="auto" w:sz="4" w:space="0"/>
            </w:tcBorders>
            <w:vAlign w:val="center"/>
          </w:tcPr>
          <w:p w14:paraId="62CB1F34">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164" w:type="dxa"/>
            <w:tcBorders>
              <w:top w:val="single" w:color="auto" w:sz="4" w:space="0"/>
              <w:left w:val="single" w:color="auto" w:sz="4" w:space="0"/>
              <w:bottom w:val="single" w:color="auto" w:sz="4" w:space="0"/>
              <w:right w:val="single" w:color="auto" w:sz="4" w:space="0"/>
            </w:tcBorders>
            <w:vAlign w:val="center"/>
          </w:tcPr>
          <w:p w14:paraId="2078E0F6">
            <w:pPr>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3D7244E">
            <w:pPr>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046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069DB66C">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992" w:type="dxa"/>
            <w:tcBorders>
              <w:top w:val="single" w:color="auto" w:sz="4" w:space="0"/>
              <w:left w:val="single" w:color="auto" w:sz="4" w:space="0"/>
              <w:bottom w:val="single" w:color="auto" w:sz="4" w:space="0"/>
              <w:right w:val="single" w:color="auto" w:sz="4" w:space="0"/>
            </w:tcBorders>
            <w:vAlign w:val="center"/>
          </w:tcPr>
          <w:p w14:paraId="5C34CBFF">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履约保证金</w:t>
            </w:r>
          </w:p>
        </w:tc>
        <w:tc>
          <w:tcPr>
            <w:tcW w:w="7164" w:type="dxa"/>
            <w:tcBorders>
              <w:top w:val="single" w:color="auto" w:sz="4" w:space="0"/>
              <w:left w:val="single" w:color="auto" w:sz="4" w:space="0"/>
              <w:bottom w:val="single" w:color="auto" w:sz="4" w:space="0"/>
              <w:right w:val="single" w:color="auto" w:sz="4" w:space="0"/>
            </w:tcBorders>
            <w:vAlign w:val="center"/>
          </w:tcPr>
          <w:p w14:paraId="702DE4ED">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5D4B4946">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45364450">
            <w:pPr>
              <w:keepNext w:val="0"/>
              <w:keepLines w:val="0"/>
              <w:pageBreakBefore w:val="0"/>
              <w:widowControl w:val="0"/>
              <w:kinsoku/>
              <w:wordWrap/>
              <w:overflowPunct/>
              <w:topLinePunct w:val="0"/>
              <w:bidi w:val="0"/>
              <w:adjustRightInd/>
              <w:spacing w:line="38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%，成交供应商属于中小企业的按成交金额的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
                <w:color w:val="auto"/>
                <w:szCs w:val="21"/>
                <w:highlight w:val="none"/>
              </w:rPr>
              <w:t>（注：履约保证金不超过</w:t>
            </w:r>
            <w:r>
              <w:rPr>
                <w:rFonts w:hint="eastAsia"/>
                <w:b/>
                <w:color w:val="auto"/>
                <w:highlight w:val="none"/>
              </w:rPr>
              <w:t>政府采购合同金额的</w:t>
            </w:r>
            <w:r>
              <w:rPr>
                <w:rFonts w:ascii="宋体" w:hAnsi="宋体" w:cs="宋体"/>
                <w:b/>
                <w:color w:val="auto"/>
                <w:szCs w:val="21"/>
                <w:highlight w:val="none"/>
              </w:rPr>
              <w:t>5</w:t>
            </w:r>
            <w:r>
              <w:rPr>
                <w:rFonts w:hint="eastAsia" w:ascii="宋体" w:hAnsi="宋体" w:cs="宋体"/>
                <w:b/>
                <w:color w:val="auto"/>
                <w:szCs w:val="21"/>
                <w:highlight w:val="none"/>
              </w:rPr>
              <w:t>%，对中小企业收取的履约保证金数额不得超过政府采购合同金额的2%。采购人可根据供应商的资信等情况减免履约保证金。）</w:t>
            </w:r>
          </w:p>
          <w:p w14:paraId="614BCC75">
            <w:pPr>
              <w:keepNext w:val="0"/>
              <w:keepLines w:val="0"/>
              <w:pageBreakBefore w:val="0"/>
              <w:widowControl w:val="0"/>
              <w:kinsoku/>
              <w:wordWrap/>
              <w:overflowPunct/>
              <w:topLinePunct w:val="0"/>
              <w:bidi w:val="0"/>
              <w:adjustRightInd/>
              <w:spacing w:line="38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tc>
      </w:tr>
      <w:tr w14:paraId="6588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37FA9B56">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992" w:type="dxa"/>
            <w:tcBorders>
              <w:top w:val="single" w:color="auto" w:sz="4" w:space="0"/>
              <w:left w:val="single" w:color="auto" w:sz="4" w:space="0"/>
              <w:bottom w:val="single" w:color="auto" w:sz="4" w:space="0"/>
              <w:right w:val="single" w:color="auto" w:sz="4" w:space="0"/>
            </w:tcBorders>
            <w:vAlign w:val="center"/>
          </w:tcPr>
          <w:p w14:paraId="05FE548A">
            <w:pPr>
              <w:keepNext w:val="0"/>
              <w:keepLines w:val="0"/>
              <w:pageBreakBefore w:val="0"/>
              <w:widowControl w:val="0"/>
              <w:kinsoku/>
              <w:wordWrap/>
              <w:overflowPunct/>
              <w:topLinePunct w:val="0"/>
              <w:autoSpaceDE/>
              <w:autoSpaceDN/>
              <w:bidi w:val="0"/>
              <w:adjustRightInd/>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采购预算价</w:t>
            </w:r>
          </w:p>
        </w:tc>
        <w:tc>
          <w:tcPr>
            <w:tcW w:w="7164" w:type="dxa"/>
            <w:tcBorders>
              <w:top w:val="single" w:color="auto" w:sz="4" w:space="0"/>
              <w:left w:val="single" w:color="auto" w:sz="4" w:space="0"/>
              <w:bottom w:val="single" w:color="auto" w:sz="4" w:space="0"/>
              <w:right w:val="single" w:color="auto" w:sz="4" w:space="0"/>
            </w:tcBorders>
            <w:vAlign w:val="center"/>
          </w:tcPr>
          <w:p w14:paraId="6BE22911">
            <w:pPr>
              <w:keepNext w:val="0"/>
              <w:keepLines w:val="0"/>
              <w:pageBreakBefore w:val="0"/>
              <w:widowControl w:val="0"/>
              <w:kinsoku/>
              <w:wordWrap/>
              <w:overflowPunct/>
              <w:topLinePunct w:val="0"/>
              <w:autoSpaceDE/>
              <w:autoSpaceDN/>
              <w:bidi w:val="0"/>
              <w:adjustRightIn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本项目采购预算价：</w:t>
            </w:r>
            <w:r>
              <w:rPr>
                <w:rFonts w:hint="eastAsia" w:ascii="宋体" w:hAnsi="宋体" w:cs="宋体"/>
                <w:color w:val="auto"/>
                <w:szCs w:val="21"/>
                <w:highlight w:val="none"/>
                <w:lang w:val="en-US" w:eastAsia="zh-CN"/>
              </w:rPr>
              <w:t>1532766.20</w:t>
            </w:r>
            <w:r>
              <w:rPr>
                <w:rFonts w:hint="eastAsia" w:asciiTheme="minorEastAsia" w:hAnsiTheme="minorEastAsia" w:eastAsiaTheme="minorEastAsia" w:cstheme="minorEastAsia"/>
                <w:color w:val="auto"/>
                <w:spacing w:val="-3"/>
                <w:kern w:val="2"/>
                <w:sz w:val="21"/>
                <w:szCs w:val="21"/>
                <w:highlight w:val="none"/>
                <w:lang w:val="en-US" w:eastAsia="zh-CN"/>
              </w:rPr>
              <w:t>元</w:t>
            </w:r>
          </w:p>
        </w:tc>
      </w:tr>
      <w:tr w14:paraId="5132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39F8B022">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1992" w:type="dxa"/>
            <w:tcBorders>
              <w:top w:val="single" w:color="auto" w:sz="4" w:space="0"/>
              <w:left w:val="single" w:color="auto" w:sz="4" w:space="0"/>
              <w:bottom w:val="single" w:color="auto" w:sz="4" w:space="0"/>
              <w:right w:val="single" w:color="auto" w:sz="4" w:space="0"/>
            </w:tcBorders>
            <w:vAlign w:val="center"/>
          </w:tcPr>
          <w:p w14:paraId="1A45E0ED">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接收质疑函方式</w:t>
            </w:r>
          </w:p>
        </w:tc>
        <w:tc>
          <w:tcPr>
            <w:tcW w:w="7164" w:type="dxa"/>
            <w:tcBorders>
              <w:top w:val="single" w:color="auto" w:sz="4" w:space="0"/>
              <w:left w:val="single" w:color="auto" w:sz="4" w:space="0"/>
              <w:bottom w:val="single" w:color="auto" w:sz="4" w:space="0"/>
              <w:right w:val="single" w:color="auto" w:sz="4" w:space="0"/>
            </w:tcBorders>
            <w:vAlign w:val="center"/>
          </w:tcPr>
          <w:p w14:paraId="4060CEFB">
            <w:pPr>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ascii="宋体" w:hAnsi="宋体" w:cs="宋体"/>
                <w:color w:val="auto"/>
                <w:szCs w:val="21"/>
                <w:highlight w:val="none"/>
              </w:rPr>
            </w:pPr>
            <w:r>
              <w:rPr>
                <w:rFonts w:hint="eastAsia" w:ascii="宋体" w:hAnsi="宋体"/>
                <w:color w:val="auto"/>
                <w:szCs w:val="21"/>
                <w:highlight w:val="none"/>
              </w:rPr>
              <w:t>以书面形式</w:t>
            </w:r>
          </w:p>
        </w:tc>
      </w:tr>
      <w:tr w14:paraId="5A4C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CEDE557">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1992" w:type="dxa"/>
            <w:tcBorders>
              <w:top w:val="single" w:color="auto" w:sz="4" w:space="0"/>
              <w:left w:val="single" w:color="auto" w:sz="4" w:space="0"/>
              <w:bottom w:val="single" w:color="auto" w:sz="4" w:space="0"/>
              <w:right w:val="single" w:color="auto" w:sz="4" w:space="0"/>
            </w:tcBorders>
            <w:vAlign w:val="center"/>
          </w:tcPr>
          <w:p w14:paraId="3D6F1F28">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质疑联系部门及联系方式</w:t>
            </w:r>
          </w:p>
        </w:tc>
        <w:tc>
          <w:tcPr>
            <w:tcW w:w="7164" w:type="dxa"/>
            <w:tcBorders>
              <w:top w:val="single" w:color="auto" w:sz="4" w:space="0"/>
              <w:left w:val="single" w:color="auto" w:sz="4" w:space="0"/>
              <w:bottom w:val="single" w:color="auto" w:sz="4" w:space="0"/>
              <w:right w:val="single" w:color="auto" w:sz="4" w:space="0"/>
            </w:tcBorders>
            <w:vAlign w:val="center"/>
          </w:tcPr>
          <w:p w14:paraId="5C6DB0A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color w:val="auto"/>
                <w:szCs w:val="21"/>
                <w:highlight w:val="none"/>
                <w:u w:val="none"/>
                <w:lang w:eastAsia="zh-CN"/>
              </w:rPr>
            </w:pPr>
            <w:r>
              <w:rPr>
                <w:rFonts w:hint="eastAsia" w:ascii="宋体" w:hAnsi="宋体"/>
                <w:color w:val="auto"/>
                <w:szCs w:val="21"/>
                <w:highlight w:val="none"/>
                <w:u w:val="none"/>
                <w:lang w:eastAsia="zh-CN"/>
              </w:rPr>
              <w:t xml:space="preserve">广西中佰项目管理有限公司 </w:t>
            </w:r>
          </w:p>
          <w:p w14:paraId="01690176">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default" w:ascii="宋体" w:hAnsi="宋体" w:eastAsia="宋体"/>
                <w:color w:val="auto"/>
                <w:szCs w:val="21"/>
                <w:highlight w:val="none"/>
                <w:u w:val="none"/>
                <w:lang w:val="en-US" w:eastAsia="zh-CN"/>
              </w:rPr>
            </w:pPr>
            <w:r>
              <w:rPr>
                <w:rFonts w:ascii="宋体" w:hAnsi="宋体"/>
                <w:color w:val="auto"/>
                <w:szCs w:val="21"/>
                <w:highlight w:val="none"/>
                <w:u w:val="none"/>
              </w:rPr>
              <w:t>联系电话</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0777-8331248</w:t>
            </w:r>
          </w:p>
          <w:p w14:paraId="49DF1B19">
            <w:pPr>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Ansi="宋体"/>
                <w:b/>
                <w:color w:val="auto"/>
                <w:highlight w:val="none"/>
              </w:rPr>
            </w:pPr>
            <w:r>
              <w:rPr>
                <w:rFonts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Times New Roman"/>
                <w:color w:val="auto"/>
                <w:szCs w:val="21"/>
                <w:highlight w:val="none"/>
                <w:u w:val="none"/>
                <w:lang w:eastAsia="zh-CN"/>
              </w:rPr>
              <w:t>浦北县小江镇东滨路（东方丽园）9幢32号</w:t>
            </w:r>
          </w:p>
        </w:tc>
      </w:tr>
      <w:tr w14:paraId="707C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3D6649C9">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992" w:type="dxa"/>
            <w:tcBorders>
              <w:top w:val="single" w:color="auto" w:sz="4" w:space="0"/>
              <w:left w:val="single" w:color="auto" w:sz="4" w:space="0"/>
              <w:bottom w:val="single" w:color="auto" w:sz="4" w:space="0"/>
              <w:right w:val="single" w:color="auto" w:sz="4" w:space="0"/>
            </w:tcBorders>
            <w:vAlign w:val="center"/>
          </w:tcPr>
          <w:p w14:paraId="5A8A286E">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ascii="宋体" w:hAnsi="宋体" w:cs="宋体"/>
                <w:color w:val="auto"/>
                <w:szCs w:val="21"/>
                <w:highlight w:val="none"/>
              </w:rPr>
            </w:pPr>
            <w:r>
              <w:rPr>
                <w:rFonts w:hint="eastAsia" w:hAnsi="宋体"/>
                <w:color w:val="auto"/>
                <w:highlight w:val="none"/>
              </w:rPr>
              <w:t>现场提交质疑办理业务时间</w:t>
            </w:r>
          </w:p>
        </w:tc>
        <w:tc>
          <w:tcPr>
            <w:tcW w:w="7164" w:type="dxa"/>
            <w:tcBorders>
              <w:top w:val="single" w:color="auto" w:sz="4" w:space="0"/>
              <w:left w:val="single" w:color="auto" w:sz="4" w:space="0"/>
              <w:bottom w:val="single" w:color="auto" w:sz="4" w:space="0"/>
              <w:right w:val="single" w:color="auto" w:sz="4" w:space="0"/>
            </w:tcBorders>
            <w:vAlign w:val="center"/>
          </w:tcPr>
          <w:p w14:paraId="3687CCE2">
            <w:pPr>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7F47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C6EA585">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1992" w:type="dxa"/>
            <w:tcBorders>
              <w:top w:val="single" w:color="auto" w:sz="4" w:space="0"/>
              <w:left w:val="single" w:color="auto" w:sz="4" w:space="0"/>
              <w:bottom w:val="single" w:color="auto" w:sz="4" w:space="0"/>
              <w:right w:val="single" w:color="auto" w:sz="4" w:space="0"/>
            </w:tcBorders>
            <w:vAlign w:val="center"/>
          </w:tcPr>
          <w:p w14:paraId="244D1E69">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hAnsi="宋体"/>
                <w:color w:val="auto"/>
                <w:highlight w:val="none"/>
              </w:rPr>
            </w:pPr>
            <w:r>
              <w:rPr>
                <w:rFonts w:hint="eastAsia" w:ascii="宋体" w:hAnsi="宋体" w:cs="宋体"/>
                <w:color w:val="auto"/>
                <w:szCs w:val="21"/>
                <w:highlight w:val="none"/>
              </w:rPr>
              <w:t>采购代理费</w:t>
            </w:r>
          </w:p>
        </w:tc>
        <w:tc>
          <w:tcPr>
            <w:tcW w:w="7164" w:type="dxa"/>
            <w:tcBorders>
              <w:top w:val="single" w:color="auto" w:sz="4" w:space="0"/>
              <w:left w:val="single" w:color="auto" w:sz="4" w:space="0"/>
              <w:bottom w:val="single" w:color="auto" w:sz="4" w:space="0"/>
              <w:right w:val="single" w:color="auto" w:sz="4" w:space="0"/>
            </w:tcBorders>
            <w:vAlign w:val="center"/>
          </w:tcPr>
          <w:p w14:paraId="3F4EB245">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1.代理服务费：按国家计委计价格[2002]1980号和发改办[2003]857号文规定由招标代理机构向成交供应商收取。即按成交金额100万元以下为1.0%，100-500万元为0.7%，并且按差额定率累进法计算。</w:t>
            </w:r>
          </w:p>
          <w:p w14:paraId="31C9082E">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 代理服务费收取银行账户：</w:t>
            </w:r>
          </w:p>
          <w:p w14:paraId="523C64B0">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开户名称：广西中佰项目管理有限公司 </w:t>
            </w:r>
          </w:p>
          <w:p w14:paraId="66561078">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  号：4505 0110 1205 0000 1410</w:t>
            </w:r>
          </w:p>
          <w:p w14:paraId="03964E2F">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olor w:val="auto"/>
                <w:highlight w:val="none"/>
              </w:rPr>
            </w:pPr>
            <w:r>
              <w:rPr>
                <w:rFonts w:hint="eastAsia" w:hAnsi="宋体" w:cs="宋体"/>
                <w:color w:val="auto"/>
                <w:sz w:val="21"/>
                <w:highlight w:val="none"/>
                <w:lang w:val="en-US" w:eastAsia="zh-CN"/>
              </w:rPr>
              <w:t>开户行：中国建设银行股份有限公司浦北支行</w:t>
            </w:r>
          </w:p>
        </w:tc>
      </w:tr>
      <w:tr w14:paraId="031B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347BDBE0">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1992" w:type="dxa"/>
            <w:tcBorders>
              <w:top w:val="single" w:color="auto" w:sz="4" w:space="0"/>
              <w:left w:val="single" w:color="auto" w:sz="4" w:space="0"/>
              <w:bottom w:val="single" w:color="auto" w:sz="4" w:space="0"/>
              <w:right w:val="single" w:color="auto" w:sz="4" w:space="0"/>
            </w:tcBorders>
            <w:vAlign w:val="center"/>
          </w:tcPr>
          <w:p w14:paraId="27F41F7F">
            <w:pPr>
              <w:keepNext w:val="0"/>
              <w:keepLines w:val="0"/>
              <w:pageBreakBefore w:val="0"/>
              <w:widowControl w:val="0"/>
              <w:kinsoku/>
              <w:wordWrap/>
              <w:overflowPunct/>
              <w:topLinePunct w:val="0"/>
              <w:autoSpaceDE/>
              <w:autoSpaceDN/>
              <w:bidi w:val="0"/>
              <w:adjustRightInd/>
              <w:spacing w:line="380" w:lineRule="exact"/>
              <w:ind w:left="0" w:leftChars="0"/>
              <w:jc w:val="center"/>
              <w:textAlignment w:val="auto"/>
              <w:rPr>
                <w:rFonts w:hint="eastAsia" w:ascii="宋体" w:hAnsi="宋体" w:cs="宋体"/>
                <w:color w:val="auto"/>
                <w:szCs w:val="21"/>
                <w:highlight w:val="none"/>
              </w:rPr>
            </w:pPr>
            <w:r>
              <w:rPr>
                <w:rFonts w:hint="eastAsia" w:hAnsi="宋体"/>
                <w:color w:val="auto"/>
                <w:highlight w:val="none"/>
              </w:rPr>
              <w:t>解释</w:t>
            </w:r>
          </w:p>
        </w:tc>
        <w:tc>
          <w:tcPr>
            <w:tcW w:w="7164" w:type="dxa"/>
            <w:tcBorders>
              <w:top w:val="single" w:color="auto" w:sz="4" w:space="0"/>
              <w:left w:val="single" w:color="auto" w:sz="4" w:space="0"/>
              <w:bottom w:val="single" w:color="auto" w:sz="4" w:space="0"/>
              <w:right w:val="single" w:color="auto" w:sz="4" w:space="0"/>
            </w:tcBorders>
            <w:vAlign w:val="center"/>
          </w:tcPr>
          <w:p w14:paraId="52E9F3C5">
            <w:pPr>
              <w:pStyle w:val="13"/>
              <w:keepNext w:val="0"/>
              <w:keepLines w:val="0"/>
              <w:pageBreakBefore w:val="0"/>
              <w:widowControl w:val="0"/>
              <w:kinsoku/>
              <w:wordWrap/>
              <w:overflowPunct/>
              <w:topLinePunct w:val="0"/>
              <w:autoSpaceDE/>
              <w:autoSpaceDN/>
              <w:bidi w:val="0"/>
              <w:adjustRightInd/>
              <w:snapToGrid w:val="0"/>
              <w:spacing w:line="380" w:lineRule="exact"/>
              <w:ind w:left="0"/>
              <w:textAlignment w:val="auto"/>
              <w:rPr>
                <w:rFonts w:hint="eastAsia" w:hAnsi="宋体" w:cs="宋体"/>
                <w:b/>
                <w:color w:val="auto"/>
                <w:sz w:val="21"/>
                <w:highlight w:val="none"/>
                <w:lang w:val="en-US" w:eastAsia="zh-CN"/>
              </w:rPr>
            </w:pPr>
            <w:r>
              <w:rPr>
                <w:rFonts w:hint="eastAsia" w:hAnsi="宋体" w:cs="宋体"/>
                <w:b/>
                <w:color w:val="auto"/>
                <w:sz w:val="21"/>
                <w:highlight w:val="none"/>
                <w:lang w:val="en-US" w:eastAsia="zh-CN"/>
              </w:rPr>
              <w:t>解释权：</w:t>
            </w:r>
            <w:r>
              <w:rPr>
                <w:rFonts w:hAnsi="宋体" w:cs="宋体"/>
                <w:color w:val="auto"/>
                <w:sz w:val="21"/>
                <w:highlight w:val="none"/>
                <w:lang w:val="en-US" w:eastAsia="zh-CN"/>
              </w:rPr>
              <w:t>构成本</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竞争性磋商</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评审程序、评审方法和评审标准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磋商文件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w:t>
            </w:r>
            <w:r>
              <w:rPr>
                <w:rFonts w:hAnsi="宋体" w:cs="宋体"/>
                <w:b/>
                <w:color w:val="auto"/>
                <w:sz w:val="21"/>
                <w:highlight w:val="none"/>
                <w:lang w:val="en-US" w:eastAsia="zh-CN"/>
              </w:rPr>
              <w:t>由</w:t>
            </w:r>
            <w:r>
              <w:rPr>
                <w:rFonts w:hint="eastAsia" w:hAnsi="宋体" w:cs="宋体"/>
                <w:b/>
                <w:color w:val="auto"/>
                <w:sz w:val="21"/>
                <w:highlight w:val="none"/>
                <w:lang w:val="en-US" w:eastAsia="zh-CN"/>
              </w:rPr>
              <w:t>采购</w:t>
            </w:r>
            <w:r>
              <w:rPr>
                <w:rFonts w:hAnsi="宋体" w:cs="宋体"/>
                <w:b/>
                <w:color w:val="auto"/>
                <w:sz w:val="21"/>
                <w:highlight w:val="none"/>
                <w:lang w:val="en-US" w:eastAsia="zh-CN"/>
              </w:rPr>
              <w:t>人</w:t>
            </w:r>
            <w:r>
              <w:rPr>
                <w:rFonts w:hint="eastAsia" w:hAnsi="宋体" w:cs="宋体"/>
                <w:b/>
                <w:color w:val="auto"/>
                <w:sz w:val="21"/>
                <w:highlight w:val="none"/>
                <w:lang w:val="en-US" w:eastAsia="zh-CN"/>
              </w:rPr>
              <w:t>或者采购代理机构</w:t>
            </w:r>
            <w:r>
              <w:rPr>
                <w:rFonts w:hAnsi="宋体" w:cs="宋体"/>
                <w:b/>
                <w:color w:val="auto"/>
                <w:sz w:val="21"/>
                <w:highlight w:val="none"/>
                <w:lang w:val="en-US" w:eastAsia="zh-CN"/>
              </w:rPr>
              <w:t>负责解释。</w:t>
            </w:r>
          </w:p>
          <w:p w14:paraId="16080607">
            <w:pPr>
              <w:pStyle w:val="13"/>
              <w:keepNext w:val="0"/>
              <w:keepLines w:val="0"/>
              <w:pageBreakBefore w:val="0"/>
              <w:widowControl w:val="0"/>
              <w:kinsoku/>
              <w:wordWrap/>
              <w:overflowPunct/>
              <w:topLinePunct w:val="0"/>
              <w:autoSpaceDE/>
              <w:autoSpaceDN/>
              <w:bidi w:val="0"/>
              <w:adjustRightInd/>
              <w:snapToGrid w:val="0"/>
              <w:spacing w:line="380" w:lineRule="exact"/>
              <w:ind w:left="0" w:leftChars="0"/>
              <w:textAlignment w:val="auto"/>
              <w:rPr>
                <w:rFonts w:hint="eastAsia" w:ascii="宋体" w:hAnsi="宋体" w:eastAsia="宋体" w:cs="宋体"/>
                <w:color w:val="auto"/>
                <w:sz w:val="21"/>
                <w:highlight w:val="none"/>
                <w:lang w:val="en-US" w:eastAsia="zh-CN"/>
              </w:rPr>
            </w:pPr>
            <w:r>
              <w:rPr>
                <w:rFonts w:hint="eastAsia" w:hAnsi="宋体" w:cs="宋体"/>
                <w:b/>
                <w:color w:val="auto"/>
                <w:sz w:val="21"/>
                <w:highlight w:val="none"/>
                <w:lang w:val="en-US" w:eastAsia="zh-CN"/>
              </w:rPr>
              <w:t>法律责任：</w:t>
            </w:r>
            <w:r>
              <w:rPr>
                <w:rFonts w:hint="eastAsia" w:hAnsi="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CC0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2C30BED6">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992" w:type="dxa"/>
            <w:tcBorders>
              <w:top w:val="single" w:color="auto" w:sz="4" w:space="0"/>
              <w:left w:val="single" w:color="auto" w:sz="4" w:space="0"/>
              <w:bottom w:val="single" w:color="auto" w:sz="4" w:space="0"/>
              <w:right w:val="single" w:color="auto" w:sz="4" w:space="0"/>
            </w:tcBorders>
            <w:vAlign w:val="center"/>
          </w:tcPr>
          <w:p w14:paraId="36757DC9">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64" w:type="dxa"/>
            <w:tcBorders>
              <w:top w:val="single" w:color="auto" w:sz="4" w:space="0"/>
              <w:left w:val="single" w:color="auto" w:sz="4" w:space="0"/>
              <w:bottom w:val="single" w:color="auto" w:sz="4" w:space="0"/>
              <w:right w:val="single" w:color="auto" w:sz="4" w:space="0"/>
            </w:tcBorders>
            <w:vAlign w:val="center"/>
          </w:tcPr>
          <w:p w14:paraId="23B90F23">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DB1E297">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4FFDD9F9">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Ansi="宋体" w:cs="宋体"/>
                <w:color w:val="auto"/>
                <w:sz w:val="21"/>
                <w:highlight w:val="none"/>
                <w:lang w:val="en-US" w:eastAsia="zh-CN"/>
              </w:rPr>
            </w:pPr>
            <w:r>
              <w:rPr>
                <w:rFonts w:hint="eastAsia" w:hAnsi="宋体" w:cs="宋体"/>
                <w:color w:val="auto"/>
                <w:sz w:val="21"/>
                <w:highlight w:val="none"/>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90FD29">
            <w:pPr>
              <w:pStyle w:val="13"/>
              <w:keepNext w:val="0"/>
              <w:keepLines w:val="0"/>
              <w:pageBreakBefore w:val="0"/>
              <w:widowControl w:val="0"/>
              <w:kinsoku/>
              <w:wordWrap/>
              <w:overflowPunct/>
              <w:topLinePunct w:val="0"/>
              <w:autoSpaceDE/>
              <w:autoSpaceDN/>
              <w:bidi w:val="0"/>
              <w:adjustRightInd/>
              <w:snapToGrid/>
              <w:spacing w:line="380" w:lineRule="exact"/>
              <w:ind w:left="0"/>
              <w:textAlignment w:val="auto"/>
              <w:rPr>
                <w:rFonts w:hAnsi="宋体" w:cs="宋体"/>
                <w:color w:val="auto"/>
                <w:sz w:val="21"/>
                <w:highlight w:val="none"/>
                <w:lang w:val="en-US" w:eastAsia="zh-CN"/>
              </w:rPr>
            </w:pPr>
            <w:r>
              <w:rPr>
                <w:rFonts w:hint="eastAsia" w:hAnsi="宋体" w:cs="宋体"/>
                <w:color w:val="auto"/>
                <w:sz w:val="21"/>
                <w:highlight w:val="none"/>
                <w:lang w:val="en-US" w:eastAsia="zh-CN"/>
              </w:rPr>
              <w:t>4</w:t>
            </w:r>
            <w:r>
              <w:rPr>
                <w:rFonts w:hAnsi="宋体" w:cs="宋体"/>
                <w:color w:val="auto"/>
                <w:sz w:val="21"/>
                <w:highlight w:val="none"/>
                <w:lang w:val="en-US" w:eastAsia="zh-CN"/>
              </w:rPr>
              <w:t>.</w:t>
            </w:r>
            <w:r>
              <w:rPr>
                <w:rFonts w:hint="eastAsia" w:hAnsi="宋体" w:cs="宋体"/>
                <w:color w:val="auto"/>
                <w:sz w:val="21"/>
                <w:highlight w:val="none"/>
                <w:lang w:val="en-US" w:eastAsia="zh-CN"/>
              </w:rPr>
              <w:t>自然人竞标的，磋商文件规定盖公章处由自然人摁手指指印。</w:t>
            </w:r>
          </w:p>
          <w:p w14:paraId="7732A92A">
            <w:pPr>
              <w:pStyle w:val="13"/>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本磋商文件所称的“以上”“以下”“以内”“届满”，包括本数；所称的“不满”“超过”“以外”，不包括本数。</w:t>
            </w:r>
          </w:p>
        </w:tc>
      </w:tr>
      <w:tr w14:paraId="032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151C213F">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1992" w:type="dxa"/>
            <w:tcBorders>
              <w:top w:val="single" w:color="auto" w:sz="4" w:space="0"/>
              <w:left w:val="single" w:color="auto" w:sz="4" w:space="0"/>
              <w:bottom w:val="single" w:color="auto" w:sz="4" w:space="0"/>
              <w:right w:val="single" w:color="auto" w:sz="4" w:space="0"/>
            </w:tcBorders>
            <w:vAlign w:val="center"/>
          </w:tcPr>
          <w:p w14:paraId="0B8349F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cs="宋体"/>
                <w:color w:val="auto"/>
                <w:szCs w:val="21"/>
                <w:highlight w:val="none"/>
              </w:rPr>
            </w:pPr>
            <w:r>
              <w:rPr>
                <w:rFonts w:hint="eastAsia" w:ascii="宋体" w:hAnsi="宋体" w:eastAsia="宋体" w:cs="宋体"/>
                <w:b/>
                <w:color w:val="auto"/>
                <w:spacing w:val="0"/>
                <w:szCs w:val="21"/>
                <w:highlight w:val="none"/>
              </w:rPr>
              <w:t>特别说明</w:t>
            </w:r>
          </w:p>
        </w:tc>
        <w:tc>
          <w:tcPr>
            <w:tcW w:w="7164" w:type="dxa"/>
            <w:tcBorders>
              <w:top w:val="single" w:color="auto" w:sz="4" w:space="0"/>
              <w:left w:val="single" w:color="auto" w:sz="4" w:space="0"/>
              <w:bottom w:val="single" w:color="auto" w:sz="4" w:space="0"/>
              <w:right w:val="single" w:color="auto" w:sz="4" w:space="0"/>
            </w:tcBorders>
            <w:vAlign w:val="center"/>
          </w:tcPr>
          <w:p w14:paraId="71E0F42E">
            <w:pPr>
              <w:pStyle w:val="13"/>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color w:val="auto"/>
                <w:highlight w:val="none"/>
                <w:lang w:eastAsia="zh-CN"/>
              </w:rPr>
            </w:pPr>
            <w:r>
              <w:rPr>
                <w:rFonts w:hint="eastAsia"/>
                <w:color w:val="auto"/>
                <w:highlight w:val="none"/>
              </w:rPr>
              <w:t>（1）</w:t>
            </w:r>
            <w:r>
              <w:rPr>
                <w:rFonts w:hint="eastAsia"/>
                <w:color w:val="auto"/>
                <w:highlight w:val="none"/>
                <w:lang w:eastAsia="zh-CN"/>
              </w:rPr>
              <w:t>响应文件</w:t>
            </w:r>
            <w:r>
              <w:rPr>
                <w:rFonts w:hint="eastAsia"/>
                <w:color w:val="auto"/>
                <w:highlight w:val="none"/>
              </w:rPr>
              <w:t>中须加盖供应商公章位置均采用CA签章，并根据“政府采购项目电子交易管理操作指南-供应商”及本</w:t>
            </w:r>
            <w:r>
              <w:rPr>
                <w:rFonts w:hint="eastAsia"/>
                <w:color w:val="auto"/>
                <w:highlight w:val="none"/>
                <w:lang w:eastAsia="zh-CN"/>
              </w:rPr>
              <w:t>竞争性磋商文件</w:t>
            </w:r>
            <w:r>
              <w:rPr>
                <w:rFonts w:hint="eastAsia"/>
                <w:color w:val="auto"/>
                <w:highlight w:val="none"/>
              </w:rPr>
              <w:t>规定的</w:t>
            </w:r>
            <w:r>
              <w:rPr>
                <w:rFonts w:hint="eastAsia"/>
                <w:color w:val="auto"/>
                <w:highlight w:val="none"/>
                <w:lang w:eastAsia="zh-CN"/>
              </w:rPr>
              <w:t>要求</w:t>
            </w:r>
            <w:r>
              <w:rPr>
                <w:rFonts w:hint="eastAsia"/>
                <w:color w:val="auto"/>
                <w:highlight w:val="none"/>
              </w:rPr>
              <w:t>编制</w:t>
            </w:r>
            <w:r>
              <w:rPr>
                <w:rFonts w:hint="eastAsia"/>
                <w:color w:val="auto"/>
                <w:highlight w:val="none"/>
                <w:lang w:eastAsia="zh-CN"/>
              </w:rPr>
              <w:t>响应文件</w:t>
            </w:r>
            <w:r>
              <w:rPr>
                <w:rFonts w:hint="eastAsia"/>
                <w:color w:val="auto"/>
                <w:highlight w:val="none"/>
              </w:rPr>
              <w:t>并进行关联定位，以便</w:t>
            </w:r>
            <w:r>
              <w:rPr>
                <w:rFonts w:hint="eastAsia"/>
                <w:color w:val="auto"/>
                <w:highlight w:val="none"/>
                <w:lang w:eastAsia="zh-CN"/>
              </w:rPr>
              <w:t>磋商小组</w:t>
            </w:r>
            <w:r>
              <w:rPr>
                <w:rFonts w:hint="eastAsia"/>
                <w:color w:val="auto"/>
                <w:highlight w:val="none"/>
              </w:rPr>
              <w:t>在评审时，点击评分项可直接定位到该评分项内容。如对</w:t>
            </w:r>
            <w:r>
              <w:rPr>
                <w:rFonts w:hint="eastAsia"/>
                <w:color w:val="auto"/>
                <w:highlight w:val="none"/>
                <w:lang w:eastAsia="zh-CN"/>
              </w:rPr>
              <w:t>竞争性磋商文件</w:t>
            </w:r>
            <w:r>
              <w:rPr>
                <w:rFonts w:hint="eastAsia"/>
                <w:color w:val="auto"/>
                <w:highlight w:val="none"/>
              </w:rPr>
              <w:t>的某项要求，供应商的</w:t>
            </w:r>
            <w:r>
              <w:rPr>
                <w:rFonts w:hint="eastAsia"/>
                <w:color w:val="auto"/>
                <w:highlight w:val="none"/>
                <w:lang w:eastAsia="zh-CN"/>
              </w:rPr>
              <w:t>响应文件</w:t>
            </w:r>
            <w:r>
              <w:rPr>
                <w:rFonts w:hint="eastAsia"/>
                <w:color w:val="auto"/>
                <w:highlight w:val="none"/>
              </w:rPr>
              <w:t>未能关联定位提供相应的内容与其对应，</w:t>
            </w:r>
            <w:r>
              <w:rPr>
                <w:rFonts w:hint="eastAsia"/>
                <w:color w:val="auto"/>
                <w:highlight w:val="none"/>
                <w:lang w:eastAsia="zh-CN"/>
              </w:rPr>
              <w:t>则磋商小组在评审时如做出对供应商不利的评审由供应商自行承担。响应文件如内容不完整、编排混乱导致响应文件被误读、 漏读，或者在按磋商文件规定的部位查找不到相关内容的，由供应商自行承担。</w:t>
            </w:r>
          </w:p>
          <w:p w14:paraId="3F58A49F">
            <w:pPr>
              <w:pStyle w:val="13"/>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color w:val="auto"/>
                <w:highlight w:val="none"/>
              </w:rPr>
            </w:pPr>
            <w:r>
              <w:rPr>
                <w:rFonts w:hint="eastAsia"/>
                <w:color w:val="auto"/>
                <w:highlight w:val="none"/>
                <w:lang w:eastAsia="zh-CN"/>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color w:val="auto"/>
                <w:highlight w:val="none"/>
              </w:rPr>
              <w:t>。</w:t>
            </w:r>
          </w:p>
          <w:p w14:paraId="410FC139">
            <w:pPr>
              <w:pStyle w:val="47"/>
              <w:keepNext w:val="0"/>
              <w:keepLines w:val="0"/>
              <w:pageBreakBefore w:val="0"/>
              <w:widowControl w:val="0"/>
              <w:kinsoku/>
              <w:wordWrap/>
              <w:overflowPunct/>
              <w:topLinePunct w:val="0"/>
              <w:autoSpaceDE/>
              <w:autoSpaceDN/>
              <w:bidi w:val="0"/>
              <w:adjustRightInd/>
              <w:snapToGrid/>
              <w:spacing w:before="0" w:after="0" w:line="380" w:lineRule="exact"/>
              <w:ind w:left="0" w:leftChars="0" w:firstLine="0" w:firstLineChars="0"/>
              <w:textAlignment w:val="auto"/>
              <w:rPr>
                <w:rFonts w:hint="eastAsia"/>
                <w:color w:val="auto"/>
                <w:highlight w:val="none"/>
                <w:lang w:val="en-US" w:eastAsia="zh-CN"/>
              </w:rPr>
            </w:pPr>
            <w:r>
              <w:rPr>
                <w:rFonts w:hint="eastAsia" w:ascii="Times New Roman" w:eastAsia="宋体" w:cs="Times New Roman"/>
                <w:bCs w:val="0"/>
                <w:color w:val="auto"/>
                <w:spacing w:val="0"/>
                <w:kern w:val="2"/>
                <w:sz w:val="21"/>
                <w:szCs w:val="24"/>
                <w:highlight w:val="none"/>
                <w:lang w:val="en-US" w:eastAsia="zh-CN" w:bidi="ar-SA"/>
              </w:rPr>
              <w:t>（3）补充事项：</w:t>
            </w:r>
            <w:r>
              <w:rPr>
                <w:rFonts w:hint="eastAsia" w:ascii="Times New Roman" w:hAnsi="Times New Roman" w:eastAsia="宋体" w:cs="Times New Roman"/>
                <w:bCs w:val="0"/>
                <w:color w:val="auto"/>
                <w:spacing w:val="0"/>
                <w:kern w:val="2"/>
                <w:sz w:val="21"/>
                <w:szCs w:val="24"/>
                <w:highlight w:val="none"/>
                <w:lang w:val="en-US" w:eastAsia="zh-CN" w:bidi="ar-SA"/>
              </w:rPr>
              <w:t>成交</w:t>
            </w:r>
            <w:r>
              <w:rPr>
                <w:rFonts w:hint="eastAsia" w:ascii="Times New Roman" w:eastAsia="宋体" w:cs="Times New Roman"/>
                <w:bCs w:val="0"/>
                <w:color w:val="auto"/>
                <w:spacing w:val="0"/>
                <w:kern w:val="2"/>
                <w:sz w:val="21"/>
                <w:szCs w:val="24"/>
                <w:highlight w:val="none"/>
                <w:lang w:val="en-US" w:eastAsia="zh-CN" w:bidi="ar-SA"/>
              </w:rPr>
              <w:t>供应商</w:t>
            </w:r>
            <w:r>
              <w:rPr>
                <w:rFonts w:hint="eastAsia" w:ascii="Times New Roman" w:hAnsi="Times New Roman" w:eastAsia="宋体" w:cs="Times New Roman"/>
                <w:bCs w:val="0"/>
                <w:color w:val="auto"/>
                <w:spacing w:val="0"/>
                <w:kern w:val="2"/>
                <w:sz w:val="21"/>
                <w:szCs w:val="24"/>
                <w:highlight w:val="none"/>
                <w:lang w:val="en-US" w:eastAsia="zh-CN" w:bidi="ar-SA"/>
              </w:rPr>
              <w:t>需在确定成交3日内打印盖章响应文件</w:t>
            </w:r>
            <w:r>
              <w:rPr>
                <w:rFonts w:hint="eastAsia" w:ascii="Times New Roman" w:eastAsia="宋体" w:cs="Times New Roman"/>
                <w:bCs w:val="0"/>
                <w:color w:val="auto"/>
                <w:spacing w:val="0"/>
                <w:kern w:val="2"/>
                <w:sz w:val="21"/>
                <w:szCs w:val="24"/>
                <w:highlight w:val="none"/>
                <w:lang w:val="en-US" w:eastAsia="zh-CN" w:bidi="ar-SA"/>
              </w:rPr>
              <w:t>（一式三份）</w:t>
            </w:r>
            <w:r>
              <w:rPr>
                <w:rFonts w:hint="eastAsia" w:ascii="Times New Roman" w:hAnsi="Times New Roman" w:eastAsia="宋体" w:cs="Times New Roman"/>
                <w:bCs w:val="0"/>
                <w:color w:val="auto"/>
                <w:spacing w:val="0"/>
                <w:kern w:val="2"/>
                <w:sz w:val="21"/>
                <w:szCs w:val="24"/>
                <w:highlight w:val="none"/>
                <w:lang w:val="en-US" w:eastAsia="zh-CN" w:bidi="ar-SA"/>
              </w:rPr>
              <w:t>提供给代理机构，作为成果文件装订使用。</w:t>
            </w:r>
          </w:p>
        </w:tc>
      </w:tr>
    </w:tbl>
    <w:p w14:paraId="243CA684">
      <w:pPr>
        <w:rPr>
          <w:rFonts w:hint="eastAsia" w:ascii="宋体" w:hAnsi="宋体" w:cs="宋体"/>
          <w:b/>
          <w:bCs w:val="0"/>
          <w:color w:val="auto"/>
          <w:sz w:val="32"/>
          <w:szCs w:val="32"/>
          <w:highlight w:val="none"/>
          <w:lang w:val="en-US" w:eastAsia="zh-CN"/>
        </w:rPr>
      </w:pPr>
      <w:bookmarkStart w:id="63" w:name="_Toc16298"/>
      <w:bookmarkStart w:id="64" w:name="_Toc8441"/>
    </w:p>
    <w:p w14:paraId="1BB809A4">
      <w:pPr>
        <w:pStyle w:val="2"/>
        <w:keepNext/>
        <w:keepLines/>
        <w:pageBreakBefore w:val="0"/>
        <w:widowControl w:val="0"/>
        <w:kinsoku/>
        <w:wordWrap/>
        <w:overflowPunct/>
        <w:topLinePunct w:val="0"/>
        <w:autoSpaceDE/>
        <w:autoSpaceDN/>
        <w:bidi w:val="0"/>
        <w:adjustRightInd/>
        <w:snapToGrid/>
        <w:spacing w:before="0" w:beforeLines="50" w:after="0" w:line="600" w:lineRule="exact"/>
        <w:jc w:val="center"/>
        <w:textAlignment w:val="auto"/>
        <w:rPr>
          <w:rFonts w:ascii="宋体" w:hAnsi="宋体" w:cs="宋体"/>
          <w:b/>
          <w:bCs w:val="0"/>
          <w:color w:val="auto"/>
          <w:szCs w:val="21"/>
          <w:highlight w:val="none"/>
        </w:rPr>
      </w:pPr>
      <w:r>
        <w:rPr>
          <w:rFonts w:hint="eastAsia" w:ascii="宋体" w:hAnsi="宋体" w:cs="宋体"/>
          <w:b/>
          <w:bCs w:val="0"/>
          <w:color w:val="auto"/>
          <w:sz w:val="32"/>
          <w:szCs w:val="32"/>
          <w:highlight w:val="none"/>
          <w:lang w:val="en-US" w:eastAsia="zh-CN"/>
        </w:rPr>
        <w:t>供应商</w:t>
      </w:r>
      <w:r>
        <w:rPr>
          <w:rFonts w:hint="eastAsia" w:ascii="宋体" w:hAnsi="宋体" w:cs="宋体"/>
          <w:b/>
          <w:bCs w:val="0"/>
          <w:color w:val="auto"/>
          <w:sz w:val="32"/>
          <w:szCs w:val="32"/>
          <w:highlight w:val="none"/>
        </w:rPr>
        <w:t>须知</w:t>
      </w:r>
      <w:bookmarkEnd w:id="63"/>
      <w:bookmarkEnd w:id="64"/>
    </w:p>
    <w:p w14:paraId="42E44001">
      <w:pPr>
        <w:keepNext w:val="0"/>
        <w:keepLines w:val="0"/>
        <w:pageBreakBefore w:val="0"/>
        <w:widowControl w:val="0"/>
        <w:kinsoku/>
        <w:wordWrap/>
        <w:overflowPunct/>
        <w:topLinePunct w:val="0"/>
        <w:autoSpaceDE/>
        <w:autoSpaceDN/>
        <w:bidi w:val="0"/>
        <w:adjustRightInd/>
        <w:spacing w:line="380" w:lineRule="exact"/>
        <w:textAlignment w:val="auto"/>
        <w:rPr>
          <w:rFonts w:ascii="宋体" w:hAnsi="宋体" w:cs="宋体"/>
          <w:b/>
          <w:color w:val="auto"/>
          <w:szCs w:val="21"/>
          <w:highlight w:val="none"/>
        </w:rPr>
      </w:pPr>
      <w:r>
        <w:rPr>
          <w:rFonts w:hint="eastAsia" w:ascii="宋体" w:hAnsi="宋体" w:cs="宋体"/>
          <w:b/>
          <w:color w:val="auto"/>
          <w:szCs w:val="21"/>
          <w:highlight w:val="none"/>
        </w:rPr>
        <w:t>一、总则</w:t>
      </w:r>
    </w:p>
    <w:p w14:paraId="244743E7">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E9F5DC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025BEDB">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本竞争性磋商文件适用于本项目的所有采购程序和环节 (法律、法规另有规定的，从其规定) 。</w:t>
      </w:r>
    </w:p>
    <w:p w14:paraId="23D95408">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2.定义</w:t>
      </w:r>
    </w:p>
    <w:p w14:paraId="3BCD9C5A">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84A4DE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 (以下简称采购代理机构) 是指集中采购机构以外、受采购人委托从事政府采购代理业务的社会中介机构。</w:t>
      </w:r>
    </w:p>
    <w:p w14:paraId="3E7225D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01290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0A3206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7A1975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282D8E2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44C034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4F64EE5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26AA794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1069A5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 (包括电报、电传、传真、电子数据交换和电子邮件) 等可以有形地表现所载内容的形式。</w:t>
      </w:r>
    </w:p>
    <w:p w14:paraId="78F388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2.12“首次报价”是指供应商提交的首次响应文件中的报价。                     </w:t>
      </w:r>
    </w:p>
    <w:p w14:paraId="5E12C8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1B303300">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7163F2B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4868047">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0120BC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供应商应承担参与本次采购活动有关的所有费用，包括但不限于获取磋商文件、勘查现场、编制和提交响应文件、参加磋商与应答、签订合同等，不论磋商结果如何，均应自行承担。  </w:t>
      </w:r>
    </w:p>
    <w:p w14:paraId="6572B6B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3BC63E4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 本项目不接受联合体竞标。</w:t>
      </w:r>
    </w:p>
    <w:p w14:paraId="45E50469">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900A22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 本项目不允许转包。</w:t>
      </w:r>
    </w:p>
    <w:p w14:paraId="281F61B0">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534B10A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 如果本磋商文件要求供应商提供资格、信誉、荣誉、业绩与企业认证等材料的，则供应商所提供的以上材料必须为供应商所拥有。</w:t>
      </w:r>
    </w:p>
    <w:p w14:paraId="01B6436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7.2 供应商应仔细阅读竞争性磋商文件的所有内容，按照竞争性磋商文件的要求提交响应文件，并对所提供的全部资料的真实性承担法律责任。</w:t>
      </w:r>
    </w:p>
    <w:p w14:paraId="18EB6FC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7.3 供应商在磋商活动中提供任何疑似虚假材料，将报监管部门查处；签订合同后发现的， 成交供应商须依照《中华人民共和国消费者权益保护法》规定赔偿采购人，且民事赔偿并不免除违法供应商的行政与刑事责任。</w:t>
      </w:r>
    </w:p>
    <w:p w14:paraId="3DEBDC8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7.4 在政府采购活动中，采购人员及相关人员与供应商有下列利害关系之一的，应当回避：</w:t>
      </w:r>
    </w:p>
    <w:p w14:paraId="1E070E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参加采购活动前 3 年内与供应商存在劳动关系；</w:t>
      </w:r>
    </w:p>
    <w:p w14:paraId="189B02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参加采购活动前 3 年内担任供应商的董事、监事；</w:t>
      </w:r>
    </w:p>
    <w:p w14:paraId="31F938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参加采购活动前 3 年内是供应商的控股股东或者实际控制人；</w:t>
      </w:r>
    </w:p>
    <w:p w14:paraId="4A30B78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与供应商的法定代表人或负责人有夫妻、直系血亲、三代以内旁系血亲或者近姻亲关系；</w:t>
      </w:r>
    </w:p>
    <w:p w14:paraId="11582B5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与供应商有其他可能影响政府采购活动公平、公正进行的关系。</w:t>
      </w:r>
    </w:p>
    <w:p w14:paraId="05D219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 机构书面提出回避申请，并说明理由。采购人或者采购代理机构应当及时询问被申请回避人员，有利害关系的被申请回避人员应当回避。</w:t>
      </w:r>
    </w:p>
    <w:p w14:paraId="40F9D49F">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7.5 有下列情形之一的视为供应商相互串通竞标，响应文件将被视为无效：</w:t>
      </w:r>
    </w:p>
    <w:p w14:paraId="095804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不同供应商的响应文件由同一单位或者个人编制；或者不同供应商报名的 IP地址一致的；</w:t>
      </w:r>
    </w:p>
    <w:p w14:paraId="5D7C43E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不同供应商委托同一单位或者个人办理磋商事宜；</w:t>
      </w:r>
    </w:p>
    <w:p w14:paraId="2D095E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不同的供应商的响应文件载明的项目管理员为同一个人；</w:t>
      </w:r>
    </w:p>
    <w:p w14:paraId="1AA608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不同供应商的响应文件异常一致或者报价呈规律性差异；</w:t>
      </w:r>
    </w:p>
    <w:p w14:paraId="7CADAE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不同供应商的响应文件相互混装；</w:t>
      </w:r>
    </w:p>
    <w:p w14:paraId="1E18C5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不同供应商的磋商保证金从同一单位或者个人账户转出。</w:t>
      </w:r>
    </w:p>
    <w:p w14:paraId="0F2545A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7.6 供应商有下列情形之一的，属于恶意串通行为：</w:t>
      </w:r>
    </w:p>
    <w:p w14:paraId="2E6521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供应商直接或者间接从采购人或者采购代理机构处获得其他供应商的相关信息并修改其响应文件；</w:t>
      </w:r>
    </w:p>
    <w:p w14:paraId="440EBB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供应商按照采购人或者采购代理机构的授意撤换、修改响应文件；</w:t>
      </w:r>
    </w:p>
    <w:p w14:paraId="0E221A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 供应商之间协商报价、技术方案等响应文件或者响应文件的实质性内容；</w:t>
      </w:r>
    </w:p>
    <w:p w14:paraId="3B9DE7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 属于同一集团、协会、商会等组织成员的供应商按照该组织要求协同参加政府采购活动；</w:t>
      </w:r>
    </w:p>
    <w:p w14:paraId="120A7E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 供应商之间事先约定一致抬高或者压低报价，或者在政府采购活动中事先约定轮流以高价位或者低价位成交，或者事先约定由某一特定供应商成交，然后再参加竞标；</w:t>
      </w:r>
    </w:p>
    <w:p w14:paraId="5FE9E3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 供应商之间商定部分供应商放弃参加政府采购活动或者放弃成交；</w:t>
      </w:r>
    </w:p>
    <w:p w14:paraId="1A3392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 供应商与采购人或者采购代理机构之间、供应商相互之间，为谋求特定供应商成交或者排斥其他供应商的其他串通行为。</w:t>
      </w:r>
    </w:p>
    <w:p w14:paraId="0FF21A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7.7 关联供应商不得参加同一合同项下政府采购活动，否则响应文件将被视为无效：</w:t>
      </w:r>
    </w:p>
    <w:p w14:paraId="62CC7F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单位负责人为同一人或者存在直接控股、管理关系的不同的供应商，不得参加同一合同项下的政府采购活动。</w:t>
      </w:r>
    </w:p>
    <w:p w14:paraId="6059BE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二、响应文件的编制</w:t>
      </w:r>
    </w:p>
    <w:p w14:paraId="7007BB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8.响应文件的编制原则</w:t>
      </w:r>
    </w:p>
    <w:p w14:paraId="406A9C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6A52708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 响应文件编制基本要求</w:t>
      </w:r>
    </w:p>
    <w:p w14:paraId="459DC46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distribute"/>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9.1 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要求及本竞争性磋商采购文件要求制作、加密并递交。具体操作流程可参考《</w:t>
      </w:r>
      <w:r>
        <w:rPr>
          <w:rFonts w:hint="eastAsia" w:ascii="宋体" w:hAnsi="宋体" w:cs="宋体"/>
          <w:b w:val="0"/>
          <w:bCs/>
          <w:color w:val="auto"/>
          <w:szCs w:val="21"/>
          <w:highlight w:val="none"/>
          <w:lang w:val="en-US" w:eastAsia="zh-CN"/>
        </w:rPr>
        <w:t>政府采购项目电子交易管理操作指南-供应商</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指南可</w:t>
      </w:r>
      <w:r>
        <w:rPr>
          <w:rFonts w:hint="eastAsia" w:ascii="宋体" w:hAnsi="宋体" w:cs="宋体"/>
          <w:b w:val="0"/>
          <w:bCs/>
          <w:color w:val="auto"/>
          <w:szCs w:val="21"/>
          <w:highlight w:val="none"/>
        </w:rPr>
        <w:t>在“http</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//zfcg.gxzf.gov.cn/PurchaseAdvisory/ImportantNotice/2866753.html”下载。</w:t>
      </w:r>
    </w:p>
    <w:p w14:paraId="2D67FB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9.2 供应商提交的竞争性磋商响应文件以及供应商与</w:t>
      </w:r>
      <w:r>
        <w:rPr>
          <w:rFonts w:hint="eastAsia" w:ascii="宋体" w:hAnsi="宋体" w:cs="宋体"/>
          <w:b w:val="0"/>
          <w:bCs/>
          <w:color w:val="auto"/>
          <w:szCs w:val="21"/>
          <w:highlight w:val="none"/>
          <w:lang w:eastAsia="zh-CN"/>
        </w:rPr>
        <w:t xml:space="preserve">广西中佰项目管理有限公司 </w:t>
      </w:r>
      <w:r>
        <w:rPr>
          <w:rFonts w:hint="eastAsia" w:ascii="宋体" w:hAnsi="宋体" w:cs="宋体"/>
          <w:b w:val="0"/>
          <w:bCs/>
          <w:color w:val="auto"/>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41D0D1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9.3 供应商应认真阅读、并充分理解本文件的全部内容 (包括所有的补充、修改内容)，承诺并履行本文件中各项条款规定及要求。</w:t>
      </w:r>
    </w:p>
    <w:p w14:paraId="12D33E9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9.4 竞争性磋商响应文件必须按本文件的全部内容，包括所有的补充通知及附件进行编制。</w:t>
      </w:r>
    </w:p>
    <w:p w14:paraId="4DDCDE4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9.5 如因供应商只填写和提供了本文件要求的部分内容和附件，而给评审造成困难，其可能导致的结果和责任由供应商自行承担。</w:t>
      </w:r>
    </w:p>
    <w:p w14:paraId="276992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bCs w:val="0"/>
          <w:color w:val="auto"/>
          <w:szCs w:val="21"/>
          <w:highlight w:val="none"/>
          <w:lang w:eastAsia="zh-CN"/>
        </w:rPr>
      </w:pPr>
      <w:r>
        <w:rPr>
          <w:rFonts w:hint="eastAsia" w:ascii="宋体" w:hAnsi="宋体" w:cs="宋体"/>
          <w:b w:val="0"/>
          <w:bCs/>
          <w:color w:val="auto"/>
          <w:szCs w:val="21"/>
          <w:highlight w:val="none"/>
        </w:rPr>
        <w:t>9.6 响应文件的组成：响应文件应分为资格证明文件、报价文件、商务技术文件三个部分组成。</w:t>
      </w:r>
      <w:r>
        <w:rPr>
          <w:rFonts w:hint="eastAsia" w:ascii="宋体" w:hAnsi="宋体" w:cs="宋体"/>
          <w:b/>
          <w:bCs w:val="0"/>
          <w:color w:val="auto"/>
          <w:szCs w:val="21"/>
          <w:highlight w:val="none"/>
          <w:lang w:eastAsia="zh-CN"/>
        </w:rPr>
        <w:t>以下注明“</w:t>
      </w:r>
      <w:r>
        <w:rPr>
          <w:rFonts w:hint="eastAsia" w:ascii="宋体" w:hAnsi="宋体" w:cs="宋体"/>
          <w:color w:val="auto"/>
          <w:szCs w:val="21"/>
          <w:highlight w:val="none"/>
        </w:rPr>
        <w:t>▲</w:t>
      </w:r>
      <w:r>
        <w:rPr>
          <w:rFonts w:hint="eastAsia" w:ascii="宋体" w:hAnsi="宋体" w:cs="宋体"/>
          <w:b/>
          <w:bCs w:val="0"/>
          <w:color w:val="auto"/>
          <w:szCs w:val="21"/>
          <w:highlight w:val="none"/>
          <w:lang w:eastAsia="zh-CN"/>
        </w:rPr>
        <w:t>”的必须提供，否则竞标无效。</w:t>
      </w:r>
    </w:p>
    <w:p w14:paraId="475E062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1.资格证明文件</w:t>
      </w:r>
    </w:p>
    <w:p w14:paraId="14021FE9">
      <w:pPr>
        <w:pStyle w:val="9"/>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b w:val="0"/>
          <w:bCs/>
          <w:color w:val="auto"/>
          <w:szCs w:val="21"/>
          <w:highlight w:val="none"/>
        </w:rPr>
        <w:t>(1)</w:t>
      </w:r>
      <w:r>
        <w:rPr>
          <w:rFonts w:hint="eastAsia" w:ascii="宋体" w:hAnsi="宋体" w:cs="宋体"/>
          <w:color w:val="auto"/>
          <w:szCs w:val="21"/>
          <w:highlight w:val="none"/>
          <w:lang w:val="en-US" w:eastAsia="zh-CN"/>
        </w:rPr>
        <w:t>供应商为法人或者其他组织的提供其营业执照等证明文件复印件（如营业执照或者事业单位法人证书或者执业许可证或者登记证书等）；</w:t>
      </w:r>
    </w:p>
    <w:p w14:paraId="3E2327EF">
      <w:pPr>
        <w:keepNext w:val="0"/>
        <w:keepLines w:val="0"/>
        <w:pageBreakBefore w:val="0"/>
        <w:widowControl w:val="0"/>
        <w:kinsoku/>
        <w:wordWrap/>
        <w:overflowPunct/>
        <w:topLinePunct w:val="0"/>
        <w:autoSpaceDE/>
        <w:autoSpaceDN/>
        <w:bidi w:val="0"/>
        <w:adjustRightInd/>
        <w:spacing w:line="38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eastAsia="zh-CN"/>
        </w:rPr>
        <w:t>以来</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p>
    <w:p w14:paraId="06FC116C">
      <w:pPr>
        <w:keepNext w:val="0"/>
        <w:keepLines w:val="0"/>
        <w:pageBreakBefore w:val="0"/>
        <w:widowControl w:val="0"/>
        <w:kinsoku/>
        <w:wordWrap/>
        <w:overflowPunct/>
        <w:topLinePunct w:val="0"/>
        <w:autoSpaceDE/>
        <w:autoSpaceDN/>
        <w:bidi w:val="0"/>
        <w:adjustRightInd/>
        <w:spacing w:line="38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eastAsia="zh-CN"/>
        </w:rPr>
        <w:t>以来</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个月的依法缴纳社会保障资金的缴费凭证（专用收据或者社会保险缴纳清单）复印件；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p>
    <w:p w14:paraId="4DAEB41F">
      <w:pPr>
        <w:keepNext w:val="0"/>
        <w:keepLines w:val="0"/>
        <w:pageBreakBefore w:val="0"/>
        <w:widowControl w:val="0"/>
        <w:kinsoku/>
        <w:wordWrap/>
        <w:overflowPunct/>
        <w:topLinePunct w:val="0"/>
        <w:autoSpaceDE/>
        <w:autoSpaceDN/>
        <w:bidi w:val="0"/>
        <w:adjustRightInd/>
        <w:spacing w:line="380" w:lineRule="exact"/>
        <w:ind w:firstLine="420" w:firstLineChars="200"/>
        <w:contextualSpacing/>
        <w:jc w:val="left"/>
        <w:textAlignment w:val="auto"/>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)供应商财务状况报告（</w:t>
      </w:r>
      <w:r>
        <w:rPr>
          <w:rFonts w:hint="eastAsia" w:ascii="宋体" w:hAnsi="宋体" w:cs="宋体"/>
          <w:color w:val="auto"/>
          <w:szCs w:val="21"/>
          <w:highlight w:val="none"/>
          <w:lang w:val="en-US" w:eastAsia="zh-CN"/>
        </w:rPr>
        <w:t>2024或2025</w:t>
      </w:r>
      <w:r>
        <w:rPr>
          <w:rFonts w:hint="eastAsia" w:ascii="宋体" w:hAnsi="宋体" w:cs="宋体"/>
          <w:color w:val="auto"/>
          <w:szCs w:val="21"/>
          <w:highlight w:val="none"/>
        </w:rPr>
        <w:t>年度财务报表复印件</w:t>
      </w:r>
      <w:r>
        <w:rPr>
          <w:rFonts w:hint="eastAsia" w:ascii="宋体" w:hAnsi="宋体" w:cs="宋体"/>
          <w:color w:val="auto"/>
          <w:szCs w:val="21"/>
          <w:highlight w:val="none"/>
        </w:rPr>
        <w:t>，或者银行出具的资信证明，或者中国人民银行征信中心出具的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得超过一年）；</w:t>
      </w:r>
    </w:p>
    <w:p w14:paraId="0B9C984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rPr>
        <w:t>竞标声明（格式后附）；</w:t>
      </w:r>
    </w:p>
    <w:p w14:paraId="2590370F">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w:t>
      </w:r>
      <w:r>
        <w:rPr>
          <w:rFonts w:hint="eastAsia" w:ascii="宋体" w:hAnsi="宋体" w:cs="宋体"/>
          <w:color w:val="auto"/>
          <w:szCs w:val="21"/>
          <w:highlight w:val="none"/>
        </w:rPr>
        <w:t>供应商直接控股、管理关系信息表（格式后附）；</w:t>
      </w:r>
    </w:p>
    <w:p w14:paraId="54D389C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color w:val="auto"/>
          <w:szCs w:val="21"/>
          <w:highlight w:val="none"/>
          <w:lang w:eastAsia="zh-CN"/>
        </w:rPr>
        <w:t>本项目属于专门面向中小微企业采购的项目，供应商须为中小微企业（监狱企业、残疾人福利性单位视同小型、微型企业）。</w:t>
      </w:r>
      <w:r>
        <w:rPr>
          <w:rFonts w:hint="eastAsia" w:ascii="宋体" w:hAnsi="宋体"/>
          <w:color w:val="auto"/>
          <w:szCs w:val="21"/>
          <w:highlight w:val="none"/>
          <w:lang w:val="en-US" w:eastAsia="zh-CN"/>
        </w:rPr>
        <w:t>[</w:t>
      </w:r>
      <w:r>
        <w:rPr>
          <w:rFonts w:hint="eastAsia" w:ascii="宋体" w:hAnsi="宋体"/>
          <w:color w:val="auto"/>
          <w:szCs w:val="21"/>
          <w:highlight w:val="none"/>
        </w:rPr>
        <w:t>供应商必须在响应文件中提供《</w:t>
      </w:r>
      <w:r>
        <w:rPr>
          <w:rFonts w:hint="eastAsia" w:ascii="宋体" w:hAnsi="宋体"/>
          <w:bCs/>
          <w:color w:val="auto"/>
          <w:szCs w:val="21"/>
          <w:highlight w:val="none"/>
        </w:rPr>
        <w:t>中小企业声明函（工程）</w:t>
      </w:r>
      <w:r>
        <w:rPr>
          <w:rFonts w:hint="eastAsia" w:ascii="宋体" w:hAnsi="宋体"/>
          <w:color w:val="auto"/>
          <w:szCs w:val="21"/>
          <w:highlight w:val="none"/>
        </w:rPr>
        <w:t>》</w:t>
      </w:r>
      <w:r>
        <w:rPr>
          <w:rFonts w:hint="eastAsia"/>
          <w:color w:val="auto"/>
          <w:szCs w:val="22"/>
          <w:highlight w:val="none"/>
        </w:rPr>
        <w:t>或残疾人福利性单位声明函或监狱企业证明材料</w:t>
      </w:r>
      <w:r>
        <w:rPr>
          <w:rFonts w:hint="eastAsia"/>
          <w:color w:val="auto"/>
          <w:szCs w:val="22"/>
          <w:highlight w:val="none"/>
          <w:lang w:val="en-US" w:eastAsia="zh-CN"/>
        </w:rPr>
        <w:t>]；</w:t>
      </w:r>
    </w:p>
    <w:p w14:paraId="60E0B8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特定资格证明材料：（</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w:t>
      </w:r>
      <w:r>
        <w:rPr>
          <w:rFonts w:hint="eastAsia" w:hAnsi="宋体" w:cs="宋体"/>
          <w:color w:val="auto"/>
          <w:sz w:val="21"/>
          <w:szCs w:val="21"/>
          <w:highlight w:val="none"/>
          <w:lang w:eastAsia="zh-CN"/>
        </w:rPr>
        <w:t>竞标人须具备市政公用工程施工总承包三级（含三级）以上资质以及有效的安全生产许可证，在人员、设备、资金等方面具备相应的施工能力</w:t>
      </w:r>
      <w:r>
        <w:rPr>
          <w:rFonts w:hint="eastAsia" w:hAnsi="宋体" w:cs="宋体"/>
          <w:color w:val="auto"/>
          <w:sz w:val="21"/>
          <w:szCs w:val="21"/>
          <w:highlight w:val="none"/>
          <w:lang w:val="en-US" w:eastAsia="zh-CN"/>
        </w:rPr>
        <w:t>。</w:t>
      </w:r>
      <w:r>
        <w:rPr>
          <w:rFonts w:hint="eastAsia" w:hAnsi="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lang w:val="en-US" w:eastAsia="zh-CN"/>
        </w:rPr>
        <w:t>拟投入本工程的项目经理必须</w:t>
      </w:r>
      <w:r>
        <w:rPr>
          <w:rFonts w:hint="eastAsia" w:asciiTheme="minorEastAsia" w:hAnsiTheme="minorEastAsia" w:eastAsiaTheme="minorEastAsia" w:cstheme="minorEastAsia"/>
          <w:color w:val="auto"/>
          <w:sz w:val="21"/>
          <w:szCs w:val="21"/>
          <w:highlight w:val="none"/>
          <w:lang w:eastAsia="zh-CN"/>
        </w:rPr>
        <w:t>具备市政公用工程专业二级（含二级）以上注册建造师执业资格，且具备有效的安全生产考核合格证书（B类）（</w:t>
      </w:r>
      <w:r>
        <w:rPr>
          <w:rFonts w:hint="eastAsia" w:ascii="宋体" w:hAnsi="宋体"/>
          <w:color w:val="auto"/>
          <w:szCs w:val="21"/>
          <w:highlight w:val="none"/>
        </w:rPr>
        <w:t>供应商必须在响应文件中提供</w:t>
      </w:r>
      <w:r>
        <w:rPr>
          <w:rFonts w:hint="eastAsia" w:ascii="宋体" w:hAnsi="宋体"/>
          <w:color w:val="auto"/>
          <w:szCs w:val="21"/>
          <w:highlight w:val="none"/>
          <w:lang w:eastAsia="zh-CN"/>
        </w:rPr>
        <w:t>上述有效证书复印件）；</w:t>
      </w:r>
    </w:p>
    <w:p w14:paraId="4EF9AC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▲(9)拟投入本工程的项目经理、安全员无在建项目承诺函；(格式自拟)</w:t>
      </w:r>
    </w:p>
    <w:p w14:paraId="1EF11C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针对资格证明需要说明的其他证明文件和说明。(格式自拟)</w:t>
      </w:r>
    </w:p>
    <w:p w14:paraId="20E733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rPr>
        <w:t>.报价文件</w:t>
      </w:r>
    </w:p>
    <w:p w14:paraId="4DF501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(1)磋商函；</w:t>
      </w:r>
    </w:p>
    <w:p w14:paraId="587568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auto"/>
          <w:szCs w:val="21"/>
          <w:highlight w:val="none"/>
          <w:lang w:eastAsia="zh-CN"/>
        </w:rPr>
      </w:pPr>
      <w:r>
        <w:rPr>
          <w:rFonts w:hint="eastAsia" w:ascii="宋体" w:hAnsi="宋体" w:cs="宋体"/>
          <w:color w:val="auto"/>
          <w:szCs w:val="21"/>
          <w:highlight w:val="none"/>
        </w:rPr>
        <w:t>▲</w:t>
      </w:r>
      <w:r>
        <w:rPr>
          <w:rFonts w:hint="eastAsia" w:ascii="宋体" w:hAnsi="宋体" w:cs="宋体"/>
          <w:b w:val="0"/>
          <w:bCs/>
          <w:color w:val="auto"/>
          <w:szCs w:val="21"/>
          <w:highlight w:val="none"/>
        </w:rPr>
        <w:t>(2)磋商函附录</w:t>
      </w:r>
      <w:r>
        <w:rPr>
          <w:rFonts w:hint="eastAsia" w:ascii="宋体" w:hAnsi="宋体" w:cs="宋体"/>
          <w:b/>
          <w:bCs w:val="0"/>
          <w:color w:val="auto"/>
          <w:szCs w:val="21"/>
          <w:highlight w:val="none"/>
          <w:lang w:eastAsia="zh-CN"/>
        </w:rPr>
        <w:t>；</w:t>
      </w:r>
    </w:p>
    <w:p w14:paraId="708693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color w:val="auto"/>
          <w:szCs w:val="21"/>
          <w:highlight w:val="none"/>
          <w:lang w:eastAsia="zh-CN"/>
        </w:rPr>
      </w:pPr>
      <w:r>
        <w:rPr>
          <w:rFonts w:hint="eastAsia" w:ascii="宋体" w:hAnsi="宋体" w:cs="宋体"/>
          <w:color w:val="auto"/>
          <w:szCs w:val="21"/>
          <w:highlight w:val="none"/>
        </w:rPr>
        <w:t>▲</w:t>
      </w:r>
      <w:r>
        <w:rPr>
          <w:rFonts w:hint="eastAsia" w:ascii="宋体" w:hAnsi="宋体" w:cs="宋体"/>
          <w:b w:val="0"/>
          <w:bCs/>
          <w:color w:val="auto"/>
          <w:szCs w:val="21"/>
          <w:highlight w:val="none"/>
        </w:rPr>
        <w:t>(3)竞标报价表</w:t>
      </w:r>
      <w:r>
        <w:rPr>
          <w:rFonts w:hint="eastAsia" w:ascii="宋体" w:hAnsi="宋体" w:cs="宋体"/>
          <w:b w:val="0"/>
          <w:bCs/>
          <w:color w:val="auto"/>
          <w:szCs w:val="21"/>
          <w:highlight w:val="none"/>
          <w:lang w:eastAsia="zh-CN"/>
        </w:rPr>
        <w:t>；</w:t>
      </w:r>
    </w:p>
    <w:p w14:paraId="6C1EBE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)已标价工程量清单；</w:t>
      </w:r>
    </w:p>
    <w:p w14:paraId="28BA53B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针对报价需要说明的其他文件和说明(格式自拟)</w:t>
      </w:r>
      <w:r>
        <w:rPr>
          <w:rFonts w:hint="eastAsia" w:ascii="宋体" w:hAnsi="宋体" w:cs="宋体"/>
          <w:b w:val="0"/>
          <w:bCs/>
          <w:color w:val="auto"/>
          <w:szCs w:val="21"/>
          <w:highlight w:val="none"/>
          <w:lang w:eastAsia="zh-CN"/>
        </w:rPr>
        <w:t>。</w:t>
      </w:r>
    </w:p>
    <w:p w14:paraId="10F228F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.商务技术文件</w:t>
      </w:r>
    </w:p>
    <w:p w14:paraId="25C14E5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(1)无串通竞标行为的承诺函（格式后附）；</w:t>
      </w:r>
    </w:p>
    <w:p w14:paraId="5E38338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(2)法定代表人身份证明书及法定代表人有效身份证正反面复印件（格式后附）；</w:t>
      </w:r>
    </w:p>
    <w:p w14:paraId="538CC8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(3)授权委托书及委托代理人有效身份证正反面复印件（格式后附）；</w:t>
      </w:r>
      <w:r>
        <w:rPr>
          <w:rFonts w:hint="eastAsia" w:ascii="宋体" w:hAnsi="宋体" w:cs="宋体"/>
          <w:b/>
          <w:bCs w:val="0"/>
          <w:color w:val="auto"/>
          <w:szCs w:val="21"/>
          <w:highlight w:val="none"/>
        </w:rPr>
        <w:t>（委托时必须提供）</w:t>
      </w:r>
    </w:p>
    <w:p w14:paraId="2A5C1E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val="0"/>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)施工组织设计；</w:t>
      </w:r>
    </w:p>
    <w:p w14:paraId="6DED3B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color w:val="auto"/>
          <w:szCs w:val="21"/>
          <w:highlight w:val="none"/>
        </w:rPr>
        <w:t>▲</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)项目管理机构配备情况表；</w:t>
      </w:r>
    </w:p>
    <w:p w14:paraId="274DEB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针对商务技术需要说明的其他文件和说明(格式自拟) ；</w:t>
      </w:r>
    </w:p>
    <w:p w14:paraId="4C79E3C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特别说明：</w:t>
      </w:r>
      <w:r>
        <w:rPr>
          <w:rFonts w:hint="eastAsia" w:ascii="宋体" w:hAnsi="宋体" w:cs="宋体"/>
          <w:b/>
          <w:bCs w:val="0"/>
          <w:color w:val="auto"/>
          <w:szCs w:val="21"/>
          <w:highlight w:val="none"/>
          <w:lang w:eastAsia="zh-CN"/>
        </w:rPr>
        <w:t>①</w:t>
      </w:r>
      <w:r>
        <w:rPr>
          <w:rFonts w:hint="eastAsia" w:ascii="宋体" w:hAnsi="宋体" w:cs="宋体"/>
          <w:b/>
          <w:bCs w:val="0"/>
          <w:color w:val="auto"/>
          <w:szCs w:val="21"/>
          <w:highlight w:val="none"/>
        </w:rPr>
        <w:t>电子磋商响应文件中所</w:t>
      </w:r>
      <w:r>
        <w:rPr>
          <w:rFonts w:hint="eastAsia" w:ascii="宋体" w:hAnsi="宋体" w:cs="宋体"/>
          <w:b/>
          <w:bCs w:val="0"/>
          <w:i w:val="0"/>
          <w:iCs w:val="0"/>
          <w:color w:val="auto"/>
          <w:szCs w:val="21"/>
          <w:highlight w:val="none"/>
        </w:rPr>
        <w:t>须加盖公章部分均采用CA签章</w:t>
      </w:r>
      <w:r>
        <w:rPr>
          <w:rFonts w:hint="eastAsia" w:ascii="宋体" w:hAnsi="宋体" w:cs="宋体"/>
          <w:b/>
          <w:bCs w:val="0"/>
          <w:color w:val="auto"/>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0839C57E">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lang w:eastAsia="zh-CN"/>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r>
        <w:rPr>
          <w:rFonts w:hint="eastAsia" w:ascii="宋体" w:hAnsi="宋体" w:cs="宋体"/>
          <w:b/>
          <w:bCs w:val="0"/>
          <w:color w:val="auto"/>
          <w:szCs w:val="21"/>
          <w:highlight w:val="none"/>
        </w:rPr>
        <w:t>。</w:t>
      </w:r>
    </w:p>
    <w:p w14:paraId="6D03AE93">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lang w:eastAsia="zh-CN"/>
        </w:rPr>
        <w:t>③</w:t>
      </w:r>
      <w:r>
        <w:rPr>
          <w:rFonts w:hint="eastAsia" w:ascii="宋体" w:hAnsi="宋体" w:cs="宋体"/>
          <w:b/>
          <w:bCs w:val="0"/>
          <w:color w:val="auto"/>
          <w:szCs w:val="21"/>
          <w:highlight w:val="none"/>
        </w:rPr>
        <w:t>竞争性磋商采购文件要求提供的各种复印件，须加盖供应商CA签章，否则其磋商无效。</w:t>
      </w:r>
    </w:p>
    <w:p w14:paraId="0FCD00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9.7 响应文件有效期：见</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须知前附表。</w:t>
      </w:r>
    </w:p>
    <w:p w14:paraId="4A6A4F4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9.8 磋商保证金：见</w:t>
      </w:r>
      <w:r>
        <w:rPr>
          <w:rFonts w:hint="eastAsia" w:ascii="宋体" w:hAnsi="宋体" w:cs="宋体"/>
          <w:b w:val="0"/>
          <w:bCs/>
          <w:color w:val="auto"/>
          <w:szCs w:val="21"/>
          <w:highlight w:val="none"/>
          <w:lang w:eastAsia="zh-CN"/>
        </w:rPr>
        <w:t>供应商</w:t>
      </w:r>
      <w:r>
        <w:rPr>
          <w:rFonts w:hint="eastAsia" w:ascii="宋体" w:hAnsi="宋体" w:cs="宋体"/>
          <w:b w:val="0"/>
          <w:bCs/>
          <w:color w:val="auto"/>
          <w:szCs w:val="21"/>
          <w:highlight w:val="none"/>
        </w:rPr>
        <w:t>须知前附表。</w:t>
      </w:r>
    </w:p>
    <w:p w14:paraId="75B4D3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10. 计量单位</w:t>
      </w:r>
    </w:p>
    <w:p w14:paraId="32F60FB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10.1 磋商文件已有明确规定的，使用磋商文件规定的计量单位；磋商文件没有规定的，应采用</w:t>
      </w:r>
      <w:r>
        <w:rPr>
          <w:rFonts w:hint="eastAsia" w:ascii="宋体" w:hAnsi="宋体" w:cs="宋体"/>
          <w:b w:val="0"/>
          <w:bCs/>
          <w:color w:val="auto"/>
          <w:szCs w:val="21"/>
          <w:highlight w:val="none"/>
          <w:lang w:eastAsia="zh-CN"/>
        </w:rPr>
        <w:t>国家</w:t>
      </w:r>
      <w:r>
        <w:rPr>
          <w:rFonts w:hint="eastAsia" w:ascii="宋体" w:hAnsi="宋体" w:cs="宋体"/>
          <w:b w:val="0"/>
          <w:bCs/>
          <w:color w:val="auto"/>
          <w:szCs w:val="21"/>
          <w:highlight w:val="none"/>
        </w:rPr>
        <w:t>法定计量单位，货币种类为人民币，否则视同未响应。</w:t>
      </w:r>
    </w:p>
    <w:p w14:paraId="65C9CCC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三、磋商报价及采购预算</w:t>
      </w:r>
    </w:p>
    <w:p w14:paraId="063DB3D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52CB5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11.2供应商必须就所磋商的采购项目的全部内容作完整唯一报价，漏项报价的或有选择的或有条件的报价，其竞标将视为无效。</w:t>
      </w:r>
    </w:p>
    <w:p w14:paraId="1D55DD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11.3本项目磋商报价费用指按照采购需求完成该项目的所有服务工作的费用总和。</w:t>
      </w:r>
    </w:p>
    <w:p w14:paraId="6B0D170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29088893">
      <w:pPr>
        <w:keepNext w:val="0"/>
        <w:keepLines w:val="0"/>
        <w:pageBreakBefore w:val="0"/>
        <w:kinsoku/>
        <w:overflowPunct/>
        <w:topLinePunct w:val="0"/>
        <w:autoSpaceDE/>
        <w:autoSpaceDN/>
        <w:bidi w:val="0"/>
        <w:adjustRightInd/>
        <w:spacing w:line="380" w:lineRule="exact"/>
        <w:ind w:firstLine="422" w:firstLineChars="200"/>
        <w:textAlignment w:val="auto"/>
        <w:rPr>
          <w:rFonts w:ascii="Times New Roman" w:hAnsi="Times New Roman" w:eastAsia="宋体" w:cs="Times New Roman"/>
          <w:b/>
        </w:rPr>
      </w:pPr>
      <w:r>
        <w:rPr>
          <w:rFonts w:hint="eastAsia" w:ascii="宋体" w:hAnsi="宋体" w:eastAsia="宋体" w:cs="Courier New"/>
          <w:b/>
          <w:szCs w:val="21"/>
          <w:lang w:val="en-US" w:eastAsia="zh-CN"/>
        </w:rPr>
        <w:t>11.5</w:t>
      </w:r>
      <w:r>
        <w:rPr>
          <w:rFonts w:hint="eastAsia" w:ascii="Times New Roman" w:hAnsi="Times New Roman" w:eastAsia="宋体" w:cs="Times New Roman"/>
          <w:b/>
        </w:rPr>
        <w:t>磋商报价：供应商必须就所竞项目的全部内容作完整唯一报价，漏项报价的或有选择的或有条件的报价，其响应文件将视为无效。</w:t>
      </w:r>
    </w:p>
    <w:p w14:paraId="2B82DEE1">
      <w:pPr>
        <w:spacing w:line="400" w:lineRule="exact"/>
        <w:ind w:firstLine="422" w:firstLineChars="200"/>
        <w:rPr>
          <w:rFonts w:hint="eastAsia" w:ascii="宋体" w:hAnsi="Times New Roman" w:eastAsia="宋体" w:cs="Courier New"/>
          <w:b/>
          <w:color w:val="auto"/>
          <w:szCs w:val="21"/>
        </w:rPr>
      </w:pP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11.6</w:t>
      </w:r>
      <w:r>
        <w:rPr>
          <w:rFonts w:hint="eastAsia" w:ascii="宋体" w:hAnsi="Times New Roman" w:eastAsia="宋体" w:cs="Courier New"/>
          <w:b/>
          <w:color w:val="auto"/>
          <w:szCs w:val="21"/>
        </w:rPr>
        <w:t>异常低价审查：政府采购评审中出现下列情形之一的，评审委员会应当启动异常低价投标审查程序：</w:t>
      </w:r>
    </w:p>
    <w:p w14:paraId="6F134EA5">
      <w:pPr>
        <w:spacing w:line="400" w:lineRule="exact"/>
        <w:ind w:firstLine="422" w:firstLineChars="200"/>
        <w:rPr>
          <w:rFonts w:hint="eastAsia" w:ascii="宋体" w:hAnsi="Times New Roman" w:eastAsia="宋体" w:cs="Courier New"/>
          <w:b/>
          <w:color w:val="auto"/>
          <w:szCs w:val="21"/>
        </w:rPr>
      </w:pPr>
      <w:r>
        <w:rPr>
          <w:rFonts w:hint="eastAsia" w:ascii="宋体" w:hAnsi="Times New Roman" w:eastAsia="宋体" w:cs="Courier New"/>
          <w:b/>
          <w:color w:val="auto"/>
          <w:szCs w:val="21"/>
        </w:rPr>
        <w:t>（1）投标报价低于全部通过符合性审查供应商投标报价平均值</w:t>
      </w:r>
      <w:r>
        <w:rPr>
          <w:rFonts w:hint="eastAsia" w:ascii="宋体" w:cs="Courier New"/>
          <w:b/>
          <w:color w:val="auto"/>
          <w:szCs w:val="21"/>
          <w:lang w:val="en-US" w:eastAsia="zh-CN"/>
        </w:rPr>
        <w:t>65</w:t>
      </w:r>
      <w:r>
        <w:rPr>
          <w:rFonts w:hint="eastAsia" w:ascii="宋体" w:hAnsi="Times New Roman" w:eastAsia="宋体" w:cs="Courier New"/>
          <w:b/>
          <w:color w:val="auto"/>
          <w:szCs w:val="21"/>
        </w:rPr>
        <w:t>%的，即投标报价&lt;全部通过符合性审查供应商投标报价平均值×</w:t>
      </w:r>
      <w:r>
        <w:rPr>
          <w:rFonts w:hint="eastAsia" w:ascii="宋体" w:cs="Courier New"/>
          <w:b/>
          <w:color w:val="auto"/>
          <w:szCs w:val="21"/>
          <w:lang w:val="en-US" w:eastAsia="zh-CN"/>
        </w:rPr>
        <w:t>65</w:t>
      </w:r>
      <w:r>
        <w:rPr>
          <w:rFonts w:hint="eastAsia" w:ascii="宋体" w:hAnsi="Times New Roman" w:eastAsia="宋体" w:cs="Courier New"/>
          <w:b/>
          <w:color w:val="auto"/>
          <w:szCs w:val="21"/>
        </w:rPr>
        <w:t>%；</w:t>
      </w:r>
    </w:p>
    <w:p w14:paraId="59908C7C">
      <w:pPr>
        <w:spacing w:line="400" w:lineRule="exact"/>
        <w:ind w:firstLine="422" w:firstLineChars="200"/>
        <w:rPr>
          <w:rFonts w:hint="eastAsia" w:ascii="宋体" w:hAnsi="Times New Roman" w:eastAsia="宋体" w:cs="Courier New"/>
          <w:b/>
          <w:color w:val="auto"/>
          <w:szCs w:val="21"/>
        </w:rPr>
      </w:pPr>
      <w:r>
        <w:rPr>
          <w:rFonts w:hint="eastAsia" w:ascii="宋体" w:hAnsi="Times New Roman" w:eastAsia="宋体" w:cs="Courier New"/>
          <w:b/>
          <w:color w:val="auto"/>
          <w:szCs w:val="21"/>
        </w:rPr>
        <w:t>（2）投标报价低于通过符合性审查的次低报价供应商投标报价</w:t>
      </w:r>
      <w:r>
        <w:rPr>
          <w:rFonts w:hint="eastAsia" w:ascii="宋体" w:cs="Courier New"/>
          <w:b/>
          <w:color w:val="auto"/>
          <w:szCs w:val="21"/>
          <w:lang w:val="en-US" w:eastAsia="zh-CN"/>
        </w:rPr>
        <w:t>65</w:t>
      </w:r>
      <w:r>
        <w:rPr>
          <w:rFonts w:hint="eastAsia" w:ascii="宋体" w:hAnsi="Times New Roman" w:eastAsia="宋体" w:cs="Courier New"/>
          <w:b/>
          <w:color w:val="auto"/>
          <w:szCs w:val="21"/>
        </w:rPr>
        <w:t>%的，即投标报价&lt;通过符合性审查的次低报价供应商投标报价×</w:t>
      </w:r>
      <w:r>
        <w:rPr>
          <w:rFonts w:hint="eastAsia" w:ascii="宋体" w:cs="Courier New"/>
          <w:b/>
          <w:color w:val="auto"/>
          <w:szCs w:val="21"/>
          <w:lang w:val="en-US" w:eastAsia="zh-CN"/>
        </w:rPr>
        <w:t>65</w:t>
      </w:r>
      <w:r>
        <w:rPr>
          <w:rFonts w:hint="eastAsia" w:ascii="宋体" w:hAnsi="Times New Roman" w:eastAsia="宋体" w:cs="Courier New"/>
          <w:b/>
          <w:color w:val="auto"/>
          <w:szCs w:val="21"/>
        </w:rPr>
        <w:t>%；</w:t>
      </w:r>
    </w:p>
    <w:p w14:paraId="53EA200D">
      <w:pPr>
        <w:spacing w:line="400" w:lineRule="exact"/>
        <w:ind w:firstLine="422" w:firstLineChars="200"/>
        <w:rPr>
          <w:rFonts w:hint="eastAsia" w:ascii="宋体" w:hAnsi="Times New Roman" w:eastAsia="宋体" w:cs="Courier New"/>
          <w:b/>
          <w:color w:val="auto"/>
          <w:szCs w:val="21"/>
        </w:rPr>
      </w:pPr>
      <w:r>
        <w:rPr>
          <w:rFonts w:hint="eastAsia" w:ascii="宋体" w:hAnsi="Times New Roman" w:eastAsia="宋体" w:cs="Courier New"/>
          <w:b/>
          <w:color w:val="auto"/>
          <w:szCs w:val="21"/>
        </w:rPr>
        <w:t>（3）投标报价低于采购项目最高限价</w:t>
      </w:r>
      <w:r>
        <w:rPr>
          <w:rFonts w:hint="eastAsia" w:ascii="宋体" w:cs="Courier New"/>
          <w:b/>
          <w:color w:val="auto"/>
          <w:szCs w:val="21"/>
          <w:lang w:val="en-US" w:eastAsia="zh-CN"/>
        </w:rPr>
        <w:t>6</w:t>
      </w:r>
      <w:r>
        <w:rPr>
          <w:rFonts w:hint="eastAsia" w:ascii="宋体" w:hAnsi="Times New Roman" w:eastAsia="宋体" w:cs="Courier New"/>
          <w:b/>
          <w:color w:val="auto"/>
          <w:szCs w:val="21"/>
        </w:rPr>
        <w:t>5%的，即投标报价&lt;采购项目最高限价×</w:t>
      </w:r>
      <w:r>
        <w:rPr>
          <w:rFonts w:hint="eastAsia" w:ascii="宋体" w:cs="Courier New"/>
          <w:b/>
          <w:color w:val="auto"/>
          <w:szCs w:val="21"/>
          <w:lang w:val="en-US" w:eastAsia="zh-CN"/>
        </w:rPr>
        <w:t>6</w:t>
      </w:r>
      <w:r>
        <w:rPr>
          <w:rFonts w:hint="eastAsia" w:ascii="宋体" w:hAnsi="Times New Roman" w:eastAsia="宋体" w:cs="Courier New"/>
          <w:b/>
          <w:color w:val="auto"/>
          <w:szCs w:val="21"/>
        </w:rPr>
        <w:t>5%；</w:t>
      </w:r>
    </w:p>
    <w:p w14:paraId="50768DB1">
      <w:pPr>
        <w:spacing w:line="400" w:lineRule="exact"/>
        <w:ind w:firstLine="422" w:firstLineChars="200"/>
        <w:rPr>
          <w:rFonts w:hint="eastAsia" w:ascii="宋体" w:hAnsi="Times New Roman" w:eastAsia="宋体" w:cs="Courier New"/>
          <w:b/>
          <w:color w:val="auto"/>
          <w:szCs w:val="21"/>
        </w:rPr>
      </w:pPr>
      <w:r>
        <w:rPr>
          <w:rFonts w:hint="eastAsia" w:ascii="宋体" w:hAnsi="Times New Roman" w:eastAsia="宋体" w:cs="Courier New"/>
          <w:b/>
          <w:color w:val="auto"/>
          <w:szCs w:val="21"/>
        </w:rPr>
        <w:t>（4）评审委员会基于专业判断，认为供应商报价过低，有可能影响产品质量或者不能诚信履约的其他情形。</w:t>
      </w:r>
    </w:p>
    <w:p w14:paraId="2749AFA9">
      <w:pPr>
        <w:spacing w:line="400" w:lineRule="exact"/>
        <w:ind w:firstLine="422" w:firstLineChars="200"/>
        <w:rPr>
          <w:rFonts w:hint="eastAsia" w:ascii="宋体" w:hAnsi="Times New Roman" w:eastAsia="宋体" w:cs="Courier New"/>
          <w:b/>
          <w:color w:val="auto"/>
          <w:szCs w:val="21"/>
        </w:rPr>
      </w:pPr>
      <w:r>
        <w:rPr>
          <w:rFonts w:hint="eastAsia" w:ascii="宋体" w:hAnsi="Times New Roman" w:eastAsia="宋体" w:cs="Courier New"/>
          <w:b/>
          <w:color w:val="auto"/>
          <w:szCs w:val="21"/>
          <w:lang w:val="en-US" w:eastAsia="zh-CN"/>
        </w:rPr>
        <w:t>11.7</w:t>
      </w:r>
      <w:r>
        <w:rPr>
          <w:rFonts w:hint="eastAsia" w:ascii="宋体" w:hAnsi="Times New Roman" w:eastAsia="宋体" w:cs="Courier New"/>
          <w:b/>
          <w:color w:val="auto"/>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D088CE1">
      <w:pPr>
        <w:spacing w:line="400" w:lineRule="exact"/>
        <w:ind w:firstLine="422" w:firstLineChars="200"/>
        <w:rPr>
          <w:rFonts w:hint="eastAsia"/>
        </w:rPr>
      </w:pPr>
      <w:r>
        <w:rPr>
          <w:rFonts w:hint="eastAsia" w:ascii="宋体" w:hAnsi="Times New Roman" w:eastAsia="宋体" w:cs="Courier New"/>
          <w:b/>
          <w:color w:val="auto"/>
          <w:szCs w:val="21"/>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CCEFE4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四、响应文件的份数、封装和递交</w:t>
      </w:r>
    </w:p>
    <w:p w14:paraId="6BBEDA2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 竞争性磋商响应文件的份数：电子</w:t>
      </w:r>
      <w:r>
        <w:rPr>
          <w:rFonts w:hint="eastAsia" w:ascii="宋体" w:hAnsi="宋体" w:cs="宋体"/>
          <w:b w:val="0"/>
          <w:bCs/>
          <w:color w:val="auto"/>
          <w:szCs w:val="21"/>
          <w:highlight w:val="none"/>
          <w:lang w:eastAsia="zh-CN"/>
        </w:rPr>
        <w:t>加密</w:t>
      </w:r>
      <w:r>
        <w:rPr>
          <w:rFonts w:hint="eastAsia" w:ascii="宋体" w:hAnsi="宋体" w:cs="宋体"/>
          <w:b w:val="0"/>
          <w:bCs/>
          <w:color w:val="auto"/>
          <w:szCs w:val="21"/>
          <w:highlight w:val="none"/>
        </w:rPr>
        <w:t>响应文件一份</w:t>
      </w:r>
      <w:r>
        <w:rPr>
          <w:rFonts w:hint="eastAsia" w:ascii="宋体" w:hAnsi="宋体" w:cs="宋体"/>
          <w:b w:val="0"/>
          <w:bCs/>
          <w:color w:val="auto"/>
          <w:szCs w:val="21"/>
          <w:highlight w:val="none"/>
          <w:lang w:eastAsia="zh-CN"/>
        </w:rPr>
        <w:t>；</w:t>
      </w:r>
      <w:r>
        <w:rPr>
          <w:color w:val="auto"/>
          <w:spacing w:val="-3"/>
          <w:sz w:val="21"/>
          <w:highlight w:val="none"/>
        </w:rPr>
        <w:t>电子备份响应文件</w:t>
      </w:r>
      <w:r>
        <w:rPr>
          <w:rFonts w:hint="eastAsia"/>
          <w:color w:val="auto"/>
          <w:spacing w:val="-3"/>
          <w:sz w:val="21"/>
          <w:highlight w:val="none"/>
          <w:lang w:eastAsia="zh-CN"/>
        </w:rPr>
        <w:t>一份</w:t>
      </w:r>
      <w:r>
        <w:rPr>
          <w:rFonts w:hint="eastAsia" w:ascii="宋体" w:hAnsi="宋体" w:cs="宋体"/>
          <w:b w:val="0"/>
          <w:bCs/>
          <w:color w:val="auto"/>
          <w:szCs w:val="21"/>
          <w:highlight w:val="none"/>
        </w:rPr>
        <w:t>。</w:t>
      </w:r>
    </w:p>
    <w:p w14:paraId="6A8A3A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12.1 电子磋商响应文件中须加盖供应商公章位置均采用CA签章，并根据“政府采购项目电子交易管理操作指南-供应商”及本竞争性磋商采购文件规定的格式和顺序编制电子磋商响 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 位查找不到相关内容的，由供应商自行承担。</w:t>
      </w:r>
    </w:p>
    <w:p w14:paraId="4CBE895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 响应文件的递交</w:t>
      </w:r>
    </w:p>
    <w:p w14:paraId="2BDE5F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13.1 所有竞争性响应文件应于“第二章 磋商须知及前附表”中规定的截止时间前递交到规定地点。</w:t>
      </w:r>
    </w:p>
    <w:p w14:paraId="05D9FF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 者修改磋商响应文件的，应当先行撤回原文件，补充、修改后重新传输递交。递交截止时间前未完成传输的，视为撤回磋商响应文件。递交截止时间后递交的磋商响应文件，电子交易平台将拒收。</w:t>
      </w:r>
    </w:p>
    <w:p w14:paraId="3C31FC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13.2 迟交的响应文件</w:t>
      </w:r>
    </w:p>
    <w:p w14:paraId="0400A5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采购人或采购代理人按照规定有权拒绝或原封退回在其规定的递交响应文件截止时间之后收到的任何响应文件。</w:t>
      </w:r>
    </w:p>
    <w:p w14:paraId="488762B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五、竞争性磋商 (简称磋商) 与评审</w:t>
      </w:r>
    </w:p>
    <w:p w14:paraId="54A4AE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14.磋商小组成立及响应文件的开启</w:t>
      </w:r>
    </w:p>
    <w:p w14:paraId="7AE4D4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14.1 磋商小组由采购人代表和评审专家共 3 人以上单数组成，具体人数见“供应商须知前附表”，其中评审专家人数不得少于磋商小组成员总数的 2/3。采购人代表不得以评审专家身份参加本部门或本单位采购项目的评审。采购代理机构人员不得参加本机构代理的采购项目的评审。达到公开招标数额标准的货物或者服务采购项目，或者达到公开招标规模标准的政府 采购工程，经批准采用竞争性磋商方式采购的，磋商小组由 5 人以上单数组成。</w:t>
      </w:r>
    </w:p>
    <w:p w14:paraId="21D4FA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 强的采购项目，评审专家中应当包含 1 名法律专家。</w:t>
      </w:r>
    </w:p>
    <w:p w14:paraId="74DEF20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14.3 响应文件的开启：具体详见“供应商须知前附表”。</w:t>
      </w:r>
    </w:p>
    <w:p w14:paraId="7412A97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15.响应文件评审程序</w:t>
      </w:r>
    </w:p>
    <w:p w14:paraId="4C7D47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 资格审查</w:t>
      </w:r>
    </w:p>
    <w:p w14:paraId="057FFE8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15.1.1 响应文件开启后， 由磋商小组依法对供应商的资格证明文件进行审查。</w:t>
      </w:r>
    </w:p>
    <w:p w14:paraId="69D5F0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15.1.2 通过资格审查的合格供应商不足3 家的，不得进入符合性审查环节，采购人或采购代理机构应当重新开展采购活动。</w:t>
      </w:r>
    </w:p>
    <w:p w14:paraId="3983E03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 符合性审查</w:t>
      </w:r>
    </w:p>
    <w:p w14:paraId="7D1B3F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15.2.1 由磋商小组通过资格审查的合格供应商的响应文件的竞标报价、商务、技术等实质性要求进行符合性审查，以确定其是否满足竞争性磋商文件的实质性要求。</w:t>
      </w:r>
    </w:p>
    <w:p w14:paraId="3109E9B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15.2.2 磋商小组在对响应文件进行符合性审查时，可以要求供应商对响应文件中含义不明确、同类问题表述不一致或者有明显文字和计算错误的内容等作出必要的澄清、说明或者更 正。供应商的澄清、说明或者更正不得超出响应文件的范围或者改变响应文件的实质性内容。</w:t>
      </w:r>
    </w:p>
    <w:p w14:paraId="1C0DC6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15.2.3 磋商小组要求供应商澄清、说明或者更正响应文件应当要求供应商在合理时间内 通过</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的方式形式作出。供应商的澄清、说明或者更正 必须通过</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以书面形式按照磋商小组的要求作出明确的澄清、说明或者更正，未按磋 商小组的要求作出明确澄清、说明或者更正的供应商的响应文件将按照有利于采购人的原则由 磋商小组进行判定。供应商的澄清、说明或者更正必须由法定代表人或者其委托代理人签字或者加盖 CA 签章。 由委托代理人签字的，若委托代理人不是响应文件中授权的委托代理人时， 必须同时出示有效的法定代表人授权委托书原件。供应商为自然人的，必须由本人签字并附身 份证明。</w:t>
      </w:r>
    </w:p>
    <w:p w14:paraId="526234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15.2.4 首次响应文件中报价出现前后不一致的，按照下列规定修正：</w:t>
      </w:r>
    </w:p>
    <w:p w14:paraId="42A805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响应文件中报价表内容与响应文件中相应内容不一致的，以报价表为准；</w:t>
      </w:r>
    </w:p>
    <w:p w14:paraId="3F2CCCE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大写金额和小写金额不一致的，以大写金额为准；</w:t>
      </w:r>
    </w:p>
    <w:p w14:paraId="49EEBC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单价金额小数点或者百分比有明显错位的，以报价表的总价为准，并修改单价；</w:t>
      </w:r>
    </w:p>
    <w:p w14:paraId="13AE63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 总价金额与按单价汇总金额不一致的，以单价金额计算结果为准。</w:t>
      </w:r>
    </w:p>
    <w:p w14:paraId="514D03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同时出现两种以上不一致的，按照以上 (1) - (4) 规定的顺序逐条进行修正。修正后的报价经供应商确认后产生约束力，供应商不确认的，其响应文件按无效响应处理。</w:t>
      </w:r>
    </w:p>
    <w:p w14:paraId="7E518A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15.2.5 磋商小组成员应当按照客观、公正、审慎的原则，根据第四章“评审程序、评审方法和评审标准”进行独立评审。磋商小组对响应文件进行评审，未实质性响应竞争性磋商文 件的响应文件按无效响应处理， 由磋商小组告知提交响应文件的供应商。</w:t>
      </w:r>
    </w:p>
    <w:p w14:paraId="0126B4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15.2.6 通过符合性审查的合格供应商不足 3 家的，不得进入磋商环节，采购人或采购代理机构应当重新开展采购活动。</w:t>
      </w:r>
    </w:p>
    <w:p w14:paraId="061CDDC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16.磋商</w:t>
      </w:r>
    </w:p>
    <w:p w14:paraId="1A1EEB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16.1 磋商小组按照“供应商须知前附表”确定的顺序，集中与单一供应商分别进行磋商，并予所有参加磋商的供应商平等的磋商机会。符合磋商资格的供应商必须实时关注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rPr>
        <w:tab/>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开标信息，在接到磋商通知后规定时间内参加磋商，未在规定时间内参加磋商的视同放弃参加磋商权利，其响应文件按无效响应处理。</w:t>
      </w:r>
    </w:p>
    <w:p w14:paraId="22EAF0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16.2 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B8511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16.3 对竞争性磋商文件作出的实质性变动是竞争性磋商文件的有效组成部分， 由磋商小组及时以书面形式同时通知所有参加磋商的供应商。</w:t>
      </w:r>
    </w:p>
    <w:p w14:paraId="58FE20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16.4 供应商必须按照磋商文件的变动情况和磋商小组的要求重新提交响应文件，并由其法定代表人或者授权代表签字或者加盖 CA 签章在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F23AF5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16.5 磋商中，磋商的任何一方不得透露与磋商有关的其他供应商的技术资料、价格和其他信息。</w:t>
      </w:r>
    </w:p>
    <w:p w14:paraId="22518E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16.6 采购代理机构对磋商过程和重要磋商内容进行记录，磋商双方应在记录上签字确认。</w:t>
      </w:r>
    </w:p>
    <w:p w14:paraId="5AF849C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16.7 磋商过程中重新提交的响应文件，供应商可以在开启前补充、修改。</w:t>
      </w:r>
    </w:p>
    <w:p w14:paraId="76C76B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16.8 根据《财政部关于政府采购竞争性磋商采购方式管理暂行办法有关问题的补充通知》 (财库〔2015〕124 号) 的规定，采用竞争性磋商采购方式采购的政府购买服务项目(含政府和社会资本合作项目) ，在采购过程中符合要求的供应商 (社会资本)只有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30750DE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16.9 对磋商过程提交的响应文件进行有效性、完整性和响应程度审查，通过审查的合格供应商不足 3 家的，除本须知正文第 16.8 条的情形外，采购人或采购代理机构应当重新开展采购活动。</w:t>
      </w:r>
    </w:p>
    <w:p w14:paraId="5452CF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16.10 本项目所有响应文件的首次报价及所有磋商报价均不公布。最后磋商结束后，磋商小组不得再与供应商进行任何形式的商谈。</w:t>
      </w:r>
    </w:p>
    <w:p w14:paraId="63E873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17.最后报价</w:t>
      </w:r>
    </w:p>
    <w:p w14:paraId="2E749ED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17.1 磋商文件能够详细列明采购标的的技术、服务要求的，磋商结束后，由磋商小组要求所有继续参加磋商的供应商在规定时间内在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提交最后报价，提交最后报价的供应商不得少于 3 家，除本章第 4.3 条外，否则必须重新采购。</w:t>
      </w:r>
    </w:p>
    <w:p w14:paraId="34B2393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17.2 磋商文件不能详细列明采购标的的技术、服务要求，需经磋商由供应商提供最后设计方案或者解决方案的，磋商结束后， 由磋商小组按照少数服从多数的原则投票推荐 3 家以上供应商的设计方案 或者解决方案 ， 并要求其在规定时间内在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提交最后报价。</w:t>
      </w:r>
    </w:p>
    <w:p w14:paraId="56135EB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①最后报价与首次报价相比无调整的：供应商提交的最后报价只须注明与首次报价相同。</w:t>
      </w:r>
    </w:p>
    <w:p w14:paraId="01D9F6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等完成本工程并经验收合格至达到质量保修期限所需的费用、合理利润及风险。如磋商文件或磋商程中明确供应商应提供技术服务及其它服务的 (如检测费、验收发生的费 用)，相应费用也应包括在最后报价中。最后报价不允许采用汇总后优惠、打折的形式，否则 其报价无效并作无效响应处理。供应商在报价时可只报总价，但必须将包含已标价工程量清单 的最后报价在规定时间内在</w:t>
      </w:r>
      <w:r>
        <w:rPr>
          <w:rFonts w:hint="eastAsia" w:ascii="宋体" w:hAnsi="宋体" w:cs="宋体"/>
          <w:b w:val="0"/>
          <w:bCs/>
          <w:color w:val="auto"/>
          <w:szCs w:val="21"/>
          <w:highlight w:val="none"/>
          <w:lang w:eastAsia="zh-CN"/>
        </w:rPr>
        <w:t>广西政府采购云平台</w:t>
      </w: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eastAsia="zh-CN"/>
        </w:rPr>
        <w:t>https：//www.gcy.zfcg.gxzf.gov.cn</w:t>
      </w:r>
      <w:r>
        <w:rPr>
          <w:rFonts w:hint="eastAsia" w:ascii="宋体" w:hAnsi="宋体" w:cs="宋体"/>
          <w:b w:val="0"/>
          <w:bCs/>
          <w:color w:val="auto"/>
          <w:szCs w:val="21"/>
          <w:highlight w:val="none"/>
        </w:rPr>
        <w:t>/) 提交，逾期则最后报价无效，以首次报价为准。</w:t>
      </w:r>
    </w:p>
    <w:p w14:paraId="03143A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 2 家。</w:t>
      </w:r>
    </w:p>
    <w:p w14:paraId="18E270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17.4 已经提交响应文件的供应商，在提交最后报价之前，可以根据磋商情况退出磋商，退出磋商的供应商的响应文件按无效响应处理。采购人、采购代理机构将退还退出磋商的供应商的保证金。</w:t>
      </w:r>
    </w:p>
    <w:p w14:paraId="77A8D5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17.5 供应商未在规定时间内提交最后报价的，视同退出磋商。</w:t>
      </w:r>
    </w:p>
    <w:p w14:paraId="69661C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17.6 磋商小组收齐某一分标最后报价后统一开启，磋商小组对最后报价进行有效性、完整性和响应程度的审查。</w:t>
      </w:r>
    </w:p>
    <w:p w14:paraId="691E9F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17.7 响应文件最后报价出现前后不一致的，按照本正文第 25.2.4 条的规定修正。</w:t>
      </w:r>
    </w:p>
    <w:p w14:paraId="72C03C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17.8 修正后的报价出现下列情形的，按无效响应处理：</w:t>
      </w:r>
    </w:p>
    <w:p w14:paraId="46EA62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供应商不确认的；</w:t>
      </w:r>
    </w:p>
    <w:p w14:paraId="14D5182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经供应商确认修正后的竞标报价 (包含首次报价、最后报价) 超过所竞标规定的采购预算金额或者最高限价的 (如本项目公布了最高限价) ；</w:t>
      </w:r>
    </w:p>
    <w:p w14:paraId="2E6EAA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经供应商确认修正后的竞标报价 (包含首次报价、最后报价) 超过分项采购预算金额或者最高限价的 (如本项目公布了最高限价) 。</w:t>
      </w:r>
    </w:p>
    <w:p w14:paraId="226F375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17.9 经供应商确认修正后的最后报价作为评审及签订合同的依据。</w:t>
      </w:r>
    </w:p>
    <w:p w14:paraId="52E5EF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17.10 最后报价结束后，磋商小组不得再与供应商进行任何形式的商谈。 </w:t>
      </w:r>
    </w:p>
    <w:p w14:paraId="7DF7F2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18.比较与评价</w:t>
      </w:r>
    </w:p>
    <w:p w14:paraId="0C20C2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18.1 评审方法：综合评分法。</w:t>
      </w:r>
    </w:p>
    <w:p w14:paraId="12614F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18.2 经磋商确定最终采购需求和提交最后报价的供应商后， 由磋商小组采用综合评分法对提交最后报价的供应商的响应文件和最后报价进行综合评分。详见第四章“评审程序、评审方法和评审标准”。</w:t>
      </w:r>
    </w:p>
    <w:p w14:paraId="65E9A0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18.3 评审时，磋商小组各成员应当独立对每个有效的响应文件进行评价、打分，然后汇总每个供应商每项评分因素的得分。</w:t>
      </w:r>
    </w:p>
    <w:p w14:paraId="265529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磋商小组按照竞争性磋商文件中规定的评审标准计算各供应商的报价得分。项目评审过程中，不得去掉最后报价中的最高报价和最低报价。</w:t>
      </w:r>
    </w:p>
    <w:p w14:paraId="335FE1E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各供应商的得分为磋商小组所有成员的有效评分的算术平均数。</w:t>
      </w:r>
    </w:p>
    <w:p w14:paraId="4431D7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18.4 评审价为供应商的最后报价进行政策性扣除后的价格，评审价只是作为评审时使用。最终成交供应商的成交金额等于最后报价 (如有修正，以确认修正后的最后报价为准) 。</w:t>
      </w:r>
    </w:p>
    <w:p w14:paraId="5B5D78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18.5 由磋商小组根据综合评分情况，按照评审得分由高到低顺序推荐 3 名以上成交候选供应商，并编写评审报告。符合本须知正文第 17.3 条情形的，可以推荐 2 家成交候选供应商。评审得分相同的，按照最后报价由低到高的顺序推荐。评审得分且最后报价相同的，按照技术 指标优劣顺序推荐。</w:t>
      </w:r>
    </w:p>
    <w:p w14:paraId="6B53E1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6013ED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特别说明：政采云公司如对电子化磋商及评审程序有调整的，按调整后的程序操作。</w:t>
      </w:r>
    </w:p>
    <w:p w14:paraId="562F450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 采购过程中出现以下情形，导致电子交易平台无法正常运行，或者无法保证电子交 易的公平、公正和安全时，采购组织机构可中止电子交易活动：</w:t>
      </w:r>
    </w:p>
    <w:p w14:paraId="769F04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18.6.1 电子交易平台发生故障而无法登录访问的；</w:t>
      </w:r>
    </w:p>
    <w:p w14:paraId="6FAE69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18.6.2 电子交易平台应用或数据库出现错误，不能进行正常操作的；</w:t>
      </w:r>
    </w:p>
    <w:p w14:paraId="34FACD9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18.6.3 电子交易平台发现严重安全漏洞，有潜在泄密危险的；</w:t>
      </w:r>
    </w:p>
    <w:p w14:paraId="501006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18.6.4 病毒发作导致不能进行正常操作的；</w:t>
      </w:r>
    </w:p>
    <w:p w14:paraId="1E0688A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18.6.5 其他无法保证电子交易的公平、公正和安全的情况。</w:t>
      </w:r>
    </w:p>
    <w:p w14:paraId="2C9A6FC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18.6.6 出现前款规定情形，不影响采购公平、公正性的，采购组织机构可以待上述情形消除后继续组织电子交易活动，也可以决定某些环节以纸质形式进行；影响或可能影响采购公平、公正性的，应当重新采购。</w:t>
      </w:r>
    </w:p>
    <w:p w14:paraId="181CB75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六、确定成交供应商办法及结果公告</w:t>
      </w:r>
    </w:p>
    <w:p w14:paraId="50214F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19.1 采购代理机构应当在评审结束后 2 个工作日内将评审报告送采购人确认。采购人应当在收到评审报告后 2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0BEE7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19.2 采购代理机构应当在成交供应商确定后 2 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598AD9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49298A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19.4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E90CF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七、履约保证金</w:t>
      </w:r>
    </w:p>
    <w:p w14:paraId="09086B2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20.履约保证金：</w:t>
      </w:r>
      <w:r>
        <w:rPr>
          <w:rFonts w:hint="eastAsia" w:ascii="宋体" w:hAnsi="宋体" w:cs="宋体"/>
          <w:b w:val="0"/>
          <w:bCs/>
          <w:color w:val="auto"/>
          <w:szCs w:val="21"/>
          <w:highlight w:val="none"/>
          <w:lang w:val="en-US" w:eastAsia="zh-CN"/>
        </w:rPr>
        <w:t>详见须知前附表</w:t>
      </w:r>
      <w:r>
        <w:rPr>
          <w:rFonts w:hint="eastAsia" w:ascii="宋体" w:hAnsi="宋体" w:cs="宋体"/>
          <w:b w:val="0"/>
          <w:bCs/>
          <w:color w:val="auto"/>
          <w:szCs w:val="21"/>
          <w:highlight w:val="none"/>
        </w:rPr>
        <w:t>。</w:t>
      </w:r>
    </w:p>
    <w:p w14:paraId="745264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八、签订合同</w:t>
      </w:r>
    </w:p>
    <w:p w14:paraId="2286FE4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ascii="宋体" w:hAnsi="宋体" w:cs="宋体"/>
          <w:b w:val="0"/>
          <w:bCs/>
          <w:color w:val="auto"/>
          <w:szCs w:val="21"/>
          <w:highlight w:val="none"/>
        </w:rPr>
        <w:t>21.1 成交供应商在收到成交通知书后，按规定与采购人签订采购合同。采购代理机构将在评标结束 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28F404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21.2 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3B83C2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九、政府采购合同公告</w:t>
      </w:r>
    </w:p>
    <w:p w14:paraId="7C5E87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D911A8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十、适用法律</w:t>
      </w:r>
    </w:p>
    <w:p w14:paraId="4462ECF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distribute"/>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23.本项目适用于《中华人民共和国政府采购法》《中华人民共和国政府采购法实施条例》</w:t>
      </w:r>
    </w:p>
    <w:p w14:paraId="52AB43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27119B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十一、其他事项</w:t>
      </w:r>
    </w:p>
    <w:p w14:paraId="0AAA0E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24.1 招标代理服务费</w:t>
      </w:r>
    </w:p>
    <w:p w14:paraId="110FA84D">
      <w:pPr>
        <w:pStyle w:val="13"/>
        <w:keepNext w:val="0"/>
        <w:keepLines w:val="0"/>
        <w:pageBreakBefore w:val="0"/>
        <w:widowControl w:val="0"/>
        <w:kinsoku/>
        <w:wordWrap/>
        <w:overflowPunct/>
        <w:topLinePunct w:val="0"/>
        <w:autoSpaceDE/>
        <w:autoSpaceDN/>
        <w:bidi w:val="0"/>
        <w:adjustRightInd/>
        <w:snapToGrid w:val="0"/>
        <w:spacing w:line="380" w:lineRule="exact"/>
        <w:ind w:left="0"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本项目的招标代理服务费按国家计委计价格[2002]1980号和发改办[2003]857号文规定由招标代理机构向成交供应商收取。即按成交金额100万元以下为1.0%，100-500万元为0.7%，并且按差额定率累进法计算</w:t>
      </w:r>
      <w:r>
        <w:rPr>
          <w:rFonts w:hint="eastAsia" w:hAnsi="宋体" w:cs="宋体"/>
          <w:color w:val="auto"/>
          <w:sz w:val="21"/>
          <w:highlight w:val="none"/>
          <w:lang w:val="en-US" w:eastAsia="zh-CN"/>
        </w:rPr>
        <w:t>，</w:t>
      </w:r>
      <w:r>
        <w:rPr>
          <w:rFonts w:hint="eastAsia" w:ascii="宋体" w:hAnsi="宋体" w:cs="宋体"/>
          <w:b w:val="0"/>
          <w:bCs/>
          <w:color w:val="auto"/>
          <w:szCs w:val="21"/>
          <w:highlight w:val="none"/>
        </w:rPr>
        <w:t>由成交人领取成交通知书前，向代理机构一次性付清。</w:t>
      </w:r>
    </w:p>
    <w:p w14:paraId="6F8A94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代理服务费专用</w:t>
      </w:r>
      <w:r>
        <w:rPr>
          <w:rFonts w:hint="eastAsia" w:ascii="宋体" w:hAnsi="宋体" w:cs="宋体"/>
          <w:b w:val="0"/>
          <w:bCs/>
          <w:color w:val="auto"/>
          <w:szCs w:val="21"/>
          <w:highlight w:val="none"/>
          <w:lang w:eastAsia="zh-CN"/>
        </w:rPr>
        <w:t>账</w:t>
      </w:r>
      <w:r>
        <w:rPr>
          <w:rFonts w:hint="eastAsia" w:ascii="宋体" w:hAnsi="宋体" w:cs="宋体"/>
          <w:b w:val="0"/>
          <w:bCs/>
          <w:color w:val="auto"/>
          <w:szCs w:val="21"/>
          <w:highlight w:val="none"/>
        </w:rPr>
        <w:t>户：</w:t>
      </w:r>
    </w:p>
    <w:p w14:paraId="67454CF5">
      <w:pPr>
        <w:pStyle w:val="13"/>
        <w:keepNext w:val="0"/>
        <w:keepLines w:val="0"/>
        <w:pageBreakBefore w:val="0"/>
        <w:widowControl w:val="0"/>
        <w:kinsoku/>
        <w:wordWrap/>
        <w:overflowPunct/>
        <w:topLinePunct w:val="0"/>
        <w:autoSpaceDE/>
        <w:autoSpaceDN/>
        <w:bidi w:val="0"/>
        <w:adjustRightInd/>
        <w:snapToGrid w:val="0"/>
        <w:spacing w:line="380" w:lineRule="exact"/>
        <w:ind w:left="0" w:firstLine="420" w:firstLineChars="200"/>
        <w:textAlignment w:val="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开户名称：广西中佰项目管理有限公司</w:t>
      </w:r>
    </w:p>
    <w:p w14:paraId="09D1BD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4"/>
          <w:highlight w:val="none"/>
          <w:lang w:eastAsia="zh-CN"/>
        </w:rPr>
      </w:pPr>
      <w:r>
        <w:rPr>
          <w:rFonts w:hint="eastAsia" w:ascii="宋体" w:hAnsi="宋体" w:eastAsia="宋体" w:cs="宋体"/>
          <w:color w:val="auto"/>
          <w:sz w:val="21"/>
          <w:highlight w:val="none"/>
          <w:lang w:val="en-US" w:eastAsia="zh-CN"/>
        </w:rPr>
        <w:t>账</w:t>
      </w:r>
      <w:r>
        <w:rPr>
          <w:rFonts w:hint="eastAsia" w:hAnsi="宋体" w:cs="宋体"/>
          <w:color w:val="auto"/>
          <w:sz w:val="21"/>
          <w:highlight w:val="none"/>
          <w:lang w:val="en-US" w:eastAsia="zh-CN"/>
        </w:rPr>
        <w:t xml:space="preserve">  </w:t>
      </w:r>
      <w:r>
        <w:rPr>
          <w:rFonts w:hint="eastAsia" w:ascii="宋体" w:hAnsi="宋体" w:eastAsia="宋体" w:cs="宋体"/>
          <w:color w:val="auto"/>
          <w:sz w:val="21"/>
          <w:highlight w:val="none"/>
          <w:lang w:val="en-US" w:eastAsia="zh-CN"/>
        </w:rPr>
        <w:t>号：</w:t>
      </w:r>
      <w:r>
        <w:rPr>
          <w:rFonts w:hint="eastAsia" w:ascii="宋体" w:hAnsi="宋体" w:cs="宋体"/>
          <w:color w:val="auto"/>
          <w:szCs w:val="24"/>
          <w:highlight w:val="none"/>
          <w:lang w:eastAsia="zh-CN"/>
        </w:rPr>
        <w:t>4505 0110 1205 0000 1410</w:t>
      </w:r>
    </w:p>
    <w:p w14:paraId="3A1176A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开户行：</w:t>
      </w:r>
      <w:r>
        <w:rPr>
          <w:rFonts w:hint="eastAsia" w:hAnsi="宋体" w:cs="宋体"/>
          <w:color w:val="auto"/>
          <w:szCs w:val="24"/>
          <w:highlight w:val="none"/>
          <w:lang w:val="en-US" w:eastAsia="zh-CN"/>
        </w:rPr>
        <w:t>中国建设银行股份有限公司浦北支行</w:t>
      </w:r>
    </w:p>
    <w:p w14:paraId="25C6894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代理服务费收费计算标准：</w:t>
      </w:r>
    </w:p>
    <w:tbl>
      <w:tblPr>
        <w:tblStyle w:val="61"/>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1BAA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7184CF39">
            <w:pPr>
              <w:keepNext w:val="0"/>
              <w:keepLines w:val="0"/>
              <w:pageBreakBefore w:val="0"/>
              <w:widowControl w:val="0"/>
              <w:kinsoku/>
              <w:wordWrap/>
              <w:overflowPunct/>
              <w:topLinePunct w:val="0"/>
              <w:autoSpaceDE/>
              <w:autoSpaceDN/>
              <w:bidi w:val="0"/>
              <w:adjustRightInd/>
              <w:snapToGrid/>
              <w:spacing w:line="380" w:lineRule="exact"/>
              <w:ind w:left="1702" w:firstLine="1040" w:firstLineChars="500"/>
              <w:jc w:val="left"/>
              <w:textAlignment w:val="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费率</w:t>
            </w:r>
          </w:p>
          <w:p w14:paraId="274E35E5">
            <w:pPr>
              <w:keepNext w:val="0"/>
              <w:keepLines w:val="0"/>
              <w:pageBreakBefore w:val="0"/>
              <w:widowControl w:val="0"/>
              <w:kinsoku/>
              <w:wordWrap/>
              <w:overflowPunct/>
              <w:topLinePunct w:val="0"/>
              <w:autoSpaceDE/>
              <w:autoSpaceDN/>
              <w:bidi w:val="0"/>
              <w:adjustRightInd/>
              <w:snapToGrid/>
              <w:spacing w:line="380" w:lineRule="exact"/>
              <w:ind w:left="118"/>
              <w:jc w:val="left"/>
              <w:textAlignment w:val="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金</w:t>
            </w:r>
            <w:r>
              <w:rPr>
                <w:rFonts w:ascii="宋体" w:hAnsi="宋体" w:eastAsia="宋体" w:cs="宋体"/>
                <w:color w:val="auto"/>
                <w:spacing w:val="3"/>
                <w:sz w:val="21"/>
                <w:szCs w:val="21"/>
                <w:highlight w:val="none"/>
              </w:rPr>
              <w:t>额</w:t>
            </w:r>
          </w:p>
        </w:tc>
        <w:tc>
          <w:tcPr>
            <w:tcW w:w="1579" w:type="dxa"/>
            <w:vAlign w:val="center"/>
          </w:tcPr>
          <w:p w14:paraId="42F144BB">
            <w:pPr>
              <w:keepNext w:val="0"/>
              <w:keepLines w:val="0"/>
              <w:pageBreakBefore w:val="0"/>
              <w:widowControl w:val="0"/>
              <w:kinsoku/>
              <w:wordWrap/>
              <w:overflowPunct/>
              <w:topLinePunct w:val="0"/>
              <w:autoSpaceDE/>
              <w:autoSpaceDN/>
              <w:bidi w:val="0"/>
              <w:adjustRightInd/>
              <w:snapToGrid/>
              <w:spacing w:line="380" w:lineRule="exact"/>
              <w:ind w:left="578"/>
              <w:jc w:val="center"/>
              <w:textAlignment w:val="auto"/>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货物类</w:t>
            </w:r>
          </w:p>
        </w:tc>
        <w:tc>
          <w:tcPr>
            <w:tcW w:w="1579" w:type="dxa"/>
            <w:vAlign w:val="center"/>
          </w:tcPr>
          <w:p w14:paraId="7E95134D">
            <w:pPr>
              <w:keepNext w:val="0"/>
              <w:keepLines w:val="0"/>
              <w:pageBreakBefore w:val="0"/>
              <w:widowControl w:val="0"/>
              <w:kinsoku/>
              <w:wordWrap/>
              <w:overflowPunct/>
              <w:topLinePunct w:val="0"/>
              <w:autoSpaceDE/>
              <w:autoSpaceDN/>
              <w:bidi w:val="0"/>
              <w:adjustRightInd/>
              <w:snapToGrid/>
              <w:spacing w:line="380" w:lineRule="exact"/>
              <w:ind w:left="458"/>
              <w:jc w:val="center"/>
              <w:textAlignment w:val="auto"/>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服务</w:t>
            </w:r>
            <w:r>
              <w:rPr>
                <w:rFonts w:ascii="宋体" w:hAnsi="宋体" w:eastAsia="宋体" w:cs="宋体"/>
                <w:color w:val="auto"/>
                <w:spacing w:val="6"/>
                <w:sz w:val="21"/>
                <w:szCs w:val="21"/>
                <w:highlight w:val="none"/>
              </w:rPr>
              <w:t>类</w:t>
            </w:r>
          </w:p>
        </w:tc>
        <w:tc>
          <w:tcPr>
            <w:tcW w:w="1581" w:type="dxa"/>
            <w:vAlign w:val="center"/>
          </w:tcPr>
          <w:p w14:paraId="5F5F7B28">
            <w:pPr>
              <w:keepNext w:val="0"/>
              <w:keepLines w:val="0"/>
              <w:pageBreakBefore w:val="0"/>
              <w:widowControl w:val="0"/>
              <w:kinsoku/>
              <w:wordWrap/>
              <w:overflowPunct/>
              <w:topLinePunct w:val="0"/>
              <w:autoSpaceDE/>
              <w:autoSpaceDN/>
              <w:bidi w:val="0"/>
              <w:adjustRightInd/>
              <w:snapToGrid/>
              <w:spacing w:line="380" w:lineRule="exact"/>
              <w:ind w:left="468"/>
              <w:jc w:val="center"/>
              <w:textAlignment w:val="auto"/>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工程类</w:t>
            </w:r>
          </w:p>
        </w:tc>
      </w:tr>
      <w:tr w14:paraId="5EB7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29456A8">
            <w:pPr>
              <w:keepNext w:val="0"/>
              <w:keepLines w:val="0"/>
              <w:pageBreakBefore w:val="0"/>
              <w:widowControl w:val="0"/>
              <w:kinsoku/>
              <w:wordWrap/>
              <w:overflowPunct/>
              <w:topLinePunct w:val="0"/>
              <w:autoSpaceDE/>
              <w:autoSpaceDN/>
              <w:bidi w:val="0"/>
              <w:adjustRightInd/>
              <w:spacing w:before="33" w:line="380" w:lineRule="exact"/>
              <w:ind w:left="131"/>
              <w:jc w:val="left"/>
              <w:textAlignment w:val="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0</w:t>
            </w:r>
            <w:r>
              <w:rPr>
                <w:rFonts w:ascii="宋体" w:hAnsi="宋体" w:eastAsia="宋体" w:cs="宋体"/>
                <w:color w:val="auto"/>
                <w:spacing w:val="-2"/>
                <w:sz w:val="21"/>
                <w:szCs w:val="21"/>
                <w:highlight w:val="none"/>
              </w:rPr>
              <w:t>0 万元以下</w:t>
            </w:r>
          </w:p>
        </w:tc>
        <w:tc>
          <w:tcPr>
            <w:tcW w:w="1579" w:type="dxa"/>
            <w:vAlign w:val="center"/>
          </w:tcPr>
          <w:p w14:paraId="1F590012">
            <w:pPr>
              <w:keepNext w:val="0"/>
              <w:keepLines w:val="0"/>
              <w:pageBreakBefore w:val="0"/>
              <w:widowControl w:val="0"/>
              <w:kinsoku/>
              <w:wordWrap/>
              <w:overflowPunct/>
              <w:topLinePunct w:val="0"/>
              <w:autoSpaceDE/>
              <w:autoSpaceDN/>
              <w:bidi w:val="0"/>
              <w:adjustRightInd/>
              <w:spacing w:before="33" w:line="380" w:lineRule="exact"/>
              <w:ind w:left="339"/>
              <w:jc w:val="center"/>
              <w:textAlignment w:val="auto"/>
              <w:rPr>
                <w:rFonts w:ascii="宋体" w:hAnsi="宋体" w:eastAsia="宋体" w:cs="宋体"/>
                <w:color w:val="auto"/>
                <w:sz w:val="21"/>
                <w:szCs w:val="21"/>
                <w:highlight w:val="none"/>
              </w:rPr>
            </w:pPr>
            <w:r>
              <w:rPr>
                <w:rFonts w:ascii="宋体" w:hAnsi="宋体" w:eastAsia="宋体" w:cs="宋体"/>
                <w:color w:val="auto"/>
                <w:spacing w:val="-1"/>
                <w:position w:val="1"/>
                <w:sz w:val="21"/>
                <w:szCs w:val="21"/>
                <w:highlight w:val="none"/>
              </w:rPr>
              <w:t>1.5</w:t>
            </w:r>
            <w:r>
              <w:rPr>
                <w:rFonts w:ascii="宋体" w:hAnsi="宋体" w:eastAsia="宋体" w:cs="宋体"/>
                <w:color w:val="auto"/>
                <w:position w:val="1"/>
                <w:sz w:val="21"/>
                <w:szCs w:val="21"/>
                <w:highlight w:val="none"/>
              </w:rPr>
              <w:t>%</w:t>
            </w:r>
          </w:p>
        </w:tc>
        <w:tc>
          <w:tcPr>
            <w:tcW w:w="1579" w:type="dxa"/>
            <w:vAlign w:val="center"/>
          </w:tcPr>
          <w:p w14:paraId="13666043">
            <w:pPr>
              <w:keepNext w:val="0"/>
              <w:keepLines w:val="0"/>
              <w:pageBreakBefore w:val="0"/>
              <w:widowControl w:val="0"/>
              <w:kinsoku/>
              <w:wordWrap/>
              <w:overflowPunct/>
              <w:topLinePunct w:val="0"/>
              <w:autoSpaceDE/>
              <w:autoSpaceDN/>
              <w:bidi w:val="0"/>
              <w:adjustRightInd/>
              <w:spacing w:before="33" w:line="380" w:lineRule="exact"/>
              <w:ind w:left="339"/>
              <w:jc w:val="center"/>
              <w:textAlignment w:val="auto"/>
              <w:rPr>
                <w:rFonts w:ascii="宋体" w:hAnsi="宋体" w:eastAsia="宋体" w:cs="宋体"/>
                <w:color w:val="auto"/>
                <w:sz w:val="21"/>
                <w:szCs w:val="21"/>
                <w:highlight w:val="none"/>
              </w:rPr>
            </w:pPr>
            <w:r>
              <w:rPr>
                <w:rFonts w:ascii="宋体" w:hAnsi="宋体" w:eastAsia="宋体" w:cs="宋体"/>
                <w:color w:val="auto"/>
                <w:spacing w:val="-1"/>
                <w:position w:val="1"/>
                <w:sz w:val="21"/>
                <w:szCs w:val="21"/>
                <w:highlight w:val="none"/>
              </w:rPr>
              <w:t>1.5</w:t>
            </w:r>
            <w:r>
              <w:rPr>
                <w:rFonts w:ascii="宋体" w:hAnsi="宋体" w:eastAsia="宋体" w:cs="宋体"/>
                <w:color w:val="auto"/>
                <w:position w:val="1"/>
                <w:sz w:val="21"/>
                <w:szCs w:val="21"/>
                <w:highlight w:val="none"/>
              </w:rPr>
              <w:t>%</w:t>
            </w:r>
          </w:p>
        </w:tc>
        <w:tc>
          <w:tcPr>
            <w:tcW w:w="1581" w:type="dxa"/>
            <w:vAlign w:val="center"/>
          </w:tcPr>
          <w:p w14:paraId="61C3BBE6">
            <w:pPr>
              <w:keepNext w:val="0"/>
              <w:keepLines w:val="0"/>
              <w:pageBreakBefore w:val="0"/>
              <w:widowControl w:val="0"/>
              <w:kinsoku/>
              <w:wordWrap/>
              <w:overflowPunct/>
              <w:topLinePunct w:val="0"/>
              <w:autoSpaceDE/>
              <w:autoSpaceDN/>
              <w:bidi w:val="0"/>
              <w:adjustRightInd/>
              <w:spacing w:before="33" w:line="380" w:lineRule="exact"/>
              <w:ind w:left="342"/>
              <w:jc w:val="center"/>
              <w:textAlignment w:val="auto"/>
              <w:rPr>
                <w:rFonts w:ascii="宋体" w:hAnsi="宋体" w:eastAsia="宋体" w:cs="宋体"/>
                <w:color w:val="auto"/>
                <w:sz w:val="21"/>
                <w:szCs w:val="21"/>
                <w:highlight w:val="none"/>
              </w:rPr>
            </w:pPr>
            <w:r>
              <w:rPr>
                <w:rFonts w:ascii="宋体" w:hAnsi="宋体" w:eastAsia="宋体" w:cs="宋体"/>
                <w:color w:val="auto"/>
                <w:spacing w:val="-2"/>
                <w:position w:val="1"/>
                <w:sz w:val="21"/>
                <w:szCs w:val="21"/>
                <w:highlight w:val="none"/>
              </w:rPr>
              <w:t>1</w:t>
            </w:r>
            <w:r>
              <w:rPr>
                <w:rFonts w:ascii="宋体" w:hAnsi="宋体" w:eastAsia="宋体" w:cs="宋体"/>
                <w:color w:val="auto"/>
                <w:spacing w:val="-1"/>
                <w:position w:val="1"/>
                <w:sz w:val="21"/>
                <w:szCs w:val="21"/>
                <w:highlight w:val="none"/>
              </w:rPr>
              <w:t>.0%</w:t>
            </w:r>
          </w:p>
        </w:tc>
      </w:tr>
      <w:tr w14:paraId="1AB2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093457F3">
            <w:pPr>
              <w:keepNext w:val="0"/>
              <w:keepLines w:val="0"/>
              <w:pageBreakBefore w:val="0"/>
              <w:widowControl w:val="0"/>
              <w:kinsoku/>
              <w:wordWrap/>
              <w:overflowPunct/>
              <w:topLinePunct w:val="0"/>
              <w:autoSpaceDE/>
              <w:autoSpaceDN/>
              <w:bidi w:val="0"/>
              <w:adjustRightInd/>
              <w:spacing w:before="33" w:line="380" w:lineRule="exact"/>
              <w:ind w:left="131"/>
              <w:jc w:val="left"/>
              <w:textAlignment w:val="auto"/>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1</w:t>
            </w:r>
            <w:r>
              <w:rPr>
                <w:rFonts w:ascii="宋体" w:hAnsi="宋体" w:eastAsia="宋体" w:cs="宋体"/>
                <w:color w:val="auto"/>
                <w:spacing w:val="8"/>
                <w:sz w:val="21"/>
                <w:szCs w:val="21"/>
                <w:highlight w:val="none"/>
              </w:rPr>
              <w:t>00</w:t>
            </w:r>
            <w:r>
              <w:rPr>
                <w:rFonts w:hint="eastAsia" w:ascii="宋体" w:hAnsi="宋体" w:cs="宋体"/>
                <w:color w:val="auto"/>
                <w:spacing w:val="8"/>
                <w:sz w:val="21"/>
                <w:szCs w:val="21"/>
                <w:highlight w:val="none"/>
                <w:lang w:eastAsia="zh-CN"/>
              </w:rPr>
              <w:t>～</w:t>
            </w:r>
            <w:r>
              <w:rPr>
                <w:rFonts w:ascii="宋体" w:hAnsi="宋体" w:eastAsia="宋体" w:cs="宋体"/>
                <w:color w:val="auto"/>
                <w:spacing w:val="8"/>
                <w:sz w:val="21"/>
                <w:szCs w:val="21"/>
                <w:highlight w:val="none"/>
              </w:rPr>
              <w:t>500 万元</w:t>
            </w:r>
          </w:p>
        </w:tc>
        <w:tc>
          <w:tcPr>
            <w:tcW w:w="1579" w:type="dxa"/>
            <w:vAlign w:val="center"/>
          </w:tcPr>
          <w:p w14:paraId="0D51D7A3">
            <w:pPr>
              <w:keepNext w:val="0"/>
              <w:keepLines w:val="0"/>
              <w:pageBreakBefore w:val="0"/>
              <w:widowControl w:val="0"/>
              <w:kinsoku/>
              <w:wordWrap/>
              <w:overflowPunct/>
              <w:topLinePunct w:val="0"/>
              <w:autoSpaceDE/>
              <w:autoSpaceDN/>
              <w:bidi w:val="0"/>
              <w:adjustRightInd/>
              <w:spacing w:before="33" w:line="380" w:lineRule="exact"/>
              <w:ind w:left="339"/>
              <w:jc w:val="center"/>
              <w:textAlignment w:val="auto"/>
              <w:rPr>
                <w:rFonts w:ascii="宋体" w:hAnsi="宋体" w:eastAsia="宋体" w:cs="宋体"/>
                <w:color w:val="auto"/>
                <w:sz w:val="21"/>
                <w:szCs w:val="21"/>
                <w:highlight w:val="none"/>
              </w:rPr>
            </w:pPr>
            <w:r>
              <w:rPr>
                <w:rFonts w:ascii="宋体" w:hAnsi="宋体" w:eastAsia="宋体" w:cs="宋体"/>
                <w:color w:val="auto"/>
                <w:spacing w:val="-1"/>
                <w:position w:val="1"/>
                <w:sz w:val="21"/>
                <w:szCs w:val="21"/>
                <w:highlight w:val="none"/>
              </w:rPr>
              <w:t>1.1</w:t>
            </w:r>
            <w:r>
              <w:rPr>
                <w:rFonts w:ascii="宋体" w:hAnsi="宋体" w:eastAsia="宋体" w:cs="宋体"/>
                <w:color w:val="auto"/>
                <w:position w:val="1"/>
                <w:sz w:val="21"/>
                <w:szCs w:val="21"/>
                <w:highlight w:val="none"/>
              </w:rPr>
              <w:t>%</w:t>
            </w:r>
          </w:p>
        </w:tc>
        <w:tc>
          <w:tcPr>
            <w:tcW w:w="1579" w:type="dxa"/>
            <w:vAlign w:val="center"/>
          </w:tcPr>
          <w:p w14:paraId="1E7E2E36">
            <w:pPr>
              <w:keepNext w:val="0"/>
              <w:keepLines w:val="0"/>
              <w:pageBreakBefore w:val="0"/>
              <w:widowControl w:val="0"/>
              <w:kinsoku/>
              <w:wordWrap/>
              <w:overflowPunct/>
              <w:topLinePunct w:val="0"/>
              <w:autoSpaceDE/>
              <w:autoSpaceDN/>
              <w:bidi w:val="0"/>
              <w:adjustRightInd/>
              <w:spacing w:before="33" w:line="380" w:lineRule="exact"/>
              <w:ind w:left="326"/>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0.8</w:t>
            </w:r>
            <w:r>
              <w:rPr>
                <w:rFonts w:ascii="宋体" w:hAnsi="宋体" w:eastAsia="宋体" w:cs="宋体"/>
                <w:color w:val="auto"/>
                <w:spacing w:val="2"/>
                <w:position w:val="1"/>
                <w:sz w:val="21"/>
                <w:szCs w:val="21"/>
                <w:highlight w:val="none"/>
              </w:rPr>
              <w:t>%</w:t>
            </w:r>
          </w:p>
        </w:tc>
        <w:tc>
          <w:tcPr>
            <w:tcW w:w="1581" w:type="dxa"/>
            <w:vAlign w:val="center"/>
          </w:tcPr>
          <w:p w14:paraId="3E2BBA7B">
            <w:pPr>
              <w:keepNext w:val="0"/>
              <w:keepLines w:val="0"/>
              <w:pageBreakBefore w:val="0"/>
              <w:widowControl w:val="0"/>
              <w:kinsoku/>
              <w:wordWrap/>
              <w:overflowPunct/>
              <w:topLinePunct w:val="0"/>
              <w:autoSpaceDE/>
              <w:autoSpaceDN/>
              <w:bidi w:val="0"/>
              <w:adjustRightInd/>
              <w:spacing w:before="33" w:line="380" w:lineRule="exact"/>
              <w:ind w:left="328"/>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w:t>
            </w:r>
            <w:r>
              <w:rPr>
                <w:rFonts w:ascii="宋体" w:hAnsi="宋体" w:eastAsia="宋体" w:cs="宋体"/>
                <w:color w:val="auto"/>
                <w:spacing w:val="2"/>
                <w:position w:val="1"/>
                <w:sz w:val="21"/>
                <w:szCs w:val="21"/>
                <w:highlight w:val="none"/>
              </w:rPr>
              <w:t>.7%</w:t>
            </w:r>
          </w:p>
        </w:tc>
      </w:tr>
      <w:tr w14:paraId="33BB4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697E7015">
            <w:pPr>
              <w:keepNext w:val="0"/>
              <w:keepLines w:val="0"/>
              <w:pageBreakBefore w:val="0"/>
              <w:widowControl w:val="0"/>
              <w:kinsoku/>
              <w:wordWrap/>
              <w:overflowPunct/>
              <w:topLinePunct w:val="0"/>
              <w:autoSpaceDE/>
              <w:autoSpaceDN/>
              <w:bidi w:val="0"/>
              <w:adjustRightInd/>
              <w:spacing w:before="32" w:line="380" w:lineRule="exact"/>
              <w:ind w:left="120"/>
              <w:jc w:val="left"/>
              <w:textAlignment w:val="auto"/>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5</w:t>
            </w:r>
            <w:r>
              <w:rPr>
                <w:rFonts w:ascii="宋体" w:hAnsi="宋体" w:eastAsia="宋体" w:cs="宋体"/>
                <w:color w:val="auto"/>
                <w:spacing w:val="9"/>
                <w:sz w:val="21"/>
                <w:szCs w:val="21"/>
                <w:highlight w:val="none"/>
              </w:rPr>
              <w:t>00</w:t>
            </w:r>
            <w:r>
              <w:rPr>
                <w:rFonts w:hint="eastAsia" w:ascii="宋体" w:hAnsi="宋体" w:cs="宋体"/>
                <w:color w:val="auto"/>
                <w:spacing w:val="8"/>
                <w:sz w:val="21"/>
                <w:szCs w:val="21"/>
                <w:highlight w:val="none"/>
                <w:lang w:eastAsia="zh-CN"/>
              </w:rPr>
              <w:t>～</w:t>
            </w:r>
            <w:r>
              <w:rPr>
                <w:rFonts w:ascii="宋体" w:hAnsi="宋体" w:eastAsia="宋体" w:cs="宋体"/>
                <w:color w:val="auto"/>
                <w:spacing w:val="9"/>
                <w:sz w:val="21"/>
                <w:szCs w:val="21"/>
                <w:highlight w:val="none"/>
              </w:rPr>
              <w:t>1000 万元</w:t>
            </w:r>
          </w:p>
        </w:tc>
        <w:tc>
          <w:tcPr>
            <w:tcW w:w="1579" w:type="dxa"/>
            <w:vAlign w:val="center"/>
          </w:tcPr>
          <w:p w14:paraId="147B1FA1">
            <w:pPr>
              <w:keepNext w:val="0"/>
              <w:keepLines w:val="0"/>
              <w:pageBreakBefore w:val="0"/>
              <w:widowControl w:val="0"/>
              <w:kinsoku/>
              <w:wordWrap/>
              <w:overflowPunct/>
              <w:topLinePunct w:val="0"/>
              <w:autoSpaceDE/>
              <w:autoSpaceDN/>
              <w:bidi w:val="0"/>
              <w:adjustRightInd/>
              <w:spacing w:before="32" w:line="380" w:lineRule="exact"/>
              <w:ind w:left="325"/>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0.8</w:t>
            </w:r>
            <w:r>
              <w:rPr>
                <w:rFonts w:ascii="宋体" w:hAnsi="宋体" w:eastAsia="宋体" w:cs="宋体"/>
                <w:color w:val="auto"/>
                <w:spacing w:val="2"/>
                <w:position w:val="1"/>
                <w:sz w:val="21"/>
                <w:szCs w:val="21"/>
                <w:highlight w:val="none"/>
              </w:rPr>
              <w:t>%</w:t>
            </w:r>
          </w:p>
        </w:tc>
        <w:tc>
          <w:tcPr>
            <w:tcW w:w="1579" w:type="dxa"/>
            <w:vAlign w:val="center"/>
          </w:tcPr>
          <w:p w14:paraId="41374524">
            <w:pPr>
              <w:keepNext w:val="0"/>
              <w:keepLines w:val="0"/>
              <w:pageBreakBefore w:val="0"/>
              <w:widowControl w:val="0"/>
              <w:kinsoku/>
              <w:wordWrap/>
              <w:overflowPunct/>
              <w:topLinePunct w:val="0"/>
              <w:autoSpaceDE/>
              <w:autoSpaceDN/>
              <w:bidi w:val="0"/>
              <w:adjustRightInd/>
              <w:spacing w:before="32" w:line="380" w:lineRule="exact"/>
              <w:ind w:left="326"/>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0.45</w:t>
            </w:r>
            <w:r>
              <w:rPr>
                <w:rFonts w:ascii="宋体" w:hAnsi="宋体" w:eastAsia="宋体" w:cs="宋体"/>
                <w:color w:val="auto"/>
                <w:spacing w:val="2"/>
                <w:position w:val="1"/>
                <w:sz w:val="21"/>
                <w:szCs w:val="21"/>
                <w:highlight w:val="none"/>
              </w:rPr>
              <w:t>%</w:t>
            </w:r>
          </w:p>
        </w:tc>
        <w:tc>
          <w:tcPr>
            <w:tcW w:w="1581" w:type="dxa"/>
            <w:vAlign w:val="center"/>
          </w:tcPr>
          <w:p w14:paraId="4039C74F">
            <w:pPr>
              <w:keepNext w:val="0"/>
              <w:keepLines w:val="0"/>
              <w:pageBreakBefore w:val="0"/>
              <w:widowControl w:val="0"/>
              <w:kinsoku/>
              <w:wordWrap/>
              <w:overflowPunct/>
              <w:topLinePunct w:val="0"/>
              <w:autoSpaceDE/>
              <w:autoSpaceDN/>
              <w:bidi w:val="0"/>
              <w:adjustRightInd/>
              <w:spacing w:before="32" w:line="380" w:lineRule="exact"/>
              <w:ind w:left="328"/>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0.55</w:t>
            </w:r>
            <w:r>
              <w:rPr>
                <w:rFonts w:ascii="宋体" w:hAnsi="宋体" w:eastAsia="宋体" w:cs="宋体"/>
                <w:color w:val="auto"/>
                <w:spacing w:val="2"/>
                <w:position w:val="1"/>
                <w:sz w:val="21"/>
                <w:szCs w:val="21"/>
                <w:highlight w:val="none"/>
              </w:rPr>
              <w:t>%</w:t>
            </w:r>
          </w:p>
        </w:tc>
      </w:tr>
      <w:tr w14:paraId="5734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75FC8754">
            <w:pPr>
              <w:keepNext w:val="0"/>
              <w:keepLines w:val="0"/>
              <w:pageBreakBefore w:val="0"/>
              <w:widowControl w:val="0"/>
              <w:kinsoku/>
              <w:wordWrap/>
              <w:overflowPunct/>
              <w:topLinePunct w:val="0"/>
              <w:autoSpaceDE/>
              <w:autoSpaceDN/>
              <w:bidi w:val="0"/>
              <w:adjustRightInd/>
              <w:spacing w:before="32" w:line="380" w:lineRule="exact"/>
              <w:ind w:left="131"/>
              <w:jc w:val="left"/>
              <w:textAlignment w:val="auto"/>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1000</w:t>
            </w:r>
            <w:r>
              <w:rPr>
                <w:rFonts w:hint="eastAsia" w:ascii="宋体" w:hAnsi="宋体" w:cs="宋体"/>
                <w:color w:val="auto"/>
                <w:spacing w:val="8"/>
                <w:sz w:val="21"/>
                <w:szCs w:val="21"/>
                <w:highlight w:val="none"/>
                <w:lang w:eastAsia="zh-CN"/>
              </w:rPr>
              <w:t>～</w:t>
            </w:r>
            <w:r>
              <w:rPr>
                <w:rFonts w:ascii="宋体" w:hAnsi="宋体" w:eastAsia="宋体" w:cs="宋体"/>
                <w:color w:val="auto"/>
                <w:spacing w:val="8"/>
                <w:sz w:val="21"/>
                <w:szCs w:val="21"/>
                <w:highlight w:val="none"/>
              </w:rPr>
              <w:t>5000万</w:t>
            </w:r>
            <w:r>
              <w:rPr>
                <w:rFonts w:ascii="宋体" w:hAnsi="宋体" w:eastAsia="宋体" w:cs="宋体"/>
                <w:color w:val="auto"/>
                <w:spacing w:val="7"/>
                <w:sz w:val="21"/>
                <w:szCs w:val="21"/>
                <w:highlight w:val="none"/>
              </w:rPr>
              <w:t>元</w:t>
            </w:r>
          </w:p>
        </w:tc>
        <w:tc>
          <w:tcPr>
            <w:tcW w:w="1579" w:type="dxa"/>
            <w:vAlign w:val="center"/>
          </w:tcPr>
          <w:p w14:paraId="185475F7">
            <w:pPr>
              <w:keepNext w:val="0"/>
              <w:keepLines w:val="0"/>
              <w:pageBreakBefore w:val="0"/>
              <w:widowControl w:val="0"/>
              <w:kinsoku/>
              <w:wordWrap/>
              <w:overflowPunct/>
              <w:topLinePunct w:val="0"/>
              <w:autoSpaceDE/>
              <w:autoSpaceDN/>
              <w:bidi w:val="0"/>
              <w:adjustRightInd/>
              <w:spacing w:before="32" w:line="380" w:lineRule="exact"/>
              <w:ind w:left="325"/>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0.5</w:t>
            </w:r>
            <w:r>
              <w:rPr>
                <w:rFonts w:ascii="宋体" w:hAnsi="宋体" w:eastAsia="宋体" w:cs="宋体"/>
                <w:color w:val="auto"/>
                <w:spacing w:val="2"/>
                <w:position w:val="1"/>
                <w:sz w:val="21"/>
                <w:szCs w:val="21"/>
                <w:highlight w:val="none"/>
              </w:rPr>
              <w:t>%</w:t>
            </w:r>
          </w:p>
        </w:tc>
        <w:tc>
          <w:tcPr>
            <w:tcW w:w="1579" w:type="dxa"/>
            <w:vAlign w:val="center"/>
          </w:tcPr>
          <w:p w14:paraId="37275134">
            <w:pPr>
              <w:keepNext w:val="0"/>
              <w:keepLines w:val="0"/>
              <w:pageBreakBefore w:val="0"/>
              <w:widowControl w:val="0"/>
              <w:kinsoku/>
              <w:wordWrap/>
              <w:overflowPunct/>
              <w:topLinePunct w:val="0"/>
              <w:autoSpaceDE/>
              <w:autoSpaceDN/>
              <w:bidi w:val="0"/>
              <w:adjustRightInd/>
              <w:spacing w:before="32" w:line="380" w:lineRule="exact"/>
              <w:ind w:left="326"/>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0.25</w:t>
            </w:r>
            <w:r>
              <w:rPr>
                <w:rFonts w:ascii="宋体" w:hAnsi="宋体" w:eastAsia="宋体" w:cs="宋体"/>
                <w:color w:val="auto"/>
                <w:spacing w:val="2"/>
                <w:position w:val="1"/>
                <w:sz w:val="21"/>
                <w:szCs w:val="21"/>
                <w:highlight w:val="none"/>
              </w:rPr>
              <w:t>%</w:t>
            </w:r>
          </w:p>
        </w:tc>
        <w:tc>
          <w:tcPr>
            <w:tcW w:w="1581" w:type="dxa"/>
            <w:vAlign w:val="center"/>
          </w:tcPr>
          <w:p w14:paraId="38B39663">
            <w:pPr>
              <w:keepNext w:val="0"/>
              <w:keepLines w:val="0"/>
              <w:pageBreakBefore w:val="0"/>
              <w:widowControl w:val="0"/>
              <w:kinsoku/>
              <w:wordWrap/>
              <w:overflowPunct/>
              <w:topLinePunct w:val="0"/>
              <w:autoSpaceDE/>
              <w:autoSpaceDN/>
              <w:bidi w:val="0"/>
              <w:adjustRightInd/>
              <w:spacing w:before="32" w:line="380" w:lineRule="exact"/>
              <w:ind w:left="328"/>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0.35</w:t>
            </w:r>
            <w:r>
              <w:rPr>
                <w:rFonts w:ascii="宋体" w:hAnsi="宋体" w:eastAsia="宋体" w:cs="宋体"/>
                <w:color w:val="auto"/>
                <w:spacing w:val="2"/>
                <w:position w:val="1"/>
                <w:sz w:val="21"/>
                <w:szCs w:val="21"/>
                <w:highlight w:val="none"/>
              </w:rPr>
              <w:t>%</w:t>
            </w:r>
          </w:p>
        </w:tc>
      </w:tr>
      <w:tr w14:paraId="721A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3306BC3">
            <w:pPr>
              <w:keepNext w:val="0"/>
              <w:keepLines w:val="0"/>
              <w:pageBreakBefore w:val="0"/>
              <w:widowControl w:val="0"/>
              <w:kinsoku/>
              <w:wordWrap/>
              <w:overflowPunct/>
              <w:topLinePunct w:val="0"/>
              <w:autoSpaceDE/>
              <w:autoSpaceDN/>
              <w:bidi w:val="0"/>
              <w:adjustRightInd/>
              <w:spacing w:before="34" w:line="380" w:lineRule="exact"/>
              <w:ind w:left="120"/>
              <w:jc w:val="left"/>
              <w:textAlignment w:val="auto"/>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5</w:t>
            </w:r>
            <w:r>
              <w:rPr>
                <w:rFonts w:ascii="宋体" w:hAnsi="宋体" w:eastAsia="宋体" w:cs="宋体"/>
                <w:color w:val="auto"/>
                <w:spacing w:val="5"/>
                <w:sz w:val="21"/>
                <w:szCs w:val="21"/>
                <w:highlight w:val="none"/>
              </w:rPr>
              <w:t>000万元</w:t>
            </w:r>
            <w:r>
              <w:rPr>
                <w:rFonts w:hint="eastAsia" w:ascii="宋体" w:hAnsi="宋体" w:cs="宋体"/>
                <w:color w:val="auto"/>
                <w:spacing w:val="8"/>
                <w:sz w:val="21"/>
                <w:szCs w:val="21"/>
                <w:highlight w:val="none"/>
                <w:lang w:eastAsia="zh-CN"/>
              </w:rPr>
              <w:t>～</w:t>
            </w:r>
            <w:r>
              <w:rPr>
                <w:rFonts w:ascii="宋体" w:hAnsi="宋体" w:eastAsia="宋体" w:cs="宋体"/>
                <w:color w:val="auto"/>
                <w:spacing w:val="5"/>
                <w:sz w:val="21"/>
                <w:szCs w:val="21"/>
                <w:highlight w:val="none"/>
              </w:rPr>
              <w:t>1亿元</w:t>
            </w:r>
          </w:p>
        </w:tc>
        <w:tc>
          <w:tcPr>
            <w:tcW w:w="1579" w:type="dxa"/>
            <w:vAlign w:val="center"/>
          </w:tcPr>
          <w:p w14:paraId="21127617">
            <w:pPr>
              <w:keepNext w:val="0"/>
              <w:keepLines w:val="0"/>
              <w:pageBreakBefore w:val="0"/>
              <w:widowControl w:val="0"/>
              <w:kinsoku/>
              <w:wordWrap/>
              <w:overflowPunct/>
              <w:topLinePunct w:val="0"/>
              <w:autoSpaceDE/>
              <w:autoSpaceDN/>
              <w:bidi w:val="0"/>
              <w:adjustRightInd/>
              <w:spacing w:before="34" w:line="380" w:lineRule="exact"/>
              <w:ind w:left="325"/>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0.25</w:t>
            </w:r>
            <w:r>
              <w:rPr>
                <w:rFonts w:ascii="宋体" w:hAnsi="宋体" w:eastAsia="宋体" w:cs="宋体"/>
                <w:color w:val="auto"/>
                <w:spacing w:val="2"/>
                <w:position w:val="1"/>
                <w:sz w:val="21"/>
                <w:szCs w:val="21"/>
                <w:highlight w:val="none"/>
              </w:rPr>
              <w:t>%</w:t>
            </w:r>
          </w:p>
        </w:tc>
        <w:tc>
          <w:tcPr>
            <w:tcW w:w="1579" w:type="dxa"/>
            <w:vAlign w:val="center"/>
          </w:tcPr>
          <w:p w14:paraId="299D6996">
            <w:pPr>
              <w:keepNext w:val="0"/>
              <w:keepLines w:val="0"/>
              <w:pageBreakBefore w:val="0"/>
              <w:widowControl w:val="0"/>
              <w:kinsoku/>
              <w:wordWrap/>
              <w:overflowPunct/>
              <w:topLinePunct w:val="0"/>
              <w:autoSpaceDE/>
              <w:autoSpaceDN/>
              <w:bidi w:val="0"/>
              <w:adjustRightInd/>
              <w:spacing w:before="34" w:line="380" w:lineRule="exact"/>
              <w:ind w:left="326"/>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0.1</w:t>
            </w:r>
            <w:r>
              <w:rPr>
                <w:rFonts w:ascii="宋体" w:hAnsi="宋体" w:eastAsia="宋体" w:cs="宋体"/>
                <w:color w:val="auto"/>
                <w:spacing w:val="2"/>
                <w:position w:val="1"/>
                <w:sz w:val="21"/>
                <w:szCs w:val="21"/>
                <w:highlight w:val="none"/>
              </w:rPr>
              <w:t>%</w:t>
            </w:r>
          </w:p>
        </w:tc>
        <w:tc>
          <w:tcPr>
            <w:tcW w:w="1581" w:type="dxa"/>
            <w:vAlign w:val="center"/>
          </w:tcPr>
          <w:p w14:paraId="1EAF3DA3">
            <w:pPr>
              <w:keepNext w:val="0"/>
              <w:keepLines w:val="0"/>
              <w:pageBreakBefore w:val="0"/>
              <w:widowControl w:val="0"/>
              <w:kinsoku/>
              <w:wordWrap/>
              <w:overflowPunct/>
              <w:topLinePunct w:val="0"/>
              <w:autoSpaceDE/>
              <w:autoSpaceDN/>
              <w:bidi w:val="0"/>
              <w:adjustRightInd/>
              <w:spacing w:before="34" w:line="380" w:lineRule="exact"/>
              <w:ind w:left="328"/>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w:t>
            </w:r>
            <w:r>
              <w:rPr>
                <w:rFonts w:ascii="宋体" w:hAnsi="宋体" w:eastAsia="宋体" w:cs="宋体"/>
                <w:color w:val="auto"/>
                <w:spacing w:val="2"/>
                <w:position w:val="1"/>
                <w:sz w:val="21"/>
                <w:szCs w:val="21"/>
                <w:highlight w:val="none"/>
              </w:rPr>
              <w:t>.2%</w:t>
            </w:r>
          </w:p>
        </w:tc>
      </w:tr>
      <w:tr w14:paraId="142F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07BC3CFD">
            <w:pPr>
              <w:keepNext w:val="0"/>
              <w:keepLines w:val="0"/>
              <w:pageBreakBefore w:val="0"/>
              <w:widowControl w:val="0"/>
              <w:kinsoku/>
              <w:wordWrap/>
              <w:overflowPunct/>
              <w:topLinePunct w:val="0"/>
              <w:autoSpaceDE/>
              <w:autoSpaceDN/>
              <w:bidi w:val="0"/>
              <w:adjustRightInd/>
              <w:spacing w:before="33" w:line="380" w:lineRule="exact"/>
              <w:ind w:left="131"/>
              <w:jc w:val="left"/>
              <w:textAlignment w:val="auto"/>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1</w:t>
            </w:r>
            <w:r>
              <w:rPr>
                <w:rFonts w:hint="eastAsia" w:ascii="宋体" w:hAnsi="宋体" w:cs="宋体"/>
                <w:color w:val="auto"/>
                <w:spacing w:val="8"/>
                <w:sz w:val="21"/>
                <w:szCs w:val="21"/>
                <w:highlight w:val="none"/>
                <w:lang w:eastAsia="zh-CN"/>
              </w:rPr>
              <w:t>～</w:t>
            </w:r>
            <w:r>
              <w:rPr>
                <w:rFonts w:ascii="宋体" w:hAnsi="宋体" w:eastAsia="宋体" w:cs="宋体"/>
                <w:color w:val="auto"/>
                <w:spacing w:val="10"/>
                <w:sz w:val="21"/>
                <w:szCs w:val="21"/>
                <w:highlight w:val="none"/>
              </w:rPr>
              <w:t>5亿元</w:t>
            </w:r>
          </w:p>
        </w:tc>
        <w:tc>
          <w:tcPr>
            <w:tcW w:w="1579" w:type="dxa"/>
            <w:vAlign w:val="center"/>
          </w:tcPr>
          <w:p w14:paraId="5C59B51C">
            <w:pPr>
              <w:keepNext w:val="0"/>
              <w:keepLines w:val="0"/>
              <w:pageBreakBefore w:val="0"/>
              <w:widowControl w:val="0"/>
              <w:kinsoku/>
              <w:wordWrap/>
              <w:overflowPunct/>
              <w:topLinePunct w:val="0"/>
              <w:autoSpaceDE/>
              <w:autoSpaceDN/>
              <w:bidi w:val="0"/>
              <w:adjustRightInd/>
              <w:spacing w:before="33" w:line="380" w:lineRule="exact"/>
              <w:ind w:left="325"/>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0.05</w:t>
            </w:r>
            <w:r>
              <w:rPr>
                <w:rFonts w:ascii="宋体" w:hAnsi="宋体" w:eastAsia="宋体" w:cs="宋体"/>
                <w:color w:val="auto"/>
                <w:spacing w:val="2"/>
                <w:position w:val="1"/>
                <w:sz w:val="21"/>
                <w:szCs w:val="21"/>
                <w:highlight w:val="none"/>
              </w:rPr>
              <w:t>%</w:t>
            </w:r>
          </w:p>
        </w:tc>
        <w:tc>
          <w:tcPr>
            <w:tcW w:w="1579" w:type="dxa"/>
            <w:vAlign w:val="center"/>
          </w:tcPr>
          <w:p w14:paraId="6963C307">
            <w:pPr>
              <w:keepNext w:val="0"/>
              <w:keepLines w:val="0"/>
              <w:pageBreakBefore w:val="0"/>
              <w:widowControl w:val="0"/>
              <w:kinsoku/>
              <w:wordWrap/>
              <w:overflowPunct/>
              <w:topLinePunct w:val="0"/>
              <w:autoSpaceDE/>
              <w:autoSpaceDN/>
              <w:bidi w:val="0"/>
              <w:adjustRightInd/>
              <w:spacing w:before="33" w:line="380" w:lineRule="exact"/>
              <w:ind w:left="326"/>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0.05</w:t>
            </w:r>
            <w:r>
              <w:rPr>
                <w:rFonts w:ascii="宋体" w:hAnsi="宋体" w:eastAsia="宋体" w:cs="宋体"/>
                <w:color w:val="auto"/>
                <w:spacing w:val="2"/>
                <w:position w:val="1"/>
                <w:sz w:val="21"/>
                <w:szCs w:val="21"/>
                <w:highlight w:val="none"/>
              </w:rPr>
              <w:t>%</w:t>
            </w:r>
          </w:p>
        </w:tc>
        <w:tc>
          <w:tcPr>
            <w:tcW w:w="1581" w:type="dxa"/>
            <w:vAlign w:val="center"/>
          </w:tcPr>
          <w:p w14:paraId="3680AE7E">
            <w:pPr>
              <w:keepNext w:val="0"/>
              <w:keepLines w:val="0"/>
              <w:pageBreakBefore w:val="0"/>
              <w:widowControl w:val="0"/>
              <w:kinsoku/>
              <w:wordWrap/>
              <w:overflowPunct/>
              <w:topLinePunct w:val="0"/>
              <w:autoSpaceDE/>
              <w:autoSpaceDN/>
              <w:bidi w:val="0"/>
              <w:adjustRightInd/>
              <w:spacing w:before="33" w:line="380" w:lineRule="exact"/>
              <w:ind w:left="328"/>
              <w:jc w:val="center"/>
              <w:textAlignment w:val="auto"/>
              <w:rPr>
                <w:rFonts w:ascii="宋体" w:hAnsi="宋体" w:eastAsia="宋体" w:cs="宋体"/>
                <w:color w:val="auto"/>
                <w:sz w:val="21"/>
                <w:szCs w:val="21"/>
                <w:highlight w:val="none"/>
              </w:rPr>
            </w:pPr>
            <w:r>
              <w:rPr>
                <w:rFonts w:ascii="宋体" w:hAnsi="宋体" w:eastAsia="宋体" w:cs="宋体"/>
                <w:color w:val="auto"/>
                <w:spacing w:val="3"/>
                <w:position w:val="1"/>
                <w:sz w:val="21"/>
                <w:szCs w:val="21"/>
                <w:highlight w:val="none"/>
              </w:rPr>
              <w:t>0.05</w:t>
            </w:r>
            <w:r>
              <w:rPr>
                <w:rFonts w:ascii="宋体" w:hAnsi="宋体" w:eastAsia="宋体" w:cs="宋体"/>
                <w:color w:val="auto"/>
                <w:spacing w:val="2"/>
                <w:position w:val="1"/>
                <w:sz w:val="21"/>
                <w:szCs w:val="21"/>
                <w:highlight w:val="none"/>
              </w:rPr>
              <w:t>%</w:t>
            </w:r>
          </w:p>
        </w:tc>
      </w:tr>
      <w:tr w14:paraId="3742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20E3388B">
            <w:pPr>
              <w:keepNext w:val="0"/>
              <w:keepLines w:val="0"/>
              <w:pageBreakBefore w:val="0"/>
              <w:widowControl w:val="0"/>
              <w:kinsoku/>
              <w:wordWrap/>
              <w:overflowPunct/>
              <w:topLinePunct w:val="0"/>
              <w:autoSpaceDE/>
              <w:autoSpaceDN/>
              <w:bidi w:val="0"/>
              <w:adjustRightInd/>
              <w:spacing w:before="36" w:line="380" w:lineRule="exact"/>
              <w:ind w:left="120"/>
              <w:jc w:val="left"/>
              <w:textAlignment w:val="auto"/>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5</w:t>
            </w:r>
            <w:r>
              <w:rPr>
                <w:rFonts w:hint="eastAsia" w:ascii="宋体" w:hAnsi="宋体" w:cs="宋体"/>
                <w:color w:val="auto"/>
                <w:spacing w:val="8"/>
                <w:sz w:val="21"/>
                <w:szCs w:val="21"/>
                <w:highlight w:val="none"/>
                <w:lang w:eastAsia="zh-CN"/>
              </w:rPr>
              <w:t>～</w:t>
            </w:r>
            <w:r>
              <w:rPr>
                <w:rFonts w:ascii="宋体" w:hAnsi="宋体" w:eastAsia="宋体" w:cs="宋体"/>
                <w:color w:val="auto"/>
                <w:spacing w:val="11"/>
                <w:sz w:val="21"/>
                <w:szCs w:val="21"/>
                <w:highlight w:val="none"/>
              </w:rPr>
              <w:t>10亿元</w:t>
            </w:r>
          </w:p>
        </w:tc>
        <w:tc>
          <w:tcPr>
            <w:tcW w:w="1579" w:type="dxa"/>
            <w:vAlign w:val="center"/>
          </w:tcPr>
          <w:p w14:paraId="11DB51AA">
            <w:pPr>
              <w:keepNext w:val="0"/>
              <w:keepLines w:val="0"/>
              <w:pageBreakBefore w:val="0"/>
              <w:widowControl w:val="0"/>
              <w:kinsoku/>
              <w:wordWrap/>
              <w:overflowPunct/>
              <w:topLinePunct w:val="0"/>
              <w:autoSpaceDE/>
              <w:autoSpaceDN/>
              <w:bidi w:val="0"/>
              <w:adjustRightInd/>
              <w:spacing w:before="36" w:line="380" w:lineRule="exact"/>
              <w:ind w:left="220"/>
              <w:jc w:val="center"/>
              <w:textAlignment w:val="auto"/>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.035%</w:t>
            </w:r>
          </w:p>
        </w:tc>
        <w:tc>
          <w:tcPr>
            <w:tcW w:w="1579" w:type="dxa"/>
            <w:vAlign w:val="center"/>
          </w:tcPr>
          <w:p w14:paraId="52EF669F">
            <w:pPr>
              <w:keepNext w:val="0"/>
              <w:keepLines w:val="0"/>
              <w:pageBreakBefore w:val="0"/>
              <w:widowControl w:val="0"/>
              <w:kinsoku/>
              <w:wordWrap/>
              <w:overflowPunct/>
              <w:topLinePunct w:val="0"/>
              <w:autoSpaceDE/>
              <w:autoSpaceDN/>
              <w:bidi w:val="0"/>
              <w:adjustRightInd/>
              <w:spacing w:before="36" w:line="380" w:lineRule="exact"/>
              <w:ind w:left="326"/>
              <w:jc w:val="center"/>
              <w:textAlignment w:val="auto"/>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.035%</w:t>
            </w:r>
          </w:p>
        </w:tc>
        <w:tc>
          <w:tcPr>
            <w:tcW w:w="1581" w:type="dxa"/>
            <w:vAlign w:val="center"/>
          </w:tcPr>
          <w:p w14:paraId="311EA087">
            <w:pPr>
              <w:keepNext w:val="0"/>
              <w:keepLines w:val="0"/>
              <w:pageBreakBefore w:val="0"/>
              <w:widowControl w:val="0"/>
              <w:kinsoku/>
              <w:wordWrap/>
              <w:overflowPunct/>
              <w:topLinePunct w:val="0"/>
              <w:autoSpaceDE/>
              <w:autoSpaceDN/>
              <w:bidi w:val="0"/>
              <w:adjustRightInd/>
              <w:spacing w:before="36" w:line="380" w:lineRule="exact"/>
              <w:ind w:left="223"/>
              <w:jc w:val="center"/>
              <w:textAlignment w:val="auto"/>
              <w:rPr>
                <w:rFonts w:ascii="宋体" w:hAnsi="宋体" w:eastAsia="宋体" w:cs="宋体"/>
                <w:color w:val="auto"/>
                <w:sz w:val="21"/>
                <w:szCs w:val="21"/>
                <w:highlight w:val="none"/>
              </w:rPr>
            </w:pPr>
            <w:r>
              <w:rPr>
                <w:rFonts w:ascii="宋体" w:hAnsi="宋体" w:eastAsia="宋体" w:cs="宋体"/>
                <w:color w:val="auto"/>
                <w:spacing w:val="5"/>
                <w:position w:val="1"/>
                <w:sz w:val="21"/>
                <w:szCs w:val="21"/>
                <w:highlight w:val="none"/>
              </w:rPr>
              <w:t>0</w:t>
            </w:r>
            <w:r>
              <w:rPr>
                <w:rFonts w:ascii="宋体" w:hAnsi="宋体" w:eastAsia="宋体" w:cs="宋体"/>
                <w:color w:val="auto"/>
                <w:spacing w:val="3"/>
                <w:position w:val="1"/>
                <w:sz w:val="21"/>
                <w:szCs w:val="21"/>
                <w:highlight w:val="none"/>
              </w:rPr>
              <w:t>.035%</w:t>
            </w:r>
          </w:p>
        </w:tc>
      </w:tr>
    </w:tbl>
    <w:p w14:paraId="475789E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注：招标代理服务收费按差额定率累进法计算。</w:t>
      </w:r>
    </w:p>
    <w:p w14:paraId="3C6ACD1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24.2.解释权</w:t>
      </w:r>
    </w:p>
    <w:p w14:paraId="0C137A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解释权属本采购代理机构。</w:t>
      </w:r>
    </w:p>
    <w:p w14:paraId="165133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 询问、质疑和投诉</w:t>
      </w:r>
    </w:p>
    <w:p w14:paraId="6CD311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24.3.1 供应商对政府采购活动事项有疑问的，可以向采购人、采购代理机构提出询问，采购人或者采购代理机构应当在 3个工作日内对供应商依法提出的询问作出答复。</w:t>
      </w:r>
    </w:p>
    <w:p w14:paraId="74B6561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24.3.2 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 附表”。具体质疑起算时间如下：</w:t>
      </w:r>
    </w:p>
    <w:p w14:paraId="58D77C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对可以质疑的竞争性磋商文件提出质疑的，为收到竞争性磋商文件之日或竞争性磋商公告期限届满之日；</w:t>
      </w:r>
    </w:p>
    <w:p w14:paraId="03A229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对采购过程提出质疑的，为各采购程序环节结束之日；</w:t>
      </w:r>
    </w:p>
    <w:p w14:paraId="6940B47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对成交结果提出质疑的，为成交结果公告期限届满之日。</w:t>
      </w:r>
    </w:p>
    <w:p w14:paraId="402E9C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1D3630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24.3.3 供应商提出的询问或者质疑超出采购人对采购代理机构委托授权范围的，采购代理机构应当告知供应商向采购人提出。政府采购评审专家应当配合采购人或者采购代理机构答复供应商的询问和质疑。</w:t>
      </w:r>
    </w:p>
    <w:p w14:paraId="4420565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24.3.4 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ECD05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供应商提出质疑应当提交质疑函和必要的证明材料，针对同一采购程序环节的质疑必须在法定质疑期内一次性提出。质疑函应当包括下列内容：</w:t>
      </w:r>
    </w:p>
    <w:p w14:paraId="5BA4AC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供应商的姓名或者名称、地址、邮编、联系人及联系电话；</w:t>
      </w:r>
    </w:p>
    <w:p w14:paraId="00F3AD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质疑项目的名称、编号；</w:t>
      </w:r>
    </w:p>
    <w:p w14:paraId="00E1ED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(3) 具体、明确的质疑事项和与质疑事项相关的请求；</w:t>
      </w:r>
    </w:p>
    <w:p w14:paraId="3BE9DAD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(4) 事实依据；</w:t>
      </w:r>
    </w:p>
    <w:p w14:paraId="575C68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(5) 必要的法律依据；</w:t>
      </w:r>
    </w:p>
    <w:p w14:paraId="428F95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(6) 提出质疑的日期。</w:t>
      </w:r>
    </w:p>
    <w:p w14:paraId="1AC1EF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供应商为自然人的，应当由本人签字；供应商为法人或者其他组织的，应当由法定代表人、主要负责人，或者其委托代理人签字或者盖章，并加盖公章。</w:t>
      </w:r>
    </w:p>
    <w:p w14:paraId="4A6F66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24.3.5 采购人、采购代理机构认为供应商质疑不成立，或者成立但未对成交结果构成影响的，继续开展采购活动；认为供应商质疑成立且影响或者可能影响成交结果的，按照下列情况处理：</w:t>
      </w:r>
    </w:p>
    <w:p w14:paraId="3E13D3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(1) 对竞争性磋商文件提出的质疑，依法通过澄清或者修改可以继续开展采购活动的，澄清或者修改竞争性磋商文件后继续开展采购活动；否则应当在修改竞争性磋商文件后重新开展采购活动。</w:t>
      </w:r>
    </w:p>
    <w:p w14:paraId="04D5F6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 对采购过程、成交结果提出的质疑，合格供应商符合法定数量时，可以从合格的成交候选人中另行确定成交供应商的，应当依法另行确定成交供应商；否则应当重新开展采购活动。</w:t>
      </w:r>
    </w:p>
    <w:p w14:paraId="2F7F26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质疑答复导致成交结果改变的，采购人或者采购代理机构应当将有关情况书面报告本级财政部门。</w:t>
      </w:r>
    </w:p>
    <w:p w14:paraId="33B1993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24.3.6 投诉的权利。质疑供应商对采购人、采购代理机构的答复不满意，或者采购人、采购代理机构未在规定时间内作出答复的，可以在答复期满后15个工作日内向《政府采购质疑和投诉办法》(财政部令第94号) 第六条规定的财政部门提起投诉。</w:t>
      </w:r>
    </w:p>
    <w:p w14:paraId="39678B8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所有与本磋商文件有关的函件请按下列通讯地址联系：</w:t>
      </w:r>
    </w:p>
    <w:p w14:paraId="45D62F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rPr>
        <w:t>通讯地址：</w:t>
      </w:r>
      <w:r>
        <w:rPr>
          <w:rFonts w:hint="eastAsia" w:ascii="宋体" w:hAnsi="宋体" w:cs="宋体"/>
          <w:b w:val="0"/>
          <w:bCs/>
          <w:color w:val="auto"/>
          <w:szCs w:val="21"/>
          <w:highlight w:val="none"/>
          <w:lang w:eastAsia="zh-CN"/>
        </w:rPr>
        <w:t>浦北县小江镇东滨路（东方丽园）9幢32号</w:t>
      </w:r>
    </w:p>
    <w:p w14:paraId="5252A6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rPr>
        <w:t xml:space="preserve">电话： </w:t>
      </w:r>
      <w:r>
        <w:rPr>
          <w:rFonts w:hint="eastAsia" w:ascii="宋体" w:hAnsi="宋体" w:cs="宋体"/>
          <w:b w:val="0"/>
          <w:bCs/>
          <w:color w:val="auto"/>
          <w:szCs w:val="21"/>
          <w:highlight w:val="none"/>
          <w:lang w:eastAsia="zh-CN"/>
        </w:rPr>
        <w:t>0777-8331248</w:t>
      </w:r>
    </w:p>
    <w:p w14:paraId="76031E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color w:val="auto"/>
          <w:szCs w:val="21"/>
          <w:highlight w:val="none"/>
        </w:rPr>
      </w:pPr>
    </w:p>
    <w:p w14:paraId="15581C07">
      <w:pPr>
        <w:pStyle w:val="15"/>
        <w:rPr>
          <w:rFonts w:ascii="宋体" w:hAnsi="宋体" w:cs="宋体"/>
          <w:b w:val="0"/>
          <w:bCs/>
          <w:color w:val="auto"/>
          <w:szCs w:val="21"/>
          <w:highlight w:val="none"/>
        </w:rPr>
      </w:pPr>
    </w:p>
    <w:p w14:paraId="31E2D727">
      <w:pPr>
        <w:pStyle w:val="15"/>
        <w:rPr>
          <w:rFonts w:ascii="宋体" w:hAnsi="宋体" w:cs="宋体"/>
          <w:b w:val="0"/>
          <w:bCs/>
          <w:color w:val="auto"/>
          <w:szCs w:val="21"/>
          <w:highlight w:val="none"/>
        </w:rPr>
      </w:pPr>
    </w:p>
    <w:p w14:paraId="5A26EF51">
      <w:pPr>
        <w:pStyle w:val="15"/>
        <w:rPr>
          <w:rFonts w:ascii="宋体" w:hAnsi="宋体" w:cs="宋体"/>
          <w:b w:val="0"/>
          <w:bCs/>
          <w:color w:val="auto"/>
          <w:szCs w:val="21"/>
          <w:highlight w:val="none"/>
        </w:rPr>
      </w:pPr>
    </w:p>
    <w:p w14:paraId="3F8EC70F">
      <w:pPr>
        <w:pStyle w:val="15"/>
        <w:rPr>
          <w:rFonts w:ascii="宋体" w:hAnsi="宋体" w:cs="宋体"/>
          <w:b w:val="0"/>
          <w:bCs/>
          <w:color w:val="auto"/>
          <w:szCs w:val="21"/>
          <w:highlight w:val="none"/>
        </w:rPr>
      </w:pPr>
    </w:p>
    <w:p w14:paraId="6CBA3BCA">
      <w:pPr>
        <w:pStyle w:val="15"/>
        <w:rPr>
          <w:rFonts w:ascii="宋体" w:hAnsi="宋体" w:cs="宋体"/>
          <w:b w:val="0"/>
          <w:bCs/>
          <w:color w:val="auto"/>
          <w:szCs w:val="21"/>
          <w:highlight w:val="none"/>
        </w:rPr>
      </w:pPr>
    </w:p>
    <w:p w14:paraId="520B749E">
      <w:pPr>
        <w:pStyle w:val="15"/>
        <w:rPr>
          <w:rFonts w:ascii="宋体" w:hAnsi="宋体" w:cs="宋体"/>
          <w:b w:val="0"/>
          <w:bCs/>
          <w:color w:val="auto"/>
          <w:szCs w:val="21"/>
          <w:highlight w:val="none"/>
        </w:rPr>
      </w:pPr>
    </w:p>
    <w:p w14:paraId="76A36CC6">
      <w:pPr>
        <w:pStyle w:val="15"/>
        <w:rPr>
          <w:rFonts w:ascii="宋体" w:hAnsi="宋体" w:cs="宋体"/>
          <w:b w:val="0"/>
          <w:bCs/>
          <w:color w:val="auto"/>
          <w:szCs w:val="21"/>
          <w:highlight w:val="none"/>
        </w:rPr>
      </w:pPr>
    </w:p>
    <w:p w14:paraId="0F63F555">
      <w:pPr>
        <w:pStyle w:val="15"/>
        <w:rPr>
          <w:rFonts w:ascii="宋体" w:hAnsi="宋体" w:cs="宋体"/>
          <w:b w:val="0"/>
          <w:bCs/>
          <w:color w:val="auto"/>
          <w:szCs w:val="21"/>
          <w:highlight w:val="none"/>
        </w:rPr>
      </w:pPr>
    </w:p>
    <w:p w14:paraId="6DB30188">
      <w:pPr>
        <w:pStyle w:val="15"/>
        <w:rPr>
          <w:rFonts w:ascii="宋体" w:hAnsi="宋体" w:cs="宋体"/>
          <w:b w:val="0"/>
          <w:bCs/>
          <w:color w:val="auto"/>
          <w:szCs w:val="21"/>
          <w:highlight w:val="none"/>
        </w:rPr>
      </w:pPr>
    </w:p>
    <w:p w14:paraId="6489A4D6">
      <w:pPr>
        <w:jc w:val="both"/>
        <w:outlineLvl w:val="0"/>
        <w:rPr>
          <w:rFonts w:hint="eastAsia" w:ascii="宋体" w:hAnsi="宋体" w:cs="宋体"/>
          <w:b/>
          <w:bCs/>
          <w:color w:val="auto"/>
          <w:spacing w:val="-14"/>
          <w:kern w:val="0"/>
          <w:position w:val="-6"/>
          <w:sz w:val="36"/>
          <w:szCs w:val="36"/>
          <w:highlight w:val="none"/>
        </w:rPr>
      </w:pPr>
      <w:bookmarkStart w:id="65" w:name="_Toc26558"/>
    </w:p>
    <w:p w14:paraId="0DE1D32C">
      <w:pPr>
        <w:rPr>
          <w:rFonts w:hint="eastAsia" w:ascii="宋体" w:hAnsi="宋体" w:cs="宋体"/>
          <w:b/>
          <w:bCs/>
          <w:color w:val="auto"/>
          <w:spacing w:val="-14"/>
          <w:kern w:val="0"/>
          <w:position w:val="-6"/>
          <w:sz w:val="36"/>
          <w:szCs w:val="36"/>
          <w:highlight w:val="none"/>
        </w:rPr>
      </w:pPr>
      <w:r>
        <w:rPr>
          <w:rFonts w:hint="eastAsia" w:ascii="宋体" w:hAnsi="宋体" w:cs="宋体"/>
          <w:b/>
          <w:bCs/>
          <w:color w:val="auto"/>
          <w:spacing w:val="-14"/>
          <w:kern w:val="0"/>
          <w:position w:val="-6"/>
          <w:sz w:val="36"/>
          <w:szCs w:val="36"/>
          <w:highlight w:val="none"/>
        </w:rPr>
        <w:br w:type="page"/>
      </w:r>
    </w:p>
    <w:p w14:paraId="25BD8A3B">
      <w:pPr>
        <w:jc w:val="center"/>
        <w:outlineLvl w:val="0"/>
        <w:rPr>
          <w:rFonts w:hint="eastAsia" w:ascii="宋体" w:hAnsi="宋体" w:cs="宋体"/>
          <w:b/>
          <w:bCs/>
          <w:color w:val="auto"/>
          <w:spacing w:val="-14"/>
          <w:kern w:val="0"/>
          <w:position w:val="-6"/>
          <w:sz w:val="36"/>
          <w:szCs w:val="36"/>
          <w:highlight w:val="none"/>
        </w:rPr>
      </w:pPr>
      <w:r>
        <w:rPr>
          <w:rFonts w:hint="eastAsia" w:ascii="宋体" w:hAnsi="宋体" w:cs="宋体"/>
          <w:b/>
          <w:bCs/>
          <w:color w:val="auto"/>
          <w:spacing w:val="-14"/>
          <w:kern w:val="0"/>
          <w:position w:val="-6"/>
          <w:sz w:val="36"/>
          <w:szCs w:val="36"/>
          <w:highlight w:val="none"/>
        </w:rPr>
        <w:t>第三章  项目基本情况及要求</w:t>
      </w:r>
      <w:bookmarkEnd w:id="65"/>
    </w:p>
    <w:p w14:paraId="070CBE3E">
      <w:pPr>
        <w:pStyle w:val="47"/>
        <w:ind w:firstLine="915"/>
        <w:rPr>
          <w:color w:val="auto"/>
          <w:highlight w:val="none"/>
        </w:rPr>
      </w:pPr>
    </w:p>
    <w:p w14:paraId="272C44D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说明：</w:t>
      </w:r>
    </w:p>
    <w:p w14:paraId="2F993AB6">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.本项目需求表中带有“▲”的技术参数或要求为实质性要求，必须满足，竞标响应不得低于该技术指标或要求。</w:t>
      </w:r>
    </w:p>
    <w:p w14:paraId="73743B0B">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服务需求、</w:t>
      </w:r>
      <w:r>
        <w:rPr>
          <w:rFonts w:hint="eastAsia" w:ascii="宋体" w:hAnsi="宋体" w:cs="宋体"/>
          <w:color w:val="auto"/>
          <w:szCs w:val="21"/>
          <w:highlight w:val="none"/>
          <w:lang w:val="en-US" w:eastAsia="zh-CN"/>
        </w:rPr>
        <w:t>商务条款</w:t>
      </w:r>
      <w:r>
        <w:rPr>
          <w:rFonts w:hint="eastAsia" w:ascii="宋体" w:hAnsi="宋体" w:cs="宋体"/>
          <w:color w:val="auto"/>
          <w:szCs w:val="21"/>
          <w:highlight w:val="none"/>
          <w:lang w:eastAsia="zh-CN"/>
        </w:rPr>
        <w:t>评审中允许负偏离的非实质性条款数为</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项。</w:t>
      </w:r>
    </w:p>
    <w:p w14:paraId="6A987F59">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供应商必须自行为其竞标产品侵犯他人的知识产权或者专利成果的行为承担相应法律责任。</w:t>
      </w:r>
    </w:p>
    <w:p w14:paraId="7291EE87">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4.供应商所竞标货物或服务如有国家相关标准、行业标准、地方标准或者其他标准、规范要求的按相关规定执行，若执行标准有修改或更新按最新版本执行。</w:t>
      </w:r>
    </w:p>
    <w:p w14:paraId="5BD39C18">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采购标的对应的中小企业划分标准所属行业：根据《关于印发中小企业划型标准规定的通知》（工信部联企业〔2011〕300号），本次采购标的属于：建筑业</w:t>
      </w:r>
    </w:p>
    <w:tbl>
      <w:tblPr>
        <w:tblStyle w:val="30"/>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399"/>
        <w:gridCol w:w="585"/>
        <w:gridCol w:w="851"/>
        <w:gridCol w:w="4194"/>
        <w:gridCol w:w="1387"/>
      </w:tblGrid>
      <w:tr w14:paraId="43E19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6CDF94CC">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gridSpan w:val="2"/>
            <w:noWrap w:val="0"/>
            <w:vAlign w:val="center"/>
          </w:tcPr>
          <w:p w14:paraId="34E916B3">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51" w:type="dxa"/>
            <w:noWrap w:val="0"/>
            <w:vAlign w:val="center"/>
          </w:tcPr>
          <w:p w14:paraId="2430E6FB">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4194" w:type="dxa"/>
            <w:noWrap w:val="0"/>
            <w:vAlign w:val="center"/>
          </w:tcPr>
          <w:p w14:paraId="6D4E98E1">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具体</w:t>
            </w:r>
            <w:r>
              <w:rPr>
                <w:rFonts w:hint="eastAsia" w:ascii="宋体" w:hAnsi="宋体" w:cs="宋体"/>
                <w:color w:val="auto"/>
                <w:szCs w:val="21"/>
                <w:highlight w:val="none"/>
              </w:rPr>
              <w:t>要求</w:t>
            </w:r>
          </w:p>
        </w:tc>
        <w:tc>
          <w:tcPr>
            <w:tcW w:w="1387" w:type="dxa"/>
            <w:noWrap w:val="0"/>
            <w:vAlign w:val="center"/>
          </w:tcPr>
          <w:p w14:paraId="798D3C78">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最高限价（元）</w:t>
            </w:r>
          </w:p>
        </w:tc>
      </w:tr>
      <w:tr w14:paraId="667E1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389" w:type="dxa"/>
            <w:noWrap w:val="0"/>
            <w:vAlign w:val="center"/>
          </w:tcPr>
          <w:p w14:paraId="0C52B7F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984" w:type="dxa"/>
            <w:gridSpan w:val="2"/>
            <w:noWrap w:val="0"/>
            <w:vAlign w:val="center"/>
          </w:tcPr>
          <w:p w14:paraId="2390079A">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b w:val="0"/>
                <w:bCs w:val="0"/>
                <w:color w:val="auto"/>
                <w:kern w:val="0"/>
                <w:sz w:val="21"/>
                <w:szCs w:val="21"/>
                <w:highlight w:val="none"/>
                <w:lang w:eastAsia="zh-CN"/>
              </w:rPr>
              <w:t>世彪药业北向地块土方平整</w:t>
            </w:r>
          </w:p>
        </w:tc>
        <w:tc>
          <w:tcPr>
            <w:tcW w:w="851" w:type="dxa"/>
            <w:noWrap w:val="0"/>
            <w:vAlign w:val="center"/>
          </w:tcPr>
          <w:p w14:paraId="04E11508">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1项</w:t>
            </w:r>
          </w:p>
        </w:tc>
        <w:tc>
          <w:tcPr>
            <w:tcW w:w="4194" w:type="dxa"/>
            <w:noWrap w:val="0"/>
            <w:vAlign w:val="center"/>
          </w:tcPr>
          <w:p w14:paraId="62577440">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、工程概况：</w:t>
            </w:r>
            <w:r>
              <w:rPr>
                <w:rFonts w:hint="eastAsia" w:ascii="宋体" w:hAnsi="宋体" w:cs="宋体"/>
                <w:color w:val="auto"/>
                <w:szCs w:val="21"/>
                <w:highlight w:val="none"/>
                <w:lang w:eastAsia="zh-CN"/>
              </w:rPr>
              <w:t>本项目为世彪药业北向地块土方平整。根据业主提供的预算图，总挖方量为136367.10m³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具体详见工程量清单及图纸。</w:t>
            </w:r>
          </w:p>
          <w:p w14:paraId="147EE097">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、工程质量要求：达到国家施工验收规范合格标准要求。</w:t>
            </w:r>
          </w:p>
          <w:p w14:paraId="54D471F9">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、具体需求</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编制说明详见工程量清单（另册</w:t>
            </w:r>
            <w:r>
              <w:rPr>
                <w:rFonts w:hint="eastAsia" w:ascii="宋体" w:hAnsi="宋体" w:cs="宋体"/>
                <w:color w:val="auto"/>
                <w:szCs w:val="21"/>
                <w:highlight w:val="none"/>
                <w:lang w:val="en-US" w:eastAsia="zh-CN"/>
              </w:rPr>
              <w:t>下载</w:t>
            </w:r>
            <w:r>
              <w:rPr>
                <w:rFonts w:hint="eastAsia" w:ascii="宋体" w:hAnsi="宋体" w:cs="宋体"/>
                <w:color w:val="auto"/>
                <w:szCs w:val="21"/>
                <w:highlight w:val="none"/>
              </w:rPr>
              <w:t>）</w:t>
            </w:r>
          </w:p>
        </w:tc>
        <w:tc>
          <w:tcPr>
            <w:tcW w:w="1387" w:type="dxa"/>
            <w:noWrap w:val="0"/>
            <w:vAlign w:val="center"/>
          </w:tcPr>
          <w:p w14:paraId="554F1585">
            <w:pPr>
              <w:pStyle w:val="50"/>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1532766.20</w:t>
            </w:r>
          </w:p>
        </w:tc>
      </w:tr>
      <w:tr w14:paraId="30493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top"/>
          </w:tcPr>
          <w:p w14:paraId="57015C1E">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color w:val="auto"/>
                <w:szCs w:val="21"/>
                <w:highlight w:val="none"/>
              </w:rPr>
            </w:pPr>
            <w:r>
              <w:rPr>
                <w:rFonts w:hint="eastAsia" w:ascii="宋体" w:hAnsi="宋体"/>
                <w:b/>
                <w:color w:val="auto"/>
                <w:szCs w:val="21"/>
                <w:highlight w:val="none"/>
              </w:rPr>
              <w:t>商务要求</w:t>
            </w:r>
          </w:p>
        </w:tc>
      </w:tr>
      <w:tr w14:paraId="20B80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510106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color w:val="auto"/>
                <w:szCs w:val="21"/>
                <w:highlight w:val="none"/>
              </w:rPr>
            </w:pPr>
            <w:r>
              <w:rPr>
                <w:rFonts w:hint="eastAsia" w:ascii="宋体" w:hAnsi="宋体" w:cs="宋体"/>
                <w:color w:val="auto"/>
                <w:szCs w:val="21"/>
                <w:highlight w:val="none"/>
              </w:rPr>
              <w:t>计划</w:t>
            </w:r>
            <w:r>
              <w:rPr>
                <w:rFonts w:hint="eastAsia" w:ascii="宋体" w:hAnsi="宋体" w:cs="宋体"/>
                <w:color w:val="auto"/>
                <w:szCs w:val="21"/>
                <w:highlight w:val="none"/>
                <w:lang w:eastAsia="zh-CN"/>
              </w:rPr>
              <w:t>施工</w:t>
            </w:r>
            <w:r>
              <w:rPr>
                <w:rFonts w:hint="eastAsia" w:ascii="宋体" w:hAnsi="宋体" w:cs="宋体"/>
                <w:color w:val="auto"/>
                <w:szCs w:val="21"/>
                <w:highlight w:val="none"/>
              </w:rPr>
              <w:t>工期</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44D26A7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b/>
                <w:color w:val="auto"/>
                <w:szCs w:val="21"/>
                <w:highlight w:val="none"/>
              </w:rPr>
            </w:pPr>
            <w:r>
              <w:rPr>
                <w:rFonts w:hint="eastAsia" w:ascii="宋体" w:hAnsi="宋体"/>
                <w:color w:val="auto"/>
                <w:highlight w:val="none"/>
                <w:lang w:val="en-US" w:eastAsia="zh-CN"/>
              </w:rPr>
              <w:t>30日历天</w:t>
            </w:r>
          </w:p>
        </w:tc>
      </w:tr>
      <w:tr w14:paraId="579AD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0733CF7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建设地点</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13D770F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Cs w:val="21"/>
                <w:highlight w:val="none"/>
              </w:rPr>
            </w:pPr>
            <w:r>
              <w:rPr>
                <w:rFonts w:hint="eastAsia" w:ascii="宋体" w:hAnsi="宋体" w:cs="宋体"/>
                <w:b w:val="0"/>
                <w:bCs w:val="0"/>
                <w:color w:val="auto"/>
                <w:kern w:val="0"/>
                <w:sz w:val="21"/>
                <w:szCs w:val="21"/>
                <w:highlight w:val="none"/>
                <w:lang w:eastAsia="zh-CN"/>
              </w:rPr>
              <w:t>浦北县</w:t>
            </w:r>
          </w:p>
        </w:tc>
      </w:tr>
      <w:tr w14:paraId="61E03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2704B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color w:val="auto"/>
                <w:szCs w:val="21"/>
                <w:highlight w:val="none"/>
              </w:rPr>
            </w:pPr>
            <w:r>
              <w:rPr>
                <w:rFonts w:hint="eastAsia" w:ascii="宋体" w:hAnsi="宋体"/>
                <w:color w:val="auto"/>
                <w:szCs w:val="21"/>
                <w:highlight w:val="none"/>
              </w:rPr>
              <w:t>合同签订时间</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53311035">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25</w:t>
            </w:r>
            <w:r>
              <w:rPr>
                <w:rFonts w:hint="eastAsia" w:ascii="宋体" w:hAnsi="宋体"/>
                <w:color w:val="auto"/>
                <w:szCs w:val="21"/>
                <w:highlight w:val="none"/>
              </w:rPr>
              <w:t>日内。（最迟不能超过25日）</w:t>
            </w:r>
          </w:p>
        </w:tc>
      </w:tr>
      <w:tr w14:paraId="28464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32CADB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color w:val="auto"/>
                <w:szCs w:val="21"/>
                <w:highlight w:val="none"/>
              </w:rPr>
            </w:pPr>
            <w:r>
              <w:rPr>
                <w:rFonts w:hint="eastAsia" w:ascii="宋体" w:hAnsi="宋体"/>
                <w:color w:val="auto"/>
                <w:szCs w:val="21"/>
                <w:highlight w:val="none"/>
              </w:rPr>
              <w:t>付款条件（进度和方式）</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4CA952B5">
            <w:pPr>
              <w:keepNext w:val="0"/>
              <w:keepLines w:val="0"/>
              <w:pageBreakBefore w:val="0"/>
              <w:widowControl w:val="0"/>
              <w:shd w:val="clear"/>
              <w:kinsoku/>
              <w:wordWrap/>
              <w:overflowPunct/>
              <w:topLinePunct w:val="0"/>
              <w:autoSpaceDE/>
              <w:autoSpaceDN/>
              <w:bidi w:val="0"/>
              <w:adjustRightInd/>
              <w:snapToGrid/>
              <w:spacing w:line="380" w:lineRule="exact"/>
              <w:jc w:val="both"/>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①项目实质性开工</w:t>
            </w:r>
            <w:r>
              <w:rPr>
                <w:rFonts w:hint="eastAsia" w:ascii="宋体" w:hAnsi="宋体"/>
                <w:color w:val="auto"/>
                <w:szCs w:val="21"/>
                <w:highlight w:val="none"/>
                <w:lang w:val="en-US" w:eastAsia="zh-CN"/>
              </w:rPr>
              <w:t>7天</w:t>
            </w:r>
            <w:r>
              <w:rPr>
                <w:rFonts w:hint="eastAsia" w:ascii="宋体" w:hAnsi="宋体"/>
                <w:color w:val="auto"/>
                <w:szCs w:val="21"/>
                <w:highlight w:val="none"/>
                <w:lang w:eastAsia="zh-CN"/>
              </w:rPr>
              <w:t>后</w:t>
            </w:r>
            <w:r>
              <w:rPr>
                <w:rFonts w:hint="eastAsia" w:ascii="宋体" w:hAnsi="宋体"/>
                <w:color w:val="auto"/>
                <w:szCs w:val="21"/>
                <w:highlight w:val="none"/>
                <w:lang w:eastAsia="zh-CN"/>
              </w:rPr>
              <w:t>，可以向财政申请不高于合同价</w:t>
            </w:r>
            <w:r>
              <w:rPr>
                <w:rFonts w:hint="eastAsia" w:ascii="宋体" w:hAnsi="宋体"/>
                <w:color w:val="auto"/>
                <w:szCs w:val="21"/>
                <w:highlight w:val="none"/>
                <w:lang w:val="en-US" w:eastAsia="zh-CN"/>
              </w:rPr>
              <w:t>30%项目</w:t>
            </w:r>
            <w:r>
              <w:rPr>
                <w:rFonts w:hint="eastAsia" w:ascii="宋体" w:hAnsi="宋体"/>
                <w:color w:val="auto"/>
                <w:szCs w:val="21"/>
                <w:highlight w:val="none"/>
                <w:lang w:eastAsia="zh-CN"/>
              </w:rPr>
              <w:t>预付款，预付款应当用于材料、工程设备、施工设备的采购及修建临时工程、组织施工队伍进场等。预付款在第一次进度付款中扣回。</w:t>
            </w:r>
          </w:p>
          <w:p w14:paraId="7FDA1B1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b/>
                <w:color w:val="auto"/>
                <w:szCs w:val="21"/>
                <w:highlight w:val="none"/>
              </w:rPr>
            </w:pPr>
            <w:r>
              <w:rPr>
                <w:rFonts w:hint="eastAsia" w:ascii="宋体" w:hAnsi="宋体"/>
                <w:color w:val="auto"/>
                <w:szCs w:val="21"/>
                <w:highlight w:val="none"/>
                <w:lang w:eastAsia="zh-CN"/>
              </w:rPr>
              <w:t>②竣工验收合格后可申请合同价的</w:t>
            </w:r>
            <w:r>
              <w:rPr>
                <w:rFonts w:hint="eastAsia" w:ascii="宋体" w:hAnsi="宋体"/>
                <w:color w:val="auto"/>
                <w:szCs w:val="21"/>
                <w:highlight w:val="none"/>
                <w:lang w:val="en-US" w:eastAsia="zh-CN"/>
              </w:rPr>
              <w:t>90%工程</w:t>
            </w:r>
            <w:r>
              <w:rPr>
                <w:rFonts w:hint="eastAsia" w:ascii="宋体" w:hAnsi="宋体"/>
                <w:color w:val="auto"/>
                <w:szCs w:val="21"/>
                <w:highlight w:val="none"/>
                <w:lang w:eastAsia="zh-CN"/>
              </w:rPr>
              <w:t>进度款；③审计结算后可申请合同价的97%工程款，</w:t>
            </w:r>
            <w:r>
              <w:rPr>
                <w:rFonts w:hint="eastAsia" w:ascii="宋体" w:hAnsi="宋体"/>
                <w:color w:val="auto"/>
                <w:szCs w:val="21"/>
                <w:highlight w:val="none"/>
                <w:lang w:val="en-US" w:eastAsia="zh-CN"/>
              </w:rPr>
              <w:t>质保期满后支付100%。</w:t>
            </w:r>
          </w:p>
        </w:tc>
      </w:tr>
      <w:tr w14:paraId="2543E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1CD01B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olor w:val="auto"/>
                <w:szCs w:val="21"/>
                <w:highlight w:val="none"/>
              </w:rPr>
            </w:pPr>
            <w:r>
              <w:rPr>
                <w:rFonts w:hint="eastAsia" w:ascii="宋体" w:hAnsi="宋体"/>
                <w:b w:val="0"/>
                <w:bCs/>
                <w:color w:val="auto"/>
                <w:szCs w:val="21"/>
                <w:highlight w:val="none"/>
              </w:rPr>
              <w:t>验收标准</w:t>
            </w:r>
          </w:p>
        </w:tc>
        <w:tc>
          <w:tcPr>
            <w:tcW w:w="7017" w:type="dxa"/>
            <w:gridSpan w:val="4"/>
            <w:tcBorders>
              <w:top w:val="single" w:color="auto" w:sz="4" w:space="0"/>
              <w:left w:val="single" w:color="auto" w:sz="4" w:space="0"/>
              <w:bottom w:val="single" w:color="auto" w:sz="4" w:space="0"/>
              <w:right w:val="single" w:color="auto" w:sz="4" w:space="0"/>
            </w:tcBorders>
            <w:noWrap w:val="0"/>
            <w:vAlign w:val="center"/>
          </w:tcPr>
          <w:p w14:paraId="67DDBB8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olor w:val="auto"/>
                <w:szCs w:val="21"/>
                <w:highlight w:val="none"/>
                <w:lang w:val="en-US" w:eastAsia="zh-CN"/>
              </w:rPr>
            </w:pPr>
            <w:r>
              <w:rPr>
                <w:rFonts w:hint="eastAsia" w:ascii="宋体" w:hAnsi="宋体" w:eastAsia="宋体" w:cs="宋体"/>
                <w:b w:val="0"/>
                <w:bCs w:val="0"/>
                <w:color w:val="auto"/>
                <w:kern w:val="0"/>
                <w:sz w:val="21"/>
                <w:szCs w:val="21"/>
                <w:highlight w:val="none"/>
              </w:rPr>
              <w:t>达到国家施工验收规范合格标准</w:t>
            </w:r>
            <w:r>
              <w:rPr>
                <w:rFonts w:hint="eastAsia" w:ascii="宋体" w:hAnsi="宋体" w:cs="宋体"/>
                <w:b w:val="0"/>
                <w:bCs w:val="0"/>
                <w:color w:val="auto"/>
                <w:kern w:val="0"/>
                <w:sz w:val="21"/>
                <w:szCs w:val="21"/>
                <w:highlight w:val="none"/>
                <w:lang w:val="en-US" w:eastAsia="zh-CN"/>
              </w:rPr>
              <w:t>。</w:t>
            </w:r>
          </w:p>
        </w:tc>
      </w:tr>
    </w:tbl>
    <w:p w14:paraId="50F3E1A8">
      <w:pPr>
        <w:pStyle w:val="13"/>
        <w:numPr>
          <w:ilvl w:val="0"/>
          <w:numId w:val="0"/>
        </w:numPr>
        <w:spacing w:line="360" w:lineRule="auto"/>
        <w:ind w:leftChars="0"/>
        <w:jc w:val="center"/>
        <w:outlineLvl w:val="9"/>
        <w:rPr>
          <w:rFonts w:hint="eastAsia" w:ascii="黑体" w:hAnsi="宋体" w:eastAsia="黑体" w:cs="Times New Roman"/>
          <w:b/>
          <w:bCs/>
          <w:color w:val="auto"/>
          <w:kern w:val="0"/>
          <w:sz w:val="36"/>
          <w:szCs w:val="36"/>
          <w:highlight w:val="none"/>
          <w:lang w:val="en-US" w:eastAsia="zh-CN"/>
        </w:rPr>
      </w:pPr>
      <w:bookmarkStart w:id="66" w:name="_Toc20069"/>
    </w:p>
    <w:p w14:paraId="0598D3C5">
      <w:pPr>
        <w:pStyle w:val="13"/>
        <w:numPr>
          <w:ilvl w:val="0"/>
          <w:numId w:val="0"/>
        </w:numPr>
        <w:spacing w:line="360" w:lineRule="auto"/>
        <w:ind w:leftChars="0"/>
        <w:jc w:val="center"/>
        <w:outlineLvl w:val="9"/>
        <w:rPr>
          <w:rFonts w:hint="eastAsia" w:ascii="黑体" w:hAnsi="宋体" w:eastAsia="黑体" w:cs="Times New Roman"/>
          <w:b/>
          <w:bCs/>
          <w:color w:val="auto"/>
          <w:kern w:val="0"/>
          <w:sz w:val="36"/>
          <w:szCs w:val="36"/>
          <w:highlight w:val="none"/>
          <w:lang w:val="en-US" w:eastAsia="zh-CN"/>
        </w:rPr>
      </w:pPr>
    </w:p>
    <w:p w14:paraId="26269199">
      <w:pPr>
        <w:rPr>
          <w:rFonts w:hint="eastAsia" w:ascii="黑体" w:hAnsi="宋体" w:eastAsia="黑体" w:cs="Times New Roman"/>
          <w:b/>
          <w:bCs/>
          <w:color w:val="auto"/>
          <w:kern w:val="0"/>
          <w:sz w:val="36"/>
          <w:szCs w:val="36"/>
          <w:highlight w:val="none"/>
          <w:lang w:val="en-US" w:eastAsia="zh-CN"/>
        </w:rPr>
      </w:pPr>
      <w:r>
        <w:rPr>
          <w:rFonts w:hint="eastAsia" w:ascii="黑体" w:hAnsi="宋体" w:eastAsia="黑体" w:cs="Times New Roman"/>
          <w:b/>
          <w:bCs/>
          <w:color w:val="auto"/>
          <w:kern w:val="0"/>
          <w:sz w:val="36"/>
          <w:szCs w:val="36"/>
          <w:highlight w:val="none"/>
          <w:lang w:val="en-US" w:eastAsia="zh-CN"/>
        </w:rPr>
        <w:br w:type="page"/>
      </w:r>
    </w:p>
    <w:p w14:paraId="11599678">
      <w:pPr>
        <w:pStyle w:val="13"/>
        <w:numPr>
          <w:ilvl w:val="0"/>
          <w:numId w:val="0"/>
        </w:numPr>
        <w:spacing w:line="360" w:lineRule="auto"/>
        <w:ind w:leftChars="0"/>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lang w:val="en-US" w:eastAsia="zh-CN"/>
        </w:rPr>
        <w:t>第四章</w:t>
      </w:r>
      <w:r>
        <w:rPr>
          <w:rFonts w:hint="eastAsia" w:ascii="黑体" w:hAnsi="宋体" w:eastAsia="黑体" w:cs="Times New Roman"/>
          <w:b/>
          <w:bCs/>
          <w:color w:val="auto"/>
          <w:kern w:val="0"/>
          <w:sz w:val="36"/>
          <w:szCs w:val="36"/>
          <w:highlight w:val="none"/>
        </w:rPr>
        <w:t xml:space="preserve"> 评审标准</w:t>
      </w:r>
      <w:bookmarkEnd w:id="66"/>
    </w:p>
    <w:p w14:paraId="06BF0FFC">
      <w:pPr>
        <w:pStyle w:val="5"/>
        <w:keepNext w:val="0"/>
        <w:keepLines w:val="0"/>
        <w:pageBreakBefore w:val="0"/>
        <w:numPr>
          <w:ilvl w:val="0"/>
          <w:numId w:val="0"/>
        </w:numPr>
        <w:kinsoku/>
        <w:wordWrap/>
        <w:overflowPunct/>
        <w:topLinePunct w:val="0"/>
        <w:autoSpaceDE/>
        <w:autoSpaceDN/>
        <w:bidi w:val="0"/>
        <w:snapToGrid/>
        <w:spacing w:line="380" w:lineRule="exact"/>
        <w:ind w:leftChars="0"/>
        <w:jc w:val="both"/>
        <w:rPr>
          <w:rFonts w:hint="eastAsia"/>
          <w:color w:val="auto"/>
          <w:sz w:val="24"/>
          <w:szCs w:val="24"/>
          <w:highlight w:val="none"/>
        </w:rPr>
      </w:pPr>
      <w:r>
        <w:rPr>
          <w:rFonts w:hint="eastAsia"/>
          <w:color w:val="auto"/>
          <w:sz w:val="24"/>
          <w:szCs w:val="24"/>
          <w:highlight w:val="none"/>
        </w:rPr>
        <w:t>一、评审程序和评审方法</w:t>
      </w:r>
    </w:p>
    <w:p w14:paraId="3E54314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b/>
          <w:bCs/>
          <w:color w:val="auto"/>
          <w:highlight w:val="none"/>
        </w:rPr>
      </w:pPr>
      <w:r>
        <w:rPr>
          <w:rFonts w:hint="eastAsia"/>
          <w:b/>
          <w:bCs/>
          <w:color w:val="auto"/>
          <w:highlight w:val="none"/>
        </w:rPr>
        <w:t>1.资格审查</w:t>
      </w:r>
    </w:p>
    <w:p w14:paraId="0AEFDD3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1.1 响应文件开启后，磋商小组依法对供应商的资格证明文件进行审查。</w:t>
      </w:r>
    </w:p>
    <w:p w14:paraId="051FCF6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注：采购人或者采购代理机构在资格审查结束前，对供应商进行信用查询。</w:t>
      </w:r>
    </w:p>
    <w:p w14:paraId="65F7E4C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( 1 ) 查询渠道：“信用中国 ” 网站 (www.creditchina.gov.cn) 、 中国政府采购网 (www.ccgp.gov.cn)。</w:t>
      </w:r>
    </w:p>
    <w:p w14:paraId="7FDA81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信用查询截止时点：资格审查结束前。</w:t>
      </w:r>
    </w:p>
    <w:p w14:paraId="194AD41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查询记录和证据留存方式：在查询网站中直接打印查询记录，打印材料作为评审资料保存。</w:t>
      </w:r>
    </w:p>
    <w:p w14:paraId="525A203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信用信息使用规则：对在“信用中国”网站(www.creditchina.gov.cn) 、中国府采购网(www.ccgp.gov.cn)被列入失信被执行人、重大税收违法案件当事人名单、政府采购严重违 法失信行为记录名单及其他不符合《中华人民共和国政府采购法》第二十二条规定条件的供应商，资格审查不通过，不得参与政府采购活动。</w:t>
      </w:r>
    </w:p>
    <w:p w14:paraId="113BD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1.2 资格审查标准为本磋商文件中载明对供应商资格要求的条件。资格审查采用合格制，凡符合磋商文件规定的供应商资格要求的响应文件均通过资格审查。</w:t>
      </w:r>
    </w:p>
    <w:p w14:paraId="029881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1.3 供应商有下列情形之一的，资格审查不通过，其响应文件按无效响应处理：</w:t>
      </w:r>
    </w:p>
    <w:p w14:paraId="592527F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不具备磋商文件中规定的资格要求的；</w:t>
      </w:r>
    </w:p>
    <w:p w14:paraId="4919B99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响应文件未提供任一项“供应商须知前附表”资格证明文件规定的“必须提供”的文件资料的；</w:t>
      </w:r>
    </w:p>
    <w:p w14:paraId="4630D1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 响应文件提供的资格证明文件出现任一项不符合“供应商须知前附表”资格证明文件规定的“必须提供”的文件资料要求或者无效的。</w:t>
      </w:r>
    </w:p>
    <w:p w14:paraId="0229E33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1.4 通过资格审查的合格供应商不足 3 家的，不得进入符合性审查环节，采购人或者采购代理机构应当重新开展采购活动。</w:t>
      </w:r>
    </w:p>
    <w:p w14:paraId="490D89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2.符合性审查</w:t>
      </w:r>
    </w:p>
    <w:p w14:paraId="6E446C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2.1 由磋商小组对通过资格审查的合格供应商的响应文件的竞标报价、商务、技术等实质性要求进行符合性审查，以确定其是否满足磋商文件的实质性要求。</w:t>
      </w:r>
    </w:p>
    <w:p w14:paraId="66E2E0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5CE5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2.3 磋商小组要求供应商澄清、说明或者更正响应文件应当要求供应商在合理时间内通过</w:t>
      </w:r>
      <w:r>
        <w:rPr>
          <w:rFonts w:hint="eastAsia"/>
          <w:color w:val="auto"/>
          <w:highlight w:val="none"/>
          <w:lang w:eastAsia="zh-CN"/>
        </w:rPr>
        <w:t>广西政府采购云平台</w:t>
      </w:r>
      <w:r>
        <w:rPr>
          <w:rFonts w:hint="eastAsia"/>
          <w:color w:val="auto"/>
          <w:highlight w:val="none"/>
        </w:rPr>
        <w:t xml:space="preserve"> (</w:t>
      </w:r>
      <w:r>
        <w:rPr>
          <w:rFonts w:hint="eastAsia"/>
          <w:color w:val="auto"/>
          <w:highlight w:val="none"/>
          <w:lang w:eastAsia="zh-CN"/>
        </w:rPr>
        <w:t>https：//www.gcy.zfcg.gxzf.gov.cn</w:t>
      </w:r>
      <w:r>
        <w:rPr>
          <w:rFonts w:hint="eastAsia"/>
          <w:color w:val="auto"/>
          <w:highlight w:val="none"/>
        </w:rPr>
        <w:t>/) 的方式形式作出。供应商的澄清、说明或者更正必须 通过</w:t>
      </w:r>
      <w:r>
        <w:rPr>
          <w:rFonts w:hint="eastAsia"/>
          <w:color w:val="auto"/>
          <w:highlight w:val="none"/>
          <w:lang w:eastAsia="zh-CN"/>
        </w:rPr>
        <w:t>广西政府采购云平台</w:t>
      </w:r>
      <w:r>
        <w:rPr>
          <w:rFonts w:hint="eastAsia"/>
          <w:color w:val="auto"/>
          <w:highlight w:val="none"/>
        </w:rPr>
        <w:t>以书面形式按照磋商小组的要求作出明确的澄清、说明或者更正，未按磋商小 组的要求作出明确澄清、说明或者更正的供应商的响应文件将按照有利于采购人的原则由磋商 小组进行判定。供应商的澄清、说明或者更正必须由法定代表人或者其委托代理人签字或者加 盖 CA 签章。 由委托代理人签字的，若委托代理人不是响应文件中授权的委托代理人时，必须同时出示有效的法定代表人授权委托书原件。供应商为自然人的，必须由本人签字并附身份证明。</w:t>
      </w:r>
    </w:p>
    <w:p w14:paraId="0E0B01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2.4 首次响应文件报价出现前后不一致的，按照下列规定修正：</w:t>
      </w:r>
    </w:p>
    <w:p w14:paraId="2440F77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响应文件中报价表内容与响应文件中相应内容不一致的，以报价表为准；</w:t>
      </w:r>
    </w:p>
    <w:p w14:paraId="13188F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大写金额和小写金额不一致的，以大写金额为准；</w:t>
      </w:r>
    </w:p>
    <w:p w14:paraId="062761C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 单价金额小数点或者百分比有明显错位的，以报价表的总价为准，并修改单价；</w:t>
      </w:r>
    </w:p>
    <w:p w14:paraId="6879EC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 总价金额与按单价汇总金额不一致的，以单价金额计算结果为准。</w:t>
      </w:r>
    </w:p>
    <w:p w14:paraId="04B3A2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同时出现两种以上不一致的，按照以上 (1) - (4) 规定的顺序逐条进行修正。修正后的报价经供应商确认后产生约束力，供应商不确认的，其响应文件按无效响应处理。</w:t>
      </w:r>
    </w:p>
    <w:p w14:paraId="0A4612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2.5 商务技术报价评审</w:t>
      </w:r>
    </w:p>
    <w:p w14:paraId="032C335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在评审时，如发现下列情形之一的，将被视为响应文件无效处理：</w:t>
      </w:r>
    </w:p>
    <w:p w14:paraId="50554E9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商务技术评审</w:t>
      </w:r>
    </w:p>
    <w:p w14:paraId="78B0B37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响应文件未按磋商文件要求签署、盖章；</w:t>
      </w:r>
    </w:p>
    <w:p w14:paraId="05D6B7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委托代理人未能出具有效身份证明或者出具的身份证明与授权委托书中的信息不符；</w:t>
      </w:r>
    </w:p>
    <w:p w14:paraId="26F47CE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 响应文件未提供任一项“供应商须知前附表” 报价商务技术文件中“必须提供”或者“委托时必须提供”的文件资料；响应文件提供的报价商务技术文件出现任一项不符合“供应商须知前附表”报价商务技术文件中 “必须提供”或者“委托时必须提供”文件资料要求 的规定或者提供的报价商务技术文件无效。</w:t>
      </w:r>
    </w:p>
    <w:p w14:paraId="630230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 商务条款中标“▲”的条款发生负偏离的或者允许负偏离的条款数超过“供应商须知前附表”规定项数的或者标明实质性的要求发生负偏离；</w:t>
      </w:r>
    </w:p>
    <w:p w14:paraId="12B226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 未对竞标有效期作出响应或者响应文件承诺的竞标有效期不满足磋商文件要求；</w:t>
      </w:r>
    </w:p>
    <w:p w14:paraId="360503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6) 响应文件的实质性内容未使用中文表述、使用计量单位不符合磋商文件要求；</w:t>
      </w:r>
    </w:p>
    <w:p w14:paraId="065F46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7) 响应文件中的文件资料因填写不齐全或者内容虚假或者出现其他情形而导致被磋商小组认定无效；</w:t>
      </w:r>
    </w:p>
    <w:p w14:paraId="4F113A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8) 响应文件含有采购人不能接受的附加条件；</w:t>
      </w:r>
    </w:p>
    <w:p w14:paraId="217B90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9) 属于“供应商须知正文”第 7.7 条情形；</w:t>
      </w:r>
    </w:p>
    <w:p w14:paraId="2D413A3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10) 技术需求允许负偏离的条款数超过“供应商须知前附表”规定项数；</w:t>
      </w:r>
    </w:p>
    <w:p w14:paraId="79DC7A7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11) 虚假竞标，或者出现其他情形而导致被磋商小组认定无效；</w:t>
      </w:r>
    </w:p>
    <w:p w14:paraId="44C16BC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12) 竞标技术方案不明确，磋商文件未允许但响应文件中存在一个或者一个以上备选 (替代) 竞标方案；</w:t>
      </w:r>
    </w:p>
    <w:p w14:paraId="4FA6829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13)响应文件标注的项目名称或者项目编号与竞争性磋商文件标注的项目名称或者项目编号不一致的；</w:t>
      </w:r>
    </w:p>
    <w:p w14:paraId="735132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14) 未响应磋商文件实质性要求；</w:t>
      </w:r>
    </w:p>
    <w:p w14:paraId="25506F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15) 法律、法规和磋商文件规定的其他无效情形。</w:t>
      </w:r>
    </w:p>
    <w:p w14:paraId="2F58AF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报价评审</w:t>
      </w:r>
    </w:p>
    <w:p w14:paraId="37882B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响应文件未提供“供应商须知前附表” 报价商务技术文件中规定的；</w:t>
      </w:r>
    </w:p>
    <w:p w14:paraId="6A2111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未采用人民币报价或者未按照磋商文件标明的币种报价；</w:t>
      </w:r>
    </w:p>
    <w:p w14:paraId="1530130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 供应商未就所磋商分标进行报价或者存在漏项报价；供应商未就所磋商分标的单项内容作唯一报价；供应商未就所磋商分标的全部内容作唯一总价报价；供应商响应文件中存在有选择、有条件报价的 (磋商文件允许有备选方案或者其他约定的除外) ；</w:t>
      </w:r>
    </w:p>
    <w:p w14:paraId="7E4CB2E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 磋商报价 (包含首次报价、最后报价) 超过的采购预算金额或者最高限价的 (如本项目公布了最高限价) ；磋商报价 (包含首次报价、最后报价) 超过磋商文件分项采购预算金额或者最高限价的 (如本项目公布了最高限价) ；</w:t>
      </w:r>
    </w:p>
    <w:p w14:paraId="06BB1E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 修正后的报价，供应商不确认的；或者经供应商确认修正后的磋商报价(包含首次报价、最后报价)超过所磋商分标规定的采购预算金额或者最高限价(如本项目公布了最高限价)；或者经供应商确认修正后磋商报价 (包含首次报价、最后报价) 超过磋商文件分项采购预算金额或者最高限价的 (如本项目公布了最高限价) 。</w:t>
      </w:r>
    </w:p>
    <w:p w14:paraId="1646B6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6) 响应文件响应的标的数量及单位与竞争性磋商采购文件要求实质性不一致的。</w:t>
      </w:r>
    </w:p>
    <w:p w14:paraId="70DC7EB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5A3895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2.7 通过符合性审查的合格供应商不足3家的，不得进入磋商环节，采购人或者采购代理机构应当重新开展采购活动。</w:t>
      </w:r>
    </w:p>
    <w:p w14:paraId="1F9C5B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3.磋商程序</w:t>
      </w:r>
    </w:p>
    <w:p w14:paraId="2BEB53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3.1 磋商小组按照“供应商须知前附表”确定的顺序，集中与单一供应商分别进行磋商，并给予所有参加磋商的供应商平等的磋商机会。符合磋商资格的供应商必须实时关注</w:t>
      </w:r>
      <w:r>
        <w:rPr>
          <w:rFonts w:hint="eastAsia"/>
          <w:color w:val="auto"/>
          <w:highlight w:val="none"/>
          <w:lang w:eastAsia="zh-CN"/>
        </w:rPr>
        <w:t>广西政府采购云平台</w:t>
      </w:r>
      <w:r>
        <w:rPr>
          <w:rFonts w:hint="eastAsia"/>
          <w:color w:val="auto"/>
          <w:highlight w:val="none"/>
        </w:rPr>
        <w:t xml:space="preserve"> (</w:t>
      </w:r>
      <w:r>
        <w:rPr>
          <w:rFonts w:hint="eastAsia"/>
          <w:color w:val="auto"/>
          <w:highlight w:val="none"/>
          <w:lang w:eastAsia="zh-CN"/>
        </w:rPr>
        <w:t>https：//www.gcy.zfcg.gxzf.gov.cn</w:t>
      </w:r>
      <w:r>
        <w:rPr>
          <w:rFonts w:hint="eastAsia"/>
          <w:color w:val="auto"/>
          <w:highlight w:val="none"/>
        </w:rPr>
        <w:t>/) 开标信息，在接到磋商通知后规定时间内参加磋商，未在规定时间内参加磋商的视同放弃参加磋商权利，其响应文件按无效响应处理。</w:t>
      </w:r>
    </w:p>
    <w:p w14:paraId="221B1A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726D8A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3.3 对磋商文件作出的实质性变动是磋商文件的有效组成部分，由磋商小组及时以书面形式同时通知所有参加磋商的供应商。</w:t>
      </w:r>
    </w:p>
    <w:p w14:paraId="46E2FB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3.4 供应商必须按照磋商文件的变动情况和磋商小组的要求重新提交响应文件，并由其法定代表人或者授权代表签字或者加盖 CA 签章在</w:t>
      </w:r>
      <w:r>
        <w:rPr>
          <w:rFonts w:hint="eastAsia"/>
          <w:color w:val="auto"/>
          <w:highlight w:val="none"/>
          <w:lang w:eastAsia="zh-CN"/>
        </w:rPr>
        <w:t>广西政府采购云平台</w:t>
      </w:r>
      <w:r>
        <w:rPr>
          <w:rFonts w:hint="eastAsia"/>
          <w:color w:val="auto"/>
          <w:highlight w:val="none"/>
        </w:rPr>
        <w:t>(</w:t>
      </w:r>
      <w:r>
        <w:rPr>
          <w:rFonts w:hint="eastAsia"/>
          <w:color w:val="auto"/>
          <w:highlight w:val="none"/>
          <w:lang w:eastAsia="zh-CN"/>
        </w:rPr>
        <w:t>https：//www.gcy.zfcg.gxzf.gov.cn</w:t>
      </w:r>
      <w:r>
        <w:rPr>
          <w:rFonts w:hint="eastAsia"/>
          <w:color w:val="auto"/>
          <w:highlight w:val="none"/>
        </w:rPr>
        <w:t>/)提交。由委托代理人签字的，若委托代理人不是响应文件中授权的委托代理人时，必须同时出示有效 的法定代表人授权委托书原件。供应商为自然人的，必须由本人签字并附身份证明。参加磋商 的供应商未在规定时间内重新提交响应文件的，视同退出磋商。</w:t>
      </w:r>
    </w:p>
    <w:p w14:paraId="2335141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3.5 磋商中，磋商的任何一方不得透露与磋商有关的其他供应商的技术资料、价格和其他信息。</w:t>
      </w:r>
    </w:p>
    <w:p w14:paraId="2F80EC0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3.6 采购代理机构对磋商过程和重要磋商内容进行记录，磋商双方在记录上签字确认。</w:t>
      </w:r>
    </w:p>
    <w:p w14:paraId="530F133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3.7 磋商过程中重新提交的响应文件，供应商可以在开启前补充、修改。</w:t>
      </w:r>
    </w:p>
    <w:p w14:paraId="33400B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3.8 对磋商过程提交的响应文件进行有效性、完整性和响应程度审查，通过审查的合格供应商不足 3 家的，采购人或者采购代理机构应当重新开展采购活动。</w:t>
      </w:r>
    </w:p>
    <w:p w14:paraId="02E009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3.9 本项目所有响应文件的首次报价及所有磋商报价均不公布。最后磋商结束后，磋商小组不得再与供应商进行任何形式的商谈。</w:t>
      </w:r>
    </w:p>
    <w:p w14:paraId="5A46B3A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 最后报价</w:t>
      </w:r>
    </w:p>
    <w:p w14:paraId="2EADB5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4.1 磋商文件能够详细列明采购标的的技术、服务要求的，磋商结束后，由磋商小组要求所有继续参加磋商的供应商在规定时间内在</w:t>
      </w:r>
      <w:r>
        <w:rPr>
          <w:rFonts w:hint="eastAsia"/>
          <w:color w:val="auto"/>
          <w:highlight w:val="none"/>
          <w:lang w:eastAsia="zh-CN"/>
        </w:rPr>
        <w:t>广西政府采购云平台</w:t>
      </w:r>
      <w:r>
        <w:rPr>
          <w:rFonts w:hint="eastAsia"/>
          <w:color w:val="auto"/>
          <w:highlight w:val="none"/>
        </w:rPr>
        <w:t xml:space="preserve"> (</w:t>
      </w:r>
      <w:r>
        <w:rPr>
          <w:rFonts w:hint="eastAsia"/>
          <w:color w:val="auto"/>
          <w:highlight w:val="none"/>
          <w:lang w:eastAsia="zh-CN"/>
        </w:rPr>
        <w:t>https：//www.gcy.zfcg.gxzf.gov.cn</w:t>
      </w:r>
      <w:r>
        <w:rPr>
          <w:rFonts w:hint="eastAsia"/>
          <w:color w:val="auto"/>
          <w:highlight w:val="none"/>
        </w:rPr>
        <w:t>/) 提交最后报价，提交最后报价的供应商不得少于 3 家，除本章第 4.3 条外，否则必须重新采购。</w:t>
      </w:r>
    </w:p>
    <w:p w14:paraId="0267FCC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w:t>
      </w:r>
      <w:r>
        <w:rPr>
          <w:rFonts w:hint="eastAsia"/>
          <w:color w:val="auto"/>
          <w:highlight w:val="none"/>
          <w:lang w:eastAsia="zh-CN"/>
        </w:rPr>
        <w:t>广西政府采购云平台</w:t>
      </w:r>
      <w:r>
        <w:rPr>
          <w:rFonts w:hint="eastAsia"/>
          <w:color w:val="auto"/>
          <w:highlight w:val="none"/>
        </w:rPr>
        <w:t xml:space="preserve"> (</w:t>
      </w:r>
      <w:r>
        <w:rPr>
          <w:rFonts w:hint="eastAsia"/>
          <w:color w:val="auto"/>
          <w:highlight w:val="none"/>
          <w:lang w:eastAsia="zh-CN"/>
        </w:rPr>
        <w:t>https：//www.gcy.zfcg.gxzf.gov.cn</w:t>
      </w:r>
      <w:r>
        <w:rPr>
          <w:rFonts w:hint="eastAsia"/>
          <w:color w:val="auto"/>
          <w:highlight w:val="none"/>
        </w:rPr>
        <w:t>/) 提交最后报价。</w:t>
      </w:r>
    </w:p>
    <w:p w14:paraId="6327914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①最后报价与首次报价相比无调整的：供应商提交的最后报价只须注明与首次报价相同。</w:t>
      </w:r>
    </w:p>
    <w:p w14:paraId="6DFA0A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 (分部分项工程量清单费用、措施项目清单费用、规费、税金、其它项目) 和采购人部分 (暂列金、材料购置费)  (如有) 等完成本工程并经验收合格至达到质量保修期限所需的费用、合理利润及风险。 如磋商文件或磋商程中明确供应商应提供技术服务及其它服务的 (如检测费、验收发生的费 用) ，相应费用也应包括在最后报价中。最后报价不允许采用汇总后优惠、打折的形式，否则其报价无效并作无效响应处理。供应商在报价时可只报总价，但必须将包含已标价工程量清单的最后报价在规定时间内在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color w:val="auto"/>
          <w:highlight w:val="none"/>
          <w:lang w:eastAsia="zh-CN"/>
        </w:rPr>
        <w:t>广西政府采购云平台</w:t>
      </w:r>
      <w:r>
        <w:rPr>
          <w:rFonts w:hint="eastAsia"/>
          <w:color w:val="auto"/>
          <w:highlight w:val="none"/>
        </w:rPr>
        <w:t xml:space="preserve"> (</w:t>
      </w:r>
      <w:r>
        <w:rPr>
          <w:rFonts w:hint="eastAsia"/>
          <w:color w:val="auto"/>
          <w:highlight w:val="none"/>
          <w:lang w:eastAsia="zh-CN"/>
        </w:rPr>
        <w:t>https：//www.gcy.zfcg.gxzf.gov.cn</w:t>
      </w:r>
      <w:r>
        <w:rPr>
          <w:rFonts w:hint="eastAsia"/>
          <w:color w:val="auto"/>
          <w:highlight w:val="none"/>
        </w:rPr>
        <w:t>/) 提交，逾期则最后报价无效，以首次报价为准。</w:t>
      </w:r>
    </w:p>
    <w:p w14:paraId="28DA5F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4.3 最后报价是供应商响应文件的有效组成部分。符合《政府采购竞争性磋商采购方式管理暂行办法》  (财库〔2014〕214 号) 第三条第四项“市场竞争不充分的科研项目，以及需要扶持的科技成果转化项目”的，提交最后报价的供应商可以为2 家。</w:t>
      </w:r>
    </w:p>
    <w:p w14:paraId="6557D0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4.4 已经提交响应文件的供应商，在提交最后报价之前，可以根据磋商情况退出磋商，退出磋商的供应商的响应文件按无效响应处理。采购人、采购代理机构将退还退出磋商的供应商的保证金。</w:t>
      </w:r>
    </w:p>
    <w:p w14:paraId="084447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4.5 供应商未在规定时间内提交最后报价的，视同退出磋商。</w:t>
      </w:r>
    </w:p>
    <w:p w14:paraId="4854726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4.6 磋商小组收齐某一分标最后报价后统一开启，磋商小组对最后报价进行有效性、完整性和响应程度的审查。</w:t>
      </w:r>
    </w:p>
    <w:p w14:paraId="499B72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4.7 响应文件最后报价出现前后不一致的，按照本正文第 25.2.4 条的规定修正。</w:t>
      </w:r>
    </w:p>
    <w:p w14:paraId="365435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4.8 修正后的报价出现下列情形的，按无效响应处理：</w:t>
      </w:r>
    </w:p>
    <w:p w14:paraId="4F03D2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供应商不确认的；</w:t>
      </w:r>
    </w:p>
    <w:p w14:paraId="089F08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经供应商确认修正后的竞标报价 (包含首次报价、最后报价) 超过所竞标规定的采购预算金额或者最高限价的 (如本项目公布了最高限价) ；</w:t>
      </w:r>
    </w:p>
    <w:p w14:paraId="73FF6E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(3) 经供应商确认修正后的竞标报价 (包含首次报价、最后报价) 超过分项采购预算金额或者最高限价的 (如本项目公布了最高限价) 。</w:t>
      </w:r>
    </w:p>
    <w:p w14:paraId="7E74E8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4.9 经供应商确认修正后的最后报价作为评审及签订合同的依据。</w:t>
      </w:r>
    </w:p>
    <w:p w14:paraId="2FC5FAD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4.10 最后报价结束后，磋商小组不得再与供应商进行任何形式的商谈。</w:t>
      </w:r>
    </w:p>
    <w:p w14:paraId="5E8CD02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5.比较与评价</w:t>
      </w:r>
    </w:p>
    <w:p w14:paraId="3ECA639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5.1 评审方法：综合评分法。</w:t>
      </w:r>
    </w:p>
    <w:p w14:paraId="05415AE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5.2 经磋商确定最终采购需求和提交最后报价的供应商后，由磋商小组采用综合评分法对提交最后报价的供应商的响应文件和最后报价进行综合评分。</w:t>
      </w:r>
    </w:p>
    <w:p w14:paraId="184762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5.3 评审时，磋商小组各成员应当独立对每个有效响应的文件进行评价、打分，然后汇总每个供应商每项评分因素的得分。</w:t>
      </w:r>
    </w:p>
    <w:p w14:paraId="39BC9F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(1) 磋商小组按照磋商文件中规定的评审标准计算各供应商的报价得分。项目评审过程中，不得去掉最后报价中的最高报价和最低报价。</w:t>
      </w:r>
    </w:p>
    <w:p w14:paraId="0853BBC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(2) 各供应商的得分为磋商小组所有成员的有效评分的算术平均数。</w:t>
      </w:r>
    </w:p>
    <w:p w14:paraId="2B6B2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5.4 评审价为供应商的最后报价进行政策性扣除后的价格，评审价只是作为评审时使用。最终成交供应商的成交金额等于最后报价 (如有修正，以确认修正后的最后报价为准) 。</w:t>
      </w:r>
    </w:p>
    <w:p w14:paraId="03AE127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5.5 由磋商小组根据综合评分情况，按照评审得分由高到低顺序推荐3名以上成交候选供应商，并编写评审报告。符合本章第 4.3 条情形的，可以推荐2家成交候选供应商。评审得分相同的，按照最后报价由低到高的顺序推荐。评审得分且最后报价相同的，按照技术指标优劣顺序推荐。</w:t>
      </w:r>
    </w:p>
    <w:p w14:paraId="0A948AD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573C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eastAsia="宋体"/>
          <w:b/>
          <w:bCs/>
          <w:color w:val="auto"/>
          <w:highlight w:val="none"/>
          <w:lang w:eastAsia="zh-CN"/>
        </w:rPr>
      </w:pPr>
      <w:r>
        <w:rPr>
          <w:rFonts w:hint="eastAsia"/>
          <w:b/>
          <w:bCs/>
          <w:color w:val="auto"/>
          <w:highlight w:val="none"/>
        </w:rPr>
        <w:t>二、评定标准</w:t>
      </w:r>
      <w:r>
        <w:rPr>
          <w:rFonts w:hint="eastAsia"/>
          <w:b/>
          <w:bCs/>
          <w:color w:val="auto"/>
          <w:highlight w:val="none"/>
          <w:lang w:eastAsia="zh-CN"/>
        </w:rPr>
        <w:t>（</w:t>
      </w:r>
      <w:r>
        <w:rPr>
          <w:rFonts w:hint="eastAsia"/>
          <w:b/>
          <w:bCs/>
          <w:color w:val="auto"/>
          <w:highlight w:val="none"/>
        </w:rPr>
        <w:t>综合评分法</w:t>
      </w:r>
      <w:r>
        <w:rPr>
          <w:rFonts w:hint="eastAsia"/>
          <w:b/>
          <w:bCs/>
          <w:color w:val="auto"/>
          <w:highlight w:val="none"/>
          <w:lang w:eastAsia="zh-CN"/>
        </w:rPr>
        <w:t>）</w:t>
      </w:r>
    </w:p>
    <w:p w14:paraId="5628BC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对进入详评的，磋商小组将以竞争性磋商文件 、响应文件为评定依据，采用百分制综合评分法；计分办法</w:t>
      </w:r>
      <w:r>
        <w:rPr>
          <w:rFonts w:hint="eastAsia"/>
          <w:color w:val="auto"/>
          <w:highlight w:val="none"/>
          <w:lang w:eastAsia="zh-CN"/>
        </w:rPr>
        <w:t>（按四舍五入取至百分位）</w:t>
      </w:r>
      <w:r>
        <w:rPr>
          <w:rFonts w:hint="eastAsia"/>
          <w:color w:val="auto"/>
          <w:highlight w:val="none"/>
        </w:rPr>
        <w:t>。</w:t>
      </w:r>
    </w:p>
    <w:tbl>
      <w:tblPr>
        <w:tblStyle w:val="3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0629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37DAE4B7">
            <w:pPr>
              <w:spacing w:line="360" w:lineRule="auto"/>
              <w:jc w:val="center"/>
              <w:rPr>
                <w:rFonts w:hint="eastAsia" w:ascii="宋体" w:hAnsi="宋体" w:cs="宋体"/>
                <w:szCs w:val="21"/>
              </w:rPr>
            </w:pPr>
            <w:r>
              <w:rPr>
                <w:rFonts w:hint="eastAsia" w:ascii="宋体" w:hAnsi="宋体" w:cs="宋体"/>
                <w:b/>
                <w:bCs/>
                <w:szCs w:val="21"/>
              </w:rPr>
              <w:t>序号</w:t>
            </w:r>
          </w:p>
        </w:tc>
        <w:tc>
          <w:tcPr>
            <w:tcW w:w="2073" w:type="dxa"/>
            <w:gridSpan w:val="2"/>
            <w:vAlign w:val="center"/>
          </w:tcPr>
          <w:p w14:paraId="63850D0E">
            <w:pPr>
              <w:spacing w:line="360" w:lineRule="auto"/>
              <w:jc w:val="center"/>
              <w:rPr>
                <w:rFonts w:hint="eastAsia" w:ascii="宋体" w:hAnsi="宋体" w:cs="宋体"/>
                <w:szCs w:val="21"/>
              </w:rPr>
            </w:pPr>
            <w:r>
              <w:rPr>
                <w:rFonts w:hint="eastAsia" w:ascii="宋体" w:hAnsi="宋体" w:cs="宋体"/>
                <w:b/>
                <w:bCs/>
                <w:szCs w:val="21"/>
              </w:rPr>
              <w:t>评审因素</w:t>
            </w:r>
          </w:p>
        </w:tc>
        <w:tc>
          <w:tcPr>
            <w:tcW w:w="5935" w:type="dxa"/>
            <w:vAlign w:val="center"/>
          </w:tcPr>
          <w:p w14:paraId="0252C45B">
            <w:pPr>
              <w:snapToGrid w:val="0"/>
              <w:spacing w:line="360" w:lineRule="auto"/>
              <w:jc w:val="center"/>
              <w:rPr>
                <w:rFonts w:hint="eastAsia" w:ascii="宋体" w:hAnsi="宋体" w:cs="宋体"/>
                <w:szCs w:val="21"/>
              </w:rPr>
            </w:pPr>
            <w:r>
              <w:rPr>
                <w:rFonts w:hint="eastAsia" w:ascii="宋体" w:hAnsi="宋体" w:cs="Tahoma"/>
                <w:b/>
                <w:bCs/>
                <w:kern w:val="0"/>
                <w:szCs w:val="21"/>
              </w:rPr>
              <w:t>评审因素具体内容</w:t>
            </w:r>
          </w:p>
        </w:tc>
        <w:tc>
          <w:tcPr>
            <w:tcW w:w="807" w:type="dxa"/>
            <w:vAlign w:val="center"/>
          </w:tcPr>
          <w:p w14:paraId="3C438A9C">
            <w:pPr>
              <w:snapToGrid w:val="0"/>
              <w:spacing w:line="360" w:lineRule="auto"/>
              <w:jc w:val="center"/>
              <w:rPr>
                <w:rFonts w:hint="eastAsia" w:ascii="宋体" w:hAnsi="宋体" w:cs="Tahoma"/>
                <w:b/>
                <w:bCs/>
                <w:kern w:val="0"/>
                <w:szCs w:val="21"/>
              </w:rPr>
            </w:pPr>
            <w:r>
              <w:rPr>
                <w:rFonts w:hint="eastAsia" w:ascii="宋体" w:hAnsi="宋体" w:cs="Tahoma"/>
                <w:b/>
                <w:bCs/>
                <w:kern w:val="0"/>
                <w:szCs w:val="21"/>
              </w:rPr>
              <w:t>备注</w:t>
            </w:r>
          </w:p>
        </w:tc>
      </w:tr>
      <w:tr w14:paraId="26EB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BA0F855">
            <w:pPr>
              <w:spacing w:line="360" w:lineRule="auto"/>
              <w:jc w:val="center"/>
              <w:rPr>
                <w:rFonts w:hint="eastAsia" w:ascii="宋体" w:hAnsi="宋体" w:cs="宋体"/>
                <w:b/>
                <w:bCs/>
                <w:szCs w:val="21"/>
              </w:rPr>
            </w:pPr>
            <w:r>
              <w:rPr>
                <w:rFonts w:hint="eastAsia" w:ascii="宋体" w:hAnsi="宋体" w:cs="宋体"/>
                <w:b/>
                <w:bCs/>
                <w:szCs w:val="21"/>
              </w:rPr>
              <w:t>1</w:t>
            </w:r>
          </w:p>
        </w:tc>
        <w:tc>
          <w:tcPr>
            <w:tcW w:w="958" w:type="dxa"/>
            <w:vAlign w:val="center"/>
          </w:tcPr>
          <w:p w14:paraId="6963C0C6">
            <w:pPr>
              <w:snapToGrid w:val="0"/>
              <w:spacing w:line="360" w:lineRule="auto"/>
              <w:jc w:val="center"/>
              <w:rPr>
                <w:rFonts w:hint="eastAsia" w:ascii="宋体" w:hAnsi="宋体" w:cs="宋体"/>
                <w:b/>
                <w:bCs/>
                <w:szCs w:val="21"/>
              </w:rPr>
            </w:pPr>
            <w:r>
              <w:rPr>
                <w:rFonts w:hint="eastAsia" w:ascii="宋体" w:hAnsi="宋体" w:cs="宋体"/>
                <w:b/>
                <w:bCs/>
                <w:szCs w:val="21"/>
              </w:rPr>
              <w:t>报价</w:t>
            </w:r>
          </w:p>
        </w:tc>
        <w:tc>
          <w:tcPr>
            <w:tcW w:w="1115" w:type="dxa"/>
            <w:vAlign w:val="center"/>
          </w:tcPr>
          <w:p w14:paraId="32E75B59">
            <w:pPr>
              <w:spacing w:line="360" w:lineRule="auto"/>
              <w:jc w:val="center"/>
              <w:rPr>
                <w:rFonts w:hint="eastAsia" w:ascii="宋体" w:hAnsi="宋体" w:cs="宋体"/>
                <w:szCs w:val="21"/>
              </w:rPr>
            </w:pPr>
            <w:r>
              <w:rPr>
                <w:rFonts w:hint="eastAsia" w:ascii="宋体" w:hAnsi="宋体" w:cs="宋体"/>
                <w:szCs w:val="21"/>
              </w:rPr>
              <w:t>价格分（满分</w:t>
            </w:r>
            <w:r>
              <w:rPr>
                <w:rFonts w:hint="eastAsia" w:ascii="宋体" w:hAnsi="宋体" w:cs="宋体"/>
                <w:szCs w:val="21"/>
                <w:lang w:val="en-US" w:eastAsia="zh-CN"/>
              </w:rPr>
              <w:t>20</w:t>
            </w:r>
            <w:r>
              <w:rPr>
                <w:rFonts w:hint="eastAsia" w:ascii="宋体" w:hAnsi="宋体" w:cs="宋体"/>
                <w:szCs w:val="21"/>
              </w:rPr>
              <w:t>分）</w:t>
            </w:r>
          </w:p>
        </w:tc>
        <w:tc>
          <w:tcPr>
            <w:tcW w:w="5935" w:type="dxa"/>
            <w:vAlign w:val="center"/>
          </w:tcPr>
          <w:p w14:paraId="4C83C9CF">
            <w:pPr>
              <w:spacing w:line="500" w:lineRule="exact"/>
              <w:ind w:firstLine="632" w:firstLineChars="300"/>
              <w:rPr>
                <w:rFonts w:ascii="宋体" w:hAnsi="宋体" w:cs="宋体"/>
                <w:b/>
                <w:bCs/>
                <w:color w:val="auto"/>
                <w:szCs w:val="21"/>
                <w:highlight w:val="none"/>
              </w:rPr>
            </w:pPr>
            <w:r>
              <w:rPr>
                <w:rFonts w:hint="eastAsia" w:ascii="宋体" w:hAnsi="宋体" w:cs="宋体"/>
                <w:b/>
                <w:bCs/>
                <w:color w:val="auto"/>
                <w:szCs w:val="21"/>
                <w:highlight w:val="none"/>
              </w:rPr>
              <w:t>本项目为专门面向中小企业采购的项目，按照《政府采购促进中小企业发展管理办法》（财库〔2020〕46号）的规定，不再对供应商最后报价进行政策性扣除。</w:t>
            </w:r>
          </w:p>
          <w:p w14:paraId="67D877A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1）评审价为供应商的最后报价，评审价只是作为评审时使用。最终成交供应商的成交金额等于最后报价（如有修正，以确认修正后的最后报价为准）。</w:t>
            </w:r>
          </w:p>
          <w:p w14:paraId="139CD71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2）评审价＝最后报价。</w:t>
            </w:r>
          </w:p>
          <w:p w14:paraId="6381F6C1">
            <w:pPr>
              <w:pStyle w:val="13"/>
              <w:spacing w:line="500" w:lineRule="exact"/>
              <w:ind w:firstLine="420" w:firstLineChars="200"/>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3）以进入比较与评价环节的最低的评审价为基准价，基准价得分为20分。</w:t>
            </w:r>
          </w:p>
          <w:p w14:paraId="5D72C2FB">
            <w:pPr>
              <w:pStyle w:val="13"/>
              <w:spacing w:line="500" w:lineRule="exact"/>
              <w:ind w:firstLine="420" w:firstLineChars="200"/>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4）价格分计算公式：</w:t>
            </w:r>
          </w:p>
          <w:p w14:paraId="2CE2E9F8">
            <w:pPr>
              <w:spacing w:line="440" w:lineRule="exact"/>
              <w:rPr>
                <w:rFonts w:hint="eastAsia" w:ascii="宋体" w:hAnsi="宋体" w:cs="宋体"/>
                <w:bCs/>
                <w:color w:val="auto"/>
                <w:highlight w:val="none"/>
              </w:rPr>
            </w:pPr>
            <w:r>
              <w:rPr>
                <w:rFonts w:hint="eastAsia" w:ascii="宋体" w:hAnsi="宋体" w:cs="宋体"/>
                <w:bCs/>
                <w:color w:val="auto"/>
                <w:highlight w:val="none"/>
              </w:rPr>
              <w:t>报价得分=（基准价/</w:t>
            </w:r>
            <w:r>
              <w:rPr>
                <w:rFonts w:hint="eastAsia" w:ascii="宋体" w:hAnsi="宋体" w:cs="宋体"/>
                <w:color w:val="auto"/>
                <w:highlight w:val="none"/>
              </w:rPr>
              <w:t>评审价</w:t>
            </w:r>
            <w:r>
              <w:rPr>
                <w:rFonts w:hint="eastAsia" w:ascii="宋体" w:hAnsi="宋体" w:cs="宋体"/>
                <w:bCs/>
                <w:color w:val="auto"/>
                <w:highlight w:val="none"/>
              </w:rPr>
              <w:t>）×</w:t>
            </w:r>
            <w:r>
              <w:rPr>
                <w:rFonts w:hint="eastAsia" w:ascii="宋体" w:hAnsi="宋体" w:cs="宋体"/>
                <w:bCs/>
                <w:color w:val="auto"/>
                <w:highlight w:val="none"/>
                <w:u w:val="none"/>
                <w:lang w:val="en-US" w:eastAsia="zh-CN"/>
              </w:rPr>
              <w:t>2</w:t>
            </w:r>
            <w:r>
              <w:rPr>
                <w:rFonts w:hint="eastAsia" w:ascii="宋体" w:hAnsi="宋体" w:cs="宋体"/>
                <w:bCs/>
                <w:color w:val="auto"/>
                <w:highlight w:val="none"/>
                <w:u w:val="none"/>
              </w:rPr>
              <w:t xml:space="preserve">0 </w:t>
            </w:r>
            <w:r>
              <w:rPr>
                <w:rFonts w:hint="eastAsia" w:ascii="宋体" w:hAnsi="宋体" w:cs="宋体"/>
                <w:bCs/>
                <w:color w:val="auto"/>
                <w:highlight w:val="none"/>
              </w:rPr>
              <w:t>分</w:t>
            </w:r>
          </w:p>
          <w:p w14:paraId="6ED629D8">
            <w:pPr>
              <w:spacing w:line="360" w:lineRule="auto"/>
              <w:jc w:val="left"/>
              <w:rPr>
                <w:rFonts w:hint="eastAsia" w:ascii="宋体" w:hAnsi="宋体" w:cs="宋体"/>
                <w:szCs w:val="21"/>
              </w:rPr>
            </w:pPr>
            <w:r>
              <w:rPr>
                <w:rFonts w:hint="eastAsia" w:ascii="宋体" w:hAnsi="宋体"/>
                <w:color w:val="auto"/>
                <w:szCs w:val="21"/>
                <w:highlight w:val="none"/>
              </w:rPr>
              <w:t>注：磋商小组认为，某供应商的有效磋商报价或者某些分项报价明显不合理或者低于成本，有可能影响服务质量和不能诚信履约的，应要求其在规定的期限内提供书面文件予以解释说明，并提交相关证明材料，否则，磋商小组不推荐该供应商为成交候选人。</w:t>
            </w:r>
          </w:p>
        </w:tc>
        <w:tc>
          <w:tcPr>
            <w:tcW w:w="807" w:type="dxa"/>
            <w:vAlign w:val="center"/>
          </w:tcPr>
          <w:p w14:paraId="444BB1AC">
            <w:pPr>
              <w:spacing w:line="360" w:lineRule="auto"/>
              <w:jc w:val="center"/>
              <w:rPr>
                <w:rFonts w:hint="eastAsia" w:ascii="宋体" w:hAnsi="宋体" w:cs="宋体"/>
                <w:szCs w:val="21"/>
              </w:rPr>
            </w:pPr>
            <w:r>
              <w:rPr>
                <w:rFonts w:hint="eastAsia" w:ascii="宋体" w:hAnsi="宋体" w:cs="宋体"/>
                <w:szCs w:val="21"/>
              </w:rPr>
              <w:t>客观分</w:t>
            </w:r>
          </w:p>
        </w:tc>
      </w:tr>
      <w:tr w14:paraId="048D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468BBD56">
            <w:pPr>
              <w:spacing w:line="360" w:lineRule="auto"/>
              <w:jc w:val="center"/>
              <w:rPr>
                <w:rFonts w:hint="eastAsia" w:ascii="宋体" w:hAnsi="宋体" w:cs="宋体"/>
                <w:szCs w:val="21"/>
              </w:rPr>
            </w:pPr>
            <w:r>
              <w:rPr>
                <w:rFonts w:hint="eastAsia" w:ascii="宋体" w:hAnsi="宋体" w:cs="宋体"/>
                <w:b/>
                <w:bCs/>
                <w:szCs w:val="21"/>
              </w:rPr>
              <w:t>2</w:t>
            </w:r>
          </w:p>
        </w:tc>
        <w:tc>
          <w:tcPr>
            <w:tcW w:w="958" w:type="dxa"/>
            <w:vAlign w:val="center"/>
          </w:tcPr>
          <w:p w14:paraId="79EB791C">
            <w:pPr>
              <w:spacing w:line="360" w:lineRule="auto"/>
              <w:jc w:val="center"/>
              <w:rPr>
                <w:rFonts w:hint="eastAsia" w:ascii="宋体" w:hAnsi="宋体" w:cs="宋体"/>
                <w:szCs w:val="21"/>
              </w:rPr>
            </w:pPr>
            <w:r>
              <w:rPr>
                <w:rFonts w:hint="eastAsia" w:ascii="宋体" w:hAnsi="宋体" w:cs="宋体"/>
                <w:b/>
                <w:bCs/>
                <w:szCs w:val="21"/>
              </w:rPr>
              <w:t>技术</w:t>
            </w:r>
          </w:p>
        </w:tc>
        <w:tc>
          <w:tcPr>
            <w:tcW w:w="7050" w:type="dxa"/>
            <w:gridSpan w:val="2"/>
            <w:vAlign w:val="center"/>
          </w:tcPr>
          <w:p w14:paraId="59922473">
            <w:pPr>
              <w:spacing w:line="360" w:lineRule="auto"/>
              <w:jc w:val="center"/>
              <w:rPr>
                <w:rFonts w:hint="eastAsia" w:ascii="宋体" w:hAnsi="宋体" w:cs="宋体"/>
                <w:szCs w:val="21"/>
              </w:rPr>
            </w:pPr>
            <w:r>
              <w:rPr>
                <w:rFonts w:hint="eastAsia" w:ascii="宋体" w:hAnsi="宋体" w:cs="宋体"/>
                <w:szCs w:val="21"/>
              </w:rPr>
              <w:t>满分7</w:t>
            </w:r>
            <w:r>
              <w:rPr>
                <w:rFonts w:hint="eastAsia" w:ascii="宋体" w:hAnsi="宋体" w:cs="宋体"/>
                <w:szCs w:val="21"/>
                <w:lang w:val="en-US" w:eastAsia="zh-CN"/>
              </w:rPr>
              <w:t>0</w:t>
            </w:r>
            <w:r>
              <w:rPr>
                <w:rFonts w:hint="eastAsia" w:ascii="宋体" w:hAnsi="宋体" w:cs="宋体"/>
                <w:szCs w:val="21"/>
              </w:rPr>
              <w:t>分</w:t>
            </w:r>
          </w:p>
        </w:tc>
        <w:tc>
          <w:tcPr>
            <w:tcW w:w="807" w:type="dxa"/>
            <w:vAlign w:val="center"/>
          </w:tcPr>
          <w:p w14:paraId="568D4497">
            <w:pPr>
              <w:spacing w:line="360" w:lineRule="auto"/>
              <w:jc w:val="center"/>
              <w:rPr>
                <w:rFonts w:hint="eastAsia" w:ascii="宋体" w:hAnsi="宋体" w:cs="宋体"/>
                <w:b/>
                <w:bCs/>
                <w:szCs w:val="21"/>
              </w:rPr>
            </w:pPr>
          </w:p>
        </w:tc>
      </w:tr>
      <w:tr w14:paraId="24C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384AC891">
            <w:pPr>
              <w:spacing w:line="360" w:lineRule="auto"/>
              <w:jc w:val="center"/>
              <w:rPr>
                <w:rFonts w:hint="eastAsia" w:ascii="宋体" w:hAnsi="宋体" w:cs="宋体"/>
                <w:szCs w:val="21"/>
              </w:rPr>
            </w:pPr>
            <w:r>
              <w:rPr>
                <w:rFonts w:hint="eastAsia" w:ascii="宋体" w:hAnsi="宋体" w:cs="宋体"/>
                <w:szCs w:val="21"/>
              </w:rPr>
              <w:t>2.1</w:t>
            </w:r>
          </w:p>
        </w:tc>
        <w:tc>
          <w:tcPr>
            <w:tcW w:w="958" w:type="dxa"/>
            <w:vMerge w:val="restart"/>
            <w:vAlign w:val="center"/>
          </w:tcPr>
          <w:p w14:paraId="27FD44AF">
            <w:pPr>
              <w:spacing w:line="360" w:lineRule="auto"/>
              <w:jc w:val="center"/>
              <w:rPr>
                <w:rFonts w:hint="eastAsia" w:ascii="宋体" w:hAnsi="宋体" w:cs="宋体"/>
                <w:szCs w:val="21"/>
              </w:rPr>
            </w:pPr>
            <w:r>
              <w:rPr>
                <w:rFonts w:hint="eastAsia" w:ascii="宋体" w:hAnsi="宋体" w:cs="宋体"/>
                <w:szCs w:val="21"/>
              </w:rPr>
              <w:t>施工组织设计</w:t>
            </w:r>
          </w:p>
        </w:tc>
        <w:tc>
          <w:tcPr>
            <w:tcW w:w="1115" w:type="dxa"/>
            <w:vAlign w:val="center"/>
          </w:tcPr>
          <w:p w14:paraId="3A40B787">
            <w:pPr>
              <w:spacing w:line="360" w:lineRule="auto"/>
              <w:rPr>
                <w:rFonts w:hint="eastAsia" w:ascii="宋体" w:hAnsi="宋体" w:cs="宋体"/>
                <w:szCs w:val="21"/>
              </w:rPr>
            </w:pPr>
            <w:r>
              <w:rPr>
                <w:rFonts w:hint="eastAsia" w:ascii="宋体" w:hAnsi="宋体" w:cs="宋体"/>
                <w:szCs w:val="21"/>
              </w:rPr>
              <w:t>（1）施工组织核心方案（满分20 分）</w:t>
            </w:r>
          </w:p>
        </w:tc>
        <w:tc>
          <w:tcPr>
            <w:tcW w:w="5935" w:type="dxa"/>
            <w:vAlign w:val="center"/>
          </w:tcPr>
          <w:p w14:paraId="5CD40619">
            <w:pPr>
              <w:spacing w:line="360" w:lineRule="auto"/>
              <w:rPr>
                <w:rFonts w:hint="eastAsia" w:ascii="宋体" w:hAnsi="宋体" w:eastAsia="宋体" w:cs="宋体"/>
                <w:szCs w:val="21"/>
                <w:lang w:eastAsia="zh-CN"/>
              </w:rPr>
            </w:pPr>
            <w:r>
              <w:rPr>
                <w:rFonts w:hint="eastAsia" w:ascii="宋体" w:hAnsi="宋体" w:cs="宋体"/>
                <w:szCs w:val="21"/>
              </w:rPr>
              <w:t>一档（3 分）：未结合土方平整项目特性编制方案，挖方/运输/平整流程混乱，标高控制无措施，施工平面无土方作业分区，存在土方坍塌、运输拥堵隐患，无法指导施工</w:t>
            </w:r>
            <w:r>
              <w:rPr>
                <w:rFonts w:hint="eastAsia" w:ascii="宋体" w:hAnsi="宋体" w:cs="宋体"/>
                <w:szCs w:val="21"/>
                <w:lang w:eastAsia="zh-CN"/>
              </w:rPr>
              <w:t>；</w:t>
            </w:r>
          </w:p>
          <w:p w14:paraId="1CC67ECA">
            <w:pPr>
              <w:spacing w:line="360" w:lineRule="auto"/>
              <w:rPr>
                <w:rFonts w:hint="eastAsia" w:ascii="宋体" w:hAnsi="宋体" w:eastAsia="宋体" w:cs="宋体"/>
                <w:szCs w:val="21"/>
                <w:lang w:eastAsia="zh-CN"/>
              </w:rPr>
            </w:pPr>
            <w:r>
              <w:rPr>
                <w:rFonts w:hint="eastAsia" w:ascii="宋体" w:hAnsi="宋体" w:cs="宋体"/>
                <w:szCs w:val="21"/>
              </w:rPr>
              <w:t>二档（8 分）：施工方案基本适配土方平整作业，挖方顺序、运输路线基本合理，有简易标高控制方法，施工平面划分土方作业区/运输通道，无重大安全隐患，可满足基础施工</w:t>
            </w:r>
            <w:r>
              <w:rPr>
                <w:rFonts w:hint="eastAsia" w:ascii="宋体" w:hAnsi="宋体" w:cs="宋体"/>
                <w:szCs w:val="21"/>
                <w:lang w:eastAsia="zh-CN"/>
              </w:rPr>
              <w:t>；</w:t>
            </w:r>
          </w:p>
          <w:p w14:paraId="1BED37C7">
            <w:pPr>
              <w:spacing w:line="360" w:lineRule="auto"/>
              <w:rPr>
                <w:rFonts w:hint="eastAsia" w:ascii="宋体" w:hAnsi="宋体" w:eastAsia="宋体" w:cs="宋体"/>
                <w:szCs w:val="21"/>
                <w:lang w:eastAsia="zh-CN"/>
              </w:rPr>
            </w:pPr>
            <w:r>
              <w:rPr>
                <w:rFonts w:hint="eastAsia" w:ascii="宋体" w:hAnsi="宋体" w:cs="宋体"/>
                <w:szCs w:val="21"/>
              </w:rPr>
              <w:t>三档（14 分）：施工方案结合项目现场地形、挖方量编制，挖方分层分段、运输路线优化，标高/平整度控制精准，弃土堆放/外运规划清晰，施工平面布置适配土方全流程作业</w:t>
            </w:r>
            <w:r>
              <w:rPr>
                <w:rFonts w:hint="eastAsia" w:ascii="宋体" w:hAnsi="宋体" w:cs="宋体"/>
                <w:szCs w:val="21"/>
                <w:lang w:eastAsia="zh-CN"/>
              </w:rPr>
              <w:t>；</w:t>
            </w:r>
          </w:p>
          <w:p w14:paraId="5D2301F8">
            <w:pPr>
              <w:spacing w:line="360" w:lineRule="auto"/>
              <w:jc w:val="left"/>
              <w:rPr>
                <w:rFonts w:hint="eastAsia" w:ascii="宋体" w:hAnsi="宋体" w:cs="宋体"/>
                <w:szCs w:val="21"/>
              </w:rPr>
            </w:pPr>
            <w:r>
              <w:rPr>
                <w:rFonts w:hint="eastAsia" w:ascii="宋体" w:hAnsi="宋体" w:cs="宋体"/>
                <w:szCs w:val="21"/>
              </w:rPr>
              <w:t>四档（20 分）：施工方案量化土方作业参数（挖方分层厚度、平整标高偏差、运输效率），针对性解决土方开挖、扬尘、运输、场地平整重难点，全流程闭环管控，高效合规、完全适配本项目土方平整需求。</w:t>
            </w:r>
          </w:p>
        </w:tc>
        <w:tc>
          <w:tcPr>
            <w:tcW w:w="807" w:type="dxa"/>
            <w:vAlign w:val="center"/>
          </w:tcPr>
          <w:p w14:paraId="230F80DB">
            <w:pPr>
              <w:spacing w:line="360" w:lineRule="auto"/>
              <w:jc w:val="center"/>
              <w:rPr>
                <w:rFonts w:hint="eastAsia" w:ascii="宋体" w:hAnsi="宋体" w:cs="宋体"/>
                <w:szCs w:val="21"/>
              </w:rPr>
            </w:pPr>
            <w:r>
              <w:rPr>
                <w:rFonts w:hint="eastAsia" w:ascii="宋体" w:hAnsi="宋体" w:cs="宋体"/>
                <w:szCs w:val="21"/>
              </w:rPr>
              <w:t>主观分</w:t>
            </w:r>
          </w:p>
        </w:tc>
      </w:tr>
      <w:tr w14:paraId="67B8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35F550F3">
            <w:pPr>
              <w:spacing w:line="360" w:lineRule="auto"/>
              <w:jc w:val="center"/>
              <w:rPr>
                <w:rFonts w:hint="eastAsia" w:ascii="宋体" w:hAnsi="宋体" w:cs="宋体"/>
                <w:szCs w:val="21"/>
              </w:rPr>
            </w:pPr>
          </w:p>
        </w:tc>
        <w:tc>
          <w:tcPr>
            <w:tcW w:w="958" w:type="dxa"/>
            <w:vMerge w:val="continue"/>
            <w:vAlign w:val="center"/>
          </w:tcPr>
          <w:p w14:paraId="1F2F4EA6">
            <w:pPr>
              <w:spacing w:line="360" w:lineRule="auto"/>
              <w:jc w:val="center"/>
              <w:rPr>
                <w:rFonts w:hint="eastAsia" w:ascii="宋体" w:hAnsi="宋体" w:cs="宋体"/>
                <w:szCs w:val="21"/>
              </w:rPr>
            </w:pPr>
          </w:p>
        </w:tc>
        <w:tc>
          <w:tcPr>
            <w:tcW w:w="1115" w:type="dxa"/>
            <w:vAlign w:val="center"/>
          </w:tcPr>
          <w:p w14:paraId="74E8FE02">
            <w:pPr>
              <w:widowControl/>
              <w:spacing w:line="360" w:lineRule="auto"/>
              <w:rPr>
                <w:rFonts w:hint="eastAsia" w:ascii="宋体" w:hAnsi="宋体" w:cs="宋体"/>
                <w:szCs w:val="21"/>
              </w:rPr>
            </w:pPr>
            <w:r>
              <w:rPr>
                <w:rFonts w:hint="eastAsia" w:ascii="宋体" w:hAnsi="宋体" w:cs="宋体"/>
                <w:szCs w:val="21"/>
              </w:rPr>
              <w:t>（2）资源配置与保障计划（满分 20 分）</w:t>
            </w:r>
          </w:p>
        </w:tc>
        <w:tc>
          <w:tcPr>
            <w:tcW w:w="5935" w:type="dxa"/>
          </w:tcPr>
          <w:p w14:paraId="75B10840">
            <w:pPr>
              <w:spacing w:line="360" w:lineRule="auto"/>
              <w:rPr>
                <w:rFonts w:hint="eastAsia" w:ascii="宋体" w:hAnsi="宋体" w:eastAsia="宋体" w:cs="宋体"/>
                <w:szCs w:val="21"/>
                <w:lang w:eastAsia="zh-CN"/>
              </w:rPr>
            </w:pPr>
            <w:r>
              <w:rPr>
                <w:rFonts w:hint="eastAsia" w:ascii="宋体" w:hAnsi="宋体" w:cs="宋体"/>
                <w:szCs w:val="21"/>
              </w:rPr>
              <w:t>一档（3 分）：无土方机械、人员配置计划，设备型号与土方作业不匹配，无进场调度安排，无法保障施工推进</w:t>
            </w:r>
            <w:r>
              <w:rPr>
                <w:rFonts w:hint="eastAsia" w:ascii="宋体" w:hAnsi="宋体" w:cs="宋体"/>
                <w:szCs w:val="21"/>
                <w:lang w:eastAsia="zh-CN"/>
              </w:rPr>
              <w:t>；</w:t>
            </w:r>
          </w:p>
          <w:p w14:paraId="4A13EA60">
            <w:pPr>
              <w:spacing w:line="360" w:lineRule="auto"/>
              <w:rPr>
                <w:rFonts w:hint="eastAsia" w:ascii="宋体" w:hAnsi="宋体" w:eastAsia="宋体" w:cs="宋体"/>
                <w:szCs w:val="21"/>
                <w:lang w:eastAsia="zh-CN"/>
              </w:rPr>
            </w:pPr>
            <w:r>
              <w:rPr>
                <w:rFonts w:hint="eastAsia" w:ascii="宋体" w:hAnsi="宋体" w:cs="宋体"/>
                <w:szCs w:val="21"/>
              </w:rPr>
              <w:t>二档（8 分）：基础配置挖掘机、运输车辆、作业人员，设备数量与挖方量基本匹配，人员持证上岗，进场计划与工期基本衔接</w:t>
            </w:r>
            <w:r>
              <w:rPr>
                <w:rFonts w:hint="eastAsia" w:ascii="宋体" w:hAnsi="宋体" w:cs="宋体"/>
                <w:szCs w:val="21"/>
                <w:lang w:eastAsia="zh-CN"/>
              </w:rPr>
              <w:t>；</w:t>
            </w:r>
          </w:p>
          <w:p w14:paraId="079CC627">
            <w:pPr>
              <w:spacing w:line="360" w:lineRule="auto"/>
              <w:rPr>
                <w:rFonts w:hint="eastAsia" w:ascii="宋体" w:hAnsi="宋体" w:eastAsia="宋体" w:cs="宋体"/>
                <w:szCs w:val="21"/>
                <w:lang w:eastAsia="zh-CN"/>
              </w:rPr>
            </w:pPr>
            <w:r>
              <w:rPr>
                <w:rFonts w:hint="eastAsia" w:ascii="宋体" w:hAnsi="宋体" w:cs="宋体"/>
                <w:szCs w:val="21"/>
              </w:rPr>
              <w:t>三档（14 分）：按土方量配置挖掘机、自卸车、平地机、压路机、洒水设备，明确设备台班/调度计划；土方作业人员分工明确、持证上岗；防尘、洒水等物资配置齐全</w:t>
            </w:r>
            <w:r>
              <w:rPr>
                <w:rFonts w:hint="eastAsia" w:ascii="宋体" w:hAnsi="宋体" w:cs="宋体"/>
                <w:szCs w:val="21"/>
                <w:lang w:eastAsia="zh-CN"/>
              </w:rPr>
              <w:t>；</w:t>
            </w:r>
          </w:p>
          <w:p w14:paraId="2E75D3E7">
            <w:pPr>
              <w:spacing w:line="360" w:lineRule="auto"/>
              <w:rPr>
                <w:rFonts w:hint="eastAsia" w:ascii="宋体" w:hAnsi="宋体" w:cs="宋体"/>
                <w:szCs w:val="21"/>
              </w:rPr>
            </w:pPr>
            <w:r>
              <w:rPr>
                <w:rFonts w:hint="eastAsia" w:ascii="宋体" w:hAnsi="宋体" w:cs="宋体"/>
                <w:szCs w:val="21"/>
              </w:rPr>
              <w:t>四档（20 分）：土方机械配置量化（台数、台班、效率），建立设备维保/应急备用机制；人员配置含土方指挥、运输调度、安全管理员；物资（防尘网、洒水设备、照明）全配置，保障土方连续作业。</w:t>
            </w:r>
          </w:p>
        </w:tc>
        <w:tc>
          <w:tcPr>
            <w:tcW w:w="807" w:type="dxa"/>
            <w:vAlign w:val="center"/>
          </w:tcPr>
          <w:p w14:paraId="794F067A">
            <w:pPr>
              <w:spacing w:line="360" w:lineRule="auto"/>
              <w:jc w:val="center"/>
              <w:rPr>
                <w:rFonts w:hint="eastAsia" w:ascii="宋体" w:hAnsi="宋体" w:cs="宋体"/>
                <w:szCs w:val="21"/>
              </w:rPr>
            </w:pPr>
            <w:r>
              <w:rPr>
                <w:rFonts w:hint="eastAsia" w:ascii="宋体" w:hAnsi="宋体" w:cs="宋体"/>
                <w:szCs w:val="21"/>
              </w:rPr>
              <w:t>主观分</w:t>
            </w:r>
          </w:p>
        </w:tc>
      </w:tr>
      <w:tr w14:paraId="637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2A48E8C5">
            <w:pPr>
              <w:spacing w:line="360" w:lineRule="auto"/>
              <w:jc w:val="center"/>
              <w:rPr>
                <w:rFonts w:hint="eastAsia" w:ascii="宋体" w:hAnsi="宋体" w:cs="宋体"/>
                <w:szCs w:val="21"/>
              </w:rPr>
            </w:pPr>
          </w:p>
        </w:tc>
        <w:tc>
          <w:tcPr>
            <w:tcW w:w="958" w:type="dxa"/>
            <w:vMerge w:val="continue"/>
            <w:vAlign w:val="center"/>
          </w:tcPr>
          <w:p w14:paraId="4A16A36F">
            <w:pPr>
              <w:spacing w:line="360" w:lineRule="auto"/>
              <w:jc w:val="center"/>
              <w:rPr>
                <w:rFonts w:hint="eastAsia" w:ascii="宋体" w:hAnsi="宋体" w:cs="宋体"/>
                <w:szCs w:val="21"/>
              </w:rPr>
            </w:pPr>
          </w:p>
        </w:tc>
        <w:tc>
          <w:tcPr>
            <w:tcW w:w="1115" w:type="dxa"/>
            <w:vAlign w:val="center"/>
          </w:tcPr>
          <w:p w14:paraId="6188B94E">
            <w:pPr>
              <w:widowControl/>
              <w:spacing w:line="360" w:lineRule="auto"/>
              <w:rPr>
                <w:rFonts w:hint="eastAsia" w:ascii="宋体" w:hAnsi="宋体" w:cs="宋体"/>
                <w:szCs w:val="21"/>
              </w:rPr>
            </w:pPr>
            <w:r>
              <w:rPr>
                <w:rFonts w:hint="eastAsia" w:ascii="宋体" w:hAnsi="宋体" w:cs="宋体"/>
                <w:szCs w:val="21"/>
              </w:rPr>
              <w:t xml:space="preserve">（3）质量、安全与文明施工保障措施（满分 </w:t>
            </w:r>
            <w:r>
              <w:rPr>
                <w:rFonts w:hint="eastAsia" w:ascii="宋体" w:hAnsi="宋体" w:cs="宋体"/>
                <w:szCs w:val="21"/>
                <w:lang w:val="en-US" w:eastAsia="zh-CN"/>
              </w:rPr>
              <w:t>15</w:t>
            </w:r>
            <w:r>
              <w:rPr>
                <w:rFonts w:hint="eastAsia" w:ascii="宋体" w:hAnsi="宋体" w:cs="宋体"/>
                <w:szCs w:val="21"/>
              </w:rPr>
              <w:t>分）</w:t>
            </w:r>
          </w:p>
        </w:tc>
        <w:tc>
          <w:tcPr>
            <w:tcW w:w="5935" w:type="dxa"/>
          </w:tcPr>
          <w:p w14:paraId="35B15479">
            <w:pPr>
              <w:spacing w:line="360" w:lineRule="auto"/>
              <w:rPr>
                <w:rFonts w:hint="eastAsia" w:ascii="宋体" w:hAnsi="宋体" w:eastAsia="宋体" w:cs="宋体"/>
                <w:szCs w:val="21"/>
                <w:lang w:eastAsia="zh-CN"/>
              </w:rPr>
            </w:pPr>
            <w:r>
              <w:rPr>
                <w:rFonts w:hint="eastAsia" w:ascii="宋体" w:hAnsi="宋体" w:cs="宋体"/>
                <w:szCs w:val="21"/>
              </w:rPr>
              <w:t>一档（</w:t>
            </w:r>
            <w:r>
              <w:rPr>
                <w:rFonts w:hint="eastAsia" w:ascii="宋体" w:hAnsi="宋体" w:cs="宋体"/>
                <w:szCs w:val="21"/>
                <w:lang w:val="en-US" w:eastAsia="zh-CN"/>
              </w:rPr>
              <w:t>6</w:t>
            </w:r>
            <w:r>
              <w:rPr>
                <w:rFonts w:hint="eastAsia" w:ascii="宋体" w:hAnsi="宋体" w:cs="宋体"/>
                <w:szCs w:val="21"/>
              </w:rPr>
              <w:t xml:space="preserve"> 分）：无质量安全制度，无标高/平整度管控，无扬尘、噪音、遗撒治理措施，不符合施工现场环保要求</w:t>
            </w:r>
            <w:r>
              <w:rPr>
                <w:rFonts w:hint="eastAsia" w:ascii="宋体" w:hAnsi="宋体" w:cs="宋体"/>
                <w:szCs w:val="21"/>
                <w:lang w:eastAsia="zh-CN"/>
              </w:rPr>
              <w:t>；</w:t>
            </w:r>
          </w:p>
          <w:p w14:paraId="3CFB9CC4">
            <w:pPr>
              <w:spacing w:line="360" w:lineRule="auto"/>
              <w:rPr>
                <w:rFonts w:hint="eastAsia" w:ascii="宋体" w:hAnsi="宋体" w:eastAsia="宋体" w:cs="宋体"/>
                <w:szCs w:val="21"/>
                <w:lang w:eastAsia="zh-CN"/>
              </w:rPr>
            </w:pPr>
            <w:r>
              <w:rPr>
                <w:rFonts w:hint="eastAsia" w:ascii="宋体" w:hAnsi="宋体" w:cs="宋体"/>
                <w:szCs w:val="21"/>
              </w:rPr>
              <w:t>二档（</w:t>
            </w:r>
            <w:r>
              <w:rPr>
                <w:rFonts w:hint="eastAsia" w:ascii="宋体" w:hAnsi="宋体" w:cs="宋体"/>
                <w:szCs w:val="21"/>
                <w:lang w:val="en-US" w:eastAsia="zh-CN"/>
              </w:rPr>
              <w:t>9</w:t>
            </w:r>
            <w:r>
              <w:rPr>
                <w:rFonts w:hint="eastAsia" w:ascii="宋体" w:hAnsi="宋体" w:cs="宋体"/>
                <w:szCs w:val="21"/>
              </w:rPr>
              <w:t>分）：有基础质量、安全制度，能控制土方平整标高，有简易扬尘、运输遗撒管控措施，基本满足文明施工要求</w:t>
            </w:r>
            <w:r>
              <w:rPr>
                <w:rFonts w:hint="eastAsia" w:ascii="宋体" w:hAnsi="宋体" w:cs="宋体"/>
                <w:szCs w:val="21"/>
                <w:lang w:eastAsia="zh-CN"/>
              </w:rPr>
              <w:t>；</w:t>
            </w:r>
          </w:p>
          <w:p w14:paraId="0834BB90">
            <w:pPr>
              <w:spacing w:line="360" w:lineRule="auto"/>
              <w:rPr>
                <w:rFonts w:hint="eastAsia" w:ascii="宋体" w:hAnsi="宋体" w:eastAsia="宋体" w:cs="宋体"/>
                <w:szCs w:val="21"/>
                <w:lang w:eastAsia="zh-CN"/>
              </w:rPr>
            </w:pPr>
            <w:r>
              <w:rPr>
                <w:rFonts w:hint="eastAsia" w:ascii="宋体" w:hAnsi="宋体" w:cs="宋体"/>
                <w:szCs w:val="21"/>
              </w:rPr>
              <w:t>三档（1</w:t>
            </w:r>
            <w:r>
              <w:rPr>
                <w:rFonts w:hint="eastAsia" w:ascii="宋体" w:hAnsi="宋体" w:cs="宋体"/>
                <w:szCs w:val="21"/>
                <w:lang w:val="en-US" w:eastAsia="zh-CN"/>
              </w:rPr>
              <w:t>2</w:t>
            </w:r>
            <w:r>
              <w:rPr>
                <w:rFonts w:hint="eastAsia" w:ascii="宋体" w:hAnsi="宋体" w:cs="宋体"/>
                <w:szCs w:val="21"/>
              </w:rPr>
              <w:t>分）：质量管控覆盖土方开挖、平整、标高复核，执行 “三检制”；安全管控含土方边坡、临边防护、运输安全；扬尘/噪音/遗撒治理措施具体，符合环保规范</w:t>
            </w:r>
            <w:r>
              <w:rPr>
                <w:rFonts w:hint="eastAsia" w:ascii="宋体" w:hAnsi="宋体" w:cs="宋体"/>
                <w:szCs w:val="21"/>
                <w:lang w:eastAsia="zh-CN"/>
              </w:rPr>
              <w:t>；</w:t>
            </w:r>
          </w:p>
          <w:p w14:paraId="2DCA1938">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15</w:t>
            </w:r>
            <w:r>
              <w:rPr>
                <w:rFonts w:hint="eastAsia" w:ascii="宋体" w:hAnsi="宋体" w:cs="宋体"/>
                <w:szCs w:val="21"/>
              </w:rPr>
              <w:t xml:space="preserve"> 分）：质量标准量化（平整标高偏差≤±50mm、表面平整度达标）；安全管控含土方坍塌预警、运输交通管控；扬尘全时段洒水、裸土全覆盖，运输全封闭，达到绿色施工标准。</w:t>
            </w:r>
          </w:p>
        </w:tc>
        <w:tc>
          <w:tcPr>
            <w:tcW w:w="807" w:type="dxa"/>
            <w:vAlign w:val="center"/>
          </w:tcPr>
          <w:p w14:paraId="3D363403">
            <w:pPr>
              <w:spacing w:line="360" w:lineRule="auto"/>
              <w:jc w:val="center"/>
              <w:rPr>
                <w:rFonts w:hint="eastAsia" w:ascii="宋体" w:hAnsi="宋体" w:cs="宋体"/>
                <w:szCs w:val="21"/>
              </w:rPr>
            </w:pPr>
            <w:r>
              <w:rPr>
                <w:rFonts w:hint="eastAsia" w:ascii="宋体" w:hAnsi="宋体" w:cs="宋体"/>
                <w:szCs w:val="21"/>
              </w:rPr>
              <w:t>主观分</w:t>
            </w:r>
          </w:p>
        </w:tc>
      </w:tr>
      <w:tr w14:paraId="23F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A7D43">
            <w:pPr>
              <w:spacing w:line="360" w:lineRule="auto"/>
              <w:jc w:val="center"/>
              <w:rPr>
                <w:rFonts w:hint="eastAsia" w:ascii="宋体" w:hAnsi="宋体" w:cs="宋体"/>
                <w:szCs w:val="21"/>
              </w:rPr>
            </w:pPr>
          </w:p>
        </w:tc>
        <w:tc>
          <w:tcPr>
            <w:tcW w:w="958" w:type="dxa"/>
            <w:vMerge w:val="continue"/>
            <w:vAlign w:val="center"/>
          </w:tcPr>
          <w:p w14:paraId="60F43F2A">
            <w:pPr>
              <w:spacing w:line="360" w:lineRule="auto"/>
              <w:jc w:val="center"/>
              <w:rPr>
                <w:rFonts w:hint="eastAsia" w:ascii="宋体" w:hAnsi="宋体" w:cs="宋体"/>
                <w:szCs w:val="21"/>
              </w:rPr>
            </w:pPr>
          </w:p>
        </w:tc>
        <w:tc>
          <w:tcPr>
            <w:tcW w:w="1115" w:type="dxa"/>
            <w:vAlign w:val="center"/>
          </w:tcPr>
          <w:p w14:paraId="15282792">
            <w:pPr>
              <w:widowControl/>
              <w:spacing w:line="360" w:lineRule="auto"/>
              <w:rPr>
                <w:rFonts w:hint="eastAsia" w:ascii="宋体" w:hAnsi="宋体" w:cs="宋体"/>
                <w:szCs w:val="21"/>
              </w:rPr>
            </w:pPr>
            <w:r>
              <w:rPr>
                <w:rFonts w:hint="eastAsia" w:ascii="宋体" w:hAnsi="宋体" w:cs="宋体"/>
                <w:szCs w:val="21"/>
              </w:rPr>
              <w:t xml:space="preserve">（4）工期管控与应急处置方案（满分 </w:t>
            </w:r>
            <w:r>
              <w:rPr>
                <w:rFonts w:hint="eastAsia" w:ascii="宋体" w:hAnsi="宋体" w:cs="宋体"/>
                <w:szCs w:val="21"/>
                <w:lang w:val="en-US" w:eastAsia="zh-CN"/>
              </w:rPr>
              <w:t>15</w:t>
            </w:r>
            <w:r>
              <w:rPr>
                <w:rFonts w:hint="eastAsia" w:ascii="宋体" w:hAnsi="宋体" w:cs="宋体"/>
                <w:szCs w:val="21"/>
              </w:rPr>
              <w:t>分）</w:t>
            </w:r>
          </w:p>
        </w:tc>
        <w:tc>
          <w:tcPr>
            <w:tcW w:w="5935" w:type="dxa"/>
          </w:tcPr>
          <w:p w14:paraId="2CE511D6">
            <w:pPr>
              <w:spacing w:line="360" w:lineRule="auto"/>
              <w:rPr>
                <w:rFonts w:hint="eastAsia" w:ascii="宋体" w:hAnsi="宋体" w:eastAsia="宋体" w:cs="宋体"/>
                <w:szCs w:val="21"/>
                <w:lang w:eastAsia="zh-CN"/>
              </w:rPr>
            </w:pPr>
            <w:r>
              <w:rPr>
                <w:rFonts w:hint="eastAsia" w:ascii="宋体" w:hAnsi="宋体" w:cs="宋体"/>
                <w:szCs w:val="21"/>
              </w:rPr>
              <w:t>一档（</w:t>
            </w:r>
            <w:r>
              <w:rPr>
                <w:rFonts w:hint="eastAsia" w:ascii="宋体" w:hAnsi="宋体" w:cs="宋体"/>
                <w:szCs w:val="21"/>
                <w:lang w:val="en-US" w:eastAsia="zh-CN"/>
              </w:rPr>
              <w:t>6</w:t>
            </w:r>
            <w:r>
              <w:rPr>
                <w:rFonts w:hint="eastAsia" w:ascii="宋体" w:hAnsi="宋体" w:cs="宋体"/>
                <w:szCs w:val="21"/>
              </w:rPr>
              <w:t xml:space="preserve"> 分）：无施工进度计划，关键节点空白，无工期保障措施，无法满足工期要求</w:t>
            </w:r>
            <w:r>
              <w:rPr>
                <w:rFonts w:hint="eastAsia" w:ascii="宋体" w:hAnsi="宋体" w:cs="宋体"/>
                <w:szCs w:val="21"/>
                <w:lang w:eastAsia="zh-CN"/>
              </w:rPr>
              <w:t>；</w:t>
            </w:r>
          </w:p>
          <w:p w14:paraId="1545C53B">
            <w:pPr>
              <w:spacing w:line="360" w:lineRule="auto"/>
              <w:rPr>
                <w:rFonts w:hint="eastAsia" w:ascii="宋体" w:hAnsi="宋体" w:eastAsia="宋体" w:cs="宋体"/>
                <w:szCs w:val="21"/>
                <w:lang w:eastAsia="zh-CN"/>
              </w:rPr>
            </w:pPr>
            <w:r>
              <w:rPr>
                <w:rFonts w:hint="eastAsia" w:ascii="宋体" w:hAnsi="宋体" w:cs="宋体"/>
                <w:szCs w:val="21"/>
              </w:rPr>
              <w:t>二档（</w:t>
            </w:r>
            <w:r>
              <w:rPr>
                <w:rFonts w:hint="eastAsia" w:ascii="宋体" w:hAnsi="宋体" w:cs="宋体"/>
                <w:szCs w:val="21"/>
                <w:lang w:val="en-US" w:eastAsia="zh-CN"/>
              </w:rPr>
              <w:t>9</w:t>
            </w:r>
            <w:r>
              <w:rPr>
                <w:rFonts w:hint="eastAsia" w:ascii="宋体" w:hAnsi="宋体" w:cs="宋体"/>
                <w:szCs w:val="21"/>
              </w:rPr>
              <w:t xml:space="preserve"> 分）：有总进度计划，明确土方开挖、运输、平整节点，基本工期措施可行，可在</w:t>
            </w:r>
            <w:r>
              <w:rPr>
                <w:rFonts w:hint="eastAsia" w:ascii="宋体" w:hAnsi="宋体" w:cs="宋体"/>
                <w:szCs w:val="21"/>
                <w:lang w:val="en-US" w:eastAsia="zh-CN"/>
              </w:rPr>
              <w:t>要求工期</w:t>
            </w:r>
            <w:r>
              <w:rPr>
                <w:rFonts w:hint="eastAsia" w:ascii="宋体" w:hAnsi="宋体" w:cs="宋体"/>
                <w:szCs w:val="21"/>
              </w:rPr>
              <w:t>内完工</w:t>
            </w:r>
            <w:r>
              <w:rPr>
                <w:rFonts w:hint="eastAsia" w:ascii="宋体" w:hAnsi="宋体" w:cs="宋体"/>
                <w:szCs w:val="21"/>
                <w:lang w:eastAsia="zh-CN"/>
              </w:rPr>
              <w:t>；</w:t>
            </w:r>
          </w:p>
          <w:p w14:paraId="44B029F7">
            <w:pPr>
              <w:spacing w:line="360" w:lineRule="auto"/>
              <w:rPr>
                <w:rFonts w:hint="eastAsia" w:ascii="宋体" w:hAnsi="宋体" w:eastAsia="宋体" w:cs="宋体"/>
                <w:szCs w:val="21"/>
                <w:lang w:eastAsia="zh-CN"/>
              </w:rPr>
            </w:pPr>
            <w:r>
              <w:rPr>
                <w:rFonts w:hint="eastAsia" w:ascii="宋体" w:hAnsi="宋体" w:cs="宋体"/>
                <w:szCs w:val="21"/>
              </w:rPr>
              <w:t>三档（1</w:t>
            </w:r>
            <w:r>
              <w:rPr>
                <w:rFonts w:hint="eastAsia" w:ascii="宋体" w:hAnsi="宋体" w:cs="宋体"/>
                <w:szCs w:val="21"/>
                <w:lang w:val="en-US" w:eastAsia="zh-CN"/>
              </w:rPr>
              <w:t>2</w:t>
            </w:r>
            <w:r>
              <w:rPr>
                <w:rFonts w:hint="eastAsia" w:ascii="宋体" w:hAnsi="宋体" w:cs="宋体"/>
                <w:szCs w:val="21"/>
              </w:rPr>
              <w:t xml:space="preserve"> 分）：进度计划细化到分段土方量、完成时间，关键线路清晰；雨季土方施工、机械故障、运输受阻等应急措施明确，责任分工清晰</w:t>
            </w:r>
            <w:r>
              <w:rPr>
                <w:rFonts w:hint="eastAsia" w:ascii="宋体" w:hAnsi="宋体" w:cs="宋体"/>
                <w:szCs w:val="21"/>
                <w:lang w:eastAsia="zh-CN"/>
              </w:rPr>
              <w:t>；</w:t>
            </w:r>
          </w:p>
          <w:p w14:paraId="54A1F6D6">
            <w:pPr>
              <w:spacing w:line="360" w:lineRule="auto"/>
              <w:rPr>
                <w:rFonts w:hint="eastAsia" w:ascii="宋体" w:hAnsi="宋体" w:cs="宋体"/>
                <w:szCs w:val="21"/>
              </w:rPr>
            </w:pPr>
            <w:r>
              <w:rPr>
                <w:rFonts w:hint="eastAsia" w:ascii="宋体" w:hAnsi="宋体" w:cs="宋体"/>
                <w:szCs w:val="21"/>
              </w:rPr>
              <w:t>四档（</w:t>
            </w:r>
            <w:r>
              <w:rPr>
                <w:rFonts w:hint="eastAsia" w:ascii="宋体" w:hAnsi="宋体" w:cs="宋体"/>
                <w:szCs w:val="21"/>
                <w:lang w:val="en-US" w:eastAsia="zh-CN"/>
              </w:rPr>
              <w:t>15</w:t>
            </w:r>
            <w:r>
              <w:rPr>
                <w:rFonts w:hint="eastAsia" w:ascii="宋体" w:hAnsi="宋体" w:cs="宋体"/>
                <w:szCs w:val="21"/>
              </w:rPr>
              <w:t xml:space="preserve"> 分）：动态工期管控，建立进度预警机制，挖方/运输/平整分段流水作业；应急方案覆盖雨季、恶劣天气、设备故障、交通管制，确保按期完工。</w:t>
            </w:r>
          </w:p>
        </w:tc>
        <w:tc>
          <w:tcPr>
            <w:tcW w:w="807" w:type="dxa"/>
            <w:vAlign w:val="center"/>
          </w:tcPr>
          <w:p w14:paraId="5258638F">
            <w:pPr>
              <w:spacing w:line="360" w:lineRule="auto"/>
              <w:jc w:val="center"/>
              <w:rPr>
                <w:rFonts w:hint="eastAsia" w:ascii="宋体" w:hAnsi="宋体" w:cs="宋体"/>
                <w:szCs w:val="21"/>
              </w:rPr>
            </w:pPr>
            <w:r>
              <w:rPr>
                <w:rFonts w:hint="eastAsia" w:ascii="宋体" w:hAnsi="宋体" w:cs="宋体"/>
                <w:szCs w:val="21"/>
              </w:rPr>
              <w:t>主观分</w:t>
            </w:r>
          </w:p>
        </w:tc>
      </w:tr>
      <w:tr w14:paraId="216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19" w:type="dxa"/>
            <w:vAlign w:val="center"/>
          </w:tcPr>
          <w:p w14:paraId="3BCFF135">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3</w:t>
            </w:r>
          </w:p>
        </w:tc>
        <w:tc>
          <w:tcPr>
            <w:tcW w:w="958" w:type="dxa"/>
            <w:vAlign w:val="center"/>
          </w:tcPr>
          <w:p w14:paraId="7FAD6360">
            <w:pPr>
              <w:spacing w:line="360" w:lineRule="auto"/>
              <w:rPr>
                <w:rFonts w:hint="eastAsia" w:ascii="宋体" w:hAnsi="宋体" w:cs="宋体"/>
                <w:szCs w:val="21"/>
              </w:rPr>
            </w:pP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1115" w:type="dxa"/>
            <w:vAlign w:val="center"/>
          </w:tcPr>
          <w:p w14:paraId="40BC2B35">
            <w:pPr>
              <w:spacing w:line="360" w:lineRule="auto"/>
              <w:jc w:val="left"/>
              <w:rPr>
                <w:rFonts w:hint="eastAsia" w:ascii="宋体" w:hAnsi="宋体" w:cs="宋体"/>
                <w:szCs w:val="21"/>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vAlign w:val="center"/>
          </w:tcPr>
          <w:p w14:paraId="0376EB1D">
            <w:pPr>
              <w:spacing w:line="360" w:lineRule="auto"/>
              <w:jc w:val="left"/>
              <w:rPr>
                <w:rFonts w:hint="eastAsia" w:ascii="宋体" w:hAnsi="宋体" w:cs="宋体"/>
                <w:szCs w:val="21"/>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年以来完成过类似项目业绩的，每个业绩得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分。【附成交(或中标)通知书或合同协议书复印件并加盖供应商电子公章】</w:t>
            </w:r>
          </w:p>
        </w:tc>
        <w:tc>
          <w:tcPr>
            <w:tcW w:w="807" w:type="dxa"/>
            <w:vAlign w:val="center"/>
          </w:tcPr>
          <w:p w14:paraId="311C99F8">
            <w:pPr>
              <w:spacing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客观分</w:t>
            </w:r>
          </w:p>
        </w:tc>
      </w:tr>
      <w:tr w14:paraId="141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64EA8425">
            <w:pPr>
              <w:spacing w:line="360" w:lineRule="auto"/>
              <w:rPr>
                <w:rFonts w:hint="eastAsia" w:ascii="宋体" w:hAnsi="宋体" w:cs="宋体"/>
                <w:szCs w:val="21"/>
              </w:rPr>
            </w:pPr>
            <w:r>
              <w:rPr>
                <w:rFonts w:hint="eastAsia" w:ascii="宋体" w:hAnsi="宋体" w:cs="宋体"/>
                <w:szCs w:val="21"/>
              </w:rPr>
              <w:t>供应商汇总得分</w:t>
            </w:r>
          </w:p>
        </w:tc>
        <w:tc>
          <w:tcPr>
            <w:tcW w:w="7050" w:type="dxa"/>
            <w:gridSpan w:val="2"/>
            <w:vAlign w:val="center"/>
          </w:tcPr>
          <w:p w14:paraId="13DC7010">
            <w:pPr>
              <w:spacing w:line="360" w:lineRule="auto"/>
              <w:jc w:val="left"/>
              <w:rPr>
                <w:rFonts w:hint="eastAsia" w:ascii="宋体" w:hAnsi="宋体" w:eastAsia="宋体" w:cs="宋体"/>
                <w:szCs w:val="21"/>
                <w:lang w:val="en-US" w:eastAsia="zh-CN"/>
              </w:rPr>
            </w:pPr>
            <w:r>
              <w:rPr>
                <w:rFonts w:hint="eastAsia" w:ascii="宋体" w:hAnsi="宋体" w:cs="宋体"/>
                <w:szCs w:val="21"/>
              </w:rPr>
              <w:t>=报价分得分+技术分得分</w:t>
            </w:r>
            <w:r>
              <w:rPr>
                <w:rFonts w:hint="eastAsia" w:ascii="宋体" w:hAnsi="宋体" w:cs="宋体"/>
                <w:szCs w:val="21"/>
                <w:lang w:val="en-US" w:eastAsia="zh-CN"/>
              </w:rPr>
              <w:t>+</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分</w:t>
            </w:r>
            <w:r>
              <w:rPr>
                <w:rFonts w:hint="eastAsia" w:ascii="宋体" w:hAnsi="宋体" w:cs="宋体"/>
                <w:szCs w:val="21"/>
              </w:rPr>
              <w:t>得分</w:t>
            </w:r>
          </w:p>
        </w:tc>
        <w:tc>
          <w:tcPr>
            <w:tcW w:w="807" w:type="dxa"/>
            <w:vAlign w:val="center"/>
          </w:tcPr>
          <w:p w14:paraId="0AC3C984">
            <w:pPr>
              <w:spacing w:line="360" w:lineRule="auto"/>
              <w:jc w:val="left"/>
              <w:rPr>
                <w:rFonts w:hint="eastAsia" w:ascii="宋体" w:hAnsi="宋体" w:cs="宋体"/>
                <w:szCs w:val="21"/>
              </w:rPr>
            </w:pPr>
          </w:p>
        </w:tc>
      </w:tr>
    </w:tbl>
    <w:p w14:paraId="7C12BA0F">
      <w:pPr>
        <w:rPr>
          <w:rFonts w:hint="eastAsia" w:ascii="Times New Roman" w:hAnsi="Times New Roman" w:eastAsia="宋体" w:cs="Times New Roman"/>
          <w:b/>
          <w:bCs/>
          <w:color w:val="auto"/>
          <w:highlight w:val="none"/>
          <w:lang w:eastAsia="zh-CN"/>
        </w:rPr>
      </w:pPr>
    </w:p>
    <w:p w14:paraId="6EED8A4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三、成交候选供应商推荐原则</w:t>
      </w:r>
    </w:p>
    <w:p w14:paraId="3240885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(一) 磋商小组将根据总得分由高到低对供应商排列次序 (得分相同时，以最终报价由低到高顺序排列；得分相同且最终报价相同的，按技术指标优劣顺序排列) ，并推荐前三名为成交候选人。采购人应当确定磋商小组推荐排名第一的成交候选人为成交供应商。</w:t>
      </w:r>
    </w:p>
    <w:p w14:paraId="713BC8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highlight w:val="none"/>
        </w:rPr>
      </w:pPr>
      <w:r>
        <w:rPr>
          <w:rFonts w:hint="eastAsia"/>
          <w:color w:val="auto"/>
          <w:highlight w:val="none"/>
        </w:rPr>
        <w:t>(二) 成交供应商放弃成交、因不可抗力提出不能履行合同，采购人可以确定排名第二的成交候选人为成交供应商，也可以重新开展采购活动，以此类推。拒绝签订政府采购合同的成交供应商不得参加对该项目重新开展的采购活动。</w:t>
      </w:r>
    </w:p>
    <w:p w14:paraId="3B400C40">
      <w:pPr>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br w:type="page"/>
      </w:r>
    </w:p>
    <w:p w14:paraId="6A59901B">
      <w:pPr>
        <w:pStyle w:val="49"/>
        <w:rPr>
          <w:rFonts w:hint="eastAsia" w:ascii="黑体" w:hAnsi="宋体" w:eastAsia="黑体" w:cs="Times New Roman"/>
          <w:b/>
          <w:bCs/>
          <w:color w:val="auto"/>
          <w:kern w:val="0"/>
          <w:sz w:val="36"/>
          <w:szCs w:val="36"/>
          <w:highlight w:val="none"/>
        </w:rPr>
      </w:pPr>
    </w:p>
    <w:p w14:paraId="5742D37C">
      <w:pPr>
        <w:pStyle w:val="49"/>
        <w:rPr>
          <w:rFonts w:hint="eastAsia" w:ascii="黑体" w:hAnsi="宋体" w:eastAsia="黑体" w:cs="Times New Roman"/>
          <w:b/>
          <w:bCs/>
          <w:color w:val="auto"/>
          <w:kern w:val="0"/>
          <w:sz w:val="36"/>
          <w:szCs w:val="36"/>
          <w:highlight w:val="none"/>
        </w:rPr>
      </w:pPr>
    </w:p>
    <w:p w14:paraId="32197958">
      <w:pPr>
        <w:pStyle w:val="13"/>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黑体" w:hAnsi="宋体" w:eastAsia="黑体" w:cs="Times New Roman"/>
          <w:b/>
          <w:bCs/>
          <w:color w:val="auto"/>
          <w:kern w:val="0"/>
          <w:sz w:val="36"/>
          <w:szCs w:val="36"/>
          <w:highlight w:val="none"/>
        </w:rPr>
      </w:pPr>
      <w:bookmarkStart w:id="67" w:name="_Toc15543"/>
      <w:r>
        <w:rPr>
          <w:rFonts w:hint="eastAsia" w:ascii="黑体" w:hAnsi="宋体" w:eastAsia="黑体" w:cs="Times New Roman"/>
          <w:b/>
          <w:bCs/>
          <w:color w:val="auto"/>
          <w:kern w:val="0"/>
          <w:sz w:val="36"/>
          <w:szCs w:val="36"/>
          <w:highlight w:val="none"/>
        </w:rPr>
        <w:t>第</w:t>
      </w:r>
      <w:r>
        <w:rPr>
          <w:rFonts w:hint="eastAsia" w:ascii="黑体" w:hAnsi="宋体" w:eastAsia="黑体" w:cs="Times New Roman"/>
          <w:b/>
          <w:bCs/>
          <w:color w:val="auto"/>
          <w:kern w:val="0"/>
          <w:sz w:val="36"/>
          <w:szCs w:val="36"/>
          <w:highlight w:val="none"/>
          <w:lang w:val="en-US" w:eastAsia="zh-CN"/>
        </w:rPr>
        <w:t>五</w:t>
      </w:r>
      <w:r>
        <w:rPr>
          <w:rFonts w:hint="eastAsia" w:ascii="黑体" w:hAnsi="宋体" w:eastAsia="黑体" w:cs="Times New Roman"/>
          <w:b/>
          <w:bCs/>
          <w:color w:val="auto"/>
          <w:kern w:val="0"/>
          <w:sz w:val="36"/>
          <w:szCs w:val="36"/>
          <w:highlight w:val="none"/>
        </w:rPr>
        <w:t>章  响应文件（格式）</w:t>
      </w:r>
      <w:bookmarkEnd w:id="67"/>
    </w:p>
    <w:p w14:paraId="787623F5">
      <w:pPr>
        <w:autoSpaceDE w:val="0"/>
        <w:autoSpaceDN w:val="0"/>
        <w:adjustRightInd w:val="0"/>
        <w:spacing w:line="360" w:lineRule="auto"/>
        <w:rPr>
          <w:rFonts w:ascii="宋体" w:cs="宋体"/>
          <w:color w:val="auto"/>
          <w:szCs w:val="21"/>
          <w:highlight w:val="none"/>
          <w:lang w:val="zh-CN"/>
        </w:rPr>
      </w:pPr>
    </w:p>
    <w:p w14:paraId="6CE60EAD">
      <w:pPr>
        <w:rPr>
          <w:rFonts w:hint="eastAsia"/>
          <w:b/>
          <w:color w:val="auto"/>
          <w:sz w:val="32"/>
          <w:szCs w:val="32"/>
          <w:highlight w:val="none"/>
        </w:rPr>
      </w:pPr>
      <w:bookmarkStart w:id="68" w:name="_Toc44229899"/>
      <w:bookmarkStart w:id="69" w:name="_Toc31723070"/>
      <w:bookmarkStart w:id="70" w:name="_Toc71366186"/>
      <w:bookmarkStart w:id="71" w:name="_Toc35611438"/>
      <w:bookmarkStart w:id="72" w:name="_Toc35611516"/>
      <w:bookmarkStart w:id="73" w:name="_Toc31728084"/>
      <w:r>
        <w:rPr>
          <w:rFonts w:hint="eastAsia"/>
          <w:b/>
          <w:color w:val="auto"/>
          <w:sz w:val="32"/>
          <w:szCs w:val="32"/>
          <w:highlight w:val="none"/>
        </w:rPr>
        <w:t>一、资格证明文件格式</w:t>
      </w:r>
      <w:bookmarkEnd w:id="68"/>
      <w:bookmarkEnd w:id="69"/>
      <w:bookmarkEnd w:id="70"/>
      <w:bookmarkEnd w:id="71"/>
      <w:bookmarkEnd w:id="72"/>
      <w:bookmarkEnd w:id="73"/>
    </w:p>
    <w:p w14:paraId="4E0225E1">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0E4ABA6">
      <w:pPr>
        <w:snapToGrid w:val="0"/>
        <w:spacing w:before="156" w:beforeLines="50" w:after="50"/>
        <w:jc w:val="center"/>
        <w:rPr>
          <w:rFonts w:ascii="宋体" w:hAnsi="宋体"/>
          <w:color w:val="auto"/>
          <w:sz w:val="44"/>
          <w:szCs w:val="44"/>
          <w:highlight w:val="none"/>
        </w:rPr>
      </w:pPr>
    </w:p>
    <w:p w14:paraId="51800551">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15420B3">
      <w:pPr>
        <w:snapToGrid w:val="0"/>
        <w:spacing w:before="156" w:beforeLines="50" w:after="50"/>
        <w:rPr>
          <w:rFonts w:hint="eastAsia" w:ascii="宋体" w:hAnsi="宋体"/>
          <w:color w:val="auto"/>
          <w:sz w:val="24"/>
          <w:szCs w:val="20"/>
          <w:highlight w:val="none"/>
        </w:rPr>
      </w:pPr>
    </w:p>
    <w:p w14:paraId="566B2021">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0316F33">
      <w:pPr>
        <w:snapToGrid w:val="0"/>
        <w:spacing w:before="156" w:beforeLines="50" w:after="50"/>
        <w:rPr>
          <w:rFonts w:hint="eastAsia" w:ascii="宋体" w:hAnsi="宋体"/>
          <w:bCs/>
          <w:color w:val="auto"/>
          <w:sz w:val="24"/>
          <w:szCs w:val="20"/>
          <w:highlight w:val="none"/>
        </w:rPr>
      </w:pPr>
    </w:p>
    <w:p w14:paraId="731ADF4F">
      <w:pPr>
        <w:snapToGrid w:val="0"/>
        <w:spacing w:before="156" w:beforeLines="50" w:after="50"/>
        <w:rPr>
          <w:rFonts w:hint="eastAsia" w:ascii="宋体" w:hAnsi="宋体"/>
          <w:bCs/>
          <w:color w:val="auto"/>
          <w:sz w:val="24"/>
          <w:szCs w:val="20"/>
          <w:highlight w:val="none"/>
        </w:rPr>
      </w:pPr>
    </w:p>
    <w:p w14:paraId="79023964">
      <w:pPr>
        <w:snapToGrid w:val="0"/>
        <w:spacing w:before="156" w:beforeLines="50" w:after="50"/>
        <w:rPr>
          <w:rFonts w:hint="eastAsia" w:ascii="宋体" w:hAnsi="宋体"/>
          <w:bCs/>
          <w:color w:val="auto"/>
          <w:sz w:val="24"/>
          <w:szCs w:val="20"/>
          <w:highlight w:val="none"/>
        </w:rPr>
      </w:pPr>
    </w:p>
    <w:p w14:paraId="0D68536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DA9E328">
      <w:pPr>
        <w:snapToGrid w:val="0"/>
        <w:spacing w:before="156" w:beforeLines="50" w:after="50"/>
        <w:ind w:firstLine="720" w:firstLineChars="225"/>
        <w:rPr>
          <w:rFonts w:hint="eastAsia" w:ascii="宋体" w:hAnsi="宋体" w:cs="仿宋_GB2312"/>
          <w:bCs/>
          <w:color w:val="auto"/>
          <w:sz w:val="32"/>
          <w:szCs w:val="32"/>
          <w:highlight w:val="none"/>
        </w:rPr>
      </w:pPr>
    </w:p>
    <w:p w14:paraId="7E359F64">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3F8B1CE">
      <w:pPr>
        <w:snapToGrid w:val="0"/>
        <w:spacing w:before="156" w:beforeLines="50" w:after="50"/>
        <w:ind w:firstLine="720" w:firstLineChars="225"/>
        <w:rPr>
          <w:rFonts w:hint="eastAsia" w:ascii="宋体" w:hAnsi="宋体" w:cs="仿宋_GB2312"/>
          <w:bCs/>
          <w:color w:val="auto"/>
          <w:sz w:val="32"/>
          <w:szCs w:val="32"/>
          <w:highlight w:val="none"/>
        </w:rPr>
      </w:pPr>
    </w:p>
    <w:p w14:paraId="4C15E578">
      <w:pPr>
        <w:pStyle w:val="8"/>
        <w:snapToGrid w:val="0"/>
        <w:spacing w:before="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C04E040">
      <w:pPr>
        <w:pStyle w:val="8"/>
        <w:snapToGrid w:val="0"/>
        <w:spacing w:before="50" w:after="50"/>
        <w:rPr>
          <w:rFonts w:hint="eastAsia" w:ascii="宋体" w:hAnsi="宋体" w:cs="仿宋_GB2312"/>
          <w:bCs/>
          <w:color w:val="auto"/>
          <w:sz w:val="32"/>
          <w:szCs w:val="32"/>
          <w:highlight w:val="none"/>
        </w:rPr>
      </w:pPr>
    </w:p>
    <w:p w14:paraId="2DB0E214">
      <w:pPr>
        <w:pStyle w:val="8"/>
        <w:snapToGrid w:val="0"/>
        <w:spacing w:before="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lang w:eastAsia="zh-CN"/>
        </w:rPr>
        <w:t>供应商地址：</w:t>
      </w:r>
    </w:p>
    <w:p w14:paraId="091EF2B1">
      <w:pPr>
        <w:snapToGrid w:val="0"/>
        <w:spacing w:before="156" w:beforeLines="50" w:after="50"/>
        <w:ind w:firstLine="640" w:firstLineChars="200"/>
        <w:rPr>
          <w:rFonts w:hint="eastAsia" w:ascii="宋体" w:hAnsi="宋体" w:cs="仿宋_GB2312"/>
          <w:bCs/>
          <w:color w:val="auto"/>
          <w:sz w:val="32"/>
          <w:szCs w:val="32"/>
          <w:highlight w:val="none"/>
        </w:rPr>
      </w:pPr>
    </w:p>
    <w:p w14:paraId="4F083B5A">
      <w:pPr>
        <w:pStyle w:val="8"/>
        <w:snapToGrid w:val="0"/>
        <w:spacing w:before="50" w:after="50"/>
        <w:ind w:firstLine="720" w:firstLineChars="225"/>
        <w:rPr>
          <w:rFonts w:hint="eastAsia" w:ascii="宋体" w:hAnsi="宋体" w:cs="仿宋_GB2312"/>
          <w:bCs/>
          <w:color w:val="auto"/>
          <w:sz w:val="32"/>
          <w:szCs w:val="32"/>
          <w:highlight w:val="none"/>
        </w:rPr>
      </w:pPr>
    </w:p>
    <w:p w14:paraId="435E7EDE">
      <w:pPr>
        <w:pStyle w:val="8"/>
        <w:snapToGrid w:val="0"/>
        <w:spacing w:before="50" w:after="50"/>
        <w:ind w:firstLine="1280" w:firstLineChars="400"/>
        <w:rPr>
          <w:rFonts w:hint="eastAsia" w:ascii="宋体" w:hAnsi="宋体" w:cs="仿宋_GB2312"/>
          <w:bCs/>
          <w:color w:val="auto"/>
          <w:sz w:val="32"/>
          <w:szCs w:val="32"/>
          <w:highlight w:val="none"/>
        </w:rPr>
      </w:pPr>
    </w:p>
    <w:p w14:paraId="4F1F82FB">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5B7E9F3">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D456CE7">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6E7208B">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E26CD01">
      <w:pPr>
        <w:spacing w:line="300" w:lineRule="auto"/>
        <w:rPr>
          <w:rFonts w:hint="eastAsia" w:ascii="宋体" w:hAnsi="宋体"/>
          <w:color w:val="auto"/>
          <w:szCs w:val="21"/>
          <w:highlight w:val="none"/>
        </w:rPr>
      </w:pPr>
    </w:p>
    <w:p w14:paraId="38EA61C3">
      <w:pPr>
        <w:spacing w:line="300" w:lineRule="auto"/>
        <w:rPr>
          <w:rFonts w:hint="eastAsia" w:ascii="宋体" w:hAnsi="宋体"/>
          <w:color w:val="auto"/>
          <w:szCs w:val="21"/>
          <w:highlight w:val="none"/>
        </w:rPr>
      </w:pPr>
    </w:p>
    <w:p w14:paraId="7BD38063">
      <w:pPr>
        <w:spacing w:line="300" w:lineRule="auto"/>
        <w:rPr>
          <w:rFonts w:hint="eastAsia" w:ascii="宋体" w:hAnsi="宋体"/>
          <w:color w:val="auto"/>
          <w:szCs w:val="21"/>
          <w:highlight w:val="none"/>
        </w:rPr>
      </w:pPr>
    </w:p>
    <w:p w14:paraId="3B31F33A">
      <w:pPr>
        <w:spacing w:line="300" w:lineRule="auto"/>
        <w:rPr>
          <w:rFonts w:hint="eastAsia" w:ascii="宋体" w:hAnsi="宋体"/>
          <w:color w:val="auto"/>
          <w:szCs w:val="21"/>
          <w:highlight w:val="none"/>
        </w:rPr>
      </w:pPr>
    </w:p>
    <w:p w14:paraId="65608C1F">
      <w:pPr>
        <w:spacing w:line="300" w:lineRule="auto"/>
        <w:rPr>
          <w:rFonts w:hint="eastAsia" w:ascii="宋体" w:hAnsi="宋体"/>
          <w:color w:val="auto"/>
          <w:szCs w:val="21"/>
          <w:highlight w:val="none"/>
        </w:rPr>
      </w:pPr>
    </w:p>
    <w:p w14:paraId="193ED454">
      <w:pPr>
        <w:spacing w:line="300" w:lineRule="auto"/>
        <w:rPr>
          <w:rFonts w:hint="eastAsia" w:ascii="宋体" w:hAnsi="宋体"/>
          <w:color w:val="auto"/>
          <w:szCs w:val="21"/>
          <w:highlight w:val="none"/>
        </w:rPr>
      </w:pPr>
    </w:p>
    <w:p w14:paraId="4178891B">
      <w:pPr>
        <w:spacing w:line="300" w:lineRule="auto"/>
        <w:rPr>
          <w:rFonts w:hint="eastAsia" w:ascii="宋体" w:hAnsi="宋体"/>
          <w:color w:val="auto"/>
          <w:szCs w:val="21"/>
          <w:highlight w:val="none"/>
        </w:rPr>
      </w:pPr>
    </w:p>
    <w:p w14:paraId="297FE74E">
      <w:pPr>
        <w:spacing w:line="300" w:lineRule="auto"/>
        <w:rPr>
          <w:rFonts w:hint="eastAsia" w:ascii="宋体" w:hAnsi="宋体"/>
          <w:color w:val="auto"/>
          <w:szCs w:val="21"/>
          <w:highlight w:val="none"/>
        </w:rPr>
      </w:pPr>
    </w:p>
    <w:p w14:paraId="0017EB77">
      <w:pPr>
        <w:spacing w:line="300" w:lineRule="auto"/>
        <w:rPr>
          <w:rFonts w:hint="eastAsia" w:ascii="宋体" w:hAnsi="宋体"/>
          <w:color w:val="auto"/>
          <w:szCs w:val="21"/>
          <w:highlight w:val="none"/>
        </w:rPr>
      </w:pPr>
    </w:p>
    <w:p w14:paraId="15442153">
      <w:pPr>
        <w:spacing w:line="300" w:lineRule="auto"/>
        <w:rPr>
          <w:rFonts w:hint="eastAsia" w:ascii="宋体" w:hAnsi="宋体"/>
          <w:color w:val="auto"/>
          <w:szCs w:val="21"/>
          <w:highlight w:val="none"/>
        </w:rPr>
      </w:pPr>
    </w:p>
    <w:p w14:paraId="3859AD7E">
      <w:pPr>
        <w:spacing w:line="300" w:lineRule="auto"/>
        <w:rPr>
          <w:rFonts w:hint="eastAsia" w:ascii="宋体" w:hAnsi="宋体"/>
          <w:color w:val="auto"/>
          <w:szCs w:val="21"/>
          <w:highlight w:val="none"/>
        </w:rPr>
      </w:pPr>
    </w:p>
    <w:p w14:paraId="53E761E7">
      <w:pPr>
        <w:spacing w:line="300" w:lineRule="auto"/>
        <w:rPr>
          <w:rFonts w:hint="eastAsia" w:ascii="宋体" w:hAnsi="宋体"/>
          <w:color w:val="auto"/>
          <w:szCs w:val="21"/>
          <w:highlight w:val="none"/>
        </w:rPr>
      </w:pPr>
    </w:p>
    <w:p w14:paraId="07920D36">
      <w:pPr>
        <w:spacing w:line="300" w:lineRule="auto"/>
        <w:rPr>
          <w:rFonts w:hint="eastAsia" w:ascii="宋体" w:hAnsi="宋体"/>
          <w:color w:val="auto"/>
          <w:szCs w:val="21"/>
          <w:highlight w:val="none"/>
        </w:rPr>
      </w:pPr>
    </w:p>
    <w:p w14:paraId="0D029424">
      <w:pPr>
        <w:spacing w:line="300" w:lineRule="auto"/>
        <w:rPr>
          <w:rFonts w:hint="eastAsia" w:ascii="宋体" w:hAnsi="宋体"/>
          <w:color w:val="auto"/>
          <w:szCs w:val="21"/>
          <w:highlight w:val="none"/>
        </w:rPr>
      </w:pPr>
    </w:p>
    <w:p w14:paraId="19356AA0">
      <w:pPr>
        <w:spacing w:line="300" w:lineRule="auto"/>
        <w:rPr>
          <w:rFonts w:hint="eastAsia" w:ascii="宋体" w:hAnsi="宋体"/>
          <w:color w:val="auto"/>
          <w:szCs w:val="21"/>
          <w:highlight w:val="none"/>
        </w:rPr>
      </w:pPr>
    </w:p>
    <w:p w14:paraId="7F05ADEB">
      <w:pPr>
        <w:spacing w:line="360" w:lineRule="auto"/>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w:t>
      </w:r>
      <w:r>
        <w:rPr>
          <w:rFonts w:hint="eastAsia" w:ascii="宋体" w:hAnsi="宋体"/>
          <w:b/>
          <w:color w:val="auto"/>
          <w:sz w:val="32"/>
          <w:szCs w:val="32"/>
          <w:highlight w:val="none"/>
          <w:lang w:eastAsia="zh-CN"/>
        </w:rPr>
        <w:t>（格式）</w:t>
      </w:r>
    </w:p>
    <w:p w14:paraId="759DCE14">
      <w:pPr>
        <w:keepNext w:val="0"/>
        <w:keepLines w:val="0"/>
        <w:pageBreakBefore w:val="0"/>
        <w:widowControl w:val="0"/>
        <w:kinsoku/>
        <w:wordWrap/>
        <w:overflowPunct/>
        <w:topLinePunct w:val="0"/>
        <w:autoSpaceDE/>
        <w:autoSpaceDN/>
        <w:bidi w:val="0"/>
        <w:adjustRightInd/>
        <w:snapToGrid/>
        <w:spacing w:line="38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533A613F">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34B4436">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我方愿意参加贵方组织的</w:t>
      </w:r>
      <w:r>
        <w:rPr>
          <w:rFonts w:hint="eastAsia" w:ascii="宋体" w:hAnsi="宋体" w:cs="宋体"/>
          <w:color w:val="auto"/>
          <w:sz w:val="21"/>
          <w:szCs w:val="21"/>
          <w:highlight w:val="none"/>
          <w:u w:val="single"/>
        </w:rPr>
        <w:t>（项目名称）（项目编号）</w:t>
      </w:r>
      <w:r>
        <w:rPr>
          <w:rFonts w:hint="eastAsia" w:ascii="宋体" w:hAnsi="宋体" w:cs="宋体"/>
          <w:color w:val="auto"/>
          <w:sz w:val="21"/>
          <w:szCs w:val="21"/>
          <w:highlight w:val="none"/>
        </w:rPr>
        <w:t>项目的竞标，为便于贵方公正、择优地确定成交供应商及其服务，我方就本次竞标有关事项郑重声明如下：</w:t>
      </w:r>
    </w:p>
    <w:p w14:paraId="31655AC4">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1.我方向贵方提交的所有响应文件、资料都是准确的和真实的。</w:t>
      </w:r>
    </w:p>
    <w:p w14:paraId="67BC1D6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olor w:val="auto"/>
          <w:sz w:val="21"/>
          <w:szCs w:val="21"/>
          <w:highlight w:val="none"/>
        </w:rPr>
        <w:t>我方不是为本次采购项目提供整体设计、规范编制或者项目管理、监理、检测等服务的供应商</w:t>
      </w:r>
      <w:r>
        <w:rPr>
          <w:rFonts w:hint="eastAsia" w:ascii="宋体" w:hAnsi="宋体" w:cs="宋体"/>
          <w:color w:val="auto"/>
          <w:sz w:val="21"/>
          <w:szCs w:val="21"/>
          <w:highlight w:val="none"/>
        </w:rPr>
        <w:t>。</w:t>
      </w:r>
    </w:p>
    <w:p w14:paraId="4CBC6A99">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3.在此，我方宣布同意如下：</w:t>
      </w:r>
    </w:p>
    <w:p w14:paraId="6E0820C6">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（1）将按磋商文件的约定履行合同责任和义务；</w:t>
      </w:r>
    </w:p>
    <w:p w14:paraId="78453360">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（2）已详细审查全部磋商文件，包括澄清或者更正公告（如有）；</w:t>
      </w:r>
    </w:p>
    <w:p w14:paraId="23FE4065">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（3）同意提供按照贵方可能要求的与磋商有关的一切数据或者资料；</w:t>
      </w:r>
    </w:p>
    <w:p w14:paraId="4885AD43">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（4）响应磋商文件规定的竞标有效期。</w:t>
      </w:r>
    </w:p>
    <w:p w14:paraId="70D14984">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4.我方承诺符合《中华人民共和国政府采购法》第二十二条规定：</w:t>
      </w:r>
    </w:p>
    <w:p w14:paraId="56783CB1">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p w14:paraId="298BE12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（2）具有良好的商业信誉和健全的财务会计制度；</w:t>
      </w:r>
    </w:p>
    <w:p w14:paraId="4790BB9F">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（3）具有履行合同所必需的设备和专业技术能力；</w:t>
      </w:r>
    </w:p>
    <w:p w14:paraId="5AAA5BAF">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（4）有依法缴纳税收和社会保障资金的良好记录；</w:t>
      </w:r>
    </w:p>
    <w:p w14:paraId="5AB0369A">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2CEE79AE">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p w14:paraId="56E98921">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A0B602A">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708238A">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内容中</w:t>
      </w:r>
      <w:r>
        <w:rPr>
          <w:rFonts w:hint="eastAsia" w:ascii="宋体" w:hAnsi="宋体" w:cs="宋体"/>
          <w:color w:val="auto"/>
          <w:sz w:val="21"/>
          <w:szCs w:val="21"/>
          <w:highlight w:val="none"/>
        </w:rPr>
        <w:t>未</w:t>
      </w:r>
      <w:r>
        <w:rPr>
          <w:rFonts w:hint="eastAsia" w:ascii="宋体" w:hAnsi="宋体" w:cs="宋体"/>
          <w:color w:val="auto"/>
          <w:kern w:val="0"/>
          <w:sz w:val="21"/>
          <w:szCs w:val="21"/>
          <w:highlight w:val="none"/>
        </w:rPr>
        <w:t>涉及商业秘密；</w:t>
      </w:r>
    </w:p>
    <w:p w14:paraId="12BD66A0">
      <w:pPr>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□我方本次响应文件</w:t>
      </w:r>
      <w:r>
        <w:rPr>
          <w:rFonts w:hint="eastAsia" w:ascii="宋体" w:hAnsi="宋体" w:cs="宋体"/>
          <w:color w:val="auto"/>
          <w:kern w:val="0"/>
          <w:sz w:val="21"/>
          <w:szCs w:val="21"/>
          <w:highlight w:val="none"/>
        </w:rPr>
        <w:t>涉及商业秘密的内容有：</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7BE9EB50">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s="宋体"/>
          <w:color w:val="auto"/>
          <w:sz w:val="21"/>
          <w:szCs w:val="21"/>
          <w:highlight w:val="none"/>
          <w:u w:val="single"/>
        </w:rPr>
      </w:pPr>
      <w:r>
        <w:rPr>
          <w:rFonts w:hint="eastAsia" w:hAnsi="宋体" w:cs="宋体"/>
          <w:color w:val="auto"/>
          <w:sz w:val="21"/>
          <w:szCs w:val="21"/>
          <w:highlight w:val="none"/>
        </w:rPr>
        <w:t>7.与本磋商有关的一切正式往来信函请寄：</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邮政编号：</w:t>
      </w:r>
      <w:r>
        <w:rPr>
          <w:rFonts w:hint="eastAsia" w:hAnsi="宋体" w:cs="宋体"/>
          <w:color w:val="auto"/>
          <w:sz w:val="21"/>
          <w:szCs w:val="21"/>
          <w:highlight w:val="none"/>
          <w:u w:val="single"/>
        </w:rPr>
        <w:t xml:space="preserve">        </w:t>
      </w:r>
    </w:p>
    <w:p w14:paraId="245E2873">
      <w:pPr>
        <w:pStyle w:val="13"/>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电话/传真：</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电子邮箱：</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53F6AAA9">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141" w:leftChars="67" w:firstLine="315" w:firstLineChars="1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帐号：</w:t>
      </w:r>
      <w:r>
        <w:rPr>
          <w:rFonts w:hint="eastAsia" w:ascii="宋体" w:hAnsi="宋体" w:cs="宋体"/>
          <w:color w:val="auto"/>
          <w:sz w:val="21"/>
          <w:szCs w:val="21"/>
          <w:highlight w:val="none"/>
          <w:u w:val="single"/>
        </w:rPr>
        <w:t xml:space="preserve">                               </w:t>
      </w:r>
    </w:p>
    <w:p w14:paraId="7762C6EE">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8.以上事项如有虚假或者隐瞒，我方愿意承担一切后果，并不再寻求任何旨在减轻或者免除法律责任的辩解。</w:t>
      </w:r>
    </w:p>
    <w:p w14:paraId="24BEAE66">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141" w:leftChars="67" w:firstLine="315" w:firstLineChars="1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248756B9">
      <w:pPr>
        <w:keepNext w:val="0"/>
        <w:keepLines w:val="0"/>
        <w:pageBreakBefore w:val="0"/>
        <w:widowControl w:val="0"/>
        <w:kinsoku/>
        <w:wordWrap/>
        <w:overflowPunct/>
        <w:topLinePunct w:val="0"/>
        <w:autoSpaceDE/>
        <w:autoSpaceDN/>
        <w:bidi w:val="0"/>
        <w:adjustRightInd/>
        <w:snapToGrid/>
        <w:spacing w:line="380" w:lineRule="exact"/>
        <w:ind w:firstLine="422" w:firstLineChars="200"/>
        <w:contextualSpacing/>
        <w:jc w:val="left"/>
        <w:textAlignment w:val="auto"/>
        <w:rPr>
          <w:rFonts w:hint="eastAsia" w:ascii="宋体" w:hAnsi="宋体"/>
          <w:b/>
          <w:color w:val="auto"/>
          <w:sz w:val="21"/>
          <w:szCs w:val="21"/>
          <w:highlight w:val="none"/>
        </w:rPr>
      </w:pPr>
      <w:r>
        <w:rPr>
          <w:rFonts w:hint="eastAsia" w:ascii="宋体" w:hAnsi="宋体" w:cs="宋体"/>
          <w:b/>
          <w:color w:val="auto"/>
          <w:sz w:val="21"/>
          <w:szCs w:val="21"/>
          <w:highlight w:val="none"/>
        </w:rPr>
        <w:t>注：</w:t>
      </w:r>
      <w:r>
        <w:rPr>
          <w:rFonts w:hint="eastAsia" w:ascii="宋体" w:hAnsi="宋体"/>
          <w:b/>
          <w:color w:val="auto"/>
          <w:sz w:val="21"/>
          <w:szCs w:val="21"/>
          <w:highlight w:val="none"/>
        </w:rPr>
        <w:t>如为联合体竞标，盖章处须加盖联合体牵头人电子签章并由联合体牵头人法定代表人分别签字或者盖章或者电子签名，否则响应文件按无效处理。</w:t>
      </w:r>
    </w:p>
    <w:p w14:paraId="5D1D0B81">
      <w:pPr>
        <w:keepNext w:val="0"/>
        <w:keepLines w:val="0"/>
        <w:pageBreakBefore w:val="0"/>
        <w:widowControl w:val="0"/>
        <w:kinsoku/>
        <w:wordWrap/>
        <w:overflowPunct/>
        <w:topLinePunct w:val="0"/>
        <w:autoSpaceDE/>
        <w:autoSpaceDN/>
        <w:bidi w:val="0"/>
        <w:adjustRightInd/>
        <w:snapToGrid/>
        <w:spacing w:line="380" w:lineRule="exact"/>
        <w:contextualSpacing/>
        <w:jc w:val="left"/>
        <w:textAlignment w:val="auto"/>
        <w:rPr>
          <w:rFonts w:hint="eastAsia" w:ascii="宋体" w:hAnsi="宋体" w:cs="宋体"/>
          <w:color w:val="auto"/>
          <w:sz w:val="21"/>
          <w:szCs w:val="21"/>
          <w:highlight w:val="none"/>
        </w:rPr>
      </w:pPr>
    </w:p>
    <w:p w14:paraId="16A9D6B2">
      <w:pPr>
        <w:keepNext w:val="0"/>
        <w:keepLines w:val="0"/>
        <w:pageBreakBefore w:val="0"/>
        <w:widowControl w:val="0"/>
        <w:kinsoku/>
        <w:wordWrap/>
        <w:overflowPunct/>
        <w:topLinePunct w:val="0"/>
        <w:autoSpaceDE/>
        <w:autoSpaceDN/>
        <w:bidi w:val="0"/>
        <w:adjustRightInd/>
        <w:snapToGrid/>
        <w:spacing w:line="380" w:lineRule="exact"/>
        <w:ind w:firstLine="1575" w:firstLineChars="750"/>
        <w:contextualSpacing/>
        <w:textAlignment w:val="auto"/>
        <w:rPr>
          <w:rFonts w:hint="eastAsia"/>
          <w:color w:val="auto"/>
          <w:sz w:val="21"/>
          <w:szCs w:val="21"/>
          <w:highlight w:val="none"/>
        </w:rPr>
      </w:pPr>
      <w:r>
        <w:rPr>
          <w:rFonts w:hint="eastAsia" w:ascii="宋体" w:hAnsi="宋体" w:eastAsia="宋体" w:cs="Times New Roman"/>
          <w:color w:val="auto"/>
          <w:sz w:val="21"/>
          <w:szCs w:val="21"/>
          <w:highlight w:val="none"/>
        </w:rPr>
        <w:t>法定代表人（签字或者盖章</w:t>
      </w:r>
      <w:r>
        <w:rPr>
          <w:rFonts w:hint="eastAsia" w:ascii="宋体" w:hAnsi="宋体"/>
          <w:color w:val="auto"/>
          <w:sz w:val="21"/>
          <w:szCs w:val="21"/>
          <w:highlight w:val="none"/>
        </w:rPr>
        <w:t>或者电子签名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p>
    <w:p w14:paraId="44E9B214">
      <w:pPr>
        <w:keepNext w:val="0"/>
        <w:keepLines w:val="0"/>
        <w:pageBreakBefore w:val="0"/>
        <w:widowControl w:val="0"/>
        <w:kinsoku/>
        <w:wordWrap/>
        <w:overflowPunct/>
        <w:topLinePunct w:val="0"/>
        <w:autoSpaceDE/>
        <w:autoSpaceDN/>
        <w:bidi w:val="0"/>
        <w:adjustRightInd/>
        <w:snapToGrid/>
        <w:spacing w:line="380" w:lineRule="exact"/>
        <w:ind w:firstLine="3780" w:firstLineChars="1800"/>
        <w:contextualSpacing/>
        <w:textAlignment w:val="auto"/>
        <w:rPr>
          <w:rFonts w:hint="eastAsia" w:ascii="宋体" w:hAnsi="宋体" w:cs="宋体"/>
          <w:color w:val="auto"/>
          <w:sz w:val="21"/>
          <w:szCs w:val="21"/>
          <w:highlight w:val="none"/>
          <w:u w:val="single"/>
        </w:rPr>
      </w:pPr>
      <w:r>
        <w:rPr>
          <w:rFonts w:hint="eastAsia" w:ascii="宋体" w:hAnsi="宋体" w:eastAsia="宋体" w:cs="Times New Roman"/>
          <w:color w:val="auto"/>
          <w:sz w:val="21"/>
          <w:szCs w:val="21"/>
          <w:highlight w:val="none"/>
        </w:rPr>
        <w:t>供应商（电子签章）</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76238F22">
      <w:pPr>
        <w:pStyle w:val="12"/>
        <w:keepNext w:val="0"/>
        <w:keepLines w:val="0"/>
        <w:pageBreakBefore w:val="0"/>
        <w:widowControl w:val="0"/>
        <w:tabs>
          <w:tab w:val="left" w:pos="939"/>
        </w:tabs>
        <w:kinsoku/>
        <w:wordWrap/>
        <w:overflowPunct/>
        <w:topLinePunct w:val="0"/>
        <w:autoSpaceDE/>
        <w:autoSpaceDN/>
        <w:bidi w:val="0"/>
        <w:adjustRightInd/>
        <w:snapToGrid/>
        <w:spacing w:line="380" w:lineRule="exact"/>
        <w:ind w:left="0" w:leftChars="0" w:firstLine="420" w:firstLineChars="200"/>
        <w:textAlignment w:val="auto"/>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color w:val="auto"/>
          <w:sz w:val="21"/>
          <w:szCs w:val="21"/>
          <w:highlight w:val="none"/>
        </w:rPr>
        <w:t xml:space="preserve"> 年    月    日</w:t>
      </w:r>
    </w:p>
    <w:p w14:paraId="4A345441">
      <w:pPr>
        <w:spacing w:line="320" w:lineRule="exact"/>
        <w:jc w:val="left"/>
        <w:rPr>
          <w:rFonts w:hint="eastAsia" w:ascii="宋体" w:hAnsi="宋体"/>
          <w:color w:val="auto"/>
          <w:szCs w:val="21"/>
          <w:highlight w:val="none"/>
        </w:rPr>
      </w:pPr>
    </w:p>
    <w:p w14:paraId="226EF533">
      <w:pPr>
        <w:spacing w:line="320" w:lineRule="exact"/>
        <w:jc w:val="center"/>
        <w:rPr>
          <w:rFonts w:hint="eastAsia" w:ascii="宋体" w:hAnsi="宋体"/>
          <w:b/>
          <w:color w:val="auto"/>
          <w:sz w:val="32"/>
          <w:szCs w:val="32"/>
          <w:highlight w:val="none"/>
        </w:rPr>
      </w:pPr>
    </w:p>
    <w:p w14:paraId="64388BBC">
      <w:pPr>
        <w:spacing w:line="320" w:lineRule="exact"/>
        <w:jc w:val="center"/>
        <w:rPr>
          <w:rFonts w:hint="eastAsia" w:ascii="宋体" w:hAnsi="宋体"/>
          <w:b/>
          <w:color w:val="auto"/>
          <w:sz w:val="32"/>
          <w:szCs w:val="32"/>
          <w:highlight w:val="none"/>
        </w:rPr>
      </w:pPr>
    </w:p>
    <w:p w14:paraId="7E9B964C">
      <w:pPr>
        <w:spacing w:line="320" w:lineRule="exact"/>
        <w:jc w:val="center"/>
        <w:rPr>
          <w:rFonts w:hint="eastAsia" w:ascii="宋体" w:hAnsi="宋体"/>
          <w:b/>
          <w:color w:val="auto"/>
          <w:sz w:val="32"/>
          <w:szCs w:val="32"/>
          <w:highlight w:val="none"/>
        </w:rPr>
      </w:pPr>
    </w:p>
    <w:p w14:paraId="282397F0">
      <w:pPr>
        <w:spacing w:line="320" w:lineRule="exact"/>
        <w:jc w:val="center"/>
        <w:rPr>
          <w:rFonts w:hint="eastAsia" w:ascii="宋体" w:hAnsi="宋体"/>
          <w:b/>
          <w:color w:val="auto"/>
          <w:sz w:val="32"/>
          <w:szCs w:val="32"/>
          <w:highlight w:val="none"/>
        </w:rPr>
      </w:pPr>
    </w:p>
    <w:p w14:paraId="6956E1BE">
      <w:pPr>
        <w:spacing w:line="320" w:lineRule="exact"/>
        <w:jc w:val="center"/>
        <w:rPr>
          <w:rFonts w:hint="eastAsia" w:ascii="宋体" w:hAnsi="宋体"/>
          <w:b/>
          <w:color w:val="auto"/>
          <w:sz w:val="32"/>
          <w:szCs w:val="32"/>
          <w:highlight w:val="none"/>
        </w:rPr>
      </w:pPr>
    </w:p>
    <w:p w14:paraId="0252D0BD">
      <w:pPr>
        <w:spacing w:line="320" w:lineRule="exact"/>
        <w:jc w:val="center"/>
        <w:rPr>
          <w:rFonts w:hint="eastAsia" w:ascii="宋体" w:hAnsi="宋体"/>
          <w:b/>
          <w:color w:val="auto"/>
          <w:sz w:val="32"/>
          <w:szCs w:val="32"/>
          <w:highlight w:val="none"/>
        </w:rPr>
      </w:pPr>
    </w:p>
    <w:p w14:paraId="6C638F2F">
      <w:pPr>
        <w:spacing w:line="320" w:lineRule="exact"/>
        <w:jc w:val="center"/>
        <w:rPr>
          <w:rFonts w:hint="eastAsia" w:ascii="宋体" w:hAnsi="宋体"/>
          <w:b/>
          <w:color w:val="auto"/>
          <w:sz w:val="32"/>
          <w:szCs w:val="32"/>
          <w:highlight w:val="none"/>
        </w:rPr>
      </w:pPr>
    </w:p>
    <w:p w14:paraId="0C514B43">
      <w:pPr>
        <w:spacing w:line="320" w:lineRule="exact"/>
        <w:jc w:val="center"/>
        <w:rPr>
          <w:rFonts w:hint="eastAsia" w:ascii="宋体" w:hAnsi="宋体"/>
          <w:b/>
          <w:color w:val="auto"/>
          <w:sz w:val="32"/>
          <w:szCs w:val="32"/>
          <w:highlight w:val="none"/>
        </w:rPr>
      </w:pPr>
    </w:p>
    <w:p w14:paraId="22C5F2F3">
      <w:pPr>
        <w:spacing w:line="320" w:lineRule="exact"/>
        <w:jc w:val="center"/>
        <w:rPr>
          <w:rFonts w:hint="eastAsia" w:ascii="宋体" w:hAnsi="宋体"/>
          <w:b/>
          <w:color w:val="auto"/>
          <w:sz w:val="32"/>
          <w:szCs w:val="32"/>
          <w:highlight w:val="none"/>
        </w:rPr>
      </w:pPr>
    </w:p>
    <w:p w14:paraId="2A2CB6C1">
      <w:pPr>
        <w:spacing w:line="320" w:lineRule="exact"/>
        <w:jc w:val="center"/>
        <w:rPr>
          <w:rFonts w:hint="eastAsia" w:ascii="宋体" w:hAnsi="宋体"/>
          <w:b/>
          <w:color w:val="auto"/>
          <w:sz w:val="32"/>
          <w:szCs w:val="32"/>
          <w:highlight w:val="none"/>
        </w:rPr>
      </w:pPr>
    </w:p>
    <w:p w14:paraId="3068B785">
      <w:pPr>
        <w:spacing w:line="320" w:lineRule="exact"/>
        <w:jc w:val="center"/>
        <w:rPr>
          <w:rFonts w:hint="eastAsia" w:ascii="宋体" w:hAnsi="宋体"/>
          <w:b/>
          <w:color w:val="auto"/>
          <w:sz w:val="32"/>
          <w:szCs w:val="32"/>
          <w:highlight w:val="none"/>
        </w:rPr>
      </w:pPr>
    </w:p>
    <w:p w14:paraId="1EFBF4A3">
      <w:pPr>
        <w:spacing w:line="320" w:lineRule="exact"/>
        <w:jc w:val="center"/>
        <w:rPr>
          <w:rFonts w:hint="eastAsia" w:ascii="宋体" w:hAnsi="宋体"/>
          <w:b/>
          <w:color w:val="auto"/>
          <w:sz w:val="32"/>
          <w:szCs w:val="32"/>
          <w:highlight w:val="none"/>
        </w:rPr>
      </w:pPr>
    </w:p>
    <w:p w14:paraId="1C766C55">
      <w:pPr>
        <w:spacing w:line="320" w:lineRule="exact"/>
        <w:jc w:val="center"/>
        <w:rPr>
          <w:rFonts w:hint="eastAsia" w:ascii="宋体" w:hAnsi="宋体"/>
          <w:b/>
          <w:color w:val="auto"/>
          <w:sz w:val="32"/>
          <w:szCs w:val="32"/>
          <w:highlight w:val="none"/>
        </w:rPr>
      </w:pPr>
    </w:p>
    <w:p w14:paraId="100A8F1E">
      <w:pPr>
        <w:spacing w:line="320" w:lineRule="exact"/>
        <w:jc w:val="center"/>
        <w:rPr>
          <w:rFonts w:hint="eastAsia" w:ascii="宋体" w:hAnsi="宋体"/>
          <w:b/>
          <w:color w:val="auto"/>
          <w:sz w:val="32"/>
          <w:szCs w:val="32"/>
          <w:highlight w:val="none"/>
        </w:rPr>
      </w:pPr>
    </w:p>
    <w:p w14:paraId="57785356">
      <w:pPr>
        <w:spacing w:line="320" w:lineRule="exact"/>
        <w:jc w:val="center"/>
        <w:rPr>
          <w:rFonts w:hint="eastAsia" w:ascii="宋体" w:hAnsi="宋体"/>
          <w:b/>
          <w:color w:val="auto"/>
          <w:sz w:val="32"/>
          <w:szCs w:val="32"/>
          <w:highlight w:val="none"/>
        </w:rPr>
      </w:pPr>
    </w:p>
    <w:p w14:paraId="1D94F28A">
      <w:pPr>
        <w:spacing w:line="320" w:lineRule="exact"/>
        <w:jc w:val="center"/>
        <w:rPr>
          <w:rFonts w:hint="eastAsia" w:ascii="宋体" w:hAnsi="宋体"/>
          <w:b/>
          <w:color w:val="auto"/>
          <w:sz w:val="32"/>
          <w:szCs w:val="32"/>
          <w:highlight w:val="none"/>
        </w:rPr>
      </w:pPr>
    </w:p>
    <w:p w14:paraId="3FD9CAB4">
      <w:pPr>
        <w:spacing w:line="320" w:lineRule="exact"/>
        <w:jc w:val="center"/>
        <w:rPr>
          <w:rFonts w:hint="eastAsia" w:ascii="宋体" w:hAnsi="宋体"/>
          <w:b/>
          <w:color w:val="auto"/>
          <w:sz w:val="32"/>
          <w:szCs w:val="32"/>
          <w:highlight w:val="none"/>
        </w:rPr>
      </w:pPr>
    </w:p>
    <w:p w14:paraId="50A10BC5">
      <w:pPr>
        <w:spacing w:line="320" w:lineRule="exact"/>
        <w:jc w:val="center"/>
        <w:rPr>
          <w:rFonts w:hint="eastAsia" w:ascii="宋体" w:hAnsi="宋体"/>
          <w:b/>
          <w:color w:val="auto"/>
          <w:sz w:val="32"/>
          <w:szCs w:val="32"/>
          <w:highlight w:val="none"/>
        </w:rPr>
      </w:pPr>
    </w:p>
    <w:p w14:paraId="46CCCA6D">
      <w:pPr>
        <w:spacing w:line="320" w:lineRule="exact"/>
        <w:jc w:val="center"/>
        <w:rPr>
          <w:rFonts w:hint="eastAsia" w:ascii="宋体" w:hAnsi="宋体"/>
          <w:b/>
          <w:color w:val="auto"/>
          <w:sz w:val="32"/>
          <w:szCs w:val="32"/>
          <w:highlight w:val="none"/>
        </w:rPr>
      </w:pPr>
    </w:p>
    <w:p w14:paraId="6A01B590">
      <w:pPr>
        <w:spacing w:line="320" w:lineRule="exact"/>
        <w:jc w:val="center"/>
        <w:rPr>
          <w:rFonts w:hint="eastAsia" w:ascii="宋体" w:hAnsi="宋体"/>
          <w:b/>
          <w:color w:val="auto"/>
          <w:sz w:val="32"/>
          <w:szCs w:val="32"/>
          <w:highlight w:val="none"/>
        </w:rPr>
      </w:pPr>
    </w:p>
    <w:p w14:paraId="44BC5831">
      <w:pPr>
        <w:spacing w:line="320" w:lineRule="exact"/>
        <w:jc w:val="center"/>
        <w:rPr>
          <w:rFonts w:hint="eastAsia" w:ascii="宋体" w:hAnsi="宋体"/>
          <w:b/>
          <w:color w:val="auto"/>
          <w:sz w:val="32"/>
          <w:szCs w:val="32"/>
          <w:highlight w:val="none"/>
        </w:rPr>
      </w:pPr>
    </w:p>
    <w:p w14:paraId="5F3A2EA5">
      <w:pPr>
        <w:spacing w:line="320" w:lineRule="exact"/>
        <w:jc w:val="center"/>
        <w:rPr>
          <w:rFonts w:hint="eastAsia" w:ascii="宋体" w:hAnsi="宋体"/>
          <w:b/>
          <w:color w:val="auto"/>
          <w:sz w:val="32"/>
          <w:szCs w:val="32"/>
          <w:highlight w:val="none"/>
        </w:rPr>
      </w:pPr>
    </w:p>
    <w:p w14:paraId="0FCE2FB2">
      <w:pPr>
        <w:spacing w:line="320" w:lineRule="exact"/>
        <w:jc w:val="center"/>
        <w:rPr>
          <w:rFonts w:hint="eastAsia" w:ascii="宋体" w:hAnsi="宋体"/>
          <w:b/>
          <w:color w:val="auto"/>
          <w:sz w:val="32"/>
          <w:szCs w:val="32"/>
          <w:highlight w:val="none"/>
        </w:rPr>
      </w:pPr>
    </w:p>
    <w:p w14:paraId="3D1C3C01">
      <w:pPr>
        <w:spacing w:line="320" w:lineRule="exact"/>
        <w:jc w:val="center"/>
        <w:rPr>
          <w:rFonts w:hint="eastAsia" w:ascii="宋体" w:hAnsi="宋体"/>
          <w:b/>
          <w:color w:val="auto"/>
          <w:sz w:val="32"/>
          <w:szCs w:val="32"/>
          <w:highlight w:val="none"/>
        </w:rPr>
      </w:pPr>
    </w:p>
    <w:p w14:paraId="46611C03">
      <w:pPr>
        <w:spacing w:line="320" w:lineRule="exact"/>
        <w:jc w:val="center"/>
        <w:rPr>
          <w:rFonts w:hint="eastAsia" w:ascii="宋体" w:hAnsi="宋体"/>
          <w:b/>
          <w:color w:val="auto"/>
          <w:sz w:val="32"/>
          <w:szCs w:val="32"/>
          <w:highlight w:val="none"/>
        </w:rPr>
      </w:pPr>
    </w:p>
    <w:p w14:paraId="75316DEF">
      <w:pPr>
        <w:spacing w:line="320" w:lineRule="exact"/>
        <w:jc w:val="center"/>
        <w:rPr>
          <w:rFonts w:hint="eastAsia" w:ascii="宋体" w:hAnsi="宋体"/>
          <w:b/>
          <w:color w:val="auto"/>
          <w:sz w:val="32"/>
          <w:szCs w:val="32"/>
          <w:highlight w:val="none"/>
        </w:rPr>
      </w:pPr>
    </w:p>
    <w:p w14:paraId="4DEA57B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36FE027">
      <w:pPr>
        <w:spacing w:line="320" w:lineRule="exact"/>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供应商直接控股、管理关系信息表</w:t>
      </w:r>
      <w:r>
        <w:rPr>
          <w:rFonts w:hint="eastAsia" w:ascii="宋体" w:hAnsi="宋体"/>
          <w:b/>
          <w:color w:val="auto"/>
          <w:sz w:val="32"/>
          <w:szCs w:val="32"/>
          <w:highlight w:val="none"/>
          <w:lang w:eastAsia="zh-CN"/>
        </w:rPr>
        <w:t>（格式）</w:t>
      </w:r>
    </w:p>
    <w:p w14:paraId="09D2E3E4">
      <w:pPr>
        <w:spacing w:line="360" w:lineRule="auto"/>
        <w:contextualSpacing/>
        <w:jc w:val="center"/>
        <w:rPr>
          <w:rFonts w:hint="eastAsia" w:ascii="宋体" w:hAnsi="宋体"/>
          <w:b/>
          <w:color w:val="auto"/>
          <w:sz w:val="32"/>
          <w:szCs w:val="32"/>
          <w:highlight w:val="none"/>
        </w:rPr>
      </w:pPr>
    </w:p>
    <w:p w14:paraId="24F07C07">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r>
        <w:rPr>
          <w:rFonts w:hint="eastAsia" w:ascii="宋体" w:hAnsi="宋体"/>
          <w:b/>
          <w:color w:val="auto"/>
          <w:sz w:val="32"/>
          <w:szCs w:val="32"/>
          <w:highlight w:val="none"/>
          <w:lang w:eastAsia="zh-CN"/>
        </w:rPr>
        <w:t>（格式）</w:t>
      </w:r>
    </w:p>
    <w:p w14:paraId="35AA06EA">
      <w:pPr>
        <w:spacing w:line="360" w:lineRule="auto"/>
        <w:contextualSpacing/>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DB97C66">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F83B5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D1945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A3276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BC8B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1ED4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F57E76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7AC00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B497E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4BA01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6B4F4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E782D">
            <w:pPr>
              <w:widowControl/>
              <w:spacing w:line="360" w:lineRule="auto"/>
              <w:contextualSpacing/>
              <w:jc w:val="center"/>
              <w:rPr>
                <w:rFonts w:hint="eastAsia" w:ascii="宋体" w:hAnsi="宋体" w:cs="宋体"/>
                <w:color w:val="auto"/>
                <w:kern w:val="0"/>
                <w:sz w:val="24"/>
                <w:highlight w:val="none"/>
              </w:rPr>
            </w:pPr>
          </w:p>
        </w:tc>
      </w:tr>
      <w:tr w14:paraId="76A831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1263E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D08C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6E1396">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3F33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1F502E">
            <w:pPr>
              <w:widowControl/>
              <w:spacing w:line="360" w:lineRule="auto"/>
              <w:contextualSpacing/>
              <w:jc w:val="center"/>
              <w:rPr>
                <w:rFonts w:hint="eastAsia" w:ascii="宋体" w:hAnsi="宋体" w:cs="宋体"/>
                <w:color w:val="auto"/>
                <w:kern w:val="0"/>
                <w:sz w:val="24"/>
                <w:highlight w:val="none"/>
              </w:rPr>
            </w:pPr>
          </w:p>
        </w:tc>
      </w:tr>
      <w:tr w14:paraId="7DBB03C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60705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BFEC6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33FD9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E86CB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E1E54B">
            <w:pPr>
              <w:widowControl/>
              <w:spacing w:line="360" w:lineRule="auto"/>
              <w:contextualSpacing/>
              <w:jc w:val="center"/>
              <w:rPr>
                <w:rFonts w:hint="eastAsia" w:ascii="宋体" w:hAnsi="宋体" w:cs="宋体"/>
                <w:color w:val="auto"/>
                <w:kern w:val="0"/>
                <w:sz w:val="24"/>
                <w:highlight w:val="none"/>
              </w:rPr>
            </w:pPr>
          </w:p>
        </w:tc>
      </w:tr>
      <w:tr w14:paraId="2169E71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54BA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3F8D3F">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896D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B37AA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55BE8A">
            <w:pPr>
              <w:widowControl/>
              <w:spacing w:line="360" w:lineRule="auto"/>
              <w:contextualSpacing/>
              <w:jc w:val="center"/>
              <w:rPr>
                <w:rFonts w:hint="eastAsia" w:ascii="宋体" w:hAnsi="宋体" w:cs="宋体"/>
                <w:color w:val="auto"/>
                <w:kern w:val="0"/>
                <w:sz w:val="24"/>
                <w:highlight w:val="none"/>
              </w:rPr>
            </w:pPr>
          </w:p>
        </w:tc>
      </w:tr>
    </w:tbl>
    <w:p w14:paraId="40C2AECE">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DBA98B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52430D">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50FCFC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AACBB8B">
      <w:pPr>
        <w:spacing w:line="360" w:lineRule="auto"/>
        <w:ind w:firstLine="420" w:firstLineChars="200"/>
        <w:contextualSpacing/>
        <w:jc w:val="left"/>
        <w:rPr>
          <w:rFonts w:ascii="宋体" w:hAnsi="宋体" w:cs="宋体"/>
          <w:color w:val="auto"/>
          <w:szCs w:val="21"/>
          <w:highlight w:val="none"/>
        </w:rPr>
      </w:pPr>
    </w:p>
    <w:p w14:paraId="3C0AE528">
      <w:pPr>
        <w:spacing w:line="360" w:lineRule="auto"/>
        <w:ind w:firstLine="560" w:firstLineChars="200"/>
        <w:contextualSpacing/>
        <w:jc w:val="left"/>
        <w:rPr>
          <w:rFonts w:hint="eastAsia" w:ascii="宋体" w:hAnsi="宋体" w:cs="宋体"/>
          <w:color w:val="auto"/>
          <w:sz w:val="28"/>
          <w:szCs w:val="28"/>
          <w:highlight w:val="none"/>
        </w:rPr>
      </w:pPr>
    </w:p>
    <w:p w14:paraId="2D746EF1">
      <w:pPr>
        <w:spacing w:line="360" w:lineRule="auto"/>
        <w:ind w:right="480"/>
        <w:contextualSpacing/>
        <w:jc w:val="center"/>
        <w:rPr>
          <w:rFonts w:hint="eastAsia" w:ascii="宋体" w:hAnsi="宋体" w:cs="宋体"/>
          <w:color w:val="auto"/>
          <w:sz w:val="24"/>
          <w:szCs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法定代表人或者委托代理人</w:t>
      </w:r>
      <w:r>
        <w:rPr>
          <w:rFonts w:hint="eastAsia" w:ascii="宋体" w:hAnsi="宋体"/>
          <w:color w:val="auto"/>
          <w:sz w:val="24"/>
          <w:szCs w:val="24"/>
          <w:highlight w:val="none"/>
        </w:rPr>
        <w:t>（签字或者电子签名）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2FB5F13">
      <w:pPr>
        <w:spacing w:line="360" w:lineRule="auto"/>
        <w:ind w:right="480" w:firstLine="3000" w:firstLineChars="1250"/>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供应商</w:t>
      </w:r>
      <w:r>
        <w:rPr>
          <w:rFonts w:hint="eastAsia" w:ascii="宋体" w:hAnsi="宋体"/>
          <w:color w:val="auto"/>
          <w:sz w:val="24"/>
          <w:szCs w:val="24"/>
          <w:highlight w:val="none"/>
        </w:rPr>
        <w:t>（电子签章）</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p>
    <w:p w14:paraId="2AFC08C8">
      <w:pPr>
        <w:spacing w:line="360" w:lineRule="auto"/>
        <w:ind w:firstLine="480" w:firstLineChars="200"/>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7C496F39">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2AECF7A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r>
        <w:rPr>
          <w:rFonts w:hint="eastAsia" w:ascii="宋体" w:hAnsi="宋体"/>
          <w:b/>
          <w:color w:val="auto"/>
          <w:sz w:val="32"/>
          <w:szCs w:val="32"/>
          <w:highlight w:val="none"/>
          <w:lang w:eastAsia="zh-CN"/>
        </w:rPr>
        <w:t>（格式）</w:t>
      </w:r>
    </w:p>
    <w:p w14:paraId="408AEBF5">
      <w:pPr>
        <w:snapToGrid w:val="0"/>
        <w:spacing w:line="360" w:lineRule="auto"/>
        <w:jc w:val="center"/>
        <w:rPr>
          <w:rFonts w:hint="eastAsia" w:ascii="宋体" w:hAnsi="宋体"/>
          <w:b/>
          <w:color w:val="auto"/>
          <w:sz w:val="24"/>
          <w:highlight w:val="none"/>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D64DB2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1642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81FAA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4545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02B1A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6849E49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E7D84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9F514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257D2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BA9406">
            <w:pPr>
              <w:widowControl/>
              <w:spacing w:line="360" w:lineRule="auto"/>
              <w:contextualSpacing/>
              <w:jc w:val="center"/>
              <w:rPr>
                <w:rFonts w:ascii="宋体" w:hAnsi="宋体" w:cs="宋体"/>
                <w:color w:val="auto"/>
                <w:kern w:val="0"/>
                <w:sz w:val="24"/>
                <w:highlight w:val="none"/>
              </w:rPr>
            </w:pPr>
          </w:p>
        </w:tc>
      </w:tr>
      <w:tr w14:paraId="3F67203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907A1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2CBD2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96026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F90910">
            <w:pPr>
              <w:widowControl/>
              <w:spacing w:line="360" w:lineRule="auto"/>
              <w:contextualSpacing/>
              <w:jc w:val="center"/>
              <w:rPr>
                <w:rFonts w:ascii="宋体" w:hAnsi="宋体" w:cs="宋体"/>
                <w:color w:val="auto"/>
                <w:kern w:val="0"/>
                <w:sz w:val="24"/>
                <w:highlight w:val="none"/>
              </w:rPr>
            </w:pPr>
          </w:p>
        </w:tc>
      </w:tr>
      <w:tr w14:paraId="5B1136B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1851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3B6B6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90FA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DEBDC5">
            <w:pPr>
              <w:widowControl/>
              <w:spacing w:line="360" w:lineRule="auto"/>
              <w:contextualSpacing/>
              <w:jc w:val="center"/>
              <w:rPr>
                <w:rFonts w:ascii="宋体" w:hAnsi="宋体" w:cs="宋体"/>
                <w:color w:val="auto"/>
                <w:kern w:val="0"/>
                <w:sz w:val="24"/>
                <w:highlight w:val="none"/>
              </w:rPr>
            </w:pPr>
          </w:p>
        </w:tc>
      </w:tr>
      <w:tr w14:paraId="7E27DC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5C4E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5492A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AD49C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D57167">
            <w:pPr>
              <w:widowControl/>
              <w:spacing w:line="360" w:lineRule="auto"/>
              <w:contextualSpacing/>
              <w:jc w:val="center"/>
              <w:rPr>
                <w:rFonts w:ascii="宋体" w:hAnsi="宋体" w:cs="宋体"/>
                <w:color w:val="auto"/>
                <w:kern w:val="0"/>
                <w:sz w:val="24"/>
                <w:highlight w:val="none"/>
              </w:rPr>
            </w:pPr>
          </w:p>
        </w:tc>
      </w:tr>
    </w:tbl>
    <w:p w14:paraId="5C19652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ED04F6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B43450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38A308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43FF428">
      <w:pPr>
        <w:spacing w:line="360" w:lineRule="auto"/>
        <w:contextualSpacing/>
        <w:jc w:val="left"/>
        <w:rPr>
          <w:rFonts w:hint="eastAsia" w:ascii="宋体" w:hAnsi="宋体"/>
          <w:color w:val="auto"/>
          <w:sz w:val="28"/>
          <w:szCs w:val="28"/>
          <w:highlight w:val="none"/>
        </w:rPr>
      </w:pPr>
    </w:p>
    <w:p w14:paraId="2AA32F75">
      <w:pPr>
        <w:spacing w:line="360" w:lineRule="auto"/>
        <w:contextualSpacing/>
        <w:jc w:val="left"/>
        <w:rPr>
          <w:rFonts w:hint="eastAsia" w:ascii="宋体" w:hAnsi="宋体"/>
          <w:color w:val="auto"/>
          <w:sz w:val="28"/>
          <w:szCs w:val="28"/>
          <w:highlight w:val="none"/>
        </w:rPr>
      </w:pPr>
    </w:p>
    <w:p w14:paraId="7035F9D8">
      <w:pPr>
        <w:spacing w:line="360" w:lineRule="auto"/>
        <w:contextualSpacing/>
        <w:jc w:val="left"/>
        <w:rPr>
          <w:rFonts w:hint="eastAsia"/>
          <w:color w:val="auto"/>
          <w:sz w:val="28"/>
          <w:szCs w:val="28"/>
          <w:highlight w:val="none"/>
        </w:rPr>
      </w:pPr>
    </w:p>
    <w:p w14:paraId="4A45D79D">
      <w:pPr>
        <w:spacing w:line="360" w:lineRule="auto"/>
        <w:contextualSpacing/>
        <w:jc w:val="left"/>
        <w:rPr>
          <w:rFonts w:hint="eastAsia" w:ascii="宋体" w:hAnsi="宋体"/>
          <w:color w:val="auto"/>
          <w:sz w:val="28"/>
          <w:szCs w:val="28"/>
          <w:highlight w:val="none"/>
        </w:rPr>
      </w:pPr>
    </w:p>
    <w:p w14:paraId="2D02A4EC">
      <w:pPr>
        <w:spacing w:line="360" w:lineRule="auto"/>
        <w:ind w:right="480"/>
        <w:contextualSpacing/>
        <w:jc w:val="center"/>
        <w:rPr>
          <w:rFonts w:hint="eastAsia" w:ascii="宋体" w:hAnsi="宋体"/>
          <w:color w:val="auto"/>
          <w:sz w:val="24"/>
          <w:szCs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法定代表人或者委托代理人（签字或者电子签名）：</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05EF4AED">
      <w:pPr>
        <w:spacing w:line="360" w:lineRule="auto"/>
        <w:ind w:right="480" w:firstLine="3360" w:firstLineChars="1400"/>
        <w:contextualSpacing/>
        <w:rPr>
          <w:rFonts w:hint="eastAsia" w:ascii="宋体" w:hAnsi="宋体"/>
          <w:color w:val="auto"/>
          <w:sz w:val="24"/>
          <w:szCs w:val="24"/>
          <w:highlight w:val="none"/>
        </w:rPr>
      </w:pPr>
      <w:r>
        <w:rPr>
          <w:rFonts w:hint="eastAsia" w:ascii="宋体" w:hAnsi="宋体"/>
          <w:color w:val="auto"/>
          <w:sz w:val="24"/>
          <w:szCs w:val="24"/>
          <w:highlight w:val="none"/>
        </w:rPr>
        <w:t>供应商（电子签章）：</w:t>
      </w:r>
      <w:r>
        <w:rPr>
          <w:rFonts w:hint="eastAsia" w:ascii="宋体" w:hAnsi="宋体"/>
          <w:color w:val="auto"/>
          <w:sz w:val="24"/>
          <w:szCs w:val="24"/>
          <w:highlight w:val="none"/>
          <w:u w:val="single"/>
        </w:rPr>
        <w:t xml:space="preserve">                </w:t>
      </w:r>
    </w:p>
    <w:p w14:paraId="5FC75C01">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6EA4C5C8">
      <w:pPr>
        <w:pStyle w:val="12"/>
        <w:tabs>
          <w:tab w:val="left" w:pos="939"/>
        </w:tabs>
        <w:spacing w:line="360" w:lineRule="auto"/>
        <w:ind w:left="0" w:leftChars="0" w:firstLine="560" w:firstLineChars="200"/>
        <w:rPr>
          <w:rFonts w:ascii="宋体" w:hAnsi="宋体"/>
          <w:color w:val="auto"/>
          <w:sz w:val="28"/>
          <w:szCs w:val="28"/>
          <w:highlight w:val="none"/>
        </w:rPr>
      </w:pPr>
    </w:p>
    <w:p w14:paraId="39C614D7">
      <w:pPr>
        <w:pStyle w:val="12"/>
        <w:tabs>
          <w:tab w:val="left" w:pos="939"/>
        </w:tabs>
        <w:spacing w:line="360" w:lineRule="auto"/>
        <w:rPr>
          <w:rFonts w:ascii="宋体" w:hAnsi="宋体"/>
          <w:color w:val="auto"/>
          <w:sz w:val="28"/>
          <w:szCs w:val="28"/>
          <w:highlight w:val="none"/>
        </w:rPr>
      </w:pPr>
    </w:p>
    <w:p w14:paraId="7661775A">
      <w:pPr>
        <w:pStyle w:val="12"/>
        <w:tabs>
          <w:tab w:val="left" w:pos="939"/>
        </w:tabs>
        <w:spacing w:line="360" w:lineRule="auto"/>
        <w:rPr>
          <w:rFonts w:ascii="宋体" w:hAnsi="宋体"/>
          <w:color w:val="auto"/>
          <w:sz w:val="28"/>
          <w:szCs w:val="28"/>
          <w:highlight w:val="none"/>
        </w:rPr>
      </w:pPr>
    </w:p>
    <w:p w14:paraId="5126D7B8">
      <w:pPr>
        <w:pStyle w:val="12"/>
        <w:tabs>
          <w:tab w:val="left" w:pos="939"/>
        </w:tabs>
        <w:spacing w:line="360" w:lineRule="auto"/>
        <w:rPr>
          <w:rFonts w:ascii="宋体" w:hAnsi="宋体"/>
          <w:color w:val="auto"/>
          <w:sz w:val="28"/>
          <w:szCs w:val="28"/>
          <w:highlight w:val="none"/>
        </w:rPr>
      </w:pPr>
    </w:p>
    <w:p w14:paraId="783A1C08">
      <w:pPr>
        <w:pStyle w:val="12"/>
        <w:tabs>
          <w:tab w:val="left" w:pos="939"/>
        </w:tabs>
        <w:spacing w:line="360" w:lineRule="auto"/>
        <w:rPr>
          <w:rFonts w:ascii="宋体" w:hAnsi="宋体"/>
          <w:color w:val="auto"/>
          <w:sz w:val="28"/>
          <w:szCs w:val="28"/>
          <w:highlight w:val="none"/>
        </w:rPr>
      </w:pPr>
    </w:p>
    <w:p w14:paraId="5FFBFE2A">
      <w:pPr>
        <w:pStyle w:val="12"/>
        <w:tabs>
          <w:tab w:val="left" w:pos="939"/>
        </w:tabs>
        <w:spacing w:line="360" w:lineRule="auto"/>
        <w:rPr>
          <w:rFonts w:ascii="宋体" w:hAnsi="宋体"/>
          <w:color w:val="auto"/>
          <w:sz w:val="28"/>
          <w:szCs w:val="28"/>
          <w:highlight w:val="none"/>
        </w:rPr>
      </w:pPr>
    </w:p>
    <w:p w14:paraId="5D0310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b/>
          <w:color w:val="auto"/>
          <w:sz w:val="32"/>
          <w:szCs w:val="32"/>
          <w:highlight w:val="none"/>
        </w:rPr>
      </w:pPr>
      <w:bookmarkStart w:id="74" w:name="_Toc71365926"/>
      <w:r>
        <w:rPr>
          <w:rFonts w:hint="eastAsia" w:ascii="宋体" w:hAnsi="宋体" w:eastAsia="宋体" w:cs="Times New Roman"/>
          <w:b/>
          <w:color w:val="auto"/>
          <w:sz w:val="32"/>
          <w:szCs w:val="32"/>
          <w:highlight w:val="none"/>
        </w:rPr>
        <w:t>中小企业声明函（工程）</w:t>
      </w:r>
      <w:bookmarkEnd w:id="74"/>
    </w:p>
    <w:p w14:paraId="78E4C034">
      <w:pPr>
        <w:pStyle w:val="10"/>
        <w:spacing w:line="500" w:lineRule="exact"/>
        <w:ind w:right="142" w:firstLine="705" w:firstLineChars="294"/>
        <w:rPr>
          <w:rFonts w:ascii="宋体" w:hAnsi="宋体"/>
          <w:color w:val="auto"/>
          <w:sz w:val="24"/>
          <w:highlight w:val="none"/>
        </w:rPr>
      </w:pPr>
    </w:p>
    <w:p w14:paraId="3C76C54B">
      <w:pPr>
        <w:pStyle w:val="10"/>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6C909F24">
      <w:pPr>
        <w:tabs>
          <w:tab w:val="left" w:pos="1384"/>
          <w:tab w:val="left" w:pos="4562"/>
          <w:tab w:val="left" w:pos="6803"/>
        </w:tabs>
        <w:spacing w:before="13" w:line="500" w:lineRule="exact"/>
        <w:ind w:right="142" w:firstLine="480" w:firstLineChars="200"/>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D52F224">
      <w:pPr>
        <w:tabs>
          <w:tab w:val="left" w:pos="1065"/>
          <w:tab w:val="left" w:pos="4262"/>
          <w:tab w:val="left" w:pos="6477"/>
        </w:tabs>
        <w:spacing w:before="20" w:line="500" w:lineRule="exact"/>
        <w:ind w:right="84" w:firstLine="480" w:firstLineChars="200"/>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24289D6">
      <w:pPr>
        <w:pStyle w:val="10"/>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6C9125A">
      <w:pPr>
        <w:pStyle w:val="10"/>
        <w:spacing w:before="34" w:line="500" w:lineRule="exact"/>
        <w:ind w:right="142" w:firstLine="480" w:firstLineChars="200"/>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407C4E6">
      <w:pPr>
        <w:pStyle w:val="10"/>
        <w:spacing w:before="25" w:line="500" w:lineRule="exact"/>
        <w:ind w:right="142" w:firstLine="480" w:firstLineChars="200"/>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68BC4B3">
      <w:pPr>
        <w:pStyle w:val="10"/>
        <w:spacing w:before="56" w:line="500" w:lineRule="exact"/>
        <w:ind w:right="1808" w:firstLine="705" w:firstLineChars="294"/>
        <w:rPr>
          <w:rFonts w:hint="eastAsia" w:ascii="宋体" w:hAnsi="宋体"/>
          <w:color w:val="auto"/>
          <w:sz w:val="24"/>
          <w:highlight w:val="none"/>
        </w:rPr>
      </w:pPr>
    </w:p>
    <w:p w14:paraId="1BF5DAE3">
      <w:pPr>
        <w:pStyle w:val="10"/>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72886245">
      <w:pPr>
        <w:pStyle w:val="10"/>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2A124FEC">
      <w:pPr>
        <w:pStyle w:val="10"/>
        <w:spacing w:before="56" w:line="500" w:lineRule="exact"/>
        <w:ind w:right="1808" w:firstLine="5625" w:firstLineChars="2344"/>
        <w:rPr>
          <w:rFonts w:ascii="宋体" w:hAnsi="宋体"/>
          <w:color w:val="auto"/>
          <w:sz w:val="24"/>
          <w:highlight w:val="none"/>
        </w:rPr>
      </w:pPr>
    </w:p>
    <w:p w14:paraId="2D3F34FA">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0E113A">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7A2FEC73">
      <w:pPr>
        <w:spacing w:line="360" w:lineRule="auto"/>
        <w:contextualSpacing/>
        <w:rPr>
          <w:rFonts w:hint="eastAsia" w:ascii="仿宋_GB2312" w:hAnsi="仿宋_GB2312" w:eastAsia="仿宋_GB2312" w:cs="仿宋_GB2312"/>
          <w:color w:val="auto"/>
          <w:sz w:val="32"/>
          <w:szCs w:val="32"/>
          <w:highlight w:val="none"/>
        </w:rPr>
      </w:pPr>
    </w:p>
    <w:p w14:paraId="2D0A68C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2C89F7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E514A4E">
      <w:pPr>
        <w:spacing w:line="360" w:lineRule="auto"/>
        <w:contextualSpacing/>
        <w:rPr>
          <w:rFonts w:hint="eastAsia" w:ascii="宋体" w:hAnsi="宋体" w:cs="仿宋_GB2312"/>
          <w:color w:val="auto"/>
          <w:sz w:val="24"/>
          <w:highlight w:val="none"/>
        </w:rPr>
      </w:pPr>
    </w:p>
    <w:p w14:paraId="2D4E6294">
      <w:pPr>
        <w:spacing w:line="360" w:lineRule="auto"/>
        <w:contextualSpacing/>
        <w:rPr>
          <w:rFonts w:hint="eastAsia" w:ascii="宋体" w:hAnsi="宋体" w:cs="仿宋_GB2312"/>
          <w:color w:val="auto"/>
          <w:sz w:val="24"/>
          <w:highlight w:val="none"/>
        </w:rPr>
      </w:pPr>
    </w:p>
    <w:p w14:paraId="4407469E">
      <w:pPr>
        <w:spacing w:line="360" w:lineRule="auto"/>
        <w:contextualSpacing/>
        <w:rPr>
          <w:rFonts w:hint="eastAsia" w:ascii="宋体" w:hAnsi="宋体" w:cs="仿宋_GB2312"/>
          <w:color w:val="auto"/>
          <w:sz w:val="24"/>
          <w:highlight w:val="none"/>
        </w:rPr>
      </w:pPr>
    </w:p>
    <w:p w14:paraId="3C1B3904">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5B9EB328">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771A5B2">
      <w:pPr>
        <w:spacing w:line="360" w:lineRule="auto"/>
        <w:contextualSpacing/>
        <w:rPr>
          <w:rFonts w:hint="eastAsia" w:ascii="宋体" w:hAnsi="宋体" w:cs="仿宋_GB2312"/>
          <w:color w:val="auto"/>
          <w:sz w:val="24"/>
          <w:highlight w:val="none"/>
        </w:rPr>
      </w:pPr>
    </w:p>
    <w:p w14:paraId="687CABB1">
      <w:pPr>
        <w:spacing w:line="360" w:lineRule="auto"/>
        <w:contextualSpacing/>
        <w:rPr>
          <w:rFonts w:hint="eastAsia" w:ascii="宋体" w:hAnsi="宋体" w:cs="仿宋_GB2312"/>
          <w:color w:val="auto"/>
          <w:sz w:val="24"/>
          <w:highlight w:val="none"/>
        </w:rPr>
      </w:pPr>
    </w:p>
    <w:p w14:paraId="6B36A467">
      <w:pPr>
        <w:spacing w:line="360" w:lineRule="auto"/>
        <w:contextualSpacing/>
        <w:rPr>
          <w:rFonts w:hint="eastAsia" w:ascii="宋体" w:hAnsi="宋体" w:cs="仿宋_GB2312"/>
          <w:color w:val="auto"/>
          <w:sz w:val="24"/>
          <w:highlight w:val="none"/>
        </w:rPr>
      </w:pPr>
    </w:p>
    <w:p w14:paraId="0157CDB4">
      <w:pPr>
        <w:pStyle w:val="12"/>
        <w:tabs>
          <w:tab w:val="left" w:pos="939"/>
        </w:tabs>
        <w:spacing w:line="360" w:lineRule="auto"/>
        <w:ind w:left="0" w:leftChars="0" w:firstLine="720" w:firstLineChars="300"/>
        <w:rPr>
          <w:rFonts w:hint="eastAsia"/>
          <w:color w:val="auto"/>
          <w:sz w:val="24"/>
          <w:szCs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175C19C5">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180936D">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241F8163">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8850068">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4934DCB">
      <w:pPr>
        <w:snapToGrid w:val="0"/>
        <w:spacing w:before="156" w:beforeLines="50" w:after="50"/>
        <w:rPr>
          <w:rFonts w:hint="eastAsia" w:ascii="宋体" w:hAnsi="宋体"/>
          <w:color w:val="auto"/>
          <w:sz w:val="24"/>
          <w:szCs w:val="20"/>
          <w:highlight w:val="none"/>
        </w:rPr>
      </w:pPr>
    </w:p>
    <w:p w14:paraId="297D1180">
      <w:pPr>
        <w:snapToGrid w:val="0"/>
        <w:spacing w:before="156" w:beforeLines="50" w:after="50"/>
        <w:rPr>
          <w:rFonts w:hint="eastAsia" w:ascii="宋体" w:hAnsi="宋体"/>
          <w:color w:val="auto"/>
          <w:sz w:val="24"/>
          <w:szCs w:val="20"/>
          <w:highlight w:val="none"/>
        </w:rPr>
      </w:pPr>
    </w:p>
    <w:p w14:paraId="4B7439D1">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1B82BA3">
      <w:pPr>
        <w:snapToGrid w:val="0"/>
        <w:spacing w:before="156" w:beforeLines="50" w:after="50"/>
        <w:rPr>
          <w:rFonts w:hint="eastAsia" w:ascii="宋体" w:hAnsi="宋体"/>
          <w:bCs/>
          <w:color w:val="auto"/>
          <w:sz w:val="24"/>
          <w:szCs w:val="20"/>
          <w:highlight w:val="none"/>
        </w:rPr>
      </w:pPr>
    </w:p>
    <w:p w14:paraId="21DAE9ED">
      <w:pPr>
        <w:snapToGrid w:val="0"/>
        <w:spacing w:before="156" w:beforeLines="50" w:after="50"/>
        <w:rPr>
          <w:rFonts w:hint="eastAsia" w:ascii="宋体" w:hAnsi="宋体"/>
          <w:bCs/>
          <w:color w:val="auto"/>
          <w:sz w:val="24"/>
          <w:szCs w:val="20"/>
          <w:highlight w:val="none"/>
        </w:rPr>
      </w:pPr>
    </w:p>
    <w:p w14:paraId="76940773">
      <w:pPr>
        <w:snapToGrid w:val="0"/>
        <w:spacing w:before="156" w:beforeLines="50" w:after="50"/>
        <w:rPr>
          <w:rFonts w:hint="eastAsia" w:ascii="宋体" w:hAnsi="宋体"/>
          <w:bCs/>
          <w:color w:val="auto"/>
          <w:sz w:val="24"/>
          <w:szCs w:val="20"/>
          <w:highlight w:val="none"/>
        </w:rPr>
      </w:pPr>
    </w:p>
    <w:p w14:paraId="7C9367F4">
      <w:pPr>
        <w:snapToGrid w:val="0"/>
        <w:spacing w:before="156" w:beforeLines="50" w:after="50"/>
        <w:rPr>
          <w:rFonts w:hint="eastAsia" w:ascii="宋体" w:hAnsi="宋体"/>
          <w:bCs/>
          <w:color w:val="auto"/>
          <w:sz w:val="24"/>
          <w:szCs w:val="20"/>
          <w:highlight w:val="none"/>
        </w:rPr>
      </w:pPr>
    </w:p>
    <w:p w14:paraId="69AFC305">
      <w:pPr>
        <w:snapToGrid w:val="0"/>
        <w:spacing w:before="156" w:beforeLines="50" w:after="50"/>
        <w:rPr>
          <w:rFonts w:hint="eastAsia" w:ascii="宋体" w:hAnsi="宋体"/>
          <w:bCs/>
          <w:color w:val="auto"/>
          <w:sz w:val="24"/>
          <w:szCs w:val="20"/>
          <w:highlight w:val="none"/>
        </w:rPr>
      </w:pPr>
    </w:p>
    <w:p w14:paraId="3F6D4F4A">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E46AE52">
      <w:pPr>
        <w:snapToGrid w:val="0"/>
        <w:spacing w:before="156" w:beforeLines="50" w:after="50"/>
        <w:ind w:firstLine="720" w:firstLineChars="225"/>
        <w:rPr>
          <w:rFonts w:hint="eastAsia" w:ascii="宋体" w:hAnsi="宋体" w:cs="仿宋_GB2312"/>
          <w:bCs/>
          <w:color w:val="auto"/>
          <w:sz w:val="32"/>
          <w:szCs w:val="32"/>
          <w:highlight w:val="none"/>
        </w:rPr>
      </w:pPr>
    </w:p>
    <w:p w14:paraId="4CBDEF0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8F535DD">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5775B82">
      <w:pPr>
        <w:pStyle w:val="8"/>
        <w:snapToGrid w:val="0"/>
        <w:spacing w:before="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377E6AC">
      <w:pPr>
        <w:pStyle w:val="8"/>
        <w:snapToGrid w:val="0"/>
        <w:spacing w:before="50" w:after="50"/>
        <w:rPr>
          <w:rFonts w:hint="eastAsia" w:ascii="宋体" w:hAnsi="宋体" w:cs="仿宋_GB2312"/>
          <w:bCs/>
          <w:color w:val="auto"/>
          <w:sz w:val="32"/>
          <w:szCs w:val="32"/>
          <w:highlight w:val="none"/>
        </w:rPr>
      </w:pPr>
    </w:p>
    <w:p w14:paraId="47FBAF23">
      <w:pPr>
        <w:pStyle w:val="8"/>
        <w:snapToGrid w:val="0"/>
        <w:spacing w:before="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lang w:eastAsia="zh-CN"/>
        </w:rPr>
        <w:t>供应商地址：</w:t>
      </w:r>
    </w:p>
    <w:p w14:paraId="1A633E23">
      <w:pPr>
        <w:pStyle w:val="8"/>
        <w:snapToGrid w:val="0"/>
        <w:spacing w:before="50" w:after="50"/>
        <w:ind w:firstLine="640" w:firstLineChars="200"/>
        <w:rPr>
          <w:rFonts w:hint="eastAsia" w:ascii="宋体" w:hAnsi="宋体" w:cs="仿宋_GB2312"/>
          <w:bCs/>
          <w:color w:val="auto"/>
          <w:sz w:val="32"/>
          <w:szCs w:val="32"/>
          <w:highlight w:val="none"/>
        </w:rPr>
      </w:pPr>
    </w:p>
    <w:p w14:paraId="7120E077">
      <w:pPr>
        <w:pStyle w:val="8"/>
        <w:snapToGrid w:val="0"/>
        <w:spacing w:before="50" w:after="50"/>
        <w:ind w:firstLine="720" w:firstLineChars="225"/>
        <w:rPr>
          <w:rFonts w:hint="eastAsia" w:ascii="宋体" w:hAnsi="宋体" w:cs="仿宋_GB2312"/>
          <w:bCs/>
          <w:color w:val="auto"/>
          <w:sz w:val="32"/>
          <w:szCs w:val="32"/>
          <w:highlight w:val="none"/>
        </w:rPr>
      </w:pPr>
    </w:p>
    <w:p w14:paraId="48724D35">
      <w:pPr>
        <w:pStyle w:val="8"/>
        <w:snapToGrid w:val="0"/>
        <w:spacing w:before="50" w:after="50"/>
        <w:ind w:firstLine="0"/>
        <w:rPr>
          <w:rFonts w:hint="eastAsia" w:ascii="宋体" w:hAnsi="宋体" w:cs="仿宋_GB2312"/>
          <w:bCs/>
          <w:color w:val="auto"/>
          <w:sz w:val="32"/>
          <w:szCs w:val="32"/>
          <w:highlight w:val="none"/>
        </w:rPr>
      </w:pPr>
    </w:p>
    <w:p w14:paraId="5EDAECBB">
      <w:pPr>
        <w:pStyle w:val="8"/>
        <w:snapToGrid w:val="0"/>
        <w:spacing w:before="50" w:after="50"/>
        <w:ind w:firstLine="1280" w:firstLineChars="400"/>
        <w:rPr>
          <w:rFonts w:hint="eastAsia" w:ascii="宋体" w:hAnsi="宋体" w:cs="仿宋_GB2312"/>
          <w:bCs/>
          <w:color w:val="auto"/>
          <w:sz w:val="32"/>
          <w:szCs w:val="32"/>
          <w:highlight w:val="none"/>
        </w:rPr>
      </w:pPr>
    </w:p>
    <w:p w14:paraId="3B17F154">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ADE67F">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2F002076">
      <w:pPr>
        <w:autoSpaceDE w:val="0"/>
        <w:autoSpaceDN w:val="0"/>
        <w:adjustRightInd w:val="0"/>
        <w:spacing w:line="360" w:lineRule="auto"/>
        <w:ind w:firstLine="640" w:firstLineChars="200"/>
        <w:rPr>
          <w:rFonts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2344CC33">
      <w:pPr>
        <w:pStyle w:val="49"/>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Theme="majorEastAsia" w:hAnsiTheme="majorEastAsia" w:eastAsiaTheme="majorEastAsia" w:cstheme="majorEastAsia"/>
          <w:b/>
          <w:bCs/>
          <w:color w:val="auto"/>
          <w:sz w:val="32"/>
          <w:szCs w:val="32"/>
          <w:highlight w:val="none"/>
          <w:lang w:eastAsia="zh-CN"/>
        </w:rPr>
      </w:pPr>
      <w:r>
        <w:rPr>
          <w:rFonts w:hint="eastAsia" w:asciiTheme="majorEastAsia" w:hAnsiTheme="majorEastAsia" w:eastAsiaTheme="majorEastAsia" w:cstheme="majorEastAsia"/>
          <w:b/>
          <w:bCs/>
          <w:color w:val="auto"/>
          <w:sz w:val="32"/>
          <w:szCs w:val="32"/>
          <w:highlight w:val="none"/>
        </w:rPr>
        <w:t>磋商函</w:t>
      </w:r>
      <w:r>
        <w:rPr>
          <w:rFonts w:hint="eastAsia" w:asciiTheme="majorEastAsia" w:hAnsiTheme="majorEastAsia" w:eastAsiaTheme="majorEastAsia" w:cstheme="majorEastAsia"/>
          <w:b/>
          <w:bCs/>
          <w:color w:val="auto"/>
          <w:sz w:val="32"/>
          <w:szCs w:val="32"/>
          <w:highlight w:val="none"/>
          <w:lang w:eastAsia="zh-CN"/>
        </w:rPr>
        <w:t>（格式）</w:t>
      </w:r>
    </w:p>
    <w:p w14:paraId="2A7224F7">
      <w:pPr>
        <w:pStyle w:val="49"/>
        <w:keepNext w:val="0"/>
        <w:keepLines w:val="0"/>
        <w:pageBreakBefore w:val="0"/>
        <w:widowControl w:val="0"/>
        <w:kinsoku/>
        <w:wordWrap/>
        <w:overflowPunct/>
        <w:topLinePunct w:val="0"/>
        <w:autoSpaceDE w:val="0"/>
        <w:autoSpaceDN w:val="0"/>
        <w:bidi w:val="0"/>
        <w:adjustRightInd w:val="0"/>
        <w:snapToGrid/>
        <w:jc w:val="both"/>
        <w:textAlignment w:val="auto"/>
        <w:rPr>
          <w:rFonts w:hint="eastAsia" w:asciiTheme="majorEastAsia" w:hAnsiTheme="majorEastAsia" w:eastAsiaTheme="majorEastAsia" w:cstheme="majorEastAsia"/>
          <w:b w:val="0"/>
          <w:bCs w:val="0"/>
          <w:color w:val="auto"/>
          <w:sz w:val="21"/>
          <w:szCs w:val="24"/>
          <w:highlight w:val="none"/>
        </w:rPr>
      </w:pPr>
    </w:p>
    <w:p w14:paraId="60C4C6E4">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708DB2FB">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1、根据你方项目编号为</w:t>
      </w:r>
      <w:r>
        <w:rPr>
          <w:rFonts w:hint="eastAsia" w:asciiTheme="majorEastAsia" w:hAnsiTheme="majorEastAsia" w:eastAsiaTheme="majorEastAsia" w:cstheme="majorEastAsia"/>
          <w:b w:val="0"/>
          <w:bCs w:val="0"/>
          <w:color w:val="auto"/>
          <w:sz w:val="21"/>
          <w:szCs w:val="24"/>
          <w:highlight w:val="none"/>
          <w:u w:val="single"/>
        </w:rPr>
        <w:t xml:space="preserve">     (项目编号)    </w:t>
      </w:r>
      <w:r>
        <w:rPr>
          <w:rFonts w:hint="eastAsia" w:asciiTheme="majorEastAsia" w:hAnsiTheme="majorEastAsia" w:eastAsiaTheme="majorEastAsia" w:cstheme="majorEastAsia"/>
          <w:b w:val="0"/>
          <w:bCs w:val="0"/>
          <w:color w:val="auto"/>
          <w:sz w:val="21"/>
          <w:szCs w:val="24"/>
          <w:highlight w:val="none"/>
        </w:rPr>
        <w:t>的</w:t>
      </w:r>
      <w:r>
        <w:rPr>
          <w:rFonts w:hint="eastAsia" w:asciiTheme="majorEastAsia" w:hAnsiTheme="majorEastAsia" w:eastAsiaTheme="majorEastAsia" w:cstheme="majorEastAsia"/>
          <w:b w:val="0"/>
          <w:bCs w:val="0"/>
          <w:color w:val="auto"/>
          <w:sz w:val="21"/>
          <w:szCs w:val="24"/>
          <w:highlight w:val="none"/>
          <w:u w:val="single"/>
        </w:rPr>
        <w:t xml:space="preserve">    (项目名称)    </w:t>
      </w:r>
      <w:r>
        <w:rPr>
          <w:rFonts w:hint="eastAsia" w:asciiTheme="majorEastAsia" w:hAnsiTheme="majorEastAsia" w:eastAsiaTheme="majorEastAsia" w:cstheme="majorEastAsia"/>
          <w:b w:val="0"/>
          <w:bCs w:val="0"/>
          <w:color w:val="auto"/>
          <w:sz w:val="21"/>
          <w:szCs w:val="24"/>
          <w:highlight w:val="none"/>
        </w:rPr>
        <w:t>工程竞争性磋商文件，遵照《中华人民共和国</w:t>
      </w:r>
      <w:r>
        <w:rPr>
          <w:rFonts w:hint="eastAsia" w:asciiTheme="majorEastAsia" w:hAnsiTheme="majorEastAsia" w:eastAsiaTheme="majorEastAsia" w:cstheme="majorEastAsia"/>
          <w:b w:val="0"/>
          <w:bCs w:val="0"/>
          <w:color w:val="auto"/>
          <w:sz w:val="21"/>
          <w:szCs w:val="24"/>
          <w:highlight w:val="none"/>
          <w:lang w:eastAsia="zh-CN"/>
        </w:rPr>
        <w:t>政府</w:t>
      </w:r>
      <w:r>
        <w:rPr>
          <w:rFonts w:hint="eastAsia" w:asciiTheme="majorEastAsia" w:hAnsiTheme="majorEastAsia" w:eastAsiaTheme="majorEastAsia" w:cstheme="majorEastAsia"/>
          <w:b w:val="0"/>
          <w:bCs w:val="0"/>
          <w:color w:val="auto"/>
          <w:sz w:val="21"/>
          <w:szCs w:val="24"/>
          <w:highlight w:val="none"/>
        </w:rPr>
        <w:t>采购法》、《中华人民共和国</w:t>
      </w:r>
      <w:r>
        <w:rPr>
          <w:rFonts w:hint="eastAsia" w:asciiTheme="majorEastAsia" w:hAnsiTheme="majorEastAsia" w:eastAsiaTheme="majorEastAsia" w:cstheme="majorEastAsia"/>
          <w:b w:val="0"/>
          <w:bCs w:val="0"/>
          <w:color w:val="auto"/>
          <w:sz w:val="21"/>
          <w:szCs w:val="24"/>
          <w:highlight w:val="none"/>
          <w:lang w:eastAsia="zh-CN"/>
        </w:rPr>
        <w:t>政府</w:t>
      </w:r>
      <w:r>
        <w:rPr>
          <w:rFonts w:hint="eastAsia" w:asciiTheme="majorEastAsia" w:hAnsiTheme="majorEastAsia" w:eastAsiaTheme="majorEastAsia" w:cstheme="majorEastAsia"/>
          <w:b w:val="0"/>
          <w:bCs w:val="0"/>
          <w:color w:val="auto"/>
          <w:sz w:val="21"/>
          <w:szCs w:val="24"/>
          <w:highlight w:val="none"/>
        </w:rPr>
        <w:t>采购法实施条例》、《</w:t>
      </w:r>
      <w:r>
        <w:rPr>
          <w:rFonts w:hint="eastAsia" w:asciiTheme="majorEastAsia" w:hAnsiTheme="majorEastAsia" w:eastAsiaTheme="majorEastAsia" w:cstheme="majorEastAsia"/>
          <w:b w:val="0"/>
          <w:bCs w:val="0"/>
          <w:color w:val="auto"/>
          <w:sz w:val="21"/>
          <w:szCs w:val="24"/>
          <w:highlight w:val="none"/>
          <w:lang w:eastAsia="zh-CN"/>
        </w:rPr>
        <w:t>政府</w:t>
      </w:r>
      <w:r>
        <w:rPr>
          <w:rFonts w:hint="eastAsia" w:asciiTheme="majorEastAsia" w:hAnsiTheme="majorEastAsia" w:eastAsiaTheme="majorEastAsia" w:cstheme="majorEastAsia"/>
          <w:b w:val="0"/>
          <w:bCs w:val="0"/>
          <w:color w:val="auto"/>
          <w:sz w:val="21"/>
          <w:szCs w:val="24"/>
          <w:highlight w:val="none"/>
        </w:rPr>
        <w:t>采购竞争性磋商采购方式管理暂行办法》等有关规定，经踏勘项目现场和研究上述竞争性磋商文件的磋商须知、合同 条款、图纸、工程建设标准和工程量清单及其他有关文件后，我方愿以人民币(大 写)</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default" w:ascii="Arial" w:hAnsi="Arial" w:cs="Arial" w:eastAsiaTheme="majorEastAsia"/>
          <w:b w:val="0"/>
          <w:bCs w:val="0"/>
          <w:color w:val="auto"/>
          <w:sz w:val="21"/>
          <w:szCs w:val="24"/>
          <w:highlight w:val="none"/>
          <w:u w:val="single"/>
        </w:rPr>
        <w:t>¥</w:t>
      </w:r>
      <w:r>
        <w:rPr>
          <w:rFonts w:hint="eastAsia" w:asciiTheme="majorEastAsia" w:hAnsiTheme="majorEastAsia" w:eastAsiaTheme="majorEastAsia" w:cstheme="majorEastAsia"/>
          <w:b w:val="0"/>
          <w:bCs w:val="0"/>
          <w:color w:val="auto"/>
          <w:sz w:val="21"/>
          <w:szCs w:val="24"/>
          <w:highlight w:val="none"/>
          <w:u w:val="single"/>
        </w:rPr>
        <w:t xml:space="preserve">    元)</w:t>
      </w:r>
      <w:r>
        <w:rPr>
          <w:rFonts w:hint="eastAsia" w:asciiTheme="majorEastAsia" w:hAnsiTheme="majorEastAsia" w:eastAsiaTheme="majorEastAsia" w:cstheme="majorEastAsia"/>
          <w:b w:val="0"/>
          <w:bCs w:val="0"/>
          <w:color w:val="auto"/>
          <w:sz w:val="21"/>
          <w:szCs w:val="24"/>
          <w:highlight w:val="none"/>
        </w:rPr>
        <w:t>的磋商报价并按上述图纸、合同条款、工程建设标准和工程量清单 (如有时) 的条件要求承包上述工程的施工、竣工，并承担任何质量缺陷保修责任。我方保证工程质量达到</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rPr>
        <w:t>等级。</w:t>
      </w:r>
    </w:p>
    <w:p w14:paraId="7E4EFE07">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2、我方已详细审核全部竞争性磋商文件，包括修改文件 (如有时) 及有关附件。</w:t>
      </w:r>
    </w:p>
    <w:p w14:paraId="21CAFE48">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3、我方承认磋商函附录是我方磋商函的组成部分。</w:t>
      </w:r>
    </w:p>
    <w:p w14:paraId="258CE906">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4、我方承诺已经具备《</w:t>
      </w:r>
      <w:r>
        <w:rPr>
          <w:rFonts w:hint="eastAsia" w:asciiTheme="majorEastAsia" w:hAnsiTheme="majorEastAsia" w:eastAsiaTheme="majorEastAsia" w:cstheme="majorEastAsia"/>
          <w:b w:val="0"/>
          <w:bCs w:val="0"/>
          <w:color w:val="auto"/>
          <w:sz w:val="21"/>
          <w:szCs w:val="24"/>
          <w:highlight w:val="none"/>
          <w:lang w:eastAsia="zh-CN"/>
        </w:rPr>
        <w:t>中华人民共和国政府采购法</w:t>
      </w:r>
      <w:r>
        <w:rPr>
          <w:rFonts w:hint="eastAsia" w:asciiTheme="majorEastAsia" w:hAnsiTheme="majorEastAsia" w:eastAsiaTheme="majorEastAsia" w:cstheme="majorEastAsia"/>
          <w:b w:val="0"/>
          <w:bCs w:val="0"/>
          <w:color w:val="auto"/>
          <w:sz w:val="21"/>
          <w:szCs w:val="24"/>
          <w:highlight w:val="none"/>
        </w:rPr>
        <w:t>》中规定的参加招标投标采购活动的供应商应当具备的条件：</w:t>
      </w:r>
    </w:p>
    <w:p w14:paraId="559F51EA">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(1) 具有独立承担民事责任的能力；</w:t>
      </w:r>
    </w:p>
    <w:p w14:paraId="4A1D1251">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(2) 具有良好的商业信誉和健全的财务会计制度；</w:t>
      </w:r>
    </w:p>
    <w:p w14:paraId="465BD18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(3) 具有履行合同所必需的设备和专业技术能力；</w:t>
      </w:r>
    </w:p>
    <w:p w14:paraId="0CCB1FDE">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(4) 有依法缴纳税收和社会保障资金的良好记录；</w:t>
      </w:r>
    </w:p>
    <w:p w14:paraId="4EA1CAC0">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(5) 参加招标投标采购活动前三年内，在经营活动中没有重大违法记录；</w:t>
      </w:r>
    </w:p>
    <w:p w14:paraId="079EEA78">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(6) 法律、行政法规规定的其他条件。</w:t>
      </w:r>
    </w:p>
    <w:p w14:paraId="1D1E8E7A">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5、一旦我方成交，我方保证按合同书中规定的工期</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u w:val="none"/>
        </w:rPr>
        <w:t>日</w:t>
      </w:r>
      <w:r>
        <w:rPr>
          <w:rFonts w:hint="eastAsia" w:asciiTheme="majorEastAsia" w:hAnsiTheme="majorEastAsia" w:eastAsiaTheme="majorEastAsia" w:cstheme="majorEastAsia"/>
          <w:b w:val="0"/>
          <w:bCs w:val="0"/>
          <w:color w:val="auto"/>
          <w:sz w:val="21"/>
          <w:szCs w:val="24"/>
          <w:highlight w:val="none"/>
        </w:rPr>
        <w:t>历天内完成并移交全部工程。</w:t>
      </w:r>
    </w:p>
    <w:p w14:paraId="58DFB6A4">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lang w:val="en-US" w:eastAsia="zh-CN"/>
        </w:rPr>
        <w:t>6</w:t>
      </w:r>
      <w:r>
        <w:rPr>
          <w:rFonts w:hint="eastAsia" w:asciiTheme="majorEastAsia" w:hAnsiTheme="majorEastAsia" w:eastAsiaTheme="majorEastAsia" w:cstheme="majorEastAsia"/>
          <w:b w:val="0"/>
          <w:bCs w:val="0"/>
          <w:color w:val="auto"/>
          <w:sz w:val="21"/>
          <w:szCs w:val="24"/>
          <w:highlight w:val="none"/>
        </w:rPr>
        <w:t>、我方同意所提交的响应文件在竞争性磋商文件的“磋商须知”中第 11 条规定的响应文件有效期内有效，在此期间内如果成交，我方将受此约束。</w:t>
      </w:r>
    </w:p>
    <w:p w14:paraId="4C3329D2">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8、除非另外达成协议并生效，你方的成交通知书和本响应文件将成为约束双方的合同文件的组成部分。</w:t>
      </w:r>
    </w:p>
    <w:p w14:paraId="1C8B7595">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p>
    <w:p w14:paraId="7973A05B">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供 应 商（电子签章）：</w:t>
      </w:r>
      <w:r>
        <w:rPr>
          <w:rFonts w:hint="eastAsia" w:asciiTheme="majorEastAsia" w:hAnsiTheme="majorEastAsia" w:eastAsiaTheme="majorEastAsia" w:cstheme="majorEastAsia"/>
          <w:b w:val="0"/>
          <w:bCs w:val="0"/>
          <w:color w:val="auto"/>
          <w:sz w:val="21"/>
          <w:szCs w:val="24"/>
          <w:highlight w:val="none"/>
          <w:u w:val="single"/>
        </w:rPr>
        <w:t xml:space="preserve">      </w:t>
      </w:r>
      <w:r>
        <w:rPr>
          <w:rFonts w:hint="eastAsia" w:asciiTheme="majorEastAsia" w:hAnsiTheme="majorEastAsia" w:eastAsiaTheme="majorEastAsia" w:cstheme="majorEastAsia"/>
          <w:b w:val="0"/>
          <w:bCs w:val="0"/>
          <w:color w:val="auto"/>
          <w:sz w:val="21"/>
          <w:szCs w:val="24"/>
          <w:highlight w:val="none"/>
          <w:u w:val="single"/>
          <w:lang w:val="en-US" w:eastAsia="zh-CN"/>
        </w:rPr>
        <w:t xml:space="preserve">    </w:t>
      </w:r>
      <w:r>
        <w:rPr>
          <w:rFonts w:hint="eastAsia" w:asciiTheme="majorEastAsia" w:hAnsiTheme="majorEastAsia" w:eastAsiaTheme="majorEastAsia" w:cstheme="majorEastAsia"/>
          <w:b w:val="0"/>
          <w:bCs w:val="0"/>
          <w:color w:val="auto"/>
          <w:sz w:val="21"/>
          <w:szCs w:val="24"/>
          <w:highlight w:val="none"/>
          <w:u w:val="single"/>
        </w:rPr>
        <w:t xml:space="preserve">       </w:t>
      </w:r>
    </w:p>
    <w:p w14:paraId="39F132E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法定代表人或其委托代理人</w:t>
      </w:r>
      <w:r>
        <w:rPr>
          <w:rFonts w:hint="eastAsia" w:ascii="宋体" w:hAnsi="宋体"/>
          <w:color w:val="auto"/>
          <w:sz w:val="24"/>
          <w:szCs w:val="24"/>
          <w:highlight w:val="none"/>
        </w:rPr>
        <w:t>（签字或者电子签名）</w:t>
      </w:r>
      <w:r>
        <w:rPr>
          <w:rFonts w:hint="eastAsia" w:asciiTheme="majorEastAsia" w:hAnsiTheme="majorEastAsia" w:eastAsiaTheme="majorEastAsia" w:cstheme="majorEastAsia"/>
          <w:b w:val="0"/>
          <w:bCs w:val="0"/>
          <w:color w:val="auto"/>
          <w:sz w:val="21"/>
          <w:szCs w:val="24"/>
          <w:highlight w:val="none"/>
        </w:rPr>
        <w:t xml:space="preserve">：    </w:t>
      </w:r>
    </w:p>
    <w:p w14:paraId="50A6D8FB">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单位地址：     </w:t>
      </w:r>
    </w:p>
    <w:p w14:paraId="30E2C28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邮政编码：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电话：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传真：</w:t>
      </w:r>
    </w:p>
    <w:p w14:paraId="57B68B7D">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开户银行名称：</w:t>
      </w:r>
    </w:p>
    <w:p w14:paraId="31011324">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开户银行账号：</w:t>
      </w:r>
    </w:p>
    <w:p w14:paraId="6BB67309">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开户银行地址：</w:t>
      </w:r>
    </w:p>
    <w:p w14:paraId="2A336250">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r>
        <w:rPr>
          <w:rFonts w:hint="eastAsia" w:asciiTheme="majorEastAsia" w:hAnsiTheme="majorEastAsia" w:eastAsiaTheme="majorEastAsia" w:cstheme="majorEastAsia"/>
          <w:b w:val="0"/>
          <w:bCs w:val="0"/>
          <w:color w:val="auto"/>
          <w:sz w:val="21"/>
          <w:szCs w:val="24"/>
          <w:highlight w:val="none"/>
        </w:rPr>
        <w:t xml:space="preserve">日期：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年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月 </w:t>
      </w:r>
      <w:r>
        <w:rPr>
          <w:rFonts w:hint="eastAsia" w:asciiTheme="majorEastAsia" w:hAnsiTheme="majorEastAsia" w:eastAsiaTheme="majorEastAsia" w:cstheme="majorEastAsia"/>
          <w:b w:val="0"/>
          <w:bCs w:val="0"/>
          <w:color w:val="auto"/>
          <w:sz w:val="21"/>
          <w:szCs w:val="24"/>
          <w:highlight w:val="none"/>
          <w:lang w:val="en-US" w:eastAsia="zh-CN"/>
        </w:rPr>
        <w:t xml:space="preserve"> </w:t>
      </w:r>
      <w:r>
        <w:rPr>
          <w:rFonts w:hint="eastAsia" w:asciiTheme="majorEastAsia" w:hAnsiTheme="majorEastAsia" w:eastAsiaTheme="majorEastAsia" w:cstheme="majorEastAsia"/>
          <w:b w:val="0"/>
          <w:bCs w:val="0"/>
          <w:color w:val="auto"/>
          <w:sz w:val="21"/>
          <w:szCs w:val="24"/>
          <w:highlight w:val="none"/>
        </w:rPr>
        <w:t xml:space="preserve"> 日</w:t>
      </w:r>
    </w:p>
    <w:p w14:paraId="56240434">
      <w:pPr>
        <w:pStyle w:val="49"/>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both"/>
        <w:textAlignment w:val="auto"/>
        <w:rPr>
          <w:rFonts w:hint="eastAsia" w:asciiTheme="majorEastAsia" w:hAnsiTheme="majorEastAsia" w:eastAsiaTheme="majorEastAsia" w:cstheme="majorEastAsia"/>
          <w:b w:val="0"/>
          <w:bCs w:val="0"/>
          <w:color w:val="auto"/>
          <w:sz w:val="21"/>
          <w:szCs w:val="24"/>
          <w:highlight w:val="none"/>
        </w:rPr>
      </w:pPr>
    </w:p>
    <w:p w14:paraId="5C3A211C">
      <w:pPr>
        <w:pStyle w:val="4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磋商函附录</w:t>
      </w:r>
      <w:r>
        <w:rPr>
          <w:rFonts w:hint="eastAsia" w:asciiTheme="majorEastAsia" w:hAnsiTheme="majorEastAsia" w:eastAsiaTheme="majorEastAsia" w:cstheme="majorEastAsia"/>
          <w:b/>
          <w:bCs/>
          <w:color w:val="auto"/>
          <w:sz w:val="28"/>
          <w:szCs w:val="28"/>
          <w:highlight w:val="none"/>
          <w:lang w:eastAsia="zh-CN"/>
        </w:rPr>
        <w:t>（格式）</w:t>
      </w:r>
    </w:p>
    <w:p w14:paraId="3C1151FA">
      <w:pPr>
        <w:pStyle w:val="49"/>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p>
    <w:tbl>
      <w:tblPr>
        <w:tblStyle w:val="61"/>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35C2D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007EECF1">
            <w:pPr>
              <w:spacing w:before="181" w:line="230"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序号</w:t>
            </w:r>
          </w:p>
        </w:tc>
        <w:tc>
          <w:tcPr>
            <w:tcW w:w="3424" w:type="dxa"/>
            <w:vAlign w:val="top"/>
          </w:tcPr>
          <w:p w14:paraId="1863E3E6">
            <w:pPr>
              <w:spacing w:before="181" w:line="228" w:lineRule="auto"/>
              <w:ind w:left="129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条款内</w:t>
            </w:r>
            <w:r>
              <w:rPr>
                <w:rFonts w:hint="eastAsia" w:ascii="宋体" w:hAnsi="宋体" w:eastAsia="宋体" w:cs="宋体"/>
                <w:color w:val="auto"/>
                <w:spacing w:val="6"/>
                <w:sz w:val="21"/>
                <w:szCs w:val="21"/>
                <w:highlight w:val="none"/>
              </w:rPr>
              <w:t>容</w:t>
            </w:r>
          </w:p>
        </w:tc>
        <w:tc>
          <w:tcPr>
            <w:tcW w:w="2818" w:type="dxa"/>
            <w:vAlign w:val="top"/>
          </w:tcPr>
          <w:p w14:paraId="4DFBAB9E">
            <w:pPr>
              <w:spacing w:before="181" w:line="228" w:lineRule="auto"/>
              <w:ind w:left="10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约定内容</w:t>
            </w:r>
          </w:p>
        </w:tc>
        <w:tc>
          <w:tcPr>
            <w:tcW w:w="1696" w:type="dxa"/>
            <w:vAlign w:val="top"/>
          </w:tcPr>
          <w:p w14:paraId="51439B7B">
            <w:pPr>
              <w:spacing w:before="181" w:line="230" w:lineRule="auto"/>
              <w:ind w:left="64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w:t>
            </w:r>
            <w:r>
              <w:rPr>
                <w:rFonts w:hint="eastAsia" w:ascii="宋体" w:hAnsi="宋体" w:eastAsia="宋体" w:cs="宋体"/>
                <w:color w:val="auto"/>
                <w:spacing w:val="3"/>
                <w:sz w:val="21"/>
                <w:szCs w:val="21"/>
                <w:highlight w:val="none"/>
              </w:rPr>
              <w:t>注</w:t>
            </w:r>
          </w:p>
        </w:tc>
      </w:tr>
      <w:tr w14:paraId="0745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5CF1482">
            <w:pPr>
              <w:spacing w:before="211" w:line="193" w:lineRule="auto"/>
              <w:ind w:left="4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24" w:type="dxa"/>
            <w:vAlign w:val="top"/>
          </w:tcPr>
          <w:p w14:paraId="6725656E">
            <w:pPr>
              <w:spacing w:before="180" w:line="229" w:lineRule="auto"/>
              <w:ind w:left="13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项</w:t>
            </w:r>
            <w:r>
              <w:rPr>
                <w:rFonts w:hint="eastAsia" w:ascii="宋体" w:hAnsi="宋体" w:eastAsia="宋体" w:cs="宋体"/>
                <w:color w:val="auto"/>
                <w:spacing w:val="6"/>
                <w:sz w:val="21"/>
                <w:szCs w:val="21"/>
                <w:highlight w:val="none"/>
              </w:rPr>
              <w:t>目经理</w:t>
            </w:r>
          </w:p>
        </w:tc>
        <w:tc>
          <w:tcPr>
            <w:tcW w:w="2818" w:type="dxa"/>
            <w:vAlign w:val="top"/>
          </w:tcPr>
          <w:p w14:paraId="0483C0DE">
            <w:pPr>
              <w:spacing w:before="180" w:line="228"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姓名：</w:t>
            </w:r>
          </w:p>
        </w:tc>
        <w:tc>
          <w:tcPr>
            <w:tcW w:w="1696" w:type="dxa"/>
            <w:vAlign w:val="top"/>
          </w:tcPr>
          <w:p w14:paraId="45682D10">
            <w:pPr>
              <w:rPr>
                <w:rFonts w:hint="eastAsia" w:ascii="宋体" w:hAnsi="宋体" w:eastAsia="宋体" w:cs="宋体"/>
                <w:color w:val="auto"/>
                <w:sz w:val="21"/>
                <w:szCs w:val="21"/>
                <w:highlight w:val="none"/>
              </w:rPr>
            </w:pPr>
          </w:p>
        </w:tc>
      </w:tr>
      <w:tr w14:paraId="6F4F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275FE796">
            <w:pPr>
              <w:spacing w:before="211" w:line="192" w:lineRule="auto"/>
              <w:ind w:left="4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24" w:type="dxa"/>
            <w:vAlign w:val="top"/>
          </w:tcPr>
          <w:p w14:paraId="4CC51DC6">
            <w:pPr>
              <w:spacing w:before="179" w:line="228" w:lineRule="auto"/>
              <w:ind w:left="99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响</w:t>
            </w:r>
            <w:r>
              <w:rPr>
                <w:rFonts w:hint="eastAsia" w:ascii="宋体" w:hAnsi="宋体" w:eastAsia="宋体" w:cs="宋体"/>
                <w:color w:val="auto"/>
                <w:spacing w:val="7"/>
                <w:sz w:val="21"/>
                <w:szCs w:val="21"/>
                <w:highlight w:val="none"/>
              </w:rPr>
              <w:t>应文件有效期</w:t>
            </w:r>
          </w:p>
        </w:tc>
        <w:tc>
          <w:tcPr>
            <w:tcW w:w="2818" w:type="dxa"/>
            <w:vAlign w:val="top"/>
          </w:tcPr>
          <w:p w14:paraId="74E0965A">
            <w:pPr>
              <w:rPr>
                <w:rFonts w:hint="eastAsia" w:ascii="宋体" w:hAnsi="宋体" w:eastAsia="宋体" w:cs="宋体"/>
                <w:color w:val="auto"/>
                <w:sz w:val="21"/>
                <w:szCs w:val="21"/>
                <w:highlight w:val="none"/>
              </w:rPr>
            </w:pPr>
          </w:p>
        </w:tc>
        <w:tc>
          <w:tcPr>
            <w:tcW w:w="1696" w:type="dxa"/>
            <w:vAlign w:val="top"/>
          </w:tcPr>
          <w:p w14:paraId="481A79AE">
            <w:pPr>
              <w:rPr>
                <w:rFonts w:hint="eastAsia" w:ascii="宋体" w:hAnsi="宋体" w:eastAsia="宋体" w:cs="宋体"/>
                <w:color w:val="auto"/>
                <w:sz w:val="21"/>
                <w:szCs w:val="21"/>
                <w:highlight w:val="none"/>
              </w:rPr>
            </w:pPr>
          </w:p>
        </w:tc>
      </w:tr>
      <w:tr w14:paraId="32CC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852196F">
            <w:pPr>
              <w:spacing w:before="212" w:line="190" w:lineRule="auto"/>
              <w:ind w:left="4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424" w:type="dxa"/>
            <w:vAlign w:val="top"/>
          </w:tcPr>
          <w:p w14:paraId="76A62F58">
            <w:pPr>
              <w:spacing w:before="179" w:line="229" w:lineRule="auto"/>
              <w:ind w:left="151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工</w:t>
            </w:r>
            <w:r>
              <w:rPr>
                <w:rFonts w:hint="eastAsia" w:ascii="宋体" w:hAnsi="宋体" w:eastAsia="宋体" w:cs="宋体"/>
                <w:color w:val="auto"/>
                <w:spacing w:val="3"/>
                <w:sz w:val="21"/>
                <w:szCs w:val="21"/>
                <w:highlight w:val="none"/>
              </w:rPr>
              <w:t>期</w:t>
            </w:r>
          </w:p>
        </w:tc>
        <w:tc>
          <w:tcPr>
            <w:tcW w:w="2818" w:type="dxa"/>
            <w:vAlign w:val="top"/>
          </w:tcPr>
          <w:p w14:paraId="63C12B9A">
            <w:pPr>
              <w:tabs>
                <w:tab w:val="left" w:pos="1506"/>
              </w:tabs>
              <w:spacing w:before="179" w:line="229" w:lineRule="auto"/>
              <w:ind w:left="8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5"/>
                <w:sz w:val="21"/>
                <w:szCs w:val="21"/>
                <w:highlight w:val="none"/>
              </w:rPr>
              <w:t>日历天</w:t>
            </w:r>
          </w:p>
        </w:tc>
        <w:tc>
          <w:tcPr>
            <w:tcW w:w="1696" w:type="dxa"/>
            <w:vAlign w:val="top"/>
          </w:tcPr>
          <w:p w14:paraId="6C3FA04B">
            <w:pPr>
              <w:rPr>
                <w:rFonts w:hint="eastAsia" w:ascii="宋体" w:hAnsi="宋体" w:eastAsia="宋体" w:cs="宋体"/>
                <w:color w:val="auto"/>
                <w:sz w:val="21"/>
                <w:szCs w:val="21"/>
                <w:highlight w:val="none"/>
              </w:rPr>
            </w:pPr>
          </w:p>
        </w:tc>
      </w:tr>
      <w:tr w14:paraId="09F7E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014DD5F2">
            <w:pPr>
              <w:spacing w:before="215" w:line="189" w:lineRule="auto"/>
              <w:ind w:left="456"/>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424" w:type="dxa"/>
            <w:vAlign w:val="top"/>
          </w:tcPr>
          <w:p w14:paraId="662F6DA1">
            <w:pPr>
              <w:spacing w:before="181" w:line="229" w:lineRule="auto"/>
              <w:ind w:left="129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质量标准</w:t>
            </w:r>
          </w:p>
        </w:tc>
        <w:tc>
          <w:tcPr>
            <w:tcW w:w="2818" w:type="dxa"/>
            <w:vAlign w:val="top"/>
          </w:tcPr>
          <w:p w14:paraId="7B8E6116">
            <w:pPr>
              <w:rPr>
                <w:rFonts w:hint="eastAsia" w:ascii="宋体" w:hAnsi="宋体" w:eastAsia="宋体" w:cs="宋体"/>
                <w:color w:val="auto"/>
                <w:sz w:val="21"/>
                <w:szCs w:val="21"/>
                <w:highlight w:val="none"/>
              </w:rPr>
            </w:pPr>
          </w:p>
        </w:tc>
        <w:tc>
          <w:tcPr>
            <w:tcW w:w="1696" w:type="dxa"/>
            <w:vAlign w:val="top"/>
          </w:tcPr>
          <w:p w14:paraId="23ADDE5C">
            <w:pPr>
              <w:rPr>
                <w:rFonts w:hint="eastAsia" w:ascii="宋体" w:hAnsi="宋体" w:eastAsia="宋体" w:cs="宋体"/>
                <w:color w:val="auto"/>
                <w:sz w:val="21"/>
                <w:szCs w:val="21"/>
                <w:highlight w:val="none"/>
              </w:rPr>
            </w:pPr>
          </w:p>
        </w:tc>
      </w:tr>
      <w:tr w14:paraId="6234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2535AB62">
            <w:pPr>
              <w:spacing w:before="215" w:line="189"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3424" w:type="dxa"/>
            <w:vAlign w:val="top"/>
          </w:tcPr>
          <w:p w14:paraId="0E3BB455">
            <w:pPr>
              <w:spacing w:before="181" w:line="229" w:lineRule="auto"/>
              <w:ind w:left="1297"/>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付款条件</w:t>
            </w:r>
          </w:p>
        </w:tc>
        <w:tc>
          <w:tcPr>
            <w:tcW w:w="2818" w:type="dxa"/>
            <w:vAlign w:val="top"/>
          </w:tcPr>
          <w:p w14:paraId="08D8E57D">
            <w:pPr>
              <w:rPr>
                <w:rFonts w:hint="eastAsia" w:ascii="宋体" w:hAnsi="宋体" w:eastAsia="宋体" w:cs="宋体"/>
                <w:color w:val="auto"/>
                <w:sz w:val="21"/>
                <w:szCs w:val="21"/>
                <w:highlight w:val="none"/>
              </w:rPr>
            </w:pPr>
          </w:p>
        </w:tc>
        <w:tc>
          <w:tcPr>
            <w:tcW w:w="1696" w:type="dxa"/>
            <w:vAlign w:val="top"/>
          </w:tcPr>
          <w:p w14:paraId="5A033DC8">
            <w:pPr>
              <w:rPr>
                <w:rFonts w:hint="eastAsia" w:ascii="宋体" w:hAnsi="宋体" w:eastAsia="宋体" w:cs="宋体"/>
                <w:color w:val="auto"/>
                <w:sz w:val="21"/>
                <w:szCs w:val="21"/>
                <w:highlight w:val="none"/>
              </w:rPr>
            </w:pPr>
          </w:p>
        </w:tc>
      </w:tr>
      <w:tr w14:paraId="41490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6F6ACBDB">
            <w:pPr>
              <w:spacing w:before="181" w:line="325" w:lineRule="exact"/>
              <w:ind w:left="306"/>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w:t>
            </w:r>
          </w:p>
        </w:tc>
        <w:tc>
          <w:tcPr>
            <w:tcW w:w="3424" w:type="dxa"/>
            <w:vAlign w:val="top"/>
          </w:tcPr>
          <w:p w14:paraId="2280CE13">
            <w:pPr>
              <w:spacing w:before="181" w:line="325" w:lineRule="exact"/>
              <w:ind w:left="1521"/>
              <w:rPr>
                <w:rFonts w:hint="eastAsia" w:ascii="宋体" w:hAnsi="宋体" w:eastAsia="宋体" w:cs="宋体"/>
                <w:color w:val="auto"/>
                <w:sz w:val="21"/>
                <w:szCs w:val="21"/>
                <w:highlight w:val="none"/>
              </w:rPr>
            </w:pPr>
            <w:r>
              <w:rPr>
                <w:rFonts w:hint="eastAsia" w:ascii="宋体" w:hAnsi="宋体" w:eastAsia="宋体" w:cs="宋体"/>
                <w:color w:val="auto"/>
                <w:spacing w:val="4"/>
                <w:position w:val="3"/>
                <w:sz w:val="21"/>
                <w:szCs w:val="21"/>
                <w:highlight w:val="none"/>
              </w:rPr>
              <w:t>……</w:t>
            </w:r>
          </w:p>
        </w:tc>
        <w:tc>
          <w:tcPr>
            <w:tcW w:w="2818" w:type="dxa"/>
            <w:vAlign w:val="top"/>
          </w:tcPr>
          <w:p w14:paraId="58955EB0">
            <w:pPr>
              <w:rPr>
                <w:rFonts w:hint="eastAsia" w:ascii="宋体" w:hAnsi="宋体" w:eastAsia="宋体" w:cs="宋体"/>
                <w:color w:val="auto"/>
                <w:sz w:val="21"/>
                <w:szCs w:val="21"/>
                <w:highlight w:val="none"/>
              </w:rPr>
            </w:pPr>
          </w:p>
        </w:tc>
        <w:tc>
          <w:tcPr>
            <w:tcW w:w="1696" w:type="dxa"/>
            <w:vAlign w:val="top"/>
          </w:tcPr>
          <w:p w14:paraId="52864822">
            <w:pPr>
              <w:rPr>
                <w:rFonts w:hint="eastAsia" w:ascii="宋体" w:hAnsi="宋体" w:eastAsia="宋体" w:cs="宋体"/>
                <w:color w:val="auto"/>
                <w:sz w:val="21"/>
                <w:szCs w:val="21"/>
                <w:highlight w:val="none"/>
              </w:rPr>
            </w:pPr>
          </w:p>
        </w:tc>
      </w:tr>
      <w:tr w14:paraId="1883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701EE0C7">
            <w:pPr>
              <w:keepNext w:val="0"/>
              <w:keepLines w:val="0"/>
              <w:pageBreakBefore w:val="0"/>
              <w:widowControl w:val="0"/>
              <w:kinsoku/>
              <w:wordWrap/>
              <w:overflowPunct/>
              <w:topLinePunct w:val="0"/>
              <w:autoSpaceDE/>
              <w:autoSpaceDN/>
              <w:bidi w:val="0"/>
              <w:adjustRightInd/>
              <w:snapToGrid/>
              <w:spacing w:line="400" w:lineRule="exact"/>
              <w:ind w:left="119" w:right="102" w:firstLine="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备</w:t>
            </w:r>
            <w:r>
              <w:rPr>
                <w:rFonts w:hint="eastAsia" w:ascii="宋体" w:hAnsi="宋体" w:eastAsia="宋体" w:cs="宋体"/>
                <w:color w:val="auto"/>
                <w:spacing w:val="7"/>
                <w:sz w:val="21"/>
                <w:szCs w:val="21"/>
                <w:highlight w:val="none"/>
              </w:rPr>
              <w:t>注：供应商在响应竞争性磋商文件中规定的实质性要求和条件的基础上，可做出其他有利于采</w:t>
            </w:r>
            <w:r>
              <w:rPr>
                <w:rFonts w:hint="eastAsia" w:ascii="宋体" w:hAnsi="宋体" w:eastAsia="宋体" w:cs="宋体"/>
                <w:color w:val="auto"/>
                <w:spacing w:val="13"/>
                <w:sz w:val="21"/>
                <w:szCs w:val="21"/>
                <w:highlight w:val="none"/>
              </w:rPr>
              <w:t>购</w:t>
            </w:r>
            <w:r>
              <w:rPr>
                <w:rFonts w:hint="eastAsia" w:ascii="宋体" w:hAnsi="宋体" w:eastAsia="宋体" w:cs="宋体"/>
                <w:color w:val="auto"/>
                <w:spacing w:val="9"/>
                <w:sz w:val="21"/>
                <w:szCs w:val="21"/>
                <w:highlight w:val="none"/>
              </w:rPr>
              <w:t>单位的承诺。此类承诺可在本表中予以补充填写。</w:t>
            </w:r>
          </w:p>
        </w:tc>
      </w:tr>
    </w:tbl>
    <w:p w14:paraId="14AB8EE7">
      <w:pPr>
        <w:pStyle w:val="49"/>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both"/>
        <w:textAlignment w:val="auto"/>
        <w:rPr>
          <w:rFonts w:hint="eastAsia" w:asciiTheme="majorEastAsia" w:hAnsiTheme="majorEastAsia" w:eastAsiaTheme="majorEastAsia" w:cstheme="majorEastAsia"/>
          <w:b/>
          <w:bCs/>
          <w:color w:val="auto"/>
          <w:sz w:val="24"/>
          <w:szCs w:val="32"/>
          <w:highlight w:val="none"/>
        </w:rPr>
      </w:pPr>
    </w:p>
    <w:p w14:paraId="6D49E11E">
      <w:pPr>
        <w:spacing w:line="360" w:lineRule="auto"/>
        <w:ind w:right="480"/>
        <w:contextualSpacing/>
        <w:jc w:val="center"/>
        <w:rPr>
          <w:rFonts w:hint="eastAsia" w:ascii="宋体" w:hAnsi="宋体"/>
          <w:color w:val="auto"/>
          <w:sz w:val="24"/>
          <w:szCs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法定代表人或者委托代理人（签字或者电子签名）：</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6E6860E1">
      <w:pPr>
        <w:spacing w:line="360" w:lineRule="auto"/>
        <w:ind w:right="480" w:firstLine="3360" w:firstLineChars="1400"/>
        <w:contextualSpacing/>
        <w:rPr>
          <w:rFonts w:hint="eastAsia" w:ascii="宋体" w:hAnsi="宋体"/>
          <w:color w:val="auto"/>
          <w:sz w:val="24"/>
          <w:szCs w:val="24"/>
          <w:highlight w:val="none"/>
        </w:rPr>
      </w:pPr>
      <w:r>
        <w:rPr>
          <w:rFonts w:hint="eastAsia" w:ascii="宋体" w:hAnsi="宋体"/>
          <w:color w:val="auto"/>
          <w:sz w:val="24"/>
          <w:szCs w:val="24"/>
          <w:highlight w:val="none"/>
        </w:rPr>
        <w:t>供应商（电子签章）：</w:t>
      </w:r>
      <w:r>
        <w:rPr>
          <w:rFonts w:hint="eastAsia" w:ascii="宋体" w:hAnsi="宋体"/>
          <w:color w:val="auto"/>
          <w:sz w:val="24"/>
          <w:szCs w:val="24"/>
          <w:highlight w:val="none"/>
          <w:u w:val="single"/>
        </w:rPr>
        <w:t xml:space="preserve">                </w:t>
      </w:r>
    </w:p>
    <w:p w14:paraId="74FEDB4C">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08D07B25">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3F4AF95A">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02CE0B5A">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051EC5A1">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0A2250B">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195AD76">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5BCBB245">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346069A6">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5A24C179">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49ACAC7D">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s="方正小标宋简体"/>
          <w:b/>
          <w:bCs/>
          <w:color w:val="auto"/>
          <w:sz w:val="32"/>
          <w:szCs w:val="32"/>
          <w:highlight w:val="none"/>
        </w:rPr>
        <w:t>竞标报价表</w:t>
      </w:r>
      <w:r>
        <w:rPr>
          <w:rFonts w:hint="eastAsia" w:asciiTheme="majorEastAsia" w:hAnsiTheme="majorEastAsia" w:eastAsiaTheme="majorEastAsia" w:cstheme="majorEastAsia"/>
          <w:b/>
          <w:bCs/>
          <w:color w:val="auto"/>
          <w:sz w:val="28"/>
          <w:szCs w:val="28"/>
          <w:highlight w:val="none"/>
          <w:lang w:eastAsia="zh-CN"/>
        </w:rPr>
        <w:t>（格式）</w:t>
      </w:r>
    </w:p>
    <w:p w14:paraId="6F481893">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961E59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单位：元</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6418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3EFB758">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25ECE0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eastAsia="zh-CN"/>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577950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6F53B952">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4AEDD1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58FD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70B689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428B567">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D764EB">
            <w:pPr>
              <w:spacing w:line="360" w:lineRule="auto"/>
              <w:contextualSpacing/>
              <w:jc w:val="center"/>
              <w:rPr>
                <w:rFonts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1C5925B4">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6D84EAB">
            <w:pPr>
              <w:spacing w:line="360" w:lineRule="auto"/>
              <w:contextualSpacing/>
              <w:rPr>
                <w:rFonts w:ascii="宋体" w:hAnsi="宋体" w:cs="仿宋_GB2312"/>
                <w:color w:val="auto"/>
                <w:sz w:val="24"/>
                <w:highlight w:val="none"/>
              </w:rPr>
            </w:pPr>
          </w:p>
        </w:tc>
      </w:tr>
      <w:tr w14:paraId="286F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16B6A88">
            <w:pPr>
              <w:spacing w:line="360" w:lineRule="auto"/>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E4BC18E">
            <w:pPr>
              <w:spacing w:line="360" w:lineRule="auto"/>
              <w:contextualSpacing/>
              <w:jc w:val="center"/>
              <w:rPr>
                <w:rFonts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6476201">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4D37F703">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22B9860">
            <w:pPr>
              <w:spacing w:line="360" w:lineRule="auto"/>
              <w:contextualSpacing/>
              <w:rPr>
                <w:rFonts w:ascii="宋体" w:hAnsi="宋体" w:cs="仿宋_GB2312"/>
                <w:color w:val="auto"/>
                <w:sz w:val="24"/>
                <w:highlight w:val="none"/>
              </w:rPr>
            </w:pPr>
          </w:p>
        </w:tc>
      </w:tr>
      <w:tr w14:paraId="6CAD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3D6AFF7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D1DD607">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w:t>
      </w:r>
    </w:p>
    <w:p w14:paraId="46DE88B3">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601023B">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5E2FC249">
      <w:pPr>
        <w:spacing w:line="360" w:lineRule="auto"/>
        <w:ind w:firstLine="482" w:firstLineChars="200"/>
        <w:contextualSpacing/>
        <w:jc w:val="left"/>
        <w:rPr>
          <w:rFonts w:hint="default" w:ascii="宋体" w:hAnsi="宋体" w:cs="仿宋_GB2312"/>
          <w:b/>
          <w:bCs/>
          <w:color w:val="auto"/>
          <w:sz w:val="24"/>
          <w:highlight w:val="none"/>
          <w:lang w:val="en-US" w:eastAsia="zh-CN"/>
        </w:rPr>
      </w:pPr>
      <w:r>
        <w:rPr>
          <w:rFonts w:hint="eastAsia" w:ascii="宋体" w:hAnsi="宋体" w:cs="仿宋_GB2312"/>
          <w:b/>
          <w:bCs/>
          <w:color w:val="auto"/>
          <w:sz w:val="24"/>
          <w:highlight w:val="none"/>
          <w:lang w:val="en-US" w:eastAsia="zh-CN"/>
        </w:rPr>
        <w:t>3.</w:t>
      </w:r>
      <w:r>
        <w:rPr>
          <w:rFonts w:hint="eastAsia" w:ascii="宋体" w:hAnsi="宋体" w:eastAsia="宋体" w:cs="宋体"/>
          <w:b/>
          <w:bCs/>
          <w:color w:val="auto"/>
          <w:sz w:val="24"/>
          <w:szCs w:val="24"/>
          <w:highlight w:val="none"/>
          <w:lang w:val="en-US" w:eastAsia="zh-CN"/>
        </w:rPr>
        <w:t>在</w:t>
      </w:r>
      <w:r>
        <w:rPr>
          <w:rFonts w:hint="eastAsia" w:ascii="宋体" w:hAnsi="宋体" w:cs="宋体"/>
          <w:b/>
          <w:bCs/>
          <w:color w:val="auto"/>
          <w:sz w:val="24"/>
          <w:szCs w:val="24"/>
          <w:highlight w:val="none"/>
          <w:lang w:val="en-US" w:eastAsia="zh-CN"/>
        </w:rPr>
        <w:t>广西政府采购云平台</w:t>
      </w:r>
      <w:r>
        <w:rPr>
          <w:rFonts w:hint="eastAsia" w:ascii="宋体" w:hAnsi="宋体" w:eastAsia="宋体" w:cs="宋体"/>
          <w:b/>
          <w:bCs/>
          <w:color w:val="auto"/>
          <w:sz w:val="24"/>
          <w:szCs w:val="24"/>
          <w:highlight w:val="none"/>
          <w:lang w:val="en-US" w:eastAsia="zh-CN"/>
        </w:rPr>
        <w:t>评审过程中，</w:t>
      </w:r>
      <w:r>
        <w:rPr>
          <w:rFonts w:hint="eastAsia" w:ascii="宋体" w:hAnsi="宋体" w:cs="宋体"/>
          <w:b/>
          <w:bCs/>
          <w:color w:val="auto"/>
          <w:sz w:val="24"/>
          <w:szCs w:val="24"/>
          <w:highlight w:val="none"/>
          <w:lang w:val="en-US" w:eastAsia="zh-CN"/>
        </w:rPr>
        <w:t>供应商提交的</w:t>
      </w:r>
      <w:r>
        <w:rPr>
          <w:rFonts w:hint="eastAsia" w:ascii="宋体" w:hAnsi="宋体" w:cs="仿宋_GB2312"/>
          <w:b/>
          <w:bCs/>
          <w:color w:val="auto"/>
          <w:sz w:val="24"/>
          <w:highlight w:val="none"/>
        </w:rPr>
        <w:t>最后报价与首次报价相比有调整的</w:t>
      </w:r>
      <w:r>
        <w:rPr>
          <w:rFonts w:hint="eastAsia" w:ascii="宋体" w:hAnsi="宋体" w:cs="仿宋_GB2312"/>
          <w:b/>
          <w:bCs/>
          <w:color w:val="auto"/>
          <w:sz w:val="24"/>
          <w:highlight w:val="none"/>
          <w:lang w:eastAsia="zh-CN"/>
        </w:rPr>
        <w:t>，必须同时上传相对应的“已标价的工程量清单”作为附件，</w:t>
      </w:r>
      <w:r>
        <w:rPr>
          <w:rFonts w:hint="eastAsia" w:ascii="宋体" w:hAnsi="宋体" w:cs="仿宋_GB2312"/>
          <w:b/>
          <w:bCs/>
          <w:color w:val="auto"/>
          <w:sz w:val="24"/>
          <w:highlight w:val="none"/>
        </w:rPr>
        <w:t>否则其响应文件按无效处理。</w:t>
      </w:r>
    </w:p>
    <w:p w14:paraId="4FD84B92">
      <w:pPr>
        <w:spacing w:line="360" w:lineRule="auto"/>
        <w:ind w:right="-817" w:rightChars="-389"/>
        <w:contextualSpacing/>
        <w:rPr>
          <w:rFonts w:hint="eastAsia" w:ascii="宋体" w:hAnsi="宋体" w:cs="仿宋_GB2312"/>
          <w:color w:val="auto"/>
          <w:sz w:val="24"/>
          <w:highlight w:val="none"/>
        </w:rPr>
      </w:pPr>
    </w:p>
    <w:p w14:paraId="18FBE44C">
      <w:pPr>
        <w:spacing w:line="360" w:lineRule="auto"/>
        <w:ind w:right="-817" w:rightChars="-389"/>
        <w:contextualSpacing/>
        <w:rPr>
          <w:rFonts w:hint="eastAsia" w:ascii="宋体" w:hAnsi="宋体" w:cs="仿宋_GB2312"/>
          <w:color w:val="auto"/>
          <w:sz w:val="24"/>
          <w:highlight w:val="none"/>
        </w:rPr>
      </w:pPr>
    </w:p>
    <w:p w14:paraId="6FFD7484">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D6C4A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6F47135">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1708AD0">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2D666BF3">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6D649CC8">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225D2B19">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5A0FD41F">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1C59C207">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Theme="majorEastAsia" w:hAnsiTheme="majorEastAsia" w:eastAsiaTheme="majorEastAsia" w:cstheme="majorEastAsia"/>
          <w:b/>
          <w:bCs/>
          <w:color w:val="auto"/>
          <w:sz w:val="32"/>
          <w:szCs w:val="40"/>
          <w:highlight w:val="none"/>
        </w:rPr>
      </w:pPr>
    </w:p>
    <w:p w14:paraId="5D7451C9">
      <w:pPr>
        <w:pStyle w:val="49"/>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2C9D48A5">
      <w:pPr>
        <w:pStyle w:val="4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p>
    <w:p w14:paraId="1FEAF3F9">
      <w:pPr>
        <w:pStyle w:val="49"/>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val="0"/>
          <w:bCs w:val="0"/>
          <w:color w:val="auto"/>
          <w:sz w:val="21"/>
          <w:szCs w:val="24"/>
          <w:highlight w:val="none"/>
        </w:rPr>
      </w:pPr>
      <w:r>
        <w:rPr>
          <w:rFonts w:hint="eastAsia" w:ascii="宋体" w:hAnsi="宋体" w:eastAsia="宋体" w:cs="宋体"/>
          <w:b w:val="0"/>
          <w:bCs w:val="0"/>
          <w:color w:val="auto"/>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59A3F3A9">
      <w:pPr>
        <w:autoSpaceDE w:val="0"/>
        <w:autoSpaceDN w:val="0"/>
        <w:adjustRightInd w:val="0"/>
        <w:spacing w:line="360" w:lineRule="auto"/>
        <w:rPr>
          <w:rFonts w:ascii="宋体" w:hAnsi="宋体"/>
          <w:b/>
          <w:bCs/>
          <w:color w:val="auto"/>
          <w:sz w:val="32"/>
          <w:szCs w:val="32"/>
          <w:highlight w:val="none"/>
          <w:lang w:val="zh-CN"/>
        </w:rPr>
      </w:pPr>
    </w:p>
    <w:p w14:paraId="7322F0D7">
      <w:pPr>
        <w:autoSpaceDE w:val="0"/>
        <w:autoSpaceDN w:val="0"/>
        <w:adjustRightInd w:val="0"/>
        <w:spacing w:line="360" w:lineRule="auto"/>
        <w:rPr>
          <w:rFonts w:ascii="宋体" w:hAnsi="宋体"/>
          <w:b/>
          <w:bCs/>
          <w:color w:val="auto"/>
          <w:sz w:val="32"/>
          <w:szCs w:val="32"/>
          <w:highlight w:val="none"/>
          <w:lang w:val="zh-CN"/>
        </w:rPr>
      </w:pPr>
    </w:p>
    <w:p w14:paraId="0DBBFC2A">
      <w:pPr>
        <w:autoSpaceDE w:val="0"/>
        <w:autoSpaceDN w:val="0"/>
        <w:adjustRightInd w:val="0"/>
        <w:spacing w:line="360" w:lineRule="auto"/>
        <w:rPr>
          <w:rFonts w:ascii="宋体" w:hAnsi="宋体"/>
          <w:b/>
          <w:bCs/>
          <w:color w:val="auto"/>
          <w:sz w:val="32"/>
          <w:szCs w:val="32"/>
          <w:highlight w:val="none"/>
          <w:lang w:val="zh-CN"/>
        </w:rPr>
      </w:pPr>
    </w:p>
    <w:p w14:paraId="21EFAA91">
      <w:pPr>
        <w:autoSpaceDE w:val="0"/>
        <w:autoSpaceDN w:val="0"/>
        <w:adjustRightInd w:val="0"/>
        <w:spacing w:line="360" w:lineRule="auto"/>
        <w:rPr>
          <w:rFonts w:ascii="宋体" w:hAnsi="宋体"/>
          <w:b/>
          <w:bCs/>
          <w:color w:val="auto"/>
          <w:sz w:val="32"/>
          <w:szCs w:val="32"/>
          <w:highlight w:val="none"/>
          <w:lang w:val="zh-CN"/>
        </w:rPr>
      </w:pPr>
    </w:p>
    <w:p w14:paraId="56F1E4E0">
      <w:pPr>
        <w:autoSpaceDE w:val="0"/>
        <w:autoSpaceDN w:val="0"/>
        <w:adjustRightInd w:val="0"/>
        <w:spacing w:line="360" w:lineRule="auto"/>
        <w:rPr>
          <w:rFonts w:ascii="宋体" w:hAnsi="宋体"/>
          <w:b/>
          <w:bCs/>
          <w:color w:val="auto"/>
          <w:sz w:val="32"/>
          <w:szCs w:val="32"/>
          <w:highlight w:val="none"/>
          <w:lang w:val="zh-CN"/>
        </w:rPr>
      </w:pPr>
    </w:p>
    <w:p w14:paraId="40AC6DCE">
      <w:pPr>
        <w:autoSpaceDE w:val="0"/>
        <w:autoSpaceDN w:val="0"/>
        <w:adjustRightInd w:val="0"/>
        <w:spacing w:line="360" w:lineRule="auto"/>
        <w:rPr>
          <w:rFonts w:ascii="宋体" w:hAnsi="宋体"/>
          <w:b/>
          <w:bCs/>
          <w:color w:val="auto"/>
          <w:sz w:val="32"/>
          <w:szCs w:val="32"/>
          <w:highlight w:val="none"/>
          <w:lang w:val="zh-CN"/>
        </w:rPr>
      </w:pPr>
    </w:p>
    <w:p w14:paraId="6AFB3624">
      <w:pPr>
        <w:autoSpaceDE w:val="0"/>
        <w:autoSpaceDN w:val="0"/>
        <w:adjustRightInd w:val="0"/>
        <w:spacing w:line="360" w:lineRule="auto"/>
        <w:rPr>
          <w:rFonts w:ascii="宋体" w:hAnsi="宋体"/>
          <w:b/>
          <w:bCs/>
          <w:color w:val="auto"/>
          <w:sz w:val="32"/>
          <w:szCs w:val="32"/>
          <w:highlight w:val="none"/>
          <w:lang w:val="zh-CN"/>
        </w:rPr>
      </w:pPr>
    </w:p>
    <w:p w14:paraId="304CBD45">
      <w:pPr>
        <w:autoSpaceDE w:val="0"/>
        <w:autoSpaceDN w:val="0"/>
        <w:adjustRightInd w:val="0"/>
        <w:spacing w:line="360" w:lineRule="auto"/>
        <w:rPr>
          <w:rFonts w:ascii="宋体" w:hAnsi="宋体"/>
          <w:b/>
          <w:bCs/>
          <w:color w:val="auto"/>
          <w:sz w:val="32"/>
          <w:szCs w:val="32"/>
          <w:highlight w:val="none"/>
          <w:lang w:val="zh-CN"/>
        </w:rPr>
      </w:pPr>
    </w:p>
    <w:p w14:paraId="426B77B5">
      <w:pPr>
        <w:autoSpaceDE w:val="0"/>
        <w:autoSpaceDN w:val="0"/>
        <w:adjustRightInd w:val="0"/>
        <w:spacing w:line="360" w:lineRule="auto"/>
        <w:rPr>
          <w:rFonts w:ascii="宋体" w:hAnsi="宋体"/>
          <w:b/>
          <w:bCs/>
          <w:color w:val="auto"/>
          <w:sz w:val="32"/>
          <w:szCs w:val="32"/>
          <w:highlight w:val="none"/>
          <w:lang w:val="zh-CN"/>
        </w:rPr>
      </w:pPr>
    </w:p>
    <w:p w14:paraId="71591381">
      <w:pPr>
        <w:autoSpaceDE w:val="0"/>
        <w:autoSpaceDN w:val="0"/>
        <w:adjustRightInd w:val="0"/>
        <w:spacing w:line="360" w:lineRule="auto"/>
        <w:rPr>
          <w:rFonts w:ascii="宋体" w:hAnsi="宋体"/>
          <w:b/>
          <w:bCs/>
          <w:color w:val="auto"/>
          <w:sz w:val="32"/>
          <w:szCs w:val="32"/>
          <w:highlight w:val="none"/>
          <w:lang w:val="zh-CN"/>
        </w:rPr>
      </w:pPr>
    </w:p>
    <w:p w14:paraId="2426138C">
      <w:pPr>
        <w:autoSpaceDE w:val="0"/>
        <w:autoSpaceDN w:val="0"/>
        <w:adjustRightInd w:val="0"/>
        <w:spacing w:line="360" w:lineRule="auto"/>
        <w:rPr>
          <w:rFonts w:ascii="宋体" w:hAnsi="宋体"/>
          <w:b/>
          <w:bCs/>
          <w:color w:val="auto"/>
          <w:sz w:val="32"/>
          <w:szCs w:val="32"/>
          <w:highlight w:val="none"/>
          <w:lang w:val="zh-CN"/>
        </w:rPr>
      </w:pPr>
    </w:p>
    <w:p w14:paraId="5C81E14D">
      <w:pPr>
        <w:autoSpaceDE w:val="0"/>
        <w:autoSpaceDN w:val="0"/>
        <w:adjustRightInd w:val="0"/>
        <w:spacing w:line="360" w:lineRule="auto"/>
        <w:rPr>
          <w:rFonts w:ascii="宋体" w:hAnsi="宋体"/>
          <w:b/>
          <w:bCs/>
          <w:color w:val="auto"/>
          <w:sz w:val="32"/>
          <w:szCs w:val="32"/>
          <w:highlight w:val="none"/>
          <w:lang w:val="zh-CN"/>
        </w:rPr>
      </w:pPr>
    </w:p>
    <w:p w14:paraId="4A602FD5">
      <w:pPr>
        <w:autoSpaceDE w:val="0"/>
        <w:autoSpaceDN w:val="0"/>
        <w:adjustRightInd w:val="0"/>
        <w:spacing w:line="360" w:lineRule="auto"/>
        <w:rPr>
          <w:rFonts w:ascii="宋体" w:hAnsi="宋体"/>
          <w:b/>
          <w:bCs/>
          <w:color w:val="auto"/>
          <w:sz w:val="32"/>
          <w:szCs w:val="32"/>
          <w:highlight w:val="none"/>
          <w:lang w:val="zh-CN"/>
        </w:rPr>
      </w:pPr>
    </w:p>
    <w:p w14:paraId="3AFC8FF9">
      <w:pPr>
        <w:autoSpaceDE w:val="0"/>
        <w:autoSpaceDN w:val="0"/>
        <w:adjustRightInd w:val="0"/>
        <w:spacing w:line="360" w:lineRule="auto"/>
        <w:rPr>
          <w:rFonts w:ascii="宋体" w:hAnsi="宋体"/>
          <w:b/>
          <w:bCs/>
          <w:color w:val="auto"/>
          <w:sz w:val="32"/>
          <w:szCs w:val="32"/>
          <w:highlight w:val="none"/>
          <w:lang w:val="zh-CN"/>
        </w:rPr>
      </w:pPr>
    </w:p>
    <w:p w14:paraId="332C71D5">
      <w:pPr>
        <w:autoSpaceDE w:val="0"/>
        <w:autoSpaceDN w:val="0"/>
        <w:adjustRightInd w:val="0"/>
        <w:spacing w:line="360" w:lineRule="auto"/>
        <w:rPr>
          <w:rFonts w:ascii="宋体" w:hAnsi="宋体"/>
          <w:b/>
          <w:bCs/>
          <w:color w:val="auto"/>
          <w:sz w:val="32"/>
          <w:szCs w:val="32"/>
          <w:highlight w:val="none"/>
          <w:lang w:val="zh-CN"/>
        </w:rPr>
      </w:pPr>
    </w:p>
    <w:p w14:paraId="5B492F01">
      <w:pPr>
        <w:autoSpaceDE w:val="0"/>
        <w:autoSpaceDN w:val="0"/>
        <w:adjustRightInd w:val="0"/>
        <w:spacing w:line="360" w:lineRule="auto"/>
        <w:rPr>
          <w:rFonts w:ascii="宋体" w:hAnsi="宋体"/>
          <w:b/>
          <w:bCs/>
          <w:color w:val="auto"/>
          <w:sz w:val="32"/>
          <w:szCs w:val="32"/>
          <w:highlight w:val="none"/>
          <w:lang w:val="zh-CN"/>
        </w:rPr>
      </w:pPr>
    </w:p>
    <w:p w14:paraId="253ACE31">
      <w:pPr>
        <w:autoSpaceDE w:val="0"/>
        <w:autoSpaceDN w:val="0"/>
        <w:adjustRightInd w:val="0"/>
        <w:spacing w:line="360" w:lineRule="auto"/>
        <w:rPr>
          <w:rFonts w:ascii="宋体" w:hAnsi="宋体"/>
          <w:b/>
          <w:bCs/>
          <w:color w:val="auto"/>
          <w:sz w:val="32"/>
          <w:szCs w:val="32"/>
          <w:highlight w:val="none"/>
          <w:lang w:val="zh-CN"/>
        </w:rPr>
      </w:pPr>
    </w:p>
    <w:p w14:paraId="35372C73">
      <w:pPr>
        <w:autoSpaceDE w:val="0"/>
        <w:autoSpaceDN w:val="0"/>
        <w:adjustRightInd w:val="0"/>
        <w:spacing w:line="360" w:lineRule="auto"/>
        <w:rPr>
          <w:rFonts w:ascii="宋体" w:hAnsi="宋体"/>
          <w:b/>
          <w:bCs/>
          <w:color w:val="auto"/>
          <w:sz w:val="32"/>
          <w:szCs w:val="32"/>
          <w:highlight w:val="none"/>
          <w:lang w:val="zh-CN"/>
        </w:rPr>
      </w:pPr>
    </w:p>
    <w:p w14:paraId="6B7D405A">
      <w:pPr>
        <w:autoSpaceDE w:val="0"/>
        <w:autoSpaceDN w:val="0"/>
        <w:adjustRightInd w:val="0"/>
        <w:spacing w:line="360" w:lineRule="auto"/>
        <w:rPr>
          <w:rFonts w:ascii="宋体" w:hAnsi="宋体"/>
          <w:b/>
          <w:bCs/>
          <w:color w:val="auto"/>
          <w:sz w:val="32"/>
          <w:szCs w:val="32"/>
          <w:highlight w:val="none"/>
          <w:lang w:val="zh-CN"/>
        </w:rPr>
      </w:pPr>
    </w:p>
    <w:p w14:paraId="060C1B70">
      <w:pPr>
        <w:spacing w:line="360" w:lineRule="auto"/>
        <w:contextualSpacing/>
        <w:jc w:val="both"/>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75C1654E">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59A50D0B">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5AD9D0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4DAFA3C">
      <w:pPr>
        <w:snapToGrid w:val="0"/>
        <w:spacing w:before="156" w:beforeLines="50" w:after="50"/>
        <w:rPr>
          <w:rFonts w:hint="eastAsia" w:ascii="宋体" w:hAnsi="宋体"/>
          <w:color w:val="auto"/>
          <w:sz w:val="24"/>
          <w:szCs w:val="20"/>
          <w:highlight w:val="none"/>
        </w:rPr>
      </w:pPr>
    </w:p>
    <w:p w14:paraId="4E2B7F39">
      <w:pPr>
        <w:snapToGrid w:val="0"/>
        <w:spacing w:before="156" w:beforeLines="50" w:after="50"/>
        <w:rPr>
          <w:rFonts w:hint="eastAsia" w:ascii="宋体" w:hAnsi="宋体"/>
          <w:color w:val="auto"/>
          <w:sz w:val="24"/>
          <w:szCs w:val="20"/>
          <w:highlight w:val="none"/>
        </w:rPr>
      </w:pPr>
    </w:p>
    <w:p w14:paraId="521D4166">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6BFB9A2">
      <w:pPr>
        <w:snapToGrid w:val="0"/>
        <w:spacing w:before="156" w:beforeLines="50" w:after="50"/>
        <w:rPr>
          <w:rFonts w:hint="eastAsia" w:ascii="宋体" w:hAnsi="宋体"/>
          <w:bCs/>
          <w:color w:val="auto"/>
          <w:sz w:val="24"/>
          <w:szCs w:val="20"/>
          <w:highlight w:val="none"/>
        </w:rPr>
      </w:pPr>
    </w:p>
    <w:p w14:paraId="25D4314B">
      <w:pPr>
        <w:snapToGrid w:val="0"/>
        <w:spacing w:before="156" w:beforeLines="50" w:after="50"/>
        <w:rPr>
          <w:rFonts w:hint="eastAsia" w:ascii="宋体" w:hAnsi="宋体"/>
          <w:bCs/>
          <w:color w:val="auto"/>
          <w:sz w:val="24"/>
          <w:szCs w:val="20"/>
          <w:highlight w:val="none"/>
        </w:rPr>
      </w:pPr>
    </w:p>
    <w:p w14:paraId="30DDA294">
      <w:pPr>
        <w:snapToGrid w:val="0"/>
        <w:spacing w:before="156" w:beforeLines="50" w:after="50"/>
        <w:rPr>
          <w:rFonts w:hint="eastAsia" w:ascii="宋体" w:hAnsi="宋体"/>
          <w:bCs/>
          <w:color w:val="auto"/>
          <w:sz w:val="24"/>
          <w:szCs w:val="20"/>
          <w:highlight w:val="none"/>
        </w:rPr>
      </w:pPr>
    </w:p>
    <w:p w14:paraId="6DE80041">
      <w:pPr>
        <w:snapToGrid w:val="0"/>
        <w:spacing w:before="156" w:beforeLines="50" w:after="50"/>
        <w:rPr>
          <w:rFonts w:hint="eastAsia" w:ascii="宋体" w:hAnsi="宋体"/>
          <w:bCs/>
          <w:color w:val="auto"/>
          <w:sz w:val="24"/>
          <w:szCs w:val="20"/>
          <w:highlight w:val="none"/>
        </w:rPr>
      </w:pPr>
    </w:p>
    <w:p w14:paraId="1D55A6D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FC8BE16">
      <w:pPr>
        <w:snapToGrid w:val="0"/>
        <w:spacing w:before="156" w:beforeLines="50" w:after="50"/>
        <w:ind w:firstLine="720" w:firstLineChars="225"/>
        <w:rPr>
          <w:rFonts w:hint="eastAsia" w:ascii="宋体" w:hAnsi="宋体" w:cs="仿宋_GB2312"/>
          <w:bCs/>
          <w:color w:val="auto"/>
          <w:sz w:val="32"/>
          <w:szCs w:val="32"/>
          <w:highlight w:val="none"/>
        </w:rPr>
      </w:pPr>
    </w:p>
    <w:p w14:paraId="4D2FA06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DA0EC06">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C436545">
      <w:pPr>
        <w:pStyle w:val="8"/>
        <w:snapToGrid w:val="0"/>
        <w:spacing w:before="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7EA296D">
      <w:pPr>
        <w:pStyle w:val="8"/>
        <w:snapToGrid w:val="0"/>
        <w:spacing w:before="50" w:after="50"/>
        <w:rPr>
          <w:rFonts w:hint="eastAsia" w:ascii="宋体" w:hAnsi="宋体" w:cs="仿宋_GB2312"/>
          <w:bCs/>
          <w:color w:val="auto"/>
          <w:sz w:val="32"/>
          <w:szCs w:val="32"/>
          <w:highlight w:val="none"/>
        </w:rPr>
      </w:pPr>
    </w:p>
    <w:p w14:paraId="6D615C3F">
      <w:pPr>
        <w:pStyle w:val="8"/>
        <w:snapToGrid w:val="0"/>
        <w:spacing w:before="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lang w:eastAsia="zh-CN"/>
        </w:rPr>
        <w:t>供应商地址：</w:t>
      </w:r>
    </w:p>
    <w:p w14:paraId="60EFCD63">
      <w:pPr>
        <w:pStyle w:val="8"/>
        <w:snapToGrid w:val="0"/>
        <w:spacing w:before="50" w:after="50"/>
        <w:ind w:firstLine="640" w:firstLineChars="200"/>
        <w:rPr>
          <w:rFonts w:hint="eastAsia" w:ascii="宋体" w:hAnsi="宋体" w:cs="仿宋_GB2312"/>
          <w:bCs/>
          <w:color w:val="auto"/>
          <w:sz w:val="32"/>
          <w:szCs w:val="32"/>
          <w:highlight w:val="none"/>
        </w:rPr>
      </w:pPr>
    </w:p>
    <w:p w14:paraId="578E16F4">
      <w:pPr>
        <w:pStyle w:val="8"/>
        <w:snapToGrid w:val="0"/>
        <w:spacing w:before="50" w:after="50"/>
        <w:ind w:firstLine="720" w:firstLineChars="225"/>
        <w:rPr>
          <w:rFonts w:hint="eastAsia" w:ascii="宋体" w:hAnsi="宋体" w:cs="仿宋_GB2312"/>
          <w:bCs/>
          <w:color w:val="auto"/>
          <w:sz w:val="32"/>
          <w:szCs w:val="32"/>
          <w:highlight w:val="none"/>
        </w:rPr>
      </w:pPr>
    </w:p>
    <w:p w14:paraId="19DEF006">
      <w:pPr>
        <w:pStyle w:val="8"/>
        <w:snapToGrid w:val="0"/>
        <w:spacing w:before="50" w:after="50"/>
        <w:ind w:firstLine="0"/>
        <w:rPr>
          <w:rFonts w:hint="eastAsia" w:ascii="宋体" w:hAnsi="宋体" w:cs="仿宋_GB2312"/>
          <w:bCs/>
          <w:color w:val="auto"/>
          <w:sz w:val="32"/>
          <w:szCs w:val="32"/>
          <w:highlight w:val="none"/>
        </w:rPr>
      </w:pPr>
    </w:p>
    <w:p w14:paraId="47E88284">
      <w:pPr>
        <w:pStyle w:val="8"/>
        <w:snapToGrid w:val="0"/>
        <w:spacing w:before="50" w:after="50"/>
        <w:ind w:firstLine="1280" w:firstLineChars="400"/>
        <w:rPr>
          <w:rFonts w:hint="eastAsia" w:ascii="宋体" w:hAnsi="宋体" w:cs="仿宋_GB2312"/>
          <w:bCs/>
          <w:color w:val="auto"/>
          <w:sz w:val="32"/>
          <w:szCs w:val="32"/>
          <w:highlight w:val="none"/>
        </w:rPr>
      </w:pPr>
    </w:p>
    <w:p w14:paraId="4743E8F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9D99EC5">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25A08DC7">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8E2DA7C">
      <w:pPr>
        <w:spacing w:line="400" w:lineRule="exact"/>
        <w:rPr>
          <w:rFonts w:hint="eastAsia" w:ascii="仿宋_GB2312" w:hAnsi="仿宋_GB2312" w:eastAsia="仿宋_GB2312" w:cs="仿宋_GB2312"/>
          <w:color w:val="auto"/>
          <w:sz w:val="32"/>
          <w:szCs w:val="32"/>
          <w:highlight w:val="none"/>
        </w:rPr>
      </w:pPr>
    </w:p>
    <w:p w14:paraId="39BFBC3C">
      <w:pPr>
        <w:spacing w:line="520" w:lineRule="exact"/>
        <w:jc w:val="center"/>
        <w:rPr>
          <w:rFonts w:hint="eastAsia" w:ascii="仿宋_GB2312" w:hAnsi="仿宋_GB2312" w:eastAsia="方正小标宋简体" w:cs="仿宋_GB2312"/>
          <w:color w:val="auto"/>
          <w:sz w:val="24"/>
          <w:szCs w:val="2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w:t>
      </w:r>
      <w:r>
        <w:rPr>
          <w:rFonts w:hint="eastAsia" w:ascii="方正小标宋简体" w:hAnsi="方正小标宋简体" w:eastAsia="方正小标宋简体" w:cs="方正小标宋简体"/>
          <w:color w:val="auto"/>
          <w:sz w:val="36"/>
          <w:szCs w:val="36"/>
          <w:highlight w:val="none"/>
          <w:lang w:eastAsia="zh-CN"/>
        </w:rPr>
        <w:t>（格式）</w:t>
      </w:r>
    </w:p>
    <w:p w14:paraId="496C54B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1F20C55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31480C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CB7A89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07A4D1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54DAC6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2F5B18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AB3B13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BC407E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8C6D46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521F8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23EAEB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DCF8D5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5BCD96E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3C66D2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D63D6C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EEFD084">
      <w:pPr>
        <w:spacing w:line="360" w:lineRule="auto"/>
        <w:ind w:firstLine="480" w:firstLineChars="200"/>
        <w:contextualSpacing/>
        <w:rPr>
          <w:rFonts w:hint="eastAsia" w:ascii="宋体" w:hAnsi="宋体" w:cs="仿宋_GB2312"/>
          <w:color w:val="auto"/>
          <w:sz w:val="24"/>
          <w:highlight w:val="none"/>
        </w:rPr>
      </w:pPr>
    </w:p>
    <w:p w14:paraId="5BBA0DCF">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25D34BA">
      <w:pPr>
        <w:spacing w:line="360" w:lineRule="auto"/>
        <w:contextualSpacing/>
        <w:rPr>
          <w:rFonts w:hint="eastAsia" w:ascii="宋体" w:hAnsi="宋体" w:cs="仿宋_GB2312"/>
          <w:color w:val="auto"/>
          <w:sz w:val="24"/>
          <w:highlight w:val="none"/>
        </w:rPr>
      </w:pPr>
    </w:p>
    <w:p w14:paraId="5398AA2D">
      <w:pPr>
        <w:spacing w:line="360" w:lineRule="auto"/>
        <w:contextualSpacing/>
        <w:rPr>
          <w:rFonts w:hint="eastAsia" w:ascii="宋体" w:hAnsi="宋体" w:cs="仿宋_GB2312"/>
          <w:color w:val="auto"/>
          <w:sz w:val="24"/>
          <w:highlight w:val="none"/>
        </w:rPr>
      </w:pPr>
    </w:p>
    <w:p w14:paraId="47AD2E4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4C59DA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D763111">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93E62AF">
      <w:pPr>
        <w:spacing w:line="360" w:lineRule="auto"/>
        <w:ind w:left="540"/>
        <w:contextualSpacing/>
        <w:rPr>
          <w:rFonts w:hint="eastAsia" w:ascii="仿宋_GB2312" w:hAnsi="仿宋_GB2312" w:eastAsia="仿宋_GB2312" w:cs="仿宋_GB2312"/>
          <w:color w:val="auto"/>
          <w:sz w:val="32"/>
          <w:szCs w:val="32"/>
          <w:highlight w:val="none"/>
        </w:rPr>
      </w:pPr>
    </w:p>
    <w:p w14:paraId="53BB4EF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6B4A77C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05D538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5509697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BB5D22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BF8A7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25B739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BAD3F57">
      <w:pPr>
        <w:spacing w:line="360" w:lineRule="auto"/>
        <w:ind w:left="540"/>
        <w:contextualSpacing/>
        <w:rPr>
          <w:rFonts w:hint="eastAsia" w:ascii="宋体" w:hAnsi="宋体" w:cs="仿宋_GB2312"/>
          <w:color w:val="auto"/>
          <w:sz w:val="24"/>
          <w:highlight w:val="none"/>
        </w:rPr>
      </w:pPr>
    </w:p>
    <w:p w14:paraId="562FBDD3">
      <w:pPr>
        <w:spacing w:line="360" w:lineRule="auto"/>
        <w:ind w:left="540"/>
        <w:contextualSpacing/>
        <w:rPr>
          <w:rFonts w:hint="eastAsia" w:ascii="宋体" w:hAnsi="宋体" w:cs="仿宋_GB2312"/>
          <w:color w:val="auto"/>
          <w:sz w:val="24"/>
          <w:highlight w:val="none"/>
        </w:rPr>
      </w:pPr>
    </w:p>
    <w:p w14:paraId="46387F0F">
      <w:pPr>
        <w:spacing w:line="360" w:lineRule="auto"/>
        <w:ind w:left="540"/>
        <w:contextualSpacing/>
        <w:rPr>
          <w:rFonts w:hint="eastAsia" w:ascii="宋体" w:hAnsi="宋体" w:cs="仿宋_GB2312"/>
          <w:color w:val="auto"/>
          <w:sz w:val="24"/>
          <w:highlight w:val="none"/>
        </w:rPr>
      </w:pPr>
    </w:p>
    <w:p w14:paraId="4E697CC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68997E">
      <w:pPr>
        <w:spacing w:line="360" w:lineRule="auto"/>
        <w:ind w:left="540"/>
        <w:contextualSpacing/>
        <w:rPr>
          <w:rFonts w:hint="eastAsia" w:ascii="宋体" w:hAnsi="宋体" w:cs="仿宋_GB2312"/>
          <w:color w:val="auto"/>
          <w:sz w:val="24"/>
          <w:highlight w:val="none"/>
        </w:rPr>
      </w:pPr>
    </w:p>
    <w:p w14:paraId="2B699856">
      <w:pPr>
        <w:spacing w:line="360" w:lineRule="auto"/>
        <w:ind w:left="540"/>
        <w:contextualSpacing/>
        <w:rPr>
          <w:rFonts w:hint="eastAsia" w:ascii="宋体" w:hAnsi="宋体" w:cs="仿宋_GB2312"/>
          <w:color w:val="auto"/>
          <w:sz w:val="24"/>
          <w:highlight w:val="none"/>
        </w:rPr>
      </w:pPr>
    </w:p>
    <w:p w14:paraId="69D1F363">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412FB639">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51A65AB">
      <w:pPr>
        <w:spacing w:line="360" w:lineRule="auto"/>
        <w:contextualSpacing/>
        <w:jc w:val="center"/>
        <w:rPr>
          <w:rFonts w:hint="eastAsia" w:ascii="宋体" w:hAnsi="宋体" w:cs="仿宋_GB2312"/>
          <w:b/>
          <w:color w:val="auto"/>
          <w:sz w:val="24"/>
          <w:highlight w:val="none"/>
        </w:rPr>
      </w:pPr>
    </w:p>
    <w:p w14:paraId="67272C6C">
      <w:pPr>
        <w:adjustRightInd w:val="0"/>
        <w:snapToGrid w:val="0"/>
        <w:spacing w:line="300" w:lineRule="auto"/>
        <w:jc w:val="left"/>
        <w:rPr>
          <w:rFonts w:hint="eastAsia" w:ascii="宋体" w:hAnsi="宋体"/>
          <w:b/>
          <w:color w:val="auto"/>
          <w:szCs w:val="21"/>
          <w:highlight w:val="none"/>
        </w:rPr>
      </w:pPr>
    </w:p>
    <w:p w14:paraId="32A27D04">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422DF586">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9533D2D">
      <w:pPr>
        <w:spacing w:line="520" w:lineRule="exact"/>
        <w:rPr>
          <w:rFonts w:hint="eastAsia" w:ascii="仿宋_GB2312" w:hAnsi="仿宋_GB2312" w:eastAsia="仿宋_GB2312" w:cs="仿宋_GB2312"/>
          <w:color w:val="auto"/>
          <w:sz w:val="32"/>
          <w:szCs w:val="32"/>
          <w:highlight w:val="none"/>
        </w:rPr>
      </w:pPr>
    </w:p>
    <w:p w14:paraId="4EFB728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0BD5C9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764259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6306E2B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A536CE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59A0AD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AF69B26">
      <w:pPr>
        <w:spacing w:line="360" w:lineRule="auto"/>
        <w:rPr>
          <w:rFonts w:hint="eastAsia" w:ascii="宋体" w:hAnsi="宋体" w:cs="仿宋_GB2312"/>
          <w:color w:val="auto"/>
          <w:sz w:val="24"/>
          <w:highlight w:val="none"/>
        </w:rPr>
      </w:pPr>
    </w:p>
    <w:p w14:paraId="044D3E9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16792A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147258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6BCF37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10BF24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38B7CA20">
      <w:pPr>
        <w:spacing w:line="360" w:lineRule="auto"/>
        <w:rPr>
          <w:rFonts w:hint="eastAsia" w:ascii="宋体" w:hAnsi="宋体" w:cs="仿宋_GB2312"/>
          <w:color w:val="auto"/>
          <w:sz w:val="24"/>
          <w:highlight w:val="none"/>
        </w:rPr>
      </w:pPr>
    </w:p>
    <w:p w14:paraId="241644A0">
      <w:pPr>
        <w:spacing w:line="360" w:lineRule="auto"/>
        <w:rPr>
          <w:rFonts w:hint="eastAsia" w:ascii="宋体" w:hAnsi="宋体" w:cs="仿宋_GB2312"/>
          <w:color w:val="auto"/>
          <w:sz w:val="24"/>
          <w:highlight w:val="none"/>
        </w:rPr>
      </w:pPr>
    </w:p>
    <w:p w14:paraId="2CA2C24C">
      <w:pPr>
        <w:spacing w:line="360" w:lineRule="auto"/>
        <w:rPr>
          <w:rFonts w:hint="eastAsia" w:ascii="宋体" w:hAnsi="宋体" w:cs="仿宋_GB2312"/>
          <w:color w:val="auto"/>
          <w:sz w:val="24"/>
          <w:highlight w:val="none"/>
        </w:rPr>
      </w:pPr>
    </w:p>
    <w:p w14:paraId="5B3478E9">
      <w:pPr>
        <w:spacing w:line="360" w:lineRule="auto"/>
        <w:rPr>
          <w:rFonts w:hint="eastAsia" w:ascii="宋体" w:hAnsi="宋体" w:cs="仿宋_GB2312"/>
          <w:color w:val="auto"/>
          <w:sz w:val="24"/>
          <w:highlight w:val="none"/>
        </w:rPr>
      </w:pPr>
    </w:p>
    <w:p w14:paraId="2749D852">
      <w:pPr>
        <w:spacing w:line="360" w:lineRule="auto"/>
        <w:rPr>
          <w:rFonts w:hint="eastAsia" w:ascii="宋体" w:hAnsi="宋体" w:cs="仿宋_GB2312"/>
          <w:color w:val="auto"/>
          <w:sz w:val="24"/>
          <w:highlight w:val="none"/>
        </w:rPr>
      </w:pPr>
    </w:p>
    <w:p w14:paraId="5375A19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4AB4234">
      <w:pPr>
        <w:spacing w:line="360" w:lineRule="auto"/>
        <w:ind w:firstLine="420" w:firstLineChars="200"/>
        <w:jc w:val="left"/>
        <w:rPr>
          <w:rFonts w:hint="eastAsia" w:ascii="仿宋_GB2312" w:hAnsi="仿宋_GB2312" w:eastAsia="仿宋_GB2312" w:cs="仿宋_GB2312"/>
          <w:color w:val="auto"/>
          <w:szCs w:val="21"/>
          <w:highlight w:val="none"/>
        </w:rPr>
      </w:pPr>
    </w:p>
    <w:p w14:paraId="45079AB4">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1D61933D">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2D09E766">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lang w:eastAsia="zh-CN"/>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w:t>
      </w:r>
      <w:r>
        <w:rPr>
          <w:rFonts w:hint="eastAsia" w:ascii="方正小标宋简体" w:hAnsi="方正小标宋简体" w:eastAsia="方正小标宋简体" w:cs="方正小标宋简体"/>
          <w:bCs/>
          <w:color w:val="auto"/>
          <w:sz w:val="36"/>
          <w:szCs w:val="36"/>
          <w:highlight w:val="none"/>
          <w:lang w:eastAsia="zh-CN"/>
        </w:rPr>
        <w:t>（格式）</w:t>
      </w:r>
    </w:p>
    <w:p w14:paraId="70C5382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lang w:val="en-US" w:eastAsia="zh-CN"/>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5A0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3F8B9829">
            <w:pPr>
              <w:ind w:left="223" w:hanging="222" w:hangingChars="106"/>
              <w:jc w:val="center"/>
              <w:rPr>
                <w:color w:val="auto"/>
                <w:highlight w:val="none"/>
              </w:rPr>
            </w:pPr>
            <w:r>
              <w:rPr>
                <w:color w:val="auto"/>
                <w:highlight w:val="none"/>
              </w:rPr>
              <w:t>岗位</w:t>
            </w:r>
          </w:p>
        </w:tc>
        <w:tc>
          <w:tcPr>
            <w:tcW w:w="670" w:type="dxa"/>
            <w:vMerge w:val="restart"/>
            <w:noWrap w:val="0"/>
            <w:vAlign w:val="center"/>
          </w:tcPr>
          <w:p w14:paraId="1D20097F">
            <w:pPr>
              <w:ind w:left="223" w:hanging="222" w:hangingChars="106"/>
              <w:jc w:val="center"/>
              <w:rPr>
                <w:color w:val="auto"/>
                <w:highlight w:val="none"/>
              </w:rPr>
            </w:pPr>
            <w:r>
              <w:rPr>
                <w:color w:val="auto"/>
                <w:highlight w:val="none"/>
              </w:rPr>
              <w:t>姓名</w:t>
            </w:r>
          </w:p>
        </w:tc>
        <w:tc>
          <w:tcPr>
            <w:tcW w:w="829" w:type="dxa"/>
            <w:vMerge w:val="restart"/>
            <w:noWrap w:val="0"/>
            <w:vAlign w:val="center"/>
          </w:tcPr>
          <w:p w14:paraId="38343AA6">
            <w:pPr>
              <w:jc w:val="center"/>
              <w:rPr>
                <w:color w:val="auto"/>
                <w:highlight w:val="none"/>
              </w:rPr>
            </w:pPr>
            <w:r>
              <w:rPr>
                <w:color w:val="auto"/>
                <w:highlight w:val="none"/>
              </w:rPr>
              <w:t>身份证号</w:t>
            </w:r>
          </w:p>
        </w:tc>
        <w:tc>
          <w:tcPr>
            <w:tcW w:w="816" w:type="dxa"/>
            <w:vMerge w:val="restart"/>
            <w:noWrap w:val="0"/>
            <w:vAlign w:val="center"/>
          </w:tcPr>
          <w:p w14:paraId="39C8A67E">
            <w:pPr>
              <w:ind w:left="223" w:hanging="222" w:hangingChars="106"/>
              <w:jc w:val="center"/>
              <w:rPr>
                <w:color w:val="auto"/>
                <w:highlight w:val="none"/>
              </w:rPr>
            </w:pPr>
            <w:r>
              <w:rPr>
                <w:color w:val="auto"/>
                <w:highlight w:val="none"/>
              </w:rPr>
              <w:t>职称</w:t>
            </w:r>
          </w:p>
        </w:tc>
        <w:tc>
          <w:tcPr>
            <w:tcW w:w="4188" w:type="dxa"/>
            <w:gridSpan w:val="4"/>
            <w:noWrap w:val="0"/>
            <w:vAlign w:val="center"/>
          </w:tcPr>
          <w:p w14:paraId="33DBC4EE">
            <w:pPr>
              <w:ind w:left="223" w:hanging="222" w:hangingChars="106"/>
              <w:jc w:val="center"/>
              <w:rPr>
                <w:color w:val="auto"/>
                <w:highlight w:val="none"/>
              </w:rPr>
            </w:pPr>
            <w:r>
              <w:rPr>
                <w:color w:val="auto"/>
                <w:highlight w:val="none"/>
              </w:rPr>
              <w:t>执业或职业资格</w:t>
            </w:r>
          </w:p>
        </w:tc>
        <w:tc>
          <w:tcPr>
            <w:tcW w:w="2443" w:type="dxa"/>
            <w:gridSpan w:val="2"/>
            <w:noWrap w:val="0"/>
            <w:vAlign w:val="center"/>
          </w:tcPr>
          <w:p w14:paraId="3E5BA19E">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6AAB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47003DC7">
            <w:pPr>
              <w:ind w:left="223" w:hanging="222" w:hangingChars="106"/>
              <w:jc w:val="center"/>
              <w:rPr>
                <w:color w:val="auto"/>
                <w:highlight w:val="none"/>
              </w:rPr>
            </w:pPr>
          </w:p>
        </w:tc>
        <w:tc>
          <w:tcPr>
            <w:tcW w:w="670" w:type="dxa"/>
            <w:vMerge w:val="continue"/>
            <w:noWrap w:val="0"/>
            <w:vAlign w:val="center"/>
          </w:tcPr>
          <w:p w14:paraId="648C5DA6">
            <w:pPr>
              <w:ind w:left="223" w:hanging="222" w:hangingChars="106"/>
              <w:jc w:val="center"/>
              <w:rPr>
                <w:color w:val="auto"/>
                <w:highlight w:val="none"/>
              </w:rPr>
            </w:pPr>
          </w:p>
        </w:tc>
        <w:tc>
          <w:tcPr>
            <w:tcW w:w="829" w:type="dxa"/>
            <w:vMerge w:val="continue"/>
            <w:noWrap w:val="0"/>
            <w:vAlign w:val="center"/>
          </w:tcPr>
          <w:p w14:paraId="75099E17">
            <w:pPr>
              <w:ind w:left="223" w:hanging="222" w:hangingChars="106"/>
              <w:jc w:val="center"/>
              <w:rPr>
                <w:color w:val="auto"/>
                <w:highlight w:val="none"/>
              </w:rPr>
            </w:pPr>
          </w:p>
        </w:tc>
        <w:tc>
          <w:tcPr>
            <w:tcW w:w="816" w:type="dxa"/>
            <w:vMerge w:val="continue"/>
            <w:noWrap w:val="0"/>
            <w:vAlign w:val="center"/>
          </w:tcPr>
          <w:p w14:paraId="6EC11BB6">
            <w:pPr>
              <w:ind w:left="223" w:hanging="222" w:hangingChars="106"/>
              <w:jc w:val="center"/>
              <w:rPr>
                <w:color w:val="auto"/>
                <w:highlight w:val="none"/>
              </w:rPr>
            </w:pPr>
          </w:p>
        </w:tc>
        <w:tc>
          <w:tcPr>
            <w:tcW w:w="1148" w:type="dxa"/>
            <w:noWrap w:val="0"/>
            <w:vAlign w:val="center"/>
          </w:tcPr>
          <w:p w14:paraId="5C6FDF21">
            <w:pPr>
              <w:ind w:left="223" w:hanging="222" w:hangingChars="106"/>
              <w:jc w:val="center"/>
              <w:rPr>
                <w:color w:val="auto"/>
                <w:highlight w:val="none"/>
              </w:rPr>
            </w:pPr>
            <w:r>
              <w:rPr>
                <w:color w:val="auto"/>
                <w:highlight w:val="none"/>
              </w:rPr>
              <w:t>证书名称</w:t>
            </w:r>
          </w:p>
        </w:tc>
        <w:tc>
          <w:tcPr>
            <w:tcW w:w="1148" w:type="dxa"/>
            <w:noWrap w:val="0"/>
            <w:vAlign w:val="center"/>
          </w:tcPr>
          <w:p w14:paraId="7A0F4D4F">
            <w:pPr>
              <w:ind w:left="223" w:hanging="222" w:hangingChars="106"/>
              <w:jc w:val="center"/>
              <w:rPr>
                <w:color w:val="auto"/>
                <w:highlight w:val="none"/>
              </w:rPr>
            </w:pPr>
            <w:r>
              <w:rPr>
                <w:color w:val="auto"/>
                <w:highlight w:val="none"/>
              </w:rPr>
              <w:t>级别</w:t>
            </w:r>
          </w:p>
        </w:tc>
        <w:tc>
          <w:tcPr>
            <w:tcW w:w="1148" w:type="dxa"/>
            <w:noWrap w:val="0"/>
            <w:vAlign w:val="center"/>
          </w:tcPr>
          <w:p w14:paraId="1C0A1D05">
            <w:pPr>
              <w:ind w:left="223" w:hanging="222" w:hangingChars="106"/>
              <w:jc w:val="center"/>
              <w:rPr>
                <w:color w:val="auto"/>
                <w:highlight w:val="none"/>
              </w:rPr>
            </w:pPr>
            <w:r>
              <w:rPr>
                <w:color w:val="auto"/>
                <w:highlight w:val="none"/>
              </w:rPr>
              <w:t>证号</w:t>
            </w:r>
          </w:p>
        </w:tc>
        <w:tc>
          <w:tcPr>
            <w:tcW w:w="744" w:type="dxa"/>
            <w:noWrap w:val="0"/>
            <w:vAlign w:val="center"/>
          </w:tcPr>
          <w:p w14:paraId="0FD38B99">
            <w:pPr>
              <w:ind w:left="223" w:hanging="222" w:hangingChars="106"/>
              <w:jc w:val="center"/>
              <w:rPr>
                <w:color w:val="auto"/>
                <w:highlight w:val="none"/>
              </w:rPr>
            </w:pPr>
            <w:r>
              <w:rPr>
                <w:color w:val="auto"/>
                <w:highlight w:val="none"/>
              </w:rPr>
              <w:t>专业</w:t>
            </w:r>
          </w:p>
        </w:tc>
        <w:tc>
          <w:tcPr>
            <w:tcW w:w="1167" w:type="dxa"/>
            <w:noWrap w:val="0"/>
            <w:vAlign w:val="center"/>
          </w:tcPr>
          <w:p w14:paraId="2C639C55">
            <w:pPr>
              <w:jc w:val="center"/>
              <w:rPr>
                <w:color w:val="auto"/>
                <w:highlight w:val="none"/>
              </w:rPr>
            </w:pPr>
            <w:r>
              <w:rPr>
                <w:rFonts w:hint="eastAsia"/>
                <w:color w:val="auto"/>
                <w:highlight w:val="none"/>
              </w:rPr>
              <w:t>完工/在建</w:t>
            </w:r>
          </w:p>
        </w:tc>
        <w:tc>
          <w:tcPr>
            <w:tcW w:w="1276" w:type="dxa"/>
            <w:noWrap w:val="0"/>
            <w:vAlign w:val="center"/>
          </w:tcPr>
          <w:p w14:paraId="0679042A">
            <w:pPr>
              <w:jc w:val="center"/>
              <w:rPr>
                <w:color w:val="auto"/>
                <w:highlight w:val="none"/>
              </w:rPr>
            </w:pPr>
            <w:r>
              <w:rPr>
                <w:color w:val="auto"/>
                <w:highlight w:val="none"/>
              </w:rPr>
              <w:t>主要项目</w:t>
            </w:r>
          </w:p>
          <w:p w14:paraId="78E3DFC7">
            <w:pPr>
              <w:jc w:val="center"/>
              <w:rPr>
                <w:color w:val="auto"/>
                <w:highlight w:val="none"/>
              </w:rPr>
            </w:pPr>
            <w:r>
              <w:rPr>
                <w:color w:val="auto"/>
                <w:highlight w:val="none"/>
              </w:rPr>
              <w:t>名称</w:t>
            </w:r>
          </w:p>
        </w:tc>
      </w:tr>
      <w:tr w14:paraId="1D4D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9489CCB">
            <w:pPr>
              <w:pStyle w:val="79"/>
              <w:spacing w:line="240" w:lineRule="auto"/>
              <w:ind w:firstLine="0"/>
              <w:rPr>
                <w:color w:val="auto"/>
                <w:sz w:val="21"/>
                <w:szCs w:val="21"/>
                <w:highlight w:val="none"/>
                <w:lang w:eastAsia="zh-CN"/>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lang w:eastAsia="zh-CN"/>
              </w:rPr>
              <w:t>项目经理</w:t>
            </w:r>
          </w:p>
        </w:tc>
        <w:tc>
          <w:tcPr>
            <w:tcW w:w="670" w:type="dxa"/>
            <w:noWrap w:val="0"/>
            <w:vAlign w:val="center"/>
          </w:tcPr>
          <w:p w14:paraId="49B7CDD5">
            <w:pPr>
              <w:ind w:left="223" w:hanging="222" w:hangingChars="106"/>
              <w:jc w:val="center"/>
              <w:rPr>
                <w:color w:val="auto"/>
                <w:szCs w:val="21"/>
                <w:highlight w:val="none"/>
              </w:rPr>
            </w:pPr>
          </w:p>
        </w:tc>
        <w:tc>
          <w:tcPr>
            <w:tcW w:w="829" w:type="dxa"/>
            <w:noWrap w:val="0"/>
            <w:vAlign w:val="center"/>
          </w:tcPr>
          <w:p w14:paraId="797A3A1B">
            <w:pPr>
              <w:ind w:left="223" w:hanging="222" w:hangingChars="106"/>
              <w:jc w:val="center"/>
              <w:rPr>
                <w:color w:val="auto"/>
                <w:szCs w:val="21"/>
                <w:highlight w:val="none"/>
              </w:rPr>
            </w:pPr>
          </w:p>
        </w:tc>
        <w:tc>
          <w:tcPr>
            <w:tcW w:w="816" w:type="dxa"/>
            <w:noWrap w:val="0"/>
            <w:vAlign w:val="center"/>
          </w:tcPr>
          <w:p w14:paraId="22BA47D1">
            <w:pPr>
              <w:ind w:left="223" w:hanging="222" w:hangingChars="106"/>
              <w:jc w:val="center"/>
              <w:rPr>
                <w:color w:val="auto"/>
                <w:szCs w:val="21"/>
                <w:highlight w:val="none"/>
              </w:rPr>
            </w:pPr>
          </w:p>
        </w:tc>
        <w:tc>
          <w:tcPr>
            <w:tcW w:w="1148" w:type="dxa"/>
            <w:noWrap w:val="0"/>
            <w:vAlign w:val="center"/>
          </w:tcPr>
          <w:p w14:paraId="50C4DEB1">
            <w:pPr>
              <w:ind w:left="223" w:hanging="222" w:hangingChars="106"/>
              <w:jc w:val="center"/>
              <w:rPr>
                <w:color w:val="auto"/>
                <w:szCs w:val="21"/>
                <w:highlight w:val="none"/>
              </w:rPr>
            </w:pPr>
          </w:p>
        </w:tc>
        <w:tc>
          <w:tcPr>
            <w:tcW w:w="1148" w:type="dxa"/>
            <w:noWrap w:val="0"/>
            <w:vAlign w:val="center"/>
          </w:tcPr>
          <w:p w14:paraId="15133376">
            <w:pPr>
              <w:ind w:left="223" w:hanging="222" w:hangingChars="106"/>
              <w:jc w:val="center"/>
              <w:rPr>
                <w:color w:val="auto"/>
                <w:szCs w:val="21"/>
                <w:highlight w:val="none"/>
              </w:rPr>
            </w:pPr>
          </w:p>
        </w:tc>
        <w:tc>
          <w:tcPr>
            <w:tcW w:w="1148" w:type="dxa"/>
            <w:noWrap w:val="0"/>
            <w:vAlign w:val="center"/>
          </w:tcPr>
          <w:p w14:paraId="47275F39">
            <w:pPr>
              <w:ind w:left="223" w:hanging="222" w:hangingChars="106"/>
              <w:jc w:val="center"/>
              <w:rPr>
                <w:color w:val="auto"/>
                <w:szCs w:val="21"/>
                <w:highlight w:val="none"/>
              </w:rPr>
            </w:pPr>
          </w:p>
        </w:tc>
        <w:tc>
          <w:tcPr>
            <w:tcW w:w="744" w:type="dxa"/>
            <w:noWrap w:val="0"/>
            <w:vAlign w:val="center"/>
          </w:tcPr>
          <w:p w14:paraId="1E79DB72">
            <w:pPr>
              <w:ind w:left="223" w:hanging="222" w:hangingChars="106"/>
              <w:jc w:val="center"/>
              <w:rPr>
                <w:color w:val="auto"/>
                <w:szCs w:val="21"/>
                <w:highlight w:val="none"/>
              </w:rPr>
            </w:pPr>
          </w:p>
        </w:tc>
        <w:tc>
          <w:tcPr>
            <w:tcW w:w="1167" w:type="dxa"/>
            <w:noWrap w:val="0"/>
            <w:vAlign w:val="center"/>
          </w:tcPr>
          <w:p w14:paraId="1B7FE14F">
            <w:pPr>
              <w:ind w:left="223" w:hanging="222" w:hangingChars="106"/>
              <w:jc w:val="center"/>
              <w:rPr>
                <w:color w:val="auto"/>
                <w:szCs w:val="21"/>
                <w:highlight w:val="none"/>
              </w:rPr>
            </w:pPr>
          </w:p>
        </w:tc>
        <w:tc>
          <w:tcPr>
            <w:tcW w:w="1276" w:type="dxa"/>
            <w:noWrap w:val="0"/>
            <w:vAlign w:val="center"/>
          </w:tcPr>
          <w:p w14:paraId="2C890E38">
            <w:pPr>
              <w:ind w:left="223" w:hanging="222" w:hangingChars="106"/>
              <w:jc w:val="center"/>
              <w:rPr>
                <w:color w:val="auto"/>
                <w:szCs w:val="21"/>
                <w:highlight w:val="none"/>
              </w:rPr>
            </w:pPr>
          </w:p>
        </w:tc>
      </w:tr>
      <w:tr w14:paraId="067E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99A72B4">
            <w:pPr>
              <w:pStyle w:val="79"/>
              <w:spacing w:line="240" w:lineRule="auto"/>
              <w:ind w:firstLine="0"/>
              <w:rPr>
                <w:color w:val="auto"/>
                <w:sz w:val="21"/>
                <w:szCs w:val="21"/>
                <w:highlight w:val="none"/>
                <w:lang w:eastAsia="zh-CN"/>
              </w:rPr>
            </w:pPr>
            <w:r>
              <w:rPr>
                <w:rFonts w:ascii="Times New Roman" w:hAnsi="Times New Roman" w:eastAsia="Times New Roman" w:cs="Times New Roman"/>
                <w:color w:val="auto"/>
                <w:sz w:val="21"/>
                <w:szCs w:val="21"/>
                <w:highlight w:val="none"/>
                <w:lang w:val="en-US" w:eastAsia="zh-CN" w:bidi="en-US"/>
              </w:rPr>
              <w:t>2.</w:t>
            </w:r>
            <w:r>
              <w:rPr>
                <w:color w:val="auto"/>
                <w:sz w:val="21"/>
                <w:szCs w:val="21"/>
                <w:highlight w:val="none"/>
                <w:lang w:eastAsia="zh-CN"/>
              </w:rPr>
              <w:t>技术负责人</w:t>
            </w:r>
            <w:r>
              <w:rPr>
                <w:rFonts w:hint="eastAsia"/>
                <w:color w:val="auto"/>
                <w:sz w:val="21"/>
                <w:szCs w:val="21"/>
                <w:highlight w:val="none"/>
                <w:lang w:eastAsia="zh-CN"/>
              </w:rPr>
              <w:t>（项目总工）</w:t>
            </w:r>
          </w:p>
        </w:tc>
        <w:tc>
          <w:tcPr>
            <w:tcW w:w="670" w:type="dxa"/>
            <w:noWrap w:val="0"/>
            <w:vAlign w:val="center"/>
          </w:tcPr>
          <w:p w14:paraId="2C644B15">
            <w:pPr>
              <w:ind w:left="223" w:hanging="222" w:hangingChars="106"/>
              <w:jc w:val="center"/>
              <w:rPr>
                <w:color w:val="auto"/>
                <w:szCs w:val="21"/>
                <w:highlight w:val="none"/>
              </w:rPr>
            </w:pPr>
          </w:p>
        </w:tc>
        <w:tc>
          <w:tcPr>
            <w:tcW w:w="829" w:type="dxa"/>
            <w:noWrap w:val="0"/>
            <w:vAlign w:val="center"/>
          </w:tcPr>
          <w:p w14:paraId="76350545">
            <w:pPr>
              <w:ind w:left="223" w:hanging="222" w:hangingChars="106"/>
              <w:jc w:val="center"/>
              <w:rPr>
                <w:color w:val="auto"/>
                <w:szCs w:val="21"/>
                <w:highlight w:val="none"/>
              </w:rPr>
            </w:pPr>
          </w:p>
        </w:tc>
        <w:tc>
          <w:tcPr>
            <w:tcW w:w="816" w:type="dxa"/>
            <w:noWrap w:val="0"/>
            <w:vAlign w:val="center"/>
          </w:tcPr>
          <w:p w14:paraId="12E7B0AA">
            <w:pPr>
              <w:ind w:left="223" w:hanging="222" w:hangingChars="106"/>
              <w:jc w:val="center"/>
              <w:rPr>
                <w:color w:val="auto"/>
                <w:szCs w:val="21"/>
                <w:highlight w:val="none"/>
              </w:rPr>
            </w:pPr>
          </w:p>
        </w:tc>
        <w:tc>
          <w:tcPr>
            <w:tcW w:w="1148" w:type="dxa"/>
            <w:noWrap w:val="0"/>
            <w:vAlign w:val="center"/>
          </w:tcPr>
          <w:p w14:paraId="3EE00242">
            <w:pPr>
              <w:ind w:left="223" w:hanging="222" w:hangingChars="106"/>
              <w:jc w:val="center"/>
              <w:rPr>
                <w:color w:val="auto"/>
                <w:szCs w:val="21"/>
                <w:highlight w:val="none"/>
              </w:rPr>
            </w:pPr>
          </w:p>
        </w:tc>
        <w:tc>
          <w:tcPr>
            <w:tcW w:w="1148" w:type="dxa"/>
            <w:noWrap w:val="0"/>
            <w:vAlign w:val="center"/>
          </w:tcPr>
          <w:p w14:paraId="5939B911">
            <w:pPr>
              <w:ind w:left="223" w:hanging="222" w:hangingChars="106"/>
              <w:jc w:val="center"/>
              <w:rPr>
                <w:color w:val="auto"/>
                <w:szCs w:val="21"/>
                <w:highlight w:val="none"/>
              </w:rPr>
            </w:pPr>
          </w:p>
        </w:tc>
        <w:tc>
          <w:tcPr>
            <w:tcW w:w="1148" w:type="dxa"/>
            <w:noWrap w:val="0"/>
            <w:vAlign w:val="center"/>
          </w:tcPr>
          <w:p w14:paraId="6EFF9023">
            <w:pPr>
              <w:ind w:left="223" w:hanging="222" w:hangingChars="106"/>
              <w:jc w:val="center"/>
              <w:rPr>
                <w:color w:val="auto"/>
                <w:szCs w:val="21"/>
                <w:highlight w:val="none"/>
              </w:rPr>
            </w:pPr>
          </w:p>
        </w:tc>
        <w:tc>
          <w:tcPr>
            <w:tcW w:w="744" w:type="dxa"/>
            <w:noWrap w:val="0"/>
            <w:vAlign w:val="center"/>
          </w:tcPr>
          <w:p w14:paraId="415677B3">
            <w:pPr>
              <w:ind w:left="223" w:hanging="222" w:hangingChars="106"/>
              <w:jc w:val="center"/>
              <w:rPr>
                <w:color w:val="auto"/>
                <w:szCs w:val="21"/>
                <w:highlight w:val="none"/>
              </w:rPr>
            </w:pPr>
          </w:p>
        </w:tc>
        <w:tc>
          <w:tcPr>
            <w:tcW w:w="1167" w:type="dxa"/>
            <w:noWrap w:val="0"/>
            <w:vAlign w:val="center"/>
          </w:tcPr>
          <w:p w14:paraId="7E891CFC">
            <w:pPr>
              <w:ind w:left="223" w:hanging="222" w:hangingChars="106"/>
              <w:jc w:val="center"/>
              <w:rPr>
                <w:color w:val="auto"/>
                <w:szCs w:val="21"/>
                <w:highlight w:val="none"/>
              </w:rPr>
            </w:pPr>
          </w:p>
        </w:tc>
        <w:tc>
          <w:tcPr>
            <w:tcW w:w="1276" w:type="dxa"/>
            <w:noWrap w:val="0"/>
            <w:vAlign w:val="center"/>
          </w:tcPr>
          <w:p w14:paraId="7C8E58F7">
            <w:pPr>
              <w:ind w:left="223" w:hanging="222" w:hangingChars="106"/>
              <w:jc w:val="center"/>
              <w:rPr>
                <w:color w:val="auto"/>
                <w:szCs w:val="21"/>
                <w:highlight w:val="none"/>
              </w:rPr>
            </w:pPr>
          </w:p>
        </w:tc>
      </w:tr>
      <w:tr w14:paraId="4BAD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B18398B">
            <w:pPr>
              <w:pStyle w:val="79"/>
              <w:spacing w:line="240" w:lineRule="auto"/>
              <w:ind w:firstLine="0"/>
              <w:rPr>
                <w:color w:val="auto"/>
                <w:sz w:val="21"/>
                <w:szCs w:val="21"/>
                <w:highlight w:val="none"/>
                <w:lang w:eastAsia="zh-CN"/>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lang w:eastAsia="zh-CN"/>
              </w:rPr>
              <w:t xml:space="preserve"> 施工员</w:t>
            </w:r>
          </w:p>
        </w:tc>
        <w:tc>
          <w:tcPr>
            <w:tcW w:w="670" w:type="dxa"/>
            <w:noWrap w:val="0"/>
            <w:vAlign w:val="center"/>
          </w:tcPr>
          <w:p w14:paraId="3E3C96A1">
            <w:pPr>
              <w:ind w:left="223" w:hanging="222" w:hangingChars="106"/>
              <w:jc w:val="center"/>
              <w:rPr>
                <w:color w:val="auto"/>
                <w:szCs w:val="21"/>
                <w:highlight w:val="none"/>
              </w:rPr>
            </w:pPr>
          </w:p>
        </w:tc>
        <w:tc>
          <w:tcPr>
            <w:tcW w:w="829" w:type="dxa"/>
            <w:noWrap w:val="0"/>
            <w:vAlign w:val="center"/>
          </w:tcPr>
          <w:p w14:paraId="64E8CE78">
            <w:pPr>
              <w:ind w:left="223" w:hanging="222" w:hangingChars="106"/>
              <w:jc w:val="center"/>
              <w:rPr>
                <w:color w:val="auto"/>
                <w:szCs w:val="21"/>
                <w:highlight w:val="none"/>
              </w:rPr>
            </w:pPr>
          </w:p>
        </w:tc>
        <w:tc>
          <w:tcPr>
            <w:tcW w:w="816" w:type="dxa"/>
            <w:noWrap w:val="0"/>
            <w:vAlign w:val="center"/>
          </w:tcPr>
          <w:p w14:paraId="59C509F2">
            <w:pPr>
              <w:ind w:left="223" w:hanging="222" w:hangingChars="106"/>
              <w:jc w:val="center"/>
              <w:rPr>
                <w:color w:val="auto"/>
                <w:szCs w:val="21"/>
                <w:highlight w:val="none"/>
              </w:rPr>
            </w:pPr>
          </w:p>
        </w:tc>
        <w:tc>
          <w:tcPr>
            <w:tcW w:w="1148" w:type="dxa"/>
            <w:noWrap w:val="0"/>
            <w:vAlign w:val="center"/>
          </w:tcPr>
          <w:p w14:paraId="22363FF2">
            <w:pPr>
              <w:ind w:left="223" w:hanging="222" w:hangingChars="106"/>
              <w:jc w:val="center"/>
              <w:rPr>
                <w:color w:val="auto"/>
                <w:szCs w:val="21"/>
                <w:highlight w:val="none"/>
              </w:rPr>
            </w:pPr>
          </w:p>
        </w:tc>
        <w:tc>
          <w:tcPr>
            <w:tcW w:w="1148" w:type="dxa"/>
            <w:noWrap w:val="0"/>
            <w:vAlign w:val="center"/>
          </w:tcPr>
          <w:p w14:paraId="063B89CA">
            <w:pPr>
              <w:ind w:left="223" w:hanging="222" w:hangingChars="106"/>
              <w:jc w:val="center"/>
              <w:rPr>
                <w:color w:val="auto"/>
                <w:szCs w:val="21"/>
                <w:highlight w:val="none"/>
              </w:rPr>
            </w:pPr>
          </w:p>
        </w:tc>
        <w:tc>
          <w:tcPr>
            <w:tcW w:w="1148" w:type="dxa"/>
            <w:noWrap w:val="0"/>
            <w:vAlign w:val="center"/>
          </w:tcPr>
          <w:p w14:paraId="58D87EF0">
            <w:pPr>
              <w:ind w:left="223" w:hanging="222" w:hangingChars="106"/>
              <w:jc w:val="center"/>
              <w:rPr>
                <w:color w:val="auto"/>
                <w:szCs w:val="21"/>
                <w:highlight w:val="none"/>
              </w:rPr>
            </w:pPr>
          </w:p>
        </w:tc>
        <w:tc>
          <w:tcPr>
            <w:tcW w:w="744" w:type="dxa"/>
            <w:noWrap w:val="0"/>
            <w:vAlign w:val="center"/>
          </w:tcPr>
          <w:p w14:paraId="782C0F52">
            <w:pPr>
              <w:ind w:left="223" w:hanging="222" w:hangingChars="106"/>
              <w:jc w:val="center"/>
              <w:rPr>
                <w:color w:val="auto"/>
                <w:szCs w:val="21"/>
                <w:highlight w:val="none"/>
              </w:rPr>
            </w:pPr>
          </w:p>
        </w:tc>
        <w:tc>
          <w:tcPr>
            <w:tcW w:w="1167" w:type="dxa"/>
            <w:noWrap w:val="0"/>
            <w:vAlign w:val="center"/>
          </w:tcPr>
          <w:p w14:paraId="25BBADF0">
            <w:pPr>
              <w:ind w:left="223" w:hanging="222" w:hangingChars="106"/>
              <w:jc w:val="center"/>
              <w:rPr>
                <w:color w:val="auto"/>
                <w:szCs w:val="21"/>
                <w:highlight w:val="none"/>
              </w:rPr>
            </w:pPr>
          </w:p>
        </w:tc>
        <w:tc>
          <w:tcPr>
            <w:tcW w:w="1276" w:type="dxa"/>
            <w:noWrap w:val="0"/>
            <w:vAlign w:val="center"/>
          </w:tcPr>
          <w:p w14:paraId="5084AB62">
            <w:pPr>
              <w:ind w:left="223" w:hanging="222" w:hangingChars="106"/>
              <w:jc w:val="center"/>
              <w:rPr>
                <w:color w:val="auto"/>
                <w:szCs w:val="21"/>
                <w:highlight w:val="none"/>
              </w:rPr>
            </w:pPr>
          </w:p>
        </w:tc>
      </w:tr>
      <w:tr w14:paraId="42E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949686E">
            <w:pPr>
              <w:pStyle w:val="79"/>
              <w:spacing w:line="240" w:lineRule="auto"/>
              <w:ind w:firstLine="0"/>
              <w:rPr>
                <w:color w:val="auto"/>
                <w:sz w:val="21"/>
                <w:szCs w:val="21"/>
                <w:highlight w:val="none"/>
                <w:lang w:eastAsia="zh-CN"/>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lang w:eastAsia="zh-CN"/>
              </w:rPr>
              <w:t>安全员</w:t>
            </w:r>
          </w:p>
        </w:tc>
        <w:tc>
          <w:tcPr>
            <w:tcW w:w="670" w:type="dxa"/>
            <w:noWrap w:val="0"/>
            <w:vAlign w:val="center"/>
          </w:tcPr>
          <w:p w14:paraId="28A9194D">
            <w:pPr>
              <w:ind w:left="223" w:hanging="222" w:hangingChars="106"/>
              <w:jc w:val="center"/>
              <w:rPr>
                <w:color w:val="auto"/>
                <w:szCs w:val="21"/>
                <w:highlight w:val="none"/>
              </w:rPr>
            </w:pPr>
          </w:p>
        </w:tc>
        <w:tc>
          <w:tcPr>
            <w:tcW w:w="829" w:type="dxa"/>
            <w:noWrap w:val="0"/>
            <w:vAlign w:val="center"/>
          </w:tcPr>
          <w:p w14:paraId="7A4AA837">
            <w:pPr>
              <w:ind w:left="223" w:hanging="222" w:hangingChars="106"/>
              <w:jc w:val="center"/>
              <w:rPr>
                <w:color w:val="auto"/>
                <w:szCs w:val="21"/>
                <w:highlight w:val="none"/>
              </w:rPr>
            </w:pPr>
          </w:p>
        </w:tc>
        <w:tc>
          <w:tcPr>
            <w:tcW w:w="816" w:type="dxa"/>
            <w:noWrap w:val="0"/>
            <w:vAlign w:val="center"/>
          </w:tcPr>
          <w:p w14:paraId="4E2DC612">
            <w:pPr>
              <w:ind w:left="223" w:hanging="222" w:hangingChars="106"/>
              <w:jc w:val="center"/>
              <w:rPr>
                <w:color w:val="auto"/>
                <w:szCs w:val="21"/>
                <w:highlight w:val="none"/>
              </w:rPr>
            </w:pPr>
          </w:p>
        </w:tc>
        <w:tc>
          <w:tcPr>
            <w:tcW w:w="1148" w:type="dxa"/>
            <w:noWrap w:val="0"/>
            <w:vAlign w:val="center"/>
          </w:tcPr>
          <w:p w14:paraId="52CC5CBF">
            <w:pPr>
              <w:ind w:left="223" w:hanging="222" w:hangingChars="106"/>
              <w:jc w:val="center"/>
              <w:rPr>
                <w:color w:val="auto"/>
                <w:szCs w:val="21"/>
                <w:highlight w:val="none"/>
              </w:rPr>
            </w:pPr>
          </w:p>
        </w:tc>
        <w:tc>
          <w:tcPr>
            <w:tcW w:w="1148" w:type="dxa"/>
            <w:noWrap w:val="0"/>
            <w:vAlign w:val="center"/>
          </w:tcPr>
          <w:p w14:paraId="408F10CF">
            <w:pPr>
              <w:ind w:left="223" w:hanging="222" w:hangingChars="106"/>
              <w:jc w:val="center"/>
              <w:rPr>
                <w:color w:val="auto"/>
                <w:szCs w:val="21"/>
                <w:highlight w:val="none"/>
              </w:rPr>
            </w:pPr>
          </w:p>
        </w:tc>
        <w:tc>
          <w:tcPr>
            <w:tcW w:w="1148" w:type="dxa"/>
            <w:noWrap w:val="0"/>
            <w:vAlign w:val="center"/>
          </w:tcPr>
          <w:p w14:paraId="0BFA6464">
            <w:pPr>
              <w:ind w:left="223" w:hanging="222" w:hangingChars="106"/>
              <w:jc w:val="center"/>
              <w:rPr>
                <w:color w:val="auto"/>
                <w:szCs w:val="21"/>
                <w:highlight w:val="none"/>
              </w:rPr>
            </w:pPr>
          </w:p>
        </w:tc>
        <w:tc>
          <w:tcPr>
            <w:tcW w:w="744" w:type="dxa"/>
            <w:noWrap w:val="0"/>
            <w:vAlign w:val="center"/>
          </w:tcPr>
          <w:p w14:paraId="0AA50652">
            <w:pPr>
              <w:ind w:left="223" w:hanging="222" w:hangingChars="106"/>
              <w:jc w:val="center"/>
              <w:rPr>
                <w:color w:val="auto"/>
                <w:szCs w:val="21"/>
                <w:highlight w:val="none"/>
              </w:rPr>
            </w:pPr>
          </w:p>
        </w:tc>
        <w:tc>
          <w:tcPr>
            <w:tcW w:w="1167" w:type="dxa"/>
            <w:noWrap w:val="0"/>
            <w:vAlign w:val="center"/>
          </w:tcPr>
          <w:p w14:paraId="2580F71C">
            <w:pPr>
              <w:ind w:left="223" w:hanging="222" w:hangingChars="106"/>
              <w:jc w:val="center"/>
              <w:rPr>
                <w:color w:val="auto"/>
                <w:szCs w:val="21"/>
                <w:highlight w:val="none"/>
              </w:rPr>
            </w:pPr>
          </w:p>
        </w:tc>
        <w:tc>
          <w:tcPr>
            <w:tcW w:w="1276" w:type="dxa"/>
            <w:noWrap w:val="0"/>
            <w:vAlign w:val="center"/>
          </w:tcPr>
          <w:p w14:paraId="1B18D8E0">
            <w:pPr>
              <w:ind w:left="223" w:hanging="222" w:hangingChars="106"/>
              <w:jc w:val="center"/>
              <w:rPr>
                <w:color w:val="auto"/>
                <w:szCs w:val="21"/>
                <w:highlight w:val="none"/>
              </w:rPr>
            </w:pPr>
          </w:p>
        </w:tc>
      </w:tr>
      <w:tr w14:paraId="666B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089339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noWrap w:val="0"/>
            <w:vAlign w:val="center"/>
          </w:tcPr>
          <w:p w14:paraId="7CDF2A90">
            <w:pPr>
              <w:ind w:left="223" w:hanging="222" w:hangingChars="106"/>
              <w:jc w:val="center"/>
              <w:rPr>
                <w:color w:val="auto"/>
                <w:szCs w:val="21"/>
                <w:highlight w:val="none"/>
              </w:rPr>
            </w:pPr>
          </w:p>
        </w:tc>
        <w:tc>
          <w:tcPr>
            <w:tcW w:w="829" w:type="dxa"/>
            <w:noWrap w:val="0"/>
            <w:vAlign w:val="center"/>
          </w:tcPr>
          <w:p w14:paraId="7C975170">
            <w:pPr>
              <w:ind w:left="223" w:hanging="222" w:hangingChars="106"/>
              <w:jc w:val="center"/>
              <w:rPr>
                <w:color w:val="auto"/>
                <w:szCs w:val="21"/>
                <w:highlight w:val="none"/>
              </w:rPr>
            </w:pPr>
          </w:p>
        </w:tc>
        <w:tc>
          <w:tcPr>
            <w:tcW w:w="816" w:type="dxa"/>
            <w:noWrap w:val="0"/>
            <w:vAlign w:val="center"/>
          </w:tcPr>
          <w:p w14:paraId="1CA0189E">
            <w:pPr>
              <w:ind w:left="223" w:hanging="222" w:hangingChars="106"/>
              <w:jc w:val="center"/>
              <w:rPr>
                <w:color w:val="auto"/>
                <w:szCs w:val="21"/>
                <w:highlight w:val="none"/>
              </w:rPr>
            </w:pPr>
          </w:p>
        </w:tc>
        <w:tc>
          <w:tcPr>
            <w:tcW w:w="1148" w:type="dxa"/>
            <w:noWrap w:val="0"/>
            <w:vAlign w:val="center"/>
          </w:tcPr>
          <w:p w14:paraId="6B3BD353">
            <w:pPr>
              <w:ind w:left="223" w:hanging="222" w:hangingChars="106"/>
              <w:jc w:val="center"/>
              <w:rPr>
                <w:color w:val="auto"/>
                <w:szCs w:val="21"/>
                <w:highlight w:val="none"/>
              </w:rPr>
            </w:pPr>
          </w:p>
        </w:tc>
        <w:tc>
          <w:tcPr>
            <w:tcW w:w="1148" w:type="dxa"/>
            <w:noWrap w:val="0"/>
            <w:vAlign w:val="center"/>
          </w:tcPr>
          <w:p w14:paraId="76AF1A8E">
            <w:pPr>
              <w:ind w:left="223" w:hanging="222" w:hangingChars="106"/>
              <w:jc w:val="center"/>
              <w:rPr>
                <w:color w:val="auto"/>
                <w:szCs w:val="21"/>
                <w:highlight w:val="none"/>
              </w:rPr>
            </w:pPr>
          </w:p>
        </w:tc>
        <w:tc>
          <w:tcPr>
            <w:tcW w:w="1148" w:type="dxa"/>
            <w:noWrap w:val="0"/>
            <w:vAlign w:val="center"/>
          </w:tcPr>
          <w:p w14:paraId="26686E7D">
            <w:pPr>
              <w:ind w:left="223" w:hanging="222" w:hangingChars="106"/>
              <w:jc w:val="center"/>
              <w:rPr>
                <w:color w:val="auto"/>
                <w:szCs w:val="21"/>
                <w:highlight w:val="none"/>
              </w:rPr>
            </w:pPr>
          </w:p>
        </w:tc>
        <w:tc>
          <w:tcPr>
            <w:tcW w:w="744" w:type="dxa"/>
            <w:noWrap w:val="0"/>
            <w:vAlign w:val="center"/>
          </w:tcPr>
          <w:p w14:paraId="0BE80D03">
            <w:pPr>
              <w:ind w:left="223" w:hanging="222" w:hangingChars="106"/>
              <w:jc w:val="center"/>
              <w:rPr>
                <w:color w:val="auto"/>
                <w:szCs w:val="21"/>
                <w:highlight w:val="none"/>
              </w:rPr>
            </w:pPr>
          </w:p>
        </w:tc>
        <w:tc>
          <w:tcPr>
            <w:tcW w:w="1167" w:type="dxa"/>
            <w:noWrap w:val="0"/>
            <w:vAlign w:val="center"/>
          </w:tcPr>
          <w:p w14:paraId="0BBFF81C">
            <w:pPr>
              <w:ind w:left="223" w:hanging="222" w:hangingChars="106"/>
              <w:jc w:val="center"/>
              <w:rPr>
                <w:color w:val="auto"/>
                <w:szCs w:val="21"/>
                <w:highlight w:val="none"/>
              </w:rPr>
            </w:pPr>
          </w:p>
        </w:tc>
        <w:tc>
          <w:tcPr>
            <w:tcW w:w="1276" w:type="dxa"/>
            <w:noWrap w:val="0"/>
            <w:vAlign w:val="center"/>
          </w:tcPr>
          <w:p w14:paraId="6F02DB6D">
            <w:pPr>
              <w:ind w:left="223" w:hanging="222" w:hangingChars="106"/>
              <w:jc w:val="center"/>
              <w:rPr>
                <w:color w:val="auto"/>
                <w:szCs w:val="21"/>
                <w:highlight w:val="none"/>
              </w:rPr>
            </w:pPr>
          </w:p>
        </w:tc>
      </w:tr>
      <w:tr w14:paraId="5B0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8D8F059">
            <w:pPr>
              <w:jc w:val="left"/>
              <w:rPr>
                <w:color w:val="auto"/>
                <w:szCs w:val="21"/>
                <w:highlight w:val="none"/>
              </w:rPr>
            </w:pPr>
            <w:r>
              <w:rPr>
                <w:rFonts w:hint="eastAsia"/>
                <w:color w:val="auto"/>
                <w:szCs w:val="21"/>
                <w:highlight w:val="none"/>
              </w:rPr>
              <w:t>6.材料员</w:t>
            </w:r>
          </w:p>
        </w:tc>
        <w:tc>
          <w:tcPr>
            <w:tcW w:w="670" w:type="dxa"/>
            <w:noWrap w:val="0"/>
            <w:vAlign w:val="center"/>
          </w:tcPr>
          <w:p w14:paraId="5E0D75E5">
            <w:pPr>
              <w:ind w:left="223" w:hanging="222" w:hangingChars="106"/>
              <w:jc w:val="center"/>
              <w:rPr>
                <w:color w:val="auto"/>
                <w:szCs w:val="21"/>
                <w:highlight w:val="none"/>
              </w:rPr>
            </w:pPr>
          </w:p>
        </w:tc>
        <w:tc>
          <w:tcPr>
            <w:tcW w:w="829" w:type="dxa"/>
            <w:noWrap w:val="0"/>
            <w:vAlign w:val="center"/>
          </w:tcPr>
          <w:p w14:paraId="167CFDEF">
            <w:pPr>
              <w:ind w:left="223" w:hanging="222" w:hangingChars="106"/>
              <w:jc w:val="center"/>
              <w:rPr>
                <w:color w:val="auto"/>
                <w:szCs w:val="21"/>
                <w:highlight w:val="none"/>
              </w:rPr>
            </w:pPr>
          </w:p>
        </w:tc>
        <w:tc>
          <w:tcPr>
            <w:tcW w:w="816" w:type="dxa"/>
            <w:noWrap w:val="0"/>
            <w:vAlign w:val="center"/>
          </w:tcPr>
          <w:p w14:paraId="516D1B13">
            <w:pPr>
              <w:ind w:left="223" w:hanging="222" w:hangingChars="106"/>
              <w:jc w:val="center"/>
              <w:rPr>
                <w:color w:val="auto"/>
                <w:szCs w:val="21"/>
                <w:highlight w:val="none"/>
              </w:rPr>
            </w:pPr>
          </w:p>
        </w:tc>
        <w:tc>
          <w:tcPr>
            <w:tcW w:w="1148" w:type="dxa"/>
            <w:noWrap w:val="0"/>
            <w:vAlign w:val="center"/>
          </w:tcPr>
          <w:p w14:paraId="629E0145">
            <w:pPr>
              <w:ind w:left="223" w:hanging="222" w:hangingChars="106"/>
              <w:jc w:val="center"/>
              <w:rPr>
                <w:color w:val="auto"/>
                <w:szCs w:val="21"/>
                <w:highlight w:val="none"/>
              </w:rPr>
            </w:pPr>
          </w:p>
        </w:tc>
        <w:tc>
          <w:tcPr>
            <w:tcW w:w="1148" w:type="dxa"/>
            <w:noWrap w:val="0"/>
            <w:vAlign w:val="center"/>
          </w:tcPr>
          <w:p w14:paraId="1AFB7869">
            <w:pPr>
              <w:ind w:left="223" w:hanging="222" w:hangingChars="106"/>
              <w:jc w:val="center"/>
              <w:rPr>
                <w:color w:val="auto"/>
                <w:szCs w:val="21"/>
                <w:highlight w:val="none"/>
              </w:rPr>
            </w:pPr>
          </w:p>
        </w:tc>
        <w:tc>
          <w:tcPr>
            <w:tcW w:w="1148" w:type="dxa"/>
            <w:noWrap w:val="0"/>
            <w:vAlign w:val="center"/>
          </w:tcPr>
          <w:p w14:paraId="6511CB8F">
            <w:pPr>
              <w:ind w:left="223" w:hanging="222" w:hangingChars="106"/>
              <w:jc w:val="center"/>
              <w:rPr>
                <w:color w:val="auto"/>
                <w:szCs w:val="21"/>
                <w:highlight w:val="none"/>
              </w:rPr>
            </w:pPr>
          </w:p>
        </w:tc>
        <w:tc>
          <w:tcPr>
            <w:tcW w:w="744" w:type="dxa"/>
            <w:noWrap w:val="0"/>
            <w:vAlign w:val="center"/>
          </w:tcPr>
          <w:p w14:paraId="16D9E437">
            <w:pPr>
              <w:ind w:left="223" w:hanging="222" w:hangingChars="106"/>
              <w:jc w:val="center"/>
              <w:rPr>
                <w:color w:val="auto"/>
                <w:szCs w:val="21"/>
                <w:highlight w:val="none"/>
              </w:rPr>
            </w:pPr>
          </w:p>
        </w:tc>
        <w:tc>
          <w:tcPr>
            <w:tcW w:w="1167" w:type="dxa"/>
            <w:noWrap w:val="0"/>
            <w:vAlign w:val="center"/>
          </w:tcPr>
          <w:p w14:paraId="1DBEEBC0">
            <w:pPr>
              <w:ind w:left="223" w:hanging="222" w:hangingChars="106"/>
              <w:jc w:val="center"/>
              <w:rPr>
                <w:color w:val="auto"/>
                <w:szCs w:val="21"/>
                <w:highlight w:val="none"/>
              </w:rPr>
            </w:pPr>
          </w:p>
        </w:tc>
        <w:tc>
          <w:tcPr>
            <w:tcW w:w="1276" w:type="dxa"/>
            <w:noWrap w:val="0"/>
            <w:vAlign w:val="center"/>
          </w:tcPr>
          <w:p w14:paraId="7EB23E1B">
            <w:pPr>
              <w:ind w:left="223" w:hanging="222" w:hangingChars="106"/>
              <w:jc w:val="center"/>
              <w:rPr>
                <w:color w:val="auto"/>
                <w:szCs w:val="21"/>
                <w:highlight w:val="none"/>
              </w:rPr>
            </w:pPr>
          </w:p>
        </w:tc>
      </w:tr>
      <w:tr w14:paraId="77E6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00E5AA2">
            <w:pPr>
              <w:ind w:left="223" w:hanging="222" w:hangingChars="106"/>
              <w:jc w:val="center"/>
              <w:rPr>
                <w:color w:val="auto"/>
                <w:szCs w:val="21"/>
                <w:highlight w:val="none"/>
              </w:rPr>
            </w:pPr>
          </w:p>
        </w:tc>
        <w:tc>
          <w:tcPr>
            <w:tcW w:w="670" w:type="dxa"/>
            <w:noWrap w:val="0"/>
            <w:vAlign w:val="center"/>
          </w:tcPr>
          <w:p w14:paraId="4E7548E6">
            <w:pPr>
              <w:ind w:left="223" w:hanging="222" w:hangingChars="106"/>
              <w:jc w:val="center"/>
              <w:rPr>
                <w:color w:val="auto"/>
                <w:szCs w:val="21"/>
                <w:highlight w:val="none"/>
              </w:rPr>
            </w:pPr>
          </w:p>
        </w:tc>
        <w:tc>
          <w:tcPr>
            <w:tcW w:w="829" w:type="dxa"/>
            <w:noWrap w:val="0"/>
            <w:vAlign w:val="center"/>
          </w:tcPr>
          <w:p w14:paraId="4D651C6A">
            <w:pPr>
              <w:ind w:left="223" w:hanging="222" w:hangingChars="106"/>
              <w:jc w:val="center"/>
              <w:rPr>
                <w:color w:val="auto"/>
                <w:szCs w:val="21"/>
                <w:highlight w:val="none"/>
              </w:rPr>
            </w:pPr>
          </w:p>
        </w:tc>
        <w:tc>
          <w:tcPr>
            <w:tcW w:w="816" w:type="dxa"/>
            <w:noWrap w:val="0"/>
            <w:vAlign w:val="center"/>
          </w:tcPr>
          <w:p w14:paraId="58F0C82E">
            <w:pPr>
              <w:ind w:left="223" w:hanging="222" w:hangingChars="106"/>
              <w:jc w:val="center"/>
              <w:rPr>
                <w:color w:val="auto"/>
                <w:szCs w:val="21"/>
                <w:highlight w:val="none"/>
              </w:rPr>
            </w:pPr>
          </w:p>
        </w:tc>
        <w:tc>
          <w:tcPr>
            <w:tcW w:w="1148" w:type="dxa"/>
            <w:noWrap w:val="0"/>
            <w:vAlign w:val="center"/>
          </w:tcPr>
          <w:p w14:paraId="710B6BE1">
            <w:pPr>
              <w:ind w:left="223" w:hanging="222" w:hangingChars="106"/>
              <w:jc w:val="center"/>
              <w:rPr>
                <w:color w:val="auto"/>
                <w:szCs w:val="21"/>
                <w:highlight w:val="none"/>
              </w:rPr>
            </w:pPr>
          </w:p>
        </w:tc>
        <w:tc>
          <w:tcPr>
            <w:tcW w:w="1148" w:type="dxa"/>
            <w:noWrap w:val="0"/>
            <w:vAlign w:val="center"/>
          </w:tcPr>
          <w:p w14:paraId="559B1170">
            <w:pPr>
              <w:ind w:left="223" w:hanging="222" w:hangingChars="106"/>
              <w:jc w:val="center"/>
              <w:rPr>
                <w:color w:val="auto"/>
                <w:szCs w:val="21"/>
                <w:highlight w:val="none"/>
              </w:rPr>
            </w:pPr>
          </w:p>
        </w:tc>
        <w:tc>
          <w:tcPr>
            <w:tcW w:w="1148" w:type="dxa"/>
            <w:noWrap w:val="0"/>
            <w:vAlign w:val="center"/>
          </w:tcPr>
          <w:p w14:paraId="5E3A410F">
            <w:pPr>
              <w:ind w:left="223" w:hanging="222" w:hangingChars="106"/>
              <w:jc w:val="center"/>
              <w:rPr>
                <w:color w:val="auto"/>
                <w:szCs w:val="21"/>
                <w:highlight w:val="none"/>
              </w:rPr>
            </w:pPr>
          </w:p>
        </w:tc>
        <w:tc>
          <w:tcPr>
            <w:tcW w:w="744" w:type="dxa"/>
            <w:noWrap w:val="0"/>
            <w:vAlign w:val="center"/>
          </w:tcPr>
          <w:p w14:paraId="5BDB0714">
            <w:pPr>
              <w:ind w:left="223" w:hanging="222" w:hangingChars="106"/>
              <w:jc w:val="center"/>
              <w:rPr>
                <w:color w:val="auto"/>
                <w:szCs w:val="21"/>
                <w:highlight w:val="none"/>
              </w:rPr>
            </w:pPr>
          </w:p>
        </w:tc>
        <w:tc>
          <w:tcPr>
            <w:tcW w:w="1167" w:type="dxa"/>
            <w:noWrap w:val="0"/>
            <w:vAlign w:val="center"/>
          </w:tcPr>
          <w:p w14:paraId="4272DE83">
            <w:pPr>
              <w:ind w:left="223" w:hanging="222" w:hangingChars="106"/>
              <w:jc w:val="center"/>
              <w:rPr>
                <w:color w:val="auto"/>
                <w:szCs w:val="21"/>
                <w:highlight w:val="none"/>
              </w:rPr>
            </w:pPr>
          </w:p>
        </w:tc>
        <w:tc>
          <w:tcPr>
            <w:tcW w:w="1276" w:type="dxa"/>
            <w:noWrap w:val="0"/>
            <w:vAlign w:val="center"/>
          </w:tcPr>
          <w:p w14:paraId="5AD6AB56">
            <w:pPr>
              <w:ind w:left="223" w:hanging="222" w:hangingChars="106"/>
              <w:jc w:val="center"/>
              <w:rPr>
                <w:color w:val="auto"/>
                <w:szCs w:val="21"/>
                <w:highlight w:val="none"/>
              </w:rPr>
            </w:pPr>
          </w:p>
        </w:tc>
      </w:tr>
      <w:tr w14:paraId="046E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7E826808">
            <w:pPr>
              <w:ind w:firstLine="420" w:firstLineChars="200"/>
              <w:jc w:val="both"/>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4A9B74D6">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076BA643">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378633DE">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w:t>
      </w:r>
      <w:r>
        <w:rPr>
          <w:rFonts w:hint="eastAsia" w:ascii="宋体" w:hAnsi="宋体"/>
          <w:color w:val="auto"/>
          <w:sz w:val="24"/>
          <w:szCs w:val="20"/>
          <w:highlight w:val="none"/>
          <w:lang w:val="en-US" w:eastAsia="zh-CN"/>
        </w:rPr>
        <w:t>2023年09月以来任意</w:t>
      </w:r>
      <w:r>
        <w:rPr>
          <w:rFonts w:hint="eastAsia" w:ascii="宋体" w:hAnsi="宋体"/>
          <w:color w:val="auto"/>
          <w:sz w:val="24"/>
          <w:szCs w:val="20"/>
          <w:highlight w:val="none"/>
        </w:rPr>
        <w:t>1个月在</w:t>
      </w:r>
      <w:r>
        <w:rPr>
          <w:rFonts w:hint="eastAsia" w:ascii="宋体" w:hAnsi="宋体"/>
          <w:color w:val="auto"/>
          <w:sz w:val="24"/>
          <w:szCs w:val="20"/>
          <w:highlight w:val="none"/>
          <w:lang w:eastAsia="zh-CN"/>
        </w:rPr>
        <w:t>供应商</w:t>
      </w:r>
      <w:r>
        <w:rPr>
          <w:rFonts w:hint="eastAsia" w:ascii="宋体" w:hAnsi="宋体"/>
          <w:color w:val="auto"/>
          <w:sz w:val="24"/>
          <w:szCs w:val="20"/>
          <w:highlight w:val="none"/>
        </w:rPr>
        <w:t>单位依法缴纳社会保险的证明材料的复印件并加盖供应商电子签章。</w:t>
      </w:r>
    </w:p>
    <w:p w14:paraId="2A11CB01">
      <w:pPr>
        <w:spacing w:line="360" w:lineRule="auto"/>
        <w:ind w:firstLine="480" w:firstLineChars="200"/>
        <w:contextualSpacing/>
        <w:jc w:val="left"/>
        <w:rPr>
          <w:rFonts w:hint="eastAsia" w:ascii="宋体" w:hAnsi="宋体"/>
          <w:color w:val="auto"/>
          <w:sz w:val="24"/>
          <w:szCs w:val="20"/>
          <w:highlight w:val="none"/>
        </w:rPr>
      </w:pPr>
    </w:p>
    <w:p w14:paraId="1720C9BA">
      <w:pPr>
        <w:spacing w:line="360" w:lineRule="auto"/>
        <w:ind w:right="480"/>
        <w:contextualSpacing/>
        <w:jc w:val="center"/>
        <w:rPr>
          <w:rFonts w:hint="eastAsia" w:ascii="宋体" w:hAnsi="宋体"/>
          <w:color w:val="auto"/>
          <w:sz w:val="24"/>
          <w:szCs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法定代表人或者委托代理人（签字或者电子签名）：</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270FDAC0">
      <w:pPr>
        <w:spacing w:line="360" w:lineRule="auto"/>
        <w:ind w:right="480" w:firstLine="3360" w:firstLineChars="1400"/>
        <w:contextualSpacing/>
        <w:rPr>
          <w:rFonts w:hint="eastAsia" w:ascii="宋体" w:hAnsi="宋体"/>
          <w:color w:val="auto"/>
          <w:sz w:val="24"/>
          <w:szCs w:val="24"/>
          <w:highlight w:val="none"/>
        </w:rPr>
      </w:pPr>
      <w:r>
        <w:rPr>
          <w:rFonts w:hint="eastAsia" w:ascii="宋体" w:hAnsi="宋体"/>
          <w:color w:val="auto"/>
          <w:sz w:val="24"/>
          <w:szCs w:val="24"/>
          <w:highlight w:val="none"/>
        </w:rPr>
        <w:t>供应商（电子签章）：</w:t>
      </w:r>
      <w:r>
        <w:rPr>
          <w:rFonts w:hint="eastAsia" w:ascii="宋体" w:hAnsi="宋体"/>
          <w:color w:val="auto"/>
          <w:sz w:val="24"/>
          <w:szCs w:val="24"/>
          <w:highlight w:val="none"/>
          <w:u w:val="single"/>
        </w:rPr>
        <w:t xml:space="preserve">                </w:t>
      </w:r>
    </w:p>
    <w:p w14:paraId="689165AD">
      <w:pPr>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7973BEE3">
      <w:pPr>
        <w:spacing w:before="100" w:line="225" w:lineRule="auto"/>
        <w:ind w:left="16"/>
        <w:outlineLvl w:val="9"/>
        <w:rPr>
          <w:rFonts w:ascii="Cambria" w:hAnsi="Cambria" w:eastAsia="Cambria" w:cs="Cambria"/>
          <w:color w:val="auto"/>
          <w:spacing w:val="-1"/>
          <w:sz w:val="31"/>
          <w:szCs w:val="31"/>
          <w:highlight w:val="none"/>
        </w:rPr>
      </w:pPr>
      <w:r>
        <w:rPr>
          <w:rFonts w:ascii="宋体" w:hAnsi="宋体"/>
          <w:b/>
          <w:color w:val="auto"/>
          <w:sz w:val="32"/>
          <w:szCs w:val="32"/>
          <w:highlight w:val="none"/>
        </w:rPr>
        <w:br w:type="page"/>
      </w:r>
    </w:p>
    <w:p w14:paraId="498F6A2C">
      <w:pPr>
        <w:spacing w:line="528" w:lineRule="exact"/>
        <w:ind w:left="1871" w:leftChars="891" w:firstLine="1200" w:firstLineChars="300"/>
        <w:rPr>
          <w:rFonts w:ascii="宋体" w:hAnsi="宋体" w:eastAsia="宋体" w:cs="Arial Unicode MS"/>
          <w:sz w:val="40"/>
          <w:szCs w:val="40"/>
        </w:rPr>
      </w:pPr>
      <w:r>
        <w:rPr>
          <w:rFonts w:hint="eastAsia" w:ascii="宋体" w:hAnsi="宋体" w:eastAsia="宋体" w:cs="微软雅黑"/>
          <w:sz w:val="40"/>
          <w:szCs w:val="40"/>
        </w:rPr>
        <w:t>中小微企业划型标准</w:t>
      </w:r>
    </w:p>
    <w:tbl>
      <w:tblPr>
        <w:tblStyle w:val="30"/>
        <w:tblW w:w="0" w:type="auto"/>
        <w:jc w:val="center"/>
        <w:tblLayout w:type="fixed"/>
        <w:tblCellMar>
          <w:top w:w="0" w:type="dxa"/>
          <w:left w:w="108" w:type="dxa"/>
          <w:bottom w:w="0" w:type="dxa"/>
          <w:right w:w="108" w:type="dxa"/>
        </w:tblCellMar>
      </w:tblPr>
      <w:tblGrid>
        <w:gridCol w:w="1831"/>
        <w:gridCol w:w="1489"/>
        <w:gridCol w:w="983"/>
        <w:gridCol w:w="1743"/>
        <w:gridCol w:w="1549"/>
        <w:gridCol w:w="996"/>
      </w:tblGrid>
      <w:tr w14:paraId="13A34812">
        <w:tblPrEx>
          <w:tblCellMar>
            <w:top w:w="0" w:type="dxa"/>
            <w:left w:w="108" w:type="dxa"/>
            <w:bottom w:w="0" w:type="dxa"/>
            <w:right w:w="108" w:type="dxa"/>
          </w:tblCellMar>
        </w:tblPrEx>
        <w:trPr>
          <w:trHeight w:val="287" w:hRule="atLeast"/>
          <w:jc w:val="center"/>
        </w:trPr>
        <w:tc>
          <w:tcPr>
            <w:tcW w:w="1831" w:type="dxa"/>
            <w:tcBorders>
              <w:top w:val="single" w:color="auto" w:sz="4" w:space="0"/>
              <w:left w:val="single" w:color="auto" w:sz="4" w:space="0"/>
              <w:bottom w:val="single" w:color="auto" w:sz="4" w:space="0"/>
              <w:right w:val="single" w:color="auto" w:sz="4" w:space="0"/>
            </w:tcBorders>
            <w:noWrap w:val="0"/>
            <w:vAlign w:val="center"/>
          </w:tcPr>
          <w:p w14:paraId="599497AC">
            <w:pPr>
              <w:widowControl/>
              <w:jc w:val="left"/>
              <w:rPr>
                <w:rFonts w:ascii="宋体" w:hAnsi="宋体" w:eastAsia="宋体" w:cs="宋体"/>
                <w:b/>
                <w:kern w:val="0"/>
                <w:sz w:val="24"/>
              </w:rPr>
            </w:pPr>
            <w:r>
              <w:rPr>
                <w:rFonts w:hint="eastAsia" w:ascii="宋体" w:hAnsi="宋体" w:eastAsia="宋体" w:cs="宋体"/>
                <w:b/>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7B379BFA">
            <w:pPr>
              <w:widowControl/>
              <w:jc w:val="left"/>
              <w:rPr>
                <w:rFonts w:ascii="宋体" w:hAnsi="宋体" w:eastAsia="宋体" w:cs="宋体"/>
                <w:b/>
                <w:kern w:val="0"/>
                <w:sz w:val="24"/>
              </w:rPr>
            </w:pPr>
            <w:r>
              <w:rPr>
                <w:rFonts w:hint="eastAsia" w:ascii="宋体" w:hAnsi="宋体" w:eastAsia="宋体" w:cs="宋体"/>
                <w:b/>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0081E1F3">
            <w:pPr>
              <w:widowControl/>
              <w:jc w:val="left"/>
              <w:rPr>
                <w:rFonts w:ascii="宋体" w:hAnsi="宋体" w:eastAsia="宋体" w:cs="宋体"/>
                <w:b/>
                <w:kern w:val="0"/>
                <w:sz w:val="24"/>
              </w:rPr>
            </w:pPr>
            <w:r>
              <w:rPr>
                <w:rFonts w:hint="eastAsia" w:ascii="宋体" w:hAnsi="宋体" w:eastAsia="宋体" w:cs="宋体"/>
                <w:b/>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1CF20F3D">
            <w:pPr>
              <w:widowControl/>
              <w:jc w:val="left"/>
              <w:rPr>
                <w:rFonts w:ascii="宋体" w:hAnsi="宋体" w:eastAsia="宋体" w:cs="宋体"/>
                <w:b/>
                <w:kern w:val="0"/>
                <w:sz w:val="24"/>
              </w:rPr>
            </w:pPr>
            <w:r>
              <w:rPr>
                <w:rFonts w:hint="eastAsia" w:ascii="宋体" w:hAnsi="宋体" w:eastAsia="宋体" w:cs="宋体"/>
                <w:b/>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705B09F4">
            <w:pPr>
              <w:widowControl/>
              <w:jc w:val="left"/>
              <w:rPr>
                <w:rFonts w:ascii="宋体" w:hAnsi="宋体" w:eastAsia="宋体" w:cs="宋体"/>
                <w:b/>
                <w:kern w:val="0"/>
                <w:sz w:val="24"/>
              </w:rPr>
            </w:pPr>
            <w:r>
              <w:rPr>
                <w:rFonts w:hint="eastAsia" w:ascii="宋体" w:hAnsi="宋体" w:eastAsia="宋体" w:cs="宋体"/>
                <w:b/>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4FFC3B93">
            <w:pPr>
              <w:widowControl/>
              <w:jc w:val="left"/>
              <w:rPr>
                <w:rFonts w:ascii="宋体" w:hAnsi="宋体" w:eastAsia="宋体" w:cs="宋体"/>
                <w:b/>
                <w:kern w:val="0"/>
                <w:sz w:val="24"/>
              </w:rPr>
            </w:pPr>
            <w:r>
              <w:rPr>
                <w:rFonts w:hint="eastAsia" w:ascii="宋体" w:hAnsi="宋体" w:eastAsia="宋体" w:cs="宋体"/>
                <w:b/>
                <w:kern w:val="0"/>
                <w:sz w:val="24"/>
              </w:rPr>
              <w:t>微型</w:t>
            </w:r>
          </w:p>
        </w:tc>
      </w:tr>
      <w:tr w14:paraId="4C9B801C">
        <w:tblPrEx>
          <w:tblCellMar>
            <w:top w:w="0" w:type="dxa"/>
            <w:left w:w="108" w:type="dxa"/>
            <w:bottom w:w="0" w:type="dxa"/>
            <w:right w:w="108" w:type="dxa"/>
          </w:tblCellMar>
        </w:tblPrEx>
        <w:trPr>
          <w:trHeight w:val="226" w:hRule="atLeast"/>
          <w:jc w:val="center"/>
        </w:trPr>
        <w:tc>
          <w:tcPr>
            <w:tcW w:w="1831" w:type="dxa"/>
            <w:tcBorders>
              <w:top w:val="nil"/>
              <w:left w:val="single" w:color="auto" w:sz="4" w:space="0"/>
              <w:bottom w:val="single" w:color="auto" w:sz="4" w:space="0"/>
              <w:right w:val="single" w:color="auto" w:sz="4" w:space="0"/>
            </w:tcBorders>
            <w:noWrap w:val="0"/>
            <w:vAlign w:val="bottom"/>
          </w:tcPr>
          <w:p w14:paraId="71780D9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7552B61D">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4F4D3B4">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D55A5BD">
            <w:pPr>
              <w:widowControl/>
              <w:jc w:val="left"/>
              <w:rPr>
                <w:rFonts w:ascii="宋体" w:hAnsi="宋体" w:eastAsia="宋体" w:cs="宋体"/>
                <w:kern w:val="0"/>
                <w:sz w:val="18"/>
                <w:szCs w:val="18"/>
              </w:rPr>
            </w:pPr>
            <w:r>
              <w:rPr>
                <w:rFonts w:hint="eastAsia" w:ascii="宋体" w:hAnsi="宋体" w:eastAsia="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34809473">
            <w:pPr>
              <w:widowControl/>
              <w:jc w:val="left"/>
              <w:rPr>
                <w:rFonts w:ascii="宋体" w:hAnsi="宋体" w:eastAsia="宋体" w:cs="宋体"/>
                <w:kern w:val="0"/>
                <w:sz w:val="18"/>
                <w:szCs w:val="18"/>
              </w:rPr>
            </w:pPr>
            <w:r>
              <w:rPr>
                <w:rFonts w:hint="eastAsia" w:ascii="宋体" w:hAnsi="宋体" w:eastAsia="宋体" w:cs="宋体"/>
                <w:kern w:val="0"/>
                <w:sz w:val="18"/>
                <w:szCs w:val="18"/>
              </w:rPr>
              <w:t>50≤Y＜500</w:t>
            </w:r>
          </w:p>
        </w:tc>
        <w:tc>
          <w:tcPr>
            <w:tcW w:w="996" w:type="dxa"/>
            <w:tcBorders>
              <w:top w:val="nil"/>
              <w:left w:val="nil"/>
              <w:bottom w:val="single" w:color="auto" w:sz="4" w:space="0"/>
              <w:right w:val="single" w:color="auto" w:sz="4" w:space="0"/>
            </w:tcBorders>
            <w:noWrap w:val="0"/>
            <w:vAlign w:val="center"/>
          </w:tcPr>
          <w:p w14:paraId="1B59891A">
            <w:pPr>
              <w:widowControl/>
              <w:jc w:val="left"/>
              <w:rPr>
                <w:rFonts w:ascii="宋体" w:hAnsi="宋体" w:eastAsia="宋体" w:cs="宋体"/>
                <w:kern w:val="0"/>
                <w:sz w:val="18"/>
                <w:szCs w:val="18"/>
              </w:rPr>
            </w:pPr>
            <w:r>
              <w:rPr>
                <w:rFonts w:hint="eastAsia" w:ascii="宋体" w:hAnsi="宋体" w:eastAsia="宋体" w:cs="宋体"/>
                <w:kern w:val="0"/>
                <w:sz w:val="18"/>
                <w:szCs w:val="18"/>
              </w:rPr>
              <w:t>Y＜50</w:t>
            </w:r>
          </w:p>
        </w:tc>
      </w:tr>
      <w:tr w14:paraId="1273BFC1">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06B817F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工业</w:t>
            </w:r>
          </w:p>
        </w:tc>
        <w:tc>
          <w:tcPr>
            <w:tcW w:w="1489" w:type="dxa"/>
            <w:tcBorders>
              <w:top w:val="nil"/>
              <w:left w:val="nil"/>
              <w:bottom w:val="single" w:color="auto" w:sz="4" w:space="0"/>
              <w:right w:val="single" w:color="auto" w:sz="4" w:space="0"/>
            </w:tcBorders>
            <w:noWrap w:val="0"/>
            <w:vAlign w:val="center"/>
          </w:tcPr>
          <w:p w14:paraId="355DA6A7">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89A6869">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400603E7">
            <w:pPr>
              <w:widowControl/>
              <w:jc w:val="left"/>
              <w:rPr>
                <w:rFonts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023FA40A">
            <w:pPr>
              <w:widowControl/>
              <w:jc w:val="left"/>
              <w:rPr>
                <w:rFonts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21469341">
            <w:pPr>
              <w:widowControl/>
              <w:jc w:val="left"/>
              <w:rPr>
                <w:rFonts w:ascii="宋体" w:hAnsi="宋体" w:eastAsia="宋体" w:cs="宋体"/>
                <w:kern w:val="0"/>
                <w:sz w:val="18"/>
                <w:szCs w:val="18"/>
              </w:rPr>
            </w:pPr>
            <w:r>
              <w:rPr>
                <w:rFonts w:hint="eastAsia" w:ascii="宋体" w:hAnsi="宋体" w:eastAsia="宋体" w:cs="宋体"/>
                <w:kern w:val="0"/>
                <w:sz w:val="18"/>
                <w:szCs w:val="18"/>
              </w:rPr>
              <w:t>X＜20</w:t>
            </w:r>
          </w:p>
        </w:tc>
      </w:tr>
      <w:tr w14:paraId="3BA499E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57C9CACD">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CD43561">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6854464">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D78A11E">
            <w:pPr>
              <w:widowControl/>
              <w:jc w:val="left"/>
              <w:rPr>
                <w:rFonts w:ascii="宋体" w:hAnsi="宋体" w:eastAsia="宋体" w:cs="宋体"/>
                <w:kern w:val="0"/>
                <w:sz w:val="18"/>
                <w:szCs w:val="18"/>
              </w:rPr>
            </w:pPr>
            <w:r>
              <w:rPr>
                <w:rFonts w:hint="eastAsia" w:ascii="宋体" w:hAnsi="宋体" w:eastAsia="宋体" w:cs="宋体"/>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52FF5419">
            <w:pPr>
              <w:widowControl/>
              <w:jc w:val="left"/>
              <w:rPr>
                <w:rFonts w:ascii="宋体" w:hAnsi="宋体" w:eastAsia="宋体" w:cs="宋体"/>
                <w:kern w:val="0"/>
                <w:sz w:val="18"/>
                <w:szCs w:val="18"/>
              </w:rPr>
            </w:pPr>
            <w:r>
              <w:rPr>
                <w:rFonts w:hint="eastAsia" w:ascii="宋体" w:hAnsi="宋体" w:eastAsia="宋体" w:cs="宋体"/>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4FB0E727">
            <w:pPr>
              <w:widowControl/>
              <w:jc w:val="left"/>
              <w:rPr>
                <w:rFonts w:ascii="宋体" w:hAnsi="宋体" w:eastAsia="宋体" w:cs="宋体"/>
                <w:kern w:val="0"/>
                <w:sz w:val="18"/>
                <w:szCs w:val="18"/>
              </w:rPr>
            </w:pPr>
            <w:r>
              <w:rPr>
                <w:rFonts w:hint="eastAsia" w:ascii="宋体" w:hAnsi="宋体" w:eastAsia="宋体" w:cs="宋体"/>
                <w:kern w:val="0"/>
                <w:sz w:val="18"/>
                <w:szCs w:val="18"/>
              </w:rPr>
              <w:t>Y＜300</w:t>
            </w:r>
          </w:p>
        </w:tc>
      </w:tr>
      <w:tr w14:paraId="4D7D9F4D">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49A1BC9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41267D5B">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6341815">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93CBD77">
            <w:pPr>
              <w:widowControl/>
              <w:jc w:val="left"/>
              <w:rPr>
                <w:rFonts w:ascii="宋体" w:hAnsi="宋体" w:eastAsia="宋体" w:cs="宋体"/>
                <w:kern w:val="0"/>
                <w:sz w:val="18"/>
                <w:szCs w:val="18"/>
              </w:rPr>
            </w:pPr>
            <w:r>
              <w:rPr>
                <w:rFonts w:hint="eastAsia" w:ascii="宋体" w:hAnsi="宋体" w:eastAsia="宋体" w:cs="宋体"/>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1993D914">
            <w:pPr>
              <w:widowControl/>
              <w:jc w:val="left"/>
              <w:rPr>
                <w:rFonts w:ascii="宋体" w:hAnsi="宋体" w:eastAsia="宋体" w:cs="宋体"/>
                <w:kern w:val="0"/>
                <w:sz w:val="18"/>
                <w:szCs w:val="18"/>
              </w:rPr>
            </w:pPr>
            <w:r>
              <w:rPr>
                <w:rFonts w:hint="eastAsia" w:ascii="宋体" w:hAnsi="宋体" w:eastAsia="宋体" w:cs="宋体"/>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50F43314">
            <w:pPr>
              <w:widowControl/>
              <w:jc w:val="left"/>
              <w:rPr>
                <w:rFonts w:ascii="宋体" w:hAnsi="宋体" w:eastAsia="宋体" w:cs="宋体"/>
                <w:kern w:val="0"/>
                <w:sz w:val="18"/>
                <w:szCs w:val="18"/>
              </w:rPr>
            </w:pPr>
            <w:r>
              <w:rPr>
                <w:rFonts w:hint="eastAsia" w:ascii="宋体" w:hAnsi="宋体" w:eastAsia="宋体" w:cs="宋体"/>
                <w:kern w:val="0"/>
                <w:sz w:val="18"/>
                <w:szCs w:val="18"/>
              </w:rPr>
              <w:t>Y＜300</w:t>
            </w:r>
          </w:p>
        </w:tc>
      </w:tr>
      <w:tr w14:paraId="68728C35">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AD1E18D">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6CBD859">
            <w:pPr>
              <w:widowControl/>
              <w:jc w:val="left"/>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74C802A6">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09DEFBC">
            <w:pPr>
              <w:widowControl/>
              <w:jc w:val="left"/>
              <w:rPr>
                <w:rFonts w:ascii="宋体" w:hAnsi="宋体" w:eastAsia="宋体" w:cs="宋体"/>
                <w:kern w:val="0"/>
                <w:sz w:val="18"/>
                <w:szCs w:val="18"/>
              </w:rPr>
            </w:pPr>
            <w:r>
              <w:rPr>
                <w:rFonts w:hint="eastAsia" w:ascii="宋体" w:hAnsi="宋体" w:eastAsia="宋体" w:cs="宋体"/>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2B697747">
            <w:pPr>
              <w:widowControl/>
              <w:jc w:val="left"/>
              <w:rPr>
                <w:rFonts w:ascii="宋体" w:hAnsi="宋体" w:eastAsia="宋体" w:cs="宋体"/>
                <w:kern w:val="0"/>
                <w:sz w:val="18"/>
                <w:szCs w:val="18"/>
              </w:rPr>
            </w:pPr>
            <w:r>
              <w:rPr>
                <w:rFonts w:hint="eastAsia" w:ascii="宋体" w:hAnsi="宋体" w:eastAsia="宋体" w:cs="宋体"/>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077870A2">
            <w:pPr>
              <w:widowControl/>
              <w:jc w:val="left"/>
              <w:rPr>
                <w:rFonts w:ascii="宋体" w:hAnsi="宋体" w:eastAsia="宋体" w:cs="宋体"/>
                <w:kern w:val="0"/>
                <w:sz w:val="18"/>
                <w:szCs w:val="18"/>
              </w:rPr>
            </w:pPr>
            <w:r>
              <w:rPr>
                <w:rFonts w:hint="eastAsia" w:ascii="宋体" w:hAnsi="宋体" w:eastAsia="宋体" w:cs="宋体"/>
                <w:kern w:val="0"/>
                <w:sz w:val="18"/>
                <w:szCs w:val="18"/>
              </w:rPr>
              <w:t>Z＜300</w:t>
            </w:r>
          </w:p>
        </w:tc>
      </w:tr>
      <w:tr w14:paraId="56A9E360">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863364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5C869EAD">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A1AE87C">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7A4E8F25">
            <w:pPr>
              <w:widowControl/>
              <w:jc w:val="left"/>
              <w:rPr>
                <w:rFonts w:ascii="宋体" w:hAnsi="宋体" w:eastAsia="宋体" w:cs="宋体"/>
                <w:kern w:val="0"/>
                <w:sz w:val="18"/>
                <w:szCs w:val="18"/>
              </w:rPr>
            </w:pPr>
            <w:r>
              <w:rPr>
                <w:rFonts w:hint="eastAsia" w:ascii="宋体" w:hAnsi="宋体" w:eastAsia="宋体" w:cs="宋体"/>
                <w:kern w:val="0"/>
                <w:sz w:val="18"/>
                <w:szCs w:val="18"/>
              </w:rPr>
              <w:t>20≤X＜200</w:t>
            </w:r>
          </w:p>
        </w:tc>
        <w:tc>
          <w:tcPr>
            <w:tcW w:w="1549" w:type="dxa"/>
            <w:tcBorders>
              <w:top w:val="nil"/>
              <w:left w:val="nil"/>
              <w:bottom w:val="single" w:color="auto" w:sz="4" w:space="0"/>
              <w:right w:val="single" w:color="auto" w:sz="4" w:space="0"/>
            </w:tcBorders>
            <w:noWrap w:val="0"/>
            <w:vAlign w:val="center"/>
          </w:tcPr>
          <w:p w14:paraId="0F9F9E89">
            <w:pPr>
              <w:widowControl/>
              <w:jc w:val="left"/>
              <w:rPr>
                <w:rFonts w:ascii="宋体" w:hAnsi="宋体" w:eastAsia="宋体" w:cs="宋体"/>
                <w:kern w:val="0"/>
                <w:sz w:val="18"/>
                <w:szCs w:val="18"/>
              </w:rPr>
            </w:pPr>
            <w:r>
              <w:rPr>
                <w:rFonts w:hint="eastAsia" w:ascii="宋体" w:hAnsi="宋体" w:eastAsia="宋体" w:cs="宋体"/>
                <w:kern w:val="0"/>
                <w:sz w:val="18"/>
                <w:szCs w:val="18"/>
              </w:rPr>
              <w:t>5≤X＜20</w:t>
            </w:r>
          </w:p>
        </w:tc>
        <w:tc>
          <w:tcPr>
            <w:tcW w:w="996" w:type="dxa"/>
            <w:tcBorders>
              <w:top w:val="nil"/>
              <w:left w:val="nil"/>
              <w:bottom w:val="single" w:color="auto" w:sz="4" w:space="0"/>
              <w:right w:val="single" w:color="auto" w:sz="4" w:space="0"/>
            </w:tcBorders>
            <w:noWrap w:val="0"/>
            <w:vAlign w:val="center"/>
          </w:tcPr>
          <w:p w14:paraId="3405E46F">
            <w:pPr>
              <w:widowControl/>
              <w:jc w:val="left"/>
              <w:rPr>
                <w:rFonts w:ascii="宋体" w:hAnsi="宋体" w:eastAsia="宋体" w:cs="宋体"/>
                <w:kern w:val="0"/>
                <w:sz w:val="18"/>
                <w:szCs w:val="18"/>
              </w:rPr>
            </w:pPr>
            <w:r>
              <w:rPr>
                <w:rFonts w:hint="eastAsia" w:ascii="宋体" w:hAnsi="宋体" w:eastAsia="宋体" w:cs="宋体"/>
                <w:kern w:val="0"/>
                <w:sz w:val="18"/>
                <w:szCs w:val="18"/>
              </w:rPr>
              <w:t>X＜5</w:t>
            </w:r>
          </w:p>
        </w:tc>
      </w:tr>
      <w:tr w14:paraId="5FBCAD95">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491E0CF1">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76F34CE">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BE74443">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07728F2">
            <w:pPr>
              <w:widowControl/>
              <w:jc w:val="left"/>
              <w:rPr>
                <w:rFonts w:ascii="宋体" w:hAnsi="宋体" w:eastAsia="宋体" w:cs="宋体"/>
                <w:kern w:val="0"/>
                <w:sz w:val="18"/>
                <w:szCs w:val="18"/>
              </w:rPr>
            </w:pPr>
            <w:r>
              <w:rPr>
                <w:rFonts w:hint="eastAsia" w:ascii="宋体" w:hAnsi="宋体" w:eastAsia="宋体" w:cs="宋体"/>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2F11D8E8">
            <w:pPr>
              <w:widowControl/>
              <w:jc w:val="left"/>
              <w:rPr>
                <w:rFonts w:ascii="宋体" w:hAnsi="宋体" w:eastAsia="宋体" w:cs="宋体"/>
                <w:kern w:val="0"/>
                <w:sz w:val="18"/>
                <w:szCs w:val="18"/>
              </w:rPr>
            </w:pPr>
            <w:r>
              <w:rPr>
                <w:rFonts w:hint="eastAsia" w:ascii="宋体" w:hAnsi="宋体" w:eastAsia="宋体" w:cs="宋体"/>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40538A9F">
            <w:pPr>
              <w:widowControl/>
              <w:jc w:val="left"/>
              <w:rPr>
                <w:rFonts w:ascii="宋体" w:hAnsi="宋体" w:eastAsia="宋体" w:cs="宋体"/>
                <w:kern w:val="0"/>
                <w:sz w:val="18"/>
                <w:szCs w:val="18"/>
              </w:rPr>
            </w:pPr>
            <w:r>
              <w:rPr>
                <w:rFonts w:hint="eastAsia" w:ascii="宋体" w:hAnsi="宋体" w:eastAsia="宋体" w:cs="宋体"/>
                <w:kern w:val="0"/>
                <w:sz w:val="18"/>
                <w:szCs w:val="18"/>
              </w:rPr>
              <w:t>Y＜1000</w:t>
            </w:r>
          </w:p>
        </w:tc>
      </w:tr>
      <w:tr w14:paraId="7D388D88">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8013B7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4A4AE04F">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6757D21">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C94132C">
            <w:pPr>
              <w:widowControl/>
              <w:jc w:val="left"/>
              <w:rPr>
                <w:rFonts w:ascii="宋体" w:hAnsi="宋体" w:eastAsia="宋体" w:cs="宋体"/>
                <w:kern w:val="0"/>
                <w:sz w:val="18"/>
                <w:szCs w:val="18"/>
              </w:rPr>
            </w:pPr>
            <w:r>
              <w:rPr>
                <w:rFonts w:hint="eastAsia" w:ascii="宋体" w:hAnsi="宋体" w:eastAsia="宋体" w:cs="宋体"/>
                <w:kern w:val="0"/>
                <w:sz w:val="18"/>
                <w:szCs w:val="18"/>
              </w:rPr>
              <w:t>50≤X＜300</w:t>
            </w:r>
          </w:p>
        </w:tc>
        <w:tc>
          <w:tcPr>
            <w:tcW w:w="1549" w:type="dxa"/>
            <w:tcBorders>
              <w:top w:val="nil"/>
              <w:left w:val="nil"/>
              <w:bottom w:val="single" w:color="auto" w:sz="4" w:space="0"/>
              <w:right w:val="single" w:color="auto" w:sz="4" w:space="0"/>
            </w:tcBorders>
            <w:noWrap w:val="0"/>
            <w:vAlign w:val="center"/>
          </w:tcPr>
          <w:p w14:paraId="380A3FEE">
            <w:pPr>
              <w:widowControl/>
              <w:jc w:val="left"/>
              <w:rPr>
                <w:rFonts w:ascii="宋体" w:hAnsi="宋体" w:eastAsia="宋体" w:cs="宋体"/>
                <w:kern w:val="0"/>
                <w:sz w:val="18"/>
                <w:szCs w:val="18"/>
              </w:rPr>
            </w:pPr>
            <w:r>
              <w:rPr>
                <w:rFonts w:hint="eastAsia" w:ascii="宋体" w:hAnsi="宋体" w:eastAsia="宋体" w:cs="宋体"/>
                <w:kern w:val="0"/>
                <w:sz w:val="18"/>
                <w:szCs w:val="18"/>
              </w:rPr>
              <w:t>10≤X＜50</w:t>
            </w:r>
          </w:p>
        </w:tc>
        <w:tc>
          <w:tcPr>
            <w:tcW w:w="996" w:type="dxa"/>
            <w:tcBorders>
              <w:top w:val="nil"/>
              <w:left w:val="nil"/>
              <w:bottom w:val="single" w:color="auto" w:sz="4" w:space="0"/>
              <w:right w:val="single" w:color="auto" w:sz="4" w:space="0"/>
            </w:tcBorders>
            <w:noWrap w:val="0"/>
            <w:vAlign w:val="center"/>
          </w:tcPr>
          <w:p w14:paraId="49273136">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r w14:paraId="1331F1C6">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39A5DA15">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61CAA3F">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B376D8E">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CD7F155">
            <w:pPr>
              <w:widowControl/>
              <w:jc w:val="left"/>
              <w:rPr>
                <w:rFonts w:ascii="宋体" w:hAnsi="宋体" w:eastAsia="宋体" w:cs="宋体"/>
                <w:kern w:val="0"/>
                <w:sz w:val="18"/>
                <w:szCs w:val="18"/>
              </w:rPr>
            </w:pPr>
            <w:r>
              <w:rPr>
                <w:rFonts w:hint="eastAsia" w:ascii="宋体" w:hAnsi="宋体" w:eastAsia="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472456CB">
            <w:pPr>
              <w:widowControl/>
              <w:jc w:val="left"/>
              <w:rPr>
                <w:rFonts w:ascii="宋体" w:hAnsi="宋体" w:eastAsia="宋体" w:cs="宋体"/>
                <w:kern w:val="0"/>
                <w:sz w:val="18"/>
                <w:szCs w:val="18"/>
              </w:rPr>
            </w:pPr>
            <w:r>
              <w:rPr>
                <w:rFonts w:hint="eastAsia" w:ascii="宋体" w:hAnsi="宋体" w:eastAsia="宋体" w:cs="宋体"/>
                <w:kern w:val="0"/>
                <w:sz w:val="18"/>
                <w:szCs w:val="18"/>
              </w:rPr>
              <w:t>100≤Y＜500</w:t>
            </w:r>
          </w:p>
        </w:tc>
        <w:tc>
          <w:tcPr>
            <w:tcW w:w="996" w:type="dxa"/>
            <w:tcBorders>
              <w:top w:val="nil"/>
              <w:left w:val="nil"/>
              <w:bottom w:val="single" w:color="auto" w:sz="4" w:space="0"/>
              <w:right w:val="single" w:color="auto" w:sz="4" w:space="0"/>
            </w:tcBorders>
            <w:noWrap w:val="0"/>
            <w:vAlign w:val="center"/>
          </w:tcPr>
          <w:p w14:paraId="38013DF6">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14D5CDD2">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39681D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0F08E8EF">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2313AF3">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3FF225C0">
            <w:pPr>
              <w:widowControl/>
              <w:jc w:val="left"/>
              <w:rPr>
                <w:rFonts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78AA67FE">
            <w:pPr>
              <w:widowControl/>
              <w:jc w:val="left"/>
              <w:rPr>
                <w:rFonts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4F647496">
            <w:pPr>
              <w:widowControl/>
              <w:jc w:val="left"/>
              <w:rPr>
                <w:rFonts w:ascii="宋体" w:hAnsi="宋体" w:eastAsia="宋体" w:cs="宋体"/>
                <w:kern w:val="0"/>
                <w:sz w:val="18"/>
                <w:szCs w:val="18"/>
              </w:rPr>
            </w:pPr>
            <w:r>
              <w:rPr>
                <w:rFonts w:hint="eastAsia" w:ascii="宋体" w:hAnsi="宋体" w:eastAsia="宋体" w:cs="宋体"/>
                <w:kern w:val="0"/>
                <w:sz w:val="18"/>
                <w:szCs w:val="18"/>
              </w:rPr>
              <w:t>X＜20</w:t>
            </w:r>
          </w:p>
        </w:tc>
      </w:tr>
      <w:tr w14:paraId="4FC9BAE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F086131">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565C2152">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7018288">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028F5740">
            <w:pPr>
              <w:widowControl/>
              <w:jc w:val="left"/>
              <w:rPr>
                <w:rFonts w:ascii="宋体" w:hAnsi="宋体" w:eastAsia="宋体" w:cs="宋体"/>
                <w:kern w:val="0"/>
                <w:sz w:val="18"/>
                <w:szCs w:val="18"/>
              </w:rPr>
            </w:pPr>
            <w:r>
              <w:rPr>
                <w:rFonts w:hint="eastAsia" w:ascii="宋体" w:hAnsi="宋体" w:eastAsia="宋体" w:cs="宋体"/>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584B8192">
            <w:pPr>
              <w:widowControl/>
              <w:jc w:val="left"/>
              <w:rPr>
                <w:rFonts w:ascii="宋体" w:hAnsi="宋体" w:eastAsia="宋体" w:cs="宋体"/>
                <w:kern w:val="0"/>
                <w:sz w:val="18"/>
                <w:szCs w:val="18"/>
              </w:rPr>
            </w:pPr>
            <w:r>
              <w:rPr>
                <w:rFonts w:hint="eastAsia" w:ascii="宋体" w:hAnsi="宋体" w:eastAsia="宋体" w:cs="宋体"/>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4CC6D809">
            <w:pPr>
              <w:widowControl/>
              <w:jc w:val="left"/>
              <w:rPr>
                <w:rFonts w:ascii="宋体" w:hAnsi="宋体" w:eastAsia="宋体" w:cs="宋体"/>
                <w:kern w:val="0"/>
                <w:sz w:val="18"/>
                <w:szCs w:val="18"/>
              </w:rPr>
            </w:pPr>
            <w:r>
              <w:rPr>
                <w:rFonts w:hint="eastAsia" w:ascii="宋体" w:hAnsi="宋体" w:eastAsia="宋体" w:cs="宋体"/>
                <w:kern w:val="0"/>
                <w:sz w:val="18"/>
                <w:szCs w:val="18"/>
              </w:rPr>
              <w:t>Y＜200</w:t>
            </w:r>
          </w:p>
        </w:tc>
      </w:tr>
      <w:tr w14:paraId="4432D468">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35465B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167AACED">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8DB2AA8">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41A83A16">
            <w:pPr>
              <w:widowControl/>
              <w:jc w:val="left"/>
              <w:rPr>
                <w:rFonts w:ascii="宋体" w:hAnsi="宋体" w:eastAsia="宋体" w:cs="宋体"/>
                <w:kern w:val="0"/>
                <w:sz w:val="18"/>
                <w:szCs w:val="18"/>
              </w:rPr>
            </w:pPr>
            <w:r>
              <w:rPr>
                <w:rFonts w:hint="eastAsia" w:ascii="宋体" w:hAnsi="宋体" w:eastAsia="宋体" w:cs="宋体"/>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787BB6EA">
            <w:pPr>
              <w:widowControl/>
              <w:jc w:val="left"/>
              <w:rPr>
                <w:rFonts w:ascii="宋体" w:hAnsi="宋体" w:eastAsia="宋体" w:cs="宋体"/>
                <w:kern w:val="0"/>
                <w:sz w:val="18"/>
                <w:szCs w:val="18"/>
              </w:rPr>
            </w:pPr>
            <w:r>
              <w:rPr>
                <w:rFonts w:hint="eastAsia" w:ascii="宋体" w:hAnsi="宋体" w:eastAsia="宋体" w:cs="宋体"/>
                <w:kern w:val="0"/>
                <w:sz w:val="18"/>
                <w:szCs w:val="18"/>
              </w:rPr>
              <w:t>20≤X＜100</w:t>
            </w:r>
          </w:p>
        </w:tc>
        <w:tc>
          <w:tcPr>
            <w:tcW w:w="996" w:type="dxa"/>
            <w:tcBorders>
              <w:top w:val="nil"/>
              <w:left w:val="nil"/>
              <w:bottom w:val="single" w:color="auto" w:sz="4" w:space="0"/>
              <w:right w:val="single" w:color="auto" w:sz="4" w:space="0"/>
            </w:tcBorders>
            <w:noWrap w:val="0"/>
            <w:vAlign w:val="center"/>
          </w:tcPr>
          <w:p w14:paraId="3EC99187">
            <w:pPr>
              <w:widowControl/>
              <w:jc w:val="left"/>
              <w:rPr>
                <w:rFonts w:ascii="宋体" w:hAnsi="宋体" w:eastAsia="宋体" w:cs="宋体"/>
                <w:kern w:val="0"/>
                <w:sz w:val="18"/>
                <w:szCs w:val="18"/>
              </w:rPr>
            </w:pPr>
            <w:r>
              <w:rPr>
                <w:rFonts w:hint="eastAsia" w:ascii="宋体" w:hAnsi="宋体" w:eastAsia="宋体" w:cs="宋体"/>
                <w:kern w:val="0"/>
                <w:sz w:val="18"/>
                <w:szCs w:val="18"/>
              </w:rPr>
              <w:t>X＜20</w:t>
            </w:r>
          </w:p>
        </w:tc>
      </w:tr>
      <w:tr w14:paraId="5B9A06C1">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2D1202D">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1B044BA">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6199231">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F7A5EA9">
            <w:pPr>
              <w:widowControl/>
              <w:jc w:val="left"/>
              <w:rPr>
                <w:rFonts w:ascii="宋体" w:hAnsi="宋体" w:eastAsia="宋体" w:cs="宋体"/>
                <w:kern w:val="0"/>
                <w:sz w:val="18"/>
                <w:szCs w:val="18"/>
              </w:rPr>
            </w:pPr>
            <w:r>
              <w:rPr>
                <w:rFonts w:hint="eastAsia" w:ascii="宋体" w:hAnsi="宋体" w:eastAsia="宋体" w:cs="宋体"/>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7955F2EE">
            <w:pPr>
              <w:widowControl/>
              <w:jc w:val="left"/>
              <w:rPr>
                <w:rFonts w:ascii="宋体" w:hAnsi="宋体" w:eastAsia="宋体" w:cs="宋体"/>
                <w:kern w:val="0"/>
                <w:sz w:val="18"/>
                <w:szCs w:val="18"/>
              </w:rPr>
            </w:pPr>
            <w:r>
              <w:rPr>
                <w:rFonts w:hint="eastAsia" w:ascii="宋体" w:hAnsi="宋体" w:eastAsia="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7DB3F28F">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5E16F9C2">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5914835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7A41C392">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5875E53">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8EDF781">
            <w:pPr>
              <w:widowControl/>
              <w:jc w:val="left"/>
              <w:rPr>
                <w:rFonts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5EAC214F">
            <w:pPr>
              <w:widowControl/>
              <w:jc w:val="left"/>
              <w:rPr>
                <w:rFonts w:ascii="宋体" w:hAnsi="宋体" w:eastAsia="宋体" w:cs="宋体"/>
                <w:kern w:val="0"/>
                <w:sz w:val="18"/>
                <w:szCs w:val="18"/>
              </w:rPr>
            </w:pPr>
            <w:r>
              <w:rPr>
                <w:rFonts w:hint="eastAsia" w:ascii="宋体" w:hAnsi="宋体" w:eastAsia="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4917D3AB">
            <w:pPr>
              <w:widowControl/>
              <w:jc w:val="left"/>
              <w:rPr>
                <w:rFonts w:ascii="宋体" w:hAnsi="宋体" w:eastAsia="宋体" w:cs="宋体"/>
                <w:kern w:val="0"/>
                <w:sz w:val="18"/>
                <w:szCs w:val="18"/>
              </w:rPr>
            </w:pPr>
            <w:r>
              <w:rPr>
                <w:rFonts w:hint="eastAsia" w:ascii="宋体" w:hAnsi="宋体" w:eastAsia="宋体" w:cs="宋体"/>
                <w:kern w:val="0"/>
                <w:sz w:val="18"/>
                <w:szCs w:val="18"/>
              </w:rPr>
              <w:t>X＜20</w:t>
            </w:r>
          </w:p>
        </w:tc>
      </w:tr>
      <w:tr w14:paraId="3165BE47">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FBE8DC4">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D724322">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87E5572">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2C4F171B">
            <w:pPr>
              <w:widowControl/>
              <w:jc w:val="left"/>
              <w:rPr>
                <w:rFonts w:ascii="宋体" w:hAnsi="宋体" w:eastAsia="宋体" w:cs="宋体"/>
                <w:kern w:val="0"/>
                <w:sz w:val="18"/>
                <w:szCs w:val="18"/>
              </w:rPr>
            </w:pPr>
            <w:r>
              <w:rPr>
                <w:rFonts w:hint="eastAsia" w:ascii="宋体" w:hAnsi="宋体" w:eastAsia="宋体" w:cs="宋体"/>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0A2A3C59">
            <w:pPr>
              <w:widowControl/>
              <w:jc w:val="left"/>
              <w:rPr>
                <w:rFonts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17C77DBE">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00F1946C">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6141D35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5A06539A">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4FE8D4F">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7435850">
            <w:pPr>
              <w:widowControl/>
              <w:jc w:val="left"/>
              <w:rPr>
                <w:rFonts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05C6FACB">
            <w:pPr>
              <w:widowControl/>
              <w:jc w:val="left"/>
              <w:rPr>
                <w:rFonts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5D8F5E61">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r w14:paraId="420C749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18D53763">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5FC4462">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1D1BF09">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DD3B5B7">
            <w:pPr>
              <w:widowControl/>
              <w:jc w:val="left"/>
              <w:rPr>
                <w:rFonts w:ascii="宋体" w:hAnsi="宋体" w:eastAsia="宋体" w:cs="宋体"/>
                <w:kern w:val="0"/>
                <w:sz w:val="18"/>
                <w:szCs w:val="18"/>
              </w:rPr>
            </w:pPr>
            <w:r>
              <w:rPr>
                <w:rFonts w:hint="eastAsia" w:ascii="宋体" w:hAnsi="宋体" w:eastAsia="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21321CC1">
            <w:pPr>
              <w:widowControl/>
              <w:jc w:val="left"/>
              <w:rPr>
                <w:rFonts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635650AB">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5A7BDE64">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666C3D6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526BC231">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E3AED5A">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4D6092D4">
            <w:pPr>
              <w:widowControl/>
              <w:jc w:val="left"/>
              <w:rPr>
                <w:rFonts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B4880B2">
            <w:pPr>
              <w:widowControl/>
              <w:jc w:val="left"/>
              <w:rPr>
                <w:rFonts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45E3AE0B">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r w14:paraId="2F8FB9C3">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73DE005">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AB97CAF">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4DED76BE">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B2015F3">
            <w:pPr>
              <w:widowControl/>
              <w:jc w:val="left"/>
              <w:rPr>
                <w:rFonts w:ascii="宋体" w:hAnsi="宋体" w:eastAsia="宋体" w:cs="宋体"/>
                <w:kern w:val="0"/>
                <w:sz w:val="18"/>
                <w:szCs w:val="18"/>
              </w:rPr>
            </w:pPr>
            <w:r>
              <w:rPr>
                <w:rFonts w:hint="eastAsia" w:ascii="宋体" w:hAnsi="宋体" w:eastAsia="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2F8B5C59">
            <w:pPr>
              <w:widowControl/>
              <w:jc w:val="left"/>
              <w:rPr>
                <w:rFonts w:ascii="宋体" w:hAnsi="宋体" w:eastAsia="宋体" w:cs="宋体"/>
                <w:kern w:val="0"/>
                <w:sz w:val="18"/>
                <w:szCs w:val="18"/>
              </w:rPr>
            </w:pPr>
            <w:r>
              <w:rPr>
                <w:rFonts w:hint="eastAsia" w:ascii="宋体" w:hAnsi="宋体" w:eastAsia="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52BBD8AE">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1E8D1C3E">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1CD04FB">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7CE12628">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0E01C41">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3A4724BC">
            <w:pPr>
              <w:widowControl/>
              <w:jc w:val="left"/>
              <w:rPr>
                <w:rFonts w:ascii="宋体" w:hAnsi="宋体" w:eastAsia="宋体" w:cs="宋体"/>
                <w:kern w:val="0"/>
                <w:sz w:val="18"/>
                <w:szCs w:val="18"/>
              </w:rPr>
            </w:pPr>
            <w:r>
              <w:rPr>
                <w:rFonts w:hint="eastAsia" w:ascii="宋体" w:hAnsi="宋体" w:eastAsia="宋体" w:cs="宋体"/>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1A3E386B">
            <w:pPr>
              <w:widowControl/>
              <w:jc w:val="left"/>
              <w:rPr>
                <w:rFonts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290EBB9B">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r w14:paraId="50BDA55E">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680FCFA4">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0971320C">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4536810">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41CBA7A">
            <w:pPr>
              <w:widowControl/>
              <w:jc w:val="left"/>
              <w:rPr>
                <w:rFonts w:ascii="宋体" w:hAnsi="宋体" w:eastAsia="宋体" w:cs="宋体"/>
                <w:kern w:val="0"/>
                <w:sz w:val="18"/>
                <w:szCs w:val="18"/>
              </w:rPr>
            </w:pPr>
            <w:r>
              <w:rPr>
                <w:rFonts w:hint="eastAsia" w:ascii="宋体" w:hAnsi="宋体" w:eastAsia="宋体" w:cs="宋体"/>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0266ED34">
            <w:pPr>
              <w:widowControl/>
              <w:jc w:val="left"/>
              <w:rPr>
                <w:rFonts w:ascii="宋体" w:hAnsi="宋体" w:eastAsia="宋体" w:cs="宋体"/>
                <w:kern w:val="0"/>
                <w:sz w:val="18"/>
                <w:szCs w:val="18"/>
              </w:rPr>
            </w:pPr>
            <w:r>
              <w:rPr>
                <w:rFonts w:hint="eastAsia" w:ascii="宋体" w:hAnsi="宋体" w:eastAsia="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55A0FEED">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1D4D8611">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2A9EF98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350EF751">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4A54904">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0808500">
            <w:pPr>
              <w:widowControl/>
              <w:jc w:val="left"/>
              <w:rPr>
                <w:rFonts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4BF88821">
            <w:pPr>
              <w:widowControl/>
              <w:jc w:val="left"/>
              <w:rPr>
                <w:rFonts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1EEF4C5C">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r w14:paraId="295A511B">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7E5C46EA">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ECE5E91">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4B63A4BC">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01E530C">
            <w:pPr>
              <w:widowControl/>
              <w:jc w:val="left"/>
              <w:rPr>
                <w:rFonts w:ascii="宋体" w:hAnsi="宋体" w:eastAsia="宋体" w:cs="宋体"/>
                <w:kern w:val="0"/>
                <w:sz w:val="18"/>
                <w:szCs w:val="18"/>
              </w:rPr>
            </w:pPr>
            <w:r>
              <w:rPr>
                <w:rFonts w:hint="eastAsia" w:ascii="宋体" w:hAnsi="宋体" w:eastAsia="宋体" w:cs="宋体"/>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091B2736">
            <w:pPr>
              <w:widowControl/>
              <w:jc w:val="left"/>
              <w:rPr>
                <w:rFonts w:ascii="宋体" w:hAnsi="宋体" w:eastAsia="宋体" w:cs="宋体"/>
                <w:kern w:val="0"/>
                <w:sz w:val="18"/>
                <w:szCs w:val="18"/>
              </w:rPr>
            </w:pPr>
            <w:r>
              <w:rPr>
                <w:rFonts w:hint="eastAsia" w:ascii="宋体" w:hAnsi="宋体" w:eastAsia="宋体" w:cs="宋体"/>
                <w:kern w:val="0"/>
                <w:sz w:val="18"/>
                <w:szCs w:val="18"/>
              </w:rPr>
              <w:t>50≤Y＜1000</w:t>
            </w:r>
          </w:p>
        </w:tc>
        <w:tc>
          <w:tcPr>
            <w:tcW w:w="996" w:type="dxa"/>
            <w:tcBorders>
              <w:top w:val="nil"/>
              <w:left w:val="nil"/>
              <w:bottom w:val="single" w:color="auto" w:sz="4" w:space="0"/>
              <w:right w:val="single" w:color="auto" w:sz="4" w:space="0"/>
            </w:tcBorders>
            <w:noWrap w:val="0"/>
            <w:vAlign w:val="center"/>
          </w:tcPr>
          <w:p w14:paraId="2E2120E4">
            <w:pPr>
              <w:widowControl/>
              <w:jc w:val="left"/>
              <w:rPr>
                <w:rFonts w:ascii="宋体" w:hAnsi="宋体" w:eastAsia="宋体" w:cs="宋体"/>
                <w:kern w:val="0"/>
                <w:sz w:val="18"/>
                <w:szCs w:val="18"/>
              </w:rPr>
            </w:pPr>
            <w:r>
              <w:rPr>
                <w:rFonts w:hint="eastAsia" w:ascii="宋体" w:hAnsi="宋体" w:eastAsia="宋体" w:cs="宋体"/>
                <w:kern w:val="0"/>
                <w:sz w:val="18"/>
                <w:szCs w:val="18"/>
              </w:rPr>
              <w:t>Y＜50</w:t>
            </w:r>
          </w:p>
        </w:tc>
      </w:tr>
      <w:tr w14:paraId="628913EB">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3D4FF3C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2FB2745E">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C15D167">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FCBDC22">
            <w:pPr>
              <w:widowControl/>
              <w:jc w:val="left"/>
              <w:rPr>
                <w:rFonts w:ascii="宋体" w:hAnsi="宋体" w:eastAsia="宋体" w:cs="宋体"/>
                <w:kern w:val="0"/>
                <w:sz w:val="18"/>
                <w:szCs w:val="18"/>
              </w:rPr>
            </w:pPr>
            <w:r>
              <w:rPr>
                <w:rFonts w:hint="eastAsia" w:ascii="宋体" w:hAnsi="宋体" w:eastAsia="宋体" w:cs="宋体"/>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08993D0C">
            <w:pPr>
              <w:widowControl/>
              <w:jc w:val="left"/>
              <w:rPr>
                <w:rFonts w:ascii="宋体" w:hAnsi="宋体" w:eastAsia="宋体" w:cs="宋体"/>
                <w:kern w:val="0"/>
                <w:sz w:val="18"/>
                <w:szCs w:val="18"/>
              </w:rPr>
            </w:pPr>
            <w:r>
              <w:rPr>
                <w:rFonts w:hint="eastAsia" w:ascii="宋体" w:hAnsi="宋体" w:eastAsia="宋体" w:cs="宋体"/>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6A51E423">
            <w:pPr>
              <w:widowControl/>
              <w:jc w:val="left"/>
              <w:rPr>
                <w:rFonts w:ascii="宋体" w:hAnsi="宋体" w:eastAsia="宋体" w:cs="宋体"/>
                <w:kern w:val="0"/>
                <w:sz w:val="18"/>
                <w:szCs w:val="18"/>
              </w:rPr>
            </w:pPr>
            <w:r>
              <w:rPr>
                <w:rFonts w:hint="eastAsia" w:ascii="宋体" w:hAnsi="宋体" w:eastAsia="宋体" w:cs="宋体"/>
                <w:kern w:val="0"/>
                <w:sz w:val="18"/>
                <w:szCs w:val="18"/>
              </w:rPr>
              <w:t>X＜100</w:t>
            </w:r>
          </w:p>
        </w:tc>
      </w:tr>
      <w:tr w14:paraId="0C413435">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35844205">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2AECDE2">
            <w:pPr>
              <w:widowControl/>
              <w:jc w:val="left"/>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4A68B7F1">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E9CA4D1">
            <w:pPr>
              <w:widowControl/>
              <w:jc w:val="left"/>
              <w:rPr>
                <w:rFonts w:ascii="宋体" w:hAnsi="宋体" w:eastAsia="宋体" w:cs="宋体"/>
                <w:kern w:val="0"/>
                <w:sz w:val="18"/>
                <w:szCs w:val="18"/>
              </w:rPr>
            </w:pPr>
            <w:r>
              <w:rPr>
                <w:rFonts w:hint="eastAsia" w:ascii="宋体" w:hAnsi="宋体" w:eastAsia="宋体" w:cs="宋体"/>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0532F46F">
            <w:pPr>
              <w:widowControl/>
              <w:jc w:val="left"/>
              <w:rPr>
                <w:rFonts w:ascii="宋体" w:hAnsi="宋体" w:eastAsia="宋体" w:cs="宋体"/>
                <w:kern w:val="0"/>
                <w:sz w:val="18"/>
                <w:szCs w:val="18"/>
              </w:rPr>
            </w:pPr>
            <w:r>
              <w:rPr>
                <w:rFonts w:hint="eastAsia" w:ascii="宋体" w:hAnsi="宋体" w:eastAsia="宋体" w:cs="宋体"/>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47F0ABA6">
            <w:pPr>
              <w:widowControl/>
              <w:jc w:val="left"/>
              <w:rPr>
                <w:rFonts w:ascii="宋体" w:hAnsi="宋体" w:eastAsia="宋体" w:cs="宋体"/>
                <w:kern w:val="0"/>
                <w:sz w:val="18"/>
                <w:szCs w:val="18"/>
              </w:rPr>
            </w:pPr>
            <w:r>
              <w:rPr>
                <w:rFonts w:hint="eastAsia" w:ascii="宋体" w:hAnsi="宋体" w:eastAsia="宋体" w:cs="宋体"/>
                <w:kern w:val="0"/>
                <w:sz w:val="18"/>
                <w:szCs w:val="18"/>
              </w:rPr>
              <w:t>Y＜2000</w:t>
            </w:r>
          </w:p>
        </w:tc>
      </w:tr>
      <w:tr w14:paraId="6A39E920">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266E20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2C02717F">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E30A345">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C5B9996">
            <w:pPr>
              <w:widowControl/>
              <w:jc w:val="left"/>
              <w:rPr>
                <w:rFonts w:ascii="宋体" w:hAnsi="宋体" w:eastAsia="宋体" w:cs="宋体"/>
                <w:kern w:val="0"/>
                <w:sz w:val="18"/>
                <w:szCs w:val="18"/>
              </w:rPr>
            </w:pPr>
            <w:r>
              <w:rPr>
                <w:rFonts w:hint="eastAsia" w:ascii="宋体" w:hAnsi="宋体" w:eastAsia="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780C5EE9">
            <w:pPr>
              <w:widowControl/>
              <w:jc w:val="left"/>
              <w:rPr>
                <w:rFonts w:ascii="宋体" w:hAnsi="宋体" w:eastAsia="宋体" w:cs="宋体"/>
                <w:kern w:val="0"/>
                <w:sz w:val="18"/>
                <w:szCs w:val="18"/>
              </w:rPr>
            </w:pPr>
            <w:r>
              <w:rPr>
                <w:rFonts w:hint="eastAsia" w:ascii="宋体" w:hAnsi="宋体" w:eastAsia="宋体" w:cs="宋体"/>
                <w:kern w:val="0"/>
                <w:sz w:val="18"/>
                <w:szCs w:val="18"/>
              </w:rPr>
              <w:t>100≤X＜300</w:t>
            </w:r>
          </w:p>
        </w:tc>
        <w:tc>
          <w:tcPr>
            <w:tcW w:w="996" w:type="dxa"/>
            <w:tcBorders>
              <w:top w:val="nil"/>
              <w:left w:val="nil"/>
              <w:bottom w:val="single" w:color="auto" w:sz="4" w:space="0"/>
              <w:right w:val="single" w:color="auto" w:sz="4" w:space="0"/>
            </w:tcBorders>
            <w:noWrap w:val="0"/>
            <w:vAlign w:val="center"/>
          </w:tcPr>
          <w:p w14:paraId="1A379EF2">
            <w:pPr>
              <w:widowControl/>
              <w:jc w:val="left"/>
              <w:rPr>
                <w:rFonts w:ascii="宋体" w:hAnsi="宋体" w:eastAsia="宋体" w:cs="宋体"/>
                <w:kern w:val="0"/>
                <w:sz w:val="18"/>
                <w:szCs w:val="18"/>
              </w:rPr>
            </w:pPr>
            <w:r>
              <w:rPr>
                <w:rFonts w:hint="eastAsia" w:ascii="宋体" w:hAnsi="宋体" w:eastAsia="宋体" w:cs="宋体"/>
                <w:kern w:val="0"/>
                <w:sz w:val="18"/>
                <w:szCs w:val="18"/>
              </w:rPr>
              <w:t>X＜100</w:t>
            </w:r>
          </w:p>
        </w:tc>
      </w:tr>
      <w:tr w14:paraId="4668E4D2">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0646C5CA">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6233E4B">
            <w:pPr>
              <w:widowControl/>
              <w:jc w:val="left"/>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35DB204">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1DAAA6E">
            <w:pPr>
              <w:widowControl/>
              <w:jc w:val="left"/>
              <w:rPr>
                <w:rFonts w:ascii="宋体" w:hAnsi="宋体" w:eastAsia="宋体" w:cs="宋体"/>
                <w:kern w:val="0"/>
                <w:sz w:val="18"/>
                <w:szCs w:val="18"/>
              </w:rPr>
            </w:pPr>
            <w:r>
              <w:rPr>
                <w:rFonts w:hint="eastAsia" w:ascii="宋体" w:hAnsi="宋体" w:eastAsia="宋体" w:cs="宋体"/>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4075AE08">
            <w:pPr>
              <w:widowControl/>
              <w:jc w:val="left"/>
              <w:rPr>
                <w:rFonts w:ascii="宋体" w:hAnsi="宋体" w:eastAsia="宋体" w:cs="宋体"/>
                <w:kern w:val="0"/>
                <w:sz w:val="18"/>
                <w:szCs w:val="18"/>
              </w:rPr>
            </w:pPr>
            <w:r>
              <w:rPr>
                <w:rFonts w:hint="eastAsia" w:ascii="宋体" w:hAnsi="宋体" w:eastAsia="宋体" w:cs="宋体"/>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6ED5E6D8">
            <w:pPr>
              <w:widowControl/>
              <w:jc w:val="left"/>
              <w:rPr>
                <w:rFonts w:ascii="宋体" w:hAnsi="宋体" w:eastAsia="宋体" w:cs="宋体"/>
                <w:kern w:val="0"/>
                <w:sz w:val="18"/>
                <w:szCs w:val="18"/>
              </w:rPr>
            </w:pPr>
            <w:r>
              <w:rPr>
                <w:rFonts w:hint="eastAsia" w:ascii="宋体" w:hAnsi="宋体" w:eastAsia="宋体" w:cs="宋体"/>
                <w:kern w:val="0"/>
                <w:sz w:val="18"/>
                <w:szCs w:val="18"/>
              </w:rPr>
              <w:t>Y＜500</w:t>
            </w:r>
          </w:p>
        </w:tc>
      </w:tr>
      <w:tr w14:paraId="0F967E89">
        <w:tblPrEx>
          <w:tblCellMar>
            <w:top w:w="0" w:type="dxa"/>
            <w:left w:w="108" w:type="dxa"/>
            <w:bottom w:w="0" w:type="dxa"/>
            <w:right w:w="108" w:type="dxa"/>
          </w:tblCellMar>
        </w:tblPrEx>
        <w:trPr>
          <w:trHeight w:val="226" w:hRule="atLeast"/>
          <w:jc w:val="center"/>
        </w:trPr>
        <w:tc>
          <w:tcPr>
            <w:tcW w:w="1831" w:type="dxa"/>
            <w:vMerge w:val="restart"/>
            <w:tcBorders>
              <w:top w:val="nil"/>
              <w:left w:val="single" w:color="auto" w:sz="4" w:space="0"/>
              <w:bottom w:val="single" w:color="auto" w:sz="4" w:space="0"/>
              <w:right w:val="single" w:color="auto" w:sz="4" w:space="0"/>
            </w:tcBorders>
            <w:noWrap w:val="0"/>
            <w:vAlign w:val="bottom"/>
          </w:tcPr>
          <w:p w14:paraId="7AB1FFB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6408B143">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82722FC">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732A52B">
            <w:pPr>
              <w:widowControl/>
              <w:jc w:val="left"/>
              <w:rPr>
                <w:rFonts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09314418">
            <w:pPr>
              <w:widowControl/>
              <w:jc w:val="left"/>
              <w:rPr>
                <w:rFonts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4B03B364">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r w14:paraId="07B0A3DC">
        <w:tblPrEx>
          <w:tblCellMar>
            <w:top w:w="0" w:type="dxa"/>
            <w:left w:w="108" w:type="dxa"/>
            <w:bottom w:w="0" w:type="dxa"/>
            <w:right w:w="108" w:type="dxa"/>
          </w:tblCellMar>
        </w:tblPrEx>
        <w:trPr>
          <w:trHeight w:val="226" w:hRule="atLeast"/>
          <w:jc w:val="center"/>
        </w:trPr>
        <w:tc>
          <w:tcPr>
            <w:tcW w:w="1831" w:type="dxa"/>
            <w:vMerge w:val="continue"/>
            <w:tcBorders>
              <w:top w:val="nil"/>
              <w:left w:val="single" w:color="auto" w:sz="4" w:space="0"/>
              <w:bottom w:val="single" w:color="auto" w:sz="4" w:space="0"/>
              <w:right w:val="single" w:color="auto" w:sz="4" w:space="0"/>
            </w:tcBorders>
            <w:noWrap w:val="0"/>
            <w:vAlign w:val="center"/>
          </w:tcPr>
          <w:p w14:paraId="49EC8A75">
            <w:pPr>
              <w:widowControl/>
              <w:jc w:val="left"/>
              <w:rPr>
                <w:rFonts w:ascii="宋体" w:hAnsi="宋体" w:eastAsia="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8300A68">
            <w:pPr>
              <w:widowControl/>
              <w:jc w:val="left"/>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36C249CD">
            <w:pPr>
              <w:widowControl/>
              <w:jc w:val="left"/>
              <w:rPr>
                <w:rFonts w:ascii="宋体" w:hAnsi="宋体" w:eastAsia="宋体" w:cs="宋体"/>
                <w:kern w:val="0"/>
                <w:sz w:val="18"/>
                <w:szCs w:val="18"/>
              </w:rPr>
            </w:pPr>
            <w:r>
              <w:rPr>
                <w:rFonts w:hint="eastAsia" w:ascii="宋体" w:hAnsi="宋体" w:eastAsia="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F337DBA">
            <w:pPr>
              <w:widowControl/>
              <w:jc w:val="left"/>
              <w:rPr>
                <w:rFonts w:ascii="宋体" w:hAnsi="宋体" w:eastAsia="宋体" w:cs="宋体"/>
                <w:kern w:val="0"/>
                <w:sz w:val="18"/>
                <w:szCs w:val="18"/>
              </w:rPr>
            </w:pPr>
            <w:r>
              <w:rPr>
                <w:rFonts w:hint="eastAsia" w:ascii="宋体" w:hAnsi="宋体" w:eastAsia="宋体" w:cs="宋体"/>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78F51CC6">
            <w:pPr>
              <w:widowControl/>
              <w:jc w:val="left"/>
              <w:rPr>
                <w:rFonts w:ascii="宋体" w:hAnsi="宋体" w:eastAsia="宋体" w:cs="宋体"/>
                <w:kern w:val="0"/>
                <w:sz w:val="18"/>
                <w:szCs w:val="18"/>
              </w:rPr>
            </w:pPr>
            <w:r>
              <w:rPr>
                <w:rFonts w:hint="eastAsia" w:ascii="宋体" w:hAnsi="宋体" w:eastAsia="宋体" w:cs="宋体"/>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69EC185F">
            <w:pPr>
              <w:widowControl/>
              <w:jc w:val="left"/>
              <w:rPr>
                <w:rFonts w:ascii="宋体" w:hAnsi="宋体" w:eastAsia="宋体" w:cs="宋体"/>
                <w:kern w:val="0"/>
                <w:sz w:val="18"/>
                <w:szCs w:val="18"/>
              </w:rPr>
            </w:pPr>
            <w:r>
              <w:rPr>
                <w:rFonts w:hint="eastAsia" w:ascii="宋体" w:hAnsi="宋体" w:eastAsia="宋体" w:cs="宋体"/>
                <w:kern w:val="0"/>
                <w:sz w:val="18"/>
                <w:szCs w:val="18"/>
              </w:rPr>
              <w:t>Y＜100</w:t>
            </w:r>
          </w:p>
        </w:tc>
      </w:tr>
      <w:tr w14:paraId="2A6AA202">
        <w:tblPrEx>
          <w:tblCellMar>
            <w:top w:w="0" w:type="dxa"/>
            <w:left w:w="108" w:type="dxa"/>
            <w:bottom w:w="0" w:type="dxa"/>
            <w:right w:w="108" w:type="dxa"/>
          </w:tblCellMar>
        </w:tblPrEx>
        <w:trPr>
          <w:trHeight w:val="226" w:hRule="atLeast"/>
          <w:jc w:val="center"/>
        </w:trPr>
        <w:tc>
          <w:tcPr>
            <w:tcW w:w="1831" w:type="dxa"/>
            <w:tcBorders>
              <w:top w:val="nil"/>
              <w:left w:val="single" w:color="auto" w:sz="4" w:space="0"/>
              <w:bottom w:val="single" w:color="auto" w:sz="4" w:space="0"/>
              <w:right w:val="single" w:color="auto" w:sz="4" w:space="0"/>
            </w:tcBorders>
            <w:noWrap w:val="0"/>
            <w:vAlign w:val="bottom"/>
          </w:tcPr>
          <w:p w14:paraId="5F73E16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2426177F">
            <w:pPr>
              <w:widowControl/>
              <w:jc w:val="left"/>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3B89C4E">
            <w:pPr>
              <w:widowControl/>
              <w:jc w:val="left"/>
              <w:rPr>
                <w:rFonts w:ascii="宋体" w:hAnsi="宋体" w:eastAsia="宋体" w:cs="宋体"/>
                <w:kern w:val="0"/>
                <w:sz w:val="18"/>
                <w:szCs w:val="18"/>
              </w:rPr>
            </w:pPr>
            <w:r>
              <w:rPr>
                <w:rFonts w:hint="eastAsia" w:ascii="宋体" w:hAnsi="宋体" w:eastAsia="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3AA5BD2">
            <w:pPr>
              <w:widowControl/>
              <w:jc w:val="left"/>
              <w:rPr>
                <w:rFonts w:ascii="宋体" w:hAnsi="宋体" w:eastAsia="宋体" w:cs="宋体"/>
                <w:kern w:val="0"/>
                <w:sz w:val="18"/>
                <w:szCs w:val="18"/>
              </w:rPr>
            </w:pPr>
            <w:r>
              <w:rPr>
                <w:rFonts w:hint="eastAsia" w:ascii="宋体" w:hAnsi="宋体" w:eastAsia="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29760B78">
            <w:pPr>
              <w:widowControl/>
              <w:jc w:val="left"/>
              <w:rPr>
                <w:rFonts w:ascii="宋体" w:hAnsi="宋体" w:eastAsia="宋体" w:cs="宋体"/>
                <w:kern w:val="0"/>
                <w:sz w:val="18"/>
                <w:szCs w:val="18"/>
              </w:rPr>
            </w:pPr>
            <w:r>
              <w:rPr>
                <w:rFonts w:hint="eastAsia" w:ascii="宋体" w:hAnsi="宋体" w:eastAsia="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1FEE6999">
            <w:pPr>
              <w:widowControl/>
              <w:jc w:val="left"/>
              <w:rPr>
                <w:rFonts w:ascii="宋体" w:hAnsi="宋体" w:eastAsia="宋体" w:cs="宋体"/>
                <w:kern w:val="0"/>
                <w:sz w:val="18"/>
                <w:szCs w:val="18"/>
              </w:rPr>
            </w:pPr>
            <w:r>
              <w:rPr>
                <w:rFonts w:hint="eastAsia" w:ascii="宋体" w:hAnsi="宋体" w:eastAsia="宋体" w:cs="宋体"/>
                <w:kern w:val="0"/>
                <w:sz w:val="18"/>
                <w:szCs w:val="18"/>
              </w:rPr>
              <w:t>X＜10</w:t>
            </w:r>
          </w:p>
        </w:tc>
      </w:tr>
    </w:tbl>
    <w:p w14:paraId="5B9CDDD2">
      <w:pPr>
        <w:pStyle w:val="49"/>
        <w:keepNext w:val="0"/>
        <w:keepLines w:val="0"/>
        <w:pageBreakBefore w:val="0"/>
        <w:widowControl w:val="0"/>
        <w:kinsoku/>
        <w:wordWrap/>
        <w:overflowPunct/>
        <w:topLinePunct w:val="0"/>
        <w:autoSpaceDE w:val="0"/>
        <w:autoSpaceDN w:val="0"/>
        <w:bidi w:val="0"/>
        <w:adjustRightInd w:val="0"/>
        <w:snapToGrid/>
        <w:spacing w:line="380" w:lineRule="exact"/>
        <w:jc w:val="both"/>
        <w:textAlignment w:val="auto"/>
        <w:rPr>
          <w:rFonts w:hint="eastAsia" w:ascii="宋体" w:hAnsi="宋体" w:eastAsia="宋体" w:cs="宋体"/>
          <w:b w:val="0"/>
          <w:bCs w:val="0"/>
          <w:color w:val="auto"/>
          <w:sz w:val="21"/>
          <w:szCs w:val="24"/>
          <w:highlight w:val="none"/>
          <w:lang w:eastAsia="zh-CN"/>
        </w:rPr>
      </w:pPr>
      <w:r>
        <w:rPr>
          <w:rFonts w:hint="eastAsia" w:ascii="宋体" w:hAnsi="宋体" w:eastAsia="宋体" w:cs="Times New Roman"/>
          <w:kern w:val="2"/>
          <w:sz w:val="21"/>
          <w:szCs w:val="21"/>
          <w:lang w:val="en-US" w:eastAsia="zh-CN" w:bidi="ar-SA"/>
        </w:rPr>
        <w:t>说明：上述标准参照《关于印发中小企业划型标准规定的通知》（工信部联企业[2011]300号），大型、中型和小型企业须同时满足所列指标的下限，否则下划一档；微型企业只须满足所列指标中的一项即可。</w:t>
      </w:r>
    </w:p>
    <w:p w14:paraId="6E0034B9">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0C358340">
      <w:pPr>
        <w:pStyle w:val="49"/>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4"/>
          <w:szCs w:val="32"/>
          <w:highlight w:val="none"/>
        </w:rPr>
      </w:pPr>
    </w:p>
    <w:p w14:paraId="2A6AB131">
      <w:pPr>
        <w:pStyle w:val="4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63FA6FEC">
      <w:pPr>
        <w:pStyle w:val="4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21"/>
          <w:szCs w:val="24"/>
          <w:highlight w:val="none"/>
        </w:rPr>
      </w:pPr>
    </w:p>
    <w:p w14:paraId="18251C49">
      <w:pPr>
        <w:pStyle w:val="2"/>
        <w:numPr>
          <w:ilvl w:val="0"/>
          <w:numId w:val="3"/>
        </w:numPr>
        <w:spacing w:line="560" w:lineRule="exact"/>
        <w:jc w:val="center"/>
        <w:rPr>
          <w:rFonts w:hint="eastAsia" w:ascii="宋体" w:hAnsi="宋体" w:cs="宋体"/>
          <w:color w:val="auto"/>
          <w:spacing w:val="-14"/>
          <w:kern w:val="0"/>
          <w:position w:val="-6"/>
          <w:sz w:val="36"/>
          <w:szCs w:val="36"/>
          <w:highlight w:val="none"/>
        </w:rPr>
      </w:pPr>
      <w:r>
        <w:rPr>
          <w:rFonts w:hint="eastAsia" w:ascii="宋体" w:hAnsi="宋体" w:cs="宋体"/>
          <w:color w:val="auto"/>
          <w:spacing w:val="-14"/>
          <w:kern w:val="0"/>
          <w:position w:val="-6"/>
          <w:sz w:val="36"/>
          <w:szCs w:val="36"/>
          <w:highlight w:val="none"/>
        </w:rPr>
        <w:t xml:space="preserve">   </w:t>
      </w:r>
      <w:bookmarkStart w:id="76" w:name="_Toc3612"/>
      <w:r>
        <w:rPr>
          <w:rFonts w:hint="eastAsia" w:ascii="宋体" w:hAnsi="宋体" w:cs="宋体"/>
          <w:color w:val="auto"/>
          <w:spacing w:val="-14"/>
          <w:kern w:val="0"/>
          <w:position w:val="-6"/>
          <w:sz w:val="36"/>
          <w:szCs w:val="36"/>
          <w:highlight w:val="none"/>
        </w:rPr>
        <w:t>合同主要条款 (参考格式)</w:t>
      </w:r>
      <w:bookmarkEnd w:id="76"/>
    </w:p>
    <w:p w14:paraId="7698BCFE">
      <w:pPr>
        <w:pStyle w:val="2"/>
        <w:numPr>
          <w:ilvl w:val="0"/>
          <w:numId w:val="0"/>
        </w:numPr>
        <w:spacing w:line="560" w:lineRule="exact"/>
        <w:jc w:val="center"/>
        <w:rPr>
          <w:rFonts w:hint="eastAsia" w:ascii="宋体" w:hAnsi="宋体" w:cs="宋体"/>
          <w:color w:val="auto"/>
          <w:spacing w:val="-14"/>
          <w:kern w:val="0"/>
          <w:position w:val="-6"/>
          <w:sz w:val="32"/>
          <w:szCs w:val="32"/>
          <w:highlight w:val="none"/>
        </w:rPr>
      </w:pPr>
      <w:bookmarkStart w:id="77" w:name="_Toc31567"/>
      <w:r>
        <w:rPr>
          <w:rFonts w:hint="eastAsia" w:ascii="宋体" w:hAnsi="宋体" w:cs="宋体"/>
          <w:color w:val="auto"/>
          <w:spacing w:val="-14"/>
          <w:kern w:val="0"/>
          <w:position w:val="-6"/>
          <w:sz w:val="32"/>
          <w:szCs w:val="32"/>
          <w:highlight w:val="none"/>
        </w:rPr>
        <w:t>(仅供参考，由双方按实际情况调整)</w:t>
      </w:r>
      <w:bookmarkEnd w:id="77"/>
    </w:p>
    <w:p w14:paraId="370BA882">
      <w:pPr>
        <w:shd w:val="clear"/>
        <w:jc w:val="center"/>
        <w:rPr>
          <w:rFonts w:hint="eastAsia" w:ascii="宋体" w:hAnsi="宋体" w:eastAsia="宋体" w:cs="宋体"/>
          <w:b/>
          <w:bCs/>
          <w:color w:val="auto"/>
          <w:spacing w:val="20"/>
          <w:sz w:val="72"/>
          <w:szCs w:val="144"/>
          <w:highlight w:val="none"/>
        </w:rPr>
      </w:pPr>
    </w:p>
    <w:p w14:paraId="084BA224">
      <w:pPr>
        <w:shd w:val="clear"/>
        <w:jc w:val="center"/>
        <w:rPr>
          <w:rFonts w:ascii="宋体" w:hAnsi="宋体" w:eastAsia="宋体" w:cs="宋体"/>
          <w:b/>
          <w:bCs/>
          <w:color w:val="auto"/>
          <w:spacing w:val="20"/>
          <w:sz w:val="96"/>
          <w:szCs w:val="160"/>
          <w:highlight w:val="none"/>
        </w:rPr>
      </w:pPr>
      <w:r>
        <w:rPr>
          <w:rFonts w:hint="eastAsia" w:ascii="宋体" w:hAnsi="宋体" w:eastAsia="宋体" w:cs="宋体"/>
          <w:b/>
          <w:bCs/>
          <w:color w:val="auto"/>
          <w:spacing w:val="20"/>
          <w:sz w:val="72"/>
          <w:szCs w:val="144"/>
          <w:highlight w:val="none"/>
        </w:rPr>
        <w:t>施 工 承 包 合 同 书</w:t>
      </w:r>
    </w:p>
    <w:p w14:paraId="26137266">
      <w:pPr>
        <w:shd w:val="clear"/>
        <w:jc w:val="center"/>
        <w:rPr>
          <w:rFonts w:ascii="宋体" w:hAnsi="宋体" w:eastAsia="宋体" w:cs="宋体"/>
          <w:color w:val="auto"/>
          <w:spacing w:val="20"/>
          <w:sz w:val="32"/>
          <w:szCs w:val="40"/>
          <w:highlight w:val="none"/>
        </w:rPr>
      </w:pPr>
    </w:p>
    <w:p w14:paraId="6743BF4E">
      <w:pPr>
        <w:shd w:val="clear"/>
        <w:jc w:val="center"/>
        <w:rPr>
          <w:rFonts w:ascii="宋体" w:hAnsi="宋体" w:eastAsia="宋体" w:cs="宋体"/>
          <w:color w:val="auto"/>
          <w:spacing w:val="20"/>
          <w:sz w:val="32"/>
          <w:szCs w:val="40"/>
          <w:highlight w:val="none"/>
        </w:rPr>
      </w:pPr>
    </w:p>
    <w:p w14:paraId="6307E184">
      <w:pPr>
        <w:shd w:val="clear"/>
        <w:jc w:val="center"/>
        <w:rPr>
          <w:rFonts w:ascii="宋体" w:hAnsi="宋体" w:eastAsia="宋体" w:cs="宋体"/>
          <w:color w:val="auto"/>
          <w:spacing w:val="20"/>
          <w:sz w:val="32"/>
          <w:szCs w:val="40"/>
          <w:highlight w:val="none"/>
        </w:rPr>
      </w:pPr>
    </w:p>
    <w:p w14:paraId="7C55D928">
      <w:pPr>
        <w:shd w:val="clear"/>
        <w:jc w:val="center"/>
        <w:rPr>
          <w:rFonts w:ascii="宋体" w:hAnsi="宋体" w:eastAsia="宋体" w:cs="宋体"/>
          <w:color w:val="auto"/>
          <w:spacing w:val="20"/>
          <w:sz w:val="32"/>
          <w:szCs w:val="40"/>
          <w:highlight w:val="none"/>
        </w:rPr>
      </w:pPr>
    </w:p>
    <w:p w14:paraId="1927A250">
      <w:pPr>
        <w:shd w:val="clear"/>
        <w:jc w:val="center"/>
        <w:rPr>
          <w:rFonts w:ascii="宋体" w:hAnsi="宋体" w:eastAsia="宋体" w:cs="宋体"/>
          <w:color w:val="auto"/>
          <w:spacing w:val="20"/>
          <w:sz w:val="32"/>
          <w:szCs w:val="40"/>
          <w:highlight w:val="none"/>
        </w:rPr>
      </w:pPr>
    </w:p>
    <w:p w14:paraId="1F5DE895">
      <w:pPr>
        <w:shd w:val="clear"/>
        <w:jc w:val="both"/>
        <w:rPr>
          <w:rFonts w:hint="default" w:ascii="宋体" w:hAnsi="宋体" w:eastAsia="宋体" w:cs="宋体"/>
          <w:b/>
          <w:bCs/>
          <w:color w:val="auto"/>
          <w:spacing w:val="20"/>
          <w:sz w:val="48"/>
          <w:szCs w:val="56"/>
          <w:highlight w:val="none"/>
          <w:lang w:val="en-US" w:eastAsia="zh-CN"/>
        </w:rPr>
      </w:pPr>
      <w:r>
        <w:rPr>
          <w:rFonts w:hint="eastAsia" w:ascii="宋体" w:hAnsi="宋体" w:eastAsia="宋体" w:cs="宋体"/>
          <w:color w:val="auto"/>
          <w:spacing w:val="20"/>
          <w:sz w:val="28"/>
          <w:szCs w:val="28"/>
          <w:highlight w:val="none"/>
        </w:rPr>
        <w:t>工程名称：</w:t>
      </w:r>
      <w:r>
        <w:rPr>
          <w:rFonts w:hint="eastAsia" w:ascii="宋体" w:hAnsi="宋体" w:eastAsia="宋体" w:cs="宋体"/>
          <w:color w:val="auto"/>
          <w:spacing w:val="0"/>
          <w:sz w:val="28"/>
          <w:szCs w:val="28"/>
          <w:highlight w:val="none"/>
          <w:u w:val="single"/>
          <w:lang w:val="en-US" w:eastAsia="zh-CN"/>
        </w:rPr>
        <w:t xml:space="preserve">                                           </w:t>
      </w:r>
    </w:p>
    <w:p w14:paraId="4C72845D">
      <w:pPr>
        <w:shd w:val="clear"/>
        <w:rPr>
          <w:rFonts w:ascii="宋体" w:hAnsi="宋体" w:eastAsia="宋体" w:cs="宋体"/>
          <w:color w:val="auto"/>
          <w:spacing w:val="20"/>
          <w:sz w:val="28"/>
          <w:szCs w:val="36"/>
          <w:highlight w:val="none"/>
        </w:rPr>
      </w:pPr>
    </w:p>
    <w:p w14:paraId="28736A29">
      <w:pPr>
        <w:shd w:val="clea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发包人（甲方）：</w:t>
      </w:r>
      <w:r>
        <w:rPr>
          <w:rFonts w:hint="eastAsia" w:ascii="宋体" w:hAnsi="宋体" w:eastAsia="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浦北县江城街道办事处</w:t>
      </w:r>
      <w:r>
        <w:rPr>
          <w:rFonts w:hint="eastAsia" w:ascii="宋体" w:hAnsi="宋体" w:eastAsia="宋体" w:cs="宋体"/>
          <w:color w:val="auto"/>
          <w:spacing w:val="20"/>
          <w:sz w:val="28"/>
          <w:szCs w:val="36"/>
          <w:highlight w:val="none"/>
          <w:u w:val="single"/>
        </w:rPr>
        <w:t xml:space="preserve"> </w:t>
      </w:r>
    </w:p>
    <w:p w14:paraId="125785D6">
      <w:pPr>
        <w:shd w:val="clear"/>
        <w:rPr>
          <w:rFonts w:ascii="宋体" w:hAnsi="宋体" w:eastAsia="宋体" w:cs="宋体"/>
          <w:color w:val="auto"/>
          <w:spacing w:val="20"/>
          <w:sz w:val="28"/>
          <w:szCs w:val="36"/>
          <w:highlight w:val="none"/>
        </w:rPr>
      </w:pPr>
    </w:p>
    <w:p w14:paraId="2FB25394">
      <w:pPr>
        <w:shd w:val="clea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承包人（乙方）：</w:t>
      </w:r>
      <w:r>
        <w:rPr>
          <w:rFonts w:hint="eastAsia" w:ascii="宋体" w:hAnsi="宋体" w:eastAsia="宋体" w:cs="宋体"/>
          <w:color w:val="auto"/>
          <w:spacing w:val="20"/>
          <w:sz w:val="28"/>
          <w:szCs w:val="36"/>
          <w:highlight w:val="none"/>
          <w:u w:val="single"/>
        </w:rPr>
        <w:t xml:space="preserve"> </w:t>
      </w:r>
      <w:r>
        <w:rPr>
          <w:rFonts w:hint="eastAsia" w:ascii="宋体" w:hAnsi="宋体" w:eastAsia="宋体" w:cs="宋体"/>
          <w:color w:val="auto"/>
          <w:spacing w:val="20"/>
          <w:sz w:val="28"/>
          <w:szCs w:val="36"/>
          <w:highlight w:val="none"/>
          <w:u w:val="single"/>
          <w:lang w:val="en-US" w:eastAsia="zh-CN"/>
        </w:rPr>
        <w:t xml:space="preserve">                          </w:t>
      </w:r>
      <w:r>
        <w:rPr>
          <w:rFonts w:hint="eastAsia" w:ascii="宋体" w:hAnsi="宋体" w:eastAsia="宋体" w:cs="宋体"/>
          <w:color w:val="auto"/>
          <w:spacing w:val="20"/>
          <w:sz w:val="28"/>
          <w:szCs w:val="36"/>
          <w:highlight w:val="none"/>
          <w:u w:val="single"/>
        </w:rPr>
        <w:t xml:space="preserve">  </w:t>
      </w:r>
    </w:p>
    <w:p w14:paraId="39812380">
      <w:pPr>
        <w:shd w:val="clear"/>
        <w:rPr>
          <w:rFonts w:ascii="宋体" w:hAnsi="宋体" w:eastAsia="宋体" w:cs="宋体"/>
          <w:color w:val="auto"/>
          <w:spacing w:val="20"/>
          <w:sz w:val="28"/>
          <w:szCs w:val="36"/>
          <w:highlight w:val="none"/>
        </w:rPr>
      </w:pPr>
    </w:p>
    <w:p w14:paraId="0B2D75DC">
      <w:pPr>
        <w:shd w:val="clear"/>
        <w:rPr>
          <w:rFonts w:hint="eastAsia" w:ascii="宋体" w:hAnsi="宋体" w:eastAsia="宋体" w:cs="宋体"/>
          <w:color w:val="auto"/>
          <w:spacing w:val="20"/>
          <w:sz w:val="32"/>
          <w:szCs w:val="40"/>
          <w:highlight w:val="none"/>
        </w:rPr>
      </w:pPr>
      <w:r>
        <w:rPr>
          <w:rFonts w:hint="eastAsia" w:ascii="宋体" w:hAnsi="宋体" w:eastAsia="宋体" w:cs="宋体"/>
          <w:color w:val="auto"/>
          <w:spacing w:val="20"/>
          <w:sz w:val="32"/>
          <w:szCs w:val="40"/>
          <w:highlight w:val="none"/>
        </w:rPr>
        <w:t>日      期：</w:t>
      </w:r>
      <w:r>
        <w:rPr>
          <w:rFonts w:hint="eastAsia" w:ascii="宋体" w:hAnsi="宋体" w:eastAsia="宋体" w:cs="宋体"/>
          <w:color w:val="auto"/>
          <w:spacing w:val="20"/>
          <w:sz w:val="32"/>
          <w:szCs w:val="40"/>
          <w:highlight w:val="none"/>
          <w:lang w:val="en-US" w:eastAsia="zh-CN"/>
        </w:rPr>
        <w:t xml:space="preserve">    </w:t>
      </w:r>
      <w:r>
        <w:rPr>
          <w:rFonts w:hint="eastAsia" w:ascii="宋体" w:hAnsi="宋体" w:eastAsia="宋体" w:cs="宋体"/>
          <w:color w:val="auto"/>
          <w:spacing w:val="20"/>
          <w:sz w:val="32"/>
          <w:szCs w:val="40"/>
          <w:highlight w:val="none"/>
        </w:rPr>
        <w:t xml:space="preserve"> 年</w:t>
      </w:r>
      <w:r>
        <w:rPr>
          <w:rFonts w:hint="eastAsia" w:ascii="宋体" w:hAnsi="宋体" w:eastAsia="宋体" w:cs="宋体"/>
          <w:color w:val="auto"/>
          <w:spacing w:val="20"/>
          <w:sz w:val="32"/>
          <w:szCs w:val="40"/>
          <w:highlight w:val="none"/>
          <w:lang w:val="en-US" w:eastAsia="zh-CN"/>
        </w:rPr>
        <w:t xml:space="preserve">   </w:t>
      </w:r>
      <w:r>
        <w:rPr>
          <w:rFonts w:hint="eastAsia" w:ascii="宋体" w:hAnsi="宋体" w:eastAsia="宋体" w:cs="宋体"/>
          <w:color w:val="auto"/>
          <w:spacing w:val="20"/>
          <w:sz w:val="32"/>
          <w:szCs w:val="40"/>
          <w:highlight w:val="none"/>
        </w:rPr>
        <w:t xml:space="preserve">月 </w:t>
      </w:r>
      <w:r>
        <w:rPr>
          <w:rFonts w:hint="eastAsia" w:ascii="宋体" w:hAnsi="宋体" w:eastAsia="宋体" w:cs="宋体"/>
          <w:color w:val="auto"/>
          <w:spacing w:val="20"/>
          <w:sz w:val="32"/>
          <w:szCs w:val="40"/>
          <w:highlight w:val="none"/>
          <w:lang w:val="en-US" w:eastAsia="zh-CN"/>
        </w:rPr>
        <w:t xml:space="preserve">  </w:t>
      </w:r>
      <w:r>
        <w:rPr>
          <w:rFonts w:hint="eastAsia" w:ascii="宋体" w:hAnsi="宋体" w:eastAsia="宋体" w:cs="宋体"/>
          <w:color w:val="auto"/>
          <w:spacing w:val="20"/>
          <w:sz w:val="32"/>
          <w:szCs w:val="40"/>
          <w:highlight w:val="none"/>
        </w:rPr>
        <w:t>日</w:t>
      </w:r>
    </w:p>
    <w:p w14:paraId="038C0C6C">
      <w:pPr>
        <w:shd w:val="clear"/>
        <w:rPr>
          <w:rFonts w:hint="eastAsia" w:ascii="宋体" w:hAnsi="宋体" w:eastAsia="宋体" w:cs="宋体"/>
          <w:color w:val="auto"/>
          <w:spacing w:val="20"/>
          <w:sz w:val="32"/>
          <w:szCs w:val="40"/>
          <w:highlight w:val="none"/>
        </w:rPr>
      </w:pPr>
      <w:r>
        <w:rPr>
          <w:rFonts w:hint="eastAsia" w:ascii="宋体" w:hAnsi="宋体" w:eastAsia="宋体" w:cs="宋体"/>
          <w:color w:val="auto"/>
          <w:spacing w:val="20"/>
          <w:sz w:val="32"/>
          <w:szCs w:val="40"/>
          <w:highlight w:val="none"/>
        </w:rPr>
        <w:br w:type="page"/>
      </w:r>
    </w:p>
    <w:p w14:paraId="67D599A3">
      <w:pPr>
        <w:pStyle w:val="2"/>
        <w:numPr>
          <w:ilvl w:val="0"/>
          <w:numId w:val="4"/>
        </w:numPr>
        <w:shd w:val="clear"/>
        <w:jc w:val="center"/>
        <w:rPr>
          <w:rFonts w:ascii="宋体" w:hAnsi="宋体" w:eastAsia="宋体" w:cs="宋体"/>
          <w:color w:val="auto"/>
          <w:spacing w:val="20"/>
          <w:sz w:val="24"/>
          <w:szCs w:val="32"/>
          <w:highlight w:val="none"/>
        </w:rPr>
      </w:pPr>
      <w:bookmarkStart w:id="78" w:name="_Toc373227552"/>
      <w:bookmarkStart w:id="79" w:name="_Toc296890982"/>
      <w:bookmarkStart w:id="80" w:name="_Toc389065255"/>
      <w:bookmarkStart w:id="81" w:name="_Toc351203480"/>
      <w:bookmarkStart w:id="82" w:name="_Toc26265"/>
      <w:bookmarkStart w:id="83" w:name="_Toc373478199"/>
      <w:bookmarkStart w:id="84" w:name="_Toc12680"/>
      <w:bookmarkStart w:id="85" w:name="_Toc296503025"/>
      <w:r>
        <w:rPr>
          <w:rFonts w:hint="eastAsia" w:ascii="宋体" w:hAnsi="宋体" w:eastAsia="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3E68564A">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浦北县江城街道办事处</w:t>
      </w:r>
      <w:r>
        <w:rPr>
          <w:rFonts w:hint="eastAsia" w:ascii="宋体" w:hAnsi="宋体" w:eastAsia="宋体" w:cs="宋体"/>
          <w:color w:val="auto"/>
          <w:spacing w:val="20"/>
          <w:sz w:val="24"/>
          <w:highlight w:val="none"/>
          <w:u w:val="single"/>
        </w:rPr>
        <w:t xml:space="preserve">   </w:t>
      </w:r>
    </w:p>
    <w:p w14:paraId="66111169">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58A145AD">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auto"/>
          <w:spacing w:val="20"/>
          <w:sz w:val="24"/>
          <w:highlight w:val="none"/>
        </w:rPr>
      </w:pPr>
      <w:r>
        <w:rPr>
          <w:rFonts w:hint="eastAsia" w:ascii="宋体" w:hAnsi="宋体" w:cs="宋体"/>
          <w:color w:val="auto"/>
          <w:spacing w:val="20"/>
          <w:sz w:val="24"/>
          <w:highlight w:val="none"/>
          <w:u w:val="single"/>
          <w:lang w:eastAsia="zh-CN"/>
        </w:rPr>
        <w:t>浦北县江城街道办事处</w:t>
      </w:r>
      <w:r>
        <w:rPr>
          <w:rFonts w:hint="eastAsia" w:ascii="宋体" w:hAnsi="宋体" w:eastAsia="宋体" w:cs="宋体"/>
          <w:color w:val="auto"/>
          <w:spacing w:val="20"/>
          <w:sz w:val="24"/>
          <w:highlight w:val="none"/>
        </w:rPr>
        <w:t>（以下称发包人）为实施</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（工程名称）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，根据《中华人民共和国</w:t>
      </w:r>
      <w:r>
        <w:rPr>
          <w:rFonts w:hint="eastAsia" w:ascii="宋体" w:hAnsi="宋体" w:eastAsia="宋体" w:cs="宋体"/>
          <w:color w:val="auto"/>
          <w:spacing w:val="20"/>
          <w:sz w:val="24"/>
          <w:highlight w:val="none"/>
          <w:lang w:eastAsia="zh-CN"/>
        </w:rPr>
        <w:t>民法典</w:t>
      </w:r>
      <w:r>
        <w:rPr>
          <w:rFonts w:hint="eastAsia" w:ascii="宋体" w:hAnsi="宋体" w:eastAsia="宋体" w:cs="宋体"/>
          <w:color w:val="auto"/>
          <w:spacing w:val="20"/>
          <w:sz w:val="24"/>
          <w:highlight w:val="none"/>
        </w:rPr>
        <w:t>》、《中华人民共和国建筑法》及有关法律规定，遵循平等、自愿、公平和诚实信用的原则，双方就</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（工程名称）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工程施工及有关事项协商一致，共同达成如下协议：</w:t>
      </w:r>
      <w:bookmarkStart w:id="86" w:name="_Toc351203481"/>
    </w:p>
    <w:p w14:paraId="6D0DF642">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一、工程概况</w:t>
      </w:r>
      <w:bookmarkEnd w:id="86"/>
    </w:p>
    <w:p w14:paraId="13CBD509">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ascii="宋体" w:hAnsi="宋体" w:eastAsia="宋体" w:cs="宋体"/>
          <w:color w:val="auto"/>
          <w:spacing w:val="20"/>
          <w:sz w:val="24"/>
          <w:highlight w:val="none"/>
          <w:u w:val="single"/>
        </w:rPr>
      </w:pPr>
      <w:r>
        <w:rPr>
          <w:rFonts w:hint="eastAsia" w:ascii="宋体" w:hAnsi="宋体" w:eastAsia="宋体" w:cs="宋体"/>
          <w:bCs/>
          <w:color w:val="auto"/>
          <w:spacing w:val="20"/>
          <w:sz w:val="24"/>
          <w:highlight w:val="none"/>
        </w:rPr>
        <w:t>1. 工程名称</w:t>
      </w:r>
      <w:r>
        <w:rPr>
          <w:rFonts w:hint="eastAsia" w:ascii="宋体" w:hAnsi="宋体" w:eastAsia="宋体" w:cs="宋体"/>
          <w:color w:val="auto"/>
          <w:spacing w:val="20"/>
          <w:sz w:val="24"/>
          <w:highlight w:val="none"/>
        </w:rPr>
        <w:t>：</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
          <w:bCs/>
          <w:color w:val="auto"/>
          <w:spacing w:val="20"/>
          <w:sz w:val="24"/>
          <w:highlight w:val="none"/>
          <w:u w:val="single"/>
          <w:lang w:val="en-US" w:eastAsia="zh-CN"/>
        </w:rPr>
        <w:t xml:space="preserve">                           </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507AB55B">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工程地点：</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2B276232">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hint="eastAsia" w:ascii="宋体" w:hAnsi="宋体" w:cs="宋体"/>
          <w:bCs/>
          <w:color w:val="auto"/>
          <w:spacing w:val="20"/>
          <w:sz w:val="24"/>
          <w:highlight w:val="none"/>
          <w:u w:val="single"/>
          <w:lang w:val="en-US" w:eastAsia="zh-CN"/>
        </w:rPr>
      </w:pPr>
      <w:r>
        <w:rPr>
          <w:rFonts w:hint="eastAsia" w:ascii="宋体" w:hAnsi="宋体" w:eastAsia="宋体" w:cs="宋体"/>
          <w:bCs/>
          <w:color w:val="auto"/>
          <w:spacing w:val="20"/>
          <w:sz w:val="24"/>
          <w:highlight w:val="none"/>
        </w:rPr>
        <w:t>3. 工程立项批准文号：</w:t>
      </w:r>
      <w:r>
        <w:rPr>
          <w:rFonts w:hint="eastAsia" w:ascii="宋体" w:hAnsi="宋体" w:cs="宋体"/>
          <w:bCs/>
          <w:color w:val="auto"/>
          <w:spacing w:val="20"/>
          <w:sz w:val="24"/>
          <w:highlight w:val="none"/>
          <w:u w:val="single"/>
          <w:lang w:val="en-US" w:eastAsia="zh-CN"/>
        </w:rPr>
        <w:t xml:space="preserve">               。</w:t>
      </w:r>
    </w:p>
    <w:p w14:paraId="1588682D">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4. 资金来源：</w:t>
      </w:r>
      <w:r>
        <w:rPr>
          <w:rFonts w:hint="eastAsia" w:ascii="宋体" w:hAnsi="宋体" w:eastAsia="宋体" w:cs="宋体"/>
          <w:color w:val="auto"/>
          <w:spacing w:val="20"/>
          <w:sz w:val="24"/>
          <w:highlight w:val="none"/>
          <w:u w:val="single"/>
        </w:rPr>
        <w:t xml:space="preserve">政府性资金   </w:t>
      </w:r>
      <w:r>
        <w:rPr>
          <w:rFonts w:hint="eastAsia" w:ascii="宋体" w:hAnsi="宋体" w:eastAsia="宋体" w:cs="宋体"/>
          <w:bCs/>
          <w:color w:val="auto"/>
          <w:spacing w:val="20"/>
          <w:sz w:val="24"/>
          <w:highlight w:val="none"/>
        </w:rPr>
        <w:t>。</w:t>
      </w:r>
    </w:p>
    <w:p w14:paraId="5D1269DA">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rPr>
          <w:rFonts w:hint="eastAsia" w:ascii="宋体" w:hAnsi="宋体" w:eastAsia="宋体" w:cs="宋体"/>
          <w:color w:val="auto"/>
          <w:spacing w:val="20"/>
          <w:sz w:val="24"/>
          <w:highlight w:val="none"/>
          <w:u w:val="single"/>
          <w:lang w:eastAsia="zh-CN"/>
        </w:rPr>
      </w:pPr>
      <w:r>
        <w:rPr>
          <w:rFonts w:hint="eastAsia" w:ascii="宋体" w:hAnsi="宋体" w:eastAsia="宋体" w:cs="宋体"/>
          <w:bCs/>
          <w:color w:val="auto"/>
          <w:spacing w:val="20"/>
          <w:sz w:val="24"/>
          <w:highlight w:val="none"/>
        </w:rPr>
        <w:t>5. 工程内容：</w:t>
      </w:r>
      <w:r>
        <w:rPr>
          <w:rFonts w:hint="eastAsia" w:ascii="宋体" w:hAnsi="宋体" w:eastAsia="宋体" w:cs="宋体"/>
          <w:bCs/>
          <w:color w:val="auto"/>
          <w:spacing w:val="20"/>
          <w:sz w:val="24"/>
          <w:highlight w:val="none"/>
          <w:u w:val="single"/>
          <w:lang w:val="en-US" w:eastAsia="zh-CN"/>
        </w:rPr>
        <w:t>本项目为世彪药业北向地块土方平整。根据业主提供的预算图，总挖方量为136367.10m³，无填方</w:t>
      </w:r>
      <w:r>
        <w:rPr>
          <w:rFonts w:hint="eastAsia" w:ascii="宋体" w:hAnsi="宋体" w:cs="宋体"/>
          <w:bCs/>
          <w:color w:val="auto"/>
          <w:spacing w:val="20"/>
          <w:sz w:val="24"/>
          <w:highlight w:val="none"/>
          <w:u w:val="single"/>
          <w:lang w:val="en-US" w:eastAsia="zh-CN"/>
        </w:rPr>
        <w:t>，详见施工图及工程量清单</w:t>
      </w:r>
    </w:p>
    <w:p w14:paraId="246F5165">
      <w:pPr>
        <w:keepNext w:val="0"/>
        <w:keepLines w:val="0"/>
        <w:pageBreakBefore w:val="0"/>
        <w:widowControl w:val="0"/>
        <w:shd w:val="clear"/>
        <w:kinsoku/>
        <w:wordWrap/>
        <w:overflowPunct/>
        <w:topLinePunct w:val="0"/>
        <w:bidi w:val="0"/>
        <w:adjustRightInd w:val="0"/>
        <w:snapToGrid w:val="0"/>
        <w:spacing w:line="380" w:lineRule="exact"/>
        <w:ind w:firstLine="548" w:firstLineChars="196"/>
        <w:textAlignment w:val="auto"/>
        <w:outlineLvl w:val="0"/>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6. 工程承包范围：</w:t>
      </w:r>
      <w:r>
        <w:rPr>
          <w:rFonts w:hint="eastAsia" w:ascii="宋体" w:hAnsi="宋体" w:eastAsia="宋体" w:cs="宋体"/>
          <w:color w:val="auto"/>
          <w:spacing w:val="20"/>
          <w:sz w:val="24"/>
          <w:highlight w:val="none"/>
          <w:u w:val="single"/>
        </w:rPr>
        <w:t xml:space="preserve"> 详见工程量清单所包含内容 </w:t>
      </w:r>
      <w:r>
        <w:rPr>
          <w:rFonts w:hint="eastAsia" w:ascii="宋体" w:hAnsi="宋体" w:eastAsia="宋体" w:cs="宋体"/>
          <w:color w:val="auto"/>
          <w:spacing w:val="20"/>
          <w:sz w:val="24"/>
          <w:highlight w:val="none"/>
        </w:rPr>
        <w:t>。</w:t>
      </w:r>
    </w:p>
    <w:p w14:paraId="46717AD5">
      <w:pPr>
        <w:keepNext w:val="0"/>
        <w:keepLines w:val="0"/>
        <w:pageBreakBefore w:val="0"/>
        <w:widowControl w:val="0"/>
        <w:shd w:val="clear"/>
        <w:kinsoku/>
        <w:wordWrap/>
        <w:overflowPunct/>
        <w:topLinePunct w:val="0"/>
        <w:bidi w:val="0"/>
        <w:adjustRightInd w:val="0"/>
        <w:snapToGrid w:val="0"/>
        <w:spacing w:line="380" w:lineRule="exact"/>
        <w:ind w:firstLine="542" w:firstLineChars="193"/>
        <w:textAlignment w:val="auto"/>
        <w:outlineLvl w:val="0"/>
        <w:rPr>
          <w:rFonts w:ascii="宋体" w:hAnsi="宋体" w:eastAsia="宋体" w:cs="宋体"/>
          <w:b/>
          <w:bCs/>
          <w:color w:val="auto"/>
          <w:spacing w:val="20"/>
          <w:sz w:val="24"/>
          <w:highlight w:val="none"/>
        </w:rPr>
      </w:pPr>
      <w:bookmarkStart w:id="87" w:name="_Toc351203482"/>
      <w:r>
        <w:rPr>
          <w:rFonts w:hint="eastAsia" w:ascii="宋体" w:hAnsi="宋体" w:eastAsia="宋体" w:cs="宋体"/>
          <w:b/>
          <w:bCs/>
          <w:color w:val="auto"/>
          <w:spacing w:val="20"/>
          <w:sz w:val="24"/>
          <w:highlight w:val="none"/>
        </w:rPr>
        <w:t>二、合同工期</w:t>
      </w:r>
      <w:bookmarkEnd w:id="87"/>
    </w:p>
    <w:p w14:paraId="018E1FD1">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计划开工日期：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日。（具体以开工令为准）</w:t>
      </w:r>
    </w:p>
    <w:p w14:paraId="0E9C749B">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计划竣工日期：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6C258D5A">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工期总日历天数：</w:t>
      </w:r>
      <w:r>
        <w:rPr>
          <w:rFonts w:hint="eastAsia" w:ascii="宋体" w:hAnsi="宋体" w:eastAsia="宋体" w:cs="宋体"/>
          <w:b/>
          <w:bCs/>
          <w:color w:val="auto"/>
          <w:spacing w:val="20"/>
          <w:sz w:val="24"/>
          <w:highlight w:val="none"/>
          <w:u w:val="single"/>
        </w:rPr>
        <w:t xml:space="preserve"> </w:t>
      </w:r>
      <w:r>
        <w:rPr>
          <w:rFonts w:hint="eastAsia" w:ascii="宋体" w:hAnsi="宋体" w:cs="宋体"/>
          <w:b/>
          <w:bCs/>
          <w:color w:val="auto"/>
          <w:spacing w:val="20"/>
          <w:sz w:val="24"/>
          <w:highlight w:val="none"/>
          <w:u w:val="single"/>
          <w:lang w:val="en-US" w:eastAsia="zh-CN"/>
        </w:rPr>
        <w:t>30</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日历天。工期总日历天数与根据前述计划开竣工日期计算的工期天数不一致的，以工期总日历天数为准。</w:t>
      </w:r>
    </w:p>
    <w:p w14:paraId="23AA69D9">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outlineLvl w:val="0"/>
        <w:rPr>
          <w:rFonts w:ascii="宋体" w:hAnsi="宋体" w:eastAsia="宋体" w:cs="宋体"/>
          <w:b/>
          <w:bCs/>
          <w:color w:val="auto"/>
          <w:spacing w:val="20"/>
          <w:sz w:val="24"/>
          <w:highlight w:val="none"/>
        </w:rPr>
      </w:pPr>
      <w:bookmarkStart w:id="88" w:name="_Toc351203483"/>
      <w:r>
        <w:rPr>
          <w:rFonts w:hint="eastAsia" w:ascii="宋体" w:hAnsi="宋体" w:eastAsia="宋体" w:cs="宋体"/>
          <w:b/>
          <w:bCs/>
          <w:color w:val="auto"/>
          <w:spacing w:val="20"/>
          <w:sz w:val="24"/>
          <w:highlight w:val="none"/>
        </w:rPr>
        <w:t>三、质量标准</w:t>
      </w:r>
      <w:bookmarkEnd w:id="88"/>
    </w:p>
    <w:p w14:paraId="058B18DE">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工程质量符合</w:t>
      </w:r>
      <w:r>
        <w:rPr>
          <w:rFonts w:hint="eastAsia" w:ascii="宋体" w:hAnsi="宋体" w:eastAsia="宋体" w:cs="宋体"/>
          <w:color w:val="auto"/>
          <w:spacing w:val="20"/>
          <w:sz w:val="24"/>
          <w:highlight w:val="none"/>
          <w:u w:val="single"/>
        </w:rPr>
        <w:t>《工程施工质量验收规范》合格</w:t>
      </w:r>
      <w:r>
        <w:rPr>
          <w:rFonts w:hint="eastAsia" w:ascii="宋体" w:hAnsi="宋体" w:eastAsia="宋体" w:cs="宋体"/>
          <w:color w:val="auto"/>
          <w:spacing w:val="20"/>
          <w:sz w:val="24"/>
          <w:highlight w:val="none"/>
        </w:rPr>
        <w:t>标准。</w:t>
      </w:r>
    </w:p>
    <w:p w14:paraId="7E1B3365">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outlineLvl w:val="0"/>
        <w:rPr>
          <w:rFonts w:ascii="宋体" w:hAnsi="宋体" w:eastAsia="宋体" w:cs="宋体"/>
          <w:b/>
          <w:bCs/>
          <w:color w:val="auto"/>
          <w:spacing w:val="20"/>
          <w:sz w:val="24"/>
          <w:highlight w:val="none"/>
        </w:rPr>
      </w:pPr>
      <w:bookmarkStart w:id="89" w:name="_Toc351203484"/>
      <w:r>
        <w:rPr>
          <w:rFonts w:hint="eastAsia" w:ascii="宋体" w:hAnsi="宋体" w:eastAsia="宋体" w:cs="宋体"/>
          <w:b/>
          <w:bCs/>
          <w:color w:val="auto"/>
          <w:spacing w:val="20"/>
          <w:sz w:val="24"/>
          <w:highlight w:val="none"/>
        </w:rPr>
        <w:t>四、签约合同价与合同价格形式</w:t>
      </w:r>
      <w:bookmarkEnd w:id="89"/>
    </w:p>
    <w:p w14:paraId="69405930">
      <w:pPr>
        <w:keepNext w:val="0"/>
        <w:keepLines w:val="0"/>
        <w:pageBreakBefore w:val="0"/>
        <w:widowControl w:val="0"/>
        <w:shd w:val="clear"/>
        <w:kinsoku/>
        <w:wordWrap/>
        <w:overflowPunct/>
        <w:topLinePunct w:val="0"/>
        <w:bidi w:val="0"/>
        <w:adjustRightInd w:val="0"/>
        <w:snapToGrid w:val="0"/>
        <w:spacing w:line="380" w:lineRule="exact"/>
        <w:ind w:firstLine="459"/>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 签约合同价为：</w:t>
      </w:r>
    </w:p>
    <w:p w14:paraId="666A7472">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人民币（大写</w:t>
      </w:r>
      <w:r>
        <w:rPr>
          <w:rFonts w:hint="eastAsia" w:ascii="宋体" w:hAnsi="宋体" w:eastAsia="宋体" w:cs="宋体"/>
          <w:color w:val="auto"/>
          <w:spacing w:val="20"/>
          <w:sz w:val="24"/>
          <w:highlight w:val="none"/>
          <w:lang w:eastAsia="zh-CN"/>
        </w:rPr>
        <w:t>：</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1AC98DB1">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最终执行：如果结算审计价高于合同的按合同价执行，如果低于合同价的按审计价执行。</w:t>
      </w:r>
    </w:p>
    <w:p w14:paraId="52409F53">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 合同价格形式：</w:t>
      </w:r>
      <w:r>
        <w:rPr>
          <w:rFonts w:hint="eastAsia" w:ascii="宋体" w:hAnsi="宋体" w:eastAsia="宋体" w:cs="宋体"/>
          <w:color w:val="auto"/>
          <w:spacing w:val="20"/>
          <w:sz w:val="24"/>
          <w:highlight w:val="none"/>
          <w:u w:val="single"/>
        </w:rPr>
        <w:t xml:space="preserve"> 固定综合单价   </w:t>
      </w:r>
      <w:r>
        <w:rPr>
          <w:rFonts w:hint="eastAsia" w:ascii="宋体" w:hAnsi="宋体" w:eastAsia="宋体" w:cs="宋体"/>
          <w:color w:val="auto"/>
          <w:spacing w:val="20"/>
          <w:sz w:val="24"/>
          <w:highlight w:val="none"/>
        </w:rPr>
        <w:t>。</w:t>
      </w:r>
    </w:p>
    <w:p w14:paraId="768E468F">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0" w:name="_Toc351203485"/>
      <w:r>
        <w:rPr>
          <w:rFonts w:hint="eastAsia" w:ascii="宋体" w:hAnsi="宋体" w:eastAsia="宋体" w:cs="宋体"/>
          <w:b/>
          <w:bCs/>
          <w:color w:val="auto"/>
          <w:spacing w:val="20"/>
          <w:sz w:val="24"/>
          <w:highlight w:val="none"/>
        </w:rPr>
        <w:t>五、</w:t>
      </w:r>
      <w:bookmarkEnd w:id="90"/>
      <w:r>
        <w:rPr>
          <w:rFonts w:hint="eastAsia" w:ascii="宋体" w:hAnsi="宋体" w:eastAsia="宋体" w:cs="宋体"/>
          <w:b/>
          <w:bCs/>
          <w:color w:val="auto"/>
          <w:spacing w:val="20"/>
          <w:sz w:val="24"/>
          <w:highlight w:val="none"/>
        </w:rPr>
        <w:t>项目经理</w:t>
      </w:r>
    </w:p>
    <w:p w14:paraId="1700593F">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承包人项目经理：</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6E67B56D">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1" w:name="_Toc351203486"/>
      <w:r>
        <w:rPr>
          <w:rFonts w:hint="eastAsia" w:ascii="宋体" w:hAnsi="宋体" w:eastAsia="宋体" w:cs="宋体"/>
          <w:b/>
          <w:bCs/>
          <w:color w:val="auto"/>
          <w:spacing w:val="20"/>
          <w:sz w:val="24"/>
          <w:highlight w:val="none"/>
        </w:rPr>
        <w:t>六、合同文件构成</w:t>
      </w:r>
      <w:bookmarkEnd w:id="91"/>
    </w:p>
    <w:p w14:paraId="59FD7078">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1.本协议书与下列文件一起构成合同文件：</w:t>
      </w:r>
    </w:p>
    <w:p w14:paraId="0561D92E">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（1）中标</w:t>
      </w:r>
      <w:r>
        <w:rPr>
          <w:rFonts w:hint="eastAsia" w:ascii="宋体" w:hAnsi="宋体" w:cs="宋体"/>
          <w:color w:val="auto"/>
          <w:spacing w:val="20"/>
          <w:sz w:val="24"/>
          <w:highlight w:val="none"/>
          <w:lang w:eastAsia="zh-CN"/>
        </w:rPr>
        <w:t>（</w:t>
      </w:r>
      <w:r>
        <w:rPr>
          <w:rFonts w:hint="eastAsia" w:ascii="宋体" w:hAnsi="宋体" w:cs="宋体"/>
          <w:color w:val="auto"/>
          <w:spacing w:val="20"/>
          <w:sz w:val="24"/>
          <w:highlight w:val="none"/>
          <w:lang w:val="en-US" w:eastAsia="zh-CN"/>
        </w:rPr>
        <w:t>成交</w:t>
      </w:r>
      <w:r>
        <w:rPr>
          <w:rFonts w:hint="eastAsia" w:ascii="宋体" w:hAnsi="宋体" w:cs="宋体"/>
          <w:color w:val="auto"/>
          <w:spacing w:val="20"/>
          <w:sz w:val="24"/>
          <w:highlight w:val="none"/>
          <w:lang w:eastAsia="zh-CN"/>
        </w:rPr>
        <w:t>）</w:t>
      </w:r>
      <w:r>
        <w:rPr>
          <w:rFonts w:hint="eastAsia" w:ascii="宋体" w:hAnsi="宋体" w:eastAsia="宋体" w:cs="宋体"/>
          <w:color w:val="auto"/>
          <w:spacing w:val="20"/>
          <w:sz w:val="24"/>
          <w:highlight w:val="none"/>
        </w:rPr>
        <w:t>通知书（如有）；</w:t>
      </w:r>
    </w:p>
    <w:p w14:paraId="209D5550">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（2）投标函及其附录（如有）； </w:t>
      </w:r>
    </w:p>
    <w:p w14:paraId="4DF763F8">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（3）专用合同条款及其附件；</w:t>
      </w:r>
    </w:p>
    <w:p w14:paraId="43FE20D7">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（4）通用合同条款；</w:t>
      </w:r>
    </w:p>
    <w:p w14:paraId="44D8F919">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（5）技术标准和要求；</w:t>
      </w:r>
    </w:p>
    <w:p w14:paraId="54088CA8">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（6）已标价工程量清单或预算书； </w:t>
      </w:r>
    </w:p>
    <w:p w14:paraId="226D10C8">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（7）图纸；</w:t>
      </w:r>
    </w:p>
    <w:p w14:paraId="115368FC">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（8）其他合同文件。</w:t>
      </w:r>
    </w:p>
    <w:p w14:paraId="599B23DA">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2.双方有关工程的洽商、变更等书面协议或文件视为本合同的组成部分。</w:t>
      </w:r>
    </w:p>
    <w:p w14:paraId="4404E6A1">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0" w:firstLineChars="200"/>
        <w:jc w:val="left"/>
        <w:textAlignment w:val="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390C0AD4">
      <w:pPr>
        <w:keepNext w:val="0"/>
        <w:keepLines w:val="0"/>
        <w:pageBreakBefore w:val="0"/>
        <w:widowControl w:val="0"/>
        <w:shd w:val="clear"/>
        <w:kinsoku/>
        <w:wordWrap/>
        <w:overflowPunct/>
        <w:topLinePunct w:val="0"/>
        <w:autoSpaceDE w:val="0"/>
        <w:autoSpaceDN w:val="0"/>
        <w:bidi w:val="0"/>
        <w:adjustRightInd w:val="0"/>
        <w:snapToGrid w:val="0"/>
        <w:spacing w:line="380" w:lineRule="exact"/>
        <w:ind w:firstLine="562" w:firstLineChars="200"/>
        <w:jc w:val="left"/>
        <w:textAlignment w:val="auto"/>
        <w:outlineLvl w:val="0"/>
        <w:rPr>
          <w:rFonts w:ascii="宋体" w:hAnsi="宋体" w:eastAsia="宋体" w:cs="宋体"/>
          <w:b/>
          <w:bCs/>
          <w:color w:val="auto"/>
          <w:spacing w:val="20"/>
          <w:sz w:val="24"/>
          <w:highlight w:val="none"/>
        </w:rPr>
      </w:pPr>
      <w:bookmarkStart w:id="92" w:name="_Toc351203487"/>
      <w:r>
        <w:rPr>
          <w:rFonts w:hint="eastAsia" w:ascii="宋体" w:hAnsi="宋体" w:eastAsia="宋体" w:cs="宋体"/>
          <w:b/>
          <w:bCs/>
          <w:color w:val="auto"/>
          <w:spacing w:val="20"/>
          <w:sz w:val="24"/>
          <w:highlight w:val="none"/>
        </w:rPr>
        <w:t>七、承诺</w:t>
      </w:r>
      <w:bookmarkEnd w:id="92"/>
    </w:p>
    <w:p w14:paraId="7425CAA3">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 发包人承诺按照法律规定履行项目审批手续、筹集工程建设资金并按照合同约定的期限和方式支付合同价款。</w:t>
      </w:r>
    </w:p>
    <w:p w14:paraId="4BC127CB">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194BE085">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3. 发包人和承包人签订</w:t>
      </w:r>
      <w:r>
        <w:rPr>
          <w:rFonts w:hint="eastAsia" w:ascii="宋体" w:hAnsi="宋体" w:eastAsia="宋体" w:cs="宋体"/>
          <w:bCs/>
          <w:color w:val="auto"/>
          <w:spacing w:val="20"/>
          <w:sz w:val="24"/>
          <w:highlight w:val="none"/>
          <w:lang w:eastAsia="zh-CN"/>
        </w:rPr>
        <w:t>的</w:t>
      </w:r>
      <w:r>
        <w:rPr>
          <w:rFonts w:hint="eastAsia" w:ascii="宋体" w:hAnsi="宋体" w:eastAsia="宋体" w:cs="宋体"/>
          <w:bCs/>
          <w:color w:val="auto"/>
          <w:spacing w:val="20"/>
          <w:sz w:val="24"/>
          <w:highlight w:val="none"/>
        </w:rPr>
        <w:t>合同，双方理解并承诺不再就同一工程另行签订与合同实质性内容相背离的协议。</w:t>
      </w:r>
      <w:bookmarkStart w:id="93" w:name="_Toc351203488"/>
      <w:r>
        <w:rPr>
          <w:rFonts w:hint="eastAsia" w:ascii="宋体" w:hAnsi="宋体" w:eastAsia="宋体" w:cs="宋体"/>
          <w:bCs/>
          <w:color w:val="auto"/>
          <w:spacing w:val="20"/>
          <w:sz w:val="24"/>
          <w:highlight w:val="none"/>
          <w:lang w:eastAsia="zh-CN"/>
        </w:rPr>
        <w:t>其他未说明的有关管理办法严格按浦政规〔</w:t>
      </w:r>
      <w:r>
        <w:rPr>
          <w:rFonts w:hint="eastAsia" w:ascii="宋体" w:hAnsi="宋体" w:eastAsia="宋体" w:cs="宋体"/>
          <w:bCs/>
          <w:color w:val="auto"/>
          <w:spacing w:val="20"/>
          <w:sz w:val="24"/>
          <w:highlight w:val="none"/>
          <w:lang w:val="en-US" w:eastAsia="zh-CN"/>
        </w:rPr>
        <w:t>2020</w:t>
      </w:r>
      <w:r>
        <w:rPr>
          <w:rFonts w:hint="eastAsia" w:ascii="宋体" w:hAnsi="宋体" w:eastAsia="宋体" w:cs="宋体"/>
          <w:bCs/>
          <w:color w:val="auto"/>
          <w:spacing w:val="20"/>
          <w:sz w:val="24"/>
          <w:highlight w:val="none"/>
          <w:lang w:eastAsia="zh-CN"/>
        </w:rPr>
        <w:t>〕</w:t>
      </w:r>
      <w:r>
        <w:rPr>
          <w:rFonts w:hint="eastAsia" w:ascii="宋体" w:hAnsi="宋体" w:eastAsia="宋体" w:cs="宋体"/>
          <w:bCs/>
          <w:color w:val="auto"/>
          <w:spacing w:val="20"/>
          <w:sz w:val="24"/>
          <w:highlight w:val="none"/>
          <w:lang w:val="en-US" w:eastAsia="zh-CN"/>
        </w:rPr>
        <w:t xml:space="preserve">1号及相关规范执行。比如 </w:t>
      </w:r>
    </w:p>
    <w:p w14:paraId="688230D6">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3B5F609D">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5B9EE228">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0C2DF4F4">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hint="default"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18C387FF">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八、词语含义</w:t>
      </w:r>
      <w:bookmarkEnd w:id="93"/>
    </w:p>
    <w:p w14:paraId="1845B896">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本协议书中词语含义与第二部分通用合同条款中赋予的含义相同。</w:t>
      </w:r>
    </w:p>
    <w:p w14:paraId="71C84DFC">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4" w:name="_Toc351203489"/>
      <w:r>
        <w:rPr>
          <w:rFonts w:hint="eastAsia" w:ascii="宋体" w:hAnsi="宋体" w:eastAsia="宋体" w:cs="宋体"/>
          <w:b/>
          <w:bCs/>
          <w:color w:val="auto"/>
          <w:spacing w:val="20"/>
          <w:sz w:val="24"/>
          <w:highlight w:val="none"/>
        </w:rPr>
        <w:t>九、签订时间</w:t>
      </w:r>
      <w:bookmarkEnd w:id="94"/>
    </w:p>
    <w:p w14:paraId="6704C6FC">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本合同于</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年</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月</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日签订。</w:t>
      </w:r>
    </w:p>
    <w:p w14:paraId="419B4DFE">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5" w:name="_Toc351203490"/>
      <w:r>
        <w:rPr>
          <w:rFonts w:hint="eastAsia" w:ascii="宋体" w:hAnsi="宋体" w:eastAsia="宋体" w:cs="宋体"/>
          <w:b/>
          <w:bCs/>
          <w:color w:val="auto"/>
          <w:spacing w:val="20"/>
          <w:sz w:val="24"/>
          <w:highlight w:val="none"/>
        </w:rPr>
        <w:t>十、签订地点</w:t>
      </w:r>
      <w:bookmarkEnd w:id="95"/>
    </w:p>
    <w:p w14:paraId="70DDF132">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本合同在</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签订。</w:t>
      </w:r>
    </w:p>
    <w:p w14:paraId="781AF1CA">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6" w:name="_Toc351203491"/>
      <w:r>
        <w:rPr>
          <w:rFonts w:hint="eastAsia" w:ascii="宋体" w:hAnsi="宋体" w:eastAsia="宋体" w:cs="宋体"/>
          <w:b/>
          <w:bCs/>
          <w:color w:val="auto"/>
          <w:spacing w:val="20"/>
          <w:sz w:val="24"/>
          <w:highlight w:val="none"/>
        </w:rPr>
        <w:t>十一、补充协议</w:t>
      </w:r>
      <w:bookmarkEnd w:id="96"/>
    </w:p>
    <w:p w14:paraId="3A981168">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合同未尽事宜，合同当事人另行签订补充协议，补充协议是合同的组成部分。</w:t>
      </w:r>
    </w:p>
    <w:p w14:paraId="78AE6F5A">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7" w:name="_Toc351203492"/>
      <w:r>
        <w:rPr>
          <w:rFonts w:hint="eastAsia" w:ascii="宋体" w:hAnsi="宋体" w:eastAsia="宋体" w:cs="宋体"/>
          <w:b/>
          <w:bCs/>
          <w:color w:val="auto"/>
          <w:spacing w:val="20"/>
          <w:sz w:val="24"/>
          <w:highlight w:val="none"/>
        </w:rPr>
        <w:t>十二、合同生效</w:t>
      </w:r>
      <w:bookmarkEnd w:id="97"/>
    </w:p>
    <w:p w14:paraId="69A26B1A">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本合同自</w:t>
      </w:r>
      <w:r>
        <w:rPr>
          <w:rFonts w:hint="eastAsia" w:ascii="宋体" w:hAnsi="宋体" w:eastAsia="宋体" w:cs="宋体"/>
          <w:bCs/>
          <w:color w:val="auto"/>
          <w:spacing w:val="20"/>
          <w:sz w:val="24"/>
          <w:highlight w:val="none"/>
          <w:u w:val="single"/>
        </w:rPr>
        <w:t xml:space="preserve"> 双方法定代表人或其授权代理人签字并加盖单位公章之日起 </w:t>
      </w:r>
      <w:r>
        <w:rPr>
          <w:rFonts w:hint="eastAsia" w:ascii="宋体" w:hAnsi="宋体" w:eastAsia="宋体" w:cs="宋体"/>
          <w:bCs/>
          <w:color w:val="auto"/>
          <w:spacing w:val="20"/>
          <w:sz w:val="24"/>
          <w:highlight w:val="none"/>
        </w:rPr>
        <w:t>生效。</w:t>
      </w:r>
    </w:p>
    <w:p w14:paraId="77C7486A">
      <w:pPr>
        <w:keepNext w:val="0"/>
        <w:keepLines w:val="0"/>
        <w:pageBreakBefore w:val="0"/>
        <w:widowControl w:val="0"/>
        <w:shd w:val="clear"/>
        <w:kinsoku/>
        <w:wordWrap/>
        <w:overflowPunct/>
        <w:topLinePunct w:val="0"/>
        <w:bidi w:val="0"/>
        <w:adjustRightInd w:val="0"/>
        <w:snapToGrid w:val="0"/>
        <w:spacing w:line="380" w:lineRule="exact"/>
        <w:ind w:firstLine="562" w:firstLineChars="200"/>
        <w:textAlignment w:val="auto"/>
        <w:outlineLvl w:val="0"/>
        <w:rPr>
          <w:rFonts w:ascii="宋体" w:hAnsi="宋体" w:eastAsia="宋体" w:cs="宋体"/>
          <w:b/>
          <w:bCs/>
          <w:color w:val="auto"/>
          <w:spacing w:val="20"/>
          <w:sz w:val="24"/>
          <w:highlight w:val="none"/>
        </w:rPr>
      </w:pPr>
      <w:bookmarkStart w:id="98" w:name="_Toc351203493"/>
      <w:r>
        <w:rPr>
          <w:rFonts w:hint="eastAsia" w:ascii="宋体" w:hAnsi="宋体" w:eastAsia="宋体" w:cs="宋体"/>
          <w:b/>
          <w:bCs/>
          <w:color w:val="auto"/>
          <w:spacing w:val="20"/>
          <w:sz w:val="24"/>
          <w:highlight w:val="none"/>
        </w:rPr>
        <w:t>十三、合同份数</w:t>
      </w:r>
      <w:bookmarkEnd w:id="98"/>
    </w:p>
    <w:p w14:paraId="622B6C87">
      <w:pPr>
        <w:keepNext w:val="0"/>
        <w:keepLines w:val="0"/>
        <w:pageBreakBefore w:val="0"/>
        <w:widowControl w:val="0"/>
        <w:shd w:val="clear"/>
        <w:kinsoku/>
        <w:wordWrap/>
        <w:overflowPunct/>
        <w:topLinePunct w:val="0"/>
        <w:bidi w:val="0"/>
        <w:adjustRightInd w:val="0"/>
        <w:snapToGrid w:val="0"/>
        <w:spacing w:line="380" w:lineRule="exact"/>
        <w:ind w:firstLine="560" w:firstLineChars="200"/>
        <w:textAlignment w:val="auto"/>
        <w:rPr>
          <w:rFonts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本合同一式</w:t>
      </w:r>
      <w:r>
        <w:rPr>
          <w:rFonts w:hint="eastAsia" w:ascii="宋体" w:hAnsi="宋体" w:eastAsia="宋体" w:cs="宋体"/>
          <w:bCs/>
          <w:color w:val="auto"/>
          <w:spacing w:val="20"/>
          <w:sz w:val="24"/>
          <w:highlight w:val="none"/>
          <w:u w:val="single"/>
        </w:rPr>
        <w:t xml:space="preserve"> 捌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肆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肆 </w:t>
      </w:r>
      <w:r>
        <w:rPr>
          <w:rFonts w:hint="eastAsia" w:ascii="宋体" w:hAnsi="宋体" w:eastAsia="宋体" w:cs="宋体"/>
          <w:bCs/>
          <w:color w:val="auto"/>
          <w:spacing w:val="20"/>
          <w:sz w:val="24"/>
          <w:highlight w:val="none"/>
        </w:rPr>
        <w:t>份。</w:t>
      </w:r>
    </w:p>
    <w:p w14:paraId="0F4CDA80">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auto"/>
          <w:spacing w:val="20"/>
          <w:sz w:val="24"/>
          <w:highlight w:val="none"/>
        </w:rPr>
      </w:pPr>
      <w:bookmarkStart w:id="99" w:name="_Toc16007"/>
      <w:bookmarkStart w:id="100" w:name="_Toc21285"/>
      <w:bookmarkStart w:id="101" w:name="_Toc439779029"/>
      <w:bookmarkStart w:id="102" w:name="_Toc389065256"/>
      <w:bookmarkStart w:id="103" w:name="_Toc461982824"/>
      <w:bookmarkStart w:id="104" w:name="_Toc425437329"/>
      <w:bookmarkStart w:id="105" w:name="_Toc373478338"/>
      <w:bookmarkStart w:id="106" w:name="_Toc373227691"/>
      <w:bookmarkStart w:id="107" w:name="_Toc351203632"/>
      <w:r>
        <w:rPr>
          <w:rFonts w:hint="eastAsia" w:ascii="宋体" w:hAnsi="宋体" w:cs="宋体"/>
          <w:color w:val="auto"/>
          <w:spacing w:val="20"/>
          <w:sz w:val="24"/>
          <w:highlight w:val="none"/>
        </w:rPr>
        <w:t>发包人：  （公章）              承包人：  （公章）</w:t>
      </w:r>
    </w:p>
    <w:p w14:paraId="64A35C2F">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2AD1349C">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5325048A">
      <w:pPr>
        <w:keepNext w:val="0"/>
        <w:keepLines w:val="0"/>
        <w:pageBreakBefore w:val="0"/>
        <w:widowControl w:val="0"/>
        <w:shd w:val="clear"/>
        <w:kinsoku/>
        <w:wordWrap/>
        <w:overflowPunct/>
        <w:topLinePunct w:val="0"/>
        <w:bidi w:val="0"/>
        <w:adjustRightInd w:val="0"/>
        <w:snapToGrid w:val="0"/>
        <w:spacing w:line="380" w:lineRule="exact"/>
        <w:textAlignment w:val="auto"/>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lang w:val="en-US" w:eastAsia="zh-CN"/>
        </w:rPr>
        <w:t xml:space="preserve">                         </w:t>
      </w:r>
    </w:p>
    <w:p w14:paraId="409FED96">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p>
    <w:p w14:paraId="7B34777E">
      <w:pPr>
        <w:keepNext w:val="0"/>
        <w:keepLines w:val="0"/>
        <w:pageBreakBefore w:val="0"/>
        <w:widowControl w:val="0"/>
        <w:shd w:val="clear"/>
        <w:kinsoku/>
        <w:wordWrap/>
        <w:overflowPunct/>
        <w:topLinePunct w:val="0"/>
        <w:bidi w:val="0"/>
        <w:adjustRightInd w:val="0"/>
        <w:snapToGrid w:val="0"/>
        <w:spacing w:line="380" w:lineRule="exact"/>
        <w:textAlignment w:val="auto"/>
        <w:rPr>
          <w:rFonts w:hint="default" w:ascii="宋体" w:hAnsi="宋体" w:eastAsia="宋体" w:cs="宋体"/>
          <w:color w:val="auto"/>
          <w:spacing w:val="20"/>
          <w:sz w:val="24"/>
          <w:highlight w:val="none"/>
          <w:lang w:val="en-US" w:eastAsia="zh-CN"/>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lang w:val="en-US" w:eastAsia="zh-CN"/>
        </w:rPr>
        <w:t xml:space="preserve">                </w:t>
      </w:r>
    </w:p>
    <w:p w14:paraId="656F5B12">
      <w:pPr>
        <w:keepNext w:val="0"/>
        <w:keepLines w:val="0"/>
        <w:pageBreakBefore w:val="0"/>
        <w:widowControl w:val="0"/>
        <w:shd w:val="clear"/>
        <w:kinsoku/>
        <w:wordWrap/>
        <w:overflowPunct/>
        <w:topLinePunct w:val="0"/>
        <w:bidi w:val="0"/>
        <w:adjustRightInd w:val="0"/>
        <w:snapToGrid w:val="0"/>
        <w:spacing w:line="380" w:lineRule="exact"/>
        <w:textAlignment w:val="auto"/>
        <w:rPr>
          <w:rFonts w:hint="default" w:ascii="宋体" w:hAnsi="宋体" w:cs="宋体"/>
          <w:color w:val="auto"/>
          <w:spacing w:val="20"/>
          <w:sz w:val="24"/>
          <w:highlight w:val="none"/>
          <w:lang w:val="en-US"/>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lang w:val="en-US" w:eastAsia="zh-CN"/>
        </w:rPr>
        <w:t xml:space="preserve">                   </w:t>
      </w:r>
    </w:p>
    <w:p w14:paraId="76374BEB">
      <w:pPr>
        <w:keepNext w:val="0"/>
        <w:keepLines w:val="0"/>
        <w:pageBreakBefore w:val="0"/>
        <w:widowControl w:val="0"/>
        <w:shd w:val="clear"/>
        <w:kinsoku/>
        <w:wordWrap/>
        <w:overflowPunct/>
        <w:topLinePunct w:val="0"/>
        <w:bidi w:val="0"/>
        <w:adjustRightInd w:val="0"/>
        <w:snapToGrid w:val="0"/>
        <w:spacing w:line="380" w:lineRule="exact"/>
        <w:textAlignment w:val="auto"/>
        <w:rPr>
          <w:rFonts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lang w:eastAsia="zh-CN"/>
        </w:rPr>
        <w:t xml:space="preserve"> </w:t>
      </w:r>
      <w:r>
        <w:rPr>
          <w:rFonts w:hint="eastAsia" w:asciiTheme="minorEastAsia" w:hAnsiTheme="minorEastAsia"/>
          <w:color w:val="auto"/>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p>
    <w:p w14:paraId="497AFB1E">
      <w:pPr>
        <w:keepNext w:val="0"/>
        <w:keepLines w:val="0"/>
        <w:pageBreakBefore w:val="0"/>
        <w:widowControl w:val="0"/>
        <w:kinsoku/>
        <w:wordWrap/>
        <w:overflowPunct/>
        <w:topLinePunct w:val="0"/>
        <w:bidi w:val="0"/>
        <w:spacing w:line="380" w:lineRule="exact"/>
        <w:textAlignment w:val="auto"/>
        <w:rPr>
          <w:rFonts w:hint="eastAsia"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br w:type="page"/>
      </w:r>
    </w:p>
    <w:p w14:paraId="57E812F6">
      <w:pPr>
        <w:pStyle w:val="2"/>
        <w:keepNext w:val="0"/>
        <w:keepLines w:val="0"/>
        <w:shd w:val="clear"/>
        <w:spacing w:line="312" w:lineRule="auto"/>
        <w:jc w:val="center"/>
        <w:rPr>
          <w:rFonts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t>第二部分 通用合同条款</w:t>
      </w:r>
      <w:bookmarkEnd w:id="99"/>
      <w:bookmarkEnd w:id="100"/>
      <w:bookmarkEnd w:id="101"/>
      <w:bookmarkEnd w:id="102"/>
      <w:bookmarkEnd w:id="103"/>
      <w:bookmarkEnd w:id="104"/>
    </w:p>
    <w:p w14:paraId="11C8F7FE">
      <w:pPr>
        <w:pStyle w:val="5"/>
        <w:shd w:val="clear"/>
        <w:spacing w:before="120" w:after="120" w:line="312" w:lineRule="auto"/>
        <w:rPr>
          <w:rFonts w:ascii="宋体" w:hAnsi="宋体" w:eastAsia="宋体" w:cs="宋体"/>
          <w:b w:val="0"/>
          <w:color w:val="auto"/>
          <w:sz w:val="24"/>
          <w:szCs w:val="24"/>
          <w:highlight w:val="none"/>
        </w:rPr>
      </w:pPr>
      <w:bookmarkStart w:id="108" w:name="_Toc351203495"/>
      <w:bookmarkStart w:id="109" w:name="_Toc425437330"/>
      <w:bookmarkStart w:id="110" w:name="_Toc461982825"/>
      <w:bookmarkStart w:id="111" w:name="_Toc25546"/>
      <w:bookmarkStart w:id="112" w:name="_Toc1320"/>
      <w:bookmarkStart w:id="113" w:name="_Toc439779030"/>
      <w:bookmarkStart w:id="114" w:name="_Toc389065257"/>
      <w:r>
        <w:rPr>
          <w:rFonts w:hint="eastAsia" w:ascii="宋体" w:hAnsi="宋体" w:eastAsia="宋体" w:cs="宋体"/>
          <w:b w:val="0"/>
          <w:color w:val="auto"/>
          <w:sz w:val="24"/>
          <w:szCs w:val="24"/>
          <w:highlight w:val="none"/>
        </w:rPr>
        <w:t>1.</w:t>
      </w:r>
      <w:bookmarkStart w:id="115" w:name="_Toc303538973"/>
      <w:bookmarkEnd w:id="115"/>
      <w:bookmarkStart w:id="116" w:name="_Toc303538975"/>
      <w:bookmarkEnd w:id="116"/>
      <w:bookmarkStart w:id="117" w:name="_Toc303538972"/>
      <w:bookmarkEnd w:id="117"/>
      <w:bookmarkStart w:id="118" w:name="_Toc303538974"/>
      <w:bookmarkEnd w:id="118"/>
      <w:bookmarkStart w:id="119" w:name="_Toc303538976"/>
      <w:bookmarkEnd w:id="119"/>
      <w:bookmarkStart w:id="120" w:name="_Toc296503027"/>
      <w:bookmarkStart w:id="121" w:name="_Toc296346528"/>
      <w:r>
        <w:rPr>
          <w:rFonts w:hint="eastAsia" w:ascii="宋体" w:hAnsi="宋体" w:eastAsia="宋体" w:cs="宋体"/>
          <w:b w:val="0"/>
          <w:color w:val="auto"/>
          <w:sz w:val="24"/>
          <w:szCs w:val="24"/>
          <w:highlight w:val="none"/>
        </w:rPr>
        <w:t xml:space="preserve"> 一般约定</w:t>
      </w:r>
      <w:bookmarkEnd w:id="108"/>
      <w:bookmarkEnd w:id="120"/>
      <w:bookmarkEnd w:id="121"/>
    </w:p>
    <w:p w14:paraId="5C8D2EA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22" w:name="_Toc296346529"/>
      <w:bookmarkStart w:id="123" w:name="_Toc296503028"/>
      <w:bookmarkStart w:id="124" w:name="_Toc337558728"/>
      <w:bookmarkStart w:id="125" w:name="_Toc351203496"/>
      <w:r>
        <w:rPr>
          <w:rFonts w:hint="eastAsia" w:ascii="宋体" w:hAnsi="宋体" w:eastAsia="宋体" w:cs="宋体"/>
          <w:b w:val="0"/>
          <w:color w:val="auto"/>
          <w:sz w:val="24"/>
          <w:szCs w:val="24"/>
          <w:highlight w:val="none"/>
        </w:rPr>
        <w:t>1.1词语定义</w:t>
      </w:r>
      <w:bookmarkEnd w:id="122"/>
      <w:bookmarkEnd w:id="123"/>
      <w:bookmarkEnd w:id="124"/>
      <w:r>
        <w:rPr>
          <w:rFonts w:hint="eastAsia" w:ascii="宋体" w:hAnsi="宋体" w:eastAsia="宋体" w:cs="宋体"/>
          <w:b w:val="0"/>
          <w:color w:val="auto"/>
          <w:sz w:val="24"/>
          <w:szCs w:val="24"/>
          <w:highlight w:val="none"/>
        </w:rPr>
        <w:t>与解释</w:t>
      </w:r>
      <w:bookmarkEnd w:id="125"/>
    </w:p>
    <w:p w14:paraId="32F6B8E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合同协议书、通用合同条款、专用合同条款中的下列词语具有本款所赋予的含义：</w:t>
      </w:r>
    </w:p>
    <w:p w14:paraId="709F39E7">
      <w:pPr>
        <w:shd w:val="clea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1.1.1 合同</w:t>
      </w:r>
    </w:p>
    <w:p w14:paraId="3FA32D5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、通用合同条款、技术标准和要求、图纸、已标价工程量清单或预算书以及其他合同文件。</w:t>
      </w:r>
    </w:p>
    <w:p w14:paraId="09A8050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合同协议书：是指构成合同的由发包人和承包人共同签署的称为“合同协议书”的书面文件。</w:t>
      </w:r>
    </w:p>
    <w:p w14:paraId="635B894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中标通知书：是指构成合同的由发包人通知承包人中标的书面文件。</w:t>
      </w:r>
    </w:p>
    <w:p w14:paraId="0120867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1.1.1.4 投标函：是指构成合同的由承包人填写并签署的用于投标的称为“投标函”的文件。</w:t>
      </w:r>
    </w:p>
    <w:p w14:paraId="293C5E1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1.1.1.5 投标函附录：是指构成合同的附在投标函后的称为“投标函附录”的文件。</w:t>
      </w:r>
    </w:p>
    <w:p w14:paraId="55CA92F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1.1.1.6 技术标准和要求：是指构成合同的施工应当遵守的或指导施工的国家、行业或地方的技术标准和要求，以及合同约定的技术标准和要求。</w:t>
      </w:r>
    </w:p>
    <w:p w14:paraId="1C5C41C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D872C7D">
      <w:pPr>
        <w:shd w:val="clea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1.1.1.8 已标价工程量清单：是指构成合同的由承包人按照规定的格式和要求填写并标明价格的工程量清单，包括说明和表格。</w:t>
      </w:r>
    </w:p>
    <w:p w14:paraId="5B5D33A0">
      <w:pPr>
        <w:shd w:val="clea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1.1.1.9 预算书：是指构成合同的由承包人按照发包人规定的格式和要求编制的工程预算文件。</w:t>
      </w:r>
    </w:p>
    <w:p w14:paraId="263DBFD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6C01ECD">
      <w:pPr>
        <w:shd w:val="clea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1.1.2 合同当事人及其他相关方</w:t>
      </w:r>
    </w:p>
    <w:p w14:paraId="62ED420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1.1.2.1 合同当事人：是指发包人和（或）承包人。</w:t>
      </w:r>
    </w:p>
    <w:p w14:paraId="1D2F245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1.1.2.2 发包人：是指与承包人签订合同协议书的当事人及取得该当事人资格的合法继承人。</w:t>
      </w:r>
    </w:p>
    <w:p w14:paraId="5BF64F1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1.1.2.3 承包人：是指与发包人签订合同协议书的，具有相应工程施工承包资质的当事人及取得该当事人资格的合法继承人。</w:t>
      </w:r>
    </w:p>
    <w:p w14:paraId="3CE75D1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1.1.2.4 监理人：是指在专用合同条款中指明的，受发包人委托按照法律规定进行工程监督管理的法人或其他组织。</w:t>
      </w:r>
    </w:p>
    <w:p w14:paraId="038905B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1.1.2.5 设计人：是指在专用合同条款中指明的，受发包人委托负责工程设计并具备相应工程设计资质的法人或其他组织。</w:t>
      </w:r>
    </w:p>
    <w:p w14:paraId="7BBB1305">
      <w:pPr>
        <w:shd w:val="clea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1.1.2.6 分包人：</w:t>
      </w:r>
      <w:bookmarkStart w:id="126" w:name="#go5"/>
      <w:bookmarkEnd w:id="126"/>
      <w:r>
        <w:rPr>
          <w:rFonts w:hint="eastAsia" w:ascii="宋体" w:hAnsi="宋体" w:eastAsia="宋体" w:cs="宋体"/>
          <w:color w:val="auto"/>
          <w:kern w:val="0"/>
          <w:sz w:val="24"/>
          <w:highlight w:val="none"/>
        </w:rPr>
        <w:t>是指按照法律规定和合同约定，分包部分工程或工作，并与承包人签订分包合同的具有相应资质的法人。</w:t>
      </w:r>
    </w:p>
    <w:p w14:paraId="2E569E8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1.1.2.7 发包人代表：是指由发包人任命并派驻施工现场在发包人授权范围内行使发包人权利的人。</w:t>
      </w:r>
    </w:p>
    <w:p w14:paraId="5DEB2D1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1.1.2.8 项目经理：是指由承包人任命并派驻施工现场，在承包人授权范围内负责合同履行，且按照法律规定具有相应资格的项目负责人。</w:t>
      </w:r>
    </w:p>
    <w:p w14:paraId="6D63789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1.1.2.9 总监理工程师：是指由监理人任命并派驻施工现场进行工程监理的总负责人。</w:t>
      </w:r>
    </w:p>
    <w:p w14:paraId="0E8D706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 工程和设备</w:t>
      </w:r>
    </w:p>
    <w:p w14:paraId="4332460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 工程：是指与合同协议书中工程承包范围对应的永久工程和（或）临时工程。</w:t>
      </w:r>
    </w:p>
    <w:p w14:paraId="2A1DA5D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1.1.3.2 永久工程：是指按合同约定建造并移交给发包人的工程，包括工程设备。</w:t>
      </w:r>
    </w:p>
    <w:p w14:paraId="657F4EA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1.1.3.3 临时工程：是指为完成合同约定的永久工程所修建的各类临时性工程，不包括施工设备。</w:t>
      </w:r>
    </w:p>
    <w:p w14:paraId="44F845B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1.1.3.4 单位工程：是指在合同协议书中指明的，具备独立施工条件并能形成独立使用功能的永久工程。</w:t>
      </w:r>
    </w:p>
    <w:p w14:paraId="5C7B9B7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1.1.3.5 工程设备：是指构成永久工程的机电设备、金属结构设备、仪器及其他类似的设备和装置。</w:t>
      </w:r>
    </w:p>
    <w:p w14:paraId="6B4C1AB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1.1.3.6 施工设备：是指为完成合同约定的各项工作所需的设备、器具和其他物品，但不包括工程设备、临时工程和材料。</w:t>
      </w:r>
    </w:p>
    <w:p w14:paraId="05706F7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1.1.3.7 施工现场：是指用于工程施工的场所，以及在专用合同条款中指明作为施工场所组成部分的其他场所，包括永久占地和临时占地。</w:t>
      </w:r>
    </w:p>
    <w:p w14:paraId="149D54D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1.1.3.8临时设施：是指为完成合同约定的各项工作所服务的临时性生产和生活设施。</w:t>
      </w:r>
    </w:p>
    <w:p w14:paraId="53BB4EC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永久占地：是指专用合同条款中指明为实施工程需永久占用的土地。</w:t>
      </w:r>
    </w:p>
    <w:p w14:paraId="0636BBC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1.1.3.10 临时占地：是指专用合同条款中指明为实施工程需要临时占用的土地。</w:t>
      </w:r>
    </w:p>
    <w:p w14:paraId="0AFAF46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 日期和期限</w:t>
      </w:r>
    </w:p>
    <w:p w14:paraId="76E5CD8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E063B3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4F2FBEB4">
      <w:pPr>
        <w:shd w:val="clear"/>
        <w:spacing w:line="312" w:lineRule="auto"/>
        <w:ind w:firstLine="487" w:firstLineChars="203"/>
        <w:rPr>
          <w:rFonts w:ascii="宋体" w:hAnsi="宋体" w:eastAsia="宋体" w:cs="宋体"/>
          <w:color w:val="auto"/>
          <w:sz w:val="24"/>
          <w:highlight w:val="none"/>
        </w:rPr>
      </w:pPr>
      <w:r>
        <w:rPr>
          <w:rFonts w:hint="eastAsia" w:ascii="宋体" w:hAnsi="宋体" w:eastAsia="宋体" w:cs="宋体"/>
          <w:color w:val="auto"/>
          <w:kern w:val="0"/>
          <w:sz w:val="24"/>
          <w:highlight w:val="none"/>
        </w:rPr>
        <w:t>1.1.4.3 工期：是指在合同协议书约定的承包人完成工程所需的期限，包括按照合同约定所作的期限变更。</w:t>
      </w:r>
    </w:p>
    <w:p w14:paraId="328218B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1.1.4.4 缺陷责任期：是指承包人按照合同约定承担缺陷修复义务，且发包人预留质量保证金的期限，自工程实际竣工日期起计算。</w:t>
      </w:r>
    </w:p>
    <w:p w14:paraId="296777C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1.1.4.5 保修期：是指承包人按照合同约定对工程承担保修责任的期限，从工程竣工验收合格之日起计算。</w:t>
      </w:r>
    </w:p>
    <w:p w14:paraId="03D129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1.1.4.6 基准日期：招标发包的工程以投标截止日前28天的日期为基准日期，直接发包的工程以合同签订日前28天的日期为基准日期。</w:t>
      </w:r>
    </w:p>
    <w:p w14:paraId="1252915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1.1.4.7 天：除特别指明外，均指日历天。合同中按天计算时间的，开始当天不计入，从次日开始计算，期限最后一天的截止时间为当天24</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00时。</w:t>
      </w:r>
    </w:p>
    <w:p w14:paraId="206E482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 合同价格和费用</w:t>
      </w:r>
    </w:p>
    <w:p w14:paraId="6B90B5A6">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1.1.5.1 签约合同价：是指</w:t>
      </w:r>
      <w:r>
        <w:rPr>
          <w:rFonts w:hint="eastAsia" w:ascii="宋体" w:hAnsi="宋体" w:eastAsia="宋体" w:cs="宋体"/>
          <w:color w:val="auto"/>
          <w:sz w:val="24"/>
          <w:highlight w:val="none"/>
        </w:rPr>
        <w:t>发包人和承包人在合同协议书中确定的总金额，包括安全文明施工费、暂估价及暂列金额等。</w:t>
      </w:r>
    </w:p>
    <w:p w14:paraId="070889C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098C658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1.1.5.3 费用：是指为履行合同所发生的或将要发生的所有必需的开支，包括管理费和应分摊的其他费用，但不包括利润。</w:t>
      </w:r>
    </w:p>
    <w:p w14:paraId="69F8F3E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400FBB3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A615A2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37B049D5">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1.1.5.7 质量保证金</w:t>
      </w:r>
      <w:bookmarkStart w:id="127" w:name="#go2"/>
      <w:bookmarkEnd w:id="127"/>
      <w:r>
        <w:rPr>
          <w:rFonts w:hint="eastAsia" w:ascii="宋体" w:hAnsi="宋体" w:eastAsia="宋体" w:cs="宋体"/>
          <w:color w:val="auto"/>
          <w:kern w:val="0"/>
          <w:sz w:val="24"/>
          <w:highlight w:val="none"/>
        </w:rPr>
        <w:t>：是指按照第15.3款〔质量保证金〕约定承包人用于保证其在缺陷责任期内履行缺陷修补义务的担保</w:t>
      </w:r>
      <w:r>
        <w:rPr>
          <w:rFonts w:hint="eastAsia" w:ascii="宋体" w:hAnsi="宋体" w:eastAsia="宋体" w:cs="宋体"/>
          <w:color w:val="auto"/>
          <w:sz w:val="24"/>
          <w:highlight w:val="none"/>
        </w:rPr>
        <w:t>。</w:t>
      </w:r>
    </w:p>
    <w:p w14:paraId="603E8A0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7290ECA5">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 其他</w:t>
      </w:r>
    </w:p>
    <w:p w14:paraId="19A714ED">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1.1.6.1 书面形式：是指合同文件、信函、电报、传真等可以有形地表现所载内容的形式。</w:t>
      </w:r>
    </w:p>
    <w:p w14:paraId="30932BF9">
      <w:pPr>
        <w:pStyle w:val="6"/>
        <w:shd w:val="clear"/>
        <w:spacing w:before="120" w:after="120" w:line="312"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28" w:name="_Toc296503029"/>
      <w:bookmarkStart w:id="129" w:name="_Toc337558729"/>
      <w:bookmarkStart w:id="130" w:name="_Toc296346530"/>
      <w:bookmarkStart w:id="131" w:name="_Toc351203497"/>
      <w:r>
        <w:rPr>
          <w:rFonts w:hint="eastAsia" w:ascii="宋体" w:hAnsi="宋体" w:eastAsia="宋体" w:cs="宋体"/>
          <w:b w:val="0"/>
          <w:color w:val="auto"/>
          <w:sz w:val="24"/>
          <w:szCs w:val="24"/>
          <w:highlight w:val="none"/>
        </w:rPr>
        <w:t>1.2语言文字</w:t>
      </w:r>
      <w:bookmarkEnd w:id="128"/>
      <w:bookmarkEnd w:id="129"/>
      <w:bookmarkEnd w:id="130"/>
      <w:bookmarkEnd w:id="131"/>
    </w:p>
    <w:p w14:paraId="4E36E98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合同以中国的汉语简体文字编写、解释和说明。合同当事人在专用合同条款中约定使用两种以上语言时，汉语为优先解释和说明合同的语言。</w:t>
      </w:r>
    </w:p>
    <w:p w14:paraId="2D05328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32" w:name="_Toc351203498"/>
      <w:bookmarkStart w:id="133" w:name="_Toc337558730"/>
      <w:bookmarkStart w:id="134" w:name="_Toc296503030"/>
      <w:bookmarkStart w:id="135" w:name="_Toc296346531"/>
      <w:r>
        <w:rPr>
          <w:rFonts w:hint="eastAsia" w:ascii="宋体" w:hAnsi="宋体" w:eastAsia="宋体" w:cs="宋体"/>
          <w:b w:val="0"/>
          <w:color w:val="auto"/>
          <w:sz w:val="24"/>
          <w:szCs w:val="24"/>
          <w:highlight w:val="none"/>
        </w:rPr>
        <w:t>1.3法律</w:t>
      </w:r>
      <w:bookmarkEnd w:id="132"/>
      <w:bookmarkEnd w:id="133"/>
      <w:bookmarkEnd w:id="134"/>
      <w:bookmarkEnd w:id="135"/>
    </w:p>
    <w:p w14:paraId="1C93458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合同所称法律是指中华人民共和国法律、行政法规、部门规章，以及工程所在地的地方性法规、自治条例、单行条例和地方政府规章等。</w:t>
      </w:r>
    </w:p>
    <w:p w14:paraId="6E412DB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合同当事人可以在专用合同条款中约定合同适用的其他规范性文件。</w:t>
      </w:r>
    </w:p>
    <w:p w14:paraId="723814D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36" w:name="_Toc351203499"/>
      <w:r>
        <w:rPr>
          <w:rFonts w:hint="eastAsia" w:ascii="宋体" w:hAnsi="宋体" w:eastAsia="宋体" w:cs="宋体"/>
          <w:b w:val="0"/>
          <w:color w:val="auto"/>
          <w:sz w:val="24"/>
          <w:szCs w:val="24"/>
          <w:highlight w:val="none"/>
        </w:rPr>
        <w:t>1.4 标准和规范</w:t>
      </w:r>
      <w:bookmarkEnd w:id="136"/>
    </w:p>
    <w:p w14:paraId="2096D1BB">
      <w:pPr>
        <w:shd w:val="clea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1.4.1 适用于工程的国家标准、行业标准、工程所在地的地方性标准，以及相应的规范、规程等，合同当事人有特别要求的，应在专用合同条款中约定。</w:t>
      </w:r>
    </w:p>
    <w:p w14:paraId="4E99A06B">
      <w:pPr>
        <w:shd w:val="clea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发包人要求使用国外标准、规范的，发包人负责提供原文版本和中文译本，并在专用合同条款中约定提供标准规范的名称、份数和时间。</w:t>
      </w:r>
    </w:p>
    <w:p w14:paraId="2C9ECEA6">
      <w:pPr>
        <w:shd w:val="clea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57A26C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37" w:name="_Toc351203500"/>
      <w:r>
        <w:rPr>
          <w:rFonts w:hint="eastAsia" w:ascii="宋体" w:hAnsi="宋体" w:eastAsia="宋体" w:cs="宋体"/>
          <w:b w:val="0"/>
          <w:color w:val="auto"/>
          <w:sz w:val="24"/>
          <w:szCs w:val="24"/>
          <w:highlight w:val="none"/>
        </w:rPr>
        <w:t>1</w:t>
      </w:r>
      <w:bookmarkStart w:id="138" w:name="_Toc296346532"/>
      <w:bookmarkStart w:id="139" w:name="_Toc296503031"/>
      <w:bookmarkStart w:id="140" w:name="_Toc337558731"/>
      <w:r>
        <w:rPr>
          <w:rFonts w:hint="eastAsia" w:ascii="宋体" w:hAnsi="宋体" w:eastAsia="宋体" w:cs="宋体"/>
          <w:b w:val="0"/>
          <w:color w:val="auto"/>
          <w:sz w:val="24"/>
          <w:szCs w:val="24"/>
          <w:highlight w:val="none"/>
        </w:rPr>
        <w:t>.5 合同文件的优先顺序</w:t>
      </w:r>
      <w:bookmarkEnd w:id="137"/>
    </w:p>
    <w:bookmarkEnd w:id="138"/>
    <w:bookmarkEnd w:id="139"/>
    <w:bookmarkEnd w:id="140"/>
    <w:p w14:paraId="38EAC49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组成合同的各项文件应互相解释，互为说明。除专用合同条款另有约定外，解释合同文件的优先顺序如下：</w:t>
      </w:r>
    </w:p>
    <w:p w14:paraId="6378F8B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1CC25FA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（2）中标通知书（如果有）；</w:t>
      </w:r>
    </w:p>
    <w:p w14:paraId="1CFC2E3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（3）投标函及其附录（如果有）；</w:t>
      </w:r>
    </w:p>
    <w:p w14:paraId="4263C9F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w:t>
      </w:r>
    </w:p>
    <w:p w14:paraId="03B4240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（5）通用合同条款；</w:t>
      </w:r>
    </w:p>
    <w:p w14:paraId="3A5DA55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（6）技术标准和要求；</w:t>
      </w:r>
    </w:p>
    <w:p w14:paraId="5910E4B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（7）图纸；</w:t>
      </w:r>
    </w:p>
    <w:p w14:paraId="660D893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（8）已标价工程量清单或预算书；</w:t>
      </w:r>
    </w:p>
    <w:p w14:paraId="5416915A">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（9）其他合同文件。</w:t>
      </w:r>
    </w:p>
    <w:p w14:paraId="7F70F377">
      <w:pPr>
        <w:shd w:val="clea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2B43A189">
      <w:pPr>
        <w:shd w:val="clea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在合同订立及履行过程中形成的与合同有关的文件均构成合同文件组成部分，并根据其性质确定优先解释顺序。</w:t>
      </w:r>
    </w:p>
    <w:p w14:paraId="721E0D6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41" w:name="_Toc351203501"/>
      <w:r>
        <w:rPr>
          <w:rFonts w:hint="eastAsia" w:ascii="宋体" w:hAnsi="宋体" w:eastAsia="宋体" w:cs="宋体"/>
          <w:b w:val="0"/>
          <w:color w:val="auto"/>
          <w:sz w:val="24"/>
          <w:szCs w:val="24"/>
          <w:highlight w:val="none"/>
        </w:rPr>
        <w:t>1</w:t>
      </w:r>
      <w:bookmarkStart w:id="142" w:name="_Toc296503032"/>
      <w:bookmarkStart w:id="143" w:name="_Toc337558732"/>
      <w:bookmarkStart w:id="144" w:name="_Toc296346533"/>
      <w:r>
        <w:rPr>
          <w:rFonts w:hint="eastAsia" w:ascii="宋体" w:hAnsi="宋体" w:eastAsia="宋体" w:cs="宋体"/>
          <w:b w:val="0"/>
          <w:color w:val="auto"/>
          <w:sz w:val="24"/>
          <w:szCs w:val="24"/>
          <w:highlight w:val="none"/>
        </w:rPr>
        <w:t>.6图纸和承包人文件</w:t>
      </w:r>
      <w:bookmarkEnd w:id="141"/>
    </w:p>
    <w:bookmarkEnd w:id="142"/>
    <w:bookmarkEnd w:id="143"/>
    <w:bookmarkEnd w:id="144"/>
    <w:p w14:paraId="0A6E755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 图纸的提供和交底</w:t>
      </w:r>
    </w:p>
    <w:p w14:paraId="4ED974D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689626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因发包人未按合同约定提供图纸导致承包人费用增加和（或）工期延误的，按照第7.5.1项〔因发包人原因导致工期延误〕约定办理。</w:t>
      </w:r>
    </w:p>
    <w:p w14:paraId="55BCCF9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 图纸的错误</w:t>
      </w:r>
    </w:p>
    <w:p w14:paraId="619101B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459DF2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1.6.3 图纸的修改和补充</w:t>
      </w:r>
    </w:p>
    <w:p w14:paraId="5AF5ED3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7A76E6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1.6.4 承包人文件</w:t>
      </w:r>
    </w:p>
    <w:p w14:paraId="1DB63F4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261EE1A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938270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1.6.5 图纸和承包人文件的保管</w:t>
      </w:r>
    </w:p>
    <w:p w14:paraId="750333A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68270DF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45" w:name="_Toc351203502"/>
      <w:r>
        <w:rPr>
          <w:rFonts w:hint="eastAsia" w:ascii="宋体" w:hAnsi="宋体" w:eastAsia="宋体" w:cs="宋体"/>
          <w:b w:val="0"/>
          <w:color w:val="auto"/>
          <w:sz w:val="24"/>
          <w:szCs w:val="24"/>
          <w:highlight w:val="none"/>
        </w:rPr>
        <w:t>1</w:t>
      </w:r>
      <w:bookmarkStart w:id="146" w:name="_Toc296503033"/>
      <w:bookmarkStart w:id="147" w:name="_Toc296346534"/>
      <w:bookmarkStart w:id="148" w:name="_Toc337558733"/>
      <w:r>
        <w:rPr>
          <w:rFonts w:hint="eastAsia" w:ascii="宋体" w:hAnsi="宋体" w:eastAsia="宋体" w:cs="宋体"/>
          <w:b w:val="0"/>
          <w:color w:val="auto"/>
          <w:sz w:val="24"/>
          <w:szCs w:val="24"/>
          <w:highlight w:val="none"/>
        </w:rPr>
        <w:t>.7联络</w:t>
      </w:r>
      <w:bookmarkEnd w:id="145"/>
    </w:p>
    <w:bookmarkEnd w:id="146"/>
    <w:bookmarkEnd w:id="147"/>
    <w:bookmarkEnd w:id="148"/>
    <w:p w14:paraId="791F819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122AB5B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0247094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16AE2B2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49" w:name="_Toc351203503"/>
      <w:r>
        <w:rPr>
          <w:rFonts w:hint="eastAsia" w:ascii="宋体" w:hAnsi="宋体" w:eastAsia="宋体" w:cs="宋体"/>
          <w:b w:val="0"/>
          <w:color w:val="auto"/>
          <w:sz w:val="24"/>
          <w:szCs w:val="24"/>
          <w:highlight w:val="none"/>
        </w:rPr>
        <w:t>1</w:t>
      </w:r>
      <w:bookmarkStart w:id="150" w:name="_Toc296346536"/>
      <w:bookmarkStart w:id="151" w:name="_Toc337558734"/>
      <w:bookmarkStart w:id="152" w:name="_Toc296503035"/>
      <w:r>
        <w:rPr>
          <w:rFonts w:hint="eastAsia" w:ascii="宋体" w:hAnsi="宋体" w:eastAsia="宋体" w:cs="宋体"/>
          <w:b w:val="0"/>
          <w:color w:val="auto"/>
          <w:sz w:val="24"/>
          <w:szCs w:val="24"/>
          <w:highlight w:val="none"/>
        </w:rPr>
        <w:t>.8严禁贿赂</w:t>
      </w:r>
      <w:bookmarkEnd w:id="149"/>
    </w:p>
    <w:bookmarkEnd w:id="150"/>
    <w:bookmarkEnd w:id="151"/>
    <w:bookmarkEnd w:id="152"/>
    <w:p w14:paraId="4D21E57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165ECAC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5EE3183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53" w:name="_Toc351203504"/>
      <w:r>
        <w:rPr>
          <w:rFonts w:hint="eastAsia" w:ascii="宋体" w:hAnsi="宋体" w:eastAsia="宋体" w:cs="宋体"/>
          <w:b w:val="0"/>
          <w:color w:val="auto"/>
          <w:sz w:val="24"/>
          <w:szCs w:val="24"/>
          <w:highlight w:val="none"/>
        </w:rPr>
        <w:t>1</w:t>
      </w:r>
      <w:bookmarkStart w:id="154" w:name="_Toc296503036"/>
      <w:bookmarkStart w:id="155" w:name="_Toc337558735"/>
      <w:bookmarkStart w:id="156" w:name="_Toc296346537"/>
      <w:r>
        <w:rPr>
          <w:rFonts w:hint="eastAsia" w:ascii="宋体" w:hAnsi="宋体" w:eastAsia="宋体" w:cs="宋体"/>
          <w:b w:val="0"/>
          <w:color w:val="auto"/>
          <w:sz w:val="24"/>
          <w:szCs w:val="24"/>
          <w:highlight w:val="none"/>
        </w:rPr>
        <w:t>.9化石、文物</w:t>
      </w:r>
      <w:bookmarkEnd w:id="153"/>
    </w:p>
    <w:bookmarkEnd w:id="154"/>
    <w:bookmarkEnd w:id="155"/>
    <w:bookmarkEnd w:id="156"/>
    <w:p w14:paraId="76EFAF2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E4C1F1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发包人、监理人和承包人应按有关政府行政管理部门要求采取妥善的保护措施，由此增加的费用和（或）延误的工期由发包人承担。</w:t>
      </w:r>
    </w:p>
    <w:p w14:paraId="17D611E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承包人发现文物后不及时报告或隐瞒不报，致使文物丢失或损坏的，应赔偿损失，并承担相应的法律责任。</w:t>
      </w:r>
    </w:p>
    <w:p w14:paraId="731BC05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57" w:name="_Toc351203505"/>
      <w:r>
        <w:rPr>
          <w:rFonts w:hint="eastAsia" w:ascii="宋体" w:hAnsi="宋体" w:eastAsia="宋体" w:cs="宋体"/>
          <w:b w:val="0"/>
          <w:color w:val="auto"/>
          <w:sz w:val="24"/>
          <w:szCs w:val="24"/>
          <w:highlight w:val="none"/>
        </w:rPr>
        <w:t>1</w:t>
      </w:r>
      <w:bookmarkStart w:id="158" w:name="_Toc337558736"/>
      <w:r>
        <w:rPr>
          <w:rFonts w:hint="eastAsia" w:ascii="宋体" w:hAnsi="宋体" w:eastAsia="宋体" w:cs="宋体"/>
          <w:b w:val="0"/>
          <w:color w:val="auto"/>
          <w:sz w:val="24"/>
          <w:szCs w:val="24"/>
          <w:highlight w:val="none"/>
        </w:rPr>
        <w:t>.10交通运输</w:t>
      </w:r>
      <w:bookmarkEnd w:id="157"/>
    </w:p>
    <w:bookmarkEnd w:id="158"/>
    <w:p w14:paraId="1EE181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1.10.1 出入现场的权利</w:t>
      </w:r>
    </w:p>
    <w:p w14:paraId="6A45C81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172B53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539D5B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1.10.2 场外交通</w:t>
      </w:r>
    </w:p>
    <w:p w14:paraId="7FCED24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CB8D7A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1.10.3场内交通</w:t>
      </w:r>
    </w:p>
    <w:p w14:paraId="221520C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83CA36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8F758A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场外交通和场内交通的边界由合同当事人在专用合同条款中约定。</w:t>
      </w:r>
    </w:p>
    <w:p w14:paraId="7326AC8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1.10.4 超大件和超重件的运输</w:t>
      </w:r>
    </w:p>
    <w:p w14:paraId="00F0C82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346CBE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1.10.5 道路和桥梁的损坏责任</w:t>
      </w:r>
    </w:p>
    <w:p w14:paraId="7C13D54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因承包人运输造成施工场地内外公共道路和桥梁损坏的，由承包人承担修复损坏的全部费用和可能引起的赔偿。</w:t>
      </w:r>
    </w:p>
    <w:p w14:paraId="1E67782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1.10.6 水路和航空运输</w:t>
      </w:r>
    </w:p>
    <w:p w14:paraId="26E2086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40B2238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59" w:name="_Toc351203506"/>
      <w:r>
        <w:rPr>
          <w:rFonts w:hint="eastAsia" w:ascii="宋体" w:hAnsi="宋体" w:eastAsia="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eastAsia="宋体" w:cs="宋体"/>
          <w:b w:val="0"/>
          <w:color w:val="auto"/>
          <w:sz w:val="24"/>
          <w:szCs w:val="24"/>
          <w:highlight w:val="none"/>
        </w:rPr>
        <w:t>.11知识产权</w:t>
      </w:r>
      <w:bookmarkEnd w:id="159"/>
      <w:r>
        <w:rPr>
          <w:rFonts w:hint="eastAsia" w:ascii="宋体" w:hAnsi="宋体" w:eastAsia="宋体" w:cs="宋体"/>
          <w:b w:val="0"/>
          <w:color w:val="auto"/>
          <w:sz w:val="24"/>
          <w:szCs w:val="24"/>
          <w:highlight w:val="none"/>
        </w:rPr>
        <w:t xml:space="preserve"> </w:t>
      </w:r>
      <w:bookmarkEnd w:id="160"/>
    </w:p>
    <w:bookmarkEnd w:id="161"/>
    <w:bookmarkEnd w:id="162"/>
    <w:p w14:paraId="28D9CAC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0D76F0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B67220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08911EF">
      <w:pPr>
        <w:shd w:val="clear"/>
        <w:spacing w:line="312"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1.11.4 除专用合同条款另有约定外，承包人在合同签订前和签订时已确定采用的专利、专有技术、技术秘密的使用费已包含在签约合同价中。</w:t>
      </w:r>
    </w:p>
    <w:p w14:paraId="23553EB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63" w:name="_Toc351203507"/>
      <w:r>
        <w:rPr>
          <w:rFonts w:hint="eastAsia" w:ascii="宋体" w:hAnsi="宋体" w:eastAsia="宋体" w:cs="宋体"/>
          <w:b w:val="0"/>
          <w:color w:val="auto"/>
          <w:sz w:val="24"/>
          <w:szCs w:val="24"/>
          <w:highlight w:val="none"/>
        </w:rPr>
        <w:t>1</w:t>
      </w:r>
      <w:bookmarkStart w:id="164" w:name="_Toc337558738"/>
      <w:r>
        <w:rPr>
          <w:rFonts w:hint="eastAsia" w:ascii="宋体" w:hAnsi="宋体" w:eastAsia="宋体" w:cs="宋体"/>
          <w:b w:val="0"/>
          <w:color w:val="auto"/>
          <w:sz w:val="24"/>
          <w:szCs w:val="24"/>
          <w:highlight w:val="none"/>
        </w:rPr>
        <w:t>.12保密</w:t>
      </w:r>
      <w:bookmarkEnd w:id="163"/>
    </w:p>
    <w:bookmarkEnd w:id="164"/>
    <w:p w14:paraId="536597B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0E12BE8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5023622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65" w:name="_Toc351203508"/>
      <w:r>
        <w:rPr>
          <w:rFonts w:hint="eastAsia" w:ascii="宋体" w:hAnsi="宋体" w:eastAsia="宋体" w:cs="宋体"/>
          <w:b w:val="0"/>
          <w:color w:val="auto"/>
          <w:sz w:val="24"/>
          <w:szCs w:val="24"/>
          <w:highlight w:val="none"/>
        </w:rPr>
        <w:t>1.13工程量清单错误的修正</w:t>
      </w:r>
      <w:bookmarkEnd w:id="165"/>
    </w:p>
    <w:p w14:paraId="677A8BF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19B4F34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（1）工程量清单存在缺项、漏项的；</w:t>
      </w:r>
    </w:p>
    <w:p w14:paraId="74FF5A0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（2）工程量清单偏差超出专用合同条款约定的工程量偏差范围的；</w:t>
      </w:r>
    </w:p>
    <w:p w14:paraId="04DBC7E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（3）未按照国家现行计量规范强制性规定计量的。</w:t>
      </w:r>
    </w:p>
    <w:p w14:paraId="4555CAD6">
      <w:pPr>
        <w:pStyle w:val="5"/>
        <w:shd w:val="clear"/>
        <w:spacing w:before="120" w:after="120" w:line="312" w:lineRule="auto"/>
        <w:rPr>
          <w:rFonts w:ascii="宋体" w:hAnsi="宋体" w:eastAsia="宋体" w:cs="宋体"/>
          <w:b w:val="0"/>
          <w:color w:val="auto"/>
          <w:sz w:val="24"/>
          <w:szCs w:val="24"/>
          <w:highlight w:val="none"/>
        </w:rPr>
      </w:pPr>
      <w:bookmarkStart w:id="166" w:name="_Toc351203509"/>
      <w:r>
        <w:rPr>
          <w:rFonts w:hint="eastAsia" w:ascii="宋体" w:hAnsi="宋体" w:eastAsia="宋体" w:cs="宋体"/>
          <w:b w:val="0"/>
          <w:color w:val="auto"/>
          <w:sz w:val="24"/>
          <w:szCs w:val="24"/>
          <w:highlight w:val="none"/>
        </w:rPr>
        <w:t>2</w:t>
      </w:r>
      <w:bookmarkStart w:id="167" w:name="_Toc296503038"/>
      <w:bookmarkStart w:id="168" w:name="_Toc337558739"/>
      <w:bookmarkStart w:id="169" w:name="_Toc296346539"/>
      <w:bookmarkStart w:id="170" w:name="OLE_LINK1"/>
      <w:bookmarkStart w:id="171" w:name="OLE_LINK2"/>
      <w:r>
        <w:rPr>
          <w:rFonts w:hint="eastAsia" w:ascii="宋体" w:hAnsi="宋体" w:eastAsia="宋体" w:cs="宋体"/>
          <w:b w:val="0"/>
          <w:color w:val="auto"/>
          <w:sz w:val="24"/>
          <w:szCs w:val="24"/>
          <w:highlight w:val="none"/>
        </w:rPr>
        <w:t>. 发包人</w:t>
      </w:r>
      <w:bookmarkEnd w:id="166"/>
    </w:p>
    <w:bookmarkEnd w:id="167"/>
    <w:bookmarkEnd w:id="168"/>
    <w:bookmarkEnd w:id="169"/>
    <w:p w14:paraId="297689A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72" w:name="_Toc351203510"/>
      <w:r>
        <w:rPr>
          <w:rFonts w:hint="eastAsia" w:ascii="宋体" w:hAnsi="宋体" w:eastAsia="宋体" w:cs="宋体"/>
          <w:b w:val="0"/>
          <w:color w:val="auto"/>
          <w:sz w:val="24"/>
          <w:szCs w:val="24"/>
          <w:highlight w:val="none"/>
        </w:rPr>
        <w:t>2</w:t>
      </w:r>
      <w:bookmarkStart w:id="173" w:name="_Toc337558740"/>
      <w:bookmarkStart w:id="174" w:name="_Toc296503039"/>
      <w:bookmarkStart w:id="175" w:name="_Toc296346540"/>
      <w:r>
        <w:rPr>
          <w:rFonts w:hint="eastAsia" w:ascii="宋体" w:hAnsi="宋体" w:eastAsia="宋体" w:cs="宋体"/>
          <w:b w:val="0"/>
          <w:color w:val="auto"/>
          <w:sz w:val="24"/>
          <w:szCs w:val="24"/>
          <w:highlight w:val="none"/>
        </w:rPr>
        <w:t>.1 许可或批准</w:t>
      </w:r>
      <w:bookmarkEnd w:id="172"/>
    </w:p>
    <w:p w14:paraId="6509011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8B2F9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因发包人原因未能及时办理完毕前述许可、批准或备案，由发包人承担由此增加的费用和（或）延误的工期，并支付承包人合理的利润。</w:t>
      </w:r>
    </w:p>
    <w:p w14:paraId="5C5443E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76" w:name="_Toc351203511"/>
      <w:r>
        <w:rPr>
          <w:rFonts w:hint="eastAsia" w:ascii="宋体" w:hAnsi="宋体" w:eastAsia="宋体" w:cs="宋体"/>
          <w:b w:val="0"/>
          <w:color w:val="auto"/>
          <w:sz w:val="24"/>
          <w:szCs w:val="24"/>
          <w:highlight w:val="none"/>
        </w:rPr>
        <w:t>2.2 发包人代表</w:t>
      </w:r>
      <w:bookmarkEnd w:id="176"/>
    </w:p>
    <w:p w14:paraId="4E82CF6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4A7E9BD">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发包人代表不能按照合同约定履行其职责及义务，并导致合同无法继续正常履行的，承包人可以要求发包人撤换发包人代表。</w:t>
      </w:r>
    </w:p>
    <w:p w14:paraId="0EDF77EB">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不属于法定必须监理的工程，监理人的职权可以由发包人代表或发包人指定的其他人员行使。</w:t>
      </w:r>
    </w:p>
    <w:p w14:paraId="7928023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77" w:name="_Toc351203512"/>
      <w:r>
        <w:rPr>
          <w:rFonts w:hint="eastAsia" w:ascii="宋体" w:hAnsi="宋体" w:eastAsia="宋体" w:cs="宋体"/>
          <w:b w:val="0"/>
          <w:color w:val="auto"/>
          <w:sz w:val="24"/>
          <w:szCs w:val="24"/>
          <w:highlight w:val="none"/>
        </w:rPr>
        <w:t>2.3 发包人人员</w:t>
      </w:r>
      <w:bookmarkEnd w:id="177"/>
    </w:p>
    <w:p w14:paraId="7259234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286B46AB">
      <w:pPr>
        <w:shd w:val="clear"/>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发包人人员包括发包人代表及其他由发包人派驻施工现场的人员。</w:t>
      </w:r>
      <w:bookmarkEnd w:id="173"/>
      <w:bookmarkEnd w:id="174"/>
      <w:bookmarkEnd w:id="175"/>
    </w:p>
    <w:p w14:paraId="0B15C67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78" w:name="_Toc351203513"/>
      <w:r>
        <w:rPr>
          <w:rFonts w:hint="eastAsia" w:ascii="宋体" w:hAnsi="宋体" w:eastAsia="宋体" w:cs="宋体"/>
          <w:b w:val="0"/>
          <w:color w:val="auto"/>
          <w:sz w:val="24"/>
          <w:szCs w:val="24"/>
          <w:highlight w:val="none"/>
        </w:rPr>
        <w:t>2</w:t>
      </w:r>
      <w:bookmarkStart w:id="179" w:name="_Toc296346541"/>
      <w:bookmarkStart w:id="180" w:name="_Toc337558741"/>
      <w:bookmarkStart w:id="181" w:name="_Toc296503040"/>
      <w:r>
        <w:rPr>
          <w:rFonts w:hint="eastAsia" w:ascii="宋体" w:hAnsi="宋体" w:eastAsia="宋体" w:cs="宋体"/>
          <w:b w:val="0"/>
          <w:color w:val="auto"/>
          <w:sz w:val="24"/>
          <w:szCs w:val="24"/>
          <w:highlight w:val="none"/>
        </w:rPr>
        <w:t>.4 施工现场、施工条件和基础资料的提供</w:t>
      </w:r>
      <w:bookmarkEnd w:id="178"/>
      <w:r>
        <w:rPr>
          <w:rFonts w:hint="eastAsia" w:ascii="宋体" w:hAnsi="宋体" w:eastAsia="宋体" w:cs="宋体"/>
          <w:b w:val="0"/>
          <w:color w:val="auto"/>
          <w:sz w:val="24"/>
          <w:szCs w:val="24"/>
          <w:highlight w:val="none"/>
        </w:rPr>
        <w:t xml:space="preserve"> </w:t>
      </w:r>
      <w:bookmarkEnd w:id="179"/>
      <w:bookmarkEnd w:id="180"/>
      <w:bookmarkEnd w:id="181"/>
      <w:r>
        <w:rPr>
          <w:rFonts w:hint="eastAsia" w:ascii="宋体" w:hAnsi="宋体" w:eastAsia="宋体" w:cs="宋体"/>
          <w:b w:val="0"/>
          <w:color w:val="auto"/>
          <w:sz w:val="24"/>
          <w:szCs w:val="24"/>
          <w:highlight w:val="none"/>
        </w:rPr>
        <w:t xml:space="preserve"> </w:t>
      </w:r>
    </w:p>
    <w:p w14:paraId="4E87FCE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提供施工现场</w:t>
      </w:r>
    </w:p>
    <w:p w14:paraId="2BD2A09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w:t>
      </w:r>
      <w:bookmarkEnd w:id="170"/>
      <w:bookmarkEnd w:id="171"/>
      <w:r>
        <w:rPr>
          <w:rFonts w:hint="eastAsia" w:ascii="宋体" w:hAnsi="宋体" w:eastAsia="宋体" w:cs="宋体"/>
          <w:color w:val="auto"/>
          <w:kern w:val="0"/>
          <w:sz w:val="24"/>
          <w:highlight w:val="none"/>
        </w:rPr>
        <w:t>专用合同条款另有约定外，发包人应最迟于开工日期7天前向承包人移交施工现场。</w:t>
      </w:r>
    </w:p>
    <w:p w14:paraId="1F0B835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2.4.2 提供施工条件</w:t>
      </w:r>
    </w:p>
    <w:p w14:paraId="6E2A2F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除专用合同条款另有约定外，发包人应负责提供施工所需要的条件，包括：</w:t>
      </w:r>
    </w:p>
    <w:p w14:paraId="4063480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（1）将施工用水、电力、通讯线路等施工所必需的条件接至施工现场内；</w:t>
      </w:r>
    </w:p>
    <w:p w14:paraId="55C25D4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（2）保证向承包人提供正常施工所需要的进入施工现场的交通条件；</w:t>
      </w:r>
    </w:p>
    <w:p w14:paraId="6B97E74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（3）协调处理施工现场周围地下管线和邻近建筑物、构筑物、古树名木的保护工作，并承担相关费用；</w:t>
      </w:r>
    </w:p>
    <w:p w14:paraId="203A1EF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（4）按照专用合同条款约定应提供的其他设施和条件。</w:t>
      </w:r>
    </w:p>
    <w:p w14:paraId="0F96F044">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2.4.3 提供基础资料</w:t>
      </w:r>
    </w:p>
    <w:p w14:paraId="0382AA2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5D062B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2C4BCC3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2.4.4 逾期提供的责任</w:t>
      </w:r>
    </w:p>
    <w:p w14:paraId="2D57069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因发包人原因未能按合同约定及时向承包人提供施工现场、施工条件、基础资料的，由发包人承担由此增加的费用和（或）延误的工期。</w:t>
      </w:r>
    </w:p>
    <w:p w14:paraId="0B8796D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2" w:name="_Toc351203514"/>
      <w:r>
        <w:rPr>
          <w:rFonts w:hint="eastAsia" w:ascii="宋体" w:hAnsi="宋体" w:eastAsia="宋体" w:cs="宋体"/>
          <w:b w:val="0"/>
          <w:color w:val="auto"/>
          <w:sz w:val="24"/>
          <w:szCs w:val="24"/>
          <w:highlight w:val="none"/>
        </w:rPr>
        <w:t>2</w:t>
      </w:r>
      <w:bookmarkStart w:id="183" w:name="_Toc337558745"/>
      <w:bookmarkStart w:id="184" w:name="_Toc296346543"/>
      <w:bookmarkStart w:id="185" w:name="_Toc296503042"/>
      <w:r>
        <w:rPr>
          <w:rFonts w:hint="eastAsia" w:ascii="宋体" w:hAnsi="宋体" w:eastAsia="宋体" w:cs="宋体"/>
          <w:b w:val="0"/>
          <w:color w:val="auto"/>
          <w:sz w:val="24"/>
          <w:szCs w:val="24"/>
          <w:highlight w:val="none"/>
        </w:rPr>
        <w:t>.5 资</w:t>
      </w:r>
      <w:bookmarkEnd w:id="183"/>
      <w:bookmarkEnd w:id="184"/>
      <w:bookmarkEnd w:id="185"/>
      <w:r>
        <w:rPr>
          <w:rFonts w:hint="eastAsia" w:ascii="宋体" w:hAnsi="宋体" w:eastAsia="宋体" w:cs="宋体"/>
          <w:b w:val="0"/>
          <w:color w:val="auto"/>
          <w:sz w:val="24"/>
          <w:szCs w:val="24"/>
          <w:highlight w:val="none"/>
        </w:rPr>
        <w:t>金来源证明及支付担保</w:t>
      </w:r>
      <w:bookmarkEnd w:id="182"/>
    </w:p>
    <w:p w14:paraId="14E9DC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4B0F0F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25525AB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6" w:name="_Toc351203515"/>
      <w:r>
        <w:rPr>
          <w:rFonts w:hint="eastAsia" w:ascii="宋体" w:hAnsi="宋体" w:eastAsia="宋体" w:cs="宋体"/>
          <w:b w:val="0"/>
          <w:color w:val="auto"/>
          <w:sz w:val="24"/>
          <w:szCs w:val="24"/>
          <w:highlight w:val="none"/>
        </w:rPr>
        <w:t>2.6 支付合同价款</w:t>
      </w:r>
      <w:bookmarkEnd w:id="186"/>
    </w:p>
    <w:p w14:paraId="5E761D2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发包人应按合同约定向承包人及时支付合同价款。</w:t>
      </w:r>
    </w:p>
    <w:p w14:paraId="59A4731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7" w:name="_Toc351203516"/>
      <w:r>
        <w:rPr>
          <w:rFonts w:hint="eastAsia" w:ascii="宋体" w:hAnsi="宋体" w:eastAsia="宋体" w:cs="宋体"/>
          <w:b w:val="0"/>
          <w:color w:val="auto"/>
          <w:sz w:val="24"/>
          <w:szCs w:val="24"/>
          <w:highlight w:val="none"/>
        </w:rPr>
        <w:t>2.7 组织竣工验收</w:t>
      </w:r>
      <w:bookmarkEnd w:id="187"/>
    </w:p>
    <w:p w14:paraId="6C0C34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发包人应按合同约定及时组织竣工验收。</w:t>
      </w:r>
    </w:p>
    <w:p w14:paraId="6B562EC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8" w:name="_Toc351203517"/>
      <w:r>
        <w:rPr>
          <w:rFonts w:hint="eastAsia" w:ascii="宋体" w:hAnsi="宋体" w:eastAsia="宋体" w:cs="宋体"/>
          <w:b w:val="0"/>
          <w:color w:val="auto"/>
          <w:sz w:val="24"/>
          <w:szCs w:val="24"/>
          <w:highlight w:val="none"/>
        </w:rPr>
        <w:t>2.8 现场统一管理协议</w:t>
      </w:r>
      <w:bookmarkEnd w:id="188"/>
    </w:p>
    <w:p w14:paraId="3ACBDFE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68C5EED2">
      <w:pPr>
        <w:pStyle w:val="5"/>
        <w:shd w:val="clear"/>
        <w:spacing w:before="120" w:after="120" w:line="312" w:lineRule="auto"/>
        <w:rPr>
          <w:rFonts w:ascii="宋体" w:hAnsi="宋体" w:eastAsia="宋体" w:cs="宋体"/>
          <w:b w:val="0"/>
          <w:color w:val="auto"/>
          <w:sz w:val="24"/>
          <w:szCs w:val="24"/>
          <w:highlight w:val="none"/>
        </w:rPr>
      </w:pPr>
      <w:bookmarkStart w:id="189" w:name="_Toc351203518"/>
      <w:r>
        <w:rPr>
          <w:rFonts w:hint="eastAsia" w:ascii="宋体" w:hAnsi="宋体" w:eastAsia="宋体" w:cs="宋体"/>
          <w:b w:val="0"/>
          <w:color w:val="auto"/>
          <w:sz w:val="24"/>
          <w:szCs w:val="24"/>
          <w:highlight w:val="none"/>
        </w:rPr>
        <w:t>3</w:t>
      </w:r>
      <w:bookmarkStart w:id="190" w:name="_Toc296503045"/>
      <w:bookmarkStart w:id="191" w:name="_Toc296346546"/>
      <w:bookmarkStart w:id="192" w:name="_Toc337558746"/>
      <w:r>
        <w:rPr>
          <w:rFonts w:hint="eastAsia" w:ascii="宋体" w:hAnsi="宋体" w:eastAsia="宋体" w:cs="宋体"/>
          <w:b w:val="0"/>
          <w:color w:val="auto"/>
          <w:sz w:val="24"/>
          <w:szCs w:val="24"/>
          <w:highlight w:val="none"/>
        </w:rPr>
        <w:t>. 承包人</w:t>
      </w:r>
      <w:bookmarkEnd w:id="189"/>
    </w:p>
    <w:bookmarkEnd w:id="190"/>
    <w:bookmarkEnd w:id="191"/>
    <w:bookmarkEnd w:id="192"/>
    <w:p w14:paraId="67CE2FA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93" w:name="_Toc351203519"/>
      <w:r>
        <w:rPr>
          <w:rFonts w:hint="eastAsia" w:ascii="宋体" w:hAnsi="宋体" w:eastAsia="宋体" w:cs="宋体"/>
          <w:b w:val="0"/>
          <w:color w:val="auto"/>
          <w:sz w:val="24"/>
          <w:szCs w:val="24"/>
          <w:highlight w:val="none"/>
        </w:rPr>
        <w:t>3</w:t>
      </w:r>
      <w:bookmarkStart w:id="194" w:name="_Toc296346547"/>
      <w:bookmarkStart w:id="195" w:name="_Toc337558747"/>
      <w:bookmarkStart w:id="196" w:name="_Toc296503046"/>
      <w:r>
        <w:rPr>
          <w:rFonts w:hint="eastAsia" w:ascii="宋体" w:hAnsi="宋体" w:eastAsia="宋体" w:cs="宋体"/>
          <w:b w:val="0"/>
          <w:color w:val="auto"/>
          <w:sz w:val="24"/>
          <w:szCs w:val="24"/>
          <w:highlight w:val="none"/>
        </w:rPr>
        <w:t>.1 承包人的一般义务</w:t>
      </w:r>
      <w:bookmarkEnd w:id="193"/>
    </w:p>
    <w:bookmarkEnd w:id="194"/>
    <w:bookmarkEnd w:id="195"/>
    <w:bookmarkEnd w:id="196"/>
    <w:p w14:paraId="76C24BD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承包人在履行合同过程中应遵守法律和工程建设标准规范，并履行以下义务：</w:t>
      </w:r>
    </w:p>
    <w:p w14:paraId="0E75E676">
      <w:pPr>
        <w:numPr>
          <w:ilvl w:val="0"/>
          <w:numId w:val="5"/>
        </w:num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办理法律规定应由承包人办理的许可和批准，并将办理结果书面报送发包人留存；</w:t>
      </w:r>
    </w:p>
    <w:p w14:paraId="06FABC8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（2）按法律规定和合同约定完成工程，并在保修期内承担保修义务；</w:t>
      </w:r>
    </w:p>
    <w:p w14:paraId="2CEF715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（3）按法律规定和合同约定采取施工安全和环境保护措施，办理工伤保险，确保工程及人员、材料、设备和设施的安全；</w:t>
      </w:r>
    </w:p>
    <w:p w14:paraId="7727A4F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（4）按合同约定的工作内容和施工进度要求，编制施工组织设计和施工措施计划，并对所有施工作业和施工方法的完备性和安全可靠性负责；</w:t>
      </w:r>
    </w:p>
    <w:p w14:paraId="76CAD6F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9A573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（6）按照第6.3款〔环境保护〕约定负责施工场地及其周边环境与生态的保护工作；</w:t>
      </w:r>
    </w:p>
    <w:p w14:paraId="3940DE9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（7）按第6.1款〔安全文明施工〕约定采取施工安全措施，确保工程及其人员、材料、设备和设施的安全，防止因工程施工造成的人身伤害和财产损失；</w:t>
      </w:r>
    </w:p>
    <w:p w14:paraId="5223C69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（8）将发包人按合同约定支付的各项价款专用于合同工程，且应及时支付其雇用人员工资，并及时向分包人支付合同价款；</w:t>
      </w:r>
    </w:p>
    <w:p w14:paraId="03A87F9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055B3C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（10）应履行的其他义务。</w:t>
      </w:r>
    </w:p>
    <w:p w14:paraId="243E447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97" w:name="_Toc351203520"/>
      <w:r>
        <w:rPr>
          <w:rFonts w:hint="eastAsia" w:ascii="宋体" w:hAnsi="宋体" w:eastAsia="宋体" w:cs="宋体"/>
          <w:b w:val="0"/>
          <w:color w:val="auto"/>
          <w:sz w:val="24"/>
          <w:szCs w:val="24"/>
          <w:highlight w:val="none"/>
        </w:rPr>
        <w:t>3</w:t>
      </w:r>
      <w:bookmarkStart w:id="198" w:name="_Toc296346548"/>
      <w:bookmarkStart w:id="199" w:name="_Toc296503047"/>
      <w:bookmarkStart w:id="200" w:name="_Toc337558748"/>
      <w:r>
        <w:rPr>
          <w:rFonts w:hint="eastAsia" w:ascii="宋体" w:hAnsi="宋体" w:eastAsia="宋体" w:cs="宋体"/>
          <w:b w:val="0"/>
          <w:color w:val="auto"/>
          <w:sz w:val="24"/>
          <w:szCs w:val="24"/>
          <w:highlight w:val="none"/>
        </w:rPr>
        <w:t xml:space="preserve">.2 </w:t>
      </w:r>
      <w:bookmarkEnd w:id="197"/>
      <w:r>
        <w:rPr>
          <w:rFonts w:hint="eastAsia" w:ascii="宋体" w:hAnsi="宋体" w:eastAsia="宋体" w:cs="宋体"/>
          <w:b w:val="0"/>
          <w:color w:val="auto"/>
          <w:sz w:val="24"/>
          <w:szCs w:val="24"/>
          <w:highlight w:val="none"/>
        </w:rPr>
        <w:t>项目经理</w:t>
      </w:r>
    </w:p>
    <w:bookmarkEnd w:id="198"/>
    <w:bookmarkEnd w:id="199"/>
    <w:bookmarkEnd w:id="200"/>
    <w:p w14:paraId="048C627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18013B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CCF984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承包人违反上述约定的，应按照专用合同条款的约定，承担违约责任。</w:t>
      </w:r>
    </w:p>
    <w:p w14:paraId="42A4A8D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B6F3EE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59B1C5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A35B7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D68E11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01" w:name="_Toc351203521"/>
      <w:r>
        <w:rPr>
          <w:rFonts w:hint="eastAsia" w:ascii="宋体" w:hAnsi="宋体" w:eastAsia="宋体" w:cs="宋体"/>
          <w:b w:val="0"/>
          <w:color w:val="auto"/>
          <w:sz w:val="24"/>
          <w:szCs w:val="24"/>
          <w:highlight w:val="none"/>
        </w:rPr>
        <w:t>3</w:t>
      </w:r>
      <w:bookmarkStart w:id="202" w:name="_Toc296346549"/>
      <w:bookmarkStart w:id="203" w:name="_Toc296503048"/>
      <w:bookmarkStart w:id="204" w:name="_Toc337558749"/>
      <w:r>
        <w:rPr>
          <w:rFonts w:hint="eastAsia" w:ascii="宋体" w:hAnsi="宋体" w:eastAsia="宋体" w:cs="宋体"/>
          <w:b w:val="0"/>
          <w:color w:val="auto"/>
          <w:sz w:val="24"/>
          <w:szCs w:val="24"/>
          <w:highlight w:val="none"/>
        </w:rPr>
        <w:t xml:space="preserve">.3 </w:t>
      </w:r>
      <w:bookmarkEnd w:id="202"/>
      <w:bookmarkEnd w:id="203"/>
      <w:r>
        <w:rPr>
          <w:rFonts w:hint="eastAsia" w:ascii="宋体" w:hAnsi="宋体" w:eastAsia="宋体" w:cs="宋体"/>
          <w:b w:val="0"/>
          <w:color w:val="auto"/>
          <w:sz w:val="24"/>
          <w:szCs w:val="24"/>
          <w:highlight w:val="none"/>
        </w:rPr>
        <w:t>承包人人员</w:t>
      </w:r>
      <w:bookmarkEnd w:id="201"/>
    </w:p>
    <w:bookmarkEnd w:id="204"/>
    <w:p w14:paraId="35EB988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BC0038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F04973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特殊工种作业人员均应持有相应的资格证明，监理人可以随时检查。</w:t>
      </w:r>
    </w:p>
    <w:p w14:paraId="7A4A49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7A28BD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72E3B7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3.3.5 承包人擅自更换主要施工管理人员，或前述人员未经监理人或发包人同意擅自离开施工现场的，应按照专用合同条款约定承担违约责任。</w:t>
      </w:r>
    </w:p>
    <w:p w14:paraId="52B4DE2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05" w:name="_Toc351203522"/>
      <w:r>
        <w:rPr>
          <w:rFonts w:hint="eastAsia" w:ascii="宋体" w:hAnsi="宋体" w:eastAsia="宋体" w:cs="宋体"/>
          <w:b w:val="0"/>
          <w:color w:val="auto"/>
          <w:sz w:val="24"/>
          <w:szCs w:val="24"/>
          <w:highlight w:val="none"/>
        </w:rPr>
        <w:t>3</w:t>
      </w:r>
      <w:bookmarkStart w:id="206" w:name="_Toc337558750"/>
      <w:bookmarkStart w:id="207" w:name="_Toc296346551"/>
      <w:bookmarkStart w:id="208" w:name="_Toc296503050"/>
      <w:r>
        <w:rPr>
          <w:rFonts w:hint="eastAsia" w:ascii="宋体" w:hAnsi="宋体" w:eastAsia="宋体" w:cs="宋体"/>
          <w:b w:val="0"/>
          <w:color w:val="auto"/>
          <w:sz w:val="24"/>
          <w:szCs w:val="24"/>
          <w:highlight w:val="none"/>
        </w:rPr>
        <w:t>.4 承包人现场查勘</w:t>
      </w:r>
      <w:bookmarkEnd w:id="205"/>
    </w:p>
    <w:bookmarkEnd w:id="206"/>
    <w:bookmarkEnd w:id="207"/>
    <w:bookmarkEnd w:id="208"/>
    <w:p w14:paraId="780070CD">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517679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5FF2A2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09" w:name="_Toc351203523"/>
      <w:r>
        <w:rPr>
          <w:rFonts w:hint="eastAsia" w:ascii="宋体" w:hAnsi="宋体" w:eastAsia="宋体" w:cs="宋体"/>
          <w:b w:val="0"/>
          <w:color w:val="auto"/>
          <w:sz w:val="24"/>
          <w:szCs w:val="24"/>
          <w:highlight w:val="none"/>
        </w:rPr>
        <w:t>3</w:t>
      </w:r>
      <w:bookmarkStart w:id="210" w:name="_Toc296346552"/>
      <w:bookmarkStart w:id="211" w:name="_Toc296503051"/>
      <w:bookmarkStart w:id="212" w:name="_Toc337558751"/>
      <w:r>
        <w:rPr>
          <w:rFonts w:hint="eastAsia" w:ascii="宋体" w:hAnsi="宋体" w:eastAsia="宋体" w:cs="宋体"/>
          <w:b w:val="0"/>
          <w:color w:val="auto"/>
          <w:sz w:val="24"/>
          <w:szCs w:val="24"/>
          <w:highlight w:val="none"/>
        </w:rPr>
        <w:t>.5 分包</w:t>
      </w:r>
      <w:bookmarkEnd w:id="209"/>
    </w:p>
    <w:bookmarkEnd w:id="210"/>
    <w:bookmarkEnd w:id="211"/>
    <w:bookmarkEnd w:id="212"/>
    <w:p w14:paraId="0482DF8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3.5.1 分包的一般约定</w:t>
      </w:r>
    </w:p>
    <w:p w14:paraId="2E5EADA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20AF72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承包人不得以劳务分包的名义转包或违法分包工程。</w:t>
      </w:r>
    </w:p>
    <w:p w14:paraId="6152C1A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3.5.2 分包的确定</w:t>
      </w:r>
    </w:p>
    <w:p w14:paraId="76A2F37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C5C6FB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3.5.3 分包管理</w:t>
      </w:r>
    </w:p>
    <w:p w14:paraId="18E9FAC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1C08623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3.5.4 分包合同价款</w:t>
      </w:r>
    </w:p>
    <w:p w14:paraId="4053359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150915C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（2）生效法律文书要求发包人向分包人支付分包合同价款的，发包人有权从应付承包人工程款中扣除该部分款项。</w:t>
      </w:r>
    </w:p>
    <w:p w14:paraId="468DD99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3.5.5 分包合同权益的转让</w:t>
      </w:r>
    </w:p>
    <w:p w14:paraId="1D920EA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538041E9">
      <w:pPr>
        <w:pStyle w:val="6"/>
        <w:shd w:val="clear"/>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 工程照管与成品、半成品保护</w:t>
      </w:r>
      <w:bookmarkEnd w:id="213"/>
    </w:p>
    <w:p w14:paraId="1AFF142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590AD65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（2）在承包人负责照管期间，因承包人原因造成工程、材料、工程设备损坏的，由承包人负责修复或更换，并承担由此增加的费用和（或）延误的工期。</w:t>
      </w:r>
    </w:p>
    <w:p w14:paraId="15FDF57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423E90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14" w:name="_Toc351203525"/>
      <w:r>
        <w:rPr>
          <w:rFonts w:hint="eastAsia" w:ascii="宋体" w:hAnsi="宋体" w:eastAsia="宋体" w:cs="宋体"/>
          <w:b w:val="0"/>
          <w:color w:val="auto"/>
          <w:sz w:val="24"/>
          <w:szCs w:val="24"/>
          <w:highlight w:val="none"/>
        </w:rPr>
        <w:t>3</w:t>
      </w:r>
      <w:bookmarkStart w:id="215" w:name="_Toc296503052"/>
      <w:bookmarkStart w:id="216" w:name="_Toc337558752"/>
      <w:bookmarkStart w:id="217" w:name="_Toc296346553"/>
      <w:r>
        <w:rPr>
          <w:rFonts w:hint="eastAsia" w:ascii="宋体" w:hAnsi="宋体" w:eastAsia="宋体" w:cs="宋体"/>
          <w:b w:val="0"/>
          <w:color w:val="auto"/>
          <w:sz w:val="24"/>
          <w:szCs w:val="24"/>
          <w:highlight w:val="none"/>
        </w:rPr>
        <w:t>.7 履约担保</w:t>
      </w:r>
      <w:bookmarkEnd w:id="214"/>
    </w:p>
    <w:bookmarkEnd w:id="215"/>
    <w:bookmarkEnd w:id="216"/>
    <w:bookmarkEnd w:id="217"/>
    <w:p w14:paraId="1E7B6CB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A1300C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43D1399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18" w:name="_Toc351203526"/>
      <w:r>
        <w:rPr>
          <w:rFonts w:hint="eastAsia" w:ascii="宋体" w:hAnsi="宋体" w:eastAsia="宋体" w:cs="宋体"/>
          <w:b w:val="0"/>
          <w:color w:val="auto"/>
          <w:sz w:val="24"/>
          <w:szCs w:val="24"/>
          <w:highlight w:val="none"/>
        </w:rPr>
        <w:t>3.8 联合体</w:t>
      </w:r>
      <w:bookmarkEnd w:id="218"/>
    </w:p>
    <w:p w14:paraId="6C38155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3.8.1 联合体各方应共同与发包人签订合同协议书。联合体各方应为履行合同向发包人承担连带责任。</w:t>
      </w:r>
    </w:p>
    <w:p w14:paraId="341D978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3.8.2 联合体协议经发包人确认后作为合同附件。在履行合同过程中，未经发包人同意，不得修改联合体协议。</w:t>
      </w:r>
    </w:p>
    <w:p w14:paraId="291965C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3.8.3 联合体牵头人负责与发包人和监理人联系，并接受指示，负责组织联合体各成员全面履行合同。</w:t>
      </w:r>
    </w:p>
    <w:p w14:paraId="57DCA528">
      <w:pPr>
        <w:pStyle w:val="5"/>
        <w:shd w:val="clear"/>
        <w:spacing w:before="120" w:after="120" w:line="312" w:lineRule="auto"/>
        <w:rPr>
          <w:rFonts w:ascii="宋体" w:hAnsi="宋体" w:eastAsia="宋体" w:cs="宋体"/>
          <w:b w:val="0"/>
          <w:color w:val="auto"/>
          <w:sz w:val="24"/>
          <w:szCs w:val="24"/>
          <w:highlight w:val="none"/>
        </w:rPr>
      </w:pPr>
      <w:bookmarkStart w:id="219" w:name="_Toc351203527"/>
      <w:r>
        <w:rPr>
          <w:rFonts w:hint="eastAsia" w:ascii="宋体" w:hAnsi="宋体" w:eastAsia="宋体" w:cs="宋体"/>
          <w:b w:val="0"/>
          <w:color w:val="auto"/>
          <w:sz w:val="24"/>
          <w:szCs w:val="24"/>
          <w:highlight w:val="none"/>
        </w:rPr>
        <w:t>4</w:t>
      </w:r>
      <w:bookmarkStart w:id="220" w:name="_Toc296503053"/>
      <w:bookmarkStart w:id="221" w:name="_Toc296346554"/>
      <w:bookmarkStart w:id="222" w:name="_Toc337558753"/>
      <w:r>
        <w:rPr>
          <w:rFonts w:hint="eastAsia" w:ascii="宋体" w:hAnsi="宋体" w:eastAsia="宋体" w:cs="宋体"/>
          <w:b w:val="0"/>
          <w:color w:val="auto"/>
          <w:sz w:val="24"/>
          <w:szCs w:val="24"/>
          <w:highlight w:val="none"/>
        </w:rPr>
        <w:t>. 监</w:t>
      </w:r>
      <w:bookmarkEnd w:id="220"/>
      <w:bookmarkEnd w:id="221"/>
      <w:r>
        <w:rPr>
          <w:rFonts w:hint="eastAsia" w:ascii="宋体" w:hAnsi="宋体" w:eastAsia="宋体" w:cs="宋体"/>
          <w:b w:val="0"/>
          <w:color w:val="auto"/>
          <w:sz w:val="24"/>
          <w:szCs w:val="24"/>
          <w:highlight w:val="none"/>
        </w:rPr>
        <w:t>理人</w:t>
      </w:r>
      <w:bookmarkEnd w:id="219"/>
    </w:p>
    <w:bookmarkEnd w:id="222"/>
    <w:p w14:paraId="7E640D7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23" w:name="_Toc351203528"/>
      <w:r>
        <w:rPr>
          <w:rFonts w:hint="eastAsia" w:ascii="宋体" w:hAnsi="宋体" w:eastAsia="宋体" w:cs="宋体"/>
          <w:b w:val="0"/>
          <w:color w:val="auto"/>
          <w:sz w:val="24"/>
          <w:szCs w:val="24"/>
          <w:highlight w:val="none"/>
        </w:rPr>
        <w:t>4</w:t>
      </w:r>
      <w:bookmarkStart w:id="224" w:name="_Toc296346555"/>
      <w:bookmarkStart w:id="225" w:name="_Toc296503054"/>
      <w:bookmarkStart w:id="226" w:name="_Toc337558754"/>
      <w:r>
        <w:rPr>
          <w:rFonts w:hint="eastAsia" w:ascii="宋体" w:hAnsi="宋体" w:eastAsia="宋体" w:cs="宋体"/>
          <w:b w:val="0"/>
          <w:color w:val="auto"/>
          <w:sz w:val="24"/>
          <w:szCs w:val="24"/>
          <w:highlight w:val="none"/>
        </w:rPr>
        <w:t>.1监理人的一般规定</w:t>
      </w:r>
      <w:bookmarkEnd w:id="223"/>
    </w:p>
    <w:bookmarkEnd w:id="224"/>
    <w:bookmarkEnd w:id="225"/>
    <w:bookmarkEnd w:id="226"/>
    <w:p w14:paraId="7ECE691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821780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除专用合同条款另有约定外，监理人在施工现场的办公场所、生活场所由承包人提供，所发生的费用由发包人承担。</w:t>
      </w:r>
    </w:p>
    <w:p w14:paraId="473FD1F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27" w:name="_Toc351203529"/>
      <w:r>
        <w:rPr>
          <w:rFonts w:hint="eastAsia" w:ascii="宋体" w:hAnsi="宋体" w:eastAsia="宋体" w:cs="宋体"/>
          <w:b w:val="0"/>
          <w:color w:val="auto"/>
          <w:sz w:val="24"/>
          <w:szCs w:val="24"/>
          <w:highlight w:val="none"/>
        </w:rPr>
        <w:t>4</w:t>
      </w:r>
      <w:bookmarkStart w:id="228" w:name="_Toc337558755"/>
      <w:r>
        <w:rPr>
          <w:rFonts w:hint="eastAsia" w:ascii="宋体" w:hAnsi="宋体" w:eastAsia="宋体" w:cs="宋体"/>
          <w:b w:val="0"/>
          <w:color w:val="auto"/>
          <w:sz w:val="24"/>
          <w:szCs w:val="24"/>
          <w:highlight w:val="none"/>
        </w:rPr>
        <w:t>.2监理人员</w:t>
      </w:r>
      <w:bookmarkEnd w:id="227"/>
    </w:p>
    <w:bookmarkEnd w:id="228"/>
    <w:p w14:paraId="5DABB1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FCD837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29" w:name="_Toc351203530"/>
      <w:r>
        <w:rPr>
          <w:rFonts w:hint="eastAsia" w:ascii="宋体" w:hAnsi="宋体" w:eastAsia="宋体" w:cs="宋体"/>
          <w:b w:val="0"/>
          <w:color w:val="auto"/>
          <w:sz w:val="24"/>
          <w:szCs w:val="24"/>
          <w:highlight w:val="none"/>
        </w:rPr>
        <w:t>4</w:t>
      </w:r>
      <w:bookmarkStart w:id="230" w:name="_Toc296346556"/>
      <w:bookmarkStart w:id="231" w:name="_Toc296503055"/>
      <w:bookmarkStart w:id="232" w:name="_Toc337558756"/>
      <w:r>
        <w:rPr>
          <w:rFonts w:hint="eastAsia" w:ascii="宋体" w:hAnsi="宋体" w:eastAsia="宋体" w:cs="宋体"/>
          <w:b w:val="0"/>
          <w:color w:val="auto"/>
          <w:sz w:val="24"/>
          <w:szCs w:val="24"/>
          <w:highlight w:val="none"/>
        </w:rPr>
        <w:t>.3</w:t>
      </w:r>
      <w:bookmarkEnd w:id="230"/>
      <w:bookmarkEnd w:id="231"/>
      <w:r>
        <w:rPr>
          <w:rFonts w:hint="eastAsia" w:ascii="宋体" w:hAnsi="宋体" w:eastAsia="宋体" w:cs="宋体"/>
          <w:b w:val="0"/>
          <w:color w:val="auto"/>
          <w:sz w:val="24"/>
          <w:szCs w:val="24"/>
          <w:highlight w:val="none"/>
        </w:rPr>
        <w:t>监理人的指</w:t>
      </w:r>
      <w:bookmarkEnd w:id="232"/>
      <w:r>
        <w:rPr>
          <w:rFonts w:hint="eastAsia" w:ascii="宋体" w:hAnsi="宋体" w:eastAsia="宋体" w:cs="宋体"/>
          <w:b w:val="0"/>
          <w:color w:val="auto"/>
          <w:sz w:val="24"/>
          <w:szCs w:val="24"/>
          <w:highlight w:val="none"/>
        </w:rPr>
        <w:t>示</w:t>
      </w:r>
      <w:bookmarkEnd w:id="229"/>
    </w:p>
    <w:p w14:paraId="07F78FA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1F3BF0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C3692B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2956650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5A3D644">
      <w:pPr>
        <w:pStyle w:val="5"/>
        <w:shd w:val="clear"/>
        <w:spacing w:before="120" w:after="120" w:line="312" w:lineRule="auto"/>
        <w:ind w:firstLine="480" w:firstLineChars="200"/>
        <w:rPr>
          <w:rFonts w:ascii="宋体" w:hAnsi="宋体" w:eastAsia="宋体" w:cs="宋体"/>
          <w:b w:val="0"/>
          <w:color w:val="auto"/>
          <w:sz w:val="24"/>
          <w:szCs w:val="24"/>
          <w:highlight w:val="none"/>
        </w:rPr>
      </w:pPr>
      <w:bookmarkStart w:id="233" w:name="_Toc351203531"/>
      <w:r>
        <w:rPr>
          <w:rFonts w:hint="eastAsia" w:ascii="宋体" w:hAnsi="宋体" w:eastAsia="宋体" w:cs="宋体"/>
          <w:b w:val="0"/>
          <w:color w:val="auto"/>
          <w:sz w:val="24"/>
          <w:szCs w:val="24"/>
          <w:highlight w:val="none"/>
        </w:rPr>
        <w:t>4</w:t>
      </w:r>
      <w:bookmarkStart w:id="234" w:name="_Toc296503057"/>
      <w:bookmarkStart w:id="235" w:name="_Toc337558757"/>
      <w:bookmarkStart w:id="236" w:name="_Toc296346558"/>
      <w:r>
        <w:rPr>
          <w:rFonts w:hint="eastAsia" w:ascii="宋体" w:hAnsi="宋体" w:eastAsia="宋体" w:cs="宋体"/>
          <w:b w:val="0"/>
          <w:color w:val="auto"/>
          <w:sz w:val="24"/>
          <w:szCs w:val="24"/>
          <w:highlight w:val="none"/>
        </w:rPr>
        <w:t>.4 商定或确定</w:t>
      </w:r>
      <w:bookmarkEnd w:id="233"/>
    </w:p>
    <w:bookmarkEnd w:id="234"/>
    <w:bookmarkEnd w:id="235"/>
    <w:bookmarkEnd w:id="236"/>
    <w:p w14:paraId="06AEEE2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7A970E6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10F8AA6">
      <w:pPr>
        <w:pStyle w:val="5"/>
        <w:shd w:val="clear"/>
        <w:spacing w:before="120" w:after="120" w:line="312" w:lineRule="auto"/>
        <w:rPr>
          <w:rFonts w:ascii="宋体" w:hAnsi="宋体" w:eastAsia="宋体" w:cs="宋体"/>
          <w:b w:val="0"/>
          <w:color w:val="auto"/>
          <w:sz w:val="24"/>
          <w:szCs w:val="24"/>
          <w:highlight w:val="none"/>
        </w:rPr>
      </w:pPr>
      <w:bookmarkStart w:id="237" w:name="_Toc351203532"/>
      <w:r>
        <w:rPr>
          <w:rFonts w:hint="eastAsia" w:ascii="宋体" w:hAnsi="宋体" w:eastAsia="宋体" w:cs="宋体"/>
          <w:b w:val="0"/>
          <w:color w:val="auto"/>
          <w:sz w:val="24"/>
          <w:szCs w:val="24"/>
          <w:highlight w:val="none"/>
        </w:rPr>
        <w:t>5</w:t>
      </w:r>
      <w:bookmarkStart w:id="238" w:name="_Toc337558758"/>
      <w:r>
        <w:rPr>
          <w:rFonts w:hint="eastAsia" w:ascii="宋体" w:hAnsi="宋体" w:eastAsia="宋体" w:cs="宋体"/>
          <w:b w:val="0"/>
          <w:color w:val="auto"/>
          <w:sz w:val="24"/>
          <w:szCs w:val="24"/>
          <w:highlight w:val="none"/>
        </w:rPr>
        <w:t>. 工程质量</w:t>
      </w:r>
      <w:bookmarkEnd w:id="237"/>
    </w:p>
    <w:bookmarkEnd w:id="238"/>
    <w:p w14:paraId="7F07039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39" w:name="_Toc351203533"/>
      <w:r>
        <w:rPr>
          <w:rFonts w:hint="eastAsia" w:ascii="宋体" w:hAnsi="宋体" w:eastAsia="宋体" w:cs="宋体"/>
          <w:b w:val="0"/>
          <w:color w:val="auto"/>
          <w:sz w:val="24"/>
          <w:szCs w:val="24"/>
          <w:highlight w:val="none"/>
        </w:rPr>
        <w:t>5</w:t>
      </w:r>
      <w:bookmarkStart w:id="240" w:name="_Toc337558759"/>
      <w:r>
        <w:rPr>
          <w:rFonts w:hint="eastAsia" w:ascii="宋体" w:hAnsi="宋体" w:eastAsia="宋体" w:cs="宋体"/>
          <w:b w:val="0"/>
          <w:color w:val="auto"/>
          <w:sz w:val="24"/>
          <w:szCs w:val="24"/>
          <w:highlight w:val="none"/>
        </w:rPr>
        <w:t>.1质量要求</w:t>
      </w:r>
      <w:bookmarkEnd w:id="239"/>
    </w:p>
    <w:bookmarkEnd w:id="240"/>
    <w:p w14:paraId="5221F7F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4F3D8E5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5.1.2 因发包人原因造成工程质量未达到合同约定标准的，由发包人承担由此增加的费用和（或）延误的工期，并支付承包人合理的利润。</w:t>
      </w:r>
    </w:p>
    <w:p w14:paraId="22BF22B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1527B0F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1" w:name="_Toc351203534"/>
      <w:r>
        <w:rPr>
          <w:rFonts w:hint="eastAsia" w:ascii="宋体" w:hAnsi="宋体" w:eastAsia="宋体" w:cs="宋体"/>
          <w:b w:val="0"/>
          <w:color w:val="auto"/>
          <w:sz w:val="24"/>
          <w:szCs w:val="24"/>
          <w:highlight w:val="none"/>
        </w:rPr>
        <w:t>5</w:t>
      </w:r>
      <w:bookmarkStart w:id="242" w:name="_Toc337558760"/>
      <w:r>
        <w:rPr>
          <w:rFonts w:hint="eastAsia" w:ascii="宋体" w:hAnsi="宋体" w:eastAsia="宋体" w:cs="宋体"/>
          <w:b w:val="0"/>
          <w:color w:val="auto"/>
          <w:sz w:val="24"/>
          <w:szCs w:val="24"/>
          <w:highlight w:val="none"/>
        </w:rPr>
        <w:t>.2质量保证措施</w:t>
      </w:r>
      <w:bookmarkEnd w:id="241"/>
    </w:p>
    <w:bookmarkEnd w:id="242"/>
    <w:p w14:paraId="4D0A3F2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5.2.1 发包人的质量管理</w:t>
      </w:r>
    </w:p>
    <w:p w14:paraId="3965DCC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发包人应按照法律规定及合同约定完成与工程质量有关的各项工作。</w:t>
      </w:r>
    </w:p>
    <w:p w14:paraId="25DD151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5.2.2 承包人的质量管理</w:t>
      </w:r>
    </w:p>
    <w:p w14:paraId="5553AFA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B44486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承包人应对施工人员进行质量教育和技术培训，定期考核施工人员的劳动技能，严格执行施工规范和操作规程。</w:t>
      </w:r>
    </w:p>
    <w:p w14:paraId="093B9DB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77B122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5.2.3 监理人的质量检查和检验</w:t>
      </w:r>
    </w:p>
    <w:p w14:paraId="3D5E84C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BE1228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AB5E96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3" w:name="_Toc351203535"/>
      <w:r>
        <w:rPr>
          <w:rFonts w:hint="eastAsia" w:ascii="宋体" w:hAnsi="宋体" w:eastAsia="宋体" w:cs="宋体"/>
          <w:b w:val="0"/>
          <w:color w:val="auto"/>
          <w:sz w:val="24"/>
          <w:szCs w:val="24"/>
          <w:highlight w:val="none"/>
        </w:rPr>
        <w:t>5</w:t>
      </w:r>
      <w:bookmarkStart w:id="244" w:name="_Toc337558761"/>
      <w:r>
        <w:rPr>
          <w:rFonts w:hint="eastAsia" w:ascii="宋体" w:hAnsi="宋体" w:eastAsia="宋体" w:cs="宋体"/>
          <w:b w:val="0"/>
          <w:color w:val="auto"/>
          <w:sz w:val="24"/>
          <w:szCs w:val="24"/>
          <w:highlight w:val="none"/>
        </w:rPr>
        <w:t>.3 隐蔽工程检查</w:t>
      </w:r>
      <w:bookmarkEnd w:id="243"/>
    </w:p>
    <w:bookmarkEnd w:id="244"/>
    <w:p w14:paraId="03275D2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5.3.1承包人自检</w:t>
      </w:r>
    </w:p>
    <w:p w14:paraId="3256FED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承包人应当对工程隐蔽部位进行自检，并经自检确认是否具备覆盖条件。</w:t>
      </w:r>
    </w:p>
    <w:p w14:paraId="09984A9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5.3.2检查程序</w:t>
      </w:r>
    </w:p>
    <w:p w14:paraId="0B6F7F6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3CC771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E523DB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C8CA2C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5.3.3 重新检查</w:t>
      </w:r>
    </w:p>
    <w:p w14:paraId="6EEE656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CAB42B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5.3.4 承包人私自覆盖</w:t>
      </w:r>
    </w:p>
    <w:p w14:paraId="26EDB2FA">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EF6ED1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5" w:name="_Toc351203536"/>
      <w:r>
        <w:rPr>
          <w:rFonts w:hint="eastAsia" w:ascii="宋体" w:hAnsi="宋体" w:eastAsia="宋体" w:cs="宋体"/>
          <w:b w:val="0"/>
          <w:color w:val="auto"/>
          <w:sz w:val="24"/>
          <w:szCs w:val="24"/>
          <w:highlight w:val="none"/>
        </w:rPr>
        <w:t>5</w:t>
      </w:r>
      <w:bookmarkStart w:id="246" w:name="_Toc337558762"/>
      <w:r>
        <w:rPr>
          <w:rFonts w:hint="eastAsia" w:ascii="宋体" w:hAnsi="宋体" w:eastAsia="宋体" w:cs="宋体"/>
          <w:b w:val="0"/>
          <w:color w:val="auto"/>
          <w:sz w:val="24"/>
          <w:szCs w:val="24"/>
          <w:highlight w:val="none"/>
        </w:rPr>
        <w:t>.4不合格工程的处理</w:t>
      </w:r>
      <w:bookmarkEnd w:id="245"/>
    </w:p>
    <w:bookmarkEnd w:id="246"/>
    <w:p w14:paraId="7759E3B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918EC0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5.4.2 因发包人原因造成工程不合格的，由此增加的费用和（或）延误的工期由发包人承担，并支付承包人合理的利润。</w:t>
      </w:r>
    </w:p>
    <w:p w14:paraId="406C0E1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7" w:name="_Toc351203537"/>
      <w:r>
        <w:rPr>
          <w:rFonts w:hint="eastAsia" w:ascii="宋体" w:hAnsi="宋体" w:eastAsia="宋体" w:cs="宋体"/>
          <w:b w:val="0"/>
          <w:color w:val="auto"/>
          <w:sz w:val="24"/>
          <w:szCs w:val="24"/>
          <w:highlight w:val="none"/>
        </w:rPr>
        <w:t>5.5 质量争议检测</w:t>
      </w:r>
      <w:bookmarkEnd w:id="247"/>
    </w:p>
    <w:p w14:paraId="5A7C587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合同当事人对工程质量有争议的，由双方协商确定的工程质量检测机构鉴定，由此产生的费用及因此造成的损失，由责任方承担。</w:t>
      </w:r>
    </w:p>
    <w:p w14:paraId="0D9D1239">
      <w:pPr>
        <w:shd w:val="clea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合同当事人均有责任的，由双方根据其责任分别承担。合同当事人无法达成一致的，按照第4.4款〔商定或确定〕执行。</w:t>
      </w:r>
    </w:p>
    <w:p w14:paraId="3BC9CBB6">
      <w:pPr>
        <w:pStyle w:val="5"/>
        <w:shd w:val="clear"/>
        <w:spacing w:before="120" w:after="120" w:line="312" w:lineRule="auto"/>
        <w:rPr>
          <w:rFonts w:ascii="宋体" w:hAnsi="宋体" w:eastAsia="宋体" w:cs="宋体"/>
          <w:b w:val="0"/>
          <w:color w:val="auto"/>
          <w:sz w:val="24"/>
          <w:szCs w:val="24"/>
          <w:highlight w:val="none"/>
        </w:rPr>
      </w:pPr>
      <w:bookmarkStart w:id="248" w:name="_Toc351203538"/>
      <w:r>
        <w:rPr>
          <w:rFonts w:hint="eastAsia" w:ascii="宋体" w:hAnsi="宋体" w:eastAsia="宋体" w:cs="宋体"/>
          <w:b w:val="0"/>
          <w:color w:val="auto"/>
          <w:sz w:val="24"/>
          <w:szCs w:val="24"/>
          <w:highlight w:val="none"/>
        </w:rPr>
        <w:t>6</w:t>
      </w:r>
      <w:bookmarkStart w:id="249" w:name="_Toc337558763"/>
      <w:r>
        <w:rPr>
          <w:rFonts w:hint="eastAsia" w:ascii="宋体" w:hAnsi="宋体" w:eastAsia="宋体" w:cs="宋体"/>
          <w:b w:val="0"/>
          <w:color w:val="auto"/>
          <w:sz w:val="24"/>
          <w:szCs w:val="24"/>
          <w:highlight w:val="none"/>
        </w:rPr>
        <w:t>. 安全文明施工与环境保护</w:t>
      </w:r>
      <w:bookmarkEnd w:id="248"/>
    </w:p>
    <w:bookmarkEnd w:id="249"/>
    <w:p w14:paraId="1201CDF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0" w:name="_Toc351203539"/>
      <w:r>
        <w:rPr>
          <w:rFonts w:hint="eastAsia" w:ascii="宋体" w:hAnsi="宋体" w:eastAsia="宋体" w:cs="宋体"/>
          <w:b w:val="0"/>
          <w:color w:val="auto"/>
          <w:sz w:val="24"/>
          <w:szCs w:val="24"/>
          <w:highlight w:val="none"/>
        </w:rPr>
        <w:t>6</w:t>
      </w:r>
      <w:bookmarkStart w:id="251" w:name="_Toc337558764"/>
      <w:r>
        <w:rPr>
          <w:rFonts w:hint="eastAsia" w:ascii="宋体" w:hAnsi="宋体" w:eastAsia="宋体" w:cs="宋体"/>
          <w:b w:val="0"/>
          <w:color w:val="auto"/>
          <w:sz w:val="24"/>
          <w:szCs w:val="24"/>
          <w:highlight w:val="none"/>
        </w:rPr>
        <w:t>.1安全文明施工</w:t>
      </w:r>
      <w:bookmarkEnd w:id="250"/>
    </w:p>
    <w:bookmarkEnd w:id="251"/>
    <w:p w14:paraId="2B813CA5">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6.1.1安全生产要求</w:t>
      </w:r>
    </w:p>
    <w:p w14:paraId="567A65CD">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5659206">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highlight w:val="none"/>
        </w:rPr>
        <w:t>政府有关行政管理部门</w:t>
      </w:r>
      <w:r>
        <w:rPr>
          <w:rFonts w:hint="eastAsia" w:ascii="宋体" w:hAnsi="宋体" w:eastAsia="宋体" w:cs="宋体"/>
          <w:color w:val="auto"/>
          <w:sz w:val="24"/>
          <w:highlight w:val="none"/>
        </w:rPr>
        <w:t>采取应急措施。</w:t>
      </w:r>
    </w:p>
    <w:p w14:paraId="237FBE81">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因安全生产需要暂停施工的，按照第7.8款〔暂停施工〕的约定执行。</w:t>
      </w:r>
    </w:p>
    <w:p w14:paraId="5D9926C7">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6.1.2 安全生产保证措施</w:t>
      </w:r>
    </w:p>
    <w:p w14:paraId="2467A22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承包人应当按照有关</w:t>
      </w:r>
      <w:r>
        <w:rPr>
          <w:rFonts w:hint="eastAsia" w:ascii="宋体" w:hAnsi="宋体" w:eastAsia="宋体" w:cs="宋体"/>
          <w:color w:val="auto"/>
          <w:kern w:val="0"/>
          <w:sz w:val="24"/>
          <w:highlight w:val="none"/>
        </w:rPr>
        <w:t>规定编制安全技术措施或者专项施工方案，</w:t>
      </w:r>
      <w:r>
        <w:rPr>
          <w:rFonts w:hint="eastAsia" w:ascii="宋体" w:hAnsi="宋体" w:eastAsia="宋体" w:cs="宋体"/>
          <w:color w:val="auto"/>
          <w:sz w:val="24"/>
          <w:highlight w:val="none"/>
        </w:rPr>
        <w:t>建立安全生产责任制度、治安保卫制度及安全生产教育培训制度，并</w:t>
      </w:r>
      <w:r>
        <w:rPr>
          <w:rFonts w:hint="eastAsia" w:ascii="宋体" w:hAnsi="宋体" w:eastAsia="宋体" w:cs="宋体"/>
          <w:color w:val="auto"/>
          <w:kern w:val="0"/>
          <w:sz w:val="24"/>
          <w:highlight w:val="none"/>
        </w:rPr>
        <w:t>按安全生产法律规定及合同约定履行安全职责，如实</w:t>
      </w:r>
      <w:r>
        <w:rPr>
          <w:rFonts w:hint="eastAsia" w:ascii="宋体" w:hAnsi="宋体" w:eastAsia="宋体" w:cs="宋体"/>
          <w:color w:val="auto"/>
          <w:sz w:val="24"/>
          <w:highlight w:val="none"/>
        </w:rPr>
        <w:t>编制工程安全生产的有关记录，</w:t>
      </w:r>
      <w:r>
        <w:rPr>
          <w:rFonts w:hint="eastAsia" w:ascii="宋体" w:hAnsi="宋体" w:eastAsia="宋体" w:cs="宋体"/>
          <w:color w:val="auto"/>
          <w:kern w:val="0"/>
          <w:sz w:val="24"/>
          <w:highlight w:val="none"/>
        </w:rPr>
        <w:t>接受发包人、监理人及政府安全监督部门的检查与监督。</w:t>
      </w:r>
    </w:p>
    <w:p w14:paraId="4BFAAC91">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6.1.3特别安全生产事项</w:t>
      </w:r>
    </w:p>
    <w:p w14:paraId="71E757B1">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BBE00A2">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46FD4C23">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542A0C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1994638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6.1.4 治安保卫</w:t>
      </w:r>
    </w:p>
    <w:p w14:paraId="3DE54D2A">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3B49D359">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发包人和承包人除应协助现场治安管理机构或联防组织维护施工场地的社会治安外，还应做好包括生活区在内的各自管辖区的治安保卫工作。</w:t>
      </w:r>
    </w:p>
    <w:p w14:paraId="6E2A9A24">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651DE04">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6.1.5 文明施工</w:t>
      </w:r>
    </w:p>
    <w:p w14:paraId="7CEA3B4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DD6AE1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5774806">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6.1.6 安全文明施工费</w:t>
      </w:r>
    </w:p>
    <w:p w14:paraId="6F9B22C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1070CEB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EFD471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1718F0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7B31CDC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6.1.7 紧急情况处理</w:t>
      </w:r>
    </w:p>
    <w:p w14:paraId="0BF7428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FF7189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6.1.8 事故处理</w:t>
      </w:r>
    </w:p>
    <w:p w14:paraId="141B76D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6ED4DA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 安全生产责任</w:t>
      </w:r>
    </w:p>
    <w:p w14:paraId="6F05720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6.1.9.1 发包人的安全责任</w:t>
      </w:r>
    </w:p>
    <w:p w14:paraId="2902BD09">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发包人应负责赔偿以下各种情况造成的损失：</w:t>
      </w:r>
    </w:p>
    <w:p w14:paraId="4D9EED2B">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7F745BC7">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（2）由于发包人原因在施工场地及其毗邻地带造成的第三者人身伤亡和财产损失；</w:t>
      </w:r>
    </w:p>
    <w:p w14:paraId="0175BF77">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（3）由于发包人原因对承包人、监理人造成的人员人身伤亡和财产损失；</w:t>
      </w:r>
    </w:p>
    <w:p w14:paraId="3AC9C0B3">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（4）由于发包人原因造成的发包人自身人员的人身伤害以及财产损失。</w:t>
      </w:r>
    </w:p>
    <w:p w14:paraId="62D18E9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6.1.9.2 承包人的安全责任</w:t>
      </w:r>
    </w:p>
    <w:p w14:paraId="1883209B">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由于承包人原因在施工场地内及其毗邻地带造成的发包人、监理人以及第三者人员伤亡和财产损失，由承包人负责赔偿。</w:t>
      </w:r>
    </w:p>
    <w:p w14:paraId="2762131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2" w:name="_Toc351203540"/>
      <w:r>
        <w:rPr>
          <w:rFonts w:hint="eastAsia" w:ascii="宋体" w:hAnsi="宋体" w:eastAsia="宋体" w:cs="宋体"/>
          <w:b w:val="0"/>
          <w:color w:val="auto"/>
          <w:sz w:val="24"/>
          <w:szCs w:val="24"/>
          <w:highlight w:val="none"/>
        </w:rPr>
        <w:t>6</w:t>
      </w:r>
      <w:bookmarkStart w:id="253" w:name="_Toc337558765"/>
      <w:r>
        <w:rPr>
          <w:rFonts w:hint="eastAsia" w:ascii="宋体" w:hAnsi="宋体" w:eastAsia="宋体" w:cs="宋体"/>
          <w:b w:val="0"/>
          <w:color w:val="auto"/>
          <w:sz w:val="24"/>
          <w:szCs w:val="24"/>
          <w:highlight w:val="none"/>
        </w:rPr>
        <w:t>.2 职业健康</w:t>
      </w:r>
      <w:bookmarkEnd w:id="252"/>
    </w:p>
    <w:bookmarkEnd w:id="253"/>
    <w:p w14:paraId="683AC08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6.2.1 劳动保护</w:t>
      </w:r>
    </w:p>
    <w:p w14:paraId="23E95D0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18CD8E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32355D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6913EA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6.2.2 生活条件</w:t>
      </w:r>
    </w:p>
    <w:p w14:paraId="21C405D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F771D1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4" w:name="_Toc351203541"/>
      <w:r>
        <w:rPr>
          <w:rFonts w:hint="eastAsia" w:ascii="宋体" w:hAnsi="宋体" w:eastAsia="宋体" w:cs="宋体"/>
          <w:b w:val="0"/>
          <w:color w:val="auto"/>
          <w:sz w:val="24"/>
          <w:szCs w:val="24"/>
          <w:highlight w:val="none"/>
        </w:rPr>
        <w:t>6</w:t>
      </w:r>
      <w:bookmarkStart w:id="255" w:name="_Toc337558766"/>
      <w:r>
        <w:rPr>
          <w:rFonts w:hint="eastAsia" w:ascii="宋体" w:hAnsi="宋体" w:eastAsia="宋体" w:cs="宋体"/>
          <w:b w:val="0"/>
          <w:color w:val="auto"/>
          <w:sz w:val="24"/>
          <w:szCs w:val="24"/>
          <w:highlight w:val="none"/>
        </w:rPr>
        <w:t>.3 环境保护</w:t>
      </w:r>
      <w:bookmarkEnd w:id="254"/>
    </w:p>
    <w:bookmarkEnd w:id="255"/>
    <w:p w14:paraId="5D0FF7E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71A0A1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2BCE1F12">
      <w:pPr>
        <w:pStyle w:val="5"/>
        <w:shd w:val="clear"/>
        <w:spacing w:before="120" w:after="120" w:line="312" w:lineRule="auto"/>
        <w:rPr>
          <w:rFonts w:ascii="宋体" w:hAnsi="宋体" w:eastAsia="宋体" w:cs="宋体"/>
          <w:b w:val="0"/>
          <w:color w:val="auto"/>
          <w:sz w:val="24"/>
          <w:szCs w:val="24"/>
          <w:highlight w:val="none"/>
        </w:rPr>
      </w:pPr>
      <w:bookmarkStart w:id="256" w:name="_Toc351203542"/>
      <w:r>
        <w:rPr>
          <w:rFonts w:hint="eastAsia" w:ascii="宋体" w:hAnsi="宋体" w:eastAsia="宋体" w:cs="宋体"/>
          <w:b w:val="0"/>
          <w:color w:val="auto"/>
          <w:sz w:val="24"/>
          <w:szCs w:val="24"/>
          <w:highlight w:val="none"/>
        </w:rPr>
        <w:t>7</w:t>
      </w:r>
      <w:bookmarkStart w:id="257" w:name="_Toc337558767"/>
      <w:r>
        <w:rPr>
          <w:rFonts w:hint="eastAsia" w:ascii="宋体" w:hAnsi="宋体" w:eastAsia="宋体" w:cs="宋体"/>
          <w:b w:val="0"/>
          <w:color w:val="auto"/>
          <w:sz w:val="24"/>
          <w:szCs w:val="24"/>
          <w:highlight w:val="none"/>
        </w:rPr>
        <w:t>. 工期和进度</w:t>
      </w:r>
      <w:bookmarkEnd w:id="256"/>
    </w:p>
    <w:bookmarkEnd w:id="257"/>
    <w:p w14:paraId="5A390D6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8" w:name="_Toc351203543"/>
      <w:r>
        <w:rPr>
          <w:rFonts w:hint="eastAsia" w:ascii="宋体" w:hAnsi="宋体" w:eastAsia="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eastAsia="宋体" w:cs="宋体"/>
          <w:b w:val="0"/>
          <w:color w:val="auto"/>
          <w:sz w:val="24"/>
          <w:szCs w:val="24"/>
          <w:highlight w:val="none"/>
        </w:rPr>
        <w:t>.1施工组织设计</w:t>
      </w:r>
      <w:bookmarkEnd w:id="258"/>
    </w:p>
    <w:bookmarkEnd w:id="259"/>
    <w:p w14:paraId="34D94B3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7.1.1 </w:t>
      </w:r>
      <w:r>
        <w:rPr>
          <w:rFonts w:hint="eastAsia" w:ascii="宋体" w:hAnsi="宋体" w:eastAsia="宋体" w:cs="宋体"/>
          <w:color w:val="auto"/>
          <w:kern w:val="0"/>
          <w:sz w:val="24"/>
          <w:highlight w:val="none"/>
        </w:rPr>
        <w:t>施工组织设计的内容</w:t>
      </w:r>
    </w:p>
    <w:p w14:paraId="1505514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施工组织设计应包含以下内容：</w:t>
      </w:r>
    </w:p>
    <w:p w14:paraId="39E3FAF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（1）施工方案； </w:t>
      </w:r>
    </w:p>
    <w:p w14:paraId="2A4DCBF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（2）施工现场平面布置图；</w:t>
      </w:r>
    </w:p>
    <w:p w14:paraId="520E6B8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（3）施工进度计划和保证措施； </w:t>
      </w:r>
    </w:p>
    <w:p w14:paraId="13F82E8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（4）劳动力及材料供应计划；</w:t>
      </w:r>
    </w:p>
    <w:p w14:paraId="748E00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（5）施工机械设备的选用；</w:t>
      </w:r>
    </w:p>
    <w:p w14:paraId="7EED759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（6）质量保证体系及措施；</w:t>
      </w:r>
    </w:p>
    <w:p w14:paraId="6CF0161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（7）安全生产、文明施工措施；</w:t>
      </w:r>
    </w:p>
    <w:p w14:paraId="24A02A4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（8）环境保护、成本控制措施；</w:t>
      </w:r>
    </w:p>
    <w:p w14:paraId="4B87E34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（9）合同当事人约定的其他内容。</w:t>
      </w:r>
    </w:p>
    <w:p w14:paraId="41A4CE8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2D57F26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154A3D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施工进度计划的编制和修改按照第7.2款〔施工进度计划〕执行。</w:t>
      </w:r>
    </w:p>
    <w:p w14:paraId="73AD662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62" w:name="_Toc351203544"/>
      <w:r>
        <w:rPr>
          <w:rFonts w:hint="eastAsia" w:ascii="宋体" w:hAnsi="宋体" w:eastAsia="宋体" w:cs="宋体"/>
          <w:b w:val="0"/>
          <w:color w:val="auto"/>
          <w:sz w:val="24"/>
          <w:szCs w:val="24"/>
          <w:highlight w:val="none"/>
        </w:rPr>
        <w:t>7</w:t>
      </w:r>
      <w:bookmarkStart w:id="263" w:name="_Toc337558769"/>
      <w:r>
        <w:rPr>
          <w:rFonts w:hint="eastAsia" w:ascii="宋体" w:hAnsi="宋体" w:eastAsia="宋体" w:cs="宋体"/>
          <w:b w:val="0"/>
          <w:color w:val="auto"/>
          <w:sz w:val="24"/>
          <w:szCs w:val="24"/>
          <w:highlight w:val="none"/>
        </w:rPr>
        <w:t>.2 施工进度计划</w:t>
      </w:r>
      <w:bookmarkEnd w:id="262"/>
    </w:p>
    <w:bookmarkEnd w:id="263"/>
    <w:p w14:paraId="04C392A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7.2.1 施工进度计划的编制</w:t>
      </w:r>
    </w:p>
    <w:p w14:paraId="567AD33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18BB58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7.2.2 施工进度计划的修订</w:t>
      </w:r>
    </w:p>
    <w:p w14:paraId="2D9F59B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EA1609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64" w:name="_Toc351203545"/>
      <w:r>
        <w:rPr>
          <w:rFonts w:hint="eastAsia" w:ascii="宋体" w:hAnsi="宋体" w:eastAsia="宋体" w:cs="宋体"/>
          <w:b w:val="0"/>
          <w:color w:val="auto"/>
          <w:sz w:val="24"/>
          <w:szCs w:val="24"/>
          <w:highlight w:val="none"/>
        </w:rPr>
        <w:t>7</w:t>
      </w:r>
      <w:bookmarkStart w:id="265" w:name="_Toc337558770"/>
      <w:r>
        <w:rPr>
          <w:rFonts w:hint="eastAsia" w:ascii="宋体" w:hAnsi="宋体" w:eastAsia="宋体" w:cs="宋体"/>
          <w:b w:val="0"/>
          <w:color w:val="auto"/>
          <w:sz w:val="24"/>
          <w:szCs w:val="24"/>
          <w:highlight w:val="none"/>
        </w:rPr>
        <w:t>.3 开工</w:t>
      </w:r>
      <w:bookmarkEnd w:id="264"/>
    </w:p>
    <w:p w14:paraId="36714715">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7.3.1 开工准备</w:t>
      </w:r>
    </w:p>
    <w:p w14:paraId="513A4F2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4A9FE0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除专用合同条款另有约定外，合同当事人应按约定完成开工准备工作。</w:t>
      </w:r>
    </w:p>
    <w:p w14:paraId="4E4A74D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开工通知</w:t>
      </w:r>
    </w:p>
    <w:bookmarkEnd w:id="265"/>
    <w:p w14:paraId="6C20D9D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673F66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5B7031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66" w:name="_Toc351203546"/>
      <w:r>
        <w:rPr>
          <w:rFonts w:hint="eastAsia" w:ascii="宋体" w:hAnsi="宋体" w:eastAsia="宋体" w:cs="宋体"/>
          <w:b w:val="0"/>
          <w:color w:val="auto"/>
          <w:sz w:val="24"/>
          <w:szCs w:val="24"/>
          <w:highlight w:val="none"/>
        </w:rPr>
        <w:t>7.4测量放线</w:t>
      </w:r>
      <w:bookmarkEnd w:id="266"/>
    </w:p>
    <w:p w14:paraId="0BAC382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41AB21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0E2362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FF4AB1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施工过程中对施工现场内水准点等测量标志物的保护工作由承包人负责。</w:t>
      </w:r>
      <w:bookmarkStart w:id="267" w:name="_Toc351203547"/>
    </w:p>
    <w:p w14:paraId="1FB3530D">
      <w:pPr>
        <w:pStyle w:val="6"/>
        <w:shd w:val="clear"/>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260"/>
      <w:bookmarkEnd w:id="261"/>
      <w:bookmarkStart w:id="268" w:name="_Toc296503073"/>
      <w:bookmarkStart w:id="269" w:name="_Toc296346574"/>
      <w:bookmarkStart w:id="270" w:name="_Toc337558772"/>
      <w:r>
        <w:rPr>
          <w:rFonts w:hint="eastAsia" w:ascii="宋体" w:hAnsi="宋体" w:eastAsia="宋体" w:cs="宋体"/>
          <w:b w:val="0"/>
          <w:color w:val="auto"/>
          <w:sz w:val="24"/>
          <w:szCs w:val="24"/>
          <w:highlight w:val="none"/>
        </w:rPr>
        <w:t>.5 工期延误</w:t>
      </w:r>
      <w:bookmarkEnd w:id="267"/>
    </w:p>
    <w:bookmarkEnd w:id="268"/>
    <w:bookmarkEnd w:id="269"/>
    <w:bookmarkEnd w:id="270"/>
    <w:p w14:paraId="3577CB8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7.5.1 因发包人原因导致工期延误</w:t>
      </w:r>
    </w:p>
    <w:p w14:paraId="670B6BF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258C881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（1）发包人未能按合同约定提供图纸或所提供图纸不符合合同约定的；</w:t>
      </w:r>
    </w:p>
    <w:p w14:paraId="5382CA6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（2）发包人未能按合同约定提供施工现场、施工条件、基础资料、许可、批准等开工条件的；</w:t>
      </w:r>
    </w:p>
    <w:p w14:paraId="5937FAA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（3）发包人提供的测量基准点、基准线和水准点及其书面资料存在错误或疏漏的；</w:t>
      </w:r>
    </w:p>
    <w:p w14:paraId="0D84E76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（4）发包人未能在计划开工日期之日起7天内同意下达开工通知的；</w:t>
      </w:r>
    </w:p>
    <w:p w14:paraId="3FB4B22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（5）发包人未能按合同约定日期支付工程预付款、进度款或竣工结算款的；</w:t>
      </w:r>
    </w:p>
    <w:p w14:paraId="6227D4C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（6）监理人未按合同约定发出指示、批准等文件的；</w:t>
      </w:r>
    </w:p>
    <w:p w14:paraId="750B8BF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（7）专用合同条款中约定的其他情形。</w:t>
      </w:r>
    </w:p>
    <w:p w14:paraId="2FA76AC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766836D">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7.5.2 因承包人原因导致工期延误</w:t>
      </w:r>
    </w:p>
    <w:p w14:paraId="4EF1093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bookmarkStart w:id="271" w:name="_Toc296346577"/>
      <w:bookmarkStart w:id="272" w:name="_Toc296503076"/>
      <w:r>
        <w:rPr>
          <w:rFonts w:hint="eastAsia" w:ascii="宋体" w:hAnsi="宋体" w:eastAsia="宋体" w:cs="宋体"/>
          <w:color w:val="auto"/>
          <w:kern w:val="0"/>
          <w:sz w:val="24"/>
          <w:highlight w:val="none"/>
        </w:rPr>
        <w:t>因</w:t>
      </w:r>
      <w:bookmarkEnd w:id="271"/>
      <w:bookmarkEnd w:id="272"/>
      <w:r>
        <w:rPr>
          <w:rFonts w:hint="eastAsia" w:ascii="宋体" w:hAnsi="宋体" w:eastAsia="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F83511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73" w:name="_Toc351203548"/>
      <w:r>
        <w:rPr>
          <w:rFonts w:hint="eastAsia" w:ascii="宋体" w:hAnsi="宋体" w:eastAsia="宋体" w:cs="宋体"/>
          <w:b w:val="0"/>
          <w:color w:val="auto"/>
          <w:sz w:val="24"/>
          <w:szCs w:val="24"/>
          <w:highlight w:val="none"/>
        </w:rPr>
        <w:t>7</w:t>
      </w:r>
      <w:bookmarkStart w:id="274" w:name="_Toc337558773"/>
      <w:bookmarkStart w:id="275" w:name="_Toc296346575"/>
      <w:bookmarkStart w:id="276" w:name="_Toc296503074"/>
      <w:bookmarkStart w:id="277" w:name="_Toc296346578"/>
      <w:bookmarkStart w:id="278" w:name="_Toc296503077"/>
      <w:r>
        <w:rPr>
          <w:rFonts w:hint="eastAsia" w:ascii="宋体" w:hAnsi="宋体" w:eastAsia="宋体" w:cs="宋体"/>
          <w:b w:val="0"/>
          <w:color w:val="auto"/>
          <w:sz w:val="24"/>
          <w:szCs w:val="24"/>
          <w:highlight w:val="none"/>
        </w:rPr>
        <w:t>.6 不利物质条件</w:t>
      </w:r>
      <w:bookmarkEnd w:id="273"/>
    </w:p>
    <w:bookmarkEnd w:id="274"/>
    <w:bookmarkEnd w:id="275"/>
    <w:bookmarkEnd w:id="276"/>
    <w:p w14:paraId="4F60D80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A19FAA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D20A85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79" w:name="_Toc351203549"/>
      <w:r>
        <w:rPr>
          <w:rFonts w:hint="eastAsia" w:ascii="宋体" w:hAnsi="宋体" w:eastAsia="宋体" w:cs="宋体"/>
          <w:b w:val="0"/>
          <w:color w:val="auto"/>
          <w:sz w:val="24"/>
          <w:szCs w:val="24"/>
          <w:highlight w:val="none"/>
        </w:rPr>
        <w:t>7</w:t>
      </w:r>
      <w:bookmarkStart w:id="280" w:name="_Toc337558774"/>
      <w:bookmarkStart w:id="281" w:name="_Toc296346576"/>
      <w:bookmarkStart w:id="282" w:name="_Toc296503075"/>
      <w:r>
        <w:rPr>
          <w:rFonts w:hint="eastAsia" w:ascii="宋体" w:hAnsi="宋体" w:eastAsia="宋体" w:cs="宋体"/>
          <w:b w:val="0"/>
          <w:color w:val="auto"/>
          <w:sz w:val="24"/>
          <w:szCs w:val="24"/>
          <w:highlight w:val="none"/>
        </w:rPr>
        <w:t>.7 异常恶劣的气候条件</w:t>
      </w:r>
      <w:bookmarkEnd w:id="279"/>
    </w:p>
    <w:bookmarkEnd w:id="280"/>
    <w:bookmarkEnd w:id="281"/>
    <w:bookmarkEnd w:id="282"/>
    <w:p w14:paraId="1182099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2A0B20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3669FBD0">
      <w:pPr>
        <w:shd w:val="clear"/>
        <w:autoSpaceDE w:val="0"/>
        <w:autoSpaceDN w:val="0"/>
        <w:adjustRightInd w:val="0"/>
        <w:spacing w:line="312"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7</w:t>
      </w:r>
      <w:bookmarkStart w:id="284" w:name="_Toc337558775"/>
      <w:r>
        <w:rPr>
          <w:rFonts w:hint="eastAsia" w:ascii="宋体" w:hAnsi="宋体" w:eastAsia="宋体" w:cs="宋体"/>
          <w:bCs/>
          <w:color w:val="auto"/>
          <w:sz w:val="24"/>
          <w:highlight w:val="none"/>
        </w:rPr>
        <w:t>.8 暂停施工</w:t>
      </w:r>
      <w:bookmarkEnd w:id="283"/>
    </w:p>
    <w:bookmarkEnd w:id="277"/>
    <w:bookmarkEnd w:id="278"/>
    <w:bookmarkEnd w:id="284"/>
    <w:p w14:paraId="4EB8AD5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7.8.1发包人原因引起的暂停施工</w:t>
      </w:r>
    </w:p>
    <w:p w14:paraId="5ABB268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45F5235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因发包人原因引起的暂停施工，发包人应承担由此增加的费用和（或）延误的工期，并支付承包人合理的利润。</w:t>
      </w:r>
    </w:p>
    <w:p w14:paraId="553CF4C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7.8.2 承包人原因引起的暂停施工</w:t>
      </w:r>
    </w:p>
    <w:p w14:paraId="3F63081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9209DB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7.8.3 指示暂停施工</w:t>
      </w:r>
    </w:p>
    <w:p w14:paraId="5545709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监理人认为有必要时，并经发包人批准后，可向承包人作出暂停施工的指示，承包人应按监理人指示暂停施工。</w:t>
      </w:r>
    </w:p>
    <w:p w14:paraId="026B842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7.8.4 紧急情况下的暂停施工</w:t>
      </w:r>
    </w:p>
    <w:p w14:paraId="098F3F1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23EE18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7.8.5 暂停施工后的复工</w:t>
      </w:r>
    </w:p>
    <w:p w14:paraId="0FF7D24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121B1B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7423027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7.8.6 暂停施工持续56天以上</w:t>
      </w:r>
    </w:p>
    <w:p w14:paraId="52D1D400">
      <w:pPr>
        <w:shd w:val="clea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2005B8">
      <w:pPr>
        <w:shd w:val="clea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400B753">
      <w:pPr>
        <w:shd w:val="clear"/>
        <w:spacing w:line="312" w:lineRule="auto"/>
        <w:ind w:left="16"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7.8.7 暂停施工期间的工程照管</w:t>
      </w:r>
    </w:p>
    <w:p w14:paraId="1B7763A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暂停施工期间，承包人应负责妥善照管工程并提供安全保障，由此增加的费用由责任方承担。</w:t>
      </w:r>
    </w:p>
    <w:p w14:paraId="7CE3970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7.8.8 暂停施工的措施</w:t>
      </w:r>
    </w:p>
    <w:p w14:paraId="5C3617C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暂停施工期间，发包人和承包人均应采取必要的措施确保工程质量及安全，防止因暂停施工扩大损失。</w:t>
      </w:r>
    </w:p>
    <w:p w14:paraId="696C764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85" w:name="_Toc351203551"/>
      <w:r>
        <w:rPr>
          <w:rFonts w:hint="eastAsia" w:ascii="宋体" w:hAnsi="宋体" w:eastAsia="宋体" w:cs="宋体"/>
          <w:b w:val="0"/>
          <w:color w:val="auto"/>
          <w:sz w:val="24"/>
          <w:szCs w:val="24"/>
          <w:highlight w:val="none"/>
        </w:rPr>
        <w:t>7.9提前竣工</w:t>
      </w:r>
      <w:bookmarkEnd w:id="285"/>
    </w:p>
    <w:p w14:paraId="2DFF606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B565B4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516E38CA">
      <w:pPr>
        <w:pStyle w:val="5"/>
        <w:shd w:val="clear"/>
        <w:spacing w:before="120" w:after="120" w:line="312" w:lineRule="auto"/>
        <w:rPr>
          <w:rFonts w:ascii="宋体" w:hAnsi="宋体" w:eastAsia="宋体" w:cs="宋体"/>
          <w:b w:val="0"/>
          <w:color w:val="auto"/>
          <w:sz w:val="24"/>
          <w:szCs w:val="24"/>
          <w:highlight w:val="none"/>
        </w:rPr>
      </w:pPr>
      <w:bookmarkStart w:id="286" w:name="_Toc351203552"/>
      <w:r>
        <w:rPr>
          <w:rFonts w:hint="eastAsia" w:ascii="宋体" w:hAnsi="宋体" w:eastAsia="宋体" w:cs="宋体"/>
          <w:b w:val="0"/>
          <w:color w:val="auto"/>
          <w:sz w:val="24"/>
          <w:szCs w:val="24"/>
          <w:highlight w:val="none"/>
        </w:rPr>
        <w:t>8</w:t>
      </w:r>
      <w:bookmarkStart w:id="287" w:name="_Toc337558776"/>
      <w:bookmarkStart w:id="288" w:name="_Toc296503058"/>
      <w:bookmarkStart w:id="289" w:name="_Toc296346559"/>
      <w:r>
        <w:rPr>
          <w:rFonts w:hint="eastAsia" w:ascii="宋体" w:hAnsi="宋体" w:eastAsia="宋体" w:cs="宋体"/>
          <w:b w:val="0"/>
          <w:color w:val="auto"/>
          <w:sz w:val="24"/>
          <w:szCs w:val="24"/>
          <w:highlight w:val="none"/>
        </w:rPr>
        <w:t>. 材料与设备</w:t>
      </w:r>
      <w:bookmarkEnd w:id="286"/>
    </w:p>
    <w:bookmarkEnd w:id="287"/>
    <w:bookmarkEnd w:id="288"/>
    <w:bookmarkEnd w:id="289"/>
    <w:p w14:paraId="1F7268E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90" w:name="_Toc351203553"/>
      <w:r>
        <w:rPr>
          <w:rFonts w:hint="eastAsia" w:ascii="宋体" w:hAnsi="宋体" w:eastAsia="宋体" w:cs="宋体"/>
          <w:b w:val="0"/>
          <w:color w:val="auto"/>
          <w:sz w:val="24"/>
          <w:szCs w:val="24"/>
          <w:highlight w:val="none"/>
        </w:rPr>
        <w:t>8</w:t>
      </w:r>
      <w:bookmarkStart w:id="291" w:name="_Toc296503059"/>
      <w:bookmarkStart w:id="292" w:name="_Toc337558777"/>
      <w:bookmarkStart w:id="293" w:name="_Toc296346560"/>
      <w:bookmarkStart w:id="294" w:name="_Toc468936960"/>
      <w:r>
        <w:rPr>
          <w:rFonts w:hint="eastAsia" w:ascii="宋体" w:hAnsi="宋体" w:eastAsia="宋体" w:cs="宋体"/>
          <w:b w:val="0"/>
          <w:color w:val="auto"/>
          <w:sz w:val="24"/>
          <w:szCs w:val="24"/>
          <w:highlight w:val="none"/>
        </w:rPr>
        <w:t>.1发包人供应材料与工程设备</w:t>
      </w:r>
      <w:bookmarkEnd w:id="290"/>
    </w:p>
    <w:bookmarkEnd w:id="291"/>
    <w:bookmarkEnd w:id="292"/>
    <w:bookmarkEnd w:id="293"/>
    <w:p w14:paraId="1E60780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4420D18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356A3C4">
      <w:pPr>
        <w:pStyle w:val="6"/>
        <w:shd w:val="clear"/>
        <w:spacing w:before="120" w:after="120" w:line="312" w:lineRule="auto"/>
        <w:ind w:firstLine="480" w:firstLineChars="200"/>
        <w:rPr>
          <w:rFonts w:ascii="宋体" w:hAnsi="宋体" w:eastAsia="宋体" w:cs="宋体"/>
          <w:color w:val="auto"/>
          <w:sz w:val="24"/>
          <w:szCs w:val="24"/>
          <w:highlight w:val="none"/>
        </w:rPr>
      </w:pPr>
      <w:bookmarkStart w:id="295" w:name="_Toc351203554"/>
      <w:r>
        <w:rPr>
          <w:rFonts w:hint="eastAsia" w:ascii="宋体" w:hAnsi="宋体" w:eastAsia="宋体" w:cs="宋体"/>
          <w:b w:val="0"/>
          <w:color w:val="auto"/>
          <w:sz w:val="24"/>
          <w:szCs w:val="24"/>
          <w:highlight w:val="none"/>
        </w:rPr>
        <w:t>8</w:t>
      </w:r>
      <w:bookmarkStart w:id="296" w:name="_Toc296503060"/>
      <w:bookmarkStart w:id="297" w:name="_Toc296346561"/>
      <w:bookmarkStart w:id="298" w:name="_Toc337558778"/>
      <w:r>
        <w:rPr>
          <w:rFonts w:hint="eastAsia" w:ascii="宋体" w:hAnsi="宋体" w:eastAsia="宋体" w:cs="宋体"/>
          <w:b w:val="0"/>
          <w:color w:val="auto"/>
          <w:sz w:val="24"/>
          <w:szCs w:val="24"/>
          <w:highlight w:val="none"/>
        </w:rPr>
        <w:t>.2承包人采购材料与工程设备</w:t>
      </w:r>
      <w:bookmarkEnd w:id="295"/>
    </w:p>
    <w:bookmarkEnd w:id="296"/>
    <w:bookmarkEnd w:id="297"/>
    <w:bookmarkEnd w:id="298"/>
    <w:p w14:paraId="7AEB243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1C2841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99" w:name="_Toc351203555"/>
      <w:r>
        <w:rPr>
          <w:rFonts w:hint="eastAsia" w:ascii="宋体" w:hAnsi="宋体" w:eastAsia="宋体" w:cs="宋体"/>
          <w:b w:val="0"/>
          <w:color w:val="auto"/>
          <w:sz w:val="24"/>
          <w:szCs w:val="24"/>
          <w:highlight w:val="none"/>
        </w:rPr>
        <w:t>8</w:t>
      </w:r>
      <w:bookmarkStart w:id="300" w:name="_Toc337558779"/>
      <w:bookmarkStart w:id="301" w:name="_Toc296346562"/>
      <w:bookmarkStart w:id="302" w:name="_Toc296503061"/>
      <w:r>
        <w:rPr>
          <w:rFonts w:hint="eastAsia" w:ascii="宋体" w:hAnsi="宋体" w:eastAsia="宋体" w:cs="宋体"/>
          <w:b w:val="0"/>
          <w:color w:val="auto"/>
          <w:sz w:val="24"/>
          <w:szCs w:val="24"/>
          <w:highlight w:val="none"/>
        </w:rPr>
        <w:t>.3材料与工程设备的接收与拒收</w:t>
      </w:r>
      <w:bookmarkEnd w:id="299"/>
    </w:p>
    <w:bookmarkEnd w:id="300"/>
    <w:bookmarkEnd w:id="301"/>
    <w:bookmarkEnd w:id="302"/>
    <w:p w14:paraId="2DD1F35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E6955A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48DEB9E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eastAsia="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07B5F5F0">
      <w:pPr>
        <w:shd w:val="clear"/>
        <w:autoSpaceDE w:val="0"/>
        <w:autoSpaceDN w:val="0"/>
        <w:adjustRightInd w:val="0"/>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07BE47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04" w:name="_Toc351203556"/>
      <w:r>
        <w:rPr>
          <w:rFonts w:hint="eastAsia" w:ascii="宋体" w:hAnsi="宋体" w:eastAsia="宋体" w:cs="宋体"/>
          <w:b w:val="0"/>
          <w:color w:val="auto"/>
          <w:sz w:val="24"/>
          <w:szCs w:val="24"/>
          <w:highlight w:val="none"/>
        </w:rPr>
        <w:t>8</w:t>
      </w:r>
      <w:bookmarkStart w:id="305" w:name="_Toc296346563"/>
      <w:bookmarkStart w:id="306" w:name="_Toc337558780"/>
      <w:bookmarkStart w:id="307" w:name="_Toc296503062"/>
      <w:r>
        <w:rPr>
          <w:rFonts w:hint="eastAsia" w:ascii="宋体" w:hAnsi="宋体" w:eastAsia="宋体" w:cs="宋体"/>
          <w:b w:val="0"/>
          <w:color w:val="auto"/>
          <w:sz w:val="24"/>
          <w:szCs w:val="24"/>
          <w:highlight w:val="none"/>
        </w:rPr>
        <w:t>.4材料与工程设备的保管与使用</w:t>
      </w:r>
      <w:bookmarkEnd w:id="304"/>
    </w:p>
    <w:bookmarkEnd w:id="305"/>
    <w:bookmarkEnd w:id="306"/>
    <w:bookmarkEnd w:id="307"/>
    <w:p w14:paraId="1B66EEB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8.4.1 发包人供应</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05FBDB5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5CB6DA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发包人供应的材料和工程设备使用前，由承包人负责检验，检验费用由发包人承担，不合格的不得使用。</w:t>
      </w:r>
    </w:p>
    <w:p w14:paraId="6D53655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承包人采购</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74F4F4E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F4730C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3B30C77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08" w:name="_Toc351203557"/>
      <w:r>
        <w:rPr>
          <w:rFonts w:hint="eastAsia" w:ascii="宋体" w:hAnsi="宋体" w:eastAsia="宋体" w:cs="宋体"/>
          <w:b w:val="0"/>
          <w:color w:val="auto"/>
          <w:sz w:val="24"/>
          <w:szCs w:val="24"/>
          <w:highlight w:val="none"/>
        </w:rPr>
        <w:t>8.5禁止使用不合格的材料和工程设备</w:t>
      </w:r>
      <w:bookmarkEnd w:id="308"/>
    </w:p>
    <w:p w14:paraId="60CE00B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E8F0CE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290ECF2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3A73D93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09" w:name="_Toc351203558"/>
      <w:r>
        <w:rPr>
          <w:rFonts w:hint="eastAsia" w:ascii="宋体" w:hAnsi="宋体" w:eastAsia="宋体" w:cs="宋体"/>
          <w:b w:val="0"/>
          <w:color w:val="auto"/>
          <w:sz w:val="24"/>
          <w:szCs w:val="24"/>
          <w:highlight w:val="none"/>
        </w:rPr>
        <w:t>8.6 样品</w:t>
      </w:r>
      <w:bookmarkEnd w:id="309"/>
    </w:p>
    <w:p w14:paraId="270FAB4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样品的报送与封存</w:t>
      </w:r>
    </w:p>
    <w:p w14:paraId="459B6CC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需要承包人报送样品的材料或工程设备，样品的种类、名称、规格、数量等要求均应在专用合同条款中约定。样品的报送程序如下：</w:t>
      </w:r>
    </w:p>
    <w:p w14:paraId="5A9AEFB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6D52FE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D3C110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4AA5175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8F322A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8.6.2 样品的保管</w:t>
      </w:r>
    </w:p>
    <w:p w14:paraId="4202BEC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经批准的样品应由监理人负责封存于现场，承包人应在现场为保存样品提供适当和固定的场所并保持适当和良好的存储环境条件。</w:t>
      </w:r>
    </w:p>
    <w:p w14:paraId="2220557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0" w:name="_Toc351203559"/>
      <w:r>
        <w:rPr>
          <w:rFonts w:hint="eastAsia" w:ascii="宋体" w:hAnsi="宋体" w:eastAsia="宋体" w:cs="宋体"/>
          <w:b w:val="0"/>
          <w:color w:val="auto"/>
          <w:sz w:val="24"/>
          <w:szCs w:val="24"/>
          <w:highlight w:val="none"/>
        </w:rPr>
        <w:t>8.7材料与工程设备的替代</w:t>
      </w:r>
      <w:bookmarkEnd w:id="310"/>
    </w:p>
    <w:p w14:paraId="5DD36AB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8.7.1 出现下列情况需要使用替代材料和工程设备的，承包人应按照第8.7.2项约定的程序执行：</w:t>
      </w:r>
    </w:p>
    <w:p w14:paraId="3F41D9E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（1）基准日期后生效的法律规定禁止使用的；</w:t>
      </w:r>
    </w:p>
    <w:p w14:paraId="1EE842B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（2）发包人要求使用替代品的；</w:t>
      </w:r>
    </w:p>
    <w:p w14:paraId="609B4C5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（3）因其他原因必须使用替代品的。</w:t>
      </w:r>
    </w:p>
    <w:p w14:paraId="5028BB1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8.7.2 承包人应在使用替代材料和工程设备28天前书面通知监理人，并附下列文件：</w:t>
      </w:r>
    </w:p>
    <w:p w14:paraId="02FD5C4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（1）被替代的材料和工程设备的名称、数量、规格、型号、品牌、性能、价格及其他相关资料；</w:t>
      </w:r>
    </w:p>
    <w:p w14:paraId="11F4331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（2）替代品的名称、数量、规格、型号、品牌、性能、价格及其他相关资料；</w:t>
      </w:r>
    </w:p>
    <w:p w14:paraId="6C61C3B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（3）替代品与被替代产品之间的差异以及使用替代品可能对工程产生的影响；</w:t>
      </w:r>
    </w:p>
    <w:p w14:paraId="7CAD480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（4）替代品与被替代产品的价格差异；</w:t>
      </w:r>
    </w:p>
    <w:p w14:paraId="0429DFF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（5）使用替代品的理由和原因说明；</w:t>
      </w:r>
    </w:p>
    <w:p w14:paraId="3E3A0C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（6）监理人要求的其他文件。</w:t>
      </w:r>
    </w:p>
    <w:p w14:paraId="2FDEB4D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监理人应在收到通知后14天内向承包人发出经发包人签认的书面指示；监理人逾期发出书面指示的，视为发包人和监理人同意使用替代品。</w:t>
      </w:r>
    </w:p>
    <w:p w14:paraId="1355AB7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E2ADB7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1" w:name="_Toc351203560"/>
      <w:r>
        <w:rPr>
          <w:rFonts w:hint="eastAsia" w:ascii="宋体" w:hAnsi="宋体" w:eastAsia="宋体" w:cs="宋体"/>
          <w:b w:val="0"/>
          <w:color w:val="auto"/>
          <w:sz w:val="24"/>
          <w:szCs w:val="24"/>
          <w:highlight w:val="none"/>
        </w:rPr>
        <w:t>8.8施工设备和临时设施</w:t>
      </w:r>
      <w:bookmarkEnd w:id="311"/>
    </w:p>
    <w:p w14:paraId="6B110C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8.8.1 承包人提供的施工设备和临时设施</w:t>
      </w:r>
    </w:p>
    <w:p w14:paraId="7D303FF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587892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除专用合同条款另有约定外，承包人应自行承担修建临时设施的费用，需要临时占地的，应由发包人办理申请手续并承担相应费用。</w:t>
      </w:r>
    </w:p>
    <w:p w14:paraId="44BDD66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8.8.2发包人提供的施工设备和临时设施</w:t>
      </w:r>
    </w:p>
    <w:p w14:paraId="61F081B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发包人提供的施工设备或临时设施在专用合同条款中约定。</w:t>
      </w:r>
    </w:p>
    <w:p w14:paraId="174497A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8.8.3要求承包人增加或更换施工设备</w:t>
      </w:r>
    </w:p>
    <w:p w14:paraId="42C911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F514C1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2" w:name="_Toc351203561"/>
      <w:r>
        <w:rPr>
          <w:rFonts w:hint="eastAsia" w:ascii="宋体" w:hAnsi="宋体" w:eastAsia="宋体" w:cs="宋体"/>
          <w:b w:val="0"/>
          <w:color w:val="auto"/>
          <w:sz w:val="24"/>
          <w:szCs w:val="24"/>
          <w:highlight w:val="none"/>
        </w:rPr>
        <w:t>8</w:t>
      </w:r>
      <w:bookmarkStart w:id="313" w:name="_Toc337558781"/>
      <w:bookmarkStart w:id="314" w:name="_Toc296346564"/>
      <w:bookmarkStart w:id="315" w:name="_Toc296503063"/>
      <w:r>
        <w:rPr>
          <w:rFonts w:hint="eastAsia" w:ascii="宋体" w:hAnsi="宋体" w:eastAsia="宋体" w:cs="宋体"/>
          <w:b w:val="0"/>
          <w:color w:val="auto"/>
          <w:sz w:val="24"/>
          <w:szCs w:val="24"/>
          <w:highlight w:val="none"/>
        </w:rPr>
        <w:t>.9材料与设备专用</w:t>
      </w:r>
      <w:bookmarkEnd w:id="312"/>
      <w:r>
        <w:rPr>
          <w:rFonts w:hint="eastAsia" w:ascii="宋体" w:hAnsi="宋体" w:eastAsia="宋体" w:cs="宋体"/>
          <w:b w:val="0"/>
          <w:color w:val="auto"/>
          <w:sz w:val="24"/>
          <w:szCs w:val="24"/>
          <w:highlight w:val="none"/>
        </w:rPr>
        <w:t>要求</w:t>
      </w:r>
    </w:p>
    <w:bookmarkEnd w:id="313"/>
    <w:bookmarkEnd w:id="314"/>
    <w:bookmarkEnd w:id="315"/>
    <w:p w14:paraId="61556B0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eastAsia="宋体" w:cs="宋体"/>
          <w:color w:val="auto"/>
          <w:kern w:val="0"/>
          <w:sz w:val="24"/>
          <w:highlight w:val="none"/>
        </w:rPr>
        <w:t>经发包人批准，承包人可以根据施工进度计划撤走闲置的施工设备和其他物品。</w:t>
      </w:r>
    </w:p>
    <w:p w14:paraId="69F7FE5E">
      <w:pPr>
        <w:pStyle w:val="5"/>
        <w:shd w:val="clear"/>
        <w:spacing w:before="120" w:after="120" w:line="312" w:lineRule="auto"/>
        <w:rPr>
          <w:rFonts w:ascii="宋体" w:hAnsi="宋体" w:eastAsia="宋体" w:cs="宋体"/>
          <w:b w:val="0"/>
          <w:color w:val="auto"/>
          <w:sz w:val="24"/>
          <w:szCs w:val="24"/>
          <w:highlight w:val="none"/>
        </w:rPr>
      </w:pPr>
      <w:bookmarkStart w:id="316" w:name="_Toc351203562"/>
      <w:r>
        <w:rPr>
          <w:rFonts w:hint="eastAsia" w:ascii="宋体" w:hAnsi="宋体" w:eastAsia="宋体" w:cs="宋体"/>
          <w:b w:val="0"/>
          <w:color w:val="auto"/>
          <w:sz w:val="24"/>
          <w:szCs w:val="24"/>
          <w:highlight w:val="none"/>
        </w:rPr>
        <w:t>9</w:t>
      </w:r>
      <w:bookmarkStart w:id="317" w:name="_Toc337558782"/>
      <w:bookmarkStart w:id="318" w:name="_Toc296346584"/>
      <w:bookmarkStart w:id="319" w:name="_Toc296503083"/>
      <w:r>
        <w:rPr>
          <w:rFonts w:hint="eastAsia" w:ascii="宋体" w:hAnsi="宋体" w:eastAsia="宋体" w:cs="宋体"/>
          <w:b w:val="0"/>
          <w:color w:val="auto"/>
          <w:sz w:val="24"/>
          <w:szCs w:val="24"/>
          <w:highlight w:val="none"/>
        </w:rPr>
        <w:t>. 试验与检验</w:t>
      </w:r>
      <w:bookmarkEnd w:id="316"/>
    </w:p>
    <w:bookmarkEnd w:id="317"/>
    <w:p w14:paraId="17B4AB6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20" w:name="_Toc351203563"/>
      <w:r>
        <w:rPr>
          <w:rFonts w:hint="eastAsia" w:ascii="宋体" w:hAnsi="宋体" w:eastAsia="宋体" w:cs="宋体"/>
          <w:b w:val="0"/>
          <w:color w:val="auto"/>
          <w:sz w:val="24"/>
          <w:szCs w:val="24"/>
          <w:highlight w:val="none"/>
        </w:rPr>
        <w:t>9</w:t>
      </w:r>
      <w:bookmarkStart w:id="321" w:name="_Toc337558783"/>
      <w:r>
        <w:rPr>
          <w:rFonts w:hint="eastAsia" w:ascii="宋体" w:hAnsi="宋体" w:eastAsia="宋体" w:cs="宋体"/>
          <w:b w:val="0"/>
          <w:color w:val="auto"/>
          <w:sz w:val="24"/>
          <w:szCs w:val="24"/>
          <w:highlight w:val="none"/>
        </w:rPr>
        <w:t>.1试验设备与试验人员</w:t>
      </w:r>
      <w:bookmarkEnd w:id="320"/>
    </w:p>
    <w:bookmarkEnd w:id="321"/>
    <w:p w14:paraId="2789C26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EA10A7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9.1.2 承包人应按专用合同条款的约定提供试验设备、取样装置、试验场所和试验条件，并向监理人提交相应进场计划表。</w:t>
      </w:r>
    </w:p>
    <w:p w14:paraId="11C5A13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2DEE7F5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2921FE3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22" w:name="_Toc351203564"/>
      <w:r>
        <w:rPr>
          <w:rFonts w:hint="eastAsia" w:ascii="宋体" w:hAnsi="宋体" w:eastAsia="宋体" w:cs="宋体"/>
          <w:b w:val="0"/>
          <w:color w:val="auto"/>
          <w:sz w:val="24"/>
          <w:szCs w:val="24"/>
          <w:highlight w:val="none"/>
        </w:rPr>
        <w:t>9</w:t>
      </w:r>
      <w:bookmarkStart w:id="323" w:name="_Toc337558784"/>
      <w:r>
        <w:rPr>
          <w:rFonts w:hint="eastAsia" w:ascii="宋体" w:hAnsi="宋体" w:eastAsia="宋体" w:cs="宋体"/>
          <w:b w:val="0"/>
          <w:color w:val="auto"/>
          <w:sz w:val="24"/>
          <w:szCs w:val="24"/>
          <w:highlight w:val="none"/>
        </w:rPr>
        <w:t>.2取样</w:t>
      </w:r>
      <w:bookmarkEnd w:id="322"/>
    </w:p>
    <w:bookmarkEnd w:id="323"/>
    <w:p w14:paraId="7BE5553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试验属于自检性质的，承包人可以单独取样。试验属于监理人抽检性质的，可由监理人取样，也可由承包人的试验人员在监理人的监督下取样。</w:t>
      </w:r>
    </w:p>
    <w:p w14:paraId="32505AF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24" w:name="_Toc351203565"/>
      <w:r>
        <w:rPr>
          <w:rFonts w:hint="eastAsia" w:ascii="宋体" w:hAnsi="宋体" w:eastAsia="宋体" w:cs="宋体"/>
          <w:b w:val="0"/>
          <w:color w:val="auto"/>
          <w:sz w:val="24"/>
          <w:szCs w:val="24"/>
          <w:highlight w:val="none"/>
        </w:rPr>
        <w:t>9</w:t>
      </w:r>
      <w:bookmarkStart w:id="325" w:name="_Toc337558785"/>
      <w:r>
        <w:rPr>
          <w:rFonts w:hint="eastAsia" w:ascii="宋体" w:hAnsi="宋体" w:eastAsia="宋体" w:cs="宋体"/>
          <w:b w:val="0"/>
          <w:color w:val="auto"/>
          <w:sz w:val="24"/>
          <w:szCs w:val="24"/>
          <w:highlight w:val="none"/>
        </w:rPr>
        <w:t>.3材料、工程设备和工程的试验和检验</w:t>
      </w:r>
      <w:bookmarkEnd w:id="324"/>
    </w:p>
    <w:bookmarkEnd w:id="325"/>
    <w:p w14:paraId="78B2F29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4EF9EF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6F41B1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C85FE6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26" w:name="_Toc351203566"/>
      <w:r>
        <w:rPr>
          <w:rFonts w:hint="eastAsia" w:ascii="宋体" w:hAnsi="宋体" w:eastAsia="宋体" w:cs="宋体"/>
          <w:b w:val="0"/>
          <w:color w:val="auto"/>
          <w:sz w:val="24"/>
          <w:szCs w:val="24"/>
          <w:highlight w:val="none"/>
        </w:rPr>
        <w:t>9</w:t>
      </w:r>
      <w:bookmarkStart w:id="327" w:name="_Toc337558786"/>
      <w:r>
        <w:rPr>
          <w:rFonts w:hint="eastAsia" w:ascii="宋体" w:hAnsi="宋体" w:eastAsia="宋体" w:cs="宋体"/>
          <w:b w:val="0"/>
          <w:color w:val="auto"/>
          <w:sz w:val="24"/>
          <w:szCs w:val="24"/>
          <w:highlight w:val="none"/>
        </w:rPr>
        <w:t>.4现场工艺试验</w:t>
      </w:r>
      <w:bookmarkEnd w:id="326"/>
    </w:p>
    <w:bookmarkEnd w:id="327"/>
    <w:p w14:paraId="7D257A2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5F5F36F7">
      <w:pPr>
        <w:pStyle w:val="5"/>
        <w:shd w:val="clear"/>
        <w:spacing w:before="120" w:after="120" w:line="312" w:lineRule="auto"/>
        <w:rPr>
          <w:rFonts w:ascii="宋体" w:hAnsi="宋体" w:eastAsia="宋体" w:cs="宋体"/>
          <w:b w:val="0"/>
          <w:color w:val="auto"/>
          <w:sz w:val="24"/>
          <w:szCs w:val="24"/>
          <w:highlight w:val="none"/>
        </w:rPr>
      </w:pPr>
      <w:bookmarkStart w:id="328" w:name="_Toc351203567"/>
      <w:r>
        <w:rPr>
          <w:rFonts w:hint="eastAsia" w:ascii="宋体" w:hAnsi="宋体" w:eastAsia="宋体" w:cs="宋体"/>
          <w:b w:val="0"/>
          <w:color w:val="auto"/>
          <w:sz w:val="24"/>
          <w:szCs w:val="24"/>
          <w:highlight w:val="none"/>
        </w:rPr>
        <w:t>1</w:t>
      </w:r>
      <w:bookmarkStart w:id="329" w:name="_Toc337558787"/>
      <w:r>
        <w:rPr>
          <w:rFonts w:hint="eastAsia" w:ascii="宋体" w:hAnsi="宋体" w:eastAsia="宋体" w:cs="宋体"/>
          <w:b w:val="0"/>
          <w:color w:val="auto"/>
          <w:sz w:val="24"/>
          <w:szCs w:val="24"/>
          <w:highlight w:val="none"/>
        </w:rPr>
        <w:t>0. 变更</w:t>
      </w:r>
      <w:bookmarkEnd w:id="318"/>
      <w:bookmarkEnd w:id="319"/>
      <w:bookmarkEnd w:id="328"/>
    </w:p>
    <w:bookmarkEnd w:id="329"/>
    <w:p w14:paraId="34A5298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30" w:name="_Toc351203568"/>
      <w:r>
        <w:rPr>
          <w:rFonts w:hint="eastAsia" w:ascii="宋体" w:hAnsi="宋体" w:eastAsia="宋体" w:cs="宋体"/>
          <w:b w:val="0"/>
          <w:color w:val="auto"/>
          <w:sz w:val="24"/>
          <w:szCs w:val="24"/>
          <w:highlight w:val="none"/>
        </w:rPr>
        <w:t>1</w:t>
      </w:r>
      <w:bookmarkStart w:id="331" w:name="_Toc296346585"/>
      <w:bookmarkStart w:id="332" w:name="_Toc337558788"/>
      <w:bookmarkStart w:id="333" w:name="_Toc296503084"/>
      <w:r>
        <w:rPr>
          <w:rFonts w:hint="eastAsia" w:ascii="宋体" w:hAnsi="宋体" w:eastAsia="宋体" w:cs="宋体"/>
          <w:b w:val="0"/>
          <w:color w:val="auto"/>
          <w:sz w:val="24"/>
          <w:szCs w:val="24"/>
          <w:highlight w:val="none"/>
        </w:rPr>
        <w:t>0.1变更的范围</w:t>
      </w:r>
      <w:bookmarkEnd w:id="330"/>
    </w:p>
    <w:bookmarkEnd w:id="331"/>
    <w:bookmarkEnd w:id="332"/>
    <w:bookmarkEnd w:id="333"/>
    <w:p w14:paraId="7F1687B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除专用合同条款另有约定外，合同履行过程中发生以下情形的，应按照本条约定进行变更：</w:t>
      </w:r>
    </w:p>
    <w:p w14:paraId="1136592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（1）增加或减少合同中任何工作，或追加额外的工作；</w:t>
      </w:r>
    </w:p>
    <w:p w14:paraId="34FC426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（2）取消合同中任何工作，但转由他人实施的工作除外；</w:t>
      </w:r>
    </w:p>
    <w:p w14:paraId="0555094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（3）改变合同中任何工作的质量标准或其他特性；</w:t>
      </w:r>
    </w:p>
    <w:p w14:paraId="229EDC1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（4）改变工程的基线、标高、位置和尺寸；</w:t>
      </w:r>
    </w:p>
    <w:p w14:paraId="7F9C257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（5）改变工程的时间安排或实施顺序。</w:t>
      </w:r>
    </w:p>
    <w:p w14:paraId="6CEC0C6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34" w:name="_Toc351203569"/>
      <w:r>
        <w:rPr>
          <w:rFonts w:hint="eastAsia" w:ascii="宋体" w:hAnsi="宋体" w:eastAsia="宋体" w:cs="宋体"/>
          <w:b w:val="0"/>
          <w:color w:val="auto"/>
          <w:sz w:val="24"/>
          <w:szCs w:val="24"/>
          <w:highlight w:val="none"/>
        </w:rPr>
        <w:t>1</w:t>
      </w:r>
      <w:bookmarkStart w:id="335" w:name="_Toc337558789"/>
      <w:bookmarkStart w:id="336" w:name="_Toc296503085"/>
      <w:bookmarkStart w:id="337" w:name="_Toc296346586"/>
      <w:r>
        <w:rPr>
          <w:rFonts w:hint="eastAsia" w:ascii="宋体" w:hAnsi="宋体" w:eastAsia="宋体" w:cs="宋体"/>
          <w:b w:val="0"/>
          <w:color w:val="auto"/>
          <w:sz w:val="24"/>
          <w:szCs w:val="24"/>
          <w:highlight w:val="none"/>
        </w:rPr>
        <w:t>0.2变更权</w:t>
      </w:r>
      <w:bookmarkEnd w:id="334"/>
    </w:p>
    <w:bookmarkEnd w:id="335"/>
    <w:bookmarkEnd w:id="336"/>
    <w:bookmarkEnd w:id="337"/>
    <w:p w14:paraId="514649A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961489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16D3013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38" w:name="_Toc351203570"/>
      <w:r>
        <w:rPr>
          <w:rFonts w:hint="eastAsia" w:ascii="宋体" w:hAnsi="宋体" w:eastAsia="宋体" w:cs="宋体"/>
          <w:b w:val="0"/>
          <w:color w:val="auto"/>
          <w:sz w:val="24"/>
          <w:szCs w:val="24"/>
          <w:highlight w:val="none"/>
        </w:rPr>
        <w:t>1</w:t>
      </w:r>
      <w:bookmarkStart w:id="339" w:name="_Toc296503086"/>
      <w:bookmarkStart w:id="340" w:name="_Toc337558790"/>
      <w:bookmarkStart w:id="341" w:name="_Toc296346587"/>
      <w:r>
        <w:rPr>
          <w:rFonts w:hint="eastAsia" w:ascii="宋体" w:hAnsi="宋体" w:eastAsia="宋体" w:cs="宋体"/>
          <w:b w:val="0"/>
          <w:color w:val="auto"/>
          <w:sz w:val="24"/>
          <w:szCs w:val="24"/>
          <w:highlight w:val="none"/>
        </w:rPr>
        <w:t>0.3变更程序</w:t>
      </w:r>
      <w:bookmarkEnd w:id="338"/>
    </w:p>
    <w:bookmarkEnd w:id="339"/>
    <w:bookmarkEnd w:id="340"/>
    <w:bookmarkEnd w:id="341"/>
    <w:p w14:paraId="2E57434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.3.1 发包人提出变更</w:t>
      </w:r>
    </w:p>
    <w:p w14:paraId="72F7EF8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发包人提出变更的，应通过监理人向承包人发出变更指示，变更指示应说明计划变更的工程范围和变更的内容。</w:t>
      </w:r>
    </w:p>
    <w:p w14:paraId="5BDE56F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.3.2 监理人提出变更建议</w:t>
      </w:r>
    </w:p>
    <w:p w14:paraId="14AAF00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034FFF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10.3.3 变更执行</w:t>
      </w:r>
    </w:p>
    <w:p w14:paraId="2186F88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99EA82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42" w:name="_Toc351203571"/>
      <w:r>
        <w:rPr>
          <w:rFonts w:hint="eastAsia" w:ascii="宋体" w:hAnsi="宋体" w:eastAsia="宋体" w:cs="宋体"/>
          <w:b w:val="0"/>
          <w:color w:val="auto"/>
          <w:sz w:val="24"/>
          <w:szCs w:val="24"/>
          <w:highlight w:val="none"/>
        </w:rPr>
        <w:t>1</w:t>
      </w:r>
      <w:bookmarkStart w:id="343" w:name="_Toc337558791"/>
      <w:bookmarkStart w:id="344" w:name="_Toc296346588"/>
      <w:bookmarkStart w:id="345" w:name="_Toc296503087"/>
      <w:r>
        <w:rPr>
          <w:rFonts w:hint="eastAsia" w:ascii="宋体" w:hAnsi="宋体" w:eastAsia="宋体" w:cs="宋体"/>
          <w:b w:val="0"/>
          <w:color w:val="auto"/>
          <w:sz w:val="24"/>
          <w:szCs w:val="24"/>
          <w:highlight w:val="none"/>
        </w:rPr>
        <w:t>0.4变更估价</w:t>
      </w:r>
      <w:bookmarkEnd w:id="342"/>
    </w:p>
    <w:bookmarkEnd w:id="343"/>
    <w:bookmarkEnd w:id="344"/>
    <w:bookmarkEnd w:id="345"/>
    <w:p w14:paraId="10E2005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10.4.1 变更估价原则</w:t>
      </w:r>
    </w:p>
    <w:p w14:paraId="1582DF9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除专用合同条款另有约定外，变更估价按照本款约定处理：</w:t>
      </w:r>
    </w:p>
    <w:p w14:paraId="24801FE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（1）已标价工程量清单或预算书有相同项目的，按照相同项目单价认定；</w:t>
      </w:r>
    </w:p>
    <w:p w14:paraId="793ED56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（2）已标价工程量清单或预算书中无相同项目，但有类似项目的，参照类似项目的单价认定；</w:t>
      </w:r>
    </w:p>
    <w:p w14:paraId="3570415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D9E864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10.4.2 变更估价程序</w:t>
      </w:r>
    </w:p>
    <w:p w14:paraId="039C98C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6799D7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因变更引起的价格调整应计入最近一期的进度款中支付。</w:t>
      </w:r>
    </w:p>
    <w:p w14:paraId="6526E70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46" w:name="_Toc351203572"/>
      <w:r>
        <w:rPr>
          <w:rFonts w:hint="eastAsia" w:ascii="宋体" w:hAnsi="宋体" w:eastAsia="宋体" w:cs="宋体"/>
          <w:b w:val="0"/>
          <w:color w:val="auto"/>
          <w:sz w:val="24"/>
          <w:szCs w:val="24"/>
          <w:highlight w:val="none"/>
        </w:rPr>
        <w:t>1</w:t>
      </w:r>
      <w:bookmarkStart w:id="347" w:name="_Toc296503094"/>
      <w:bookmarkStart w:id="348" w:name="_Toc337558792"/>
      <w:bookmarkStart w:id="349" w:name="_Toc296346595"/>
      <w:r>
        <w:rPr>
          <w:rFonts w:hint="eastAsia" w:ascii="宋体" w:hAnsi="宋体" w:eastAsia="宋体" w:cs="宋体"/>
          <w:b w:val="0"/>
          <w:color w:val="auto"/>
          <w:sz w:val="24"/>
          <w:szCs w:val="24"/>
          <w:highlight w:val="none"/>
        </w:rPr>
        <w:t>0.5承包人的合理化建议</w:t>
      </w:r>
      <w:bookmarkEnd w:id="346"/>
    </w:p>
    <w:bookmarkEnd w:id="347"/>
    <w:bookmarkEnd w:id="348"/>
    <w:bookmarkEnd w:id="349"/>
    <w:p w14:paraId="134DB5D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承包人提出合理化建议的，应向监理人提交合理化建议说明，说明建议的内容和理由，以及实施该建议对合同价格和工期的影响。</w:t>
      </w:r>
    </w:p>
    <w:p w14:paraId="53E7FD3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9293C3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合理化建议降低了合同价格或者提高了工程经济效益的，发包人可对承包人给予奖励，奖励的方法和金额在专用合同条款中约定。</w:t>
      </w:r>
    </w:p>
    <w:p w14:paraId="2FFF2EF5">
      <w:pPr>
        <w:pStyle w:val="6"/>
        <w:shd w:val="clear"/>
        <w:spacing w:before="120" w:after="120" w:line="312" w:lineRule="auto"/>
        <w:ind w:firstLine="480" w:firstLineChars="200"/>
        <w:rPr>
          <w:rFonts w:ascii="宋体" w:hAnsi="宋体" w:eastAsia="宋体" w:cs="宋体"/>
          <w:color w:val="auto"/>
          <w:sz w:val="24"/>
          <w:szCs w:val="24"/>
          <w:highlight w:val="none"/>
        </w:rPr>
      </w:pPr>
      <w:bookmarkStart w:id="350" w:name="_Toc351203573"/>
      <w:r>
        <w:rPr>
          <w:rFonts w:hint="eastAsia" w:ascii="宋体" w:hAnsi="宋体" w:eastAsia="宋体" w:cs="宋体"/>
          <w:b w:val="0"/>
          <w:color w:val="auto"/>
          <w:sz w:val="24"/>
          <w:szCs w:val="24"/>
          <w:highlight w:val="none"/>
        </w:rPr>
        <w:t>1</w:t>
      </w:r>
      <w:bookmarkStart w:id="351" w:name="_Toc337558793"/>
      <w:r>
        <w:rPr>
          <w:rFonts w:hint="eastAsia" w:ascii="宋体" w:hAnsi="宋体" w:eastAsia="宋体" w:cs="宋体"/>
          <w:b w:val="0"/>
          <w:color w:val="auto"/>
          <w:sz w:val="24"/>
          <w:szCs w:val="24"/>
          <w:highlight w:val="none"/>
        </w:rPr>
        <w:t>0.6变更引起的工期调整</w:t>
      </w:r>
      <w:bookmarkEnd w:id="350"/>
      <w:r>
        <w:rPr>
          <w:rFonts w:hint="eastAsia" w:ascii="宋体" w:hAnsi="宋体" w:eastAsia="宋体" w:cs="宋体"/>
          <w:b w:val="0"/>
          <w:color w:val="auto"/>
          <w:sz w:val="24"/>
          <w:szCs w:val="24"/>
          <w:highlight w:val="none"/>
        </w:rPr>
        <w:t xml:space="preserve"> </w:t>
      </w:r>
      <w:bookmarkEnd w:id="351"/>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F9ABD6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7C511AD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52" w:name="_Toc351203574"/>
      <w:r>
        <w:rPr>
          <w:rFonts w:hint="eastAsia" w:ascii="宋体" w:hAnsi="宋体" w:eastAsia="宋体" w:cs="宋体"/>
          <w:b w:val="0"/>
          <w:color w:val="auto"/>
          <w:sz w:val="24"/>
          <w:szCs w:val="24"/>
          <w:highlight w:val="none"/>
        </w:rPr>
        <w:t>10.7暂估价</w:t>
      </w:r>
      <w:bookmarkEnd w:id="352"/>
    </w:p>
    <w:p w14:paraId="3A33C0A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暂估价专业分包工程、服务、材料和工程设备的明细由合同当事人在专用合同条款中约定。</w:t>
      </w:r>
    </w:p>
    <w:p w14:paraId="7799567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10.7.1</w:t>
      </w:r>
      <w:r>
        <w:rPr>
          <w:rFonts w:hint="eastAsia" w:ascii="宋体" w:hAnsi="宋体" w:eastAsia="宋体" w:cs="宋体"/>
          <w:color w:val="auto"/>
          <w:kern w:val="0"/>
          <w:sz w:val="24"/>
          <w:highlight w:val="none"/>
        </w:rPr>
        <w:t xml:space="preserve"> 依法必须招标的暂估价项目</w:t>
      </w:r>
    </w:p>
    <w:p w14:paraId="21B8CBE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对于依法必须招标的暂估价项目，采取以下第1种方式确定。合同当事人也可以在专用合同条款中选择其他招标方式。</w:t>
      </w:r>
    </w:p>
    <w:p w14:paraId="62FD006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第1种方式：对于依法必须招标的暂估价项目，由承包人招标，对该暂估价项目的确认和批准按照以下约定执行：</w:t>
      </w:r>
    </w:p>
    <w:p w14:paraId="41FE7D8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F96474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582B1EA">
      <w:pPr>
        <w:shd w:val="clea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6AB654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0355C8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10.7.2</w:t>
      </w:r>
      <w:r>
        <w:rPr>
          <w:rFonts w:hint="eastAsia" w:ascii="宋体" w:hAnsi="宋体" w:eastAsia="宋体" w:cs="宋体"/>
          <w:color w:val="auto"/>
          <w:kern w:val="0"/>
          <w:sz w:val="24"/>
          <w:highlight w:val="none"/>
        </w:rPr>
        <w:t>不属于依法必须招标的暂估价项目</w:t>
      </w:r>
    </w:p>
    <w:p w14:paraId="7DEE735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除专用合同条款另有约定外，对于不属于依法必须招标的暂估价项目，采取以下第1种方式确定： </w:t>
      </w:r>
    </w:p>
    <w:p w14:paraId="7314B99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第1种方式：对于不属于依法必须招标的暂估价项目，按本项约定确认和批准：</w:t>
      </w:r>
    </w:p>
    <w:p w14:paraId="4B8546C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7436A1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（2）发包人认为承包人确定的供应商、分包人无法满足工程质量或合同要求的，发包人可以要求承包人重新确定暂估价项目的供应商、分包人;</w:t>
      </w:r>
    </w:p>
    <w:p w14:paraId="0F6FE01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（3）承包人应当在签订暂估价合同后7天内，将暂估价合同副本报送发包人留存。</w:t>
      </w:r>
    </w:p>
    <w:p w14:paraId="2111C3F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第2种方式：承包人按照第10.7.1项〔依法必须招标的暂估价项目〕约定的第1种方式确定暂估价项目。</w:t>
      </w:r>
    </w:p>
    <w:p w14:paraId="49226A4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第3种方式：</w:t>
      </w:r>
      <w:r>
        <w:rPr>
          <w:rFonts w:hint="eastAsia" w:ascii="宋体" w:hAnsi="宋体" w:eastAsia="宋体" w:cs="宋体"/>
          <w:color w:val="auto"/>
          <w:kern w:val="0"/>
          <w:sz w:val="24"/>
          <w:highlight w:val="none"/>
        </w:rPr>
        <w:t>承包人直接实施的暂估价项目</w:t>
      </w:r>
    </w:p>
    <w:p w14:paraId="0C695E1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87E077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326454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53" w:name="_Toc351203575"/>
      <w:r>
        <w:rPr>
          <w:rFonts w:hint="eastAsia" w:ascii="宋体" w:hAnsi="宋体" w:eastAsia="宋体" w:cs="宋体"/>
          <w:b w:val="0"/>
          <w:color w:val="auto"/>
          <w:sz w:val="24"/>
          <w:szCs w:val="24"/>
          <w:highlight w:val="none"/>
        </w:rPr>
        <w:t>1</w:t>
      </w:r>
      <w:bookmarkStart w:id="354" w:name="_Toc337558794"/>
      <w:bookmarkStart w:id="355" w:name="_Toc296346591"/>
      <w:bookmarkStart w:id="356" w:name="_Toc322522561"/>
      <w:bookmarkStart w:id="357" w:name="_Toc296503090"/>
      <w:r>
        <w:rPr>
          <w:rFonts w:hint="eastAsia" w:ascii="宋体" w:hAnsi="宋体" w:eastAsia="宋体" w:cs="宋体"/>
          <w:b w:val="0"/>
          <w:color w:val="auto"/>
          <w:sz w:val="24"/>
          <w:szCs w:val="24"/>
          <w:highlight w:val="none"/>
        </w:rPr>
        <w:t>0.8暂列金额</w:t>
      </w:r>
      <w:bookmarkEnd w:id="353"/>
    </w:p>
    <w:bookmarkEnd w:id="354"/>
    <w:p w14:paraId="28F6B73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083335B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58" w:name="_Toc351203576"/>
      <w:r>
        <w:rPr>
          <w:rFonts w:hint="eastAsia" w:ascii="宋体" w:hAnsi="宋体" w:eastAsia="宋体" w:cs="宋体"/>
          <w:b w:val="0"/>
          <w:color w:val="auto"/>
          <w:sz w:val="24"/>
          <w:szCs w:val="24"/>
          <w:highlight w:val="none"/>
        </w:rPr>
        <w:t>1</w:t>
      </w:r>
      <w:bookmarkStart w:id="359" w:name="_Toc337558796"/>
      <w:bookmarkStart w:id="360" w:name="_Toc296346592"/>
      <w:bookmarkStart w:id="361" w:name="_Toc296503091"/>
      <w:r>
        <w:rPr>
          <w:rFonts w:hint="eastAsia" w:ascii="宋体" w:hAnsi="宋体" w:eastAsia="宋体" w:cs="宋体"/>
          <w:b w:val="0"/>
          <w:color w:val="auto"/>
          <w:sz w:val="24"/>
          <w:szCs w:val="24"/>
          <w:highlight w:val="none"/>
        </w:rPr>
        <w:t>0.9计日工</w:t>
      </w:r>
      <w:bookmarkEnd w:id="358"/>
      <w:r>
        <w:rPr>
          <w:rFonts w:hint="eastAsia" w:ascii="宋体" w:hAnsi="宋体" w:eastAsia="宋体" w:cs="宋体"/>
          <w:b w:val="0"/>
          <w:color w:val="auto"/>
          <w:sz w:val="24"/>
          <w:szCs w:val="24"/>
          <w:highlight w:val="none"/>
        </w:rPr>
        <w:t xml:space="preserve"> </w:t>
      </w:r>
      <w:bookmarkEnd w:id="359"/>
      <w:bookmarkEnd w:id="360"/>
      <w:bookmarkEnd w:id="361"/>
    </w:p>
    <w:p w14:paraId="593EFF9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6EA9AFB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采用计日工计价的任何一项工作，承包人应在该项工作实施过程中，每天提交以下报表和有关凭证报送监理人审查：</w:t>
      </w:r>
    </w:p>
    <w:p w14:paraId="41788E54">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（1）工作名称、内容和数量；</w:t>
      </w:r>
    </w:p>
    <w:p w14:paraId="7A2D4112">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（2）投入该工作的所有人员的姓名、专业、工种、级别和耗用工时；</w:t>
      </w:r>
    </w:p>
    <w:p w14:paraId="32179AD6">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（3）投入该工作的材料类别和数量；</w:t>
      </w:r>
    </w:p>
    <w:p w14:paraId="75749817">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（4）投入该工作的施工设备型号、台数和耗用台时；</w:t>
      </w:r>
    </w:p>
    <w:p w14:paraId="17902A6B">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（5）其他有关资料和凭证。</w:t>
      </w:r>
    </w:p>
    <w:p w14:paraId="208DF3F8">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02F1B957">
      <w:pPr>
        <w:numPr>
          <w:ilvl w:val="0"/>
          <w:numId w:val="6"/>
        </w:numPr>
        <w:shd w:val="clear"/>
        <w:spacing w:line="312" w:lineRule="auto"/>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价格调整</w:t>
      </w:r>
      <w:bookmarkEnd w:id="362"/>
      <w:bookmarkStart w:id="363" w:name="_Toc351203578"/>
      <w:bookmarkStart w:id="364" w:name="_Toc296503092"/>
      <w:bookmarkStart w:id="365" w:name="_Toc296346593"/>
      <w:bookmarkStart w:id="366" w:name="_Toc337558797"/>
    </w:p>
    <w:p w14:paraId="5B2F2608">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11.1市场价格波动引起的调整</w:t>
      </w:r>
      <w:bookmarkEnd w:id="363"/>
    </w:p>
    <w:bookmarkEnd w:id="364"/>
    <w:bookmarkEnd w:id="365"/>
    <w:bookmarkEnd w:id="366"/>
    <w:p w14:paraId="547E4F6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48062BAE">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第1种方式：采用价格指数进行价格调整。</w:t>
      </w:r>
    </w:p>
    <w:p w14:paraId="7C8A076C">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（1）价格调整公式</w:t>
      </w:r>
    </w:p>
    <w:p w14:paraId="10E74111">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因人工、材料和设备等价格波动影响合同价格时，根据专用合同条款中约定的数据，按以下公式计算差额并调整合同价格：</w:t>
      </w:r>
    </w:p>
    <w:p w14:paraId="1889814A">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p>
    <w:p w14:paraId="1BA49EA2">
      <w:pPr>
        <w:shd w:val="clear"/>
        <w:tabs>
          <w:tab w:val="left" w:pos="0"/>
          <w:tab w:val="left" w:pos="360"/>
          <w:tab w:val="left" w:pos="540"/>
        </w:tabs>
        <w:spacing w:line="312" w:lineRule="auto"/>
        <w:ind w:firstLine="600" w:firstLineChars="200"/>
        <w:rPr>
          <w:rFonts w:ascii="宋体" w:hAnsi="宋体" w:eastAsia="宋体" w:cs="宋体"/>
          <w:color w:val="auto"/>
          <w:sz w:val="24"/>
          <w:highlight w:val="none"/>
        </w:rPr>
      </w:pPr>
      <w:r>
        <w:rPr>
          <w:rFonts w:hint="eastAsia" w:ascii="Times New Roman" w:hAnsi="Times New Roman" w:eastAsia="仿宋_GB2312"/>
          <w:color w:val="auto"/>
          <w:position w:val="-30"/>
          <w:sz w:val="30"/>
          <w:szCs w:val="32"/>
          <w:highlight w:val="none"/>
        </w:rPr>
        <w:object>
          <v:shape id="_x0000_i1025" o:spt="75" type="#_x0000_t75" style="height:44.85pt;width:339.6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p>
    <w:p w14:paraId="25103F04">
      <w:pPr>
        <w:shd w:val="clear"/>
        <w:tabs>
          <w:tab w:val="left" w:pos="0"/>
          <w:tab w:val="left" w:pos="360"/>
          <w:tab w:val="left" w:pos="540"/>
        </w:tabs>
        <w:spacing w:line="312" w:lineRule="auto"/>
        <w:ind w:firstLine="640"/>
        <w:rPr>
          <w:rFonts w:ascii="宋体" w:hAnsi="宋体" w:eastAsia="宋体" w:cs="宋体"/>
          <w:color w:val="auto"/>
          <w:sz w:val="24"/>
          <w:highlight w:val="none"/>
        </w:rPr>
      </w:pPr>
      <w:r>
        <w:rPr>
          <w:rFonts w:hint="eastAsia" w:ascii="宋体" w:hAnsi="宋体" w:eastAsia="宋体" w:cs="宋体"/>
          <w:color w:val="auto"/>
          <w:sz w:val="24"/>
          <w:highlight w:val="none"/>
        </w:rPr>
        <w:t>公式中：ΔP——需调整的价格差额；</w:t>
      </w:r>
    </w:p>
    <w:p w14:paraId="066ADCBD">
      <w:pPr>
        <w:shd w:val="clear"/>
        <w:tabs>
          <w:tab w:val="left" w:pos="0"/>
          <w:tab w:val="left" w:pos="360"/>
          <w:tab w:val="left" w:pos="540"/>
        </w:tabs>
        <w:spacing w:line="312" w:lineRule="auto"/>
        <w:ind w:firstLine="1440" w:firstLineChars="600"/>
        <w:rPr>
          <w:rFonts w:ascii="宋体" w:hAnsi="宋体" w:eastAsia="宋体" w:cs="宋体"/>
          <w:color w:val="auto"/>
          <w:sz w:val="24"/>
          <w:highlight w:val="none"/>
        </w:rPr>
      </w:pPr>
      <w:r>
        <w:rPr>
          <w:rFonts w:hint="eastAsia" w:ascii="宋体" w:hAnsi="宋体" w:eastAsia="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2" o:title=""/>
            <o:lock v:ext="edit" aspectratio="t"/>
            <w10:wrap type="none"/>
            <w10:anchorlock/>
          </v:shape>
          <o:OLEObject Type="Embed" ProgID="Equation.KSEE3" ShapeID="_x0000_i1026" DrawAspect="Content" ObjectID="_1468075726" r:id="rId11">
            <o:LockedField>false</o:LockedField>
          </o:OLEObject>
        </w:object>
      </w:r>
      <w:r>
        <w:rPr>
          <w:rFonts w:hint="eastAsia" w:ascii="宋体" w:hAnsi="宋体" w:eastAsia="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F567846">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A——定值权重（即不调部分的权重）；</w:t>
      </w:r>
    </w:p>
    <w:p w14:paraId="1C1BA236">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7" o:spt="75" type="#_x0000_t75" style="height:21.05pt;width:101.2pt;" o:ole="t" filled="f" o:preferrelative="t" stroked="f" coordsize="21600,21600">
            <v:path/>
            <v:fill on="f" focussize="0,0"/>
            <v:stroke on="f" joinstyle="miter"/>
            <v:imagedata r:id="rId14" o:title=""/>
            <o:lock v:ext="edit" aspectratio="t"/>
            <w10:wrap type="none"/>
            <w10:anchorlock/>
          </v:shape>
          <o:OLEObject Type="Embed" ProgID="Equation.KSEE3" ShapeID="_x0000_i1027" DrawAspect="Content" ObjectID="_1468075727" r:id="rId13">
            <o:LockedField>false</o:LockedField>
          </o:OLEObject>
        </w:object>
      </w:r>
      <w:r>
        <w:rPr>
          <w:rFonts w:hint="eastAsia" w:ascii="宋体" w:hAnsi="宋体" w:eastAsia="宋体" w:cs="宋体"/>
          <w:color w:val="auto"/>
          <w:sz w:val="24"/>
          <w:highlight w:val="none"/>
        </w:rPr>
        <w:t>——各可调因子的变值权重（即可调部分的权重），为各可调因子在签约合同价中所占的比例；</w:t>
      </w:r>
    </w:p>
    <w:p w14:paraId="1F30E60D">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8" o:spt="75" type="#_x0000_t75" style="height:20.4pt;width:101.9pt;" o:ole="t" filled="f" o:preferrelative="t" stroked="f" coordsize="21600,21600">
            <v:path/>
            <v:fill on="f" focussize="0,0"/>
            <v:stroke on="f" joinstyle="miter"/>
            <v:imagedata r:id="rId16" o:title=""/>
            <o:lock v:ext="edit"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color w:val="auto"/>
          <w:sz w:val="24"/>
          <w:highlight w:val="none"/>
        </w:rPr>
        <w:t>——各可调因子的现行价格指数，指约定的付款证书相关周期最后一天的前42天的各可调因子的价格指数；</w:t>
      </w:r>
    </w:p>
    <w:p w14:paraId="14AA646D">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9" o:spt="75" type="#_x0000_t75" style="height:20.4pt;width:108pt;" o:ole="t" filled="f" o:preferrelative="t" stroked="f" coordsize="21600,21600">
            <v:path/>
            <v:fill on="f" focussize="0,0"/>
            <v:stroke on="f" joinstyle="miter"/>
            <v:imagedata r:id="rId18" o:title=""/>
            <o:lock v:ext="edit" aspectratio="t"/>
            <w10:wrap type="none"/>
            <w10:anchorlock/>
          </v:shape>
          <o:OLEObject Type="Embed" ProgID="Equation.KSEE3" ShapeID="_x0000_i1029" DrawAspect="Content" ObjectID="_1468075729" r:id="rId17">
            <o:LockedField>false</o:LockedField>
          </o:OLEObject>
        </w:object>
      </w:r>
      <w:r>
        <w:rPr>
          <w:rFonts w:hint="eastAsia" w:ascii="宋体" w:hAnsi="宋体" w:eastAsia="宋体" w:cs="宋体"/>
          <w:color w:val="auto"/>
          <w:sz w:val="24"/>
          <w:highlight w:val="none"/>
        </w:rPr>
        <w:t>——各可调因子的基本价格指数，指基准日期的各可调因子的价格指数。</w:t>
      </w:r>
    </w:p>
    <w:p w14:paraId="78E62DEE">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321F4EE">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（2）暂时确定调整差额</w:t>
      </w:r>
    </w:p>
    <w:p w14:paraId="548C8746">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在计算调整差额时无现行价格指数的，合同当事人同意暂用前次价格指数计算。实际价格指数有调整的，合同当事人进行相应调整。</w:t>
      </w:r>
    </w:p>
    <w:p w14:paraId="667D8BDF">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（3）权重的调整</w:t>
      </w:r>
    </w:p>
    <w:p w14:paraId="541C31BC">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因变更导致合同约定的权重不合理时，按照第4.4款〔商定或确定〕执行。</w:t>
      </w:r>
    </w:p>
    <w:p w14:paraId="235C2B54">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（4）因承包人原因工期延误后的价格调整</w:t>
      </w:r>
    </w:p>
    <w:p w14:paraId="6684CA7D">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12F12EA">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第2种方式：采用造价信息进行价格调整。</w:t>
      </w:r>
    </w:p>
    <w:p w14:paraId="4DDB9399">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7E0D33E">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9F75495">
      <w:pPr>
        <w:shd w:val="clear"/>
        <w:spacing w:line="312"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（2）材料、工程设备价格变化的价款调整按照发包人提供的基准价格，按以下风险范围规定执行</w:t>
      </w:r>
      <w:r>
        <w:rPr>
          <w:rFonts w:hint="eastAsia" w:ascii="宋体" w:hAnsi="宋体" w:cs="宋体"/>
          <w:color w:val="auto"/>
          <w:sz w:val="24"/>
          <w:highlight w:val="none"/>
          <w:lang w:eastAsia="zh-CN"/>
        </w:rPr>
        <w:t>：</w:t>
      </w:r>
    </w:p>
    <w:p w14:paraId="642BC8C6">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1DE86DB">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6A2DBAA">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1CDC91A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8EEE971">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387F4D2">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（3）施工机械台班单价或施工机械使用费发生变化超过省级或行业建设主管部门或其授权的工程造价管理机构规定的范围时，按规定调整合同价格。</w:t>
      </w:r>
    </w:p>
    <w:p w14:paraId="3067654A">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第3种方式：专用合同条款约定的其他方式。</w:t>
      </w:r>
    </w:p>
    <w:p w14:paraId="6234287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67" w:name="_Toc351203579"/>
      <w:bookmarkStart w:id="368" w:name="_Toc296503093"/>
      <w:bookmarkStart w:id="369" w:name="_Toc296346594"/>
      <w:bookmarkStart w:id="370" w:name="_Toc337558798"/>
      <w:r>
        <w:rPr>
          <w:rFonts w:hint="eastAsia" w:ascii="宋体" w:hAnsi="宋体" w:eastAsia="宋体" w:cs="宋体"/>
          <w:b w:val="0"/>
          <w:color w:val="auto"/>
          <w:sz w:val="24"/>
          <w:szCs w:val="24"/>
          <w:highlight w:val="none"/>
        </w:rPr>
        <w:t>11.2法律变化引起的调整</w:t>
      </w:r>
      <w:bookmarkEnd w:id="367"/>
    </w:p>
    <w:bookmarkEnd w:id="368"/>
    <w:bookmarkEnd w:id="369"/>
    <w:bookmarkEnd w:id="370"/>
    <w:p w14:paraId="0CA04BE4">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D8118F0">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因法律变化引起的合同价格和工期调整，合同当事人无法达成一致的，由总监理工程师按第4.4款〔商定或确定〕的约定处理。</w:t>
      </w:r>
    </w:p>
    <w:p w14:paraId="716CC95E">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因承包人原因造成工期延误，在工期延误期间出现法律变化的，由此增加的费用和（或）延误的工期由承包人承担。</w:t>
      </w:r>
    </w:p>
    <w:p w14:paraId="5E799424">
      <w:pPr>
        <w:rPr>
          <w:rFonts w:hint="eastAsia" w:ascii="宋体" w:hAnsi="宋体" w:eastAsia="宋体" w:cs="宋体"/>
          <w:b w:val="0"/>
          <w:color w:val="auto"/>
          <w:sz w:val="24"/>
          <w:szCs w:val="24"/>
          <w:highlight w:val="none"/>
        </w:rPr>
      </w:pPr>
      <w:bookmarkStart w:id="371" w:name="_Toc351203580"/>
      <w:bookmarkStart w:id="372" w:name="_Toc337558799"/>
      <w:bookmarkStart w:id="373" w:name="_Toc296503096"/>
      <w:bookmarkStart w:id="374" w:name="_Toc296346597"/>
      <w:r>
        <w:rPr>
          <w:rFonts w:hint="eastAsia" w:ascii="宋体" w:hAnsi="宋体" w:eastAsia="宋体" w:cs="宋体"/>
          <w:b w:val="0"/>
          <w:color w:val="auto"/>
          <w:sz w:val="24"/>
          <w:szCs w:val="24"/>
          <w:highlight w:val="none"/>
        </w:rPr>
        <w:br w:type="page"/>
      </w:r>
    </w:p>
    <w:p w14:paraId="080A64F7">
      <w:pPr>
        <w:pStyle w:val="5"/>
        <w:shd w:val="clear"/>
        <w:spacing w:before="120" w:after="120" w:line="312"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12. 合同价格、计量与支付</w:t>
      </w:r>
      <w:bookmarkEnd w:id="371"/>
    </w:p>
    <w:bookmarkEnd w:id="372"/>
    <w:p w14:paraId="4149B87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75" w:name="_Toc351203581"/>
      <w:bookmarkStart w:id="376" w:name="_Toc337558800"/>
      <w:r>
        <w:rPr>
          <w:rFonts w:hint="eastAsia" w:ascii="宋体" w:hAnsi="宋体" w:eastAsia="宋体" w:cs="宋体"/>
          <w:b w:val="0"/>
          <w:color w:val="auto"/>
          <w:sz w:val="24"/>
          <w:szCs w:val="24"/>
          <w:highlight w:val="none"/>
        </w:rPr>
        <w:t>12.1 合同价</w:t>
      </w:r>
      <w:bookmarkEnd w:id="373"/>
      <w:bookmarkEnd w:id="374"/>
      <w:r>
        <w:rPr>
          <w:rFonts w:hint="eastAsia" w:ascii="宋体" w:hAnsi="宋体" w:eastAsia="宋体" w:cs="宋体"/>
          <w:b w:val="0"/>
          <w:color w:val="auto"/>
          <w:sz w:val="24"/>
          <w:szCs w:val="24"/>
          <w:highlight w:val="none"/>
        </w:rPr>
        <w:t>格形式</w:t>
      </w:r>
      <w:bookmarkEnd w:id="375"/>
    </w:p>
    <w:bookmarkEnd w:id="376"/>
    <w:p w14:paraId="0ADEE5A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发包人和承包人应在合同协议书中选择下列一种合同价格形式： </w:t>
      </w:r>
    </w:p>
    <w:p w14:paraId="7C0DEA4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w:t>
      </w:r>
    </w:p>
    <w:p w14:paraId="0968CB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4"/>
          <w:highlight w:val="none"/>
        </w:rPr>
        <w:t>在约定的范围内合同单价不作调整</w:t>
      </w:r>
      <w:r>
        <w:rPr>
          <w:rFonts w:hint="eastAsia" w:ascii="宋体" w:hAnsi="宋体" w:eastAsia="宋体" w:cs="宋体"/>
          <w:color w:val="auto"/>
          <w:kern w:val="0"/>
          <w:sz w:val="24"/>
          <w:highlight w:val="none"/>
        </w:rPr>
        <w:t>。合同当事人应在专用合同条款中约定综合单价包含的风险范围和风险费用的计算方法</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并约定风险范围以外的合同价格的调整方法，其中因市场价格波动引起的调整按第11.1款〔市场价格波动引起的调整〕约定执行。</w:t>
      </w:r>
    </w:p>
    <w:p w14:paraId="502D546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w:t>
      </w:r>
    </w:p>
    <w:p w14:paraId="29C198E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highlight w:val="none"/>
        </w:rPr>
        <w:t>在约定的范围内合同总价不作调整</w:t>
      </w:r>
      <w:r>
        <w:rPr>
          <w:rFonts w:hint="eastAsia" w:ascii="宋体" w:hAnsi="宋体" w:eastAsia="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DD8644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3、其它价格形式</w:t>
      </w:r>
    </w:p>
    <w:p w14:paraId="0C97D04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合同当事人可在专用合同条款中约定其他合同价格形式。</w:t>
      </w:r>
    </w:p>
    <w:p w14:paraId="0003C79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77" w:name="_Toc296346598"/>
      <w:bookmarkStart w:id="378" w:name="_Toc296503097"/>
      <w:bookmarkStart w:id="379" w:name="_Toc351203582"/>
      <w:bookmarkStart w:id="380" w:name="_Toc337558801"/>
      <w:r>
        <w:rPr>
          <w:rFonts w:hint="eastAsia" w:ascii="宋体" w:hAnsi="宋体" w:eastAsia="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eastAsia="宋体" w:cs="宋体"/>
          <w:b w:val="0"/>
          <w:color w:val="auto"/>
          <w:sz w:val="24"/>
          <w:szCs w:val="24"/>
          <w:highlight w:val="none"/>
        </w:rPr>
        <w:t>付款</w:t>
      </w:r>
      <w:bookmarkEnd w:id="379"/>
    </w:p>
    <w:bookmarkEnd w:id="380"/>
    <w:bookmarkEnd w:id="381"/>
    <w:bookmarkEnd w:id="382"/>
    <w:p w14:paraId="446219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kern w:val="0"/>
          <w:sz w:val="24"/>
          <w:highlight w:val="none"/>
        </w:rPr>
        <w:t>1预付款的支付</w:t>
      </w:r>
    </w:p>
    <w:p w14:paraId="1BD80EE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725E16E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7B273FC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108A1EAD">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08D908D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81F70A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发包人在工程款中逐期扣回预付款后，预付款担保额度应相应减少，但剩余的预付款担保金额不得低于未被扣回的预付款金额。</w:t>
      </w:r>
    </w:p>
    <w:p w14:paraId="0BB61D0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83" w:name="_Toc351203583"/>
      <w:bookmarkStart w:id="384" w:name="_Toc337558802"/>
      <w:r>
        <w:rPr>
          <w:rFonts w:hint="eastAsia" w:ascii="宋体" w:hAnsi="宋体" w:eastAsia="宋体" w:cs="宋体"/>
          <w:b w:val="0"/>
          <w:color w:val="auto"/>
          <w:sz w:val="24"/>
          <w:szCs w:val="24"/>
          <w:highlight w:val="none"/>
        </w:rPr>
        <w:t>12.3计量</w:t>
      </w:r>
      <w:bookmarkEnd w:id="383"/>
    </w:p>
    <w:bookmarkEnd w:id="384"/>
    <w:p w14:paraId="1CF1F51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12.3.1 计量原则</w:t>
      </w:r>
    </w:p>
    <w:p w14:paraId="4FE78C6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068801C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12.3.2 计量周期</w:t>
      </w:r>
    </w:p>
    <w:p w14:paraId="2DA52FF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除专用合同条款另有约定外，工程量的计量按月进行。</w:t>
      </w:r>
    </w:p>
    <w:p w14:paraId="77E71FD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12.3.3 单价合同的计量</w:t>
      </w:r>
    </w:p>
    <w:p w14:paraId="6292FB9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除专用合同条款另有约定外，单价合同的计量按照本项约定执行：</w:t>
      </w:r>
    </w:p>
    <w:p w14:paraId="52EC30A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054ED38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F17DDB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77D2EC1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 总价合同的计量</w:t>
      </w:r>
    </w:p>
    <w:p w14:paraId="7AFE935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除专用合同条款另有约定外，按月计量支付的总价合同，按照本项约定执行：</w:t>
      </w:r>
    </w:p>
    <w:p w14:paraId="5A3E6F7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2DDED89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836EE8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（3）监理人未在收到承包人提交的工程量报表后的7天内完成复核的，承包人提交的工程量报告中的工程量视为承包人实际完成的工程量。</w:t>
      </w:r>
    </w:p>
    <w:p w14:paraId="071EA2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12.3.5 总价合同采用支付分解表计量支付的，可以按照第12.3.4项〔总价合同的计量〕约定进行计量，但合同价款按照支付分解表进行支付。</w:t>
      </w:r>
    </w:p>
    <w:p w14:paraId="3420DE2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12.3.6 其他价格形式合同的计量</w:t>
      </w:r>
    </w:p>
    <w:p w14:paraId="6D92488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合同当事人可在专用合同条款中约定其他价格形式合同的计量方式和程序。</w:t>
      </w:r>
    </w:p>
    <w:p w14:paraId="29E31A0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85" w:name="_Toc296503101"/>
      <w:bookmarkStart w:id="386" w:name="_Toc296346602"/>
      <w:bookmarkStart w:id="387" w:name="_Toc351203584"/>
      <w:bookmarkStart w:id="388" w:name="_Toc337558803"/>
      <w:r>
        <w:rPr>
          <w:rFonts w:hint="eastAsia" w:ascii="宋体" w:hAnsi="宋体" w:eastAsia="宋体" w:cs="宋体"/>
          <w:b w:val="0"/>
          <w:color w:val="auto"/>
          <w:sz w:val="24"/>
          <w:szCs w:val="24"/>
          <w:highlight w:val="none"/>
        </w:rPr>
        <w:t>12.4工程进度款支</w:t>
      </w:r>
      <w:bookmarkEnd w:id="385"/>
      <w:bookmarkEnd w:id="386"/>
      <w:r>
        <w:rPr>
          <w:rFonts w:hint="eastAsia" w:ascii="宋体" w:hAnsi="宋体" w:eastAsia="宋体" w:cs="宋体"/>
          <w:b w:val="0"/>
          <w:color w:val="auto"/>
          <w:sz w:val="24"/>
          <w:szCs w:val="24"/>
          <w:highlight w:val="none"/>
        </w:rPr>
        <w:t>付</w:t>
      </w:r>
      <w:bookmarkEnd w:id="387"/>
    </w:p>
    <w:bookmarkEnd w:id="388"/>
    <w:p w14:paraId="694EA21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.1 付款周期</w:t>
      </w:r>
    </w:p>
    <w:p w14:paraId="3A63B4E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除专用合同条款另有约定外，付款周期应按照第12.3.2项〔计量周期〕的约定与计量周期保持一致。</w:t>
      </w:r>
    </w:p>
    <w:p w14:paraId="52858E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.2 进度付款申请单的编制</w:t>
      </w:r>
    </w:p>
    <w:p w14:paraId="2428B09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除专用合同条款另有约定外，进度付款申请单应包括下列内容：</w:t>
      </w:r>
    </w:p>
    <w:p w14:paraId="16BD48C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（1）截至本次付款周期已完成工作对应的金额；</w:t>
      </w:r>
    </w:p>
    <w:p w14:paraId="4769F4F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（2）根据第10条〔变更〕应增加和扣减的变更金额；</w:t>
      </w:r>
    </w:p>
    <w:p w14:paraId="0C11A56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（3）根据第12.2款〔预付款〕约定应支付的预付款和扣减的返还预付款；</w:t>
      </w:r>
    </w:p>
    <w:p w14:paraId="1A7F65D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（4）根据第15.3款〔质量保证金〕约定应扣减的质量保证金；</w:t>
      </w:r>
    </w:p>
    <w:p w14:paraId="2768FEE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（5）根据第19条〔索赔〕应增加和扣减的索赔金额；</w:t>
      </w:r>
    </w:p>
    <w:p w14:paraId="6DBC65D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（6）对已签发的进度款支付证书中出现错误的修正，应在本次进度付款中支付或扣除的金额；</w:t>
      </w:r>
    </w:p>
    <w:p w14:paraId="2885F27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（7）根据合同约定应增加和扣减的其他金额。</w:t>
      </w:r>
    </w:p>
    <w:p w14:paraId="4061355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12.4.3 进度付款申请单的提交</w:t>
      </w:r>
    </w:p>
    <w:p w14:paraId="5FECA71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（1）单价合同进度付款申请单的提交</w:t>
      </w:r>
    </w:p>
    <w:p w14:paraId="3D80B61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824ED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（2）总价合同进度付款申请单的提交</w:t>
      </w:r>
    </w:p>
    <w:p w14:paraId="49DE2B3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2F12442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总价合同按支付分解表支付的，承包人应按照第12.4.6项〔支付分解表〕及第12.4.2项〔进度付款申请单的编制〕的约定向监理人提交进度付款申请单。</w:t>
      </w:r>
    </w:p>
    <w:p w14:paraId="2B99DB4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（3）其他价格形式合同的进度付款申请单的提交</w:t>
      </w:r>
    </w:p>
    <w:p w14:paraId="6C78888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合同当事人可在专用合同条款中约定其他价格形式合同的进度付款申请单的编制和提交程序。</w:t>
      </w:r>
    </w:p>
    <w:p w14:paraId="3E3BF34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.4 进度款审核和支付</w:t>
      </w:r>
    </w:p>
    <w:p w14:paraId="7723A28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348A5B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4194F4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598D60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（3）发包人签发进度款支付证书或临时进度款支付证书，不表明发包人已同意、批准或接受了承包人完成的相应部分的工作。</w:t>
      </w:r>
    </w:p>
    <w:p w14:paraId="027BD92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12.4.5 进度付款的修正</w:t>
      </w:r>
    </w:p>
    <w:p w14:paraId="3A0F744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73B731C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12.4.6 支付分解表</w:t>
      </w:r>
    </w:p>
    <w:p w14:paraId="58A9336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1、支付分解表的编制要求</w:t>
      </w:r>
    </w:p>
    <w:p w14:paraId="7650E28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（1）支付分解表中所列的每期付款金额，应为第12.4.2项〔进度付款申请单的编制〕第（1）目的估算金额；</w:t>
      </w:r>
    </w:p>
    <w:p w14:paraId="1921587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（2）实际进度与施工进度计划不一致的，合同当事人可按照第4.4款〔商定或确定〕修改支付分解表；</w:t>
      </w:r>
    </w:p>
    <w:p w14:paraId="6D0C9E4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（3）不采用支付分解表的，承包人应向发包人和监理人提交按季度编制的支付估算分解表，用于支付参考。</w:t>
      </w:r>
    </w:p>
    <w:p w14:paraId="4E53441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2、总价合同支付分解表的编制与审批</w:t>
      </w:r>
    </w:p>
    <w:p w14:paraId="0B0E53D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25F49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36F81668">
      <w:pPr>
        <w:shd w:val="clea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0F840BE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3、单价合同的总价项目支付分解表的编制与审批</w:t>
      </w:r>
    </w:p>
    <w:p w14:paraId="36FC345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6E223F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89" w:name="_Toc351203585"/>
      <w:r>
        <w:rPr>
          <w:rFonts w:hint="eastAsia" w:ascii="宋体" w:hAnsi="宋体" w:eastAsia="宋体" w:cs="宋体"/>
          <w:b w:val="0"/>
          <w:color w:val="auto"/>
          <w:sz w:val="24"/>
          <w:szCs w:val="24"/>
          <w:highlight w:val="none"/>
        </w:rPr>
        <w:t>12.5支付账户</w:t>
      </w:r>
      <w:bookmarkEnd w:id="389"/>
    </w:p>
    <w:p w14:paraId="52F6184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发包人应将合同价款支付至合同协议书中约定的承包人账户。</w:t>
      </w:r>
    </w:p>
    <w:p w14:paraId="6BA74631">
      <w:pPr>
        <w:pStyle w:val="5"/>
        <w:shd w:val="clear"/>
        <w:spacing w:before="120" w:after="120" w:line="312" w:lineRule="auto"/>
        <w:rPr>
          <w:rFonts w:ascii="宋体" w:hAnsi="宋体" w:eastAsia="宋体" w:cs="宋体"/>
          <w:b w:val="0"/>
          <w:color w:val="auto"/>
          <w:sz w:val="24"/>
          <w:szCs w:val="24"/>
          <w:highlight w:val="none"/>
        </w:rPr>
      </w:pPr>
      <w:bookmarkStart w:id="390" w:name="_Toc351203586"/>
      <w:bookmarkStart w:id="391" w:name="_Toc296503106"/>
      <w:bookmarkStart w:id="392" w:name="_Toc337558804"/>
      <w:bookmarkStart w:id="393" w:name="_Toc296346607"/>
      <w:bookmarkStart w:id="394" w:name="_Toc322522574"/>
      <w:r>
        <w:rPr>
          <w:rFonts w:hint="eastAsia" w:ascii="宋体" w:hAnsi="宋体" w:eastAsia="宋体" w:cs="宋体"/>
          <w:b w:val="0"/>
          <w:color w:val="auto"/>
          <w:sz w:val="24"/>
          <w:szCs w:val="24"/>
          <w:highlight w:val="none"/>
        </w:rPr>
        <w:t>13. 验收和工程试车</w:t>
      </w:r>
      <w:bookmarkEnd w:id="390"/>
    </w:p>
    <w:bookmarkEnd w:id="391"/>
    <w:bookmarkEnd w:id="392"/>
    <w:bookmarkEnd w:id="393"/>
    <w:bookmarkEnd w:id="394"/>
    <w:p w14:paraId="6BA85F8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95" w:name="_Toc351203587"/>
      <w:bookmarkStart w:id="396" w:name="_Toc337558805"/>
      <w:bookmarkStart w:id="397" w:name="_Toc296503110"/>
      <w:bookmarkStart w:id="398" w:name="_Toc296346611"/>
      <w:r>
        <w:rPr>
          <w:rFonts w:hint="eastAsia" w:ascii="宋体" w:hAnsi="宋体" w:eastAsia="宋体" w:cs="宋体"/>
          <w:b w:val="0"/>
          <w:color w:val="auto"/>
          <w:sz w:val="24"/>
          <w:szCs w:val="24"/>
          <w:highlight w:val="none"/>
        </w:rPr>
        <w:t>13.1分部分项工程验收</w:t>
      </w:r>
      <w:bookmarkEnd w:id="395"/>
    </w:p>
    <w:bookmarkEnd w:id="396"/>
    <w:p w14:paraId="44BC10EC">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13.1.1 分部分项工程质量应符合国家有关工程施工验收规范、标准及合同约定，承包人应按照施工组织设计的要求完成分部分项工程施工。</w:t>
      </w:r>
    </w:p>
    <w:p w14:paraId="688A65C4">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highlight w:val="none"/>
        </w:rPr>
        <w:t>分部分项工程未经验收的，不得进入下一道工序施工。</w:t>
      </w:r>
    </w:p>
    <w:p w14:paraId="1EFFFFD0">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分部分项工程的验收资料应当作为竣工资料的组成部分。</w:t>
      </w:r>
    </w:p>
    <w:p w14:paraId="02F3E9D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99" w:name="_Toc351203588"/>
      <w:bookmarkStart w:id="400" w:name="_Toc337558806"/>
      <w:r>
        <w:rPr>
          <w:rFonts w:hint="eastAsia" w:ascii="宋体" w:hAnsi="宋体" w:eastAsia="宋体" w:cs="宋体"/>
          <w:b w:val="0"/>
          <w:color w:val="auto"/>
          <w:sz w:val="24"/>
          <w:szCs w:val="24"/>
          <w:highlight w:val="none"/>
        </w:rPr>
        <w:t>13.2竣工验收</w:t>
      </w:r>
      <w:bookmarkEnd w:id="399"/>
    </w:p>
    <w:bookmarkEnd w:id="397"/>
    <w:bookmarkEnd w:id="398"/>
    <w:bookmarkEnd w:id="400"/>
    <w:p w14:paraId="64E6B2C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13.2.1竣工验收条件</w:t>
      </w:r>
    </w:p>
    <w:p w14:paraId="015EE0F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工程具备以下条件的，承包人可以申请竣工验收：</w:t>
      </w:r>
    </w:p>
    <w:p w14:paraId="25758C3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2D0C126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（2）已按合同约定编制了甩项工作和缺陷修补工作清单以及相应的施工计划；</w:t>
      </w:r>
    </w:p>
    <w:p w14:paraId="06EE46E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（3）已按合同约定的内容和份数备齐竣工资料。</w:t>
      </w:r>
    </w:p>
    <w:p w14:paraId="48B5407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13.2.2竣工验收程序</w:t>
      </w:r>
    </w:p>
    <w:p w14:paraId="4AF0082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除专用合同条款另有约定外，承包人申请竣工验收的，应当按照以下程序进行：</w:t>
      </w:r>
    </w:p>
    <w:p w14:paraId="526A29C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142754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387243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718C732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A9A8A9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78455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5C6CD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13.2.3竣工日期</w:t>
      </w:r>
    </w:p>
    <w:p w14:paraId="27454E6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eastAsia="宋体" w:cs="宋体"/>
          <w:color w:val="auto"/>
          <w:kern w:val="0"/>
          <w:sz w:val="24"/>
          <w:highlight w:val="none"/>
        </w:rPr>
        <w:t>收申请报告的日期为实际竣工日期；工程未经竣工验收，发包人擅自使用的，以转移占有工程之日为实际竣工日期。</w:t>
      </w:r>
    </w:p>
    <w:p w14:paraId="51D60DB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13.2.4 拒绝接收全部或部分工程</w:t>
      </w:r>
    </w:p>
    <w:p w14:paraId="66362B4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257DF0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13.2.5 移交、接收全部与部分工程</w:t>
      </w:r>
    </w:p>
    <w:p w14:paraId="72E5567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除专用合同条款另有约定外，合同当事人应当在颁发工程接收证书后7天内完成工程的移交。</w:t>
      </w:r>
    </w:p>
    <w:p w14:paraId="37DE5D2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90A163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1D5DA1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02" w:name="_Toc351203589"/>
      <w:bookmarkStart w:id="403" w:name="_Toc296503111"/>
      <w:bookmarkStart w:id="404" w:name="_Toc337558807"/>
      <w:bookmarkStart w:id="405" w:name="_Toc296346612"/>
      <w:r>
        <w:rPr>
          <w:rFonts w:hint="eastAsia" w:ascii="宋体" w:hAnsi="宋体" w:eastAsia="宋体" w:cs="宋体"/>
          <w:b w:val="0"/>
          <w:color w:val="auto"/>
          <w:sz w:val="24"/>
          <w:szCs w:val="24"/>
          <w:highlight w:val="none"/>
        </w:rPr>
        <w:t>13.3工程试车</w:t>
      </w:r>
      <w:bookmarkEnd w:id="402"/>
    </w:p>
    <w:bookmarkEnd w:id="403"/>
    <w:bookmarkEnd w:id="404"/>
    <w:bookmarkEnd w:id="405"/>
    <w:p w14:paraId="7399D2C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13.3.1试车程序</w:t>
      </w:r>
    </w:p>
    <w:p w14:paraId="473BC44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工程需要试车的，除专用合同条款另有约定外，试车内容应与承包人承包范围相一致，试车费用由承包人承担。工程试车应按如下程序进行：</w:t>
      </w:r>
    </w:p>
    <w:p w14:paraId="54819D4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3080B5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C49C82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464636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13.3.2 试车中的责任</w:t>
      </w:r>
    </w:p>
    <w:p w14:paraId="05D06D3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E9C923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AE2AA5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13.3.3 投料试车</w:t>
      </w:r>
    </w:p>
    <w:p w14:paraId="7C8FA43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7738EB8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9D12915">
      <w:pPr>
        <w:pStyle w:val="6"/>
        <w:shd w:val="clear"/>
        <w:spacing w:before="120" w:after="120" w:line="312" w:lineRule="auto"/>
        <w:rPr>
          <w:rFonts w:ascii="宋体" w:hAnsi="宋体" w:eastAsia="宋体" w:cs="宋体"/>
          <w:b w:val="0"/>
          <w:color w:val="auto"/>
          <w:sz w:val="24"/>
          <w:szCs w:val="24"/>
          <w:highlight w:val="none"/>
        </w:rPr>
      </w:pPr>
      <w:bookmarkStart w:id="406" w:name="_Toc337558808"/>
      <w:r>
        <w:rPr>
          <w:rFonts w:hint="eastAsia" w:ascii="宋体" w:hAnsi="宋体" w:eastAsia="宋体" w:cs="宋体"/>
          <w:b w:val="0"/>
          <w:color w:val="auto"/>
          <w:sz w:val="24"/>
          <w:szCs w:val="24"/>
          <w:highlight w:val="none"/>
        </w:rPr>
        <w:t xml:space="preserve">    </w:t>
      </w:r>
      <w:bookmarkStart w:id="407" w:name="_Toc351203590"/>
      <w:r>
        <w:rPr>
          <w:rFonts w:hint="eastAsia" w:ascii="宋体" w:hAnsi="宋体" w:eastAsia="宋体" w:cs="宋体"/>
          <w:b w:val="0"/>
          <w:color w:val="auto"/>
          <w:sz w:val="24"/>
          <w:szCs w:val="24"/>
          <w:highlight w:val="none"/>
        </w:rPr>
        <w:t>13.4提前交付单位工程的验收</w:t>
      </w:r>
      <w:bookmarkEnd w:id="407"/>
    </w:p>
    <w:bookmarkEnd w:id="406"/>
    <w:p w14:paraId="208DE9F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1D621D3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994E46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6D5A3AB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08" w:name="_Toc351203591"/>
      <w:r>
        <w:rPr>
          <w:rFonts w:hint="eastAsia" w:ascii="宋体" w:hAnsi="宋体" w:eastAsia="宋体" w:cs="宋体"/>
          <w:b w:val="0"/>
          <w:color w:val="auto"/>
          <w:sz w:val="24"/>
          <w:szCs w:val="24"/>
          <w:highlight w:val="none"/>
        </w:rPr>
        <w:t>13.5 施工期运行</w:t>
      </w:r>
      <w:bookmarkEnd w:id="408"/>
    </w:p>
    <w:p w14:paraId="54145A1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71F9F8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13.5.2 在施工期运行中发现工程或工程设备损坏或存在缺陷的，由承包人按第15.2款〔缺陷责任期〕约定进行修复。</w:t>
      </w:r>
    </w:p>
    <w:p w14:paraId="289B193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09" w:name="_Toc296503112"/>
      <w:bookmarkStart w:id="410" w:name="_Toc296346613"/>
      <w:bookmarkStart w:id="411" w:name="_Toc351203592"/>
      <w:bookmarkStart w:id="412" w:name="_Toc337558809"/>
      <w:r>
        <w:rPr>
          <w:rFonts w:hint="eastAsia" w:ascii="宋体" w:hAnsi="宋体" w:eastAsia="宋体" w:cs="宋体"/>
          <w:b w:val="0"/>
          <w:color w:val="auto"/>
          <w:sz w:val="24"/>
          <w:szCs w:val="24"/>
          <w:highlight w:val="none"/>
        </w:rPr>
        <w:t>13.6 竣工退</w:t>
      </w:r>
      <w:bookmarkEnd w:id="409"/>
      <w:bookmarkEnd w:id="410"/>
      <w:r>
        <w:rPr>
          <w:rFonts w:hint="eastAsia" w:ascii="宋体" w:hAnsi="宋体" w:eastAsia="宋体" w:cs="宋体"/>
          <w:b w:val="0"/>
          <w:color w:val="auto"/>
          <w:sz w:val="24"/>
          <w:szCs w:val="24"/>
          <w:highlight w:val="none"/>
        </w:rPr>
        <w:t>场</w:t>
      </w:r>
      <w:bookmarkEnd w:id="411"/>
    </w:p>
    <w:bookmarkEnd w:id="412"/>
    <w:p w14:paraId="4C88E73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13.6.1 竣工退场</w:t>
      </w:r>
    </w:p>
    <w:p w14:paraId="5274B89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颁发工程接收证书后，承包人应按以下要求对施工现场进行清理：</w:t>
      </w:r>
    </w:p>
    <w:p w14:paraId="7412DDD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（1）施工现场内残留的垃圾已全部清除出场；</w:t>
      </w:r>
    </w:p>
    <w:p w14:paraId="1A8D5C6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（2）临时工程已拆除，场地已进行清理、平整或复原；</w:t>
      </w:r>
    </w:p>
    <w:p w14:paraId="2F6E504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（3）按合同约定应撤离的人员、承包人施工设备和剩余的材料，包括废弃的施工设备和材料，已按计划撤离施工现场；</w:t>
      </w:r>
    </w:p>
    <w:p w14:paraId="6CF94D5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（4）施工现场周边及其附近道路、河道的施工堆积物，已全部清理；</w:t>
      </w:r>
    </w:p>
    <w:p w14:paraId="00F974B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（5）施工现场其他场地清理工作已全部完成。</w:t>
      </w:r>
    </w:p>
    <w:p w14:paraId="1939AC4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CB9BC5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13.6.2 地表还原</w:t>
      </w:r>
    </w:p>
    <w:p w14:paraId="5695A5D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8FF17B2">
      <w:pPr>
        <w:pStyle w:val="5"/>
        <w:shd w:val="clear"/>
        <w:spacing w:before="120" w:after="120" w:line="312" w:lineRule="auto"/>
        <w:rPr>
          <w:rFonts w:ascii="宋体" w:hAnsi="宋体" w:eastAsia="宋体" w:cs="宋体"/>
          <w:b w:val="0"/>
          <w:color w:val="auto"/>
          <w:sz w:val="24"/>
          <w:szCs w:val="24"/>
          <w:highlight w:val="none"/>
        </w:rPr>
      </w:pPr>
      <w:bookmarkStart w:id="413" w:name="_Toc351203593"/>
      <w:bookmarkStart w:id="414" w:name="_Toc337558810"/>
      <w:bookmarkStart w:id="415" w:name="_Toc296503113"/>
      <w:bookmarkStart w:id="416" w:name="_Toc296346614"/>
      <w:r>
        <w:rPr>
          <w:rFonts w:hint="eastAsia" w:ascii="宋体" w:hAnsi="宋体" w:eastAsia="宋体" w:cs="宋体"/>
          <w:b w:val="0"/>
          <w:color w:val="auto"/>
          <w:sz w:val="24"/>
          <w:szCs w:val="24"/>
          <w:highlight w:val="none"/>
        </w:rPr>
        <w:t>14. 竣工结算</w:t>
      </w:r>
      <w:bookmarkEnd w:id="413"/>
    </w:p>
    <w:bookmarkEnd w:id="414"/>
    <w:p w14:paraId="4F87001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17" w:name="_Toc351203594"/>
      <w:bookmarkStart w:id="418" w:name="_Toc337558811"/>
      <w:r>
        <w:rPr>
          <w:rFonts w:hint="eastAsia" w:ascii="宋体" w:hAnsi="宋体" w:eastAsia="宋体" w:cs="宋体"/>
          <w:b w:val="0"/>
          <w:color w:val="auto"/>
          <w:sz w:val="24"/>
          <w:szCs w:val="24"/>
          <w:highlight w:val="none"/>
        </w:rPr>
        <w:t>14.1 竣工结算申请</w:t>
      </w:r>
      <w:bookmarkEnd w:id="417"/>
    </w:p>
    <w:bookmarkEnd w:id="418"/>
    <w:p w14:paraId="54E8C841">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除专用合同条款另有约定外，</w:t>
      </w:r>
      <w:r>
        <w:rPr>
          <w:rFonts w:hint="eastAsia" w:ascii="宋体" w:hAnsi="宋体" w:eastAsia="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46A69EE">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除专用合同条款另有约定外，竣工结算申请单应包括以下内容：</w:t>
      </w:r>
    </w:p>
    <w:p w14:paraId="794A4F3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（1）竣工结算合同价格；</w:t>
      </w:r>
    </w:p>
    <w:p w14:paraId="45B9AEE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（2）发包人已支付承包人的款项；</w:t>
      </w:r>
    </w:p>
    <w:p w14:paraId="650C7A62">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（3）应扣留的质量保证金； </w:t>
      </w:r>
    </w:p>
    <w:p w14:paraId="1C8633E6">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（4）发包人应支付承包人的合同价款。</w:t>
      </w:r>
    </w:p>
    <w:p w14:paraId="0C3EDAB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19" w:name="_Toc351203595"/>
      <w:bookmarkStart w:id="420" w:name="_Toc337558812"/>
      <w:r>
        <w:rPr>
          <w:rFonts w:hint="eastAsia" w:ascii="宋体" w:hAnsi="宋体" w:eastAsia="宋体" w:cs="宋体"/>
          <w:b w:val="0"/>
          <w:color w:val="auto"/>
          <w:sz w:val="24"/>
          <w:szCs w:val="24"/>
          <w:highlight w:val="none"/>
        </w:rPr>
        <w:t>14.2 竣工结算审核</w:t>
      </w:r>
      <w:bookmarkEnd w:id="419"/>
    </w:p>
    <w:bookmarkEnd w:id="420"/>
    <w:p w14:paraId="7920B8A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highlight w:val="none"/>
        </w:rPr>
        <w:t>发包人对竣工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申请单有异议的，有权要求承包人进行修正和提供补充资料，承包人应提交修正后的竣工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w:t>
      </w:r>
    </w:p>
    <w:p w14:paraId="1370851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2FBF13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37C844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8D9649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1" w:name="_Toc351203596"/>
      <w:bookmarkStart w:id="422" w:name="_Toc337558813"/>
      <w:r>
        <w:rPr>
          <w:rFonts w:hint="eastAsia" w:ascii="宋体" w:hAnsi="宋体" w:eastAsia="宋体" w:cs="宋体"/>
          <w:b w:val="0"/>
          <w:color w:val="auto"/>
          <w:sz w:val="24"/>
          <w:szCs w:val="24"/>
          <w:highlight w:val="none"/>
        </w:rPr>
        <w:t>14.3 甩项竣工协议</w:t>
      </w:r>
      <w:bookmarkEnd w:id="421"/>
    </w:p>
    <w:bookmarkEnd w:id="422"/>
    <w:p w14:paraId="468C0150">
      <w:pPr>
        <w:shd w:val="clear"/>
        <w:autoSpaceDE w:val="0"/>
        <w:autoSpaceDN w:val="0"/>
        <w:adjustRightInd w:val="0"/>
        <w:spacing w:line="312" w:lineRule="auto"/>
        <w:ind w:firstLine="470" w:firstLineChars="196"/>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33E094E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3" w:name="_Toc351203597"/>
      <w:bookmarkStart w:id="424" w:name="_Toc337558814"/>
      <w:r>
        <w:rPr>
          <w:rFonts w:hint="eastAsia" w:ascii="宋体" w:hAnsi="宋体" w:eastAsia="宋体" w:cs="宋体"/>
          <w:b w:val="0"/>
          <w:color w:val="auto"/>
          <w:sz w:val="24"/>
          <w:szCs w:val="24"/>
          <w:highlight w:val="none"/>
        </w:rPr>
        <w:t>14.4 最终结清</w:t>
      </w:r>
      <w:bookmarkEnd w:id="423"/>
    </w:p>
    <w:bookmarkEnd w:id="424"/>
    <w:p w14:paraId="7DD39F8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14.4.1 最终结清申请单</w:t>
      </w:r>
    </w:p>
    <w:p w14:paraId="6EFD403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6EB5A02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w:t>
      </w:r>
      <w:r>
        <w:rPr>
          <w:rFonts w:hint="eastAsia" w:ascii="宋体" w:hAnsi="宋体" w:eastAsia="宋体" w:cs="宋体"/>
          <w:color w:val="auto"/>
          <w:kern w:val="0"/>
          <w:sz w:val="24"/>
          <w:highlight w:val="none"/>
        </w:rPr>
        <w:t>最终结清申请单</w:t>
      </w:r>
      <w:r>
        <w:rPr>
          <w:rFonts w:hint="eastAsia" w:ascii="宋体" w:hAnsi="宋体" w:eastAsia="宋体" w:cs="宋体"/>
          <w:color w:val="auto"/>
          <w:sz w:val="24"/>
          <w:highlight w:val="none"/>
        </w:rPr>
        <w:t>应列明质量保证金、应扣除的质量保证金、缺陷责任期内发生的增减费用。</w:t>
      </w:r>
    </w:p>
    <w:p w14:paraId="44B8DD2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（2）发包人对最终结清申请单内容有异议的，有权要求承包人进行修正和提供补充资料，承包人应向发包人提交修正后的最终结清申请单。</w:t>
      </w:r>
    </w:p>
    <w:p w14:paraId="4BFC568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14.4.2 最终结清证书和支付</w:t>
      </w:r>
    </w:p>
    <w:p w14:paraId="33AA076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9EF45B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ADABBA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（3）承包人对发包人颁发的最终结清证书有异议的，按第20条〔争议解决〕的约定办理。</w:t>
      </w:r>
    </w:p>
    <w:p w14:paraId="7874CA76">
      <w:pPr>
        <w:pStyle w:val="5"/>
        <w:shd w:val="clear"/>
        <w:spacing w:before="120" w:after="120" w:line="312" w:lineRule="auto"/>
        <w:rPr>
          <w:rFonts w:ascii="宋体" w:hAnsi="宋体" w:eastAsia="宋体" w:cs="宋体"/>
          <w:b w:val="0"/>
          <w:color w:val="auto"/>
          <w:sz w:val="24"/>
          <w:szCs w:val="24"/>
          <w:highlight w:val="none"/>
        </w:rPr>
      </w:pPr>
      <w:bookmarkStart w:id="425" w:name="_Toc351203598"/>
      <w:bookmarkStart w:id="426" w:name="_Toc337558815"/>
      <w:r>
        <w:rPr>
          <w:rFonts w:hint="eastAsia" w:ascii="宋体" w:hAnsi="宋体" w:eastAsia="宋体" w:cs="宋体"/>
          <w:b w:val="0"/>
          <w:color w:val="auto"/>
          <w:sz w:val="24"/>
          <w:szCs w:val="24"/>
          <w:highlight w:val="none"/>
        </w:rPr>
        <w:t>15. 缺陷责任与保修</w:t>
      </w:r>
      <w:bookmarkEnd w:id="425"/>
    </w:p>
    <w:bookmarkEnd w:id="415"/>
    <w:bookmarkEnd w:id="416"/>
    <w:bookmarkEnd w:id="426"/>
    <w:p w14:paraId="48111AD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7" w:name="_Toc351203599"/>
      <w:bookmarkStart w:id="428" w:name="_Toc337558816"/>
      <w:bookmarkStart w:id="429" w:name="_Toc296346615"/>
      <w:bookmarkStart w:id="430" w:name="_Toc296503114"/>
      <w:r>
        <w:rPr>
          <w:rFonts w:hint="eastAsia" w:ascii="宋体" w:hAnsi="宋体" w:eastAsia="宋体" w:cs="宋体"/>
          <w:b w:val="0"/>
          <w:color w:val="auto"/>
          <w:sz w:val="24"/>
          <w:szCs w:val="24"/>
          <w:highlight w:val="none"/>
        </w:rPr>
        <w:t>15.1 工程保修的原则</w:t>
      </w:r>
      <w:bookmarkEnd w:id="427"/>
    </w:p>
    <w:bookmarkEnd w:id="428"/>
    <w:p w14:paraId="348AFEC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6DC21CF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31" w:name="_Toc351203600"/>
      <w:bookmarkStart w:id="432" w:name="_Toc337558817"/>
      <w:r>
        <w:rPr>
          <w:rFonts w:hint="eastAsia" w:ascii="宋体" w:hAnsi="宋体" w:eastAsia="宋体" w:cs="宋体"/>
          <w:b w:val="0"/>
          <w:color w:val="auto"/>
          <w:sz w:val="24"/>
          <w:szCs w:val="24"/>
          <w:highlight w:val="none"/>
        </w:rPr>
        <w:t>15.2 缺陷责任期</w:t>
      </w:r>
      <w:bookmarkEnd w:id="429"/>
      <w:bookmarkEnd w:id="430"/>
      <w:bookmarkEnd w:id="431"/>
    </w:p>
    <w:bookmarkEnd w:id="432"/>
    <w:p w14:paraId="431EBB3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15.2.1 缺陷责任期自实际竣工日期起计算，合同当事人应在专用合同条款约定缺陷责任期的具体期限，但该期限最长不超过24个月。</w:t>
      </w:r>
    </w:p>
    <w:p w14:paraId="318BEAE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02FFA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auto"/>
          <w:sz w:val="24"/>
          <w:highlight w:val="none"/>
        </w:rPr>
        <w:t>包人延长缺陷责任期，</w:t>
      </w:r>
      <w:r>
        <w:rPr>
          <w:rFonts w:hint="eastAsia" w:ascii="宋体" w:hAnsi="宋体" w:eastAsia="宋体" w:cs="宋体"/>
          <w:color w:val="auto"/>
          <w:kern w:val="0"/>
          <w:sz w:val="24"/>
          <w:highlight w:val="none"/>
        </w:rPr>
        <w:t>并应在原缺陷责任期届满前发出延长通知，</w:t>
      </w:r>
      <w:r>
        <w:rPr>
          <w:rFonts w:hint="eastAsia" w:ascii="宋体" w:hAnsi="宋体" w:eastAsia="宋体" w:cs="宋体"/>
          <w:bCs/>
          <w:color w:val="auto"/>
          <w:sz w:val="24"/>
          <w:highlight w:val="none"/>
        </w:rPr>
        <w:t>但缺陷责任期最长</w:t>
      </w:r>
      <w:r>
        <w:rPr>
          <w:rFonts w:hint="eastAsia" w:ascii="宋体" w:hAnsi="宋体" w:eastAsia="宋体" w:cs="宋体"/>
          <w:color w:val="auto"/>
          <w:kern w:val="0"/>
          <w:sz w:val="24"/>
          <w:highlight w:val="none"/>
        </w:rPr>
        <w:t>不能超过24个月。</w:t>
      </w:r>
    </w:p>
    <w:p w14:paraId="6E5C27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0C82F6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4606CE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33" w:name="_Toc351203601"/>
      <w:bookmarkStart w:id="434" w:name="_Toc337558818"/>
      <w:bookmarkStart w:id="435" w:name="_Toc296503115"/>
      <w:bookmarkStart w:id="436" w:name="_Toc296346616"/>
      <w:r>
        <w:rPr>
          <w:rFonts w:hint="eastAsia" w:ascii="宋体" w:hAnsi="宋体" w:eastAsia="宋体" w:cs="宋体"/>
          <w:b w:val="0"/>
          <w:color w:val="auto"/>
          <w:sz w:val="24"/>
          <w:szCs w:val="24"/>
          <w:highlight w:val="none"/>
        </w:rPr>
        <w:t>15.3 质量保证金</w:t>
      </w:r>
      <w:bookmarkEnd w:id="433"/>
    </w:p>
    <w:bookmarkEnd w:id="434"/>
    <w:p w14:paraId="6E58665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经合同当事人协商一致扣留质量保证金的，应在专用合同条款中予以明确。</w:t>
      </w:r>
    </w:p>
    <w:p w14:paraId="49D7824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15.3.1 承包人提供质量保证金的方式</w:t>
      </w:r>
    </w:p>
    <w:p w14:paraId="56A4093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承包人提供质量保证金有以下三种方式：</w:t>
      </w:r>
    </w:p>
    <w:p w14:paraId="459CF79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（1）质量保证金保函； </w:t>
      </w:r>
    </w:p>
    <w:p w14:paraId="16F670F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（2）相应比例的工程款；</w:t>
      </w:r>
    </w:p>
    <w:p w14:paraId="1300884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（3）双方约定的其他方式。</w:t>
      </w:r>
    </w:p>
    <w:p w14:paraId="1733A4D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除专用合同条款另有约定外，质量保证金原则上采用上述第（1）种方式。</w:t>
      </w:r>
    </w:p>
    <w:p w14:paraId="3069988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15.3.2 质量保证金的扣留</w:t>
      </w:r>
    </w:p>
    <w:p w14:paraId="3F14A15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质量保证金的扣留有以下三种方式：</w:t>
      </w:r>
    </w:p>
    <w:p w14:paraId="2553D24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（1）在支付工程进度款时逐次扣留，在此情形下，质量保证金的计算基数不包括预付款的支付、扣回以及价格调整的金额；</w:t>
      </w:r>
    </w:p>
    <w:p w14:paraId="3BD67F3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w:t>
      </w:r>
      <w:bookmarkStart w:id="437" w:name="#go6"/>
      <w:bookmarkEnd w:id="437"/>
      <w:r>
        <w:rPr>
          <w:rFonts w:hint="eastAsia" w:ascii="宋体" w:hAnsi="宋体" w:eastAsia="宋体" w:cs="宋体"/>
          <w:color w:val="auto"/>
          <w:kern w:val="0"/>
          <w:sz w:val="24"/>
          <w:highlight w:val="none"/>
        </w:rPr>
        <w:t>程竣工结算时一次性扣留质量保证金；</w:t>
      </w:r>
    </w:p>
    <w:p w14:paraId="506620E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（3）双方约定的其他扣留方式。</w:t>
      </w:r>
    </w:p>
    <w:p w14:paraId="51AAD8F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除专用合同条款另有约定外，质量保证金的扣留原则上采用上述第（1）种方式。</w:t>
      </w:r>
    </w:p>
    <w:p w14:paraId="0F61C86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w:t>
      </w:r>
      <w:bookmarkStart w:id="438" w:name="#go4"/>
      <w:bookmarkEnd w:id="438"/>
      <w:r>
        <w:rPr>
          <w:rFonts w:hint="eastAsia" w:ascii="宋体" w:hAnsi="宋体" w:eastAsia="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5F0390B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15.3.3 </w:t>
      </w:r>
      <w:r>
        <w:rPr>
          <w:rFonts w:hint="eastAsia" w:ascii="宋体" w:hAnsi="宋体" w:eastAsia="宋体" w:cs="宋体"/>
          <w:color w:val="auto"/>
          <w:sz w:val="24"/>
          <w:highlight w:val="none"/>
        </w:rPr>
        <w:t>质量保证金</w:t>
      </w:r>
      <w:r>
        <w:rPr>
          <w:rFonts w:hint="eastAsia" w:ascii="宋体" w:hAnsi="宋体" w:eastAsia="宋体" w:cs="宋体"/>
          <w:color w:val="auto"/>
          <w:kern w:val="0"/>
          <w:sz w:val="24"/>
          <w:highlight w:val="none"/>
        </w:rPr>
        <w:t>的退还</w:t>
      </w:r>
    </w:p>
    <w:p w14:paraId="1F58D27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发包人应按14.4款〔最终结清〕的约定退还质量保证金。</w:t>
      </w:r>
    </w:p>
    <w:p w14:paraId="159AFAB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39" w:name="_Toc351203602"/>
      <w:bookmarkStart w:id="440" w:name="_Toc337558819"/>
      <w:r>
        <w:rPr>
          <w:rFonts w:hint="eastAsia" w:ascii="宋体" w:hAnsi="宋体" w:eastAsia="宋体" w:cs="宋体"/>
          <w:b w:val="0"/>
          <w:color w:val="auto"/>
          <w:sz w:val="24"/>
          <w:szCs w:val="24"/>
          <w:highlight w:val="none"/>
        </w:rPr>
        <w:t>15.4 保修</w:t>
      </w:r>
      <w:bookmarkEnd w:id="439"/>
    </w:p>
    <w:bookmarkEnd w:id="435"/>
    <w:bookmarkEnd w:id="436"/>
    <w:bookmarkEnd w:id="440"/>
    <w:p w14:paraId="5A54166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15.4.1保修责任</w:t>
      </w:r>
    </w:p>
    <w:p w14:paraId="3BADF65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CC7919C">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发包人未经竣工验收擅自使用工程的，保修期自</w:t>
      </w:r>
      <w:r>
        <w:rPr>
          <w:rFonts w:hint="eastAsia" w:ascii="宋体" w:hAnsi="宋体" w:eastAsia="宋体" w:cs="宋体"/>
          <w:color w:val="auto"/>
          <w:kern w:val="0"/>
          <w:sz w:val="24"/>
          <w:highlight w:val="none"/>
        </w:rPr>
        <w:t>转移占有之日起算</w:t>
      </w:r>
      <w:r>
        <w:rPr>
          <w:rFonts w:hint="eastAsia" w:ascii="宋体" w:hAnsi="宋体" w:eastAsia="宋体" w:cs="宋体"/>
          <w:color w:val="auto"/>
          <w:sz w:val="24"/>
          <w:highlight w:val="none"/>
        </w:rPr>
        <w:t>。</w:t>
      </w:r>
    </w:p>
    <w:p w14:paraId="5C6FCEB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15.4.2 修复费用</w:t>
      </w:r>
    </w:p>
    <w:p w14:paraId="17FF609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保修期内，修复的费用按照以下约定处理：</w:t>
      </w:r>
    </w:p>
    <w:p w14:paraId="347BDAC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（1）保修期内，因承包人原因造成工程的缺陷、损坏，承包人应负责修复，并承担修复的费用以及因工程的缺陷、损坏造成的人身伤害和财产损失；</w:t>
      </w:r>
    </w:p>
    <w:p w14:paraId="7BBCDC2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（2）保修期内，因发包人使用不当造成工程的缺陷、损坏，可以委托承包人修复，但发包人应承担修复的费用，并支付承包人合理利润；</w:t>
      </w:r>
    </w:p>
    <w:p w14:paraId="17C6D8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542D294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15.4.3 修复通知</w:t>
      </w:r>
    </w:p>
    <w:p w14:paraId="7ABB111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5C790D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15.4.4 未能修复</w:t>
      </w:r>
    </w:p>
    <w:p w14:paraId="50F1D0B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E805B6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15.4.5 承包人出入权</w:t>
      </w:r>
    </w:p>
    <w:p w14:paraId="13A387C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3CBFF98">
      <w:pPr>
        <w:pStyle w:val="5"/>
        <w:shd w:val="clear"/>
        <w:spacing w:before="120" w:after="120" w:line="312" w:lineRule="auto"/>
        <w:rPr>
          <w:rFonts w:ascii="宋体" w:hAnsi="宋体" w:eastAsia="宋体" w:cs="宋体"/>
          <w:b w:val="0"/>
          <w:color w:val="auto"/>
          <w:sz w:val="24"/>
          <w:szCs w:val="24"/>
          <w:highlight w:val="none"/>
        </w:rPr>
      </w:pPr>
      <w:bookmarkStart w:id="441" w:name="_Toc351203603"/>
      <w:bookmarkStart w:id="442" w:name="_Toc337558820"/>
      <w:r>
        <w:rPr>
          <w:rFonts w:hint="eastAsia" w:ascii="宋体" w:hAnsi="宋体" w:eastAsia="宋体" w:cs="宋体"/>
          <w:b w:val="0"/>
          <w:color w:val="auto"/>
          <w:sz w:val="24"/>
          <w:szCs w:val="24"/>
          <w:highlight w:val="none"/>
        </w:rPr>
        <w:t>16. 违约</w:t>
      </w:r>
      <w:bookmarkEnd w:id="441"/>
    </w:p>
    <w:bookmarkEnd w:id="442"/>
    <w:p w14:paraId="73636DC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eastAsia="宋体" w:cs="宋体"/>
          <w:b w:val="0"/>
          <w:color w:val="auto"/>
          <w:sz w:val="24"/>
          <w:szCs w:val="24"/>
          <w:highlight w:val="none"/>
        </w:rPr>
        <w:t>16.1 发</w:t>
      </w:r>
      <w:bookmarkEnd w:id="443"/>
      <w:bookmarkEnd w:id="444"/>
      <w:r>
        <w:rPr>
          <w:rFonts w:hint="eastAsia" w:ascii="宋体" w:hAnsi="宋体" w:eastAsia="宋体" w:cs="宋体"/>
          <w:b w:val="0"/>
          <w:color w:val="auto"/>
          <w:sz w:val="24"/>
          <w:szCs w:val="24"/>
          <w:highlight w:val="none"/>
        </w:rPr>
        <w:t>包人违约</w:t>
      </w:r>
      <w:bookmarkEnd w:id="445"/>
    </w:p>
    <w:bookmarkEnd w:id="446"/>
    <w:p w14:paraId="416A810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16.1.1 发包人违约的情形</w:t>
      </w:r>
    </w:p>
    <w:p w14:paraId="5617BF5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在合同履行过程中发生的下列情形，属于发包人违约：</w:t>
      </w:r>
    </w:p>
    <w:p w14:paraId="0DAB3FD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（1）因发包人原因未能在计划开工日期前7天内下达开工通知的；</w:t>
      </w:r>
    </w:p>
    <w:p w14:paraId="5883827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（2）因发包人原因未能按合同约定支付合同价款的；</w:t>
      </w:r>
    </w:p>
    <w:p w14:paraId="45330D8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（3）发包人违反第10.1款〔变更的范围〕第（2）项约定，自行实施被取消的工作或转由他人实施的；</w:t>
      </w:r>
    </w:p>
    <w:p w14:paraId="5A78437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（4）发包人提供的材料、工程设备的规格、数量或质量不符合合同约定，或因发包人原因导致交货日期延误或交货地点变更等情况的；</w:t>
      </w:r>
    </w:p>
    <w:p w14:paraId="2B4D4C1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（5）因发包人违反合同约定造成暂停施工的；</w:t>
      </w:r>
    </w:p>
    <w:p w14:paraId="3A48798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（6）发包人无正当理由没有在约定期限内发出复工指示，导致承包人无法复工的；</w:t>
      </w:r>
    </w:p>
    <w:p w14:paraId="4F7203B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（7）发包人明确表示或者以其行为表明不履行合同主要义务的；</w:t>
      </w:r>
    </w:p>
    <w:p w14:paraId="5454924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（8）发包人未能按照合同约定履行其他义务的。</w:t>
      </w:r>
    </w:p>
    <w:p w14:paraId="1D6D7FC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82FAFC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16.1.2 发包人违约的责任</w:t>
      </w:r>
    </w:p>
    <w:p w14:paraId="5689CDF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7C04777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16.1.3 因发包人违约解除合同</w:t>
      </w:r>
    </w:p>
    <w:p w14:paraId="46CF512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676F66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16.1.4 因发包人违约解除合同后的付款</w:t>
      </w:r>
    </w:p>
    <w:p w14:paraId="3A6D7F4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承包人按照本款约定解除合同的，发包人应在解除合同后28天内支付下列款项，并解除履约担保：</w:t>
      </w:r>
    </w:p>
    <w:p w14:paraId="2D134B2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（1）合同解除前所完成工作的价款；</w:t>
      </w:r>
    </w:p>
    <w:p w14:paraId="1955B40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（2）承包人为工程施工订购并已付款的材料、工程设备和其他物品的价款；</w:t>
      </w:r>
    </w:p>
    <w:p w14:paraId="245AA2F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（3）承包人撤离施工现场以及遣散承包人人员的款项；</w:t>
      </w:r>
    </w:p>
    <w:p w14:paraId="77E6E8E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（4）按照合同约定在合同解除前应支付的违约金；</w:t>
      </w:r>
    </w:p>
    <w:p w14:paraId="138EA39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（5）按照合同约定应当支付给承包人的其他款项；</w:t>
      </w:r>
    </w:p>
    <w:p w14:paraId="0980DD5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（6）按照合同约定应退还的质量保证金；</w:t>
      </w:r>
    </w:p>
    <w:p w14:paraId="00AC49C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（7）因解除合同给承包人造成的损失。</w:t>
      </w:r>
    </w:p>
    <w:p w14:paraId="2AEB795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合同当事人未能就解除合同后的结清达成一致的，按照第20条〔争议解决〕的约定处理。</w:t>
      </w:r>
    </w:p>
    <w:p w14:paraId="11FB1C1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60CF443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47" w:name="_Toc351203605"/>
      <w:bookmarkStart w:id="448" w:name="_Toc296503131"/>
      <w:bookmarkStart w:id="449" w:name="_Toc337558822"/>
      <w:bookmarkStart w:id="450" w:name="_Toc296346632"/>
      <w:r>
        <w:rPr>
          <w:rFonts w:hint="eastAsia" w:ascii="宋体" w:hAnsi="宋体" w:eastAsia="宋体" w:cs="宋体"/>
          <w:b w:val="0"/>
          <w:color w:val="auto"/>
          <w:sz w:val="24"/>
          <w:szCs w:val="24"/>
          <w:highlight w:val="none"/>
        </w:rPr>
        <w:t>16.2 承包人违约</w:t>
      </w:r>
      <w:bookmarkEnd w:id="447"/>
    </w:p>
    <w:bookmarkEnd w:id="448"/>
    <w:bookmarkEnd w:id="449"/>
    <w:bookmarkEnd w:id="450"/>
    <w:p w14:paraId="72DB88C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16.2.1 承包人违约的情形</w:t>
      </w:r>
    </w:p>
    <w:p w14:paraId="2D35D25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在合同履行过程中发生的下列情形，属于承包人违约：</w:t>
      </w:r>
    </w:p>
    <w:p w14:paraId="0DDB3A4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（1）承包人违反合同约定进行转包或违法分包的；</w:t>
      </w:r>
    </w:p>
    <w:p w14:paraId="6B751ED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（2）承包人违反合同约定采购和使用不合格的材料和工程设备的；</w:t>
      </w:r>
    </w:p>
    <w:p w14:paraId="2FF7F91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（3）因承包人原因导致工程质量不符合合同要求的； </w:t>
      </w:r>
    </w:p>
    <w:p w14:paraId="767D40F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（4）承包人违反第8.9款〔材料与设备专用要求〕的约定，未经批准，私自将已按照合同约定进入施工现场的材料或设备撤离施工现场的；</w:t>
      </w:r>
    </w:p>
    <w:p w14:paraId="76D21C1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（5）承包人未能按施工进度计划及时完成合同约定的工作，造成工期延误的；</w:t>
      </w:r>
    </w:p>
    <w:p w14:paraId="058C181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（6）承包人在缺陷责任期及保修期内，未能在合理期限对工程缺陷进行修复，或拒绝按发包人要求进行修复的；</w:t>
      </w:r>
    </w:p>
    <w:p w14:paraId="374F697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（7）承包人明确表示或者以其行为表明不履行合同主要义务的；</w:t>
      </w:r>
    </w:p>
    <w:p w14:paraId="7E04471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（8）承包人未能按照合同约定履行其他义务的。</w:t>
      </w:r>
    </w:p>
    <w:p w14:paraId="56BE798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承包人发生除本项第（7）目约定以外的其他违约情况时，监理人可向承包人发出整改通知，要求其在指定的期限内改正。</w:t>
      </w:r>
    </w:p>
    <w:p w14:paraId="1659446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16.2.2 承包人违约的责任</w:t>
      </w:r>
    </w:p>
    <w:p w14:paraId="2EB1E03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2F7550F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16.2.3 因承包人违约解除合同</w:t>
      </w:r>
    </w:p>
    <w:p w14:paraId="345FAAD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0CE9E3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16.2.4因承包人违约解除合同后的处理</w:t>
      </w:r>
    </w:p>
    <w:p w14:paraId="483258A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因承包人原因导致合同解除的，则合同当事人应在合同解除后28天内完成估价、付款和清算，并按以下约定执行：</w:t>
      </w:r>
    </w:p>
    <w:p w14:paraId="5BE76D9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2BDF596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（2）合同解除后，承包人应支付的违约金；</w:t>
      </w:r>
    </w:p>
    <w:p w14:paraId="31720A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（3）合同解除后，因解除合同给发包人造成的损失；</w:t>
      </w:r>
    </w:p>
    <w:p w14:paraId="3704984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（4）合同解除后，承包人应按照发包人要求和监理人的指示完成现场的清理和撤离；</w:t>
      </w:r>
    </w:p>
    <w:p w14:paraId="78344A2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（5）发包人和承包人应在合同解除后进行清算，出具最终结清付款证书，结清全部款项。</w:t>
      </w:r>
    </w:p>
    <w:p w14:paraId="5181B24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4D8DB3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16.2.5采购合同权益转让</w:t>
      </w:r>
    </w:p>
    <w:p w14:paraId="69FDEA8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0E5459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51" w:name="_Toc351203606"/>
      <w:r>
        <w:rPr>
          <w:rFonts w:hint="eastAsia" w:ascii="宋体" w:hAnsi="宋体" w:eastAsia="宋体" w:cs="宋体"/>
          <w:b w:val="0"/>
          <w:color w:val="auto"/>
          <w:sz w:val="24"/>
          <w:szCs w:val="24"/>
          <w:highlight w:val="none"/>
        </w:rPr>
        <w:t>16.3 第三人造成的违约</w:t>
      </w:r>
      <w:bookmarkEnd w:id="451"/>
    </w:p>
    <w:p w14:paraId="045DCF8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431E6A56">
      <w:pPr>
        <w:pStyle w:val="5"/>
        <w:shd w:val="clear"/>
        <w:spacing w:before="120" w:after="120" w:line="312" w:lineRule="auto"/>
        <w:rPr>
          <w:rFonts w:ascii="宋体" w:hAnsi="宋体" w:eastAsia="宋体" w:cs="宋体"/>
          <w:b w:val="0"/>
          <w:color w:val="auto"/>
          <w:sz w:val="24"/>
          <w:szCs w:val="24"/>
          <w:highlight w:val="none"/>
        </w:rPr>
      </w:pPr>
      <w:bookmarkStart w:id="452" w:name="_Toc351203607"/>
      <w:bookmarkStart w:id="453" w:name="_Toc296346617"/>
      <w:bookmarkStart w:id="454" w:name="_Toc296503116"/>
      <w:bookmarkStart w:id="455" w:name="_Toc337558823"/>
      <w:r>
        <w:rPr>
          <w:rFonts w:hint="eastAsia" w:ascii="宋体" w:hAnsi="宋体" w:eastAsia="宋体" w:cs="宋体"/>
          <w:b w:val="0"/>
          <w:color w:val="auto"/>
          <w:sz w:val="24"/>
          <w:szCs w:val="24"/>
          <w:highlight w:val="none"/>
        </w:rPr>
        <w:t>17. 不可抗力</w:t>
      </w:r>
      <w:bookmarkEnd w:id="452"/>
      <w:r>
        <w:rPr>
          <w:rFonts w:hint="eastAsia" w:ascii="宋体" w:hAnsi="宋体" w:eastAsia="宋体" w:cs="宋体"/>
          <w:b w:val="0"/>
          <w:color w:val="auto"/>
          <w:sz w:val="24"/>
          <w:szCs w:val="24"/>
          <w:highlight w:val="none"/>
        </w:rPr>
        <w:t xml:space="preserve"> </w:t>
      </w:r>
      <w:bookmarkEnd w:id="453"/>
      <w:bookmarkEnd w:id="454"/>
      <w:bookmarkEnd w:id="455"/>
    </w:p>
    <w:p w14:paraId="20194B5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56" w:name="_Toc351203608"/>
      <w:bookmarkStart w:id="457" w:name="_Toc296503117"/>
      <w:bookmarkStart w:id="458" w:name="_Toc296346618"/>
      <w:bookmarkStart w:id="459" w:name="_Toc337558824"/>
      <w:r>
        <w:rPr>
          <w:rFonts w:hint="eastAsia" w:ascii="宋体" w:hAnsi="宋体" w:eastAsia="宋体" w:cs="宋体"/>
          <w:b w:val="0"/>
          <w:color w:val="auto"/>
          <w:sz w:val="24"/>
          <w:szCs w:val="24"/>
          <w:highlight w:val="none"/>
        </w:rPr>
        <w:t>17.1 不可抗力的确认</w:t>
      </w:r>
      <w:bookmarkEnd w:id="456"/>
    </w:p>
    <w:bookmarkEnd w:id="457"/>
    <w:bookmarkEnd w:id="458"/>
    <w:bookmarkEnd w:id="459"/>
    <w:p w14:paraId="1E5EAF6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7B254E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0D4116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60" w:name="_Toc351203609"/>
      <w:bookmarkStart w:id="461" w:name="_Toc296346619"/>
      <w:bookmarkStart w:id="462" w:name="_Toc296503118"/>
      <w:bookmarkStart w:id="463" w:name="_Toc337558825"/>
      <w:r>
        <w:rPr>
          <w:rFonts w:hint="eastAsia" w:ascii="宋体" w:hAnsi="宋体" w:eastAsia="宋体" w:cs="宋体"/>
          <w:b w:val="0"/>
          <w:color w:val="auto"/>
          <w:sz w:val="24"/>
          <w:szCs w:val="24"/>
          <w:highlight w:val="none"/>
        </w:rPr>
        <w:t>17.2 不可抗力的通知</w:t>
      </w:r>
      <w:bookmarkEnd w:id="460"/>
    </w:p>
    <w:bookmarkEnd w:id="461"/>
    <w:bookmarkEnd w:id="462"/>
    <w:bookmarkEnd w:id="463"/>
    <w:p w14:paraId="46AE928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6FB62E3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4F3AC6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64" w:name="_Toc351203610"/>
      <w:bookmarkStart w:id="465" w:name="_Toc296346620"/>
      <w:bookmarkStart w:id="466" w:name="_Toc337558826"/>
      <w:bookmarkStart w:id="467" w:name="_Toc296503119"/>
      <w:r>
        <w:rPr>
          <w:rFonts w:hint="eastAsia" w:ascii="宋体" w:hAnsi="宋体" w:eastAsia="宋体" w:cs="宋体"/>
          <w:b w:val="0"/>
          <w:color w:val="auto"/>
          <w:sz w:val="24"/>
          <w:szCs w:val="24"/>
          <w:highlight w:val="none"/>
        </w:rPr>
        <w:t>17.3 不可抗力后果的承担</w:t>
      </w:r>
      <w:bookmarkEnd w:id="464"/>
    </w:p>
    <w:bookmarkEnd w:id="465"/>
    <w:bookmarkEnd w:id="466"/>
    <w:bookmarkEnd w:id="467"/>
    <w:p w14:paraId="6D36996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5EBE87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17.3.2 不可抗力导致的人员伤亡、财产损失、费用增加和（或）工期延误等后果，由合同当事人按以下原则承担：</w:t>
      </w:r>
    </w:p>
    <w:p w14:paraId="32FAA1F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（1）永久工程、已运至施工现场的材料和工程设备的损坏，以及因工程损坏造成的第三人人员伤亡和财产损失由发包人承担；</w:t>
      </w:r>
    </w:p>
    <w:p w14:paraId="37B3B0F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（2）承包人施工设备的损坏由承包人承担；</w:t>
      </w:r>
    </w:p>
    <w:p w14:paraId="1EF47D1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（3）发包人和承包人承担各自人员伤亡和财产的损失；</w:t>
      </w:r>
    </w:p>
    <w:p w14:paraId="16F1EAE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798727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（5）因不可抗力引起或将引起工期延误，发包人要求赶工的，由此增加的赶工费用由发包人承担；</w:t>
      </w:r>
    </w:p>
    <w:p w14:paraId="2A43B8A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（6）承包人在停工期间按照发包人要求照管、清理和修复工程的费用由发包人承担。</w:t>
      </w:r>
    </w:p>
    <w:p w14:paraId="72B119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0D69D44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因合同一方迟延履行合同义务，在迟延履行期间遭遇不可抗力的，不免除其违约责任。</w:t>
      </w:r>
    </w:p>
    <w:p w14:paraId="2FAA633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68" w:name="_Toc351203611"/>
      <w:bookmarkStart w:id="469" w:name="_Toc337558827"/>
      <w:r>
        <w:rPr>
          <w:rFonts w:hint="eastAsia" w:ascii="宋体" w:hAnsi="宋体" w:eastAsia="宋体" w:cs="宋体"/>
          <w:b w:val="0"/>
          <w:color w:val="auto"/>
          <w:sz w:val="24"/>
          <w:szCs w:val="24"/>
          <w:highlight w:val="none"/>
        </w:rPr>
        <w:t>17.4 因不可抗力解除合同</w:t>
      </w:r>
      <w:bookmarkEnd w:id="468"/>
    </w:p>
    <w:bookmarkEnd w:id="469"/>
    <w:p w14:paraId="2E451F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0738C1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（1）合同解除前承包人已完成工作的价款；</w:t>
      </w:r>
    </w:p>
    <w:p w14:paraId="61EB55D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（2）承包人为工程订购的并已交付给承包人，或承包人有责任接受交付的材料、工程设备和其他物品的价款；</w:t>
      </w:r>
    </w:p>
    <w:p w14:paraId="7C4084A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（3）发包人要求承包人退货或解除订货合同而产生的费用，或因不能退货或解除合同而产生的损失；</w:t>
      </w:r>
    </w:p>
    <w:p w14:paraId="5CF4839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（4）承包人撤离施工现场以及遣散承包人人员的费用；</w:t>
      </w:r>
    </w:p>
    <w:p w14:paraId="22F8309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（5）按照合同约定在合同解除前应支付给承包人的其他款项；</w:t>
      </w:r>
    </w:p>
    <w:p w14:paraId="45CC612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（6）扣减承包人按照合同约定应向发包人支付的款项；</w:t>
      </w:r>
    </w:p>
    <w:p w14:paraId="766E707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（7）双方商定或确定的其他款项。</w:t>
      </w:r>
    </w:p>
    <w:p w14:paraId="12A07D4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除专用合同条款另有约定外，合同解除后，发包人应在商定或确定上述款项后28天内完成上述款项的支付。</w:t>
      </w:r>
    </w:p>
    <w:p w14:paraId="47CA83AE">
      <w:pPr>
        <w:pStyle w:val="5"/>
        <w:shd w:val="clear"/>
        <w:spacing w:before="120" w:after="120" w:line="312" w:lineRule="auto"/>
        <w:rPr>
          <w:rFonts w:ascii="宋体" w:hAnsi="宋体" w:eastAsia="宋体" w:cs="宋体"/>
          <w:b w:val="0"/>
          <w:color w:val="auto"/>
          <w:sz w:val="24"/>
          <w:szCs w:val="24"/>
          <w:highlight w:val="none"/>
        </w:rPr>
      </w:pPr>
      <w:bookmarkStart w:id="470" w:name="_Toc351203612"/>
      <w:bookmarkStart w:id="471" w:name="_Toc296503120"/>
      <w:bookmarkStart w:id="472" w:name="_Toc296346621"/>
      <w:bookmarkStart w:id="473" w:name="_Toc337558828"/>
      <w:r>
        <w:rPr>
          <w:rFonts w:hint="eastAsia" w:ascii="宋体" w:hAnsi="宋体" w:eastAsia="宋体" w:cs="宋体"/>
          <w:b w:val="0"/>
          <w:color w:val="auto"/>
          <w:sz w:val="24"/>
          <w:szCs w:val="24"/>
          <w:highlight w:val="none"/>
        </w:rPr>
        <w:t>18. 保险</w:t>
      </w:r>
      <w:bookmarkEnd w:id="470"/>
    </w:p>
    <w:bookmarkEnd w:id="471"/>
    <w:bookmarkEnd w:id="472"/>
    <w:bookmarkEnd w:id="473"/>
    <w:p w14:paraId="29CF367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74" w:name="_Toc351203613"/>
      <w:bookmarkStart w:id="475" w:name="_Toc296346622"/>
      <w:bookmarkStart w:id="476" w:name="_Toc337558829"/>
      <w:bookmarkStart w:id="477" w:name="_Toc296503121"/>
      <w:r>
        <w:rPr>
          <w:rFonts w:hint="eastAsia" w:ascii="宋体" w:hAnsi="宋体" w:eastAsia="宋体" w:cs="宋体"/>
          <w:b w:val="0"/>
          <w:color w:val="auto"/>
          <w:sz w:val="24"/>
          <w:szCs w:val="24"/>
          <w:highlight w:val="none"/>
        </w:rPr>
        <w:t>18.1 工程保险</w:t>
      </w:r>
      <w:bookmarkEnd w:id="474"/>
    </w:p>
    <w:bookmarkEnd w:id="475"/>
    <w:bookmarkEnd w:id="476"/>
    <w:bookmarkEnd w:id="477"/>
    <w:p w14:paraId="33BA393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75C16B5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78" w:name="_Toc351203614"/>
      <w:bookmarkStart w:id="479" w:name="_Toc337558830"/>
      <w:bookmarkStart w:id="480" w:name="_Toc296346623"/>
      <w:bookmarkStart w:id="481" w:name="_Toc296503122"/>
      <w:r>
        <w:rPr>
          <w:rFonts w:hint="eastAsia" w:ascii="宋体" w:hAnsi="宋体" w:eastAsia="宋体" w:cs="宋体"/>
          <w:b w:val="0"/>
          <w:color w:val="auto"/>
          <w:sz w:val="24"/>
          <w:szCs w:val="24"/>
          <w:highlight w:val="none"/>
        </w:rPr>
        <w:t>18.2 工伤保险</w:t>
      </w:r>
      <w:bookmarkEnd w:id="478"/>
    </w:p>
    <w:bookmarkEnd w:id="479"/>
    <w:bookmarkEnd w:id="480"/>
    <w:bookmarkEnd w:id="481"/>
    <w:p w14:paraId="3E01DB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18.2.1 发包人应依照法律规定参加工伤保险。</w:t>
      </w:r>
    </w:p>
    <w:p w14:paraId="289A6F7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7D7C823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82" w:name="_Toc351203615"/>
      <w:bookmarkStart w:id="483" w:name="_Toc337558831"/>
      <w:bookmarkStart w:id="484" w:name="_Toc296346626"/>
      <w:bookmarkStart w:id="485" w:name="_Toc296503125"/>
      <w:r>
        <w:rPr>
          <w:rFonts w:hint="eastAsia" w:ascii="宋体" w:hAnsi="宋体" w:eastAsia="宋体" w:cs="宋体"/>
          <w:b w:val="0"/>
          <w:color w:val="auto"/>
          <w:sz w:val="24"/>
          <w:szCs w:val="24"/>
          <w:highlight w:val="none"/>
        </w:rPr>
        <w:t>18.3其他保险</w:t>
      </w:r>
      <w:bookmarkEnd w:id="482"/>
    </w:p>
    <w:bookmarkEnd w:id="483"/>
    <w:bookmarkEnd w:id="484"/>
    <w:bookmarkEnd w:id="485"/>
    <w:p w14:paraId="67A20909">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17DE7E65">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除专用合同条款另有约定外，承包人应为其施工设备等办理财产保险。</w:t>
      </w:r>
    </w:p>
    <w:p w14:paraId="4B3F85F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86" w:name="_Toc351203616"/>
      <w:r>
        <w:rPr>
          <w:rFonts w:hint="eastAsia" w:ascii="宋体" w:hAnsi="宋体" w:eastAsia="宋体" w:cs="宋体"/>
          <w:b w:val="0"/>
          <w:color w:val="auto"/>
          <w:sz w:val="24"/>
          <w:szCs w:val="24"/>
          <w:highlight w:val="none"/>
        </w:rPr>
        <w:t>18.4持续保险</w:t>
      </w:r>
      <w:bookmarkEnd w:id="486"/>
    </w:p>
    <w:p w14:paraId="5994A374">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合同当事人应与保险人保持联系，使保险人能够随时了解工程实施中的变动，并确保按保险合同条款要求持续保险。</w:t>
      </w:r>
    </w:p>
    <w:p w14:paraId="4A3EA75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87" w:name="_Toc351203617"/>
      <w:bookmarkStart w:id="488" w:name="_Toc296503126"/>
      <w:bookmarkStart w:id="489" w:name="_Toc337558832"/>
      <w:bookmarkStart w:id="490" w:name="_Toc296346627"/>
      <w:r>
        <w:rPr>
          <w:rFonts w:hint="eastAsia" w:ascii="宋体" w:hAnsi="宋体" w:eastAsia="宋体" w:cs="宋体"/>
          <w:b w:val="0"/>
          <w:color w:val="auto"/>
          <w:sz w:val="24"/>
          <w:szCs w:val="24"/>
          <w:highlight w:val="none"/>
        </w:rPr>
        <w:t>18.5 保险凭证</w:t>
      </w:r>
      <w:bookmarkEnd w:id="487"/>
    </w:p>
    <w:bookmarkEnd w:id="488"/>
    <w:bookmarkEnd w:id="489"/>
    <w:bookmarkEnd w:id="490"/>
    <w:p w14:paraId="3D887483">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合同当事人应及时向另一方当事人提交其已投保的各项保险的凭证和保险单复印件。</w:t>
      </w:r>
    </w:p>
    <w:p w14:paraId="0413451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91" w:name="_Toc351203618"/>
      <w:bookmarkStart w:id="492" w:name="_Toc296346628"/>
      <w:bookmarkStart w:id="493" w:name="_Toc337558833"/>
      <w:bookmarkStart w:id="494" w:name="_Toc296503127"/>
      <w:r>
        <w:rPr>
          <w:rFonts w:hint="eastAsia" w:ascii="宋体" w:hAnsi="宋体" w:eastAsia="宋体" w:cs="宋体"/>
          <w:b w:val="0"/>
          <w:color w:val="auto"/>
          <w:sz w:val="24"/>
          <w:szCs w:val="24"/>
          <w:highlight w:val="none"/>
        </w:rPr>
        <w:t>18.6 未按约定投保的补救</w:t>
      </w:r>
      <w:bookmarkEnd w:id="491"/>
    </w:p>
    <w:bookmarkEnd w:id="492"/>
    <w:bookmarkEnd w:id="493"/>
    <w:bookmarkEnd w:id="494"/>
    <w:p w14:paraId="749FD7F9">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5EDBDF7A">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16DDDA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95" w:name="_Toc351203619"/>
      <w:bookmarkStart w:id="496" w:name="_Toc337558834"/>
      <w:r>
        <w:rPr>
          <w:rFonts w:hint="eastAsia" w:ascii="宋体" w:hAnsi="宋体" w:eastAsia="宋体" w:cs="宋体"/>
          <w:b w:val="0"/>
          <w:color w:val="auto"/>
          <w:sz w:val="24"/>
          <w:szCs w:val="24"/>
          <w:highlight w:val="none"/>
        </w:rPr>
        <w:t>18.7 通知义务</w:t>
      </w:r>
      <w:bookmarkEnd w:id="495"/>
    </w:p>
    <w:bookmarkEnd w:id="496"/>
    <w:p w14:paraId="3879813D">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0D0FBD6">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保险事故发生时，投保人应按照保险合同规定的条件和期限及时向保险人报告。发包人和承包人应当在知道保险事故发生后及时通知对方。</w:t>
      </w:r>
    </w:p>
    <w:p w14:paraId="092623C0">
      <w:pPr>
        <w:pStyle w:val="5"/>
        <w:shd w:val="clear"/>
        <w:spacing w:before="120" w:after="120" w:line="312" w:lineRule="auto"/>
        <w:rPr>
          <w:rFonts w:ascii="宋体" w:hAnsi="宋体" w:eastAsia="宋体" w:cs="宋体"/>
          <w:b w:val="0"/>
          <w:color w:val="auto"/>
          <w:sz w:val="24"/>
          <w:szCs w:val="24"/>
          <w:highlight w:val="none"/>
        </w:rPr>
      </w:pPr>
      <w:bookmarkStart w:id="497" w:name="_Toc351203620"/>
      <w:bookmarkStart w:id="498" w:name="_Toc296346641"/>
      <w:bookmarkStart w:id="499" w:name="_Toc337558835"/>
      <w:bookmarkStart w:id="500" w:name="_Toc296503140"/>
      <w:r>
        <w:rPr>
          <w:rFonts w:hint="eastAsia" w:ascii="宋体" w:hAnsi="宋体" w:eastAsia="宋体" w:cs="宋体"/>
          <w:b w:val="0"/>
          <w:color w:val="auto"/>
          <w:sz w:val="24"/>
          <w:szCs w:val="24"/>
          <w:highlight w:val="none"/>
        </w:rPr>
        <w:t>19. 索赔</w:t>
      </w:r>
      <w:bookmarkEnd w:id="497"/>
    </w:p>
    <w:bookmarkEnd w:id="498"/>
    <w:bookmarkEnd w:id="499"/>
    <w:bookmarkEnd w:id="500"/>
    <w:p w14:paraId="16F72A7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01" w:name="_Toc351203621"/>
      <w:bookmarkStart w:id="502" w:name="_Toc296503141"/>
      <w:bookmarkStart w:id="503" w:name="_Toc296346642"/>
      <w:bookmarkStart w:id="504" w:name="_Toc337558836"/>
      <w:r>
        <w:rPr>
          <w:rFonts w:hint="eastAsia" w:ascii="宋体" w:hAnsi="宋体" w:eastAsia="宋体" w:cs="宋体"/>
          <w:b w:val="0"/>
          <w:color w:val="auto"/>
          <w:sz w:val="24"/>
          <w:szCs w:val="24"/>
          <w:highlight w:val="none"/>
        </w:rPr>
        <w:t>19.1承包人的索赔</w:t>
      </w:r>
      <w:bookmarkEnd w:id="501"/>
    </w:p>
    <w:bookmarkEnd w:id="502"/>
    <w:bookmarkEnd w:id="503"/>
    <w:bookmarkEnd w:id="504"/>
    <w:p w14:paraId="168C765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根据合同约定，承包人认为有权得到追加付款和（或）延长工期的，应按以下程序向发包人提出索赔：</w:t>
      </w:r>
    </w:p>
    <w:p w14:paraId="51021A5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8FC912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6B8296B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786B7AD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24407B6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05" w:name="_Toc351203622"/>
      <w:bookmarkStart w:id="506" w:name="_Toc296503142"/>
      <w:bookmarkStart w:id="507" w:name="_Toc296346643"/>
      <w:bookmarkStart w:id="508" w:name="_Toc337558837"/>
      <w:r>
        <w:rPr>
          <w:rFonts w:hint="eastAsia" w:ascii="宋体" w:hAnsi="宋体" w:eastAsia="宋体" w:cs="宋体"/>
          <w:b w:val="0"/>
          <w:color w:val="auto"/>
          <w:sz w:val="24"/>
          <w:szCs w:val="24"/>
          <w:highlight w:val="none"/>
        </w:rPr>
        <w:t>19.2 对承包人索赔的处理</w:t>
      </w:r>
      <w:bookmarkEnd w:id="505"/>
    </w:p>
    <w:bookmarkEnd w:id="506"/>
    <w:bookmarkEnd w:id="507"/>
    <w:bookmarkEnd w:id="508"/>
    <w:p w14:paraId="727C565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对承包人索赔的处理如下：</w:t>
      </w:r>
    </w:p>
    <w:p w14:paraId="6C2EB16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（1）监理人应在收到索赔报告后14天内完成审查并报送发包人。监理人对索赔报告存在异议的，有权要求承包人提交全部原始记录副本；</w:t>
      </w:r>
    </w:p>
    <w:p w14:paraId="286E773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35D2F1A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（3）承包人接受索赔处理结果的，索赔款项在当期进度款中进行支付；承包人不接受索赔处理结果的，按照第20条〔争议解决〕约定处理。</w:t>
      </w:r>
    </w:p>
    <w:p w14:paraId="4344E93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09" w:name="_Toc351203623"/>
      <w:bookmarkStart w:id="510" w:name="_Toc337558838"/>
      <w:bookmarkStart w:id="511" w:name="_Toc296346644"/>
      <w:bookmarkStart w:id="512" w:name="_Toc296503143"/>
      <w:r>
        <w:rPr>
          <w:rFonts w:hint="eastAsia" w:ascii="宋体" w:hAnsi="宋体" w:eastAsia="宋体" w:cs="宋体"/>
          <w:b w:val="0"/>
          <w:color w:val="auto"/>
          <w:sz w:val="24"/>
          <w:szCs w:val="24"/>
          <w:highlight w:val="none"/>
        </w:rPr>
        <w:t>19.3发包人的索赔</w:t>
      </w:r>
      <w:bookmarkEnd w:id="509"/>
    </w:p>
    <w:bookmarkEnd w:id="510"/>
    <w:bookmarkEnd w:id="511"/>
    <w:bookmarkEnd w:id="512"/>
    <w:p w14:paraId="27523EA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根据合同约定，发包人认为有权得到赔付金额和（或）延长缺陷责任期的，监理人应向承包人发出通知并附有详细的证明。</w:t>
      </w:r>
    </w:p>
    <w:p w14:paraId="72AC47B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3DD75F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13" w:name="_Toc351203624"/>
      <w:bookmarkStart w:id="514" w:name="_Toc337558839"/>
      <w:bookmarkStart w:id="515" w:name="_Toc296346645"/>
      <w:bookmarkStart w:id="516" w:name="_Toc296503144"/>
      <w:r>
        <w:rPr>
          <w:rFonts w:hint="eastAsia" w:ascii="宋体" w:hAnsi="宋体" w:eastAsia="宋体" w:cs="宋体"/>
          <w:b w:val="0"/>
          <w:color w:val="auto"/>
          <w:sz w:val="24"/>
          <w:szCs w:val="24"/>
          <w:highlight w:val="none"/>
        </w:rPr>
        <w:t>19.4 对发包人索赔的处理</w:t>
      </w:r>
      <w:bookmarkEnd w:id="513"/>
    </w:p>
    <w:bookmarkEnd w:id="514"/>
    <w:bookmarkEnd w:id="515"/>
    <w:bookmarkEnd w:id="516"/>
    <w:p w14:paraId="737CC09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对发包人索赔的处理如下：</w:t>
      </w:r>
    </w:p>
    <w:p w14:paraId="432FEF7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（1）承包人收到发包人提交的索赔报告后，应及时审查索赔报告的内容、查验发包人证明材料；</w:t>
      </w:r>
    </w:p>
    <w:p w14:paraId="381AD10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7FDF8FE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2C96B3A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17" w:name="_Toc351203625"/>
      <w:r>
        <w:rPr>
          <w:rFonts w:hint="eastAsia" w:ascii="宋体" w:hAnsi="宋体" w:eastAsia="宋体" w:cs="宋体"/>
          <w:b w:val="0"/>
          <w:color w:val="auto"/>
          <w:sz w:val="24"/>
          <w:szCs w:val="24"/>
          <w:highlight w:val="none"/>
        </w:rPr>
        <w:t>19.5 提出索赔的期限</w:t>
      </w:r>
      <w:bookmarkEnd w:id="517"/>
    </w:p>
    <w:p w14:paraId="1492A86E">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（1）承包人按第14.2款〔竣工结算审核〕约定接收竣工付款证书后，应被视为已无权再提出在工程接收证书颁发前所发生的任何索赔。</w:t>
      </w:r>
    </w:p>
    <w:p w14:paraId="78A1DACC">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69E5C3A9">
      <w:pPr>
        <w:pStyle w:val="5"/>
        <w:shd w:val="clear"/>
        <w:spacing w:before="120" w:after="120" w:line="288" w:lineRule="auto"/>
        <w:rPr>
          <w:rFonts w:ascii="宋体" w:hAnsi="宋体" w:eastAsia="宋体" w:cs="宋体"/>
          <w:b w:val="0"/>
          <w:color w:val="auto"/>
          <w:sz w:val="24"/>
          <w:szCs w:val="24"/>
          <w:highlight w:val="none"/>
        </w:rPr>
      </w:pPr>
      <w:bookmarkStart w:id="518" w:name="_Toc351203626"/>
      <w:r>
        <w:rPr>
          <w:rFonts w:hint="eastAsia" w:ascii="宋体" w:hAnsi="宋体" w:eastAsia="宋体" w:cs="宋体"/>
          <w:b w:val="0"/>
          <w:color w:val="auto"/>
          <w:sz w:val="24"/>
          <w:szCs w:val="24"/>
          <w:highlight w:val="none"/>
        </w:rPr>
        <w:t>20</w:t>
      </w:r>
      <w:bookmarkStart w:id="519" w:name="_Toc296346647"/>
      <w:bookmarkStart w:id="520" w:name="_Toc337558840"/>
      <w:bookmarkStart w:id="521" w:name="_Toc296503146"/>
      <w:r>
        <w:rPr>
          <w:rFonts w:hint="eastAsia" w:ascii="宋体" w:hAnsi="宋体" w:eastAsia="宋体" w:cs="宋体"/>
          <w:b w:val="0"/>
          <w:color w:val="auto"/>
          <w:sz w:val="24"/>
          <w:szCs w:val="24"/>
          <w:highlight w:val="none"/>
        </w:rPr>
        <w:t>. 争议解决</w:t>
      </w:r>
      <w:bookmarkEnd w:id="518"/>
    </w:p>
    <w:bookmarkEnd w:id="519"/>
    <w:bookmarkEnd w:id="520"/>
    <w:bookmarkEnd w:id="521"/>
    <w:p w14:paraId="08E934DB">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22" w:name="_Toc351203627"/>
      <w:bookmarkStart w:id="523" w:name="_Toc296503147"/>
      <w:bookmarkStart w:id="524" w:name="_Toc337558841"/>
      <w:bookmarkStart w:id="525" w:name="_Toc296346648"/>
      <w:r>
        <w:rPr>
          <w:rFonts w:hint="eastAsia" w:ascii="宋体" w:hAnsi="宋体" w:eastAsia="宋体" w:cs="宋体"/>
          <w:b w:val="0"/>
          <w:color w:val="auto"/>
          <w:sz w:val="24"/>
          <w:szCs w:val="24"/>
          <w:highlight w:val="none"/>
        </w:rPr>
        <w:t>20.1和解</w:t>
      </w:r>
      <w:bookmarkEnd w:id="522"/>
    </w:p>
    <w:bookmarkEnd w:id="523"/>
    <w:bookmarkEnd w:id="524"/>
    <w:bookmarkEnd w:id="525"/>
    <w:p w14:paraId="31F59B70">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合同当事人可以就争议自行和解，自行和解达成协议的经双方签字并盖章后作为合同补充文件，双方均应遵照执行。</w:t>
      </w:r>
    </w:p>
    <w:p w14:paraId="0671A16F">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26" w:name="_Toc351203628"/>
      <w:r>
        <w:rPr>
          <w:rFonts w:hint="eastAsia" w:ascii="宋体" w:hAnsi="宋体" w:eastAsia="宋体" w:cs="宋体"/>
          <w:b w:val="0"/>
          <w:color w:val="auto"/>
          <w:sz w:val="24"/>
          <w:szCs w:val="24"/>
          <w:highlight w:val="none"/>
        </w:rPr>
        <w:t>20</w:t>
      </w:r>
      <w:bookmarkStart w:id="527" w:name="_Toc337558842"/>
      <w:bookmarkStart w:id="528" w:name="_Toc296503148"/>
      <w:bookmarkStart w:id="529" w:name="_Toc296346649"/>
      <w:r>
        <w:rPr>
          <w:rFonts w:hint="eastAsia" w:ascii="宋体" w:hAnsi="宋体" w:eastAsia="宋体" w:cs="宋体"/>
          <w:b w:val="0"/>
          <w:color w:val="auto"/>
          <w:sz w:val="24"/>
          <w:szCs w:val="24"/>
          <w:highlight w:val="none"/>
        </w:rPr>
        <w:t>.2调解</w:t>
      </w:r>
      <w:bookmarkEnd w:id="526"/>
    </w:p>
    <w:bookmarkEnd w:id="527"/>
    <w:bookmarkEnd w:id="528"/>
    <w:bookmarkEnd w:id="529"/>
    <w:p w14:paraId="62F7EB10">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337B26EA">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30" w:name="_Toc351203629"/>
      <w:bookmarkStart w:id="531" w:name="_Toc296346650"/>
      <w:bookmarkStart w:id="532" w:name="_Toc296503149"/>
      <w:bookmarkStart w:id="533" w:name="_Toc337558843"/>
      <w:r>
        <w:rPr>
          <w:rFonts w:hint="eastAsia" w:ascii="宋体" w:hAnsi="宋体" w:eastAsia="宋体" w:cs="宋体"/>
          <w:b w:val="0"/>
          <w:color w:val="auto"/>
          <w:sz w:val="24"/>
          <w:szCs w:val="24"/>
          <w:highlight w:val="none"/>
        </w:rPr>
        <w:t>20.3争议评审</w:t>
      </w:r>
      <w:bookmarkEnd w:id="530"/>
    </w:p>
    <w:bookmarkEnd w:id="531"/>
    <w:bookmarkEnd w:id="532"/>
    <w:bookmarkEnd w:id="533"/>
    <w:p w14:paraId="0DCA0F2D">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合同当事人在专用合同条款中约定采取争议评审方式解决争议以及评审规则，并按下列约定执行： </w:t>
      </w:r>
    </w:p>
    <w:p w14:paraId="4FE1DCBF">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20.3.1 争议评审小组的确定</w:t>
      </w:r>
    </w:p>
    <w:p w14:paraId="4CB46AE8">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3903E51F">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166A241">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除专用合同条款另有约定外，评审员报酬由发包人和承包人各承担一半。</w:t>
      </w:r>
    </w:p>
    <w:p w14:paraId="2055A196">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20.3.2 争议评审小组的决定</w:t>
      </w:r>
    </w:p>
    <w:p w14:paraId="473830C5">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95AB8E4">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20.3.3 争议评审小组决定的效力</w:t>
      </w:r>
    </w:p>
    <w:p w14:paraId="21F70C02">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争议评审小组作出的书面决定经合同当事人签字确认后，对双方具有约束力，双方应遵照执行。</w:t>
      </w:r>
    </w:p>
    <w:p w14:paraId="74A30803">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任何一方当事人不接受争议评审小组决定或不履行争议评审小组决定的，双方可选择采用其他争议解决方式。</w:t>
      </w:r>
    </w:p>
    <w:p w14:paraId="0DDDADA2">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34" w:name="_Toc351203630"/>
      <w:bookmarkStart w:id="535" w:name="_Toc296346651"/>
      <w:bookmarkStart w:id="536" w:name="_Toc296503150"/>
      <w:bookmarkStart w:id="537" w:name="_Toc337558844"/>
      <w:r>
        <w:rPr>
          <w:rFonts w:hint="eastAsia" w:ascii="宋体" w:hAnsi="宋体" w:eastAsia="宋体" w:cs="宋体"/>
          <w:b w:val="0"/>
          <w:color w:val="auto"/>
          <w:sz w:val="24"/>
          <w:szCs w:val="24"/>
          <w:highlight w:val="none"/>
        </w:rPr>
        <w:t>20.4仲裁或诉讼</w:t>
      </w:r>
      <w:bookmarkEnd w:id="534"/>
    </w:p>
    <w:bookmarkEnd w:id="535"/>
    <w:bookmarkEnd w:id="536"/>
    <w:bookmarkEnd w:id="537"/>
    <w:p w14:paraId="5098E98D">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因合同及合同有关事项产生的争议，合同当事人可以在专用合同条款中约定以下一种方式解决争议：</w:t>
      </w:r>
    </w:p>
    <w:p w14:paraId="4E3C34EE">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（1）向约定的仲裁委员会申请仲裁；</w:t>
      </w:r>
    </w:p>
    <w:p w14:paraId="166258F9">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（2）向有管辖权的人民法院起诉。</w:t>
      </w:r>
    </w:p>
    <w:p w14:paraId="2C48BA73">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38" w:name="_Toc351203631"/>
      <w:bookmarkStart w:id="539" w:name="_Toc296346653"/>
      <w:bookmarkStart w:id="540" w:name="_Toc296503152"/>
      <w:bookmarkStart w:id="541" w:name="_Toc337558845"/>
      <w:r>
        <w:rPr>
          <w:rFonts w:hint="eastAsia" w:ascii="宋体" w:hAnsi="宋体" w:eastAsia="宋体" w:cs="宋体"/>
          <w:b w:val="0"/>
          <w:color w:val="auto"/>
          <w:sz w:val="24"/>
          <w:szCs w:val="24"/>
          <w:highlight w:val="none"/>
        </w:rPr>
        <w:t>20.5争议解决条款效力</w:t>
      </w:r>
      <w:bookmarkEnd w:id="538"/>
    </w:p>
    <w:bookmarkEnd w:id="539"/>
    <w:bookmarkEnd w:id="540"/>
    <w:bookmarkEnd w:id="541"/>
    <w:p w14:paraId="17421E98">
      <w:pPr>
        <w:shd w:val="clear"/>
        <w:autoSpaceDE w:val="0"/>
        <w:autoSpaceDN w:val="0"/>
        <w:adjustRightInd w:val="0"/>
        <w:spacing w:line="28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合同有关争议解决的条款独立存在，合同的变更、解除、终止、无效或者被撤销均不影响其效力。 </w:t>
      </w:r>
    </w:p>
    <w:p w14:paraId="7F259E0A">
      <w:pPr>
        <w:pStyle w:val="15"/>
        <w:shd w:val="clear"/>
        <w:rPr>
          <w:rFonts w:hint="eastAsia" w:ascii="宋体" w:hAnsi="宋体" w:eastAsia="宋体" w:cs="宋体"/>
          <w:color w:val="auto"/>
          <w:kern w:val="0"/>
          <w:sz w:val="24"/>
          <w:highlight w:val="none"/>
        </w:rPr>
      </w:pPr>
    </w:p>
    <w:p w14:paraId="45F67BFB">
      <w:pPr>
        <w:pStyle w:val="15"/>
        <w:shd w:val="clear"/>
        <w:rPr>
          <w:rFonts w:hint="eastAsia" w:ascii="宋体" w:hAnsi="宋体" w:eastAsia="宋体" w:cs="宋体"/>
          <w:color w:val="auto"/>
          <w:kern w:val="0"/>
          <w:sz w:val="24"/>
          <w:highlight w:val="none"/>
        </w:rPr>
      </w:pPr>
    </w:p>
    <w:p w14:paraId="0AC851E6">
      <w:pPr>
        <w:pStyle w:val="15"/>
        <w:shd w:val="clear"/>
        <w:rPr>
          <w:rFonts w:hint="eastAsia" w:ascii="宋体" w:hAnsi="宋体" w:eastAsia="宋体" w:cs="宋体"/>
          <w:color w:val="auto"/>
          <w:kern w:val="0"/>
          <w:sz w:val="24"/>
          <w:highlight w:val="none"/>
        </w:rPr>
      </w:pPr>
    </w:p>
    <w:p w14:paraId="4FC4C7A8">
      <w:pPr>
        <w:pStyle w:val="15"/>
        <w:shd w:val="clear"/>
        <w:rPr>
          <w:rFonts w:hint="eastAsia" w:ascii="宋体" w:hAnsi="宋体" w:eastAsia="宋体" w:cs="宋体"/>
          <w:color w:val="auto"/>
          <w:kern w:val="0"/>
          <w:sz w:val="24"/>
          <w:highlight w:val="none"/>
        </w:rPr>
      </w:pPr>
    </w:p>
    <w:p w14:paraId="4D5802E7">
      <w:pPr>
        <w:pStyle w:val="15"/>
        <w:shd w:val="clear"/>
        <w:rPr>
          <w:rFonts w:hint="eastAsia" w:ascii="宋体" w:hAnsi="宋体" w:eastAsia="宋体" w:cs="宋体"/>
          <w:color w:val="auto"/>
          <w:kern w:val="0"/>
          <w:sz w:val="24"/>
          <w:highlight w:val="none"/>
        </w:rPr>
      </w:pPr>
    </w:p>
    <w:p w14:paraId="4D89C6F1">
      <w:pPr>
        <w:pStyle w:val="15"/>
        <w:shd w:val="clear"/>
        <w:rPr>
          <w:rFonts w:hint="eastAsia" w:ascii="宋体" w:hAnsi="宋体" w:eastAsia="宋体" w:cs="宋体"/>
          <w:color w:val="auto"/>
          <w:kern w:val="0"/>
          <w:sz w:val="24"/>
          <w:highlight w:val="none"/>
        </w:rPr>
      </w:pPr>
    </w:p>
    <w:p w14:paraId="7FAC8253">
      <w:pPr>
        <w:pStyle w:val="15"/>
        <w:shd w:val="clear"/>
        <w:rPr>
          <w:rFonts w:hint="eastAsia" w:ascii="宋体" w:hAnsi="宋体" w:eastAsia="宋体" w:cs="宋体"/>
          <w:color w:val="auto"/>
          <w:kern w:val="0"/>
          <w:sz w:val="24"/>
          <w:highlight w:val="none"/>
        </w:rPr>
      </w:pPr>
    </w:p>
    <w:p w14:paraId="5C11FE56">
      <w:pPr>
        <w:pStyle w:val="15"/>
        <w:shd w:val="clear"/>
        <w:rPr>
          <w:rFonts w:hint="eastAsia" w:ascii="宋体" w:hAnsi="宋体" w:eastAsia="宋体" w:cs="宋体"/>
          <w:color w:val="auto"/>
          <w:kern w:val="0"/>
          <w:sz w:val="24"/>
          <w:highlight w:val="none"/>
        </w:rPr>
      </w:pPr>
    </w:p>
    <w:p w14:paraId="33E2317C">
      <w:pPr>
        <w:pStyle w:val="15"/>
        <w:shd w:val="clear"/>
        <w:rPr>
          <w:rFonts w:hint="eastAsia" w:ascii="宋体" w:hAnsi="宋体" w:eastAsia="宋体" w:cs="宋体"/>
          <w:color w:val="auto"/>
          <w:kern w:val="0"/>
          <w:sz w:val="24"/>
          <w:highlight w:val="none"/>
        </w:rPr>
      </w:pPr>
    </w:p>
    <w:p w14:paraId="020548DF">
      <w:pPr>
        <w:pStyle w:val="15"/>
        <w:shd w:val="clear"/>
        <w:rPr>
          <w:rFonts w:hint="eastAsia" w:ascii="宋体" w:hAnsi="宋体" w:eastAsia="宋体" w:cs="宋体"/>
          <w:color w:val="auto"/>
          <w:kern w:val="0"/>
          <w:sz w:val="24"/>
          <w:highlight w:val="none"/>
        </w:rPr>
      </w:pPr>
    </w:p>
    <w:p w14:paraId="01A9E975">
      <w:pPr>
        <w:pStyle w:val="2"/>
        <w:keepNext w:val="0"/>
        <w:keepLines w:val="0"/>
        <w:shd w:val="clear"/>
        <w:spacing w:line="312" w:lineRule="auto"/>
        <w:jc w:val="center"/>
        <w:rPr>
          <w:rFonts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t>第三部分 专用合同条款</w:t>
      </w:r>
      <w:bookmarkEnd w:id="105"/>
      <w:bookmarkEnd w:id="106"/>
      <w:bookmarkEnd w:id="107"/>
      <w:bookmarkEnd w:id="109"/>
      <w:bookmarkEnd w:id="110"/>
      <w:bookmarkEnd w:id="111"/>
      <w:bookmarkEnd w:id="112"/>
      <w:bookmarkEnd w:id="113"/>
      <w:bookmarkEnd w:id="114"/>
    </w:p>
    <w:p w14:paraId="15A5ECED">
      <w:pPr>
        <w:shd w:val="clear"/>
        <w:spacing w:line="312" w:lineRule="auto"/>
        <w:rPr>
          <w:color w:val="auto"/>
          <w:highlight w:val="none"/>
        </w:rPr>
      </w:pPr>
    </w:p>
    <w:p w14:paraId="3FF41D67">
      <w:pPr>
        <w:pStyle w:val="3"/>
        <w:shd w:val="clear"/>
        <w:adjustRightInd w:val="0"/>
        <w:snapToGrid w:val="0"/>
        <w:spacing w:line="360" w:lineRule="auto"/>
        <w:rPr>
          <w:rFonts w:ascii="宋体" w:hAnsi="宋体" w:eastAsia="宋体" w:cs="宋体"/>
          <w:color w:val="auto"/>
          <w:spacing w:val="20"/>
          <w:sz w:val="24"/>
          <w:szCs w:val="40"/>
          <w:highlight w:val="none"/>
        </w:rPr>
      </w:pPr>
      <w:bookmarkStart w:id="542" w:name="_Toc439779031"/>
      <w:bookmarkStart w:id="543" w:name="_Toc14791"/>
      <w:bookmarkStart w:id="544" w:name="_Toc373478339"/>
      <w:bookmarkStart w:id="545" w:name="_Toc461982826"/>
      <w:bookmarkStart w:id="546" w:name="_Toc389065258"/>
      <w:bookmarkStart w:id="547" w:name="_Toc373227692"/>
      <w:bookmarkStart w:id="548" w:name="_Toc351203633"/>
      <w:bookmarkStart w:id="549" w:name="_Toc14784"/>
      <w:bookmarkStart w:id="550" w:name="_Toc292559361"/>
      <w:bookmarkStart w:id="551" w:name="_Toc296891196"/>
      <w:bookmarkStart w:id="552" w:name="_Toc296944495"/>
      <w:bookmarkStart w:id="553" w:name="_Toc292559866"/>
      <w:bookmarkStart w:id="554" w:name="_Toc296346657"/>
      <w:bookmarkStart w:id="555" w:name="_Toc296347155"/>
      <w:bookmarkStart w:id="556" w:name="_Toc297048342"/>
      <w:bookmarkStart w:id="557" w:name="_Toc296890984"/>
      <w:bookmarkStart w:id="558" w:name="_Toc297120456"/>
      <w:bookmarkStart w:id="559" w:name="_Toc296503156"/>
      <w:r>
        <w:rPr>
          <w:rFonts w:hint="eastAsia" w:ascii="宋体" w:hAnsi="宋体" w:eastAsia="宋体" w:cs="宋体"/>
          <w:color w:val="auto"/>
          <w:spacing w:val="20"/>
          <w:sz w:val="24"/>
          <w:szCs w:val="40"/>
          <w:highlight w:val="none"/>
        </w:rPr>
        <w:t>一. 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67211B24">
      <w:pPr>
        <w:pStyle w:val="4"/>
        <w:shd w:val="clear"/>
        <w:adjustRightInd w:val="0"/>
        <w:snapToGrid w:val="0"/>
        <w:rPr>
          <w:rFonts w:ascii="宋体" w:hAnsi="宋体" w:eastAsia="宋体" w:cs="宋体"/>
          <w:color w:val="auto"/>
          <w:spacing w:val="20"/>
          <w:sz w:val="24"/>
          <w:szCs w:val="40"/>
          <w:highlight w:val="none"/>
        </w:rPr>
      </w:pPr>
      <w:bookmarkStart w:id="560" w:name="_Toc389065259"/>
      <w:bookmarkStart w:id="561" w:name="_Toc373227693"/>
      <w:bookmarkStart w:id="562" w:name="_Toc461982827"/>
      <w:bookmarkStart w:id="563" w:name="_Toc439779032"/>
      <w:bookmarkStart w:id="564" w:name="_Toc20097"/>
      <w:bookmarkStart w:id="565" w:name="_Toc16308"/>
      <w:bookmarkStart w:id="566" w:name="_Toc373478340"/>
      <w:r>
        <w:rPr>
          <w:rFonts w:hint="eastAsia" w:ascii="宋体" w:hAnsi="宋体" w:eastAsia="宋体" w:cs="宋体"/>
          <w:color w:val="auto"/>
          <w:spacing w:val="20"/>
          <w:sz w:val="24"/>
          <w:szCs w:val="40"/>
          <w:highlight w:val="none"/>
        </w:rPr>
        <w:t>1.1 词语定义</w:t>
      </w:r>
      <w:bookmarkEnd w:id="560"/>
      <w:bookmarkEnd w:id="561"/>
      <w:bookmarkEnd w:id="562"/>
      <w:bookmarkEnd w:id="563"/>
      <w:bookmarkEnd w:id="564"/>
      <w:bookmarkEnd w:id="565"/>
      <w:bookmarkEnd w:id="566"/>
    </w:p>
    <w:p w14:paraId="3203B072">
      <w:pPr>
        <w:shd w:val="clear"/>
        <w:adjustRightInd w:val="0"/>
        <w:snapToGrid w:val="0"/>
        <w:spacing w:line="360" w:lineRule="auto"/>
        <w:ind w:firstLine="560" w:firstLineChars="200"/>
        <w:outlineLvl w:val="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1.1.1 合同</w:t>
      </w:r>
    </w:p>
    <w:p w14:paraId="15792393">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1.1.1.10 其他合同文件包括：</w:t>
      </w:r>
      <w:r>
        <w:rPr>
          <w:rFonts w:hint="eastAsia" w:ascii="宋体" w:hAnsi="宋体" w:eastAsia="宋体" w:cs="宋体"/>
          <w:color w:val="auto"/>
          <w:spacing w:val="20"/>
          <w:sz w:val="24"/>
          <w:highlight w:val="none"/>
          <w:u w:val="single"/>
        </w:rPr>
        <w:t xml:space="preserve">投标文件及其附件，招标文件（含补充通知和答疑），履约保证经缴纳证明，履约过程中双方法定代表人（或双方工地代表人）书面确认的对合同内容有实质性影响的会议纪要、签证、设计变更等资料 </w:t>
      </w:r>
      <w:r>
        <w:rPr>
          <w:rFonts w:hint="eastAsia" w:ascii="宋体" w:hAnsi="宋体" w:eastAsia="宋体" w:cs="宋体"/>
          <w:color w:val="auto"/>
          <w:spacing w:val="20"/>
          <w:sz w:val="24"/>
          <w:highlight w:val="none"/>
        </w:rPr>
        <w:t>。</w:t>
      </w:r>
    </w:p>
    <w:p w14:paraId="17F155C6">
      <w:pPr>
        <w:pStyle w:val="4"/>
        <w:shd w:val="clear"/>
        <w:adjustRightInd w:val="0"/>
        <w:snapToGrid w:val="0"/>
        <w:rPr>
          <w:rFonts w:ascii="宋体" w:hAnsi="宋体" w:eastAsia="宋体" w:cs="宋体"/>
          <w:color w:val="auto"/>
          <w:spacing w:val="20"/>
          <w:sz w:val="24"/>
          <w:szCs w:val="40"/>
          <w:highlight w:val="none"/>
        </w:rPr>
      </w:pPr>
      <w:bookmarkStart w:id="567" w:name="_Toc439779035"/>
      <w:bookmarkStart w:id="568" w:name="_Toc25240"/>
      <w:bookmarkStart w:id="569" w:name="_Toc389065262"/>
      <w:bookmarkStart w:id="570" w:name="_Toc461982830"/>
      <w:bookmarkStart w:id="571" w:name="_Toc373227696"/>
      <w:bookmarkStart w:id="572" w:name="_Toc26377"/>
      <w:bookmarkStart w:id="573" w:name="_Toc373478343"/>
      <w:r>
        <w:rPr>
          <w:rFonts w:hint="eastAsia" w:ascii="宋体" w:hAnsi="宋体" w:eastAsia="宋体" w:cs="宋体"/>
          <w:color w:val="auto"/>
          <w:spacing w:val="20"/>
          <w:sz w:val="24"/>
          <w:szCs w:val="40"/>
          <w:highlight w:val="none"/>
        </w:rPr>
        <w:t>1.4 合同文件的优先顺序</w:t>
      </w:r>
      <w:bookmarkEnd w:id="567"/>
      <w:bookmarkEnd w:id="568"/>
      <w:bookmarkEnd w:id="569"/>
      <w:bookmarkEnd w:id="570"/>
      <w:bookmarkEnd w:id="571"/>
      <w:bookmarkEnd w:id="572"/>
      <w:bookmarkEnd w:id="573"/>
    </w:p>
    <w:p w14:paraId="14F33228">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合同文件组成及优先顺序为：</w:t>
      </w:r>
    </w:p>
    <w:p w14:paraId="5F61E0A1">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（1）中标通知书；</w:t>
      </w:r>
    </w:p>
    <w:p w14:paraId="67814052">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（2）投标函及其附录；</w:t>
      </w:r>
    </w:p>
    <w:p w14:paraId="0C51C483">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（3）专用合同条款及其附件；</w:t>
      </w:r>
    </w:p>
    <w:p w14:paraId="0AE25B65">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（4）通用合同条款；</w:t>
      </w:r>
    </w:p>
    <w:p w14:paraId="1E066F89">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（5）</w:t>
      </w:r>
      <w:r>
        <w:rPr>
          <w:rFonts w:hint="eastAsia" w:ascii="宋体" w:hAnsi="宋体" w:eastAsia="宋体" w:cs="宋体"/>
          <w:color w:val="auto"/>
          <w:spacing w:val="20"/>
          <w:kern w:val="0"/>
          <w:sz w:val="24"/>
          <w:highlight w:val="none"/>
          <w:u w:val="single"/>
        </w:rPr>
        <w:t xml:space="preserve"> 技术标准和要求          </w:t>
      </w:r>
      <w:r>
        <w:rPr>
          <w:rFonts w:hint="eastAsia" w:ascii="宋体" w:hAnsi="宋体" w:eastAsia="宋体" w:cs="宋体"/>
          <w:color w:val="auto"/>
          <w:spacing w:val="20"/>
          <w:kern w:val="0"/>
          <w:sz w:val="24"/>
          <w:highlight w:val="none"/>
        </w:rPr>
        <w:t>；</w:t>
      </w:r>
    </w:p>
    <w:p w14:paraId="37B5ED0F">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（6）</w:t>
      </w:r>
      <w:r>
        <w:rPr>
          <w:rFonts w:hint="eastAsia" w:ascii="宋体" w:hAnsi="宋体" w:eastAsia="宋体" w:cs="宋体"/>
          <w:color w:val="auto"/>
          <w:spacing w:val="20"/>
          <w:kern w:val="0"/>
          <w:sz w:val="24"/>
          <w:highlight w:val="none"/>
          <w:u w:val="single"/>
        </w:rPr>
        <w:t xml:space="preserve"> 施工图纸                </w:t>
      </w:r>
      <w:r>
        <w:rPr>
          <w:rFonts w:hint="eastAsia" w:ascii="宋体" w:hAnsi="宋体" w:eastAsia="宋体" w:cs="宋体"/>
          <w:color w:val="auto"/>
          <w:spacing w:val="20"/>
          <w:kern w:val="0"/>
          <w:sz w:val="24"/>
          <w:highlight w:val="none"/>
        </w:rPr>
        <w:t>；</w:t>
      </w:r>
    </w:p>
    <w:p w14:paraId="2848B97C">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（7）</w:t>
      </w:r>
      <w:r>
        <w:rPr>
          <w:rFonts w:hint="eastAsia" w:ascii="宋体" w:hAnsi="宋体" w:eastAsia="宋体" w:cs="宋体"/>
          <w:color w:val="auto"/>
          <w:spacing w:val="20"/>
          <w:kern w:val="0"/>
          <w:sz w:val="24"/>
          <w:highlight w:val="none"/>
          <w:u w:val="single"/>
        </w:rPr>
        <w:t xml:space="preserve"> 已标价的工程量清单（投标文件）</w:t>
      </w:r>
      <w:r>
        <w:rPr>
          <w:rFonts w:hint="eastAsia" w:ascii="宋体" w:hAnsi="宋体" w:eastAsia="宋体" w:cs="宋体"/>
          <w:color w:val="auto"/>
          <w:spacing w:val="20"/>
          <w:kern w:val="0"/>
          <w:sz w:val="24"/>
          <w:highlight w:val="none"/>
        </w:rPr>
        <w:t>；</w:t>
      </w:r>
    </w:p>
    <w:p w14:paraId="71DD9603">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（8）</w:t>
      </w:r>
      <w:r>
        <w:rPr>
          <w:rFonts w:hint="eastAsia" w:ascii="宋体" w:hAnsi="宋体" w:eastAsia="宋体" w:cs="宋体"/>
          <w:color w:val="auto"/>
          <w:spacing w:val="20"/>
          <w:kern w:val="0"/>
          <w:sz w:val="24"/>
          <w:highlight w:val="none"/>
          <w:u w:val="single"/>
        </w:rPr>
        <w:t xml:space="preserve"> 其他合同文件、设计变更等文件  </w:t>
      </w:r>
      <w:r>
        <w:rPr>
          <w:rFonts w:hint="eastAsia" w:ascii="宋体" w:hAnsi="宋体" w:eastAsia="宋体" w:cs="宋体"/>
          <w:color w:val="auto"/>
          <w:spacing w:val="20"/>
          <w:kern w:val="0"/>
          <w:sz w:val="24"/>
          <w:highlight w:val="none"/>
        </w:rPr>
        <w:t>。</w:t>
      </w:r>
    </w:p>
    <w:p w14:paraId="5D8850FD">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（9）《建设工程工程量清单计价规范（GB5050-2013）》及其广西实施细则、《建设工程工程量清单计算规范（GB5854~50862-2013）》及其广西实施细则。</w:t>
      </w:r>
    </w:p>
    <w:p w14:paraId="3670D35F">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说明：（6）、（7）、（8）填空内容分别限于技术标准和要求、图纸、已标价工程量清单或预算书、其他合同文件四者之一，其优先顺序可根据采取的不同合同方式由双方约定。</w:t>
      </w:r>
    </w:p>
    <w:p w14:paraId="75F29ED3">
      <w:pPr>
        <w:numPr>
          <w:ilvl w:val="0"/>
          <w:numId w:val="7"/>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语言文字和适用法律、标准及规范</w:t>
      </w:r>
    </w:p>
    <w:p w14:paraId="34CFB17C">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3.1本合同除使用汉语外，还使用</w:t>
      </w:r>
      <w:r>
        <w:rPr>
          <w:rFonts w:hint="eastAsia" w:ascii="宋体" w:hAnsi="宋体" w:eastAsia="宋体" w:cs="宋体"/>
          <w:color w:val="auto"/>
          <w:spacing w:val="20"/>
          <w:sz w:val="24"/>
          <w:szCs w:val="32"/>
          <w:highlight w:val="none"/>
          <w:u w:val="single"/>
        </w:rPr>
        <w:t xml:space="preserve"> 无其他 </w:t>
      </w:r>
      <w:r>
        <w:rPr>
          <w:rFonts w:hint="eastAsia" w:ascii="宋体" w:hAnsi="宋体" w:eastAsia="宋体" w:cs="宋体"/>
          <w:color w:val="auto"/>
          <w:spacing w:val="20"/>
          <w:sz w:val="24"/>
          <w:szCs w:val="32"/>
          <w:highlight w:val="none"/>
        </w:rPr>
        <w:t>语言文字</w:t>
      </w:r>
    </w:p>
    <w:p w14:paraId="58548AFD">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3.2法律和法规</w:t>
      </w:r>
    </w:p>
    <w:p w14:paraId="67B28D00">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 xml:space="preserve">  需要明示的法律、行政法规：</w:t>
      </w:r>
      <w:r>
        <w:rPr>
          <w:rFonts w:hint="eastAsia" w:ascii="宋体" w:hAnsi="宋体" w:eastAsia="宋体" w:cs="宋体"/>
          <w:color w:val="auto"/>
          <w:spacing w:val="20"/>
          <w:sz w:val="24"/>
          <w:szCs w:val="32"/>
          <w:highlight w:val="none"/>
          <w:u w:val="single"/>
        </w:rPr>
        <w:t xml:space="preserve"> 按合同签订时国家现行法律、行政法规及工程所在地政府的有关法规和规章。</w:t>
      </w:r>
    </w:p>
    <w:p w14:paraId="13F6413D">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发包人提供标准、规范时间：</w:t>
      </w:r>
      <w:r>
        <w:rPr>
          <w:rFonts w:hint="eastAsia" w:ascii="宋体" w:hAnsi="宋体" w:eastAsia="宋体" w:cs="宋体"/>
          <w:color w:val="auto"/>
          <w:spacing w:val="20"/>
          <w:sz w:val="24"/>
          <w:szCs w:val="32"/>
          <w:highlight w:val="none"/>
          <w:u w:val="single"/>
        </w:rPr>
        <w:t xml:space="preserve"> 无 。</w:t>
      </w:r>
    </w:p>
    <w:p w14:paraId="2A24CAD3">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国内没有相应的标准、规范时的约定：</w:t>
      </w:r>
      <w:r>
        <w:rPr>
          <w:rFonts w:hint="eastAsia" w:ascii="宋体" w:hAnsi="宋体" w:eastAsia="宋体" w:cs="宋体"/>
          <w:color w:val="auto"/>
          <w:spacing w:val="20"/>
          <w:sz w:val="24"/>
          <w:szCs w:val="32"/>
          <w:highlight w:val="none"/>
          <w:u w:val="single"/>
        </w:rPr>
        <w:t xml:space="preserve"> 无。</w:t>
      </w:r>
    </w:p>
    <w:p w14:paraId="507453E0">
      <w:pPr>
        <w:numPr>
          <w:ilvl w:val="0"/>
          <w:numId w:val="7"/>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图纸</w:t>
      </w:r>
    </w:p>
    <w:p w14:paraId="796260B4">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4.1发包人向承包人提供图纸日期和套数：</w:t>
      </w:r>
      <w:r>
        <w:rPr>
          <w:rFonts w:hint="eastAsia" w:ascii="宋体" w:hAnsi="宋体" w:eastAsia="宋体" w:cs="宋体"/>
          <w:color w:val="auto"/>
          <w:spacing w:val="20"/>
          <w:sz w:val="24"/>
          <w:szCs w:val="32"/>
          <w:highlight w:val="none"/>
          <w:u w:val="single"/>
        </w:rPr>
        <w:t xml:space="preserve"> 签订合同起5个工作日内提供一式肆份设计图纸。</w:t>
      </w:r>
    </w:p>
    <w:p w14:paraId="07DB0BFD">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4.2发包人对图纸的保密要求：</w:t>
      </w:r>
      <w:r>
        <w:rPr>
          <w:rFonts w:hint="eastAsia" w:ascii="宋体" w:hAnsi="宋体" w:eastAsia="宋体" w:cs="宋体"/>
          <w:color w:val="auto"/>
          <w:spacing w:val="20"/>
          <w:sz w:val="24"/>
          <w:szCs w:val="32"/>
          <w:highlight w:val="none"/>
          <w:u w:val="single"/>
        </w:rPr>
        <w:t xml:space="preserve"> 未经发包人同意，承包人不得将图纸转借给第三人。</w:t>
      </w:r>
    </w:p>
    <w:p w14:paraId="25EB0BAC">
      <w:pPr>
        <w:numPr>
          <w:ilvl w:val="0"/>
          <w:numId w:val="8"/>
        </w:numPr>
        <w:shd w:val="clear"/>
        <w:adjustRightInd w:val="0"/>
        <w:snapToGrid w:val="0"/>
        <w:spacing w:line="360" w:lineRule="auto"/>
        <w:rPr>
          <w:rFonts w:ascii="宋体" w:hAnsi="宋体" w:eastAsia="宋体" w:cs="宋体"/>
          <w:b/>
          <w:bCs/>
          <w:color w:val="auto"/>
          <w:spacing w:val="20"/>
          <w:sz w:val="24"/>
          <w:szCs w:val="32"/>
          <w:highlight w:val="none"/>
        </w:rPr>
      </w:pPr>
      <w:r>
        <w:rPr>
          <w:rFonts w:hint="eastAsia" w:ascii="宋体" w:hAnsi="宋体" w:eastAsia="宋体" w:cs="宋体"/>
          <w:b/>
          <w:bCs/>
          <w:color w:val="auto"/>
          <w:spacing w:val="20"/>
          <w:sz w:val="24"/>
          <w:szCs w:val="32"/>
          <w:highlight w:val="none"/>
        </w:rPr>
        <w:t>双方一般权利和义务</w:t>
      </w:r>
    </w:p>
    <w:p w14:paraId="2E8CD729">
      <w:pPr>
        <w:numPr>
          <w:ilvl w:val="0"/>
          <w:numId w:val="7"/>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工程师：</w:t>
      </w:r>
    </w:p>
    <w:p w14:paraId="4063132C">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 xml:space="preserve">  5.1监理单位：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p>
    <w:p w14:paraId="30469626">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委派的工程师姓名：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职务：</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电话：</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p>
    <w:p w14:paraId="0E8B7959">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发包人委托是职权：</w:t>
      </w:r>
      <w:r>
        <w:rPr>
          <w:rFonts w:hint="eastAsia" w:ascii="宋体" w:hAnsi="宋体" w:eastAsia="宋体" w:cs="宋体"/>
          <w:color w:val="auto"/>
          <w:spacing w:val="20"/>
          <w:sz w:val="24"/>
          <w:szCs w:val="32"/>
          <w:highlight w:val="none"/>
          <w:u w:val="single"/>
        </w:rPr>
        <w:t xml:space="preserve"> 按本工程委托监理合同 </w:t>
      </w:r>
    </w:p>
    <w:p w14:paraId="30A6A444">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需要取得发包人批准才能行使的职权：</w:t>
      </w:r>
      <w:r>
        <w:rPr>
          <w:rFonts w:hint="eastAsia" w:ascii="宋体" w:hAnsi="宋体" w:eastAsia="宋体" w:cs="宋体"/>
          <w:color w:val="auto"/>
          <w:spacing w:val="20"/>
          <w:sz w:val="24"/>
          <w:szCs w:val="32"/>
          <w:highlight w:val="none"/>
          <w:u w:val="single"/>
        </w:rPr>
        <w:t xml:space="preserve">  按本合同委托监理合同 。</w:t>
      </w:r>
    </w:p>
    <w:p w14:paraId="0C0815AC">
      <w:pPr>
        <w:shd w:val="clear"/>
        <w:adjustRightInd w:val="0"/>
        <w:snapToGrid w:val="0"/>
        <w:spacing w:line="360" w:lineRule="auto"/>
        <w:ind w:firstLine="280" w:firstLineChars="100"/>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5.2发包人派驻的工程师</w:t>
      </w:r>
    </w:p>
    <w:p w14:paraId="6FB7FEB9">
      <w:pPr>
        <w:shd w:val="clear"/>
        <w:adjustRightInd w:val="0"/>
        <w:snapToGrid w:val="0"/>
        <w:spacing w:line="360" w:lineRule="auto"/>
        <w:ind w:firstLine="280" w:firstLineChars="100"/>
        <w:rPr>
          <w:rFonts w:hint="default" w:ascii="宋体" w:hAnsi="宋体" w:eastAsia="宋体" w:cs="宋体"/>
          <w:color w:val="auto"/>
          <w:spacing w:val="20"/>
          <w:sz w:val="24"/>
          <w:szCs w:val="32"/>
          <w:highlight w:val="none"/>
          <w:lang w:val="en-US" w:eastAsia="zh-CN"/>
        </w:rPr>
      </w:pPr>
      <w:r>
        <w:rPr>
          <w:rFonts w:hint="eastAsia" w:ascii="宋体" w:hAnsi="宋体" w:eastAsia="宋体" w:cs="宋体"/>
          <w:color w:val="auto"/>
          <w:spacing w:val="20"/>
          <w:sz w:val="24"/>
          <w:szCs w:val="32"/>
          <w:highlight w:val="none"/>
        </w:rPr>
        <w:t>姓名：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职位：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电话：</w:t>
      </w:r>
      <w:r>
        <w:rPr>
          <w:rFonts w:hint="eastAsia" w:ascii="宋体" w:hAnsi="宋体" w:eastAsia="宋体" w:cs="宋体"/>
          <w:color w:val="auto"/>
          <w:spacing w:val="20"/>
          <w:sz w:val="24"/>
          <w:szCs w:val="32"/>
          <w:highlight w:val="none"/>
          <w:u w:val="single"/>
          <w:lang w:val="en-US" w:eastAsia="zh-CN"/>
        </w:rPr>
        <w:t xml:space="preserve">     </w:t>
      </w:r>
    </w:p>
    <w:p w14:paraId="47D96F38">
      <w:pPr>
        <w:shd w:val="clear"/>
        <w:adjustRightInd w:val="0"/>
        <w:snapToGrid w:val="0"/>
        <w:spacing w:line="360" w:lineRule="auto"/>
        <w:ind w:firstLine="280" w:firstLineChars="100"/>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职权：</w:t>
      </w:r>
      <w:r>
        <w:rPr>
          <w:rFonts w:hint="eastAsia" w:ascii="宋体" w:hAnsi="宋体" w:eastAsia="宋体" w:cs="宋体"/>
          <w:color w:val="auto"/>
          <w:spacing w:val="20"/>
          <w:sz w:val="24"/>
          <w:szCs w:val="32"/>
          <w:highlight w:val="none"/>
          <w:u w:val="single"/>
        </w:rPr>
        <w:t xml:space="preserve"> 负责工程施工的协调工作，负责施工工程有关验收、签证、结算、工程资料审查等工作。</w:t>
      </w:r>
    </w:p>
    <w:p w14:paraId="79B3F00A">
      <w:pPr>
        <w:shd w:val="clear"/>
        <w:adjustRightInd w:val="0"/>
        <w:snapToGrid w:val="0"/>
        <w:spacing w:line="360" w:lineRule="auto"/>
        <w:ind w:firstLine="280" w:firstLineChars="100"/>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5.3不实行监理的，工程师的职权：</w:t>
      </w:r>
      <w:r>
        <w:rPr>
          <w:rFonts w:hint="eastAsia" w:ascii="宋体" w:hAnsi="宋体" w:eastAsia="宋体" w:cs="宋体"/>
          <w:color w:val="auto"/>
          <w:spacing w:val="20"/>
          <w:sz w:val="24"/>
          <w:szCs w:val="32"/>
          <w:highlight w:val="none"/>
          <w:u w:val="single"/>
        </w:rPr>
        <w:t xml:space="preserve">  无 </w:t>
      </w:r>
      <w:r>
        <w:rPr>
          <w:rFonts w:hint="eastAsia" w:ascii="宋体" w:hAnsi="宋体" w:eastAsia="宋体" w:cs="宋体"/>
          <w:color w:val="auto"/>
          <w:spacing w:val="20"/>
          <w:sz w:val="24"/>
          <w:szCs w:val="32"/>
          <w:highlight w:val="none"/>
        </w:rPr>
        <w:t xml:space="preserve"> 。</w:t>
      </w:r>
    </w:p>
    <w:p w14:paraId="454089CB">
      <w:pPr>
        <w:numPr>
          <w:ilvl w:val="0"/>
          <w:numId w:val="7"/>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项目经理</w:t>
      </w:r>
    </w:p>
    <w:p w14:paraId="01DE6A6D">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姓名：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职务：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p>
    <w:p w14:paraId="257499BF">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8、发包人工作</w:t>
      </w:r>
    </w:p>
    <w:p w14:paraId="41A61EFF">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8.1发包人应按约定的时间和要求完成以下工作：</w:t>
      </w:r>
    </w:p>
    <w:p w14:paraId="19E5F9D2">
      <w:pPr>
        <w:numPr>
          <w:ilvl w:val="0"/>
          <w:numId w:val="9"/>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施工场地具备施工条件的要求及完成的时间：</w:t>
      </w:r>
      <w:r>
        <w:rPr>
          <w:rFonts w:hint="eastAsia" w:ascii="宋体" w:hAnsi="宋体" w:eastAsia="宋体" w:cs="宋体"/>
          <w:color w:val="auto"/>
          <w:spacing w:val="20"/>
          <w:sz w:val="24"/>
          <w:szCs w:val="32"/>
          <w:highlight w:val="none"/>
          <w:u w:val="single"/>
        </w:rPr>
        <w:t xml:space="preserve"> 开工前7日，发包人移交施工工地等工作。</w:t>
      </w:r>
    </w:p>
    <w:p w14:paraId="253792E1">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将施工所需的水、电、电讯线路接至施工场地的时间、地点和供应要求：</w:t>
      </w:r>
      <w:r>
        <w:rPr>
          <w:rFonts w:hint="eastAsia" w:ascii="宋体" w:hAnsi="宋体" w:eastAsia="宋体" w:cs="宋体"/>
          <w:color w:val="auto"/>
          <w:spacing w:val="20"/>
          <w:sz w:val="24"/>
          <w:szCs w:val="32"/>
          <w:highlight w:val="none"/>
          <w:u w:val="single"/>
        </w:rPr>
        <w:t>协调提供水、电接口；电讯线路由承包人自行处理。水、电、通讯费用由承包人支付。</w:t>
      </w:r>
    </w:p>
    <w:p w14:paraId="7F833D25">
      <w:pPr>
        <w:numPr>
          <w:ilvl w:val="0"/>
          <w:numId w:val="9"/>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施工场地与公共道路的通道开通时间和要求：</w:t>
      </w:r>
      <w:r>
        <w:rPr>
          <w:rFonts w:hint="eastAsia" w:ascii="宋体" w:hAnsi="宋体" w:eastAsia="宋体" w:cs="宋体"/>
          <w:color w:val="auto"/>
          <w:spacing w:val="20"/>
          <w:sz w:val="24"/>
          <w:szCs w:val="32"/>
          <w:highlight w:val="none"/>
          <w:u w:val="single"/>
        </w:rPr>
        <w:t xml:space="preserve"> 开工前7天做到施工现场周围道路畅通，并满足施工运输需要。</w:t>
      </w:r>
    </w:p>
    <w:p w14:paraId="010F421C">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工程地质和地下管线资料的提供时间：</w:t>
      </w:r>
      <w:r>
        <w:rPr>
          <w:rFonts w:hint="eastAsia" w:ascii="宋体" w:hAnsi="宋体" w:eastAsia="宋体" w:cs="宋体"/>
          <w:color w:val="auto"/>
          <w:spacing w:val="20"/>
          <w:sz w:val="24"/>
          <w:szCs w:val="32"/>
          <w:highlight w:val="none"/>
          <w:u w:val="single"/>
        </w:rPr>
        <w:t>与开工前7天提供一套完整、准确的地质资料（应含有地下管线的走向及所埋深度等内容）。</w:t>
      </w:r>
    </w:p>
    <w:p w14:paraId="7415398C">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由发包人办理的施工所需证件、批件的名称和完成时间：</w:t>
      </w:r>
      <w:r>
        <w:rPr>
          <w:rFonts w:hint="eastAsia" w:ascii="宋体" w:hAnsi="宋体" w:eastAsia="宋体" w:cs="宋体"/>
          <w:color w:val="auto"/>
          <w:spacing w:val="20"/>
          <w:sz w:val="24"/>
          <w:szCs w:val="32"/>
          <w:highlight w:val="none"/>
          <w:u w:val="single"/>
        </w:rPr>
        <w:t>开工7日前办理好施工许可证和临时用地证等开工所需的全部证件和批件。</w:t>
      </w:r>
    </w:p>
    <w:p w14:paraId="67513722">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水准点与坐标控制点交验要求：</w:t>
      </w:r>
      <w:r>
        <w:rPr>
          <w:rFonts w:hint="eastAsia" w:ascii="宋体" w:hAnsi="宋体" w:eastAsia="宋体" w:cs="宋体"/>
          <w:color w:val="auto"/>
          <w:spacing w:val="20"/>
          <w:sz w:val="24"/>
          <w:szCs w:val="32"/>
          <w:highlight w:val="none"/>
          <w:u w:val="single"/>
        </w:rPr>
        <w:t xml:space="preserve"> 发包人在开工前以书面形式交给承包人，并双方在现场进行交验。</w:t>
      </w:r>
    </w:p>
    <w:p w14:paraId="4E147D76">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图纸会审和设计交底时间：</w:t>
      </w:r>
      <w:r>
        <w:rPr>
          <w:rFonts w:hint="eastAsia" w:ascii="宋体" w:hAnsi="宋体" w:eastAsia="宋体" w:cs="宋体"/>
          <w:color w:val="auto"/>
          <w:spacing w:val="20"/>
          <w:sz w:val="24"/>
          <w:szCs w:val="32"/>
          <w:highlight w:val="none"/>
          <w:u w:val="single"/>
        </w:rPr>
        <w:t>于开工前7天，组织承包人、设计、地质勘探、监理等相关单位进行图纸会审和设计交底。</w:t>
      </w:r>
    </w:p>
    <w:p w14:paraId="191D6FBF">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协调处理施工场地周围地下管线和邻近建筑物、构筑物（含文物保护建筑）、古树名木的保护工作：</w:t>
      </w:r>
      <w:r>
        <w:rPr>
          <w:rFonts w:hint="eastAsia" w:ascii="宋体" w:hAnsi="宋体" w:eastAsia="宋体" w:cs="宋体"/>
          <w:color w:val="auto"/>
          <w:spacing w:val="20"/>
          <w:sz w:val="24"/>
          <w:szCs w:val="32"/>
          <w:highlight w:val="none"/>
          <w:u w:val="single"/>
        </w:rPr>
        <w:t>由发包人负责协调，承包人负责保护，费用由发包人承担。</w:t>
      </w:r>
    </w:p>
    <w:p w14:paraId="403BAAC2">
      <w:pPr>
        <w:numPr>
          <w:ilvl w:val="0"/>
          <w:numId w:val="9"/>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 xml:space="preserve">双方约定发包人应做的其他工作： </w:t>
      </w:r>
      <w:r>
        <w:rPr>
          <w:rFonts w:hint="eastAsia" w:ascii="宋体" w:hAnsi="宋体" w:eastAsia="宋体" w:cs="宋体"/>
          <w:color w:val="auto"/>
          <w:spacing w:val="20"/>
          <w:sz w:val="24"/>
          <w:szCs w:val="32"/>
          <w:highlight w:val="none"/>
          <w:u w:val="single"/>
        </w:rPr>
        <w:t>无 。</w:t>
      </w:r>
    </w:p>
    <w:p w14:paraId="3C4D9481">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8.2发包人委托承包人办理的工作：</w:t>
      </w:r>
      <w:r>
        <w:rPr>
          <w:rFonts w:hint="eastAsia" w:ascii="宋体" w:hAnsi="宋体" w:eastAsia="宋体" w:cs="宋体"/>
          <w:color w:val="auto"/>
          <w:spacing w:val="20"/>
          <w:sz w:val="24"/>
          <w:szCs w:val="32"/>
          <w:highlight w:val="none"/>
          <w:u w:val="single"/>
        </w:rPr>
        <w:t xml:space="preserve"> 无 。</w:t>
      </w:r>
    </w:p>
    <w:p w14:paraId="1886C00F">
      <w:pPr>
        <w:numPr>
          <w:ilvl w:val="0"/>
          <w:numId w:val="10"/>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承包人工作</w:t>
      </w:r>
    </w:p>
    <w:p w14:paraId="7F2BEA83">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9.1承包人应按约定时间和要求，完成以下工作：</w:t>
      </w:r>
    </w:p>
    <w:p w14:paraId="4C1E527C">
      <w:pPr>
        <w:numPr>
          <w:ilvl w:val="0"/>
          <w:numId w:val="11"/>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需由设计资质等级和业务范围允许的承包人完成的设计文件提交时间：</w:t>
      </w:r>
      <w:r>
        <w:rPr>
          <w:rFonts w:hint="eastAsia" w:ascii="宋体" w:hAnsi="宋体" w:eastAsia="宋体" w:cs="宋体"/>
          <w:color w:val="auto"/>
          <w:spacing w:val="20"/>
          <w:sz w:val="24"/>
          <w:szCs w:val="32"/>
          <w:highlight w:val="none"/>
          <w:u w:val="single"/>
        </w:rPr>
        <w:t xml:space="preserve"> 无。</w:t>
      </w:r>
    </w:p>
    <w:p w14:paraId="7534B6DF">
      <w:pPr>
        <w:numPr>
          <w:ilvl w:val="0"/>
          <w:numId w:val="11"/>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应提供计划、报表的名称及完成时间：</w:t>
      </w:r>
      <w:r>
        <w:rPr>
          <w:rFonts w:hint="eastAsia" w:ascii="宋体" w:hAnsi="宋体" w:eastAsia="宋体" w:cs="宋体"/>
          <w:color w:val="auto"/>
          <w:spacing w:val="20"/>
          <w:sz w:val="24"/>
          <w:szCs w:val="32"/>
          <w:highlight w:val="none"/>
          <w:u w:val="single"/>
        </w:rPr>
        <w:t>每月25日提供当月完成工程量报表、次月计划完成工程量报表各两份。</w:t>
      </w:r>
    </w:p>
    <w:p w14:paraId="15BC1429">
      <w:pPr>
        <w:numPr>
          <w:ilvl w:val="0"/>
          <w:numId w:val="11"/>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承担施工安全保卫工作及非夜间施工照明的责任和要求：</w:t>
      </w:r>
      <w:r>
        <w:rPr>
          <w:rFonts w:hint="eastAsia" w:ascii="宋体" w:hAnsi="宋体" w:eastAsia="宋体" w:cs="宋体"/>
          <w:color w:val="auto"/>
          <w:spacing w:val="20"/>
          <w:sz w:val="24"/>
          <w:szCs w:val="32"/>
          <w:highlight w:val="none"/>
          <w:u w:val="single"/>
        </w:rPr>
        <w:t>提供和维修非夜间施工使用的照明、围栏设施，并负责安全保卫。</w:t>
      </w:r>
    </w:p>
    <w:p w14:paraId="1A9F56D2">
      <w:pPr>
        <w:numPr>
          <w:ilvl w:val="0"/>
          <w:numId w:val="11"/>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已完工程品保护的特殊要求及费用承担：</w:t>
      </w:r>
      <w:r>
        <w:rPr>
          <w:rFonts w:hint="eastAsia" w:ascii="宋体" w:hAnsi="宋体" w:eastAsia="宋体" w:cs="宋体"/>
          <w:color w:val="auto"/>
          <w:spacing w:val="20"/>
          <w:sz w:val="24"/>
          <w:szCs w:val="32"/>
          <w:highlight w:val="none"/>
          <w:u w:val="single"/>
        </w:rPr>
        <w:t>在竣工验收移交全部工程前，由承包人负责采取保护措施，并承担费用。</w:t>
      </w:r>
    </w:p>
    <w:p w14:paraId="13393D67">
      <w:pPr>
        <w:numPr>
          <w:ilvl w:val="0"/>
          <w:numId w:val="11"/>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施工场地设置地下管线和邻近建筑物、构筑物（含文物保护建筑）、古树名木的保护要求及费用承担：</w:t>
      </w:r>
      <w:r>
        <w:rPr>
          <w:rFonts w:hint="eastAsia" w:ascii="宋体" w:hAnsi="宋体" w:eastAsia="宋体" w:cs="宋体"/>
          <w:color w:val="auto"/>
          <w:spacing w:val="20"/>
          <w:sz w:val="24"/>
          <w:szCs w:val="32"/>
          <w:highlight w:val="none"/>
          <w:u w:val="single"/>
        </w:rPr>
        <w:t>由发包人负责协调，相关费用由发包人承担，承包人负责保护，施工时如因承包人原因损坏地下管线，邻近建筑物、构筑物，所发生的费用由承包人负责承担。</w:t>
      </w:r>
    </w:p>
    <w:p w14:paraId="0D3727D1">
      <w:pPr>
        <w:numPr>
          <w:ilvl w:val="0"/>
          <w:numId w:val="11"/>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施工场地清洁卫生的要求：</w:t>
      </w:r>
      <w:r>
        <w:rPr>
          <w:rFonts w:hint="eastAsia" w:ascii="宋体" w:hAnsi="宋体" w:eastAsia="宋体" w:cs="宋体"/>
          <w:color w:val="auto"/>
          <w:spacing w:val="20"/>
          <w:sz w:val="24"/>
          <w:szCs w:val="32"/>
          <w:highlight w:val="none"/>
          <w:u w:val="single"/>
        </w:rPr>
        <w:t>承包人保证施工场地清洁符合环境卫生管理的有关规定，交工前清理现场做到工完场清，并承担因自身原因违反有关规定造成损失和罚款。</w:t>
      </w:r>
    </w:p>
    <w:p w14:paraId="3E39B16B">
      <w:pPr>
        <w:numPr>
          <w:ilvl w:val="0"/>
          <w:numId w:val="11"/>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双方约定承包人应做的其他工作：</w:t>
      </w:r>
      <w:r>
        <w:rPr>
          <w:rFonts w:hint="eastAsia" w:ascii="宋体" w:hAnsi="宋体" w:eastAsia="宋体" w:cs="宋体"/>
          <w:color w:val="auto"/>
          <w:spacing w:val="20"/>
          <w:sz w:val="24"/>
          <w:szCs w:val="32"/>
          <w:highlight w:val="none"/>
          <w:u w:val="single"/>
        </w:rPr>
        <w:t>无。</w:t>
      </w:r>
    </w:p>
    <w:p w14:paraId="70D7DEA6">
      <w:pPr>
        <w:numPr>
          <w:ilvl w:val="0"/>
          <w:numId w:val="8"/>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施工组织设计个工期</w:t>
      </w:r>
    </w:p>
    <w:p w14:paraId="4EF53F53">
      <w:pPr>
        <w:numPr>
          <w:ilvl w:val="0"/>
          <w:numId w:val="10"/>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进度计划</w:t>
      </w:r>
    </w:p>
    <w:p w14:paraId="13C77583">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10.1承包人提供施工组织设计（施工方案）和进度计划的时间：</w:t>
      </w:r>
      <w:r>
        <w:rPr>
          <w:rFonts w:hint="eastAsia" w:ascii="宋体" w:hAnsi="宋体" w:eastAsia="宋体" w:cs="宋体"/>
          <w:color w:val="auto"/>
          <w:spacing w:val="20"/>
          <w:sz w:val="24"/>
          <w:szCs w:val="32"/>
          <w:highlight w:val="none"/>
          <w:u w:val="single"/>
        </w:rPr>
        <w:t>合同签订之日起15日内，并全面动工建设。</w:t>
      </w:r>
    </w:p>
    <w:p w14:paraId="2E8BAC4C">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工程师确认的时间：</w:t>
      </w:r>
      <w:r>
        <w:rPr>
          <w:rFonts w:hint="eastAsia" w:ascii="宋体" w:hAnsi="宋体" w:eastAsia="宋体" w:cs="宋体"/>
          <w:color w:val="auto"/>
          <w:spacing w:val="20"/>
          <w:sz w:val="24"/>
          <w:szCs w:val="32"/>
          <w:highlight w:val="none"/>
          <w:u w:val="single"/>
        </w:rPr>
        <w:t>于收到之日起5日内批复。</w:t>
      </w:r>
    </w:p>
    <w:p w14:paraId="049701A0">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10.2群体工程中有关进度计划的要求：</w:t>
      </w:r>
      <w:r>
        <w:rPr>
          <w:rFonts w:hint="eastAsia" w:ascii="宋体" w:hAnsi="宋体" w:eastAsia="宋体" w:cs="宋体"/>
          <w:color w:val="auto"/>
          <w:spacing w:val="20"/>
          <w:sz w:val="24"/>
          <w:szCs w:val="32"/>
          <w:highlight w:val="none"/>
          <w:u w:val="single"/>
        </w:rPr>
        <w:t>按投标文件计划。</w:t>
      </w:r>
    </w:p>
    <w:p w14:paraId="17B445A2">
      <w:pPr>
        <w:numPr>
          <w:ilvl w:val="0"/>
          <w:numId w:val="12"/>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工期延误</w:t>
      </w:r>
    </w:p>
    <w:p w14:paraId="5249FCD5">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13.1双方约定工期顺延的其他情况：</w:t>
      </w:r>
      <w:r>
        <w:rPr>
          <w:rFonts w:hint="eastAsia" w:ascii="宋体" w:hAnsi="宋体" w:eastAsia="宋体" w:cs="宋体"/>
          <w:color w:val="auto"/>
          <w:spacing w:val="20"/>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78019B33">
      <w:pPr>
        <w:numPr>
          <w:ilvl w:val="0"/>
          <w:numId w:val="8"/>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质量与验收</w:t>
      </w:r>
    </w:p>
    <w:p w14:paraId="3C18E221">
      <w:pPr>
        <w:numPr>
          <w:ilvl w:val="0"/>
          <w:numId w:val="13"/>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隐蔽工程和中间验收</w:t>
      </w:r>
    </w:p>
    <w:p w14:paraId="085DA3EC">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17.1双方约定中间验收部位：</w:t>
      </w:r>
      <w:r>
        <w:rPr>
          <w:rFonts w:hint="eastAsia" w:ascii="宋体" w:hAnsi="宋体" w:eastAsia="宋体" w:cs="宋体"/>
          <w:color w:val="auto"/>
          <w:spacing w:val="20"/>
          <w:sz w:val="24"/>
          <w:szCs w:val="32"/>
          <w:highlight w:val="none"/>
          <w:u w:val="single"/>
        </w:rPr>
        <w:t xml:space="preserve">     /    。</w:t>
      </w:r>
    </w:p>
    <w:p w14:paraId="1EBBA118">
      <w:pPr>
        <w:numPr>
          <w:ilvl w:val="0"/>
          <w:numId w:val="13"/>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工程试车</w:t>
      </w:r>
    </w:p>
    <w:p w14:paraId="088DE809">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18.1试车费用的承担：</w:t>
      </w:r>
      <w:r>
        <w:rPr>
          <w:rFonts w:hint="eastAsia" w:ascii="宋体" w:hAnsi="宋体" w:eastAsia="宋体" w:cs="宋体"/>
          <w:color w:val="auto"/>
          <w:spacing w:val="20"/>
          <w:sz w:val="24"/>
          <w:szCs w:val="32"/>
          <w:highlight w:val="none"/>
          <w:u w:val="single"/>
        </w:rPr>
        <w:t>无。</w:t>
      </w:r>
    </w:p>
    <w:p w14:paraId="5DCEBB81">
      <w:pPr>
        <w:numPr>
          <w:ilvl w:val="0"/>
          <w:numId w:val="8"/>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变更</w:t>
      </w:r>
    </w:p>
    <w:p w14:paraId="3CCAC04B">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20.1变更的估价原则</w:t>
      </w:r>
    </w:p>
    <w:p w14:paraId="07C90F23">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因变更引起的价格调整按照本款约定处理。</w:t>
      </w:r>
    </w:p>
    <w:p w14:paraId="46B2DE56">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20.1.1已标价工程量清单中有使用于变更工作的子目的，采用该子目的单价。</w:t>
      </w:r>
    </w:p>
    <w:p w14:paraId="6A38EF57">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20.1.2已标价工程量清单中无适用于变更工作的子目的，但有类似子目的，可在合理范围内参照类似子目的单价。</w:t>
      </w:r>
    </w:p>
    <w:p w14:paraId="215A560E">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20.1.3已标价工程量清单中无适用或类似子目的单价，</w:t>
      </w:r>
      <w:r>
        <w:rPr>
          <w:rFonts w:hint="eastAsia" w:ascii="宋体" w:hAnsi="宋体" w:eastAsia="宋体" w:cs="宋体"/>
          <w:color w:val="auto"/>
          <w:spacing w:val="20"/>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629B581">
      <w:pPr>
        <w:numPr>
          <w:ilvl w:val="0"/>
          <w:numId w:val="14"/>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价格调整</w:t>
      </w:r>
    </w:p>
    <w:p w14:paraId="6C9B4254">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21.1物价波动引起价格调整：</w:t>
      </w:r>
      <w:r>
        <w:rPr>
          <w:rFonts w:hint="eastAsia" w:ascii="宋体" w:hAnsi="宋体" w:eastAsia="宋体" w:cs="宋体"/>
          <w:color w:val="auto"/>
          <w:spacing w:val="20"/>
          <w:sz w:val="24"/>
          <w:szCs w:val="32"/>
          <w:highlight w:val="none"/>
          <w:u w:val="single"/>
        </w:rPr>
        <w:t xml:space="preserve"> 无。</w:t>
      </w:r>
    </w:p>
    <w:p w14:paraId="48E7DFC3">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21.1.1采用价格指数调整价格差额：</w:t>
      </w:r>
      <w:r>
        <w:rPr>
          <w:rFonts w:hint="eastAsia" w:ascii="宋体" w:hAnsi="宋体" w:eastAsia="宋体" w:cs="宋体"/>
          <w:color w:val="auto"/>
          <w:spacing w:val="20"/>
          <w:sz w:val="24"/>
          <w:szCs w:val="32"/>
          <w:highlight w:val="none"/>
          <w:u w:val="single"/>
        </w:rPr>
        <w:t>无。</w:t>
      </w:r>
    </w:p>
    <w:p w14:paraId="29318E22">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21.1.2采用造价信息调整价格差额：</w:t>
      </w:r>
      <w:r>
        <w:rPr>
          <w:rFonts w:hint="eastAsia" w:ascii="宋体" w:hAnsi="宋体" w:eastAsia="宋体" w:cs="宋体"/>
          <w:color w:val="auto"/>
          <w:spacing w:val="20"/>
          <w:sz w:val="24"/>
          <w:szCs w:val="32"/>
          <w:highlight w:val="none"/>
          <w:u w:val="single"/>
        </w:rPr>
        <w:t>无。</w:t>
      </w:r>
    </w:p>
    <w:p w14:paraId="719AECC8">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双方约定合同价款的其他调整因素：</w:t>
      </w:r>
      <w:r>
        <w:rPr>
          <w:rFonts w:hint="eastAsia" w:ascii="宋体" w:hAnsi="宋体" w:eastAsia="宋体" w:cs="宋体"/>
          <w:color w:val="auto"/>
          <w:spacing w:val="20"/>
          <w:sz w:val="24"/>
          <w:szCs w:val="32"/>
          <w:highlight w:val="none"/>
          <w:u w:val="single"/>
        </w:rPr>
        <w:t>无。</w:t>
      </w:r>
    </w:p>
    <w:p w14:paraId="2BEB59DD">
      <w:pPr>
        <w:numPr>
          <w:ilvl w:val="0"/>
          <w:numId w:val="8"/>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合同价款与支付</w:t>
      </w:r>
    </w:p>
    <w:p w14:paraId="53D1C1E1">
      <w:pPr>
        <w:numPr>
          <w:ilvl w:val="0"/>
          <w:numId w:val="15"/>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合同价款及调整</w:t>
      </w:r>
    </w:p>
    <w:p w14:paraId="4B8FAD98">
      <w:pPr>
        <w:pStyle w:val="6"/>
        <w:shd w:val="clear"/>
        <w:spacing w:before="120" w:after="120" w:line="312" w:lineRule="auto"/>
        <w:ind w:firstLine="562" w:firstLineChars="200"/>
        <w:rPr>
          <w:rFonts w:ascii="宋体" w:hAnsi="宋体" w:eastAsia="宋体" w:cs="宋体"/>
          <w:b w:val="0"/>
          <w:color w:val="auto"/>
          <w:sz w:val="24"/>
          <w:szCs w:val="24"/>
          <w:highlight w:val="none"/>
        </w:rPr>
      </w:pPr>
      <w:r>
        <w:rPr>
          <w:rFonts w:hint="eastAsia" w:ascii="宋体" w:hAnsi="宋体" w:eastAsia="宋体" w:cs="宋体"/>
          <w:color w:val="auto"/>
          <w:spacing w:val="20"/>
          <w:sz w:val="24"/>
          <w:szCs w:val="32"/>
          <w:highlight w:val="none"/>
        </w:rPr>
        <w:t>23.</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预付款</w:t>
      </w:r>
    </w:p>
    <w:p w14:paraId="2F5D18E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预付款的支付</w:t>
      </w:r>
    </w:p>
    <w:p w14:paraId="3A8D37C2">
      <w:pPr>
        <w:shd w:val="clear"/>
        <w:spacing w:line="312" w:lineRule="auto"/>
        <w:ind w:firstLine="480" w:firstLineChars="200"/>
        <w:jc w:val="left"/>
        <w:rPr>
          <w:rFonts w:hint="eastAsia" w:ascii="宋体" w:hAnsi="宋体" w:eastAsia="宋体" w:cs="宋体"/>
          <w:color w:val="auto"/>
          <w:spacing w:val="20"/>
          <w:sz w:val="24"/>
          <w:szCs w:val="32"/>
          <w:highlight w:val="none"/>
        </w:rPr>
      </w:pPr>
      <w:r>
        <w:rPr>
          <w:rFonts w:hint="eastAsia" w:ascii="宋体" w:hAnsi="宋体" w:eastAsia="宋体" w:cs="宋体"/>
          <w:color w:val="auto"/>
          <w:kern w:val="0"/>
          <w:sz w:val="24"/>
          <w:highlight w:val="none"/>
          <w:lang w:eastAsia="zh-CN"/>
        </w:rPr>
        <w:t>项目实质性开工</w:t>
      </w:r>
      <w:r>
        <w:rPr>
          <w:rFonts w:hint="eastAsia" w:ascii="宋体" w:hAnsi="宋体" w:eastAsia="宋体" w:cs="宋体"/>
          <w:color w:val="auto"/>
          <w:kern w:val="0"/>
          <w:sz w:val="24"/>
          <w:highlight w:val="none"/>
          <w:lang w:val="en-US" w:eastAsia="zh-CN"/>
        </w:rPr>
        <w:t>7天</w:t>
      </w:r>
      <w:r>
        <w:rPr>
          <w:rFonts w:hint="eastAsia" w:ascii="宋体" w:hAnsi="宋体" w:eastAsia="宋体" w:cs="宋体"/>
          <w:color w:val="auto"/>
          <w:kern w:val="0"/>
          <w:sz w:val="24"/>
          <w:highlight w:val="none"/>
          <w:lang w:eastAsia="zh-CN"/>
        </w:rPr>
        <w:t>后，可以向财政申请不高于合同价</w:t>
      </w:r>
      <w:r>
        <w:rPr>
          <w:rFonts w:hint="eastAsia" w:ascii="宋体" w:hAnsi="宋体" w:eastAsia="宋体" w:cs="宋体"/>
          <w:color w:val="auto"/>
          <w:kern w:val="0"/>
          <w:sz w:val="24"/>
          <w:highlight w:val="none"/>
          <w:lang w:val="en-US" w:eastAsia="zh-CN"/>
        </w:rPr>
        <w:t>30%项目</w:t>
      </w:r>
      <w:r>
        <w:rPr>
          <w:rFonts w:hint="eastAsia" w:ascii="宋体" w:hAnsi="宋体" w:eastAsia="宋体" w:cs="宋体"/>
          <w:color w:val="auto"/>
          <w:kern w:val="0"/>
          <w:sz w:val="24"/>
          <w:highlight w:val="none"/>
        </w:rPr>
        <w:t>预付款</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预付款应当用于材料、工程设备、施工设备的采购及修建临时工程、组织施工队伍进场等。预付款在</w:t>
      </w:r>
      <w:r>
        <w:rPr>
          <w:rFonts w:hint="eastAsia" w:ascii="宋体" w:hAnsi="宋体" w:eastAsia="宋体" w:cs="宋体"/>
          <w:color w:val="auto"/>
          <w:kern w:val="0"/>
          <w:sz w:val="24"/>
          <w:highlight w:val="none"/>
          <w:lang w:eastAsia="zh-CN"/>
        </w:rPr>
        <w:t>第一次</w:t>
      </w:r>
      <w:r>
        <w:rPr>
          <w:rFonts w:hint="eastAsia" w:ascii="宋体" w:hAnsi="宋体" w:eastAsia="宋体" w:cs="宋体"/>
          <w:color w:val="auto"/>
          <w:kern w:val="0"/>
          <w:sz w:val="24"/>
          <w:highlight w:val="none"/>
        </w:rPr>
        <w:t>进度付款中扣回。</w:t>
      </w:r>
    </w:p>
    <w:p w14:paraId="6A412EA9">
      <w:pPr>
        <w:shd w:val="clear"/>
        <w:adjustRightInd w:val="0"/>
        <w:snapToGrid w:val="0"/>
        <w:spacing w:line="360" w:lineRule="auto"/>
        <w:ind w:firstLine="560" w:firstLineChars="200"/>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lang w:val="en-US" w:eastAsia="zh-CN"/>
        </w:rPr>
        <w:t>23.1.2.</w:t>
      </w:r>
      <w:r>
        <w:rPr>
          <w:rFonts w:hint="eastAsia" w:ascii="宋体" w:hAnsi="宋体" w:eastAsia="宋体" w:cs="宋体"/>
          <w:color w:val="auto"/>
          <w:spacing w:val="20"/>
          <w:sz w:val="24"/>
          <w:szCs w:val="32"/>
          <w:highlight w:val="none"/>
        </w:rPr>
        <w:t>本合同价款采用</w:t>
      </w:r>
      <w:r>
        <w:rPr>
          <w:rFonts w:hint="eastAsia" w:ascii="宋体" w:hAnsi="宋体" w:eastAsia="宋体" w:cs="宋体"/>
          <w:color w:val="auto"/>
          <w:spacing w:val="20"/>
          <w:sz w:val="24"/>
          <w:szCs w:val="32"/>
          <w:highlight w:val="none"/>
          <w:u w:val="single"/>
        </w:rPr>
        <w:t xml:space="preserve"> 固定综合单价（指工程量清单所包含的内容） </w:t>
      </w:r>
      <w:r>
        <w:rPr>
          <w:rFonts w:hint="eastAsia" w:ascii="宋体" w:hAnsi="宋体" w:eastAsia="宋体" w:cs="宋体"/>
          <w:color w:val="auto"/>
          <w:spacing w:val="20"/>
          <w:sz w:val="24"/>
          <w:szCs w:val="32"/>
          <w:highlight w:val="none"/>
        </w:rPr>
        <w:t>合同方式确定。</w:t>
      </w:r>
    </w:p>
    <w:p w14:paraId="23B1F1A1">
      <w:pPr>
        <w:numPr>
          <w:ilvl w:val="0"/>
          <w:numId w:val="16"/>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风险费用的计算方式：</w:t>
      </w:r>
      <w:r>
        <w:rPr>
          <w:rFonts w:hint="eastAsia" w:ascii="宋体" w:hAnsi="宋体" w:eastAsia="宋体" w:cs="宋体"/>
          <w:color w:val="auto"/>
          <w:spacing w:val="20"/>
          <w:sz w:val="24"/>
          <w:szCs w:val="32"/>
          <w:highlight w:val="none"/>
          <w:u w:val="single"/>
        </w:rPr>
        <w:t>无。</w:t>
      </w:r>
    </w:p>
    <w:p w14:paraId="5F2A9088">
      <w:pPr>
        <w:numPr>
          <w:ilvl w:val="0"/>
          <w:numId w:val="16"/>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采用可调价格合同，合同价款调整方式：</w:t>
      </w:r>
      <w:r>
        <w:rPr>
          <w:rFonts w:hint="eastAsia" w:ascii="宋体" w:hAnsi="宋体" w:eastAsia="宋体" w:cs="宋体"/>
          <w:color w:val="auto"/>
          <w:spacing w:val="20"/>
          <w:sz w:val="24"/>
          <w:szCs w:val="32"/>
          <w:highlight w:val="none"/>
          <w:u w:val="single"/>
        </w:rPr>
        <w:t>无。</w:t>
      </w:r>
    </w:p>
    <w:p w14:paraId="58C8F4BC">
      <w:pPr>
        <w:numPr>
          <w:ilvl w:val="0"/>
          <w:numId w:val="16"/>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采用成本加酬金合同，有关成本和酬金的约定：</w:t>
      </w:r>
      <w:r>
        <w:rPr>
          <w:rFonts w:hint="eastAsia" w:ascii="宋体" w:hAnsi="宋体" w:eastAsia="宋体" w:cs="宋体"/>
          <w:color w:val="auto"/>
          <w:spacing w:val="20"/>
          <w:sz w:val="24"/>
          <w:szCs w:val="32"/>
          <w:highlight w:val="none"/>
          <w:u w:val="single"/>
        </w:rPr>
        <w:t>无。</w:t>
      </w:r>
    </w:p>
    <w:p w14:paraId="5416CCE5">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23.2双方约定合同价款及其他调整因素：</w:t>
      </w:r>
      <w:r>
        <w:rPr>
          <w:rFonts w:hint="eastAsia" w:ascii="宋体" w:hAnsi="宋体" w:eastAsia="宋体" w:cs="宋体"/>
          <w:color w:val="auto"/>
          <w:spacing w:val="20"/>
          <w:sz w:val="24"/>
          <w:szCs w:val="32"/>
          <w:highlight w:val="none"/>
          <w:u w:val="single"/>
        </w:rPr>
        <w:t>工程量清单所包含的内容以外部分。</w:t>
      </w:r>
    </w:p>
    <w:p w14:paraId="0197CC4E">
      <w:pPr>
        <w:numPr>
          <w:ilvl w:val="0"/>
          <w:numId w:val="15"/>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工程款付款</w:t>
      </w:r>
    </w:p>
    <w:p w14:paraId="3C6D8560">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发包人向承包人预付工程款的时间和金额或占合同价款总额的比例：</w:t>
      </w:r>
      <w:r>
        <w:rPr>
          <w:rFonts w:hint="eastAsia" w:ascii="宋体" w:hAnsi="宋体" w:eastAsia="宋体" w:cs="宋体"/>
          <w:color w:val="auto"/>
          <w:spacing w:val="20"/>
          <w:sz w:val="24"/>
          <w:szCs w:val="32"/>
          <w:highlight w:val="none"/>
          <w:u w:val="single"/>
        </w:rPr>
        <w:t>本工程工人进场7日后，可申请合同价30%的预付款。</w:t>
      </w:r>
    </w:p>
    <w:p w14:paraId="12C7B7AC">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扣回工程款的时间、比例：</w:t>
      </w:r>
      <w:r>
        <w:rPr>
          <w:rFonts w:hint="eastAsia" w:ascii="宋体" w:hAnsi="宋体" w:eastAsia="宋体" w:cs="宋体"/>
          <w:color w:val="auto"/>
          <w:spacing w:val="20"/>
          <w:sz w:val="24"/>
          <w:szCs w:val="32"/>
          <w:highlight w:val="none"/>
          <w:u w:val="single"/>
        </w:rPr>
        <w:t>第一次申请进度款时扣回30%预付款。</w:t>
      </w:r>
    </w:p>
    <w:p w14:paraId="5EC300EF">
      <w:pPr>
        <w:numPr>
          <w:ilvl w:val="0"/>
          <w:numId w:val="15"/>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工程量确认</w:t>
      </w:r>
    </w:p>
    <w:p w14:paraId="1DE8B45F">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25.1承包人向工程师提交已完工程量报告的时间：</w:t>
      </w:r>
      <w:r>
        <w:rPr>
          <w:rFonts w:hint="eastAsia" w:ascii="宋体" w:hAnsi="宋体" w:eastAsia="宋体" w:cs="宋体"/>
          <w:color w:val="auto"/>
          <w:spacing w:val="20"/>
          <w:sz w:val="24"/>
          <w:szCs w:val="32"/>
          <w:highlight w:val="none"/>
          <w:u w:val="single"/>
        </w:rPr>
        <w:t>每月25日。</w:t>
      </w:r>
    </w:p>
    <w:p w14:paraId="31BC2F41">
      <w:pPr>
        <w:pStyle w:val="4"/>
        <w:shd w:val="clear"/>
        <w:adjustRightInd w:val="0"/>
        <w:snapToGrid w:val="0"/>
        <w:rPr>
          <w:rFonts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rPr>
        <w:t>26、工程款（进度款）支付</w:t>
      </w:r>
    </w:p>
    <w:p w14:paraId="28C89E11">
      <w:pPr>
        <w:shd w:val="clear"/>
        <w:adjustRightInd w:val="0"/>
        <w:snapToGrid w:val="0"/>
        <w:spacing w:line="360" w:lineRule="auto"/>
        <w:ind w:firstLine="560" w:firstLineChars="200"/>
        <w:rPr>
          <w:rFonts w:ascii="宋体" w:hAnsi="宋体" w:eastAsia="宋体" w:cs="宋体"/>
          <w:b w:val="0"/>
          <w:bCs w:val="0"/>
          <w:color w:val="auto"/>
          <w:spacing w:val="20"/>
          <w:sz w:val="24"/>
          <w:highlight w:val="none"/>
          <w:u w:val="single"/>
        </w:rPr>
      </w:pPr>
      <w:r>
        <w:rPr>
          <w:rFonts w:hint="eastAsia" w:ascii="宋体" w:hAnsi="宋体" w:eastAsia="宋体" w:cs="宋体"/>
          <w:b w:val="0"/>
          <w:bCs w:val="0"/>
          <w:color w:val="auto"/>
          <w:spacing w:val="20"/>
          <w:sz w:val="24"/>
          <w:highlight w:val="none"/>
        </w:rPr>
        <w:t>双方约定的工程款（进度款）的支付方式和时间：</w:t>
      </w:r>
      <w:r>
        <w:rPr>
          <w:rFonts w:hint="eastAsia" w:ascii="宋体" w:hAnsi="宋体" w:cs="宋体"/>
          <w:b w:val="0"/>
          <w:bCs w:val="0"/>
          <w:color w:val="auto"/>
          <w:spacing w:val="20"/>
          <w:sz w:val="24"/>
          <w:highlight w:val="none"/>
          <w:u w:val="single"/>
          <w:lang w:eastAsia="zh-CN"/>
        </w:rPr>
        <w:t>①</w:t>
      </w:r>
      <w:r>
        <w:rPr>
          <w:rFonts w:hint="eastAsia" w:ascii="宋体" w:hAnsi="宋体" w:eastAsia="宋体" w:cs="宋体"/>
          <w:b w:val="0"/>
          <w:bCs w:val="0"/>
          <w:color w:val="auto"/>
          <w:spacing w:val="20"/>
          <w:sz w:val="24"/>
          <w:highlight w:val="none"/>
          <w:u w:val="single"/>
          <w:lang w:eastAsia="zh-CN"/>
        </w:rPr>
        <w:t>竣工验收合格后可申请合同价</w:t>
      </w:r>
      <w:r>
        <w:rPr>
          <w:rFonts w:hint="eastAsia" w:ascii="宋体" w:hAnsi="宋体" w:cs="宋体"/>
          <w:b w:val="0"/>
          <w:bCs w:val="0"/>
          <w:color w:val="auto"/>
          <w:spacing w:val="20"/>
          <w:sz w:val="24"/>
          <w:highlight w:val="none"/>
          <w:u w:val="single"/>
          <w:lang w:eastAsia="zh-CN"/>
        </w:rPr>
        <w:t>的</w:t>
      </w:r>
      <w:r>
        <w:rPr>
          <w:rFonts w:hint="eastAsia" w:ascii="宋体" w:hAnsi="宋体" w:eastAsia="宋体" w:cs="宋体"/>
          <w:b w:val="0"/>
          <w:bCs w:val="0"/>
          <w:color w:val="auto"/>
          <w:spacing w:val="20"/>
          <w:sz w:val="24"/>
          <w:highlight w:val="none"/>
          <w:u w:val="single"/>
          <w:lang w:val="en-US" w:eastAsia="zh-CN"/>
        </w:rPr>
        <w:t>90%</w:t>
      </w:r>
      <w:r>
        <w:rPr>
          <w:rFonts w:hint="eastAsia" w:ascii="宋体" w:hAnsi="宋体" w:cs="宋体"/>
          <w:b w:val="0"/>
          <w:bCs w:val="0"/>
          <w:color w:val="auto"/>
          <w:spacing w:val="20"/>
          <w:sz w:val="24"/>
          <w:highlight w:val="none"/>
          <w:u w:val="single"/>
          <w:lang w:val="en-US" w:eastAsia="zh-CN"/>
        </w:rPr>
        <w:t>工程</w:t>
      </w:r>
      <w:r>
        <w:rPr>
          <w:rFonts w:hint="eastAsia" w:ascii="宋体" w:hAnsi="宋体" w:eastAsia="宋体" w:cs="宋体"/>
          <w:b w:val="0"/>
          <w:bCs w:val="0"/>
          <w:color w:val="auto"/>
          <w:spacing w:val="20"/>
          <w:sz w:val="24"/>
          <w:highlight w:val="none"/>
          <w:u w:val="single"/>
          <w:lang w:eastAsia="zh-CN"/>
        </w:rPr>
        <w:t>进度款；②审计结算后可申请</w:t>
      </w:r>
      <w:r>
        <w:rPr>
          <w:rFonts w:hint="eastAsia" w:ascii="宋体" w:hAnsi="宋体" w:cs="宋体"/>
          <w:b w:val="0"/>
          <w:bCs w:val="0"/>
          <w:color w:val="auto"/>
          <w:spacing w:val="20"/>
          <w:sz w:val="24"/>
          <w:highlight w:val="none"/>
          <w:u w:val="single"/>
          <w:lang w:eastAsia="zh-CN"/>
        </w:rPr>
        <w:t>合同价的</w:t>
      </w:r>
      <w:r>
        <w:rPr>
          <w:rFonts w:hint="eastAsia" w:ascii="宋体" w:hAnsi="宋体" w:eastAsia="宋体" w:cs="宋体"/>
          <w:b w:val="0"/>
          <w:bCs w:val="0"/>
          <w:color w:val="auto"/>
          <w:spacing w:val="20"/>
          <w:sz w:val="24"/>
          <w:highlight w:val="none"/>
          <w:u w:val="single"/>
          <w:lang w:eastAsia="zh-CN"/>
        </w:rPr>
        <w:t>97%工程款，质保期满后支付100%</w:t>
      </w:r>
      <w:r>
        <w:rPr>
          <w:rFonts w:hint="eastAsia" w:ascii="宋体" w:hAnsi="宋体" w:eastAsia="宋体" w:cs="宋体"/>
          <w:b w:val="0"/>
          <w:bCs w:val="0"/>
          <w:color w:val="auto"/>
          <w:spacing w:val="20"/>
          <w:sz w:val="24"/>
          <w:highlight w:val="none"/>
          <w:u w:val="single"/>
          <w:lang w:val="en-US" w:eastAsia="zh-CN"/>
        </w:rPr>
        <w:t>。</w:t>
      </w:r>
    </w:p>
    <w:p w14:paraId="4575A86E">
      <w:pPr>
        <w:pStyle w:val="3"/>
        <w:shd w:val="clear"/>
        <w:adjustRightInd w:val="0"/>
        <w:snapToGrid w:val="0"/>
        <w:spacing w:line="360" w:lineRule="auto"/>
        <w:rPr>
          <w:rFonts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rPr>
        <w:t>七、材料设备供应</w:t>
      </w:r>
    </w:p>
    <w:p w14:paraId="70066FBB">
      <w:pPr>
        <w:pStyle w:val="3"/>
        <w:shd w:val="clear"/>
        <w:adjustRightInd w:val="0"/>
        <w:snapToGrid w:val="0"/>
        <w:spacing w:line="360" w:lineRule="auto"/>
        <w:rPr>
          <w:rFonts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rPr>
        <w:t>27、发包人供应材料设备：</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b w:val="0"/>
          <w:bCs w:val="0"/>
          <w:color w:val="auto"/>
          <w:spacing w:val="20"/>
          <w:sz w:val="24"/>
          <w:szCs w:val="24"/>
          <w:highlight w:val="none"/>
          <w:u w:val="single"/>
        </w:rPr>
        <w:t xml:space="preserve"> 无  </w:t>
      </w:r>
      <w:r>
        <w:rPr>
          <w:rFonts w:hint="eastAsia" w:ascii="宋体" w:hAnsi="宋体" w:eastAsia="宋体" w:cs="宋体"/>
          <w:b w:val="0"/>
          <w:bCs w:val="0"/>
          <w:color w:val="auto"/>
          <w:spacing w:val="20"/>
          <w:sz w:val="24"/>
          <w:szCs w:val="24"/>
          <w:highlight w:val="none"/>
        </w:rPr>
        <w:t xml:space="preserve"> 。</w:t>
      </w:r>
    </w:p>
    <w:p w14:paraId="677BD0D9">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27.4发包人供应的材料设备与一览表不符时，双方约定发包人承担责任如下：</w:t>
      </w:r>
    </w:p>
    <w:p w14:paraId="53B4BF1A">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材料设备单价与一览表不符：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59E76C50">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材料设备的品种、规格、型号、质量等级与一览表不符：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5626B18">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承包人可代为调剂串换的材料：</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0569B334">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到货地点与一览表不符：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24E9A1E9">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供应数量与一览表不符：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271BD21A">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到货时间与一览表不符：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6505C7B1">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27.6发包人供应材料设备的</w:t>
      </w:r>
      <w:r>
        <w:rPr>
          <w:rFonts w:hint="eastAsia" w:ascii="宋体" w:hAnsi="宋体" w:eastAsia="宋体" w:cs="宋体"/>
          <w:bCs/>
          <w:color w:val="auto"/>
          <w:spacing w:val="20"/>
          <w:sz w:val="24"/>
          <w:highlight w:val="none"/>
        </w:rPr>
        <w:t>结算方法：</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8A3C943">
      <w:pPr>
        <w:numPr>
          <w:ilvl w:val="0"/>
          <w:numId w:val="18"/>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承包人采购</w:t>
      </w:r>
      <w:r>
        <w:rPr>
          <w:rFonts w:hint="eastAsia" w:ascii="宋体" w:hAnsi="宋体" w:eastAsia="宋体" w:cs="宋体"/>
          <w:color w:val="auto"/>
          <w:spacing w:val="20"/>
          <w:sz w:val="24"/>
          <w:highlight w:val="none"/>
        </w:rPr>
        <w:t>材料设备</w:t>
      </w:r>
    </w:p>
    <w:p w14:paraId="3FF45BC2">
      <w:pPr>
        <w:shd w:val="clear"/>
        <w:tabs>
          <w:tab w:val="left" w:pos="463"/>
        </w:tabs>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 xml:space="preserve">28.1 </w:t>
      </w:r>
      <w:r>
        <w:rPr>
          <w:rFonts w:hint="eastAsia" w:ascii="宋体" w:hAnsi="宋体" w:eastAsia="宋体" w:cs="宋体"/>
          <w:color w:val="auto"/>
          <w:spacing w:val="20"/>
          <w:kern w:val="0"/>
          <w:sz w:val="24"/>
          <w:highlight w:val="none"/>
        </w:rPr>
        <w:t>承包人采购</w:t>
      </w:r>
      <w:r>
        <w:rPr>
          <w:rFonts w:hint="eastAsia" w:ascii="宋体" w:hAnsi="宋体" w:eastAsia="宋体" w:cs="宋体"/>
          <w:color w:val="auto"/>
          <w:spacing w:val="20"/>
          <w:sz w:val="24"/>
          <w:highlight w:val="none"/>
        </w:rPr>
        <w:t>材料设备的约定：</w:t>
      </w:r>
      <w:r>
        <w:rPr>
          <w:rFonts w:hint="eastAsia" w:ascii="宋体" w:hAnsi="宋体" w:eastAsia="宋体" w:cs="宋体"/>
          <w:color w:val="auto"/>
          <w:spacing w:val="20"/>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609EF741">
      <w:pPr>
        <w:shd w:val="clear"/>
        <w:tabs>
          <w:tab w:val="left" w:pos="463"/>
        </w:tabs>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八、工程变更</w:t>
      </w:r>
    </w:p>
    <w:p w14:paraId="3CE619A1">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按《通用条款》10.1、10.2、10.3、10.4款执行。</w:t>
      </w:r>
    </w:p>
    <w:p w14:paraId="7715CFDC">
      <w:pPr>
        <w:numPr>
          <w:ilvl w:val="0"/>
          <w:numId w:val="19"/>
        </w:numPr>
        <w:shd w:val="clear"/>
        <w:tabs>
          <w:tab w:val="left" w:pos="463"/>
        </w:tabs>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竣工验收与结算</w:t>
      </w:r>
    </w:p>
    <w:p w14:paraId="73FCD7D1">
      <w:pPr>
        <w:numPr>
          <w:ilvl w:val="0"/>
          <w:numId w:val="20"/>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竣工验收</w:t>
      </w:r>
    </w:p>
    <w:p w14:paraId="4D61029A">
      <w:pPr>
        <w:shd w:val="clear"/>
        <w:tabs>
          <w:tab w:val="left" w:pos="463"/>
        </w:tabs>
        <w:adjustRightInd w:val="0"/>
        <w:snapToGrid w:val="0"/>
        <w:spacing w:line="360" w:lineRule="auto"/>
        <w:rPr>
          <w:rFonts w:ascii="宋体" w:hAnsi="宋体" w:eastAsia="宋体" w:cs="宋体"/>
          <w:bCs/>
          <w:color w:val="auto"/>
          <w:spacing w:val="20"/>
          <w:sz w:val="24"/>
          <w:highlight w:val="none"/>
          <w:u w:val="single"/>
        </w:rPr>
      </w:pPr>
      <w:r>
        <w:rPr>
          <w:rFonts w:hint="eastAsia" w:ascii="宋体" w:hAnsi="宋体" w:eastAsia="宋体" w:cs="宋体"/>
          <w:color w:val="auto"/>
          <w:spacing w:val="20"/>
          <w:sz w:val="24"/>
          <w:highlight w:val="none"/>
        </w:rPr>
        <w:t>32.1承包人</w:t>
      </w:r>
      <w:r>
        <w:rPr>
          <w:rFonts w:hint="eastAsia" w:ascii="宋体" w:hAnsi="宋体" w:eastAsia="宋体" w:cs="宋体"/>
          <w:bCs/>
          <w:color w:val="auto"/>
          <w:spacing w:val="20"/>
          <w:sz w:val="24"/>
          <w:highlight w:val="none"/>
        </w:rPr>
        <w:t>提供竣工图的约</w:t>
      </w:r>
      <w:bookmarkStart w:id="574" w:name="_GoBack"/>
      <w:bookmarkEnd w:id="574"/>
      <w:r>
        <w:rPr>
          <w:rFonts w:hint="eastAsia" w:ascii="宋体" w:hAnsi="宋体" w:eastAsia="宋体" w:cs="宋体"/>
          <w:bCs/>
          <w:color w:val="auto"/>
          <w:spacing w:val="20"/>
          <w:sz w:val="24"/>
          <w:highlight w:val="none"/>
        </w:rPr>
        <w:t>定：</w:t>
      </w:r>
      <w:r>
        <w:rPr>
          <w:rFonts w:hint="eastAsia" w:ascii="宋体" w:hAnsi="宋体" w:eastAsia="宋体" w:cs="宋体"/>
          <w:bCs/>
          <w:color w:val="auto"/>
          <w:spacing w:val="20"/>
          <w:sz w:val="24"/>
          <w:highlight w:val="none"/>
          <w:u w:val="single"/>
        </w:rPr>
        <w:t>项目完工后，承包人按工程竣工验收有关规定要先进行自验，并在</w:t>
      </w:r>
      <w:r>
        <w:rPr>
          <w:rFonts w:hint="eastAsia" w:ascii="宋体" w:hAnsi="宋体" w:cs="宋体"/>
          <w:bCs/>
          <w:color w:val="auto"/>
          <w:spacing w:val="20"/>
          <w:sz w:val="24"/>
          <w:highlight w:val="none"/>
          <w:u w:val="single"/>
          <w:lang w:val="en-US" w:eastAsia="zh-CN"/>
        </w:rPr>
        <w:t>完工</w:t>
      </w:r>
      <w:r>
        <w:rPr>
          <w:rFonts w:hint="eastAsia" w:ascii="宋体" w:hAnsi="宋体" w:eastAsia="宋体" w:cs="宋体"/>
          <w:bCs/>
          <w:color w:val="auto"/>
          <w:spacing w:val="20"/>
          <w:sz w:val="24"/>
          <w:highlight w:val="none"/>
          <w:u w:val="single"/>
        </w:rPr>
        <w:t>后</w:t>
      </w:r>
      <w:r>
        <w:rPr>
          <w:rFonts w:hint="eastAsia" w:ascii="宋体" w:hAnsi="宋体" w:cs="宋体"/>
          <w:bCs/>
          <w:color w:val="auto"/>
          <w:spacing w:val="20"/>
          <w:sz w:val="24"/>
          <w:highlight w:val="none"/>
          <w:u w:val="single"/>
          <w:lang w:val="en-US" w:eastAsia="zh-CN"/>
        </w:rPr>
        <w:t>3</w:t>
      </w:r>
      <w:r>
        <w:rPr>
          <w:rFonts w:hint="eastAsia" w:ascii="宋体" w:hAnsi="宋体" w:eastAsia="宋体" w:cs="宋体"/>
          <w:bCs/>
          <w:color w:val="auto"/>
          <w:spacing w:val="20"/>
          <w:sz w:val="24"/>
          <w:highlight w:val="none"/>
          <w:u w:val="single"/>
        </w:rPr>
        <w:t>个月内向发包人提交完整竣工资料、自验报告和申请初验。</w:t>
      </w:r>
    </w:p>
    <w:p w14:paraId="2D5EC649">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bCs/>
          <w:color w:val="auto"/>
          <w:spacing w:val="20"/>
          <w:sz w:val="24"/>
          <w:highlight w:val="none"/>
        </w:rPr>
        <w:t>32.6中间交工工程的范围和竣工时间：</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68A1001E">
      <w:pPr>
        <w:numPr>
          <w:ilvl w:val="0"/>
          <w:numId w:val="20"/>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竣工结算</w:t>
      </w:r>
    </w:p>
    <w:p w14:paraId="4FBE793F">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u w:val="single"/>
        </w:rPr>
        <w:t>工程款97%在工程竣工验收合格并结算审计后2个月内付清（无息）。</w:t>
      </w:r>
    </w:p>
    <w:p w14:paraId="25778543">
      <w:pPr>
        <w:numPr>
          <w:ilvl w:val="0"/>
          <w:numId w:val="20"/>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w:t>
      </w:r>
    </w:p>
    <w:p w14:paraId="572D3EE9">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质量保修书的主要内容包括：</w:t>
      </w:r>
    </w:p>
    <w:p w14:paraId="659B8801">
      <w:pPr>
        <w:numPr>
          <w:ilvl w:val="0"/>
          <w:numId w:val="21"/>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质量保修金的支付方法：</w:t>
      </w:r>
    </w:p>
    <w:p w14:paraId="24EDD685">
      <w:pPr>
        <w:shd w:val="clear"/>
        <w:tabs>
          <w:tab w:val="left" w:pos="463"/>
        </w:tabs>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在工程保修期在内，发包人可以根据国家有关规定和合同规定的金额，在支付承包人的工程款内预留保修金。保修金为：</w:t>
      </w:r>
      <w:r>
        <w:rPr>
          <w:rFonts w:hint="eastAsia" w:ascii="宋体" w:hAnsi="宋体" w:eastAsia="宋体" w:cs="宋体"/>
          <w:color w:val="auto"/>
          <w:spacing w:val="20"/>
          <w:sz w:val="24"/>
          <w:highlight w:val="none"/>
          <w:u w:val="single"/>
        </w:rPr>
        <w:t>结算总价款的3％</w:t>
      </w:r>
      <w:r>
        <w:rPr>
          <w:rFonts w:hint="eastAsia" w:ascii="宋体" w:hAnsi="宋体" w:eastAsia="宋体" w:cs="宋体"/>
          <w:color w:val="auto"/>
          <w:spacing w:val="20"/>
          <w:sz w:val="24"/>
          <w:highlight w:val="none"/>
        </w:rPr>
        <w:t>。发包人在工程质量保修</w:t>
      </w:r>
      <w:r>
        <w:rPr>
          <w:rFonts w:hint="eastAsia" w:ascii="宋体" w:hAnsi="宋体" w:eastAsia="宋体" w:cs="宋体"/>
          <w:color w:val="auto"/>
          <w:spacing w:val="20"/>
          <w:sz w:val="24"/>
          <w:highlight w:val="none"/>
          <w:u w:val="single"/>
        </w:rPr>
        <w:t>满壹年之日起15个工作日内全部退回</w:t>
      </w:r>
      <w:r>
        <w:rPr>
          <w:rFonts w:hint="eastAsia" w:ascii="宋体" w:hAnsi="宋体" w:eastAsia="宋体" w:cs="宋体"/>
          <w:color w:val="auto"/>
          <w:spacing w:val="20"/>
          <w:sz w:val="24"/>
          <w:highlight w:val="none"/>
        </w:rPr>
        <w:t>的保修金给承包人（无息）。</w:t>
      </w:r>
    </w:p>
    <w:p w14:paraId="58C208D6">
      <w:pPr>
        <w:numPr>
          <w:ilvl w:val="0"/>
          <w:numId w:val="19"/>
        </w:numPr>
        <w:shd w:val="clear"/>
        <w:tabs>
          <w:tab w:val="left" w:pos="463"/>
        </w:tabs>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违约、索赔和争议</w:t>
      </w:r>
    </w:p>
    <w:p w14:paraId="5AF50CC4">
      <w:pPr>
        <w:numPr>
          <w:ilvl w:val="0"/>
          <w:numId w:val="20"/>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违约</w:t>
      </w:r>
    </w:p>
    <w:p w14:paraId="0CC1C4A6">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35.1本合同中关于发包人违约的具体责任如下：</w:t>
      </w:r>
    </w:p>
    <w:p w14:paraId="5D26E8E0">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本合同通用条款第24条约定发包人违约应承担的违约责任：</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EF1855F">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本合同通用条款第26.4款约定发包人违约应承担的违约责任：</w:t>
      </w:r>
      <w:r>
        <w:rPr>
          <w:rFonts w:hint="eastAsia" w:ascii="宋体" w:hAnsi="宋体" w:eastAsia="宋体" w:cs="宋体"/>
          <w:color w:val="auto"/>
          <w:spacing w:val="20"/>
          <w:sz w:val="24"/>
          <w:highlight w:val="none"/>
          <w:u w:val="single"/>
        </w:rPr>
        <w:t>按通用条款第26.4款执行。</w:t>
      </w:r>
    </w:p>
    <w:p w14:paraId="21DB6CF0">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本合同通用条款第33.3款约定发包人违约应承担的违约责任：</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51CC1A9F">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双方约定的发包人其他违约责任：</w:t>
      </w:r>
      <w:r>
        <w:rPr>
          <w:rFonts w:hint="eastAsia" w:ascii="宋体" w:hAnsi="宋体" w:eastAsia="宋体" w:cs="宋体"/>
          <w:color w:val="auto"/>
          <w:spacing w:val="20"/>
          <w:sz w:val="24"/>
          <w:highlight w:val="none"/>
          <w:u w:val="single"/>
        </w:rPr>
        <w:t>按通用条款执行。</w:t>
      </w:r>
    </w:p>
    <w:p w14:paraId="6DAEAF63">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35.2本合同中关于承包人违约的具体责任如下：</w:t>
      </w:r>
    </w:p>
    <w:p w14:paraId="77CC7757">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双方约定的承包人其他违约责任：</w:t>
      </w:r>
      <w:r>
        <w:rPr>
          <w:rFonts w:hint="eastAsia" w:ascii="宋体" w:hAnsi="宋体" w:eastAsia="宋体" w:cs="宋体"/>
          <w:color w:val="auto"/>
          <w:spacing w:val="20"/>
          <w:sz w:val="24"/>
          <w:highlight w:val="none"/>
          <w:u w:val="single"/>
        </w:rPr>
        <w:t>按通用条款执行。</w:t>
      </w:r>
    </w:p>
    <w:p w14:paraId="0313639C">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在工程项目实施过程中不得无故更换投标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1E01423F">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37、争议</w:t>
      </w:r>
    </w:p>
    <w:p w14:paraId="0491658E">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37.1本合同在履行过程中发生的争议，由双方当事人协商解决，协商不成的按下列</w:t>
      </w:r>
      <w:r>
        <w:rPr>
          <w:rFonts w:hint="eastAsia" w:ascii="宋体" w:hAnsi="宋体" w:eastAsia="宋体" w:cs="宋体"/>
          <w:color w:val="auto"/>
          <w:spacing w:val="20"/>
          <w:sz w:val="24"/>
          <w:highlight w:val="none"/>
          <w:u w:val="single"/>
        </w:rPr>
        <w:t>第（二）</w:t>
      </w:r>
      <w:r>
        <w:rPr>
          <w:rFonts w:hint="eastAsia" w:ascii="宋体" w:hAnsi="宋体" w:eastAsia="宋体" w:cs="宋体"/>
          <w:color w:val="auto"/>
          <w:spacing w:val="20"/>
          <w:sz w:val="24"/>
          <w:highlight w:val="none"/>
        </w:rPr>
        <w:t>种方式解决：</w:t>
      </w:r>
    </w:p>
    <w:p w14:paraId="7805C9A3">
      <w:pPr>
        <w:numPr>
          <w:ilvl w:val="0"/>
          <w:numId w:val="22"/>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向</w:t>
      </w:r>
      <w:r>
        <w:rPr>
          <w:rFonts w:hint="eastAsia" w:ascii="宋体" w:hAnsi="宋体" w:eastAsia="宋体" w:cs="宋体"/>
          <w:color w:val="auto"/>
          <w:spacing w:val="20"/>
          <w:sz w:val="24"/>
          <w:highlight w:val="none"/>
          <w:u w:val="single"/>
        </w:rPr>
        <w:t>约定的</w:t>
      </w:r>
      <w:r>
        <w:rPr>
          <w:rFonts w:hint="eastAsia" w:ascii="宋体" w:hAnsi="宋体" w:eastAsia="宋体" w:cs="宋体"/>
          <w:color w:val="auto"/>
          <w:spacing w:val="20"/>
          <w:sz w:val="24"/>
          <w:highlight w:val="none"/>
        </w:rPr>
        <w:t>仲裁委员会申请仲裁：</w:t>
      </w:r>
    </w:p>
    <w:p w14:paraId="5AE9F1C3">
      <w:pPr>
        <w:numPr>
          <w:ilvl w:val="0"/>
          <w:numId w:val="22"/>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依法向发包人所在地人民法院起诉。</w:t>
      </w:r>
    </w:p>
    <w:p w14:paraId="7AC75D55">
      <w:pPr>
        <w:numPr>
          <w:ilvl w:val="0"/>
          <w:numId w:val="19"/>
        </w:numPr>
        <w:shd w:val="clear"/>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其他</w:t>
      </w:r>
    </w:p>
    <w:p w14:paraId="3C582C66">
      <w:pPr>
        <w:numPr>
          <w:ilvl w:val="0"/>
          <w:numId w:val="23"/>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工程分包</w:t>
      </w:r>
    </w:p>
    <w:p w14:paraId="408CDD89">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38.1本工程发包人同意承包人分包的工程：</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4C1F72D9">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分包施工单位为</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1132275">
      <w:pPr>
        <w:numPr>
          <w:ilvl w:val="0"/>
          <w:numId w:val="23"/>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不可抗力</w:t>
      </w:r>
    </w:p>
    <w:p w14:paraId="50EB4B4C">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39.1双方关于不可抗力的约定：</w:t>
      </w:r>
    </w:p>
    <w:p w14:paraId="39AC519E">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按《通用条款》第39款执行。</w:t>
      </w:r>
    </w:p>
    <w:p w14:paraId="6AA7540D">
      <w:pPr>
        <w:numPr>
          <w:ilvl w:val="0"/>
          <w:numId w:val="23"/>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保险</w:t>
      </w:r>
    </w:p>
    <w:p w14:paraId="36F3F332">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40.6本工程双方约定投保内容如下：</w:t>
      </w:r>
    </w:p>
    <w:p w14:paraId="1C01BD9C">
      <w:pPr>
        <w:numPr>
          <w:ilvl w:val="0"/>
          <w:numId w:val="24"/>
        </w:num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发包人投保内容：</w:t>
      </w:r>
      <w:r>
        <w:rPr>
          <w:rFonts w:hint="eastAsia" w:ascii="宋体" w:hAnsi="宋体" w:eastAsia="宋体" w:cs="宋体"/>
          <w:color w:val="auto"/>
          <w:spacing w:val="20"/>
          <w:sz w:val="24"/>
          <w:highlight w:val="none"/>
          <w:u w:val="single"/>
        </w:rPr>
        <w:t>按国家政策自行办理。</w:t>
      </w:r>
    </w:p>
    <w:p w14:paraId="103B0881">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发包人委托承包人办理的保险事项：</w:t>
      </w:r>
      <w:r>
        <w:rPr>
          <w:rFonts w:hint="eastAsia" w:ascii="宋体" w:hAnsi="宋体" w:eastAsia="宋体" w:cs="宋体"/>
          <w:color w:val="auto"/>
          <w:spacing w:val="20"/>
          <w:sz w:val="24"/>
          <w:highlight w:val="none"/>
          <w:u w:val="single"/>
        </w:rPr>
        <w:t xml:space="preserve"> 无 。</w:t>
      </w:r>
    </w:p>
    <w:p w14:paraId="30569578">
      <w:pPr>
        <w:numPr>
          <w:ilvl w:val="0"/>
          <w:numId w:val="24"/>
        </w:num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承包人投保内容：</w:t>
      </w:r>
      <w:r>
        <w:rPr>
          <w:rFonts w:hint="eastAsia" w:ascii="宋体" w:hAnsi="宋体" w:eastAsia="宋体" w:cs="宋体"/>
          <w:color w:val="auto"/>
          <w:spacing w:val="20"/>
          <w:sz w:val="24"/>
          <w:highlight w:val="none"/>
          <w:u w:val="single"/>
        </w:rPr>
        <w:t>承包人应按有关规定自行投保施工人员的人身事故保险，该保险应不属于储蓄险等。承包人应于签订全同之日起10日内按有关规定自行办理。</w:t>
      </w:r>
    </w:p>
    <w:p w14:paraId="07B17B43">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41、担保</w:t>
      </w:r>
    </w:p>
    <w:p w14:paraId="7CC51445">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41.3本工程双方约定担保内容如下：</w:t>
      </w:r>
    </w:p>
    <w:p w14:paraId="64B67D37">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（1）发包人向承包人提供支付担保，担保方式为：</w:t>
      </w:r>
      <w:r>
        <w:rPr>
          <w:rFonts w:hint="eastAsia" w:ascii="宋体" w:hAnsi="宋体" w:eastAsia="宋体" w:cs="宋体"/>
          <w:color w:val="auto"/>
          <w:spacing w:val="20"/>
          <w:sz w:val="24"/>
          <w:highlight w:val="none"/>
          <w:u w:val="single"/>
        </w:rPr>
        <w:t xml:space="preserve"> 无 。</w:t>
      </w:r>
    </w:p>
    <w:p w14:paraId="49253BD8">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（2）承包人向发包人提供履约担保，担保方式为：</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w:t>
      </w:r>
      <w:r>
        <w:rPr>
          <w:rFonts w:hint="eastAsia" w:ascii="宋体" w:hAnsi="宋体" w:eastAsia="宋体" w:cs="宋体"/>
          <w:color w:val="auto"/>
          <w:spacing w:val="20"/>
          <w:sz w:val="24"/>
          <w:highlight w:val="none"/>
          <w:u w:val="single"/>
        </w:rPr>
        <w:t>。</w:t>
      </w:r>
    </w:p>
    <w:p w14:paraId="54916111">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46、合同份数</w:t>
      </w:r>
    </w:p>
    <w:p w14:paraId="1222A4EB">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46.1双方约定合同份数：</w:t>
      </w:r>
      <w:r>
        <w:rPr>
          <w:rFonts w:hint="eastAsia" w:ascii="宋体" w:hAnsi="宋体" w:eastAsia="宋体" w:cs="宋体"/>
          <w:color w:val="auto"/>
          <w:spacing w:val="20"/>
          <w:sz w:val="24"/>
          <w:highlight w:val="none"/>
          <w:u w:val="single"/>
        </w:rPr>
        <w:t>正本贰份，副本陆份，双方各执壹份正本，叁份副本。</w:t>
      </w:r>
    </w:p>
    <w:p w14:paraId="7283FF57">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47、本合同工程签证事项双方同意按《浦北县国有资金投资建设项目签证管理暂行办法》的规定执行。</w:t>
      </w:r>
    </w:p>
    <w:p w14:paraId="0F791BF8">
      <w:pPr>
        <w:shd w:val="clear"/>
        <w:tabs>
          <w:tab w:val="left" w:pos="463"/>
        </w:tabs>
        <w:spacing w:line="360" w:lineRule="auto"/>
        <w:rPr>
          <w:rFonts w:ascii="宋体" w:hAnsi="宋体" w:eastAsia="宋体" w:cs="宋体"/>
          <w:color w:val="auto"/>
          <w:spacing w:val="20"/>
          <w:sz w:val="24"/>
          <w:highlight w:val="none"/>
        </w:rPr>
      </w:pPr>
    </w:p>
    <w:p w14:paraId="72612F47">
      <w:pPr>
        <w:shd w:val="clear"/>
        <w:tabs>
          <w:tab w:val="left" w:pos="463"/>
        </w:tabs>
        <w:spacing w:line="360" w:lineRule="auto"/>
        <w:rPr>
          <w:rFonts w:ascii="宋体" w:hAnsi="宋体" w:eastAsia="宋体" w:cs="宋体"/>
          <w:color w:val="auto"/>
          <w:spacing w:val="20"/>
          <w:sz w:val="30"/>
          <w:szCs w:val="30"/>
          <w:highlight w:val="none"/>
        </w:rPr>
      </w:pPr>
    </w:p>
    <w:p w14:paraId="0D34D325">
      <w:pPr>
        <w:shd w:val="clear"/>
        <w:tabs>
          <w:tab w:val="left" w:pos="463"/>
        </w:tabs>
        <w:spacing w:line="360" w:lineRule="auto"/>
        <w:rPr>
          <w:rFonts w:ascii="宋体" w:hAnsi="宋体" w:eastAsia="宋体" w:cs="宋体"/>
          <w:color w:val="auto"/>
          <w:spacing w:val="20"/>
          <w:sz w:val="30"/>
          <w:szCs w:val="30"/>
          <w:highlight w:val="none"/>
        </w:rPr>
      </w:pPr>
    </w:p>
    <w:p w14:paraId="6266B09A">
      <w:pPr>
        <w:pStyle w:val="15"/>
        <w:shd w:val="clear"/>
        <w:rPr>
          <w:rFonts w:ascii="宋体" w:hAnsi="宋体" w:eastAsia="宋体" w:cs="宋体"/>
          <w:color w:val="auto"/>
          <w:spacing w:val="20"/>
          <w:sz w:val="30"/>
          <w:szCs w:val="30"/>
          <w:highlight w:val="none"/>
        </w:rPr>
      </w:pPr>
    </w:p>
    <w:p w14:paraId="5DD0C891">
      <w:pPr>
        <w:pStyle w:val="15"/>
        <w:shd w:val="clear"/>
        <w:rPr>
          <w:rFonts w:ascii="宋体" w:hAnsi="宋体" w:eastAsia="宋体" w:cs="宋体"/>
          <w:color w:val="auto"/>
          <w:spacing w:val="20"/>
          <w:sz w:val="30"/>
          <w:szCs w:val="30"/>
          <w:highlight w:val="none"/>
        </w:rPr>
      </w:pPr>
    </w:p>
    <w:p w14:paraId="550AA37E">
      <w:pPr>
        <w:pStyle w:val="15"/>
        <w:shd w:val="clear"/>
        <w:rPr>
          <w:rFonts w:ascii="宋体" w:hAnsi="宋体" w:eastAsia="宋体" w:cs="宋体"/>
          <w:color w:val="auto"/>
          <w:spacing w:val="20"/>
          <w:sz w:val="30"/>
          <w:szCs w:val="30"/>
          <w:highlight w:val="none"/>
        </w:rPr>
      </w:pPr>
    </w:p>
    <w:p w14:paraId="5FC84FEF">
      <w:pPr>
        <w:pStyle w:val="15"/>
        <w:shd w:val="clear"/>
        <w:rPr>
          <w:rFonts w:ascii="宋体" w:hAnsi="宋体" w:eastAsia="宋体" w:cs="宋体"/>
          <w:color w:val="auto"/>
          <w:spacing w:val="20"/>
          <w:sz w:val="30"/>
          <w:szCs w:val="30"/>
          <w:highlight w:val="none"/>
        </w:rPr>
      </w:pPr>
    </w:p>
    <w:p w14:paraId="0C13A622">
      <w:pPr>
        <w:pStyle w:val="15"/>
        <w:shd w:val="clear"/>
        <w:rPr>
          <w:rFonts w:ascii="宋体" w:hAnsi="宋体" w:eastAsia="宋体" w:cs="宋体"/>
          <w:color w:val="auto"/>
          <w:spacing w:val="20"/>
          <w:sz w:val="30"/>
          <w:szCs w:val="30"/>
          <w:highlight w:val="none"/>
        </w:rPr>
      </w:pPr>
    </w:p>
    <w:p w14:paraId="64600BC9">
      <w:pPr>
        <w:shd w:val="clear"/>
        <w:tabs>
          <w:tab w:val="left" w:pos="463"/>
        </w:tabs>
        <w:spacing w:line="360" w:lineRule="auto"/>
        <w:rPr>
          <w:rFonts w:ascii="宋体" w:hAnsi="宋体" w:eastAsia="宋体" w:cs="宋体"/>
          <w:color w:val="auto"/>
          <w:spacing w:val="20"/>
          <w:sz w:val="30"/>
          <w:szCs w:val="30"/>
          <w:highlight w:val="none"/>
        </w:rPr>
      </w:pPr>
    </w:p>
    <w:p w14:paraId="4B6B942E">
      <w:pPr>
        <w:shd w:val="clear"/>
        <w:spacing w:beforeLines="50" w:afterLines="50"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附件1</w:t>
      </w:r>
    </w:p>
    <w:p w14:paraId="78102F86">
      <w:pPr>
        <w:shd w:val="clear"/>
        <w:spacing w:beforeLines="50" w:afterLines="50" w:line="360" w:lineRule="auto"/>
        <w:jc w:val="center"/>
        <w:rPr>
          <w:rFonts w:ascii="宋体" w:hAnsi="宋体" w:eastAsia="宋体" w:cs="宋体"/>
          <w:b/>
          <w:bCs/>
          <w:color w:val="auto"/>
          <w:spacing w:val="20"/>
          <w:sz w:val="36"/>
          <w:szCs w:val="36"/>
          <w:highlight w:val="none"/>
        </w:rPr>
      </w:pPr>
      <w:r>
        <w:rPr>
          <w:rFonts w:hint="eastAsia" w:ascii="宋体" w:hAnsi="宋体" w:eastAsia="宋体" w:cs="宋体"/>
          <w:b/>
          <w:bCs/>
          <w:color w:val="auto"/>
          <w:spacing w:val="20"/>
          <w:sz w:val="40"/>
          <w:szCs w:val="40"/>
          <w:highlight w:val="none"/>
        </w:rPr>
        <w:t>工程质量保修书</w:t>
      </w:r>
    </w:p>
    <w:p w14:paraId="26D6FBCE">
      <w:pPr>
        <w:shd w:val="clear"/>
        <w:spacing w:beforeLines="50" w:afterLines="50" w:line="360" w:lineRule="auto"/>
        <w:jc w:val="center"/>
        <w:rPr>
          <w:rFonts w:ascii="宋体" w:hAnsi="宋体" w:eastAsia="宋体" w:cs="宋体"/>
          <w:b/>
          <w:bCs/>
          <w:color w:val="auto"/>
          <w:spacing w:val="20"/>
          <w:sz w:val="36"/>
          <w:szCs w:val="36"/>
          <w:highlight w:val="none"/>
        </w:rPr>
      </w:pPr>
    </w:p>
    <w:p w14:paraId="374B021D">
      <w:pPr>
        <w:shd w:val="clear"/>
        <w:adjustRightInd w:val="0"/>
        <w:snapToGrid w:val="0"/>
        <w:spacing w:beforeLines="50" w:afterLines="50"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发包人（全称）：</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浦北县江城街道办事处</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556BCB9C">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2A6B3113">
      <w:pPr>
        <w:shd w:val="clear"/>
        <w:adjustRightInd w:val="0"/>
        <w:snapToGrid w:val="0"/>
        <w:spacing w:line="360" w:lineRule="auto"/>
        <w:ind w:firstLine="42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eastAsia="zh-CN"/>
        </w:rPr>
        <w:t>（工程名称）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签订工程质量保修书。</w:t>
      </w:r>
    </w:p>
    <w:p w14:paraId="4D6021DD">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1、工程质量保修范围和内容</w:t>
      </w:r>
    </w:p>
    <w:p w14:paraId="6398DAD4">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承包人在质量保修期内，按照有关法律、法规、规章的管理规定和双方约定，承担工程质量保修责任。</w:t>
      </w:r>
    </w:p>
    <w:p w14:paraId="5C58720E">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DED4D33">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u w:val="single"/>
        </w:rPr>
        <w:t xml:space="preserve"> 质量保修范围包括</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工程等承包人施工的项目  </w:t>
      </w:r>
      <w:r>
        <w:rPr>
          <w:rFonts w:hint="eastAsia" w:ascii="宋体" w:hAnsi="宋体" w:eastAsia="宋体" w:cs="宋体"/>
          <w:color w:val="auto"/>
          <w:spacing w:val="20"/>
          <w:sz w:val="24"/>
          <w:highlight w:val="none"/>
        </w:rPr>
        <w:t>。</w:t>
      </w:r>
    </w:p>
    <w:p w14:paraId="5D2F8519">
      <w:pPr>
        <w:shd w:val="clear"/>
        <w:adjustRightInd w:val="0"/>
        <w:snapToGrid w:val="0"/>
        <w:spacing w:line="360" w:lineRule="auto"/>
        <w:ind w:firstLine="560" w:firstLineChars="200"/>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40078FA3">
      <w:pPr>
        <w:shd w:val="clear"/>
        <w:adjustRightInd w:val="0"/>
        <w:snapToGrid w:val="0"/>
        <w:spacing w:line="360" w:lineRule="auto"/>
        <w:ind w:firstLine="560" w:firstLineChars="200"/>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因使用不当或者第三方造成质量缺陷的，承包人不负担责任 。 </w:t>
      </w:r>
    </w:p>
    <w:p w14:paraId="006A21F0">
      <w:pPr>
        <w:shd w:val="clear"/>
        <w:adjustRightInd w:val="0"/>
        <w:snapToGrid w:val="0"/>
        <w:spacing w:line="360" w:lineRule="auto"/>
        <w:ind w:firstLine="560" w:firstLineChars="200"/>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因不可抗力造成质量缺陷的，承包人不负担责任 。 </w:t>
      </w:r>
    </w:p>
    <w:p w14:paraId="7133F5CA">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2、质量保修期</w:t>
      </w:r>
    </w:p>
    <w:p w14:paraId="094B2F1C">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根据《建设工程质量管理条例》及有关规定，约定本工程的质量保修期如下：</w:t>
      </w:r>
    </w:p>
    <w:p w14:paraId="0C5C9026">
      <w:pPr>
        <w:numPr>
          <w:ilvl w:val="0"/>
          <w:numId w:val="25"/>
        </w:numPr>
        <w:shd w:val="clear"/>
        <w:adjustRightInd w:val="0"/>
        <w:snapToGrid w:val="0"/>
        <w:spacing w:line="360" w:lineRule="auto"/>
        <w:ind w:firstLine="560" w:firstLineChars="200"/>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主本工程为设计文件规定的该工程合理使用年限。</w:t>
      </w:r>
    </w:p>
    <w:p w14:paraId="0D614FDE">
      <w:pPr>
        <w:numPr>
          <w:ilvl w:val="0"/>
          <w:numId w:val="25"/>
        </w:numPr>
        <w:shd w:val="clear"/>
        <w:adjustRightInd w:val="0"/>
        <w:snapToGrid w:val="0"/>
        <w:spacing w:line="360" w:lineRule="auto"/>
        <w:ind w:firstLine="560" w:firstLineChars="200"/>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其他工程项目保修期</w:t>
      </w:r>
      <w:r>
        <w:rPr>
          <w:rFonts w:hint="eastAsia" w:ascii="宋体" w:hAnsi="宋体" w:eastAsia="宋体" w:cs="宋体"/>
          <w:color w:val="auto"/>
          <w:spacing w:val="20"/>
          <w:sz w:val="24"/>
          <w:highlight w:val="none"/>
          <w:u w:val="single"/>
        </w:rPr>
        <w:t xml:space="preserve">  1  </w:t>
      </w:r>
      <w:r>
        <w:rPr>
          <w:rFonts w:hint="eastAsia" w:ascii="宋体" w:hAnsi="宋体" w:eastAsia="宋体" w:cs="宋体"/>
          <w:color w:val="auto"/>
          <w:spacing w:val="20"/>
          <w:sz w:val="24"/>
          <w:highlight w:val="none"/>
        </w:rPr>
        <w:t>年。</w:t>
      </w:r>
    </w:p>
    <w:p w14:paraId="4684CCDD">
      <w:pPr>
        <w:numPr>
          <w:ilvl w:val="0"/>
          <w:numId w:val="25"/>
        </w:numPr>
        <w:shd w:val="clear"/>
        <w:adjustRightInd w:val="0"/>
        <w:snapToGrid w:val="0"/>
        <w:spacing w:line="360" w:lineRule="auto"/>
        <w:ind w:firstLine="560" w:firstLineChars="200"/>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质量保修期自工程竣工验收合格之日起计算器。</w:t>
      </w:r>
    </w:p>
    <w:p w14:paraId="052E2879">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3、质量保修责任</w:t>
      </w:r>
    </w:p>
    <w:p w14:paraId="1FA923E2">
      <w:pPr>
        <w:shd w:val="clea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1．属于保修范围、内容的项目，承包人应当在接到保修通知之日起</w:t>
      </w:r>
      <w:r>
        <w:rPr>
          <w:rFonts w:hint="eastAsia" w:ascii="宋体" w:hAnsi="宋体" w:eastAsia="宋体" w:cs="宋体"/>
          <w:color w:val="auto"/>
          <w:spacing w:val="20"/>
          <w:sz w:val="24"/>
          <w:highlight w:val="none"/>
          <w:u w:val="single"/>
        </w:rPr>
        <w:t xml:space="preserve">  7    </w:t>
      </w:r>
      <w:r>
        <w:rPr>
          <w:rFonts w:hint="eastAsia" w:ascii="宋体" w:hAnsi="宋体" w:eastAsia="宋体" w:cs="宋体"/>
          <w:color w:val="auto"/>
          <w:spacing w:val="20"/>
          <w:sz w:val="24"/>
          <w:highlight w:val="none"/>
        </w:rPr>
        <w:t>天内派人保修。承包人不在约定期限内派人保修的，发包人可以委托他人修理，发生费用由承包人承担。</w:t>
      </w:r>
    </w:p>
    <w:p w14:paraId="67788207">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2．发生须紧急抢修事故的，承包人在接到事故通知后，应当立即到达事故现场抢修。</w:t>
      </w:r>
    </w:p>
    <w:p w14:paraId="68F9D0CE">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932E894">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4．质量保修完成后，由发包人组织验收。</w:t>
      </w:r>
    </w:p>
    <w:p w14:paraId="2F272F20">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4、保修费用</w:t>
      </w:r>
    </w:p>
    <w:p w14:paraId="470C9354">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保修费用由造成质量缺陷的责任方承担。</w:t>
      </w:r>
    </w:p>
    <w:p w14:paraId="1E843B53">
      <w:pPr>
        <w:numPr>
          <w:ilvl w:val="0"/>
          <w:numId w:val="26"/>
        </w:numPr>
        <w:shd w:val="clear"/>
        <w:adjustRightInd w:val="0"/>
        <w:snapToGrid w:val="0"/>
        <w:spacing w:line="360" w:lineRule="auto"/>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其他</w:t>
      </w:r>
    </w:p>
    <w:p w14:paraId="1E9C95DD">
      <w:pPr>
        <w:shd w:val="clear"/>
        <w:adjustRightInd w:val="0"/>
        <w:snapToGrid w:val="0"/>
        <w:spacing w:line="360" w:lineRule="auto"/>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双方约定的其他工程质量保修事项：</w:t>
      </w:r>
      <w:r>
        <w:rPr>
          <w:rFonts w:hint="eastAsia" w:ascii="宋体" w:hAnsi="宋体" w:eastAsia="宋体" w:cs="宋体"/>
          <w:color w:val="auto"/>
          <w:spacing w:val="20"/>
          <w:sz w:val="24"/>
          <w:highlight w:val="none"/>
          <w:u w:val="single"/>
        </w:rPr>
        <w:t xml:space="preserve"> 在工程保修期内，发包人根据合同规定的金额，在支付承包人的工程款内预留保修金。保修金为：结算总价款的3%，质量保修金银行利率为：0。发包人在工程质量保修期满壹年之日起15个工作日内返还（无息）</w:t>
      </w:r>
      <w:r>
        <w:rPr>
          <w:rFonts w:hint="eastAsia" w:ascii="宋体" w:hAnsi="宋体" w:eastAsia="宋体" w:cs="宋体"/>
          <w:color w:val="auto"/>
          <w:spacing w:val="20"/>
          <w:sz w:val="24"/>
          <w:highlight w:val="none"/>
        </w:rPr>
        <w:t>。</w:t>
      </w:r>
    </w:p>
    <w:p w14:paraId="0A85D428">
      <w:pPr>
        <w:shd w:val="clear"/>
        <w:adjustRightInd w:val="0"/>
        <w:snapToGrid w:val="0"/>
        <w:spacing w:line="360" w:lineRule="auto"/>
        <w:ind w:firstLine="532" w:firstLineChars="19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本工程质量保修书，由施工合同发包人、承包人双方在竣工验收前共同签署，作为施工合同附件，其有效期限至保修期满。</w:t>
      </w:r>
    </w:p>
    <w:p w14:paraId="2A78725E">
      <w:pPr>
        <w:shd w:val="clear"/>
        <w:adjustRightInd w:val="0"/>
        <w:snapToGrid w:val="0"/>
        <w:spacing w:line="360" w:lineRule="auto"/>
        <w:rPr>
          <w:rFonts w:ascii="宋体" w:hAnsi="宋体" w:eastAsia="宋体" w:cs="宋体"/>
          <w:color w:val="auto"/>
          <w:spacing w:val="20"/>
          <w:sz w:val="24"/>
          <w:highlight w:val="none"/>
        </w:rPr>
      </w:pPr>
    </w:p>
    <w:p w14:paraId="747D436B">
      <w:pPr>
        <w:shd w:val="clear"/>
        <w:adjustRightInd w:val="0"/>
        <w:snapToGrid w:val="0"/>
        <w:spacing w:line="360" w:lineRule="auto"/>
        <w:ind w:firstLine="840" w:firstLineChars="3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71DBD3C3">
      <w:pPr>
        <w:shd w:val="clear"/>
        <w:adjustRightInd w:val="0"/>
        <w:snapToGrid w:val="0"/>
        <w:spacing w:line="360" w:lineRule="auto"/>
        <w:rPr>
          <w:rFonts w:ascii="宋体" w:hAnsi="宋体" w:eastAsia="宋体" w:cs="宋体"/>
          <w:color w:val="auto"/>
          <w:spacing w:val="20"/>
          <w:sz w:val="24"/>
          <w:highlight w:val="none"/>
          <w:u w:val="single"/>
        </w:rPr>
      </w:pPr>
    </w:p>
    <w:p w14:paraId="2B137C63">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p>
    <w:p w14:paraId="7501744D">
      <w:pPr>
        <w:shd w:val="clear"/>
        <w:adjustRightInd w:val="0"/>
        <w:snapToGrid w:val="0"/>
        <w:spacing w:line="360" w:lineRule="auto"/>
        <w:rPr>
          <w:rFonts w:ascii="宋体" w:hAnsi="宋体" w:eastAsia="宋体" w:cs="宋体"/>
          <w:color w:val="auto"/>
          <w:spacing w:val="20"/>
          <w:sz w:val="24"/>
          <w:highlight w:val="none"/>
          <w:u w:val="single"/>
        </w:rPr>
      </w:pPr>
    </w:p>
    <w:p w14:paraId="2938A31B">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3CF1762B">
      <w:pPr>
        <w:shd w:val="clear"/>
        <w:spacing w:beforeLines="50" w:afterLines="50" w:line="360" w:lineRule="auto"/>
        <w:rPr>
          <w:rFonts w:hint="default"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t>附件2</w:t>
      </w:r>
    </w:p>
    <w:p w14:paraId="0E7978BB">
      <w:pPr>
        <w:shd w:val="clear"/>
        <w:spacing w:line="480" w:lineRule="auto"/>
        <w:jc w:val="center"/>
        <w:outlineLvl w:val="3"/>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安全生产合同</w:t>
      </w:r>
    </w:p>
    <w:p w14:paraId="10389561">
      <w:pPr>
        <w:shd w:val="clear"/>
        <w:rPr>
          <w:rFonts w:hint="eastAsia" w:ascii="宋体" w:hAnsi="宋体" w:eastAsia="宋体" w:cs="宋体"/>
          <w:color w:val="auto"/>
          <w:kern w:val="1"/>
          <w:sz w:val="24"/>
          <w:szCs w:val="24"/>
          <w:highlight w:val="none"/>
        </w:rPr>
      </w:pPr>
    </w:p>
    <w:p w14:paraId="44A36E48">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为在</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lang w:val="en-US" w:eastAsia="zh-CN"/>
        </w:rPr>
        <w:t xml:space="preserve">（工程名称）  </w:t>
      </w:r>
      <w:r>
        <w:rPr>
          <w:rFonts w:hint="eastAsia" w:ascii="宋体" w:hAnsi="宋体" w:eastAsia="宋体" w:cs="宋体"/>
          <w:color w:val="auto"/>
          <w:kern w:val="1"/>
          <w:sz w:val="24"/>
          <w:szCs w:val="24"/>
          <w:highlight w:val="none"/>
        </w:rPr>
        <w:t>的实施过程中创造安全、高效的施工环境，切实搞好本项目的安全管理工作，本项目业主</w:t>
      </w:r>
      <w:r>
        <w:rPr>
          <w:rFonts w:hint="eastAsia" w:ascii="宋体" w:hAnsi="宋体" w:eastAsia="宋体" w:cs="宋体"/>
          <w:color w:val="auto"/>
          <w:kern w:val="1"/>
          <w:sz w:val="24"/>
          <w:szCs w:val="24"/>
          <w:highlight w:val="none"/>
          <w:u w:val="single"/>
        </w:rPr>
        <w:t xml:space="preserve"> </w:t>
      </w:r>
      <w:r>
        <w:rPr>
          <w:rFonts w:hint="eastAsia" w:ascii="宋体" w:hAnsi="宋体" w:cs="宋体"/>
          <w:color w:val="auto"/>
          <w:spacing w:val="20"/>
          <w:sz w:val="24"/>
          <w:highlight w:val="none"/>
          <w:u w:val="single"/>
          <w:lang w:eastAsia="zh-CN"/>
        </w:rPr>
        <w:t>浦北县江城街道办事处</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（以下简称“甲方”）与承包人</w:t>
      </w:r>
      <w:r>
        <w:rPr>
          <w:rFonts w:hint="eastAsia" w:ascii="宋体" w:hAnsi="宋体" w:eastAsia="宋体" w:cs="宋体"/>
          <w:b/>
          <w:bCs/>
          <w:color w:val="auto"/>
          <w:kern w:val="1"/>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（以下简称“乙方”）特此签订安全生产合同：</w:t>
      </w:r>
    </w:p>
    <w:p w14:paraId="04E3822E">
      <w:pPr>
        <w:shd w:val="clea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一、甲方职责</w:t>
      </w:r>
    </w:p>
    <w:p w14:paraId="1BEEE046">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严格遵守国家有关安全生产的法律法规，认真执行工程承包合同中的有关安全要求。</w:t>
      </w:r>
    </w:p>
    <w:p w14:paraId="14E6B429">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按照“安全第一、预防为主”和坚持“管生产必须管安全”的原则进行安全生产管理，做到生产与安全工作同时计划、布置、检查、总结和评比。</w:t>
      </w:r>
    </w:p>
    <w:p w14:paraId="046BC2C2">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重要的安全设施必须坚持与主体工程“三同时”的原则，即：同时设计、审批，同时施工，同时验收，投入使用。</w:t>
      </w:r>
    </w:p>
    <w:p w14:paraId="7949AD66">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定期召开安全生产调度会，及时传达中央及地方有关安全生产的精神。</w:t>
      </w:r>
    </w:p>
    <w:p w14:paraId="14AB0622">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组织对乙方施工现场安全生产检查，监督乙方及时处理发现的各种安全隐患。</w:t>
      </w:r>
    </w:p>
    <w:p w14:paraId="7CFFF87D">
      <w:pPr>
        <w:shd w:val="clea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二、乙方职责</w:t>
      </w:r>
    </w:p>
    <w:p w14:paraId="5C9C2F68">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严格遵守国家有关安全生产的法律法规、农业农村部、水利部颁发的有关安全生产的规定，认真执行工程承包合同中的有关安全要求。</w:t>
      </w:r>
    </w:p>
    <w:p w14:paraId="11BD9CD5">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162410F5">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6871E07">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乙方在任何时候都应采取各种合理的预防措施，防止其员工发生任何违法、违禁、暴力或妨碍治安的行为。</w:t>
      </w:r>
    </w:p>
    <w:p w14:paraId="48D81C1D">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102E6E51">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350641C">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7. 操作人员上岗，必须按规定穿戴防护用品。施工负责人和安全检查员应随时检查劳动防护用品的穿戴情况，不按规定穿戴防护用品的人员不得上岗。</w:t>
      </w:r>
    </w:p>
    <w:p w14:paraId="5478EB7D">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8. 所有施工机具设备和高空作业的设备均应定期检查，并有安全员的签字记录，保证其经常处于完好状态；不合格的机具、设备和劳动保护用品严禁使用。</w:t>
      </w:r>
    </w:p>
    <w:p w14:paraId="1B3D8CAD">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 施工中采用新技术、新工艺、新设备、新材料时，必须制定相应的安全技术措施，施工现场必须具有相关的安全标志牌。</w:t>
      </w:r>
    </w:p>
    <w:p w14:paraId="48ECED14">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2FC8617">
      <w:pPr>
        <w:shd w:val="clea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三、违约责任</w:t>
      </w:r>
    </w:p>
    <w:p w14:paraId="2362D927">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如因甲方或乙方违约造成安全事故，将依法追究责任。</w:t>
      </w:r>
    </w:p>
    <w:p w14:paraId="318FC60E">
      <w:pPr>
        <w:shd w:val="clear"/>
        <w:adjustRightInd w:val="0"/>
        <w:snapToGrid w:val="0"/>
        <w:spacing w:line="360" w:lineRule="auto"/>
        <w:ind w:firstLine="840" w:firstLineChars="300"/>
        <w:rPr>
          <w:rFonts w:hint="eastAsia" w:ascii="宋体" w:hAnsi="宋体" w:eastAsia="宋体" w:cs="宋体"/>
          <w:color w:val="auto"/>
          <w:spacing w:val="20"/>
          <w:sz w:val="24"/>
          <w:highlight w:val="none"/>
        </w:rPr>
      </w:pPr>
    </w:p>
    <w:p w14:paraId="549EE1A5">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6A82981D">
      <w:pPr>
        <w:shd w:val="clear"/>
        <w:adjustRightInd w:val="0"/>
        <w:snapToGrid w:val="0"/>
        <w:spacing w:line="360" w:lineRule="auto"/>
        <w:rPr>
          <w:rFonts w:ascii="宋体" w:hAnsi="宋体" w:eastAsia="宋体" w:cs="宋体"/>
          <w:color w:val="auto"/>
          <w:spacing w:val="20"/>
          <w:sz w:val="24"/>
          <w:highlight w:val="none"/>
          <w:u w:val="single"/>
        </w:rPr>
      </w:pPr>
    </w:p>
    <w:p w14:paraId="5C5C38EF">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46EA6729">
      <w:pPr>
        <w:shd w:val="clear"/>
        <w:adjustRightInd w:val="0"/>
        <w:snapToGrid w:val="0"/>
        <w:spacing w:line="360" w:lineRule="auto"/>
        <w:rPr>
          <w:rFonts w:ascii="宋体" w:hAnsi="宋体" w:eastAsia="宋体" w:cs="宋体"/>
          <w:color w:val="auto"/>
          <w:spacing w:val="20"/>
          <w:sz w:val="24"/>
          <w:highlight w:val="none"/>
          <w:u w:val="single"/>
        </w:rPr>
      </w:pPr>
    </w:p>
    <w:p w14:paraId="5F80D767">
      <w:pPr>
        <w:shd w:val="clea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p>
    <w:p w14:paraId="1810B918">
      <w:pPr>
        <w:shd w:val="clear"/>
        <w:spacing w:line="360" w:lineRule="auto"/>
        <w:jc w:val="center"/>
        <w:rPr>
          <w:rFonts w:hint="eastAsia" w:asciiTheme="minorEastAsia" w:hAnsiTheme="minorEastAsia" w:cstheme="minorEastAsia"/>
          <w:b/>
          <w:bCs/>
          <w:color w:val="auto"/>
          <w:sz w:val="36"/>
          <w:szCs w:val="36"/>
          <w:highlight w:val="none"/>
        </w:rPr>
      </w:pPr>
    </w:p>
    <w:p w14:paraId="212C0475">
      <w:pPr>
        <w:rPr>
          <w:rFonts w:hint="eastAsia" w:asciiTheme="minorEastAsia" w:hAnsiTheme="minorEastAsia" w:cstheme="minorEastAsia"/>
          <w:b/>
          <w:bCs/>
          <w:color w:val="auto"/>
          <w:sz w:val="36"/>
          <w:szCs w:val="36"/>
          <w:highlight w:val="none"/>
        </w:rPr>
      </w:pPr>
      <w:r>
        <w:rPr>
          <w:rFonts w:hint="eastAsia" w:asciiTheme="minorEastAsia" w:hAnsiTheme="minorEastAsia" w:cstheme="minorEastAsia"/>
          <w:b/>
          <w:bCs/>
          <w:color w:val="auto"/>
          <w:sz w:val="36"/>
          <w:szCs w:val="36"/>
          <w:highlight w:val="none"/>
        </w:rPr>
        <w:br w:type="page"/>
      </w:r>
    </w:p>
    <w:p w14:paraId="703C52B0">
      <w:pPr>
        <w:shd w:val="clear"/>
        <w:spacing w:line="360" w:lineRule="auto"/>
        <w:jc w:val="center"/>
        <w:rPr>
          <w:rFonts w:asciiTheme="minorEastAsia" w:hAnsiTheme="minorEastAsia" w:cstheme="minorEastAsia"/>
          <w:b/>
          <w:bCs/>
          <w:color w:val="auto"/>
          <w:sz w:val="36"/>
          <w:szCs w:val="36"/>
          <w:highlight w:val="none"/>
        </w:rPr>
      </w:pPr>
      <w:r>
        <w:rPr>
          <w:rFonts w:hint="eastAsia" w:asciiTheme="minorEastAsia" w:hAnsiTheme="minorEastAsia" w:cstheme="minorEastAsia"/>
          <w:b/>
          <w:bCs/>
          <w:color w:val="auto"/>
          <w:sz w:val="36"/>
          <w:szCs w:val="36"/>
          <w:highlight w:val="none"/>
        </w:rPr>
        <w:t>施工合同补充协议书</w:t>
      </w:r>
    </w:p>
    <w:p w14:paraId="0A8C57CF">
      <w:pPr>
        <w:shd w:val="clear"/>
        <w:spacing w:line="360" w:lineRule="auto"/>
        <w:rPr>
          <w:rFonts w:hint="eastAsia" w:eastAsia="宋体" w:asciiTheme="minorEastAsia" w:hAnsi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甲方：</w:t>
      </w:r>
      <w:r>
        <w:rPr>
          <w:rFonts w:hint="eastAsia" w:asciiTheme="minorEastAsia" w:hAnsiTheme="minorEastAsia" w:cstheme="minorEastAsia"/>
          <w:color w:val="auto"/>
          <w:sz w:val="28"/>
          <w:szCs w:val="28"/>
          <w:highlight w:val="none"/>
          <w:lang w:eastAsia="zh-CN"/>
        </w:rPr>
        <w:t>浦北县江城街道办事处</w:t>
      </w:r>
    </w:p>
    <w:p w14:paraId="25D8CB02">
      <w:pPr>
        <w:shd w:val="clear"/>
        <w:spacing w:line="360" w:lineRule="auto"/>
        <w:rPr>
          <w:rFonts w:hint="eastAsia" w:eastAsia="宋体" w:asciiTheme="minorEastAsia" w:hAnsi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乙方</w:t>
      </w:r>
      <w:r>
        <w:rPr>
          <w:rFonts w:hint="eastAsia" w:asciiTheme="minorEastAsia" w:hAnsiTheme="minorEastAsia" w:cstheme="minorEastAsia"/>
          <w:color w:val="auto"/>
          <w:sz w:val="28"/>
          <w:szCs w:val="28"/>
          <w:highlight w:val="none"/>
          <w:lang w:eastAsia="zh-CN"/>
        </w:rPr>
        <w:t>：</w:t>
      </w:r>
    </w:p>
    <w:p w14:paraId="1EE9DC7C">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根据广西壮族自治区解决企业拖欠工资问题联席会议关于印发《广西壮族自治区工程建设领域工人工资支付专用账户管理办法》的通知（桂薪联发〔2016〕1号）的规定，经甲乙双方共同协商，达成如下补充协议：</w:t>
      </w:r>
    </w:p>
    <w:p w14:paraId="58B2FC2D">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1、乙方必须按规定到国有专业银行开设工人工资支付专用账户。</w:t>
      </w:r>
    </w:p>
    <w:p w14:paraId="5CD57587">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2、双方约定该项目工资占工程款的比例是30%。</w:t>
      </w:r>
    </w:p>
    <w:p w14:paraId="7842D148">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3、乙方</w:t>
      </w:r>
      <w:r>
        <w:rPr>
          <w:rFonts w:hint="eastAsia" w:ascii="宋体" w:hAnsi="宋体" w:eastAsia="宋体" w:cs="宋体"/>
          <w:color w:val="auto"/>
          <w:sz w:val="28"/>
          <w:szCs w:val="28"/>
          <w:highlight w:val="none"/>
        </w:rPr>
        <w:t>按规程办理工程进度款手续后，向甲方申请工程进度款时，甲方按约定工资比例将工程款部分划入乙方提供的工人工资支付专用账户（账户名称：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农民工工资支付专用账户</w:t>
      </w: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账号：</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）用于支付工人工资，余款划入乙方提供的账户（账户名称：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开户银行：账号：</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）用</w:t>
      </w:r>
      <w:r>
        <w:rPr>
          <w:rFonts w:hint="eastAsia" w:asciiTheme="minorEastAsia" w:hAnsiTheme="minorEastAsia" w:cstheme="minorEastAsia"/>
          <w:color w:val="auto"/>
          <w:sz w:val="28"/>
          <w:szCs w:val="28"/>
          <w:highlight w:val="none"/>
        </w:rPr>
        <w:t>于该工程的建设费用。</w:t>
      </w:r>
    </w:p>
    <w:p w14:paraId="2BA8C2E2">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4、乙方没提交工人工资支付专用账户的，甲方有权不拨付工程进度款。</w:t>
      </w:r>
    </w:p>
    <w:p w14:paraId="7D4F2C65">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本合同一式</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t>捌份，甲乙双方各执肆份，并与原合同共同执行。</w:t>
      </w:r>
    </w:p>
    <w:p w14:paraId="67A0EEA5">
      <w:pPr>
        <w:shd w:val="clear"/>
        <w:spacing w:line="360" w:lineRule="auto"/>
        <w:rPr>
          <w:rFonts w:asciiTheme="minorEastAsia" w:hAnsiTheme="minorEastAsia" w:cstheme="minorEastAsia"/>
          <w:color w:val="auto"/>
          <w:sz w:val="28"/>
          <w:szCs w:val="28"/>
          <w:highlight w:val="none"/>
        </w:rPr>
      </w:pPr>
    </w:p>
    <w:p w14:paraId="1389C948">
      <w:pPr>
        <w:shd w:val="clear"/>
        <w:spacing w:line="360"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甲方：                            乙方：</w:t>
      </w:r>
    </w:p>
    <w:p w14:paraId="5805BEB5">
      <w:pPr>
        <w:shd w:val="clear"/>
        <w:spacing w:line="360"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代表签名：                        代表签名：</w:t>
      </w:r>
    </w:p>
    <w:p w14:paraId="123091F5">
      <w:pPr>
        <w:spacing w:line="360" w:lineRule="auto"/>
        <w:rPr>
          <w:rFonts w:hint="eastAsia" w:ascii="宋体" w:hAnsi="宋体"/>
          <w:color w:val="auto"/>
          <w:szCs w:val="21"/>
          <w:highlight w:val="none"/>
        </w:rPr>
      </w:pPr>
      <w:r>
        <w:rPr>
          <w:rFonts w:hint="eastAsia" w:asciiTheme="minorEastAsia" w:hAnsiTheme="minorEastAsia" w:cstheme="minorEastAsia"/>
          <w:color w:val="auto"/>
          <w:sz w:val="28"/>
          <w:szCs w:val="28"/>
          <w:highlight w:val="none"/>
        </w:rPr>
        <w:t>签订日期：                        签订日期：</w:t>
      </w:r>
    </w:p>
    <w:p w14:paraId="5113F741">
      <w:pPr>
        <w:spacing w:before="156" w:beforeLines="50" w:after="156" w:afterLines="50" w:line="440" w:lineRule="exact"/>
        <w:jc w:val="left"/>
        <w:rPr>
          <w:color w:val="auto"/>
          <w:highlight w:val="none"/>
        </w:rPr>
      </w:pPr>
    </w:p>
    <w:p w14:paraId="1F351252">
      <w:pPr>
        <w:pStyle w:val="10"/>
        <w:rPr>
          <w:color w:val="auto"/>
          <w:sz w:val="21"/>
          <w:szCs w:val="21"/>
          <w:highlight w:val="none"/>
        </w:rPr>
      </w:pPr>
    </w:p>
    <w:sectPr>
      <w:headerReference r:id="rId6" w:type="default"/>
      <w:footerReference r:id="rId7" w:type="default"/>
      <w:pgSz w:w="11906" w:h="16838"/>
      <w:pgMar w:top="1440" w:right="1080" w:bottom="1440" w:left="1080" w:header="567" w:footer="567" w:gutter="567"/>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3A7F79-0CF2-40CE-A4AC-F671DAD543E1}"/>
  </w:font>
  <w:font w:name="Arial">
    <w:panose1 w:val="020B0604020202020204"/>
    <w:charset w:val="01"/>
    <w:family w:val="swiss"/>
    <w:pitch w:val="default"/>
    <w:sig w:usb0="E0002EFF" w:usb1="C000785B" w:usb2="00000009" w:usb3="00000000" w:csb0="400001FF" w:csb1="FFFF0000"/>
    <w:embedRegular r:id="rId2" w:fontKey="{34CC4570-8D02-400B-A56D-DE882D7188F5}"/>
  </w:font>
  <w:font w:name="黑体">
    <w:panose1 w:val="02010609060101010101"/>
    <w:charset w:val="86"/>
    <w:family w:val="auto"/>
    <w:pitch w:val="default"/>
    <w:sig w:usb0="800002BF" w:usb1="38CF7CFA" w:usb2="00000016" w:usb3="00000000" w:csb0="00040001" w:csb1="00000000"/>
    <w:embedRegular r:id="rId3" w:fontKey="{A07CBAFC-64B9-4A13-8975-CAEAD5275C71}"/>
  </w:font>
  <w:font w:name="Courier New">
    <w:panose1 w:val="02070309020205020404"/>
    <w:charset w:val="01"/>
    <w:family w:val="modern"/>
    <w:pitch w:val="default"/>
    <w:sig w:usb0="E0002EFF" w:usb1="C0007843" w:usb2="00000009" w:usb3="00000000" w:csb0="400001FF" w:csb1="FFFF0000"/>
    <w:embedRegular r:id="rId4" w:fontKey="{DF1EE142-08B2-4A81-831D-1CE9340C201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5" w:fontKey="{6A2AB99A-710C-4D57-B6C4-6CA74E9BCC09}"/>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embedRegular r:id="rId6" w:fontKey="{C7199104-26E9-4321-9868-77CD9573C50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panose1 w:val="02010600000101010101"/>
    <w:charset w:val="86"/>
    <w:family w:val="modern"/>
    <w:pitch w:val="default"/>
    <w:sig w:usb0="800002BF" w:usb1="184F6CF8" w:usb2="00000012" w:usb3="00000000" w:csb0="00020001" w:csb1="00000000"/>
  </w:font>
  <w:font w:name="汉仪字典宋简">
    <w:altName w:val="宋体"/>
    <w:panose1 w:val="02010609000101010101"/>
    <w:charset w:val="86"/>
    <w:family w:val="modern"/>
    <w:pitch w:val="default"/>
    <w:sig w:usb0="00000000" w:usb1="00000000" w:usb2="00000012" w:usb3="00000000" w:csb0="00040000" w:csb1="00000000"/>
  </w:font>
  <w:font w:name="Helvetica">
    <w:altName w:val="Arial"/>
    <w:panose1 w:val="020B0504020202030204"/>
    <w:charset w:val="00"/>
    <w:family w:val="swiss"/>
    <w:pitch w:val="default"/>
    <w:sig w:usb0="00000000" w:usb1="00000000" w:usb2="00000000" w:usb3="00000000" w:csb0="00000093" w:csb1="00000000"/>
    <w:embedRegular r:id="rId7" w:fontKey="{A35B609C-246D-4BCA-B1DC-9B4FA2035777}"/>
  </w:font>
  <w:font w:name="Tahoma">
    <w:panose1 w:val="020B0604030504040204"/>
    <w:charset w:val="00"/>
    <w:family w:val="auto"/>
    <w:pitch w:val="default"/>
    <w:sig w:usb0="E1002EFF" w:usb1="C000605B" w:usb2="00000029" w:usb3="00000000" w:csb0="200101FF" w:csb1="20280000"/>
    <w:embedRegular r:id="rId8" w:fontKey="{35281124-BA1B-4162-BC2B-63128A26A9EE}"/>
  </w:font>
  <w:font w:name="方正小标宋简体">
    <w:panose1 w:val="02000000000000000000"/>
    <w:charset w:val="86"/>
    <w:family w:val="auto"/>
    <w:pitch w:val="default"/>
    <w:sig w:usb0="00000001" w:usb1="08000000" w:usb2="00000000" w:usb3="00000000" w:csb0="00040000" w:csb1="00000000"/>
    <w:embedRegular r:id="rId9" w:fontKey="{512BC00D-0A7F-4C93-810F-0DE4C905B1AD}"/>
  </w:font>
  <w:font w:name="Arial Unicode MS">
    <w:panose1 w:val="020B0604020202020204"/>
    <w:charset w:val="86"/>
    <w:family w:val="swiss"/>
    <w:pitch w:val="default"/>
    <w:sig w:usb0="FFFFFFFF" w:usb1="E9FFFFFF" w:usb2="0000003F" w:usb3="00000000" w:csb0="603F01FF" w:csb1="FFFF0000"/>
    <w:embedRegular r:id="rId10" w:fontKey="{F74D5C5A-EAA8-4632-B07F-757FB6B648FC}"/>
  </w:font>
  <w:font w:name="微软雅黑">
    <w:panose1 w:val="020B0503020204020204"/>
    <w:charset w:val="86"/>
    <w:family w:val="auto"/>
    <w:pitch w:val="default"/>
    <w:sig w:usb0="80000287" w:usb1="2ACF3C50" w:usb2="00000016" w:usb3="00000000" w:csb0="0004001F" w:csb1="00000000"/>
    <w:embedRegular r:id="rId11" w:fontKey="{6FFEC551-BEBF-4A88-844B-062EA8CA0D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A43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794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9D794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6A1B">
    <w:r>
      <w:rPr>
        <w:sz w:val="21"/>
      </w:rPr>
      <mc:AlternateContent>
        <mc:Choice Requires="wps">
          <w:drawing>
            <wp:anchor distT="0" distB="0" distL="114300" distR="114300" simplePos="0" relativeHeight="251660288" behindDoc="0" locked="0" layoutInCell="1" allowOverlap="1">
              <wp:simplePos x="0" y="0"/>
              <wp:positionH relativeFrom="margin">
                <wp:posOffset>2853690</wp:posOffset>
              </wp:positionH>
              <wp:positionV relativeFrom="paragraph">
                <wp:posOffset>0</wp:posOffset>
              </wp:positionV>
              <wp:extent cx="217170" cy="1797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7170" cy="179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3B64B">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4.7pt;margin-top:0pt;height:14.15pt;width:17.1pt;mso-position-horizontal-relative:margin;z-index:251660288;mso-width-relative:page;mso-height-relative:page;" filled="f" stroked="f" coordsize="21600,21600" o:gfxdata="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j2M1wAAAAcBAAAPAAAAAAAAAAEAIAAAACIAAABkcnMvZG93bnJl&#10;di54bWxQSwECFAAUAAAACACHTuJAUYQ0djcCAABhBAAADgAAAAAAAAABACAAAAAmAQAAZHJzL2Uy&#10;b0RvYy54bWxQSwUGAAAAAAYABgBZAQAAzwUAAAAA&#10;">
              <v:fill on="f" focussize="0,0"/>
              <v:stroke on="f" weight="0.5pt"/>
              <v:imagedata o:title=""/>
              <o:lock v:ext="edit" aspectratio="f"/>
              <v:textbox inset="0mm,0mm,0mm,0mm">
                <w:txbxContent>
                  <w:p w14:paraId="7EB3B64B">
                    <w:pPr>
                      <w:pStyle w:val="1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6247">
    <w:pPr>
      <w:pStyle w:val="19"/>
      <w:jc w:val="right"/>
      <w:rPr>
        <w:rFonts w:hint="eastAsia" w:eastAsia="宋体"/>
        <w:lang w:eastAsia="zh-CN"/>
      </w:rPr>
    </w:pPr>
    <w:r>
      <w:rPr>
        <w:rFonts w:hint="eastAsia"/>
        <w:lang w:eastAsia="zh-CN"/>
      </w:rPr>
      <w:t>世彪药业北向地块土方平整（</w:t>
    </w:r>
    <w:r>
      <w:rPr>
        <w:rFonts w:hint="eastAsia"/>
        <w:color w:val="FF0000"/>
        <w:lang w:eastAsia="zh-CN"/>
      </w:rPr>
      <w:t>QZZC2026-C2-220025-GXZB）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56A9F">
    <w:pPr>
      <w:pStyle w:val="19"/>
      <w:pBdr>
        <w:bottom w:val="single" w:color="auto" w:sz="4" w:space="0"/>
      </w:pBdr>
      <w:jc w:val="right"/>
      <w:rPr>
        <w:color w:val="auto"/>
      </w:rPr>
    </w:pPr>
    <w:r>
      <w:rPr>
        <w:rFonts w:hint="eastAsia"/>
        <w:lang w:eastAsia="zh-CN"/>
      </w:rPr>
      <w:t>世彪药业北向地块土方平</w:t>
    </w:r>
    <w:r>
      <w:rPr>
        <w:rFonts w:hint="eastAsia"/>
        <w:color w:val="auto"/>
        <w:lang w:eastAsia="zh-CN"/>
      </w:rPr>
      <w:t>整（QZZC2026-C2-220025-GXZB）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8DB3">
    <w:pPr>
      <w:pBdr>
        <w:bottom w:val="single" w:color="auto" w:sz="4" w:space="0"/>
      </w:pBdr>
      <w:spacing w:line="400" w:lineRule="exact"/>
      <w:jc w:val="right"/>
      <w:rPr>
        <w:rFonts w:hint="eastAsia" w:eastAsia="宋体"/>
        <w:lang w:eastAsia="zh-CN"/>
      </w:rPr>
    </w:pPr>
    <w:r>
      <w:rPr>
        <w:rFonts w:hint="eastAsia"/>
        <w:lang w:val="en-US" w:eastAsia="zh-CN"/>
      </w:rPr>
      <w:t>世彪药业北向地块土</w:t>
    </w:r>
    <w:r>
      <w:rPr>
        <w:rFonts w:hint="eastAsia"/>
        <w:color w:val="auto"/>
        <w:lang w:val="en-US" w:eastAsia="zh-CN"/>
      </w:rPr>
      <w:t>方平整（</w:t>
    </w:r>
    <w:r>
      <w:rPr>
        <w:rFonts w:hint="eastAsia"/>
        <w:color w:val="auto"/>
        <w:lang w:eastAsia="zh-CN"/>
      </w:rPr>
      <w:t>QZZC2026-C2-220025-GXZB）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D57BD"/>
    <w:multiLevelType w:val="singleLevel"/>
    <w:tmpl w:val="80AD57BD"/>
    <w:lvl w:ilvl="0" w:tentative="0">
      <w:start w:val="3"/>
      <w:numFmt w:val="decimal"/>
      <w:suff w:val="nothing"/>
      <w:lvlText w:val="%1、"/>
      <w:lvlJc w:val="left"/>
    </w:lvl>
  </w:abstractNum>
  <w:abstractNum w:abstractNumId="1">
    <w:nsid w:val="872EA84D"/>
    <w:multiLevelType w:val="singleLevel"/>
    <w:tmpl w:val="872EA84D"/>
    <w:lvl w:ilvl="0" w:tentative="0">
      <w:start w:val="6"/>
      <w:numFmt w:val="chineseCounting"/>
      <w:suff w:val="space"/>
      <w:lvlText w:val="第%1章"/>
      <w:lvlJc w:val="left"/>
      <w:rPr>
        <w:rFonts w:hint="eastAsia"/>
      </w:rPr>
    </w:lvl>
  </w:abstractNum>
  <w:abstractNum w:abstractNumId="2">
    <w:nsid w:val="8EBFE40C"/>
    <w:multiLevelType w:val="singleLevel"/>
    <w:tmpl w:val="8EBFE40C"/>
    <w:lvl w:ilvl="0" w:tentative="0">
      <w:start w:val="1"/>
      <w:numFmt w:val="decimal"/>
      <w:suff w:val="nothing"/>
      <w:lvlText w:val="（%1）"/>
      <w:lvlJc w:val="left"/>
    </w:lvl>
  </w:abstractNum>
  <w:abstractNum w:abstractNumId="3">
    <w:nsid w:val="A052171C"/>
    <w:multiLevelType w:val="singleLevel"/>
    <w:tmpl w:val="A052171C"/>
    <w:lvl w:ilvl="0" w:tentative="0">
      <w:start w:val="28"/>
      <w:numFmt w:val="decimal"/>
      <w:suff w:val="nothing"/>
      <w:lvlText w:val="%1、"/>
      <w:lvlJc w:val="left"/>
    </w:lvl>
  </w:abstractNum>
  <w:abstractNum w:abstractNumId="4">
    <w:nsid w:val="A8BB11CC"/>
    <w:multiLevelType w:val="singleLevel"/>
    <w:tmpl w:val="A8BB11CC"/>
    <w:lvl w:ilvl="0" w:tentative="0">
      <w:start w:val="5"/>
      <w:numFmt w:val="decimal"/>
      <w:suff w:val="nothing"/>
      <w:lvlText w:val="%1、"/>
      <w:lvlJc w:val="left"/>
    </w:lvl>
  </w:abstractNum>
  <w:abstractNum w:abstractNumId="5">
    <w:nsid w:val="CD797C19"/>
    <w:multiLevelType w:val="singleLevel"/>
    <w:tmpl w:val="CD797C19"/>
    <w:lvl w:ilvl="0" w:tentative="0">
      <w:start w:val="2"/>
      <w:numFmt w:val="chineseCounting"/>
      <w:suff w:val="nothing"/>
      <w:lvlText w:val="%1、"/>
      <w:lvlJc w:val="left"/>
      <w:rPr>
        <w:rFonts w:hint="eastAsia"/>
      </w:rPr>
    </w:lvl>
  </w:abstractNum>
  <w:abstractNum w:abstractNumId="6">
    <w:nsid w:val="D0A1F2BB"/>
    <w:multiLevelType w:val="singleLevel"/>
    <w:tmpl w:val="D0A1F2BB"/>
    <w:lvl w:ilvl="0" w:tentative="0">
      <w:start w:val="21"/>
      <w:numFmt w:val="decimal"/>
      <w:lvlText w:val="%1."/>
      <w:lvlJc w:val="left"/>
      <w:pPr>
        <w:tabs>
          <w:tab w:val="left" w:pos="312"/>
        </w:tabs>
      </w:pPr>
    </w:lvl>
  </w:abstractNum>
  <w:abstractNum w:abstractNumId="7">
    <w:nsid w:val="D370C4B2"/>
    <w:multiLevelType w:val="singleLevel"/>
    <w:tmpl w:val="D370C4B2"/>
    <w:lvl w:ilvl="0" w:tentative="0">
      <w:start w:val="1"/>
      <w:numFmt w:val="decimal"/>
      <w:suff w:val="nothing"/>
      <w:lvlText w:val="（%1）"/>
      <w:lvlJc w:val="left"/>
    </w:lvl>
  </w:abstractNum>
  <w:abstractNum w:abstractNumId="8">
    <w:nsid w:val="D44731D0"/>
    <w:multiLevelType w:val="singleLevel"/>
    <w:tmpl w:val="D44731D0"/>
    <w:lvl w:ilvl="0" w:tentative="0">
      <w:start w:val="17"/>
      <w:numFmt w:val="decimal"/>
      <w:suff w:val="nothing"/>
      <w:lvlText w:val="%1、"/>
      <w:lvlJc w:val="left"/>
    </w:lvl>
  </w:abstractNum>
  <w:abstractNum w:abstractNumId="9">
    <w:nsid w:val="E00284FE"/>
    <w:multiLevelType w:val="singleLevel"/>
    <w:tmpl w:val="E00284FE"/>
    <w:lvl w:ilvl="0" w:tentative="0">
      <w:start w:val="23"/>
      <w:numFmt w:val="decimal"/>
      <w:suff w:val="nothing"/>
      <w:lvlText w:val="%1、"/>
      <w:lvlJc w:val="left"/>
    </w:lvl>
  </w:abstractNum>
  <w:abstractNum w:abstractNumId="10">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11">
    <w:nsid w:val="F8BDD49A"/>
    <w:multiLevelType w:val="singleLevel"/>
    <w:tmpl w:val="F8BDD49A"/>
    <w:lvl w:ilvl="0" w:tentative="0">
      <w:start w:val="4"/>
      <w:numFmt w:val="decimal"/>
      <w:suff w:val="nothing"/>
      <w:lvlText w:val="（%1）"/>
      <w:lvlJc w:val="left"/>
    </w:lvl>
  </w:abstractNum>
  <w:abstractNum w:abstractNumId="12">
    <w:nsid w:val="00000006"/>
    <w:multiLevelType w:val="singleLevel"/>
    <w:tmpl w:val="00000006"/>
    <w:lvl w:ilvl="0" w:tentative="0">
      <w:start w:val="1"/>
      <w:numFmt w:val="decimal"/>
      <w:suff w:val="nothing"/>
      <w:lvlText w:val="（%1）"/>
      <w:lvlJc w:val="left"/>
    </w:lvl>
  </w:abstractNum>
  <w:abstractNum w:abstractNumId="13">
    <w:nsid w:val="006F8B25"/>
    <w:multiLevelType w:val="singleLevel"/>
    <w:tmpl w:val="006F8B25"/>
    <w:lvl w:ilvl="0" w:tentative="0">
      <w:start w:val="9"/>
      <w:numFmt w:val="decimal"/>
      <w:suff w:val="nothing"/>
      <w:lvlText w:val="%1、"/>
      <w:lvlJc w:val="left"/>
    </w:lvl>
  </w:abstractNum>
  <w:abstractNum w:abstractNumId="14">
    <w:nsid w:val="0A8D7890"/>
    <w:multiLevelType w:val="singleLevel"/>
    <w:tmpl w:val="0A8D7890"/>
    <w:lvl w:ilvl="0" w:tentative="0">
      <w:start w:val="1"/>
      <w:numFmt w:val="decimal"/>
      <w:lvlText w:val="%1."/>
      <w:lvlJc w:val="left"/>
      <w:pPr>
        <w:tabs>
          <w:tab w:val="left" w:pos="312"/>
        </w:tabs>
      </w:pPr>
    </w:lvl>
  </w:abstractNum>
  <w:abstractNum w:abstractNumId="15">
    <w:nsid w:val="21A205B0"/>
    <w:multiLevelType w:val="singleLevel"/>
    <w:tmpl w:val="21A205B0"/>
    <w:lvl w:ilvl="0" w:tentative="0">
      <w:start w:val="2"/>
      <w:numFmt w:val="chineseCounting"/>
      <w:suff w:val="space"/>
      <w:lvlText w:val="第%1章"/>
      <w:lvlJc w:val="left"/>
      <w:rPr>
        <w:rFonts w:hint="eastAsia"/>
      </w:rPr>
    </w:lvl>
  </w:abstractNum>
  <w:abstractNum w:abstractNumId="16">
    <w:nsid w:val="27E2D8D2"/>
    <w:multiLevelType w:val="singleLevel"/>
    <w:tmpl w:val="27E2D8D2"/>
    <w:lvl w:ilvl="0" w:tentative="0">
      <w:start w:val="1"/>
      <w:numFmt w:val="decimal"/>
      <w:suff w:val="nothing"/>
      <w:lvlText w:val="（%1）"/>
      <w:lvlJc w:val="left"/>
    </w:lvl>
  </w:abstractNum>
  <w:abstractNum w:abstractNumId="17">
    <w:nsid w:val="3B3D739F"/>
    <w:multiLevelType w:val="singleLevel"/>
    <w:tmpl w:val="3B3D739F"/>
    <w:lvl w:ilvl="0" w:tentative="0">
      <w:start w:val="1"/>
      <w:numFmt w:val="decimal"/>
      <w:suff w:val="nothing"/>
      <w:lvlText w:val="（%1）"/>
      <w:lvlJc w:val="left"/>
    </w:lvl>
  </w:abstractNum>
  <w:abstractNum w:abstractNumId="18">
    <w:nsid w:val="3C2A2CEB"/>
    <w:multiLevelType w:val="singleLevel"/>
    <w:tmpl w:val="3C2A2CEB"/>
    <w:lvl w:ilvl="0" w:tentative="0">
      <w:start w:val="32"/>
      <w:numFmt w:val="decimal"/>
      <w:suff w:val="nothing"/>
      <w:lvlText w:val="%1、"/>
      <w:lvlJc w:val="left"/>
    </w:lvl>
  </w:abstractNum>
  <w:abstractNum w:abstractNumId="19">
    <w:nsid w:val="4FC6D619"/>
    <w:multiLevelType w:val="singleLevel"/>
    <w:tmpl w:val="4FC6D619"/>
    <w:lvl w:ilvl="0" w:tentative="0">
      <w:start w:val="1"/>
      <w:numFmt w:val="chineseCounting"/>
      <w:suff w:val="nothing"/>
      <w:lvlText w:val="（%1）"/>
      <w:lvlJc w:val="left"/>
      <w:rPr>
        <w:rFonts w:hint="eastAsia"/>
      </w:rPr>
    </w:lvl>
  </w:abstractNum>
  <w:abstractNum w:abstractNumId="20">
    <w:nsid w:val="56AE54E7"/>
    <w:multiLevelType w:val="singleLevel"/>
    <w:tmpl w:val="56AE54E7"/>
    <w:lvl w:ilvl="0" w:tentative="0">
      <w:start w:val="1"/>
      <w:numFmt w:val="decimal"/>
      <w:suff w:val="nothing"/>
      <w:lvlText w:val="（%1）"/>
      <w:lvlJc w:val="left"/>
    </w:lvl>
  </w:abstractNum>
  <w:abstractNum w:abstractNumId="21">
    <w:nsid w:val="595F8F47"/>
    <w:multiLevelType w:val="singleLevel"/>
    <w:tmpl w:val="595F8F47"/>
    <w:lvl w:ilvl="0" w:tentative="0">
      <w:start w:val="9"/>
      <w:numFmt w:val="chineseCounting"/>
      <w:suff w:val="nothing"/>
      <w:lvlText w:val="%1、"/>
      <w:lvlJc w:val="left"/>
      <w:rPr>
        <w:rFonts w:hint="eastAsia"/>
      </w:rPr>
    </w:lvl>
  </w:abstractNum>
  <w:abstractNum w:abstractNumId="22">
    <w:nsid w:val="5F06B9E5"/>
    <w:multiLevelType w:val="singleLevel"/>
    <w:tmpl w:val="5F06B9E5"/>
    <w:lvl w:ilvl="0" w:tentative="0">
      <w:start w:val="13"/>
      <w:numFmt w:val="decimal"/>
      <w:suff w:val="nothing"/>
      <w:lvlText w:val="%1、"/>
      <w:lvlJc w:val="left"/>
    </w:lvl>
  </w:abstractNum>
  <w:abstractNum w:abstractNumId="23">
    <w:nsid w:val="6A53F4EB"/>
    <w:multiLevelType w:val="singleLevel"/>
    <w:tmpl w:val="6A53F4EB"/>
    <w:lvl w:ilvl="0" w:tentative="0">
      <w:start w:val="11"/>
      <w:numFmt w:val="decimal"/>
      <w:suff w:val="space"/>
      <w:lvlText w:val="%1."/>
      <w:lvlJc w:val="left"/>
    </w:lvl>
  </w:abstractNum>
  <w:abstractNum w:abstractNumId="24">
    <w:nsid w:val="6BE70856"/>
    <w:multiLevelType w:val="singleLevel"/>
    <w:tmpl w:val="6BE70856"/>
    <w:lvl w:ilvl="0" w:tentative="0">
      <w:start w:val="38"/>
      <w:numFmt w:val="decimal"/>
      <w:suff w:val="nothing"/>
      <w:lvlText w:val="%1、"/>
      <w:lvlJc w:val="left"/>
    </w:lvl>
  </w:abstractNum>
  <w:abstractNum w:abstractNumId="25">
    <w:nsid w:val="6C688773"/>
    <w:multiLevelType w:val="singleLevel"/>
    <w:tmpl w:val="6C688773"/>
    <w:lvl w:ilvl="0" w:tentative="0">
      <w:start w:val="1"/>
      <w:numFmt w:val="decimal"/>
      <w:suff w:val="nothing"/>
      <w:lvlText w:val="（%1）"/>
      <w:lvlJc w:val="left"/>
    </w:lvl>
  </w:abstractNum>
  <w:num w:numId="1">
    <w:abstractNumId w:val="15"/>
  </w:num>
  <w:num w:numId="2">
    <w:abstractNumId w:val="20"/>
  </w:num>
  <w:num w:numId="3">
    <w:abstractNumId w:val="1"/>
  </w:num>
  <w:num w:numId="4">
    <w:abstractNumId w:val="10"/>
  </w:num>
  <w:num w:numId="5">
    <w:abstractNumId w:val="12"/>
  </w:num>
  <w:num w:numId="6">
    <w:abstractNumId w:val="23"/>
  </w:num>
  <w:num w:numId="7">
    <w:abstractNumId w:val="0"/>
  </w:num>
  <w:num w:numId="8">
    <w:abstractNumId w:val="5"/>
  </w:num>
  <w:num w:numId="9">
    <w:abstractNumId w:val="2"/>
  </w:num>
  <w:num w:numId="10">
    <w:abstractNumId w:val="13"/>
  </w:num>
  <w:num w:numId="11">
    <w:abstractNumId w:val="16"/>
  </w:num>
  <w:num w:numId="12">
    <w:abstractNumId w:val="22"/>
  </w:num>
  <w:num w:numId="13">
    <w:abstractNumId w:val="8"/>
  </w:num>
  <w:num w:numId="14">
    <w:abstractNumId w:val="6"/>
  </w:num>
  <w:num w:numId="15">
    <w:abstractNumId w:val="9"/>
  </w:num>
  <w:num w:numId="16">
    <w:abstractNumId w:val="25"/>
  </w:num>
  <w:num w:numId="17">
    <w:abstractNumId w:val="17"/>
  </w:num>
  <w:num w:numId="18">
    <w:abstractNumId w:val="3"/>
  </w:num>
  <w:num w:numId="19">
    <w:abstractNumId w:val="21"/>
  </w:num>
  <w:num w:numId="20">
    <w:abstractNumId w:val="18"/>
  </w:num>
  <w:num w:numId="21">
    <w:abstractNumId w:val="11"/>
  </w:num>
  <w:num w:numId="22">
    <w:abstractNumId w:val="19"/>
  </w:num>
  <w:num w:numId="23">
    <w:abstractNumId w:val="24"/>
  </w:num>
  <w:num w:numId="24">
    <w:abstractNumId w:val="7"/>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mVhOGY5YTAzNmY2ZTc2NzU5MjIyMDk5MjQ2NGMifQ=="/>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C3BDB"/>
    <w:rsid w:val="016D676E"/>
    <w:rsid w:val="01813E16"/>
    <w:rsid w:val="0190392E"/>
    <w:rsid w:val="01A340D1"/>
    <w:rsid w:val="01D152A8"/>
    <w:rsid w:val="01D16F05"/>
    <w:rsid w:val="01D9471B"/>
    <w:rsid w:val="01E5765B"/>
    <w:rsid w:val="01E8610D"/>
    <w:rsid w:val="0217360F"/>
    <w:rsid w:val="02365E7D"/>
    <w:rsid w:val="02756169"/>
    <w:rsid w:val="027827AD"/>
    <w:rsid w:val="02806C74"/>
    <w:rsid w:val="02932757"/>
    <w:rsid w:val="02A96E36"/>
    <w:rsid w:val="02B62811"/>
    <w:rsid w:val="02C47A2B"/>
    <w:rsid w:val="02DC227F"/>
    <w:rsid w:val="02E80E6A"/>
    <w:rsid w:val="02E93C7C"/>
    <w:rsid w:val="02F76F90"/>
    <w:rsid w:val="032075CD"/>
    <w:rsid w:val="03244D3B"/>
    <w:rsid w:val="03361F3B"/>
    <w:rsid w:val="03A41F96"/>
    <w:rsid w:val="03BE5C4F"/>
    <w:rsid w:val="03C57F1D"/>
    <w:rsid w:val="03D3354B"/>
    <w:rsid w:val="043C2B7C"/>
    <w:rsid w:val="045D6149"/>
    <w:rsid w:val="04631E56"/>
    <w:rsid w:val="047553ED"/>
    <w:rsid w:val="04832496"/>
    <w:rsid w:val="048838BB"/>
    <w:rsid w:val="04924FE3"/>
    <w:rsid w:val="04A24CDA"/>
    <w:rsid w:val="04AF1326"/>
    <w:rsid w:val="04FD0E31"/>
    <w:rsid w:val="050637A5"/>
    <w:rsid w:val="054769B3"/>
    <w:rsid w:val="05480B39"/>
    <w:rsid w:val="05571F68"/>
    <w:rsid w:val="056267D5"/>
    <w:rsid w:val="05A0262C"/>
    <w:rsid w:val="05F46366"/>
    <w:rsid w:val="06021BFE"/>
    <w:rsid w:val="061631B2"/>
    <w:rsid w:val="06191E33"/>
    <w:rsid w:val="061C3D5B"/>
    <w:rsid w:val="06352C8D"/>
    <w:rsid w:val="06376F97"/>
    <w:rsid w:val="065A3ABE"/>
    <w:rsid w:val="06836237"/>
    <w:rsid w:val="06A7419D"/>
    <w:rsid w:val="06E35353"/>
    <w:rsid w:val="06E81EF3"/>
    <w:rsid w:val="07245A59"/>
    <w:rsid w:val="0745028B"/>
    <w:rsid w:val="075A22F1"/>
    <w:rsid w:val="07AD2721"/>
    <w:rsid w:val="07AF6F49"/>
    <w:rsid w:val="07BB664B"/>
    <w:rsid w:val="082006F3"/>
    <w:rsid w:val="083C3003"/>
    <w:rsid w:val="08406DEA"/>
    <w:rsid w:val="086871CD"/>
    <w:rsid w:val="086E336F"/>
    <w:rsid w:val="087B43C8"/>
    <w:rsid w:val="08B531C4"/>
    <w:rsid w:val="08B74801"/>
    <w:rsid w:val="08E06F07"/>
    <w:rsid w:val="0903492F"/>
    <w:rsid w:val="09093579"/>
    <w:rsid w:val="090A71E9"/>
    <w:rsid w:val="09137BD3"/>
    <w:rsid w:val="0916122C"/>
    <w:rsid w:val="094B34E5"/>
    <w:rsid w:val="0950282C"/>
    <w:rsid w:val="099D12AF"/>
    <w:rsid w:val="09AD5E3C"/>
    <w:rsid w:val="09B12057"/>
    <w:rsid w:val="09C735AB"/>
    <w:rsid w:val="09C86108"/>
    <w:rsid w:val="09D41DD9"/>
    <w:rsid w:val="09FB0360"/>
    <w:rsid w:val="0A312D88"/>
    <w:rsid w:val="0A443EE4"/>
    <w:rsid w:val="0A9C7D1B"/>
    <w:rsid w:val="0ADB0DD6"/>
    <w:rsid w:val="0AF95B2E"/>
    <w:rsid w:val="0AFA3F41"/>
    <w:rsid w:val="0B163B89"/>
    <w:rsid w:val="0B1A6F5A"/>
    <w:rsid w:val="0B311F83"/>
    <w:rsid w:val="0B5934C2"/>
    <w:rsid w:val="0B7023F3"/>
    <w:rsid w:val="0B9665C6"/>
    <w:rsid w:val="0BC2585F"/>
    <w:rsid w:val="0BC4602F"/>
    <w:rsid w:val="0BC50665"/>
    <w:rsid w:val="0BE0389B"/>
    <w:rsid w:val="0C03028C"/>
    <w:rsid w:val="0C2077FF"/>
    <w:rsid w:val="0C5636E2"/>
    <w:rsid w:val="0C770701"/>
    <w:rsid w:val="0C816B43"/>
    <w:rsid w:val="0CB060DE"/>
    <w:rsid w:val="0CB43D56"/>
    <w:rsid w:val="0CBA47E6"/>
    <w:rsid w:val="0CBF41E0"/>
    <w:rsid w:val="0D001946"/>
    <w:rsid w:val="0D006A41"/>
    <w:rsid w:val="0D1A6DAB"/>
    <w:rsid w:val="0D236286"/>
    <w:rsid w:val="0D4357F1"/>
    <w:rsid w:val="0D98311E"/>
    <w:rsid w:val="0DB92613"/>
    <w:rsid w:val="0DC3449B"/>
    <w:rsid w:val="0DF13383"/>
    <w:rsid w:val="0E1D31AF"/>
    <w:rsid w:val="0E2E5189"/>
    <w:rsid w:val="0E4531F0"/>
    <w:rsid w:val="0E5114F5"/>
    <w:rsid w:val="0E8A703D"/>
    <w:rsid w:val="0EB12B04"/>
    <w:rsid w:val="0EB8284C"/>
    <w:rsid w:val="0EBF4D9D"/>
    <w:rsid w:val="0F2E26DA"/>
    <w:rsid w:val="0F37609A"/>
    <w:rsid w:val="0F5E7FAF"/>
    <w:rsid w:val="0F666CCA"/>
    <w:rsid w:val="0F801C32"/>
    <w:rsid w:val="0FC73BE9"/>
    <w:rsid w:val="0FDD010F"/>
    <w:rsid w:val="0FEC00EE"/>
    <w:rsid w:val="0FEE6836"/>
    <w:rsid w:val="101A1FFE"/>
    <w:rsid w:val="10574280"/>
    <w:rsid w:val="108A2DF9"/>
    <w:rsid w:val="109218D9"/>
    <w:rsid w:val="10A1515D"/>
    <w:rsid w:val="10AB7642"/>
    <w:rsid w:val="10B637C0"/>
    <w:rsid w:val="10EB474A"/>
    <w:rsid w:val="11061428"/>
    <w:rsid w:val="11170ED8"/>
    <w:rsid w:val="11347157"/>
    <w:rsid w:val="11467149"/>
    <w:rsid w:val="114E2AEE"/>
    <w:rsid w:val="115B567E"/>
    <w:rsid w:val="11A823B3"/>
    <w:rsid w:val="11BF6701"/>
    <w:rsid w:val="11C436DA"/>
    <w:rsid w:val="11CC3E60"/>
    <w:rsid w:val="120C4DAA"/>
    <w:rsid w:val="121E0907"/>
    <w:rsid w:val="12417917"/>
    <w:rsid w:val="12423A2C"/>
    <w:rsid w:val="125C359D"/>
    <w:rsid w:val="12972A6D"/>
    <w:rsid w:val="12A03046"/>
    <w:rsid w:val="12E20F8E"/>
    <w:rsid w:val="12F16C1F"/>
    <w:rsid w:val="137F578F"/>
    <w:rsid w:val="138A5D40"/>
    <w:rsid w:val="13B33EEB"/>
    <w:rsid w:val="13BC12BF"/>
    <w:rsid w:val="13BF768D"/>
    <w:rsid w:val="13CF3AB0"/>
    <w:rsid w:val="14034BB8"/>
    <w:rsid w:val="14236617"/>
    <w:rsid w:val="14327E28"/>
    <w:rsid w:val="14405D22"/>
    <w:rsid w:val="1444201F"/>
    <w:rsid w:val="14990D44"/>
    <w:rsid w:val="14BE5716"/>
    <w:rsid w:val="14C34F24"/>
    <w:rsid w:val="14EB19FB"/>
    <w:rsid w:val="14F670A8"/>
    <w:rsid w:val="151F00E8"/>
    <w:rsid w:val="153170A0"/>
    <w:rsid w:val="153C1486"/>
    <w:rsid w:val="1574696E"/>
    <w:rsid w:val="15981142"/>
    <w:rsid w:val="15BD2C4B"/>
    <w:rsid w:val="15C15585"/>
    <w:rsid w:val="15C6474A"/>
    <w:rsid w:val="15D762E2"/>
    <w:rsid w:val="15F46539"/>
    <w:rsid w:val="15F815D5"/>
    <w:rsid w:val="16326427"/>
    <w:rsid w:val="16433642"/>
    <w:rsid w:val="16441BC9"/>
    <w:rsid w:val="164A3658"/>
    <w:rsid w:val="164E4553"/>
    <w:rsid w:val="16621C8D"/>
    <w:rsid w:val="1665243A"/>
    <w:rsid w:val="16950C3B"/>
    <w:rsid w:val="16A13E1C"/>
    <w:rsid w:val="16E77B3D"/>
    <w:rsid w:val="16F23CD8"/>
    <w:rsid w:val="16FA4E2C"/>
    <w:rsid w:val="171C17FB"/>
    <w:rsid w:val="171D46C2"/>
    <w:rsid w:val="171F74F7"/>
    <w:rsid w:val="17593127"/>
    <w:rsid w:val="17607065"/>
    <w:rsid w:val="17863661"/>
    <w:rsid w:val="17A941B6"/>
    <w:rsid w:val="180C7126"/>
    <w:rsid w:val="181C7503"/>
    <w:rsid w:val="18236833"/>
    <w:rsid w:val="18333BE2"/>
    <w:rsid w:val="18664E5B"/>
    <w:rsid w:val="18776039"/>
    <w:rsid w:val="188305B7"/>
    <w:rsid w:val="191C7213"/>
    <w:rsid w:val="19813A83"/>
    <w:rsid w:val="19845EE9"/>
    <w:rsid w:val="199D157A"/>
    <w:rsid w:val="199D5C40"/>
    <w:rsid w:val="19A940E1"/>
    <w:rsid w:val="19BA6784"/>
    <w:rsid w:val="19E80221"/>
    <w:rsid w:val="1A0D279E"/>
    <w:rsid w:val="1A397664"/>
    <w:rsid w:val="1A700B7C"/>
    <w:rsid w:val="1A9C70C5"/>
    <w:rsid w:val="1AB8269D"/>
    <w:rsid w:val="1AE41258"/>
    <w:rsid w:val="1B070751"/>
    <w:rsid w:val="1B090479"/>
    <w:rsid w:val="1B093739"/>
    <w:rsid w:val="1B093B1D"/>
    <w:rsid w:val="1B0D7ADE"/>
    <w:rsid w:val="1B305F40"/>
    <w:rsid w:val="1B356C3A"/>
    <w:rsid w:val="1B3A401D"/>
    <w:rsid w:val="1B644C78"/>
    <w:rsid w:val="1B7156B8"/>
    <w:rsid w:val="1B757C39"/>
    <w:rsid w:val="1B770817"/>
    <w:rsid w:val="1B7B7487"/>
    <w:rsid w:val="1B7E7F14"/>
    <w:rsid w:val="1BC04FD1"/>
    <w:rsid w:val="1BD27D58"/>
    <w:rsid w:val="1BE54582"/>
    <w:rsid w:val="1BF84AF8"/>
    <w:rsid w:val="1BFB09A3"/>
    <w:rsid w:val="1C164185"/>
    <w:rsid w:val="1C262354"/>
    <w:rsid w:val="1C4D58A1"/>
    <w:rsid w:val="1C75643E"/>
    <w:rsid w:val="1C93342E"/>
    <w:rsid w:val="1C986933"/>
    <w:rsid w:val="1CBD2679"/>
    <w:rsid w:val="1CC31008"/>
    <w:rsid w:val="1CCC3CBC"/>
    <w:rsid w:val="1CD566D8"/>
    <w:rsid w:val="1CD974FA"/>
    <w:rsid w:val="1CDF3B2A"/>
    <w:rsid w:val="1CE4752C"/>
    <w:rsid w:val="1CE83302"/>
    <w:rsid w:val="1D167EEA"/>
    <w:rsid w:val="1D231554"/>
    <w:rsid w:val="1D2F2D17"/>
    <w:rsid w:val="1D495FAC"/>
    <w:rsid w:val="1D4C4A30"/>
    <w:rsid w:val="1D503E27"/>
    <w:rsid w:val="1D5B6316"/>
    <w:rsid w:val="1D5D797A"/>
    <w:rsid w:val="1D8D58DE"/>
    <w:rsid w:val="1DB2375B"/>
    <w:rsid w:val="1DC05A19"/>
    <w:rsid w:val="1DE859FC"/>
    <w:rsid w:val="1DF71A39"/>
    <w:rsid w:val="1DFB4A45"/>
    <w:rsid w:val="1DFC6FA3"/>
    <w:rsid w:val="1E005F9D"/>
    <w:rsid w:val="1E096100"/>
    <w:rsid w:val="1E1D673B"/>
    <w:rsid w:val="1E231AEA"/>
    <w:rsid w:val="1E5C7AA3"/>
    <w:rsid w:val="1E6426A0"/>
    <w:rsid w:val="1E8500B7"/>
    <w:rsid w:val="1E8D2FC4"/>
    <w:rsid w:val="1ECA5910"/>
    <w:rsid w:val="1F5E1AA4"/>
    <w:rsid w:val="1F655403"/>
    <w:rsid w:val="1F807C45"/>
    <w:rsid w:val="1F86142A"/>
    <w:rsid w:val="1F8D47B9"/>
    <w:rsid w:val="1F8E2E26"/>
    <w:rsid w:val="1F9E53C0"/>
    <w:rsid w:val="1FAB4F33"/>
    <w:rsid w:val="1FE67D3D"/>
    <w:rsid w:val="1FE80522"/>
    <w:rsid w:val="1FE9475C"/>
    <w:rsid w:val="1FFC7D8E"/>
    <w:rsid w:val="20254C0F"/>
    <w:rsid w:val="204E5A2F"/>
    <w:rsid w:val="20664963"/>
    <w:rsid w:val="20A9754C"/>
    <w:rsid w:val="20AD282A"/>
    <w:rsid w:val="20BA111E"/>
    <w:rsid w:val="20C454B5"/>
    <w:rsid w:val="20FE67E9"/>
    <w:rsid w:val="211713ED"/>
    <w:rsid w:val="21241618"/>
    <w:rsid w:val="21460B4D"/>
    <w:rsid w:val="219B7DE7"/>
    <w:rsid w:val="21BA18CA"/>
    <w:rsid w:val="21C4457A"/>
    <w:rsid w:val="21EC3353"/>
    <w:rsid w:val="21F05D61"/>
    <w:rsid w:val="21F3425F"/>
    <w:rsid w:val="22001A09"/>
    <w:rsid w:val="221E50FA"/>
    <w:rsid w:val="222D1D02"/>
    <w:rsid w:val="227B4DAD"/>
    <w:rsid w:val="22B4097F"/>
    <w:rsid w:val="22B64134"/>
    <w:rsid w:val="22D15291"/>
    <w:rsid w:val="22F22FF9"/>
    <w:rsid w:val="230F42A2"/>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20219"/>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433C4E"/>
    <w:rsid w:val="27665E21"/>
    <w:rsid w:val="27736981"/>
    <w:rsid w:val="277C2603"/>
    <w:rsid w:val="278230B3"/>
    <w:rsid w:val="279961FC"/>
    <w:rsid w:val="27AE44D5"/>
    <w:rsid w:val="27D80610"/>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B26607"/>
    <w:rsid w:val="2ACE4FC6"/>
    <w:rsid w:val="2AD94755"/>
    <w:rsid w:val="2AF77367"/>
    <w:rsid w:val="2B0A326E"/>
    <w:rsid w:val="2B411857"/>
    <w:rsid w:val="2B54148E"/>
    <w:rsid w:val="2B5E61B8"/>
    <w:rsid w:val="2B7118BF"/>
    <w:rsid w:val="2B724E22"/>
    <w:rsid w:val="2B8818D0"/>
    <w:rsid w:val="2B8A1EA0"/>
    <w:rsid w:val="2BC96E4E"/>
    <w:rsid w:val="2BE13188"/>
    <w:rsid w:val="2BE713FE"/>
    <w:rsid w:val="2BFD5C7D"/>
    <w:rsid w:val="2C053476"/>
    <w:rsid w:val="2C113654"/>
    <w:rsid w:val="2C1B212D"/>
    <w:rsid w:val="2C3E2C44"/>
    <w:rsid w:val="2C44674C"/>
    <w:rsid w:val="2C920372"/>
    <w:rsid w:val="2CDD2828"/>
    <w:rsid w:val="2D1759B5"/>
    <w:rsid w:val="2D28535E"/>
    <w:rsid w:val="2D735A67"/>
    <w:rsid w:val="2DBA131A"/>
    <w:rsid w:val="2DBA5AC8"/>
    <w:rsid w:val="2DCB735A"/>
    <w:rsid w:val="2DD462C2"/>
    <w:rsid w:val="2DDD2134"/>
    <w:rsid w:val="2DDD4E5F"/>
    <w:rsid w:val="2DE60BE9"/>
    <w:rsid w:val="2E2668E4"/>
    <w:rsid w:val="2E3B5ECD"/>
    <w:rsid w:val="2E451A7C"/>
    <w:rsid w:val="2ED36202"/>
    <w:rsid w:val="2EE13B2F"/>
    <w:rsid w:val="2EE15691"/>
    <w:rsid w:val="2F1F4FB0"/>
    <w:rsid w:val="2F4A5657"/>
    <w:rsid w:val="2F9C2E37"/>
    <w:rsid w:val="2FB000FC"/>
    <w:rsid w:val="2FC93316"/>
    <w:rsid w:val="2FCC5583"/>
    <w:rsid w:val="2FD61001"/>
    <w:rsid w:val="300852DE"/>
    <w:rsid w:val="30326B07"/>
    <w:rsid w:val="30464020"/>
    <w:rsid w:val="306B512F"/>
    <w:rsid w:val="306D5C41"/>
    <w:rsid w:val="30A83EC2"/>
    <w:rsid w:val="30B80D4C"/>
    <w:rsid w:val="30BD2B5F"/>
    <w:rsid w:val="30F84E6F"/>
    <w:rsid w:val="31127E0D"/>
    <w:rsid w:val="311D02E1"/>
    <w:rsid w:val="3129025F"/>
    <w:rsid w:val="31320998"/>
    <w:rsid w:val="31453C7B"/>
    <w:rsid w:val="314D312F"/>
    <w:rsid w:val="31615C49"/>
    <w:rsid w:val="316D7D22"/>
    <w:rsid w:val="31843543"/>
    <w:rsid w:val="31857990"/>
    <w:rsid w:val="318B126D"/>
    <w:rsid w:val="31A1157A"/>
    <w:rsid w:val="31C25309"/>
    <w:rsid w:val="31D67B45"/>
    <w:rsid w:val="31DB37B8"/>
    <w:rsid w:val="31E35430"/>
    <w:rsid w:val="3210510A"/>
    <w:rsid w:val="322055D3"/>
    <w:rsid w:val="322C2A8A"/>
    <w:rsid w:val="322E1180"/>
    <w:rsid w:val="324D07E6"/>
    <w:rsid w:val="32757B61"/>
    <w:rsid w:val="32822213"/>
    <w:rsid w:val="328F2B5E"/>
    <w:rsid w:val="32981347"/>
    <w:rsid w:val="329F7A2B"/>
    <w:rsid w:val="3311647A"/>
    <w:rsid w:val="3329346A"/>
    <w:rsid w:val="33305A23"/>
    <w:rsid w:val="333659DA"/>
    <w:rsid w:val="335553C6"/>
    <w:rsid w:val="3357102E"/>
    <w:rsid w:val="33572FB0"/>
    <w:rsid w:val="33633EB8"/>
    <w:rsid w:val="336D250C"/>
    <w:rsid w:val="33B30672"/>
    <w:rsid w:val="33D579CF"/>
    <w:rsid w:val="33E836FB"/>
    <w:rsid w:val="33F205F7"/>
    <w:rsid w:val="33FF2179"/>
    <w:rsid w:val="345E13BA"/>
    <w:rsid w:val="345E3292"/>
    <w:rsid w:val="34664A0B"/>
    <w:rsid w:val="346E2D0F"/>
    <w:rsid w:val="34AE1E6A"/>
    <w:rsid w:val="350E3B42"/>
    <w:rsid w:val="35125628"/>
    <w:rsid w:val="352100FF"/>
    <w:rsid w:val="352167CF"/>
    <w:rsid w:val="3566212E"/>
    <w:rsid w:val="356B276A"/>
    <w:rsid w:val="358E654C"/>
    <w:rsid w:val="35965B9C"/>
    <w:rsid w:val="359F0A1F"/>
    <w:rsid w:val="35C43240"/>
    <w:rsid w:val="35D42CBE"/>
    <w:rsid w:val="361B3EDC"/>
    <w:rsid w:val="361F6493"/>
    <w:rsid w:val="365C025C"/>
    <w:rsid w:val="36626692"/>
    <w:rsid w:val="367242E0"/>
    <w:rsid w:val="36897340"/>
    <w:rsid w:val="36CB04C1"/>
    <w:rsid w:val="36D05609"/>
    <w:rsid w:val="36E35E9F"/>
    <w:rsid w:val="36EC24B8"/>
    <w:rsid w:val="36FF2B34"/>
    <w:rsid w:val="3712448B"/>
    <w:rsid w:val="37A34A15"/>
    <w:rsid w:val="37A52ECC"/>
    <w:rsid w:val="37C64260"/>
    <w:rsid w:val="38282D9D"/>
    <w:rsid w:val="38473444"/>
    <w:rsid w:val="38496EE5"/>
    <w:rsid w:val="385308AB"/>
    <w:rsid w:val="38854458"/>
    <w:rsid w:val="389A51EB"/>
    <w:rsid w:val="38A22B6B"/>
    <w:rsid w:val="38D563EE"/>
    <w:rsid w:val="38E2331B"/>
    <w:rsid w:val="38EA10A6"/>
    <w:rsid w:val="390441CE"/>
    <w:rsid w:val="390B5D7B"/>
    <w:rsid w:val="39166111"/>
    <w:rsid w:val="39255B75"/>
    <w:rsid w:val="395370EE"/>
    <w:rsid w:val="39545D8E"/>
    <w:rsid w:val="3985179C"/>
    <w:rsid w:val="39BF1CE5"/>
    <w:rsid w:val="39F552D0"/>
    <w:rsid w:val="3A0B1954"/>
    <w:rsid w:val="3A151FA0"/>
    <w:rsid w:val="3A235C21"/>
    <w:rsid w:val="3A2B232A"/>
    <w:rsid w:val="3A607CB7"/>
    <w:rsid w:val="3A793A8F"/>
    <w:rsid w:val="3ABF2507"/>
    <w:rsid w:val="3AC32E01"/>
    <w:rsid w:val="3AC9498B"/>
    <w:rsid w:val="3B256DAF"/>
    <w:rsid w:val="3B533D48"/>
    <w:rsid w:val="3B5A1A2F"/>
    <w:rsid w:val="3B5B5758"/>
    <w:rsid w:val="3B8D3791"/>
    <w:rsid w:val="3B921BE4"/>
    <w:rsid w:val="3BA27B10"/>
    <w:rsid w:val="3BA92E72"/>
    <w:rsid w:val="3BAA04FF"/>
    <w:rsid w:val="3BAD1686"/>
    <w:rsid w:val="3BAF6081"/>
    <w:rsid w:val="3BBD016F"/>
    <w:rsid w:val="3BE0479C"/>
    <w:rsid w:val="3BEE3761"/>
    <w:rsid w:val="3C0E5061"/>
    <w:rsid w:val="3C1F49BF"/>
    <w:rsid w:val="3C9A335A"/>
    <w:rsid w:val="3CBB635D"/>
    <w:rsid w:val="3CC05722"/>
    <w:rsid w:val="3CDC396E"/>
    <w:rsid w:val="3CF248ED"/>
    <w:rsid w:val="3D0D4A0D"/>
    <w:rsid w:val="3D312940"/>
    <w:rsid w:val="3D681D5A"/>
    <w:rsid w:val="3D6A1C0B"/>
    <w:rsid w:val="3D8D6ED1"/>
    <w:rsid w:val="3D8F3E21"/>
    <w:rsid w:val="3DC31ADA"/>
    <w:rsid w:val="3DFD7731"/>
    <w:rsid w:val="3E0C733A"/>
    <w:rsid w:val="3E4D1CC5"/>
    <w:rsid w:val="3E874902"/>
    <w:rsid w:val="3E921361"/>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E6347C"/>
    <w:rsid w:val="402F6781"/>
    <w:rsid w:val="40394958"/>
    <w:rsid w:val="403A1C8F"/>
    <w:rsid w:val="404D5299"/>
    <w:rsid w:val="404E76D3"/>
    <w:rsid w:val="408560B2"/>
    <w:rsid w:val="408F3C3B"/>
    <w:rsid w:val="40AD0BEA"/>
    <w:rsid w:val="40B45FA1"/>
    <w:rsid w:val="40C50789"/>
    <w:rsid w:val="40E2404A"/>
    <w:rsid w:val="40E65973"/>
    <w:rsid w:val="40FA0619"/>
    <w:rsid w:val="41141D46"/>
    <w:rsid w:val="41262582"/>
    <w:rsid w:val="41277321"/>
    <w:rsid w:val="415C5513"/>
    <w:rsid w:val="41661CEC"/>
    <w:rsid w:val="417304D2"/>
    <w:rsid w:val="41B67760"/>
    <w:rsid w:val="4200486D"/>
    <w:rsid w:val="42084854"/>
    <w:rsid w:val="420A4AA8"/>
    <w:rsid w:val="423C231C"/>
    <w:rsid w:val="424E5D3B"/>
    <w:rsid w:val="42894103"/>
    <w:rsid w:val="42DA35EB"/>
    <w:rsid w:val="42DC1373"/>
    <w:rsid w:val="42EB5F3F"/>
    <w:rsid w:val="433B4FAD"/>
    <w:rsid w:val="43494E83"/>
    <w:rsid w:val="434A1ED7"/>
    <w:rsid w:val="434B5F61"/>
    <w:rsid w:val="439452CD"/>
    <w:rsid w:val="43987C3E"/>
    <w:rsid w:val="43DF168F"/>
    <w:rsid w:val="43F70347"/>
    <w:rsid w:val="440D2A75"/>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657B5"/>
    <w:rsid w:val="45681A93"/>
    <w:rsid w:val="459020E6"/>
    <w:rsid w:val="45EB5B41"/>
    <w:rsid w:val="45FC5122"/>
    <w:rsid w:val="4608625E"/>
    <w:rsid w:val="460E37F4"/>
    <w:rsid w:val="462E28FA"/>
    <w:rsid w:val="463D21F4"/>
    <w:rsid w:val="46E17C2E"/>
    <w:rsid w:val="46E66176"/>
    <w:rsid w:val="46F618BC"/>
    <w:rsid w:val="47172FCE"/>
    <w:rsid w:val="472D20DA"/>
    <w:rsid w:val="47322751"/>
    <w:rsid w:val="473E0204"/>
    <w:rsid w:val="473E1081"/>
    <w:rsid w:val="475075B1"/>
    <w:rsid w:val="477301BF"/>
    <w:rsid w:val="47770F2B"/>
    <w:rsid w:val="47B07FF1"/>
    <w:rsid w:val="47D9109A"/>
    <w:rsid w:val="47DF1EDE"/>
    <w:rsid w:val="47E32A44"/>
    <w:rsid w:val="48001EB1"/>
    <w:rsid w:val="485F067A"/>
    <w:rsid w:val="48A46FB5"/>
    <w:rsid w:val="48C63978"/>
    <w:rsid w:val="48D931CF"/>
    <w:rsid w:val="48DB1A95"/>
    <w:rsid w:val="49095468"/>
    <w:rsid w:val="492B4F94"/>
    <w:rsid w:val="492E6967"/>
    <w:rsid w:val="49A25D9E"/>
    <w:rsid w:val="49A96B07"/>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C073223"/>
    <w:rsid w:val="4C1A464A"/>
    <w:rsid w:val="4C274913"/>
    <w:rsid w:val="4CA14D01"/>
    <w:rsid w:val="4CAC3D23"/>
    <w:rsid w:val="4CBB0999"/>
    <w:rsid w:val="4CCF792C"/>
    <w:rsid w:val="4CED7708"/>
    <w:rsid w:val="4CFB7F38"/>
    <w:rsid w:val="4CFE7AD0"/>
    <w:rsid w:val="4D033455"/>
    <w:rsid w:val="4D10719D"/>
    <w:rsid w:val="4D2211D8"/>
    <w:rsid w:val="4D583F97"/>
    <w:rsid w:val="4DC002E1"/>
    <w:rsid w:val="4DC07059"/>
    <w:rsid w:val="4DD44A19"/>
    <w:rsid w:val="4DE75FC1"/>
    <w:rsid w:val="4E6E58E7"/>
    <w:rsid w:val="4E9F2D80"/>
    <w:rsid w:val="4EA551CE"/>
    <w:rsid w:val="4EA57992"/>
    <w:rsid w:val="4EC86811"/>
    <w:rsid w:val="4F112BD8"/>
    <w:rsid w:val="4F2359D6"/>
    <w:rsid w:val="4F27534F"/>
    <w:rsid w:val="4F3A6B04"/>
    <w:rsid w:val="4F6621C1"/>
    <w:rsid w:val="4F69181E"/>
    <w:rsid w:val="4F9A2167"/>
    <w:rsid w:val="4FD0029E"/>
    <w:rsid w:val="50596932"/>
    <w:rsid w:val="50833C49"/>
    <w:rsid w:val="50880633"/>
    <w:rsid w:val="508F5958"/>
    <w:rsid w:val="50A32944"/>
    <w:rsid w:val="50DD469C"/>
    <w:rsid w:val="50E41AF7"/>
    <w:rsid w:val="50EC3EA9"/>
    <w:rsid w:val="50ED0E10"/>
    <w:rsid w:val="512325EB"/>
    <w:rsid w:val="513B0119"/>
    <w:rsid w:val="513C7D41"/>
    <w:rsid w:val="515A0C65"/>
    <w:rsid w:val="515E27BB"/>
    <w:rsid w:val="51A45F6D"/>
    <w:rsid w:val="51B907B6"/>
    <w:rsid w:val="51DF0CDF"/>
    <w:rsid w:val="51E30B98"/>
    <w:rsid w:val="51E97071"/>
    <w:rsid w:val="51FD61FC"/>
    <w:rsid w:val="52203D61"/>
    <w:rsid w:val="52386D39"/>
    <w:rsid w:val="523C3645"/>
    <w:rsid w:val="5242431B"/>
    <w:rsid w:val="524877D4"/>
    <w:rsid w:val="524F0DF4"/>
    <w:rsid w:val="52A00B52"/>
    <w:rsid w:val="52A651A9"/>
    <w:rsid w:val="52CB4CC5"/>
    <w:rsid w:val="52D0584F"/>
    <w:rsid w:val="52E23DAC"/>
    <w:rsid w:val="52EB770C"/>
    <w:rsid w:val="52F6441F"/>
    <w:rsid w:val="52F653E4"/>
    <w:rsid w:val="5309719A"/>
    <w:rsid w:val="53140C09"/>
    <w:rsid w:val="531E1115"/>
    <w:rsid w:val="53273171"/>
    <w:rsid w:val="53311A2E"/>
    <w:rsid w:val="5366484D"/>
    <w:rsid w:val="53731EF1"/>
    <w:rsid w:val="53733493"/>
    <w:rsid w:val="53912B90"/>
    <w:rsid w:val="53AC07DC"/>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3034"/>
    <w:rsid w:val="558D4430"/>
    <w:rsid w:val="559427CA"/>
    <w:rsid w:val="55C8191C"/>
    <w:rsid w:val="55C8432B"/>
    <w:rsid w:val="55D33DE7"/>
    <w:rsid w:val="56223544"/>
    <w:rsid w:val="562B0309"/>
    <w:rsid w:val="56320F1A"/>
    <w:rsid w:val="564D41A9"/>
    <w:rsid w:val="565E4274"/>
    <w:rsid w:val="5666031A"/>
    <w:rsid w:val="566A27F8"/>
    <w:rsid w:val="56803FF0"/>
    <w:rsid w:val="568F750C"/>
    <w:rsid w:val="569014CB"/>
    <w:rsid w:val="56925ED7"/>
    <w:rsid w:val="56B55995"/>
    <w:rsid w:val="56C91168"/>
    <w:rsid w:val="56E15BAE"/>
    <w:rsid w:val="56FA0DF2"/>
    <w:rsid w:val="56FB52ED"/>
    <w:rsid w:val="56FF0F11"/>
    <w:rsid w:val="5714339A"/>
    <w:rsid w:val="5717042A"/>
    <w:rsid w:val="571A1A7B"/>
    <w:rsid w:val="572E4DA3"/>
    <w:rsid w:val="572E781C"/>
    <w:rsid w:val="575952E3"/>
    <w:rsid w:val="57842375"/>
    <w:rsid w:val="57866CAC"/>
    <w:rsid w:val="579B36BD"/>
    <w:rsid w:val="57B2220D"/>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407EA"/>
    <w:rsid w:val="590649AC"/>
    <w:rsid w:val="591B616B"/>
    <w:rsid w:val="592D1F6B"/>
    <w:rsid w:val="59304CE8"/>
    <w:rsid w:val="59370159"/>
    <w:rsid w:val="59532C2C"/>
    <w:rsid w:val="5981656F"/>
    <w:rsid w:val="59A06B52"/>
    <w:rsid w:val="59A26243"/>
    <w:rsid w:val="59C76055"/>
    <w:rsid w:val="59E75FD1"/>
    <w:rsid w:val="5A065F4B"/>
    <w:rsid w:val="5A0B1C28"/>
    <w:rsid w:val="5A2255E6"/>
    <w:rsid w:val="5A851E01"/>
    <w:rsid w:val="5A8F2EB6"/>
    <w:rsid w:val="5AA15ABA"/>
    <w:rsid w:val="5AB06C76"/>
    <w:rsid w:val="5AF63E2E"/>
    <w:rsid w:val="5B1128EC"/>
    <w:rsid w:val="5B29025F"/>
    <w:rsid w:val="5B3143F9"/>
    <w:rsid w:val="5B503CBD"/>
    <w:rsid w:val="5B656305"/>
    <w:rsid w:val="5BF21181"/>
    <w:rsid w:val="5BFA46DF"/>
    <w:rsid w:val="5BFD0432"/>
    <w:rsid w:val="5C1974E5"/>
    <w:rsid w:val="5C1C7E80"/>
    <w:rsid w:val="5C4828EE"/>
    <w:rsid w:val="5C520BC1"/>
    <w:rsid w:val="5C856CEB"/>
    <w:rsid w:val="5CA72002"/>
    <w:rsid w:val="5CBD3C20"/>
    <w:rsid w:val="5CDB3A5A"/>
    <w:rsid w:val="5CE075FF"/>
    <w:rsid w:val="5CE9518C"/>
    <w:rsid w:val="5D2166D8"/>
    <w:rsid w:val="5D272680"/>
    <w:rsid w:val="5D45468E"/>
    <w:rsid w:val="5D6B04DF"/>
    <w:rsid w:val="5D707B84"/>
    <w:rsid w:val="5D8B722E"/>
    <w:rsid w:val="5D9B1497"/>
    <w:rsid w:val="5DDC51F6"/>
    <w:rsid w:val="5DE3422A"/>
    <w:rsid w:val="5E05130E"/>
    <w:rsid w:val="5E135B29"/>
    <w:rsid w:val="5E466F37"/>
    <w:rsid w:val="5E6A0CC2"/>
    <w:rsid w:val="5E845B3F"/>
    <w:rsid w:val="5E8D1899"/>
    <w:rsid w:val="5ED063E1"/>
    <w:rsid w:val="5EE60563"/>
    <w:rsid w:val="5EF4213A"/>
    <w:rsid w:val="5EF778DD"/>
    <w:rsid w:val="5F012051"/>
    <w:rsid w:val="5F150F5D"/>
    <w:rsid w:val="5F151A68"/>
    <w:rsid w:val="5F1E594E"/>
    <w:rsid w:val="5F2306D2"/>
    <w:rsid w:val="5F364291"/>
    <w:rsid w:val="5F720D05"/>
    <w:rsid w:val="5FB038A7"/>
    <w:rsid w:val="5FBB2542"/>
    <w:rsid w:val="5FFB489D"/>
    <w:rsid w:val="6014637F"/>
    <w:rsid w:val="60304923"/>
    <w:rsid w:val="60340051"/>
    <w:rsid w:val="60350C06"/>
    <w:rsid w:val="603B74D8"/>
    <w:rsid w:val="60687CAA"/>
    <w:rsid w:val="6074197E"/>
    <w:rsid w:val="607D5554"/>
    <w:rsid w:val="60A7279D"/>
    <w:rsid w:val="60C625CB"/>
    <w:rsid w:val="60C71D15"/>
    <w:rsid w:val="61036CD9"/>
    <w:rsid w:val="61097F16"/>
    <w:rsid w:val="612451AE"/>
    <w:rsid w:val="613E3C59"/>
    <w:rsid w:val="61717233"/>
    <w:rsid w:val="61734481"/>
    <w:rsid w:val="61842912"/>
    <w:rsid w:val="619513BF"/>
    <w:rsid w:val="61A55E2E"/>
    <w:rsid w:val="61B90EE2"/>
    <w:rsid w:val="61C34C9F"/>
    <w:rsid w:val="61CB70B1"/>
    <w:rsid w:val="61CF1FDD"/>
    <w:rsid w:val="61FA205F"/>
    <w:rsid w:val="620D15FF"/>
    <w:rsid w:val="624F2F20"/>
    <w:rsid w:val="626C2C39"/>
    <w:rsid w:val="627A61C5"/>
    <w:rsid w:val="62841CE0"/>
    <w:rsid w:val="62B524F7"/>
    <w:rsid w:val="62E513AE"/>
    <w:rsid w:val="62EF4D57"/>
    <w:rsid w:val="62F1602A"/>
    <w:rsid w:val="6300559F"/>
    <w:rsid w:val="63203A10"/>
    <w:rsid w:val="6321699F"/>
    <w:rsid w:val="63360CF0"/>
    <w:rsid w:val="63554E4D"/>
    <w:rsid w:val="63652DBD"/>
    <w:rsid w:val="63687E84"/>
    <w:rsid w:val="637257E9"/>
    <w:rsid w:val="63951967"/>
    <w:rsid w:val="63B50F8C"/>
    <w:rsid w:val="63D22FCA"/>
    <w:rsid w:val="640E61DB"/>
    <w:rsid w:val="641206A9"/>
    <w:rsid w:val="64545838"/>
    <w:rsid w:val="645F02B5"/>
    <w:rsid w:val="64681B01"/>
    <w:rsid w:val="64867FEE"/>
    <w:rsid w:val="649007B3"/>
    <w:rsid w:val="64AE06FA"/>
    <w:rsid w:val="64D401A5"/>
    <w:rsid w:val="65024685"/>
    <w:rsid w:val="652A7FEB"/>
    <w:rsid w:val="652B00E3"/>
    <w:rsid w:val="65535A5A"/>
    <w:rsid w:val="65837C89"/>
    <w:rsid w:val="659D0DEE"/>
    <w:rsid w:val="65A6262A"/>
    <w:rsid w:val="65D219C2"/>
    <w:rsid w:val="65D21E1C"/>
    <w:rsid w:val="65DA54B3"/>
    <w:rsid w:val="65FB4D18"/>
    <w:rsid w:val="660A7073"/>
    <w:rsid w:val="660E3C9E"/>
    <w:rsid w:val="66164CE6"/>
    <w:rsid w:val="66425F55"/>
    <w:rsid w:val="664E5D65"/>
    <w:rsid w:val="665C5C0C"/>
    <w:rsid w:val="665E4AEB"/>
    <w:rsid w:val="66BF254A"/>
    <w:rsid w:val="66EE49DE"/>
    <w:rsid w:val="671E08A8"/>
    <w:rsid w:val="676F09D5"/>
    <w:rsid w:val="67790849"/>
    <w:rsid w:val="67AA7DCF"/>
    <w:rsid w:val="67B34464"/>
    <w:rsid w:val="67BD22B9"/>
    <w:rsid w:val="67FE1162"/>
    <w:rsid w:val="681B0E12"/>
    <w:rsid w:val="688F28E2"/>
    <w:rsid w:val="68A11DD7"/>
    <w:rsid w:val="68A51FB8"/>
    <w:rsid w:val="68DB53E7"/>
    <w:rsid w:val="68EA3016"/>
    <w:rsid w:val="68EB7ABC"/>
    <w:rsid w:val="69062705"/>
    <w:rsid w:val="691B0B6B"/>
    <w:rsid w:val="69782CD3"/>
    <w:rsid w:val="697F5EFC"/>
    <w:rsid w:val="698A7439"/>
    <w:rsid w:val="69936875"/>
    <w:rsid w:val="69964E32"/>
    <w:rsid w:val="69AE114D"/>
    <w:rsid w:val="69DC7E67"/>
    <w:rsid w:val="69E80350"/>
    <w:rsid w:val="69EF047B"/>
    <w:rsid w:val="6A1D56B2"/>
    <w:rsid w:val="6A2B6FC3"/>
    <w:rsid w:val="6A3A339B"/>
    <w:rsid w:val="6A3A5E65"/>
    <w:rsid w:val="6A6F1C4C"/>
    <w:rsid w:val="6A7202DC"/>
    <w:rsid w:val="6AA74E35"/>
    <w:rsid w:val="6AC6225B"/>
    <w:rsid w:val="6B505BBB"/>
    <w:rsid w:val="6B6333A7"/>
    <w:rsid w:val="6B850F4F"/>
    <w:rsid w:val="6BCA5C39"/>
    <w:rsid w:val="6BE27CF9"/>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5502AA"/>
    <w:rsid w:val="6DA31776"/>
    <w:rsid w:val="6DA45FD5"/>
    <w:rsid w:val="6DA65016"/>
    <w:rsid w:val="6DCB15BA"/>
    <w:rsid w:val="6DEF5697"/>
    <w:rsid w:val="6E290AC9"/>
    <w:rsid w:val="6E2E4332"/>
    <w:rsid w:val="6E366026"/>
    <w:rsid w:val="6E3C157B"/>
    <w:rsid w:val="6E4628B1"/>
    <w:rsid w:val="6E6903A5"/>
    <w:rsid w:val="6E9905B2"/>
    <w:rsid w:val="6EB87125"/>
    <w:rsid w:val="6EBB6069"/>
    <w:rsid w:val="6EBB7EF6"/>
    <w:rsid w:val="6EC11D71"/>
    <w:rsid w:val="6EC647CC"/>
    <w:rsid w:val="6EEB4982"/>
    <w:rsid w:val="6F1222C5"/>
    <w:rsid w:val="6F161214"/>
    <w:rsid w:val="6F317DD0"/>
    <w:rsid w:val="6F322D6E"/>
    <w:rsid w:val="6F3A0D2D"/>
    <w:rsid w:val="6F710F7D"/>
    <w:rsid w:val="6F757BA3"/>
    <w:rsid w:val="6F794E16"/>
    <w:rsid w:val="6F8E0F7C"/>
    <w:rsid w:val="6FAF019B"/>
    <w:rsid w:val="6FB202FC"/>
    <w:rsid w:val="6FBA5851"/>
    <w:rsid w:val="6FD431BC"/>
    <w:rsid w:val="6FD64D8A"/>
    <w:rsid w:val="709649ED"/>
    <w:rsid w:val="70A84AD3"/>
    <w:rsid w:val="70AE3508"/>
    <w:rsid w:val="70B351A6"/>
    <w:rsid w:val="70BF773C"/>
    <w:rsid w:val="70C41831"/>
    <w:rsid w:val="70CF7DE8"/>
    <w:rsid w:val="70E94F37"/>
    <w:rsid w:val="7117334E"/>
    <w:rsid w:val="711F7F62"/>
    <w:rsid w:val="712719C8"/>
    <w:rsid w:val="71336359"/>
    <w:rsid w:val="71492755"/>
    <w:rsid w:val="714B63FF"/>
    <w:rsid w:val="717A4EBB"/>
    <w:rsid w:val="71A121E2"/>
    <w:rsid w:val="71AA47BF"/>
    <w:rsid w:val="71CD5454"/>
    <w:rsid w:val="71D40D4C"/>
    <w:rsid w:val="71D5629F"/>
    <w:rsid w:val="71E52F59"/>
    <w:rsid w:val="71EB57C6"/>
    <w:rsid w:val="71F46524"/>
    <w:rsid w:val="71FB06B4"/>
    <w:rsid w:val="720D5D43"/>
    <w:rsid w:val="72112D0B"/>
    <w:rsid w:val="72144DE3"/>
    <w:rsid w:val="72196118"/>
    <w:rsid w:val="723C3D7F"/>
    <w:rsid w:val="72736E18"/>
    <w:rsid w:val="728D1118"/>
    <w:rsid w:val="72B03A9F"/>
    <w:rsid w:val="72B25F6B"/>
    <w:rsid w:val="72B81190"/>
    <w:rsid w:val="72EF7206"/>
    <w:rsid w:val="73032A0D"/>
    <w:rsid w:val="731F3B82"/>
    <w:rsid w:val="734D21A1"/>
    <w:rsid w:val="73836ECE"/>
    <w:rsid w:val="73C67500"/>
    <w:rsid w:val="73C864B5"/>
    <w:rsid w:val="73DE7E71"/>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5EB69C4"/>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F2017E"/>
    <w:rsid w:val="77FA423A"/>
    <w:rsid w:val="78005019"/>
    <w:rsid w:val="78092CC0"/>
    <w:rsid w:val="780C2435"/>
    <w:rsid w:val="782A0B51"/>
    <w:rsid w:val="78353363"/>
    <w:rsid w:val="783A31FE"/>
    <w:rsid w:val="78486CF0"/>
    <w:rsid w:val="78534919"/>
    <w:rsid w:val="785663DA"/>
    <w:rsid w:val="78584462"/>
    <w:rsid w:val="7895462E"/>
    <w:rsid w:val="78D631FC"/>
    <w:rsid w:val="78FC2FBF"/>
    <w:rsid w:val="78FD5501"/>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94AC1"/>
    <w:rsid w:val="7AC977F9"/>
    <w:rsid w:val="7AE11572"/>
    <w:rsid w:val="7AE31524"/>
    <w:rsid w:val="7AE70BEB"/>
    <w:rsid w:val="7B057C25"/>
    <w:rsid w:val="7B4C6C66"/>
    <w:rsid w:val="7B5C332E"/>
    <w:rsid w:val="7B904C22"/>
    <w:rsid w:val="7B9E18EF"/>
    <w:rsid w:val="7BB9672E"/>
    <w:rsid w:val="7C0968F5"/>
    <w:rsid w:val="7C1235AA"/>
    <w:rsid w:val="7C160893"/>
    <w:rsid w:val="7C5622FF"/>
    <w:rsid w:val="7C571497"/>
    <w:rsid w:val="7C810893"/>
    <w:rsid w:val="7CB95588"/>
    <w:rsid w:val="7CBA56FF"/>
    <w:rsid w:val="7CE64D15"/>
    <w:rsid w:val="7CF732D1"/>
    <w:rsid w:val="7D131D7B"/>
    <w:rsid w:val="7D1E10B2"/>
    <w:rsid w:val="7D3D5EFF"/>
    <w:rsid w:val="7D435739"/>
    <w:rsid w:val="7D93221A"/>
    <w:rsid w:val="7DA977AA"/>
    <w:rsid w:val="7DAC0454"/>
    <w:rsid w:val="7DED2A89"/>
    <w:rsid w:val="7DFA3D48"/>
    <w:rsid w:val="7E980733"/>
    <w:rsid w:val="7E9B4DC3"/>
    <w:rsid w:val="7EC57197"/>
    <w:rsid w:val="7EFB4248"/>
    <w:rsid w:val="7EFD7DC7"/>
    <w:rsid w:val="7F274E2A"/>
    <w:rsid w:val="7F2C2F55"/>
    <w:rsid w:val="7F45439F"/>
    <w:rsid w:val="7F4A4D43"/>
    <w:rsid w:val="7F545830"/>
    <w:rsid w:val="7F590F20"/>
    <w:rsid w:val="7F8F3F40"/>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autoRedefine/>
    <w:qFormat/>
    <w:uiPriority w:val="0"/>
    <w:pPr>
      <w:keepNext/>
      <w:keepLines/>
      <w:spacing w:line="372" w:lineRule="auto"/>
      <w:outlineLvl w:val="4"/>
    </w:pPr>
    <w:rPr>
      <w:b/>
      <w:bCs/>
      <w:sz w:val="28"/>
      <w:szCs w:val="28"/>
    </w:rPr>
  </w:style>
  <w:style w:type="paragraph" w:styleId="7">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unhideWhenUsed/>
    <w:qFormat/>
    <w:uiPriority w:val="0"/>
    <w:pPr>
      <w:ind w:firstLine="420" w:firstLineChars="200"/>
    </w:pPr>
  </w:style>
  <w:style w:type="paragraph" w:styleId="9">
    <w:name w:val="annotation text"/>
    <w:basedOn w:val="1"/>
    <w:link w:val="53"/>
    <w:autoRedefine/>
    <w:qFormat/>
    <w:uiPriority w:val="0"/>
    <w:pPr>
      <w:jc w:val="left"/>
    </w:pPr>
  </w:style>
  <w:style w:type="paragraph" w:styleId="10">
    <w:name w:val="Body Text"/>
    <w:basedOn w:val="1"/>
    <w:autoRedefine/>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autoRedefine/>
    <w:qFormat/>
    <w:uiPriority w:val="0"/>
    <w:pPr>
      <w:ind w:firstLine="830" w:firstLineChars="352"/>
    </w:pPr>
    <w:rPr>
      <w:rFonts w:ascii="仿宋_GB2312" w:eastAsia="仿宋_GB2312"/>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Plain Text"/>
    <w:basedOn w:val="1"/>
    <w:next w:val="5"/>
    <w:autoRedefine/>
    <w:qFormat/>
    <w:uiPriority w:val="0"/>
    <w:rPr>
      <w:rFonts w:ascii="宋体" w:hAnsi="Courier New" w:cs="Courier New"/>
      <w:szCs w:val="21"/>
    </w:rPr>
  </w:style>
  <w:style w:type="paragraph" w:styleId="14">
    <w:name w:val="Date"/>
    <w:basedOn w:val="1"/>
    <w:next w:val="1"/>
    <w:autoRedefine/>
    <w:qFormat/>
    <w:uiPriority w:val="0"/>
    <w:pPr>
      <w:ind w:left="100" w:leftChars="2500"/>
    </w:pPr>
    <w:rPr>
      <w:rFonts w:ascii="宋体" w:hAnsi="Courier New"/>
      <w:bCs/>
      <w:sz w:val="24"/>
    </w:rPr>
  </w:style>
  <w:style w:type="paragraph" w:styleId="15">
    <w:name w:val="Body Text Indent 2"/>
    <w:basedOn w:val="1"/>
    <w:autoRedefine/>
    <w:qFormat/>
    <w:uiPriority w:val="0"/>
    <w:pPr>
      <w:spacing w:after="120" w:line="480" w:lineRule="auto"/>
      <w:ind w:leftChars="200"/>
    </w:pPr>
  </w:style>
  <w:style w:type="paragraph" w:styleId="16">
    <w:name w:val="Balloon Text"/>
    <w:basedOn w:val="1"/>
    <w:link w:val="55"/>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envelope return"/>
    <w:basedOn w:val="1"/>
    <w:autoRedefine/>
    <w:unhideWhenUsed/>
    <w:qFormat/>
    <w:uiPriority w:val="0"/>
    <w:pPr>
      <w:snapToGrid w:val="0"/>
    </w:pPr>
    <w:rPr>
      <w:rFonts w:ascii="Arial" w:hAnsi="Arial"/>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Body Text Indent 3"/>
    <w:basedOn w:val="1"/>
    <w:autoRedefine/>
    <w:qFormat/>
    <w:uiPriority w:val="0"/>
    <w:pPr>
      <w:spacing w:after="120"/>
      <w:ind w:left="420" w:leftChars="200"/>
    </w:pPr>
    <w:rPr>
      <w:sz w:val="16"/>
      <w:szCs w:val="16"/>
    </w:rPr>
  </w:style>
  <w:style w:type="paragraph" w:styleId="2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3">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index 1"/>
    <w:basedOn w:val="1"/>
    <w:next w:val="1"/>
    <w:autoRedefine/>
    <w:qFormat/>
    <w:uiPriority w:val="0"/>
    <w:rPr>
      <w:lang w:eastAsia="en-US"/>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54"/>
    <w:autoRedefine/>
    <w:qFormat/>
    <w:uiPriority w:val="0"/>
    <w:rPr>
      <w:b/>
      <w:bCs/>
    </w:rPr>
  </w:style>
  <w:style w:type="paragraph" w:styleId="28">
    <w:name w:val="Body Text First Indent"/>
    <w:basedOn w:val="10"/>
    <w:next w:val="1"/>
    <w:autoRedefine/>
    <w:qFormat/>
    <w:uiPriority w:val="0"/>
    <w:pPr>
      <w:ind w:firstLine="420" w:firstLineChars="100"/>
    </w:pPr>
    <w:rPr>
      <w:rFonts w:ascii="Times New Roman"/>
      <w:sz w:val="21"/>
      <w:szCs w:val="24"/>
    </w:rPr>
  </w:style>
  <w:style w:type="paragraph" w:styleId="29">
    <w:name w:val="Body Text First Indent 2"/>
    <w:basedOn w:val="11"/>
    <w:autoRedefine/>
    <w:qFormat/>
    <w:uiPriority w:val="0"/>
    <w:pPr>
      <w:spacing w:line="360" w:lineRule="auto"/>
      <w:ind w:firstLine="420" w:firstLineChars="200"/>
    </w:pPr>
    <w:rPr>
      <w:sz w:val="24"/>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0"/>
    <w:rPr>
      <w:b/>
      <w:bCs/>
    </w:rPr>
  </w:style>
  <w:style w:type="character" w:styleId="34">
    <w:name w:val="page number"/>
    <w:basedOn w:val="32"/>
    <w:autoRedefine/>
    <w:qFormat/>
    <w:uiPriority w:val="0"/>
  </w:style>
  <w:style w:type="character" w:styleId="35">
    <w:name w:val="FollowedHyperlink"/>
    <w:basedOn w:val="32"/>
    <w:autoRedefine/>
    <w:qFormat/>
    <w:uiPriority w:val="0"/>
    <w:rPr>
      <w:color w:val="800080"/>
      <w:u w:val="none"/>
    </w:rPr>
  </w:style>
  <w:style w:type="character" w:styleId="36">
    <w:name w:val="Emphasis"/>
    <w:basedOn w:val="32"/>
    <w:autoRedefine/>
    <w:qFormat/>
    <w:uiPriority w:val="0"/>
    <w:rPr>
      <w:b/>
      <w:bCs/>
    </w:rPr>
  </w:style>
  <w:style w:type="character" w:styleId="37">
    <w:name w:val="HTML Definition"/>
    <w:basedOn w:val="32"/>
    <w:autoRedefine/>
    <w:qFormat/>
    <w:uiPriority w:val="0"/>
  </w:style>
  <w:style w:type="character" w:styleId="38">
    <w:name w:val="HTML Typewriter"/>
    <w:basedOn w:val="32"/>
    <w:autoRedefine/>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unhideWhenUsed/>
    <w:qFormat/>
    <w:uiPriority w:val="99"/>
    <w:rPr>
      <w:color w:val="0000FF"/>
      <w:u w:val="single"/>
    </w:rPr>
  </w:style>
  <w:style w:type="character" w:styleId="42">
    <w:name w:val="HTML Code"/>
    <w:basedOn w:val="32"/>
    <w:autoRedefine/>
    <w:qFormat/>
    <w:uiPriority w:val="0"/>
    <w:rPr>
      <w:rFonts w:hint="default" w:ascii="monospace" w:hAnsi="monospace" w:eastAsia="monospace" w:cs="monospace"/>
      <w:sz w:val="20"/>
    </w:rPr>
  </w:style>
  <w:style w:type="character" w:styleId="43">
    <w:name w:val="annotation reference"/>
    <w:autoRedefine/>
    <w:qFormat/>
    <w:uiPriority w:val="0"/>
    <w:rPr>
      <w:sz w:val="21"/>
      <w:szCs w:val="21"/>
    </w:rPr>
  </w:style>
  <w:style w:type="character" w:styleId="44">
    <w:name w:val="HTML Cite"/>
    <w:basedOn w:val="32"/>
    <w:autoRedefine/>
    <w:qFormat/>
    <w:uiPriority w:val="0"/>
  </w:style>
  <w:style w:type="character" w:styleId="45">
    <w:name w:val="HTML Keyboard"/>
    <w:basedOn w:val="32"/>
    <w:autoRedefine/>
    <w:qFormat/>
    <w:uiPriority w:val="0"/>
    <w:rPr>
      <w:rFonts w:hint="default" w:ascii="monospace" w:hAnsi="monospace" w:eastAsia="monospace" w:cs="monospace"/>
      <w:sz w:val="20"/>
    </w:rPr>
  </w:style>
  <w:style w:type="character" w:styleId="46">
    <w:name w:val="HTML Sample"/>
    <w:basedOn w:val="32"/>
    <w:autoRedefine/>
    <w:qFormat/>
    <w:uiPriority w:val="0"/>
    <w:rPr>
      <w:rFonts w:ascii="monospace" w:hAnsi="monospace" w:eastAsia="monospace" w:cs="monospace"/>
    </w:rPr>
  </w:style>
  <w:style w:type="paragraph" w:customStyle="1" w:styleId="47">
    <w:name w:val="表格文字"/>
    <w:basedOn w:val="48"/>
    <w:autoRedefine/>
    <w:qFormat/>
    <w:uiPriority w:val="99"/>
    <w:pPr>
      <w:spacing w:before="25" w:after="25"/>
      <w:jc w:val="left"/>
    </w:pPr>
    <w:rPr>
      <w:bCs/>
      <w:spacing w:val="10"/>
      <w:kern w:val="0"/>
      <w:sz w:val="24"/>
    </w:rPr>
  </w:style>
  <w:style w:type="paragraph" w:customStyle="1" w:styleId="4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50">
    <w:name w:val="List Paragraph"/>
    <w:basedOn w:val="1"/>
    <w:autoRedefine/>
    <w:qFormat/>
    <w:uiPriority w:val="34"/>
    <w:pPr>
      <w:ind w:firstLine="420" w:firstLineChars="200"/>
    </w:pPr>
  </w:style>
  <w:style w:type="paragraph" w:customStyle="1" w:styleId="51">
    <w:name w:val="Plain Text1"/>
    <w:basedOn w:val="1"/>
    <w:autoRedefine/>
    <w:qFormat/>
    <w:uiPriority w:val="0"/>
    <w:rPr>
      <w:rFonts w:ascii="宋体" w:hAnsi="Courier New" w:cs="Courier New"/>
      <w:szCs w:val="21"/>
    </w:rPr>
  </w:style>
  <w:style w:type="paragraph" w:customStyle="1" w:styleId="52">
    <w:name w:val="Table Paragraph"/>
    <w:basedOn w:val="1"/>
    <w:autoRedefine/>
    <w:qFormat/>
    <w:uiPriority w:val="1"/>
    <w:rPr>
      <w:rFonts w:ascii="宋体" w:hAnsi="宋体" w:cs="宋体"/>
      <w:lang w:val="zh-CN" w:bidi="zh-CN"/>
    </w:rPr>
  </w:style>
  <w:style w:type="character" w:customStyle="1" w:styleId="53">
    <w:name w:val="批注文字 Char"/>
    <w:basedOn w:val="32"/>
    <w:link w:val="9"/>
    <w:autoRedefine/>
    <w:qFormat/>
    <w:uiPriority w:val="0"/>
    <w:rPr>
      <w:kern w:val="2"/>
      <w:sz w:val="21"/>
      <w:szCs w:val="24"/>
    </w:rPr>
  </w:style>
  <w:style w:type="character" w:customStyle="1" w:styleId="54">
    <w:name w:val="批注主题 Char"/>
    <w:basedOn w:val="53"/>
    <w:link w:val="27"/>
    <w:autoRedefine/>
    <w:qFormat/>
    <w:uiPriority w:val="0"/>
    <w:rPr>
      <w:b/>
      <w:bCs/>
      <w:kern w:val="2"/>
      <w:sz w:val="21"/>
      <w:szCs w:val="24"/>
    </w:rPr>
  </w:style>
  <w:style w:type="character" w:customStyle="1" w:styleId="55">
    <w:name w:val="批注框文本 Char"/>
    <w:basedOn w:val="32"/>
    <w:link w:val="16"/>
    <w:autoRedefine/>
    <w:qFormat/>
    <w:uiPriority w:val="0"/>
    <w:rPr>
      <w:kern w:val="2"/>
      <w:sz w:val="18"/>
      <w:szCs w:val="18"/>
    </w:rPr>
  </w:style>
  <w:style w:type="paragraph" w:customStyle="1" w:styleId="56">
    <w:name w:val="纯文本1"/>
    <w:basedOn w:val="1"/>
    <w:autoRedefine/>
    <w:qFormat/>
    <w:uiPriority w:val="0"/>
    <w:pPr>
      <w:suppressAutoHyphens/>
    </w:pPr>
    <w:rPr>
      <w:rFonts w:ascii="宋体" w:hAnsi="宋体" w:cs="Courier New"/>
      <w:szCs w:val="21"/>
      <w:lang w:eastAsia="ar-SA"/>
    </w:rPr>
  </w:style>
  <w:style w:type="paragraph" w:customStyle="1" w:styleId="57">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8">
    <w:name w:val="textcontents"/>
    <w:basedOn w:val="32"/>
    <w:autoRedefine/>
    <w:qFormat/>
    <w:uiPriority w:val="0"/>
  </w:style>
  <w:style w:type="paragraph" w:customStyle="1" w:styleId="59">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60">
    <w:name w:val="WPSOffice手动目录 1"/>
    <w:autoRedefine/>
    <w:qFormat/>
    <w:uiPriority w:val="0"/>
    <w:pPr>
      <w:ind w:leftChars="0"/>
    </w:pPr>
    <w:rPr>
      <w:rFonts w:ascii="Times New Roman" w:hAnsi="Times New Roman" w:eastAsia="宋体" w:cs="Times New Roman"/>
      <w:sz w:val="20"/>
      <w:szCs w:val="20"/>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正文文本_0"/>
    <w:basedOn w:val="48"/>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3">
    <w:name w:val="Normal_1"/>
    <w:autoRedefine/>
    <w:qFormat/>
    <w:uiPriority w:val="0"/>
    <w:rPr>
      <w:rFonts w:ascii="Times New Roman" w:hAnsi="Times New Roman" w:eastAsia="Times New Roman" w:cs="Times New Roman"/>
      <w:sz w:val="24"/>
      <w:szCs w:val="24"/>
    </w:rPr>
  </w:style>
  <w:style w:type="paragraph" w:customStyle="1" w:styleId="64">
    <w:name w:val="Body text|1_2"/>
    <w:basedOn w:val="4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5">
    <w:name w:val="Other|1_2"/>
    <w:basedOn w:val="4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标题 2_1"/>
    <w:basedOn w:val="48"/>
    <w:next w:val="4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7">
    <w:name w:val="标题 3_2"/>
    <w:basedOn w:val="48"/>
    <w:next w:val="48"/>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8">
    <w:name w:val="标题 2_0"/>
    <w:basedOn w:val="69"/>
    <w:next w:val="69"/>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9">
    <w:name w:val="正文_2"/>
    <w:basedOn w:val="70"/>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70">
    <w:name w:val="正文_3"/>
    <w:basedOn w:val="48"/>
    <w:autoRedefine/>
    <w:qFormat/>
    <w:uiPriority w:val="0"/>
    <w:rPr>
      <w:rFonts w:eastAsia="宋体"/>
      <w:lang w:eastAsia="zh-CN" w:bidi="ar-SA"/>
    </w:rPr>
  </w:style>
  <w:style w:type="paragraph" w:customStyle="1" w:styleId="71">
    <w:name w:val="标题 3_1"/>
    <w:basedOn w:val="69"/>
    <w:next w:val="69"/>
    <w:autoRedefine/>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72">
    <w:name w:val="Body text|1_1"/>
    <w:basedOn w:val="69"/>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3">
    <w:name w:val="Body text|2_0"/>
    <w:basedOn w:val="69"/>
    <w:autoRedefine/>
    <w:qFormat/>
    <w:uiPriority w:val="0"/>
    <w:pPr>
      <w:spacing w:after="30"/>
      <w:ind w:firstLine="420"/>
    </w:pPr>
    <w:rPr>
      <w:rFonts w:eastAsia="宋体"/>
      <w:color w:val="auto"/>
      <w:sz w:val="20"/>
      <w:szCs w:val="20"/>
      <w:lang w:bidi="ar-SA"/>
    </w:rPr>
  </w:style>
  <w:style w:type="paragraph" w:customStyle="1" w:styleId="74">
    <w:name w:val="Other|1_1"/>
    <w:basedOn w:val="69"/>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5">
    <w:name w:val="正文_2_0"/>
    <w:basedOn w:val="69"/>
    <w:autoRedefine/>
    <w:qFormat/>
    <w:uiPriority w:val="0"/>
    <w:rPr>
      <w:rFonts w:eastAsia="宋体"/>
      <w:lang w:eastAsia="zh-CN" w:bidi="ar-SA"/>
    </w:rPr>
  </w:style>
  <w:style w:type="character" w:customStyle="1" w:styleId="76">
    <w:name w:val="10"/>
    <w:autoRedefine/>
    <w:qFormat/>
    <w:uiPriority w:val="0"/>
    <w:rPr>
      <w:rFonts w:hint="default" w:ascii="Times New Roman" w:hAnsi="Times New Roman" w:eastAsia="Times New Roman" w:cs="Times New Roman"/>
      <w:lang w:eastAsia="en-US" w:bidi="en-US"/>
    </w:rPr>
  </w:style>
  <w:style w:type="paragraph" w:customStyle="1" w:styleId="77">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8">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9">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80">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标题 3_0"/>
    <w:basedOn w:val="1"/>
    <w:next w:val="69"/>
    <w:autoRedefine/>
    <w:qFormat/>
    <w:uiPriority w:val="99"/>
    <w:rPr>
      <w:szCs w:val="20"/>
    </w:rPr>
  </w:style>
  <w:style w:type="paragraph" w:customStyle="1" w:styleId="82">
    <w:name w:val="纯文本_0"/>
    <w:basedOn w:val="1"/>
    <w:autoRedefine/>
    <w:qFormat/>
    <w:uiPriority w:val="99"/>
    <w:rPr>
      <w:szCs w:val="20"/>
    </w:rPr>
  </w:style>
  <w:style w:type="paragraph" w:customStyle="1" w:styleId="83">
    <w:name w:val="Normal_0"/>
    <w:autoRedefine/>
    <w:qFormat/>
    <w:uiPriority w:val="0"/>
    <w:rPr>
      <w:rFonts w:ascii="Times New Roman" w:hAnsi="Times New Roman" w:eastAsia="Times New Roman" w:cs="Times New Roman"/>
      <w:sz w:val="24"/>
      <w:szCs w:val="24"/>
    </w:rPr>
  </w:style>
  <w:style w:type="paragraph" w:customStyle="1" w:styleId="84">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5">
    <w:name w:val="hover"/>
    <w:basedOn w:val="32"/>
    <w:autoRedefine/>
    <w:qFormat/>
    <w:uiPriority w:val="0"/>
    <w:rPr>
      <w:color w:val="2590EB"/>
    </w:rPr>
  </w:style>
  <w:style w:type="character" w:customStyle="1" w:styleId="86">
    <w:name w:val="hover1"/>
    <w:basedOn w:val="32"/>
    <w:autoRedefine/>
    <w:qFormat/>
    <w:uiPriority w:val="0"/>
    <w:rPr>
      <w:color w:val="2590EB"/>
    </w:rPr>
  </w:style>
  <w:style w:type="character" w:customStyle="1" w:styleId="87">
    <w:name w:val="hover2"/>
    <w:basedOn w:val="32"/>
    <w:autoRedefine/>
    <w:qFormat/>
    <w:uiPriority w:val="0"/>
  </w:style>
  <w:style w:type="character" w:customStyle="1" w:styleId="88">
    <w:name w:val="hover3"/>
    <w:basedOn w:val="3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125</Pages>
  <Words>32977</Words>
  <Characters>35585</Characters>
  <Lines>51</Lines>
  <Paragraphs>59</Paragraphs>
  <TotalTime>200</TotalTime>
  <ScaleCrop>false</ScaleCrop>
  <LinksUpToDate>false</LinksUpToDate>
  <CharactersWithSpaces>38264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国力办公小助手2</cp:lastModifiedBy>
  <cp:lastPrinted>2024-02-27T07:05:00Z</cp:lastPrinted>
  <dcterms:modified xsi:type="dcterms:W3CDTF">2026-04-23T05:56:37Z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A7FDC8922CF9452C859114F91D629926_13</vt:lpwstr>
  </property>
  <property fmtid="{D5CDD505-2E9C-101B-9397-08002B2CF9AE}" pid="4" name="KSOTemplateDocerSaveRecord">
    <vt:lpwstr>eyJoZGlkIjoiMTQxZDc1YzkwNDFmMmQwN2Y0OWM2ZDIwMzFlMjZlZDEiLCJ1c2VySWQiOiIxNjUxMjY0MDU4In0=</vt:lpwstr>
  </property>
</Properties>
</file>