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08C8">
      <w:pPr>
        <w:widowControl/>
        <w:jc w:val="center"/>
        <w:textAlignment w:val="baseline"/>
        <w:rPr>
          <w:rFonts w:hint="eastAsia" w:ascii="黑体" w:hAnsi="黑体" w:eastAsia="黑体"/>
          <w:b/>
          <w:bCs/>
          <w:color w:val="auto"/>
          <w:sz w:val="72"/>
          <w:szCs w:val="72"/>
          <w:highlight w:val="none"/>
        </w:rPr>
      </w:pPr>
      <w:bookmarkStart w:id="0" w:name="_Toc434315322"/>
      <w:r>
        <w:rPr>
          <w:rFonts w:hint="eastAsia" w:ascii="宋体" w:hAnsi="宋体" w:eastAsia="黑体" w:cs="宋体"/>
          <w:b/>
          <w:bCs/>
          <w:color w:val="auto"/>
          <w:sz w:val="66"/>
          <w:szCs w:val="66"/>
          <w:highlight w:val="none"/>
          <w14:shadow w14:blurRad="50800" w14:dist="38100" w14:dir="2700000" w14:sx="100000" w14:sy="100000" w14:kx="0" w14:ky="0" w14:algn="tl">
            <w14:srgbClr w14:val="000000">
              <w14:alpha w14:val="60000"/>
            </w14:srgbClr>
          </w14:shadow>
        </w:rPr>
        <w:t>广西荣胜项目管理有限公司</w:t>
      </w:r>
    </w:p>
    <w:p w14:paraId="4F7EE08F">
      <w:pPr>
        <w:pStyle w:val="2"/>
        <w:jc w:val="center"/>
        <w:rPr>
          <w:rFonts w:hint="eastAsia" w:ascii="方正小标宋简体" w:hAnsi="方正小标宋简体" w:eastAsia="方正小标宋简体" w:cs="方正小标宋简体"/>
          <w:color w:val="auto"/>
          <w:sz w:val="32"/>
          <w:szCs w:val="32"/>
          <w:highlight w:val="none"/>
        </w:rPr>
      </w:pPr>
      <w:r>
        <w:rPr>
          <w:rFonts w:hint="eastAsia" w:hAnsi="宋体" w:cs="宋体"/>
          <w:color w:val="auto"/>
          <w:sz w:val="20"/>
          <w:highlight w:val="none"/>
          <w:u w:val="single"/>
        </w:rPr>
        <mc:AlternateContent>
          <mc:Choice Requires="wps">
            <w:drawing>
              <wp:anchor distT="0" distB="0" distL="114300" distR="114300" simplePos="0" relativeHeight="251659264" behindDoc="0" locked="0" layoutInCell="1" allowOverlap="1">
                <wp:simplePos x="0" y="0"/>
                <wp:positionH relativeFrom="column">
                  <wp:posOffset>-309880</wp:posOffset>
                </wp:positionH>
                <wp:positionV relativeFrom="paragraph">
                  <wp:posOffset>236220</wp:posOffset>
                </wp:positionV>
                <wp:extent cx="6316345" cy="11430"/>
                <wp:effectExtent l="0" t="13970" r="8255" b="31750"/>
                <wp:wrapNone/>
                <wp:docPr id="1" name="直接连接符 1"/>
                <wp:cNvGraphicFramePr/>
                <a:graphic xmlns:a="http://schemas.openxmlformats.org/drawingml/2006/main">
                  <a:graphicData uri="http://schemas.microsoft.com/office/word/2010/wordprocessingShape">
                    <wps:wsp>
                      <wps:cNvCnPr/>
                      <wps:spPr>
                        <a:xfrm>
                          <a:off x="0" y="0"/>
                          <a:ext cx="6316345" cy="1143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4.4pt;margin-top:18.6pt;height:0.9pt;width:497.35pt;z-index:251659264;mso-width-relative:page;mso-height-relative:page;" filled="f" stroked="t" coordsize="21600,21600" o:gfxdata="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MZOJ0XZAAAACQEAAA8AAAAAAAAAAQAgAAAAIgAAAGRycy9kb3ducmV2LnhtbFBLAQIU&#10;ABQAAAAIAIdO4kDqljRY8gEAAN0DAAAOAAAAAAAAAAEAIAAAACgBAABkcnMvZTJvRG9jLnhtbFBL&#10;BQYAAAAABgAGAFkBAACMBQAAAAA=&#10;">
                <v:fill on="f" focussize="0,0"/>
                <v:stroke weight="2.25pt" color="#000000" joinstyle="round"/>
                <v:imagedata o:title=""/>
                <o:lock v:ext="edit" aspectratio="f"/>
              </v:line>
            </w:pict>
          </mc:Fallback>
        </mc:AlternateContent>
      </w:r>
    </w:p>
    <w:p w14:paraId="5179AA2F">
      <w:pPr>
        <w:pStyle w:val="2"/>
        <w:tabs>
          <w:tab w:val="left" w:pos="7854"/>
        </w:tabs>
        <w:rPr>
          <w:rFonts w:hint="eastAsia" w:ascii="方正小标宋简体" w:hAnsi="方正小标宋简体" w:eastAsia="方正小标宋简体" w:cs="方正小标宋简体"/>
          <w:color w:val="auto"/>
          <w:sz w:val="20"/>
          <w:highlight w:val="none"/>
        </w:rPr>
      </w:pPr>
    </w:p>
    <w:p w14:paraId="4382BDEB">
      <w:pPr>
        <w:tabs>
          <w:tab w:val="left" w:pos="1079"/>
          <w:tab w:val="left" w:pos="3240"/>
        </w:tabs>
        <w:spacing w:line="821" w:lineRule="exact"/>
        <w:ind w:right="138"/>
        <w:rPr>
          <w:rFonts w:hint="eastAsia" w:ascii="方正小标宋简体" w:hAnsi="方正小标宋简体" w:eastAsia="方正小标宋简体" w:cs="方正小标宋简体"/>
          <w:color w:val="auto"/>
          <w:sz w:val="72"/>
          <w:highlight w:val="none"/>
        </w:rPr>
      </w:pPr>
    </w:p>
    <w:p w14:paraId="09BCA8FB">
      <w:pPr>
        <w:pStyle w:val="3"/>
        <w:rPr>
          <w:rFonts w:hint="eastAsia" w:ascii="方正小标宋简体" w:hAnsi="方正小标宋简体" w:eastAsia="方正小标宋简体" w:cs="方正小标宋简体"/>
          <w:color w:val="auto"/>
          <w:sz w:val="72"/>
          <w:highlight w:val="none"/>
        </w:rPr>
      </w:pPr>
    </w:p>
    <w:p w14:paraId="25AB5909">
      <w:pPr>
        <w:tabs>
          <w:tab w:val="left" w:pos="1079"/>
          <w:tab w:val="left" w:pos="3240"/>
        </w:tabs>
        <w:spacing w:line="821" w:lineRule="exact"/>
        <w:ind w:right="138"/>
        <w:jc w:val="center"/>
        <w:rPr>
          <w:rFonts w:hint="eastAsia" w:ascii="方正小标宋简体" w:hAnsi="方正小标宋简体" w:eastAsia="方正小标宋简体" w:cs="方正小标宋简体"/>
          <w:color w:val="auto"/>
          <w:sz w:val="72"/>
          <w:highlight w:val="none"/>
        </w:rPr>
      </w:pPr>
      <w:r>
        <w:rPr>
          <w:rFonts w:hint="eastAsia" w:ascii="方正小标宋简体" w:hAnsi="方正小标宋简体" w:eastAsia="方正小标宋简体" w:cs="方正小标宋简体"/>
          <w:color w:val="auto"/>
          <w:sz w:val="72"/>
          <w:highlight w:val="none"/>
        </w:rPr>
        <w:t>竞争性磋商采购文件</w:t>
      </w:r>
    </w:p>
    <w:p w14:paraId="39837C6C">
      <w:pPr>
        <w:pStyle w:val="2"/>
        <w:rPr>
          <w:rFonts w:hint="eastAsia" w:ascii="方正小标宋简体" w:hAnsi="方正小标宋简体" w:eastAsia="方正小标宋简体" w:cs="方正小标宋简体"/>
          <w:color w:val="auto"/>
          <w:sz w:val="68"/>
          <w:highlight w:val="none"/>
        </w:rPr>
      </w:pPr>
    </w:p>
    <w:p w14:paraId="04490006">
      <w:pPr>
        <w:pStyle w:val="27"/>
        <w:rPr>
          <w:rFonts w:hint="eastAsia" w:ascii="方正小标宋简体" w:hAnsi="方正小标宋简体" w:eastAsia="方正小标宋简体" w:cs="方正小标宋简体"/>
          <w:color w:val="auto"/>
          <w:sz w:val="68"/>
          <w:highlight w:val="none"/>
        </w:rPr>
      </w:pPr>
    </w:p>
    <w:p w14:paraId="7F928FE9">
      <w:pPr>
        <w:rPr>
          <w:color w:val="auto"/>
          <w:highlight w:val="none"/>
        </w:rPr>
      </w:pPr>
    </w:p>
    <w:p w14:paraId="34A7E484">
      <w:pPr>
        <w:pStyle w:val="2"/>
        <w:rPr>
          <w:rFonts w:hint="eastAsia" w:ascii="方正小标宋简体" w:hAnsi="方正小标宋简体" w:eastAsia="方正小标宋简体" w:cs="方正小标宋简体"/>
          <w:color w:val="auto"/>
          <w:sz w:val="20"/>
          <w:highlight w:val="none"/>
        </w:rPr>
      </w:pPr>
    </w:p>
    <w:p w14:paraId="27F673FF">
      <w:pPr>
        <w:spacing w:after="317" w:afterLines="100"/>
        <w:ind w:left="2238" w:leftChars="304" w:hanging="1600" w:hangingChars="500"/>
        <w:rPr>
          <w:rFonts w:hint="eastAsia" w:ascii="宋体" w:hAnsi="宋体" w:eastAsia="宋体" w:cs="宋体"/>
          <w:color w:val="auto"/>
          <w:sz w:val="32"/>
          <w:highlight w:val="none"/>
          <w:lang w:eastAsia="zh-CN"/>
        </w:rPr>
      </w:pPr>
      <w:r>
        <w:rPr>
          <w:rFonts w:hint="eastAsia" w:ascii="宋体" w:hAnsi="宋体" w:cs="宋体"/>
          <w:color w:val="auto"/>
          <w:sz w:val="32"/>
          <w:highlight w:val="none"/>
        </w:rPr>
        <w:t>项目名称：</w:t>
      </w:r>
      <w:r>
        <w:rPr>
          <w:rFonts w:hint="eastAsia" w:ascii="宋体" w:hAnsi="宋体" w:cs="宋体"/>
          <w:color w:val="auto"/>
          <w:sz w:val="32"/>
          <w:highlight w:val="none"/>
          <w:lang w:eastAsia="zh-CN"/>
        </w:rPr>
        <w:t>2026年龙门镇日新村委长岭岗岭、大平坡大红柑产业道路硬化工程</w:t>
      </w:r>
    </w:p>
    <w:p w14:paraId="34CCC186">
      <w:pPr>
        <w:ind w:firstLine="640" w:firstLineChars="200"/>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项目编号：</w:t>
      </w:r>
      <w:r>
        <w:rPr>
          <w:rFonts w:hint="eastAsia" w:ascii="宋体" w:hAnsi="宋体" w:cs="宋体"/>
          <w:color w:val="auto"/>
          <w:sz w:val="32"/>
          <w:szCs w:val="32"/>
          <w:highlight w:val="none"/>
          <w:lang w:eastAsia="zh-CN"/>
        </w:rPr>
        <w:t>QZZC2026-C2-220031-GXRS</w:t>
      </w:r>
    </w:p>
    <w:p w14:paraId="2E28FAE3">
      <w:pPr>
        <w:rPr>
          <w:color w:val="auto"/>
          <w:highlight w:val="none"/>
        </w:rPr>
      </w:pPr>
    </w:p>
    <w:p w14:paraId="752D9BB2">
      <w:pPr>
        <w:pStyle w:val="2"/>
        <w:rPr>
          <w:rFonts w:hint="eastAsia" w:ascii="方正小标宋简体" w:hAnsi="方正小标宋简体" w:eastAsia="方正小标宋简体" w:cs="方正小标宋简体"/>
          <w:color w:val="auto"/>
          <w:sz w:val="20"/>
          <w:highlight w:val="none"/>
        </w:rPr>
      </w:pPr>
      <w:r>
        <w:rPr>
          <w:rFonts w:hint="eastAsia" w:hAnsi="宋体" w:cs="宋体"/>
          <w:color w:val="auto"/>
          <w:sz w:val="20"/>
          <w:highlight w:val="none"/>
          <w:u w:val="single"/>
        </w:rPr>
        <mc:AlternateContent>
          <mc:Choice Requires="wps">
            <w:drawing>
              <wp:anchor distT="0" distB="0" distL="114300" distR="114300" simplePos="0" relativeHeight="251664384" behindDoc="0" locked="0" layoutInCell="1" allowOverlap="1">
                <wp:simplePos x="0" y="0"/>
                <wp:positionH relativeFrom="column">
                  <wp:posOffset>-452755</wp:posOffset>
                </wp:positionH>
                <wp:positionV relativeFrom="paragraph">
                  <wp:posOffset>56515</wp:posOffset>
                </wp:positionV>
                <wp:extent cx="6353810" cy="36195"/>
                <wp:effectExtent l="0" t="13970" r="8890" b="26035"/>
                <wp:wrapNone/>
                <wp:docPr id="8" name="直接连接符 8"/>
                <wp:cNvGraphicFramePr/>
                <a:graphic xmlns:a="http://schemas.openxmlformats.org/drawingml/2006/main">
                  <a:graphicData uri="http://schemas.microsoft.com/office/word/2010/wordprocessingShape">
                    <wps:wsp>
                      <wps:cNvCnPr/>
                      <wps:spPr>
                        <a:xfrm flipV="1">
                          <a:off x="0" y="0"/>
                          <a:ext cx="6353810" cy="3619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5.65pt;margin-top:4.45pt;height:2.85pt;width:500.3pt;z-index:251664384;mso-width-relative:page;mso-height-relative:page;" filled="f" stroked="t" coordsize="21600,21600" o:gfxdata="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iNKJf1gAAAAgBAAAPAAAAAAAAAAEAIAAAACIAAABkcnMvZG93bnJldi54bWxQSwEC&#10;FAAUAAAACACHTuJASvSSi/YBAADnAwAADgAAAAAAAAABACAAAAAlAQAAZHJzL2Uyb0RvYy54bWxQ&#10;SwUGAAAAAAYABgBZAQAAjQUAAAAA&#10;">
                <v:fill on="f" focussize="0,0"/>
                <v:stroke weight="2.25pt" color="#000000" joinstyle="round"/>
                <v:imagedata o:title=""/>
                <o:lock v:ext="edit" aspectratio="f"/>
              </v:line>
            </w:pict>
          </mc:Fallback>
        </mc:AlternateContent>
      </w:r>
    </w:p>
    <w:p w14:paraId="71BAF592">
      <w:pPr>
        <w:pStyle w:val="2"/>
        <w:rPr>
          <w:rFonts w:hint="eastAsia" w:hAnsi="宋体" w:eastAsia="宋体" w:cs="宋体"/>
          <w:bCs/>
          <w:color w:val="auto"/>
          <w:sz w:val="32"/>
          <w:szCs w:val="32"/>
          <w:highlight w:val="none"/>
          <w:lang w:eastAsia="zh-CN"/>
        </w:rPr>
      </w:pPr>
      <w:r>
        <w:rPr>
          <w:rFonts w:hint="eastAsia" w:hAnsi="宋体" w:cs="宋体"/>
          <w:color w:val="auto"/>
          <w:sz w:val="32"/>
          <w:szCs w:val="32"/>
          <w:highlight w:val="none"/>
          <w:u w:val="single"/>
        </w:rPr>
        <mc:AlternateContent>
          <mc:Choice Requires="wps">
            <w:drawing>
              <wp:anchor distT="0" distB="0" distL="114300" distR="114300" simplePos="0" relativeHeight="251663360" behindDoc="0" locked="0" layoutInCell="1" allowOverlap="1">
                <wp:simplePos x="0" y="0"/>
                <wp:positionH relativeFrom="column">
                  <wp:posOffset>575310</wp:posOffset>
                </wp:positionH>
                <wp:positionV relativeFrom="paragraph">
                  <wp:posOffset>7171690</wp:posOffset>
                </wp:positionV>
                <wp:extent cx="6229350" cy="6350"/>
                <wp:effectExtent l="0" t="0" r="0" b="0"/>
                <wp:wrapNone/>
                <wp:docPr id="7" name="直接连接符 7"/>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5.3pt;margin-top:564.7pt;height:0.5pt;width:490.5pt;z-index:251663360;mso-width-relative:page;mso-height-relative:page;" filled="f" stroked="t" coordsize="21600,21600" o:gfxdata="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F96jqDZAAAADQEAAA8AAAAAAAAAAQAgAAAAIgAAAGRycy9kb3ducmV2LnhtbFBL&#10;AQIUABQAAAAIAIdO4kDxw1G69QEAAOYDAAAOAAAAAAAAAAEAIAAAACgBAABkcnMvZTJvRG9jLnht&#10;bFBLBQYAAAAABgAGAFkBAACPBQ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u w:val="single"/>
        </w:rPr>
        <mc:AlternateContent>
          <mc:Choice Requires="wps">
            <w:drawing>
              <wp:anchor distT="0" distB="0" distL="114300" distR="114300" simplePos="0" relativeHeight="251660288" behindDoc="0" locked="0" layoutInCell="1" allowOverlap="1">
                <wp:simplePos x="0" y="0"/>
                <wp:positionH relativeFrom="column">
                  <wp:posOffset>422910</wp:posOffset>
                </wp:positionH>
                <wp:positionV relativeFrom="paragraph">
                  <wp:posOffset>7019290</wp:posOffset>
                </wp:positionV>
                <wp:extent cx="6229350" cy="635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6229350" cy="6350"/>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33.3pt;margin-top:552.7pt;height:0.5pt;width:490.5pt;z-index:251660288;mso-width-relative:page;mso-height-relative:page;" filled="f" stroked="t" coordsize="21600,21600" o:gfxdata="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K+Fg22AAAAA0BAAAPAAAAAAAAAAEAIAAAACIAAABkcnMvZG93bnJldi54bWxQSwEC&#10;FAAUAAAACACHTuJABuWcePQBAADmAwAADgAAAAAAAAABACAAAAAnAQAAZHJzL2Uyb0RvYy54bWxQ&#10;SwUGAAAAAAYABgBZAQAAjQUAAAAA&#10;">
                <v:fill on="f" focussize="0,0"/>
                <v:stroke weight="2.25pt" color="#000000" joinstyle="round"/>
                <v:imagedata o:title=""/>
                <o:lock v:ext="edit" aspectratio="f"/>
              </v:line>
            </w:pict>
          </mc:Fallback>
        </mc:AlternateContent>
      </w:r>
      <w:r>
        <w:rPr>
          <w:rFonts w:hint="eastAsia" w:hAnsi="宋体" w:cs="宋体"/>
          <w:color w:val="auto"/>
          <w:sz w:val="32"/>
          <w:szCs w:val="32"/>
          <w:highlight w:val="none"/>
        </w:rPr>
        <w:t xml:space="preserve">            采购单位：</w:t>
      </w:r>
      <w:r>
        <w:rPr>
          <w:rFonts w:hint="eastAsia" w:hAnsi="宋体" w:cs="宋体"/>
          <w:color w:val="auto"/>
          <w:sz w:val="32"/>
          <w:szCs w:val="32"/>
          <w:highlight w:val="none"/>
          <w:lang w:eastAsia="zh-CN"/>
        </w:rPr>
        <w:t>浦北县龙门镇人民政府</w:t>
      </w:r>
    </w:p>
    <w:p w14:paraId="2C6BD043">
      <w:pPr>
        <w:spacing w:line="800" w:lineRule="exac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采购代理机构：广西荣胜项目管理有限公司</w:t>
      </w:r>
    </w:p>
    <w:p w14:paraId="3F21554F">
      <w:pPr>
        <w:spacing w:line="800" w:lineRule="exact"/>
        <w:jc w:val="center"/>
        <w:rPr>
          <w:rFonts w:hint="eastAsia" w:ascii="宋体" w:hAnsi="宋体" w:cs="宋体"/>
          <w:color w:val="auto"/>
          <w:highlight w:val="none"/>
        </w:rPr>
      </w:pPr>
      <w:r>
        <w:rPr>
          <w:rFonts w:hint="eastAsia" w:ascii="宋体" w:hAnsi="宋体" w:cs="宋体"/>
          <w:color w:val="auto"/>
          <w:sz w:val="32"/>
          <w:szCs w:val="32"/>
          <w:highlight w:val="none"/>
        </w:rPr>
        <w:t xml:space="preserve"> 202</w:t>
      </w:r>
      <w:r>
        <w:rPr>
          <w:rFonts w:hint="eastAsia" w:ascii="宋体" w:hAnsi="宋体" w:cs="宋体"/>
          <w:color w:val="auto"/>
          <w:sz w:val="32"/>
          <w:szCs w:val="32"/>
          <w:highlight w:val="none"/>
          <w:lang w:val="en-US" w:eastAsia="zh-CN"/>
        </w:rPr>
        <w:t>6</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4</w:t>
      </w:r>
      <w:r>
        <w:rPr>
          <w:rFonts w:hint="eastAsia" w:ascii="宋体" w:hAnsi="宋体" w:cs="宋体"/>
          <w:color w:val="auto"/>
          <w:sz w:val="32"/>
          <w:szCs w:val="32"/>
          <w:highlight w:val="none"/>
        </w:rPr>
        <w:t>月</w:t>
      </w:r>
    </w:p>
    <w:p w14:paraId="7CD28FA9">
      <w:pPr>
        <w:spacing w:line="800" w:lineRule="exact"/>
        <w:rPr>
          <w:rFonts w:hint="eastAsia" w:ascii="宋体" w:hAnsi="宋体" w:cs="宋体"/>
          <w:color w:val="auto"/>
          <w:highlight w:val="none"/>
        </w:rPr>
        <w:sectPr>
          <w:pgSz w:w="11906" w:h="16838"/>
          <w:pgMar w:top="1134" w:right="1134" w:bottom="1134" w:left="1417" w:header="850" w:footer="992" w:gutter="0"/>
          <w:cols w:space="720" w:num="1"/>
          <w:docGrid w:type="lines" w:linePitch="317" w:charSpace="0"/>
        </w:sectPr>
      </w:pPr>
    </w:p>
    <w:p w14:paraId="34DE500A">
      <w:pPr>
        <w:pStyle w:val="3"/>
        <w:rPr>
          <w:rFonts w:hint="eastAsia"/>
          <w:color w:val="auto"/>
          <w:highlight w:val="none"/>
        </w:rPr>
      </w:pPr>
    </w:p>
    <w:sdt>
      <w:sdtPr>
        <w:rPr>
          <w:rFonts w:ascii="宋体" w:hAnsi="宋体"/>
          <w:color w:val="auto"/>
          <w:sz w:val="28"/>
          <w:szCs w:val="36"/>
          <w:highlight w:val="none"/>
        </w:rPr>
        <w:id w:val="147475717"/>
        <w15:color w:val="DBDBDB"/>
        <w:docPartObj>
          <w:docPartGallery w:val="Table of Contents"/>
          <w:docPartUnique/>
        </w:docPartObj>
      </w:sdtPr>
      <w:sdtEndPr>
        <w:rPr>
          <w:rFonts w:ascii="宋体" w:hAnsi="宋体" w:cs="宋体"/>
          <w:color w:val="auto"/>
          <w:sz w:val="28"/>
          <w:szCs w:val="40"/>
          <w:highlight w:val="none"/>
        </w:rPr>
      </w:sdtEndPr>
      <w:sdtContent>
        <w:p w14:paraId="4FB15D08">
          <w:pPr>
            <w:spacing w:line="360" w:lineRule="auto"/>
            <w:jc w:val="center"/>
            <w:rPr>
              <w:color w:val="auto"/>
              <w:sz w:val="44"/>
              <w:szCs w:val="44"/>
              <w:highlight w:val="none"/>
            </w:rPr>
          </w:pPr>
          <w:r>
            <w:rPr>
              <w:rFonts w:ascii="宋体" w:hAnsi="宋体"/>
              <w:b/>
              <w:bCs/>
              <w:color w:val="auto"/>
              <w:sz w:val="44"/>
              <w:szCs w:val="44"/>
              <w:highlight w:val="none"/>
            </w:rPr>
            <w:t>目</w:t>
          </w:r>
          <w:r>
            <w:rPr>
              <w:rFonts w:hint="eastAsia" w:ascii="宋体" w:hAnsi="宋体"/>
              <w:b/>
              <w:bCs/>
              <w:color w:val="auto"/>
              <w:sz w:val="44"/>
              <w:szCs w:val="44"/>
              <w:highlight w:val="none"/>
            </w:rPr>
            <w:t xml:space="preserve">  </w:t>
          </w:r>
          <w:r>
            <w:rPr>
              <w:rFonts w:ascii="宋体" w:hAnsi="宋体"/>
              <w:b/>
              <w:bCs/>
              <w:color w:val="auto"/>
              <w:sz w:val="44"/>
              <w:szCs w:val="44"/>
              <w:highlight w:val="none"/>
            </w:rPr>
            <w:t>录</w:t>
          </w:r>
        </w:p>
        <w:p w14:paraId="624AEE18">
          <w:pPr>
            <w:pStyle w:val="21"/>
            <w:tabs>
              <w:tab w:val="right" w:leader="dot" w:pos="9799"/>
            </w:tabs>
            <w:rPr>
              <w:rFonts w:hint="eastAsia" w:ascii="宋体" w:hAnsi="宋体" w:cs="宋体"/>
              <w:color w:val="auto"/>
              <w:sz w:val="28"/>
              <w:szCs w:val="36"/>
              <w:highlight w:val="none"/>
            </w:rPr>
          </w:pPr>
          <w:r>
            <w:rPr>
              <w:rFonts w:ascii="宋体" w:hAnsi="宋体" w:cs="宋体"/>
              <w:color w:val="auto"/>
              <w:sz w:val="32"/>
              <w:szCs w:val="40"/>
              <w:highlight w:val="none"/>
            </w:rPr>
            <w:fldChar w:fldCharType="begin"/>
          </w:r>
          <w:r>
            <w:rPr>
              <w:rFonts w:ascii="宋体" w:hAnsi="宋体" w:cs="宋体"/>
              <w:color w:val="auto"/>
              <w:sz w:val="32"/>
              <w:szCs w:val="40"/>
              <w:highlight w:val="none"/>
            </w:rPr>
            <w:instrText xml:space="preserve">TOC \o "1-1" \h \u </w:instrText>
          </w:r>
          <w:r>
            <w:rPr>
              <w:rFonts w:ascii="宋体" w:hAnsi="宋体" w:cs="宋体"/>
              <w:color w:val="auto"/>
              <w:sz w:val="32"/>
              <w:szCs w:val="40"/>
              <w:highlight w:val="none"/>
            </w:rPr>
            <w:fldChar w:fldCharType="separate"/>
          </w:r>
        </w:p>
        <w:p w14:paraId="6F9D0806">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"_Toc29312" </w:instrText>
          </w:r>
          <w:r>
            <w:rPr>
              <w:color w:val="auto"/>
              <w:highlight w:val="none"/>
            </w:rPr>
            <w:fldChar w:fldCharType="separate"/>
          </w:r>
          <w:r>
            <w:rPr>
              <w:rFonts w:hint="eastAsia" w:ascii="宋体" w:hAnsi="宋体" w:cs="宋体"/>
              <w:color w:val="auto"/>
              <w:sz w:val="24"/>
              <w:highlight w:val="none"/>
            </w:rPr>
            <w:t>第一章  竞争性磋商公告</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_Toc29312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7649D14D">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"_Toc5416" </w:instrText>
          </w:r>
          <w:r>
            <w:rPr>
              <w:color w:val="auto"/>
              <w:highlight w:val="none"/>
            </w:rPr>
            <w:fldChar w:fldCharType="separate"/>
          </w:r>
          <w:r>
            <w:rPr>
              <w:rFonts w:hint="eastAsia" w:ascii="宋体" w:hAnsi="宋体" w:cs="宋体"/>
              <w:bCs/>
              <w:color w:val="auto"/>
              <w:kern w:val="0"/>
              <w:sz w:val="24"/>
              <w:highlight w:val="none"/>
            </w:rPr>
            <w:t>第二章   供应商须知前附表</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_Toc5416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8EF7262">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"_Toc26558" </w:instrText>
          </w:r>
          <w:r>
            <w:rPr>
              <w:color w:val="auto"/>
              <w:highlight w:val="none"/>
            </w:rPr>
            <w:fldChar w:fldCharType="separate"/>
          </w:r>
          <w:r>
            <w:rPr>
              <w:rFonts w:hint="eastAsia" w:ascii="宋体" w:hAnsi="宋体" w:cs="宋体"/>
              <w:bCs/>
              <w:color w:val="auto"/>
              <w:kern w:val="0"/>
              <w:sz w:val="24"/>
              <w:highlight w:val="none"/>
            </w:rPr>
            <w:t>第三章   项目基本情况及要求</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_Toc26558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6503D35F">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"_Toc20069" </w:instrText>
          </w:r>
          <w:r>
            <w:rPr>
              <w:color w:val="auto"/>
              <w:highlight w:val="none"/>
            </w:rPr>
            <w:fldChar w:fldCharType="separate"/>
          </w:r>
          <w:r>
            <w:rPr>
              <w:rFonts w:hint="eastAsia" w:ascii="宋体" w:hAnsi="宋体" w:cs="宋体"/>
              <w:bCs/>
              <w:color w:val="auto"/>
              <w:kern w:val="0"/>
              <w:sz w:val="24"/>
              <w:highlight w:val="none"/>
            </w:rPr>
            <w:t>第四章  评审标准</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_Toc20069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24</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ED0BF13">
          <w:pPr>
            <w:pStyle w:val="21"/>
            <w:tabs>
              <w:tab w:val="right" w:leader="dot" w:pos="9799"/>
            </w:tabs>
            <w:spacing w:line="700" w:lineRule="exact"/>
            <w:ind w:left="315" w:leftChars="150" w:right="210" w:rightChars="100"/>
            <w:rPr>
              <w:rFonts w:hint="eastAsia" w:ascii="宋体" w:hAnsi="宋体" w:cs="宋体"/>
              <w:color w:val="auto"/>
              <w:sz w:val="24"/>
              <w:highlight w:val="none"/>
            </w:rPr>
          </w:pPr>
          <w:r>
            <w:rPr>
              <w:color w:val="auto"/>
              <w:highlight w:val="none"/>
            </w:rPr>
            <w:fldChar w:fldCharType="begin"/>
          </w:r>
          <w:r>
            <w:rPr>
              <w:color w:val="auto"/>
              <w:highlight w:val="none"/>
            </w:rPr>
            <w:instrText xml:space="preserve"> HYPERLINK \l "_Toc15543" </w:instrText>
          </w:r>
          <w:r>
            <w:rPr>
              <w:color w:val="auto"/>
              <w:highlight w:val="none"/>
            </w:rPr>
            <w:fldChar w:fldCharType="separate"/>
          </w:r>
          <w:r>
            <w:rPr>
              <w:rFonts w:hint="eastAsia" w:ascii="宋体" w:hAnsi="宋体" w:cs="宋体"/>
              <w:bCs/>
              <w:color w:val="auto"/>
              <w:kern w:val="0"/>
              <w:sz w:val="24"/>
              <w:highlight w:val="none"/>
            </w:rPr>
            <w:t>第五章  响应文件（格式）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_Toc15543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37</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093F1465">
          <w:pPr>
            <w:pStyle w:val="21"/>
            <w:tabs>
              <w:tab w:val="right" w:leader="dot" w:pos="9799"/>
            </w:tabs>
            <w:spacing w:line="700" w:lineRule="exact"/>
            <w:ind w:left="315" w:leftChars="150" w:right="210" w:rightChars="100"/>
            <w:rPr>
              <w:rFonts w:hint="eastAsia" w:ascii="宋体" w:hAnsi="宋体" w:cs="宋体"/>
              <w:color w:val="auto"/>
              <w:sz w:val="24"/>
              <w:szCs w:val="32"/>
              <w:highlight w:val="none"/>
            </w:rPr>
          </w:pPr>
          <w:r>
            <w:rPr>
              <w:color w:val="auto"/>
              <w:highlight w:val="none"/>
            </w:rPr>
            <w:fldChar w:fldCharType="begin"/>
          </w:r>
          <w:r>
            <w:rPr>
              <w:color w:val="auto"/>
              <w:highlight w:val="none"/>
            </w:rPr>
            <w:instrText xml:space="preserve"> HYPERLINK \l "_Toc3612" </w:instrText>
          </w:r>
          <w:r>
            <w:rPr>
              <w:color w:val="auto"/>
              <w:highlight w:val="none"/>
            </w:rPr>
            <w:fldChar w:fldCharType="separate"/>
          </w:r>
          <w:r>
            <w:rPr>
              <w:rFonts w:hint="eastAsia" w:ascii="宋体" w:hAnsi="宋体" w:cs="宋体"/>
              <w:color w:val="auto"/>
              <w:kern w:val="0"/>
              <w:sz w:val="24"/>
              <w:highlight w:val="none"/>
            </w:rPr>
            <w:t>第六章   合同主要条款（参考格式）</w:t>
          </w:r>
          <w:r>
            <w:rPr>
              <w:rFonts w:hint="eastAsia" w:ascii="宋体" w:hAnsi="宋体" w:cs="宋体"/>
              <w:color w:val="auto"/>
              <w:sz w:val="24"/>
              <w:highlight w:val="none"/>
            </w:rPr>
            <w:tab/>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PAGEREF _Toc3612 \h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65</w:t>
          </w:r>
          <w:r>
            <w:rPr>
              <w:rFonts w:hint="eastAsia" w:ascii="宋体" w:hAnsi="宋体" w:cs="宋体"/>
              <w:color w:val="auto"/>
              <w:sz w:val="24"/>
              <w:highlight w:val="none"/>
            </w:rPr>
            <w:fldChar w:fldCharType="end"/>
          </w:r>
          <w:r>
            <w:rPr>
              <w:rFonts w:hint="eastAsia" w:ascii="宋体" w:hAnsi="宋体" w:cs="宋体"/>
              <w:color w:val="auto"/>
              <w:sz w:val="24"/>
              <w:highlight w:val="none"/>
            </w:rPr>
            <w:fldChar w:fldCharType="end"/>
          </w:r>
        </w:p>
        <w:p w14:paraId="53FE2E06">
          <w:pPr>
            <w:pStyle w:val="21"/>
            <w:tabs>
              <w:tab w:val="right" w:leader="dot" w:pos="9799"/>
            </w:tabs>
            <w:spacing w:line="360" w:lineRule="auto"/>
            <w:rPr>
              <w:color w:val="auto"/>
              <w:sz w:val="20"/>
              <w:szCs w:val="22"/>
              <w:highlight w:val="none"/>
            </w:rPr>
          </w:pPr>
        </w:p>
        <w:p w14:paraId="59387305">
          <w:pPr>
            <w:pStyle w:val="21"/>
            <w:tabs>
              <w:tab w:val="center" w:pos="4899"/>
            </w:tabs>
            <w:spacing w:line="360" w:lineRule="auto"/>
            <w:rPr>
              <w:rFonts w:hint="eastAsia" w:ascii="宋体" w:hAnsi="宋体" w:cs="宋体"/>
              <w:color w:val="auto"/>
              <w:sz w:val="32"/>
              <w:szCs w:val="40"/>
              <w:highlight w:val="none"/>
            </w:rPr>
          </w:pPr>
          <w:r>
            <w:rPr>
              <w:rFonts w:ascii="宋体" w:hAnsi="宋体" w:cs="宋体"/>
              <w:color w:val="auto"/>
              <w:szCs w:val="40"/>
              <w:highlight w:val="none"/>
            </w:rPr>
            <w:fldChar w:fldCharType="end"/>
          </w:r>
          <w:r>
            <w:rPr>
              <w:rFonts w:hint="eastAsia" w:ascii="宋体" w:hAnsi="宋体" w:cs="宋体"/>
              <w:color w:val="auto"/>
              <w:szCs w:val="40"/>
              <w:highlight w:val="none"/>
            </w:rPr>
            <w:tab/>
          </w:r>
        </w:p>
      </w:sdtContent>
    </w:sdt>
    <w:p w14:paraId="65A174A9">
      <w:pPr>
        <w:pStyle w:val="2"/>
        <w:tabs>
          <w:tab w:val="left" w:pos="4386"/>
        </w:tabs>
        <w:autoSpaceDE/>
        <w:autoSpaceDN/>
        <w:adjustRightInd/>
        <w:spacing w:line="320" w:lineRule="exact"/>
        <w:rPr>
          <w:rFonts w:hint="eastAsia" w:hAnsi="宋体" w:cs="宋体"/>
          <w:b/>
          <w:bCs/>
          <w:color w:val="auto"/>
          <w:sz w:val="36"/>
          <w:szCs w:val="36"/>
          <w:highlight w:val="none"/>
        </w:rPr>
      </w:pPr>
      <w:r>
        <w:rPr>
          <w:rFonts w:hint="eastAsia" w:hAnsi="宋体" w:cs="宋体"/>
          <w:b/>
          <w:bCs/>
          <w:color w:val="auto"/>
          <w:sz w:val="36"/>
          <w:szCs w:val="36"/>
          <w:highlight w:val="none"/>
        </w:rPr>
        <w:tab/>
      </w:r>
    </w:p>
    <w:p w14:paraId="7E055C2B">
      <w:pPr>
        <w:tabs>
          <w:tab w:val="left" w:pos="6703"/>
        </w:tabs>
        <w:jc w:val="left"/>
        <w:rPr>
          <w:color w:val="auto"/>
          <w:highlight w:val="none"/>
        </w:rPr>
        <w:sectPr>
          <w:headerReference r:id="rId3" w:type="default"/>
          <w:footerReference r:id="rId4" w:type="default"/>
          <w:pgSz w:w="11906" w:h="16838"/>
          <w:pgMar w:top="1440" w:right="1080" w:bottom="1440" w:left="460" w:header="851" w:footer="794" w:gutter="567"/>
          <w:pgNumType w:start="1"/>
          <w:cols w:space="720" w:num="1"/>
        </w:sectPr>
      </w:pPr>
      <w:r>
        <w:rPr>
          <w:rFonts w:hint="eastAsia"/>
          <w:color w:val="auto"/>
          <w:highlight w:val="none"/>
        </w:rPr>
        <w:tab/>
      </w:r>
    </w:p>
    <w:p w14:paraId="2EADE997">
      <w:pPr>
        <w:pStyle w:val="4"/>
        <w:spacing w:before="0" w:after="156" w:afterLines="50" w:line="520" w:lineRule="exact"/>
        <w:jc w:val="center"/>
        <w:rPr>
          <w:color w:val="auto"/>
          <w:sz w:val="32"/>
          <w:szCs w:val="32"/>
          <w:highlight w:val="none"/>
        </w:rPr>
      </w:pPr>
      <w:bookmarkStart w:id="1" w:name="_Toc29312"/>
      <w:r>
        <w:rPr>
          <w:rFonts w:hint="eastAsia"/>
          <w:color w:val="auto"/>
          <w:sz w:val="32"/>
          <w:szCs w:val="32"/>
          <w:highlight w:val="none"/>
        </w:rPr>
        <w:t>第一章</w:t>
      </w:r>
      <w:bookmarkEnd w:id="0"/>
      <w:bookmarkEnd w:id="1"/>
      <w:bookmarkStart w:id="2" w:name="_Toc434315323"/>
      <w:r>
        <w:rPr>
          <w:rFonts w:hint="eastAsia"/>
          <w:color w:val="auto"/>
          <w:sz w:val="32"/>
          <w:szCs w:val="32"/>
          <w:highlight w:val="none"/>
        </w:rPr>
        <w:t xml:space="preserve">  竞争性磋商公告</w:t>
      </w:r>
    </w:p>
    <w:p w14:paraId="60E70505">
      <w:pPr>
        <w:spacing w:after="156" w:afterLines="50" w:line="460" w:lineRule="exact"/>
        <w:jc w:val="center"/>
        <w:rPr>
          <w:color w:val="auto"/>
          <w:sz w:val="30"/>
          <w:szCs w:val="30"/>
          <w:highlight w:val="none"/>
        </w:rPr>
      </w:pPr>
      <w:r>
        <w:rPr>
          <w:rFonts w:hint="eastAsia" w:ascii="宋体" w:hAnsi="宋体"/>
          <w:b/>
          <w:color w:val="auto"/>
          <w:sz w:val="30"/>
          <w:szCs w:val="30"/>
          <w:highlight w:val="none"/>
        </w:rPr>
        <w:t>广西荣胜项目管理有限公司关于</w:t>
      </w:r>
      <w:bookmarkStart w:id="3" w:name="_Toc2948"/>
      <w:r>
        <w:rPr>
          <w:rFonts w:hint="eastAsia" w:ascii="宋体" w:hAnsi="宋体"/>
          <w:b/>
          <w:color w:val="auto"/>
          <w:sz w:val="30"/>
          <w:szCs w:val="30"/>
          <w:highlight w:val="none"/>
          <w:lang w:eastAsia="zh-CN"/>
        </w:rPr>
        <w:t>2026年龙门镇日新村委长岭岗岭、大平坡大红柑产业道路硬化工程</w:t>
      </w:r>
      <w:r>
        <w:rPr>
          <w:rFonts w:hint="eastAsia" w:ascii="宋体" w:hAnsi="宋体"/>
          <w:b/>
          <w:color w:val="auto"/>
          <w:sz w:val="30"/>
          <w:szCs w:val="30"/>
          <w:highlight w:val="none"/>
        </w:rPr>
        <w:t>（</w:t>
      </w:r>
      <w:r>
        <w:rPr>
          <w:rFonts w:hint="eastAsia" w:ascii="宋体" w:hAnsi="宋体"/>
          <w:b/>
          <w:color w:val="auto"/>
          <w:sz w:val="30"/>
          <w:szCs w:val="30"/>
          <w:highlight w:val="none"/>
          <w:lang w:eastAsia="zh-CN"/>
        </w:rPr>
        <w:t>QZZC2026-C2-220031-GXRS</w:t>
      </w:r>
      <w:r>
        <w:rPr>
          <w:rFonts w:hint="eastAsia" w:ascii="宋体" w:hAnsi="宋体"/>
          <w:b/>
          <w:color w:val="auto"/>
          <w:sz w:val="30"/>
          <w:szCs w:val="30"/>
          <w:highlight w:val="none"/>
        </w:rPr>
        <w:t>）竞争性磋商公告</w:t>
      </w:r>
      <w:bookmarkEnd w:id="3"/>
    </w:p>
    <w:tbl>
      <w:tblPr>
        <w:tblStyle w:val="31"/>
        <w:tblW w:w="9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6"/>
      </w:tblGrid>
      <w:tr w14:paraId="2D0A6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9266" w:type="dxa"/>
          </w:tcPr>
          <w:p w14:paraId="19B86F61">
            <w:pPr>
              <w:spacing w:line="400" w:lineRule="exact"/>
              <w:rPr>
                <w:rFonts w:hint="eastAsia" w:ascii="宋体" w:hAnsi="宋体" w:cs="宋体"/>
                <w:b/>
                <w:bCs/>
                <w:color w:val="auto"/>
                <w:szCs w:val="21"/>
                <w:highlight w:val="none"/>
              </w:rPr>
            </w:pPr>
            <w:r>
              <w:rPr>
                <w:rFonts w:hint="eastAsia" w:ascii="宋体" w:hAnsi="宋体" w:cs="宋体"/>
                <w:b/>
                <w:bCs/>
                <w:color w:val="auto"/>
                <w:szCs w:val="21"/>
                <w:highlight w:val="none"/>
              </w:rPr>
              <w:t>项目概况</w:t>
            </w:r>
          </w:p>
          <w:p w14:paraId="5395988E">
            <w:pPr>
              <w:spacing w:line="400" w:lineRule="exact"/>
              <w:ind w:firstLine="420" w:firstLineChars="200"/>
              <w:rPr>
                <w:color w:val="auto"/>
                <w:highlight w:val="none"/>
              </w:rPr>
            </w:pPr>
            <w:r>
              <w:rPr>
                <w:rFonts w:hint="eastAsia" w:ascii="宋体" w:hAnsi="宋体" w:cs="宋体"/>
                <w:color w:val="auto"/>
                <w:szCs w:val="21"/>
                <w:highlight w:val="none"/>
                <w:u w:val="single"/>
                <w:lang w:eastAsia="zh-CN"/>
              </w:rPr>
              <w:t>2026年龙门镇日新村委长岭岗岭、大平坡大红柑产业道路硬化工程</w:t>
            </w:r>
            <w:r>
              <w:rPr>
                <w:rFonts w:hint="eastAsia" w:ascii="宋体" w:hAnsi="宋体" w:cs="宋体"/>
                <w:color w:val="auto"/>
                <w:szCs w:val="21"/>
                <w:highlight w:val="none"/>
              </w:rPr>
              <w:t>采购项目的潜在供应商应在</w:t>
            </w:r>
            <w:r>
              <w:rPr>
                <w:rFonts w:hint="eastAsia" w:ascii="宋体" w:hAnsi="宋体" w:cs="宋体"/>
                <w:color w:val="auto"/>
                <w:szCs w:val="21"/>
                <w:highlight w:val="none"/>
                <w:u w:val="single"/>
              </w:rPr>
              <w:t>广西政府采购云平台（</w:t>
            </w:r>
            <w:r>
              <w:rPr>
                <w:color w:val="auto"/>
                <w:highlight w:val="none"/>
              </w:rPr>
              <w:fldChar w:fldCharType="begin"/>
            </w:r>
            <w:r>
              <w:rPr>
                <w:color w:val="auto"/>
                <w:highlight w:val="none"/>
              </w:rPr>
              <w:instrText xml:space="preserve"> HYPERLINK "https://www.gcy.zfcg.gxzf.gov.cn/）获取采购文件，并于2025年" </w:instrText>
            </w:r>
            <w:r>
              <w:rPr>
                <w:color w:val="auto"/>
                <w:highlight w:val="none"/>
              </w:rPr>
              <w:fldChar w:fldCharType="separate"/>
            </w:r>
            <w:r>
              <w:rPr>
                <w:rStyle w:val="41"/>
                <w:rFonts w:hint="eastAsia" w:ascii="宋体" w:hAnsi="宋体" w:cs="宋体"/>
                <w:color w:val="auto"/>
                <w:szCs w:val="21"/>
                <w:highlight w:val="none"/>
              </w:rPr>
              <w:t>https://www.gcy.zfcg.gxzf.gov.cn/）获取</w:t>
            </w:r>
            <w:r>
              <w:rPr>
                <w:rStyle w:val="41"/>
                <w:rFonts w:hint="eastAsia" w:ascii="宋体" w:hAnsi="宋体" w:cs="宋体"/>
                <w:color w:val="auto"/>
                <w:highlight w:val="none"/>
              </w:rPr>
              <w:t>采购文件</w:t>
            </w:r>
            <w:r>
              <w:rPr>
                <w:rStyle w:val="41"/>
                <w:rFonts w:hint="eastAsia" w:ascii="宋体" w:hAnsi="宋体" w:cs="宋体"/>
                <w:color w:val="auto"/>
                <w:szCs w:val="21"/>
                <w:highlight w:val="none"/>
              </w:rPr>
              <w:t>，并于202</w:t>
            </w:r>
            <w:r>
              <w:rPr>
                <w:rStyle w:val="41"/>
                <w:rFonts w:hint="eastAsia" w:ascii="宋体" w:hAnsi="宋体" w:cs="宋体"/>
                <w:color w:val="auto"/>
                <w:szCs w:val="21"/>
                <w:highlight w:val="none"/>
                <w:lang w:val="en-US" w:eastAsia="zh-CN"/>
              </w:rPr>
              <w:t>6</w:t>
            </w:r>
            <w:r>
              <w:rPr>
                <w:rStyle w:val="41"/>
                <w:rFonts w:hint="eastAsia" w:ascii="宋体" w:hAnsi="宋体" w:cs="宋体"/>
                <w:color w:val="auto"/>
                <w:szCs w:val="21"/>
                <w:highlight w:val="none"/>
              </w:rPr>
              <w:t>年</w:t>
            </w:r>
            <w:r>
              <w:rPr>
                <w:rStyle w:val="41"/>
                <w:rFonts w:hint="eastAsia" w:ascii="宋体" w:hAnsi="宋体" w:cs="宋体"/>
                <w:color w:val="auto"/>
                <w:szCs w:val="21"/>
                <w:highlight w:val="none"/>
              </w:rPr>
              <w:fldChar w:fldCharType="end"/>
            </w:r>
            <w:r>
              <w:rPr>
                <w:rStyle w:val="41"/>
                <w:rFonts w:hint="eastAsia" w:ascii="宋体" w:hAnsi="宋体" w:cs="宋体"/>
                <w:color w:val="auto"/>
                <w:szCs w:val="21"/>
                <w:highlight w:val="none"/>
                <w:lang w:val="en-US" w:eastAsia="zh-CN"/>
              </w:rPr>
              <w:t>4</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 xml:space="preserve">10 </w:t>
            </w:r>
            <w:r>
              <w:rPr>
                <w:rFonts w:hint="eastAsia" w:ascii="宋体" w:hAnsi="宋体" w:cs="宋体"/>
                <w:color w:val="auto"/>
                <w:szCs w:val="21"/>
                <w:highlight w:val="none"/>
                <w:u w:val="single"/>
              </w:rPr>
              <w:t>时</w:t>
            </w:r>
            <w:r>
              <w:rPr>
                <w:rFonts w:hint="eastAsia" w:ascii="宋体" w:hAnsi="宋体" w:cs="宋体"/>
                <w:color w:val="auto"/>
                <w:szCs w:val="21"/>
                <w:highlight w:val="none"/>
                <w:u w:val="single"/>
                <w:lang w:val="en-US" w:eastAsia="zh-CN"/>
              </w:rPr>
              <w:t>30</w:t>
            </w:r>
            <w:r>
              <w:rPr>
                <w:rFonts w:hint="eastAsia" w:ascii="宋体" w:hAnsi="宋体" w:cs="宋体"/>
                <w:color w:val="auto"/>
                <w:szCs w:val="21"/>
                <w:highlight w:val="none"/>
                <w:u w:val="single"/>
              </w:rPr>
              <w:t>分（北京时间）</w:t>
            </w:r>
            <w:r>
              <w:rPr>
                <w:rFonts w:hint="eastAsia" w:ascii="宋体" w:hAnsi="宋体" w:cs="宋体"/>
                <w:color w:val="auto"/>
                <w:szCs w:val="21"/>
                <w:highlight w:val="none"/>
              </w:rPr>
              <w:t>前提交响应文件。</w:t>
            </w:r>
          </w:p>
        </w:tc>
      </w:tr>
    </w:tbl>
    <w:p w14:paraId="025A4DA9">
      <w:pPr>
        <w:pStyle w:val="5"/>
        <w:spacing w:line="360" w:lineRule="auto"/>
        <w:ind w:firstLine="422" w:firstLineChars="200"/>
        <w:rPr>
          <w:rFonts w:hint="eastAsia" w:ascii="宋体" w:hAnsi="宋体" w:eastAsia="宋体" w:cs="宋体"/>
          <w:bCs w:val="0"/>
          <w:color w:val="auto"/>
          <w:sz w:val="21"/>
          <w:szCs w:val="21"/>
          <w:highlight w:val="none"/>
        </w:rPr>
      </w:pPr>
      <w:bookmarkStart w:id="4" w:name="_Toc35393629"/>
      <w:bookmarkStart w:id="5" w:name="_Toc31859"/>
      <w:bookmarkStart w:id="6" w:name="_Toc35393798"/>
      <w:bookmarkStart w:id="7" w:name="_Toc9324"/>
      <w:bookmarkStart w:id="8" w:name="_Toc28359089"/>
      <w:bookmarkStart w:id="9" w:name="_Toc28359012"/>
      <w:r>
        <w:rPr>
          <w:rFonts w:hint="eastAsia" w:ascii="宋体" w:hAnsi="宋体" w:eastAsia="宋体" w:cs="宋体"/>
          <w:bCs w:val="0"/>
          <w:color w:val="auto"/>
          <w:sz w:val="21"/>
          <w:szCs w:val="21"/>
          <w:highlight w:val="none"/>
        </w:rPr>
        <w:t>一、项目基本情况</w:t>
      </w:r>
      <w:bookmarkEnd w:id="4"/>
      <w:bookmarkEnd w:id="5"/>
      <w:bookmarkEnd w:id="6"/>
      <w:bookmarkEnd w:id="7"/>
      <w:bookmarkEnd w:id="8"/>
      <w:bookmarkEnd w:id="9"/>
    </w:p>
    <w:p w14:paraId="5D61FA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QZZC2026-C2-220031-GXRS</w:t>
      </w:r>
      <w:r>
        <w:rPr>
          <w:rFonts w:hint="eastAsia" w:ascii="宋体" w:hAnsi="宋体" w:cs="宋体"/>
          <w:color w:val="auto"/>
          <w:szCs w:val="21"/>
          <w:highlight w:val="none"/>
        </w:rPr>
        <w:t xml:space="preserve"> </w:t>
      </w:r>
    </w:p>
    <w:p w14:paraId="12C489A6">
      <w:pPr>
        <w:spacing w:line="360" w:lineRule="auto"/>
        <w:ind w:left="1470" w:leftChars="200" w:hanging="1050" w:hangingChars="5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2026年龙门镇日新村委长岭岗岭、大平坡大红柑产业道路硬化工程</w:t>
      </w:r>
    </w:p>
    <w:p w14:paraId="18E153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w:t>
      </w:r>
      <w:r>
        <w:rPr>
          <w:rFonts w:hint="eastAsia" w:ascii="宋体" w:hAnsi="宋体" w:cs="宋体"/>
          <w:color w:val="auto"/>
          <w:highlight w:val="none"/>
        </w:rPr>
        <w:t>竞争性磋商</w:t>
      </w:r>
    </w:p>
    <w:p w14:paraId="1748CB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预算总金额（元）：</w:t>
      </w:r>
      <w:r>
        <w:rPr>
          <w:rFonts w:hint="eastAsia" w:ascii="宋体" w:hAnsi="宋体" w:cs="宋体"/>
          <w:color w:val="auto"/>
          <w:szCs w:val="21"/>
          <w:highlight w:val="none"/>
          <w:lang w:val="en-US" w:eastAsia="zh-CN"/>
        </w:rPr>
        <w:t>673578.38</w:t>
      </w:r>
      <w:r>
        <w:rPr>
          <w:rFonts w:hint="eastAsia" w:ascii="宋体" w:hAnsi="宋体" w:cs="宋体"/>
          <w:color w:val="auto"/>
          <w:szCs w:val="21"/>
          <w:highlight w:val="none"/>
        </w:rPr>
        <w:t>元</w:t>
      </w:r>
    </w:p>
    <w:p w14:paraId="5EB921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51A8E7">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2026年龙门镇日新村委长岭岗岭、大平坡大红柑产业道路硬化工程</w:t>
      </w:r>
    </w:p>
    <w:p w14:paraId="7AC9AF6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数量：不限</w:t>
      </w:r>
    </w:p>
    <w:p w14:paraId="265B34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673578.38</w:t>
      </w:r>
      <w:r>
        <w:rPr>
          <w:rFonts w:hint="eastAsia" w:ascii="宋体" w:hAnsi="宋体" w:cs="宋体"/>
          <w:color w:val="auto"/>
          <w:szCs w:val="21"/>
          <w:highlight w:val="none"/>
        </w:rPr>
        <w:t>元</w:t>
      </w:r>
    </w:p>
    <w:p w14:paraId="140C089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szCs w:val="21"/>
          <w:highlight w:val="none"/>
          <w:lang w:eastAsia="zh-CN"/>
        </w:rPr>
        <w:t>2026年龙门镇日新村委长岭岗岭、大平坡大红柑产业道路硬化工程</w:t>
      </w:r>
      <w:r>
        <w:rPr>
          <w:rFonts w:hint="eastAsia" w:asciiTheme="minorEastAsia" w:hAnsiTheme="minorEastAsia" w:eastAsiaTheme="minorEastAsia" w:cstheme="minorEastAsia"/>
          <w:color w:val="auto"/>
          <w:szCs w:val="21"/>
          <w:highlight w:val="none"/>
        </w:rPr>
        <w:t>，混凝土硬底化道路长1370米</w:t>
      </w:r>
      <w:r>
        <w:rPr>
          <w:rFonts w:hint="eastAsia" w:asciiTheme="minorEastAsia" w:hAnsiTheme="minorEastAsia" w:eastAsiaTheme="minorEastAsia" w:cstheme="minorEastAsia"/>
          <w:color w:val="auto"/>
          <w:szCs w:val="21"/>
          <w:highlight w:val="none"/>
          <w:lang w:val="en-US" w:eastAsia="zh-CN"/>
        </w:rPr>
        <w:t>、</w:t>
      </w:r>
      <w:r>
        <w:rPr>
          <w:rFonts w:hint="eastAsia" w:asciiTheme="minorEastAsia" w:hAnsiTheme="minorEastAsia" w:eastAsiaTheme="minorEastAsia" w:cstheme="minorEastAsia"/>
          <w:color w:val="auto"/>
          <w:szCs w:val="21"/>
          <w:highlight w:val="none"/>
        </w:rPr>
        <w:t>路面宽度3.5米、厚度0.18米，路基宽4.5米</w:t>
      </w:r>
      <w:r>
        <w:rPr>
          <w:rFonts w:hint="eastAsia" w:asciiTheme="minorEastAsia" w:hAnsiTheme="minorEastAsia" w:eastAsiaTheme="minorEastAsia" w:cstheme="minorEastAsia"/>
          <w:color w:val="auto"/>
          <w:szCs w:val="21"/>
          <w:highlight w:val="none"/>
          <w:lang w:eastAsia="zh-CN"/>
        </w:rPr>
        <w:t>，</w:t>
      </w:r>
      <w:r>
        <w:rPr>
          <w:rFonts w:hint="eastAsia" w:ascii="宋体" w:hAnsi="宋体" w:cs="宋体"/>
          <w:color w:val="auto"/>
          <w:szCs w:val="21"/>
          <w:highlight w:val="none"/>
        </w:rPr>
        <w:t>具体详见竞争性磋商文件、工程量清单及图纸。</w:t>
      </w:r>
    </w:p>
    <w:p w14:paraId="2CB2D5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最高限价（元）：673578.38元</w:t>
      </w:r>
    </w:p>
    <w:p w14:paraId="63A672D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合同履约期限：120日历天</w:t>
      </w:r>
    </w:p>
    <w:p w14:paraId="039113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本标项（否）接受联合体竞标</w:t>
      </w:r>
    </w:p>
    <w:p w14:paraId="6FAC9EB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备注：无</w:t>
      </w:r>
    </w:p>
    <w:p w14:paraId="4C512479">
      <w:pPr>
        <w:pStyle w:val="5"/>
        <w:spacing w:line="360" w:lineRule="auto"/>
        <w:ind w:firstLine="422" w:firstLineChars="200"/>
        <w:rPr>
          <w:rFonts w:hint="eastAsia" w:ascii="宋体" w:hAnsi="宋体" w:eastAsia="宋体" w:cs="宋体"/>
          <w:bCs w:val="0"/>
          <w:color w:val="auto"/>
          <w:sz w:val="21"/>
          <w:szCs w:val="21"/>
          <w:highlight w:val="none"/>
        </w:rPr>
      </w:pPr>
      <w:bookmarkStart w:id="10" w:name="_Toc35393799"/>
      <w:bookmarkStart w:id="11" w:name="_Toc35393630"/>
      <w:bookmarkStart w:id="12" w:name="_Toc28359013"/>
      <w:bookmarkStart w:id="13" w:name="_Toc21513"/>
      <w:bookmarkStart w:id="14" w:name="_Toc28359090"/>
      <w:r>
        <w:rPr>
          <w:rFonts w:hint="eastAsia" w:ascii="宋体" w:hAnsi="宋体" w:eastAsia="宋体" w:cs="宋体"/>
          <w:bCs w:val="0"/>
          <w:color w:val="auto"/>
          <w:sz w:val="21"/>
          <w:szCs w:val="21"/>
          <w:highlight w:val="none"/>
        </w:rPr>
        <w:t>二、申请人的资格要求：</w:t>
      </w:r>
      <w:bookmarkEnd w:id="10"/>
      <w:bookmarkEnd w:id="11"/>
      <w:bookmarkEnd w:id="12"/>
      <w:bookmarkEnd w:id="13"/>
      <w:bookmarkEnd w:id="14"/>
    </w:p>
    <w:p w14:paraId="5FF122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40B537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03147D5F">
      <w:pPr>
        <w:pStyle w:val="2"/>
        <w:autoSpaceDE/>
        <w:autoSpaceDN/>
        <w:adjustRightInd/>
        <w:spacing w:after="0" w:line="360" w:lineRule="auto"/>
        <w:ind w:firstLine="420" w:firstLineChars="200"/>
        <w:rPr>
          <w:rFonts w:hint="eastAsia" w:hAnsi="宋体" w:cs="宋体"/>
          <w:color w:val="auto"/>
          <w:sz w:val="21"/>
          <w:szCs w:val="21"/>
          <w:highlight w:val="none"/>
        </w:rPr>
      </w:pPr>
      <w:bookmarkStart w:id="15" w:name="_Toc28359091"/>
      <w:bookmarkStart w:id="16" w:name="_Toc28359014"/>
      <w:r>
        <w:rPr>
          <w:rFonts w:hint="eastAsia" w:hAnsi="宋体" w:cs="宋体"/>
          <w:color w:val="auto"/>
          <w:sz w:val="21"/>
          <w:szCs w:val="21"/>
          <w:highlight w:val="none"/>
        </w:rPr>
        <w:t>3.本项目的特定资格要求：</w:t>
      </w:r>
    </w:p>
    <w:p w14:paraId="441A5C0F">
      <w:pPr>
        <w:pStyle w:val="2"/>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理。</w:t>
      </w:r>
    </w:p>
    <w:p w14:paraId="424A8E48">
      <w:pPr>
        <w:pStyle w:val="5"/>
        <w:spacing w:line="360" w:lineRule="auto"/>
        <w:ind w:firstLine="422" w:firstLineChars="200"/>
        <w:rPr>
          <w:rFonts w:hint="eastAsia" w:ascii="宋体" w:hAnsi="宋体" w:eastAsia="宋体" w:cs="宋体"/>
          <w:bCs w:val="0"/>
          <w:color w:val="auto"/>
          <w:sz w:val="21"/>
          <w:szCs w:val="21"/>
          <w:highlight w:val="none"/>
        </w:rPr>
      </w:pPr>
      <w:bookmarkStart w:id="17" w:name="_Toc13777"/>
      <w:bookmarkStart w:id="18" w:name="_Toc35393800"/>
      <w:bookmarkStart w:id="19" w:name="_Toc35393631"/>
      <w:bookmarkStart w:id="20" w:name="_Toc9125"/>
      <w:r>
        <w:rPr>
          <w:rFonts w:hint="eastAsia" w:ascii="宋体" w:hAnsi="宋体" w:eastAsia="宋体" w:cs="宋体"/>
          <w:bCs w:val="0"/>
          <w:color w:val="auto"/>
          <w:sz w:val="21"/>
          <w:szCs w:val="21"/>
          <w:highlight w:val="none"/>
        </w:rPr>
        <w:t>三、获取采购文件</w:t>
      </w:r>
      <w:bookmarkEnd w:id="15"/>
      <w:bookmarkEnd w:id="16"/>
      <w:bookmarkEnd w:id="17"/>
      <w:bookmarkEnd w:id="18"/>
      <w:bookmarkEnd w:id="19"/>
      <w:bookmarkEnd w:id="20"/>
    </w:p>
    <w:p w14:paraId="414141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27</w:t>
      </w:r>
      <w:r>
        <w:rPr>
          <w:rFonts w:hint="eastAsia" w:ascii="宋体" w:hAnsi="宋体" w:cs="宋体"/>
          <w:color w:val="auto"/>
          <w:szCs w:val="21"/>
          <w:highlight w:val="none"/>
        </w:rPr>
        <w:t>日，每天上午</w:t>
      </w:r>
      <w:r>
        <w:rPr>
          <w:rFonts w:hint="eastAsia" w:ascii="宋体" w:hAnsi="宋体" w:cs="宋体"/>
          <w:color w:val="auto"/>
          <w:szCs w:val="21"/>
          <w:highlight w:val="none"/>
          <w:lang w:val="en-US" w:eastAsia="zh-CN"/>
        </w:rPr>
        <w:t>00</w:t>
      </w:r>
      <w:r>
        <w:rPr>
          <w:rFonts w:hint="eastAsia" w:ascii="宋体" w:hAnsi="宋体" w:cs="宋体"/>
          <w:color w:val="auto"/>
          <w:szCs w:val="21"/>
          <w:highlight w:val="none"/>
        </w:rPr>
        <w:t>：00至12：00，下午1</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：00至</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59</w:t>
      </w:r>
      <w:r>
        <w:rPr>
          <w:rFonts w:hint="eastAsia" w:ascii="宋体" w:hAnsi="宋体" w:cs="宋体"/>
          <w:color w:val="auto"/>
          <w:szCs w:val="21"/>
          <w:highlight w:val="none"/>
        </w:rPr>
        <w:t>（北京时间，法定节假日除外）。</w:t>
      </w:r>
    </w:p>
    <w:p w14:paraId="7F68F126">
      <w:pPr>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地点（网址）：</w:t>
      </w:r>
      <w:r>
        <w:rPr>
          <w:rFonts w:hint="eastAsia" w:ascii="宋体" w:hAnsi="宋体"/>
          <w:color w:val="auto"/>
          <w:szCs w:val="21"/>
          <w:highlight w:val="none"/>
        </w:rPr>
        <w:t>广西政府采购云平台（https://www.gcy.zfcg.gxzf.gov.cn/）</w:t>
      </w:r>
    </w:p>
    <w:p w14:paraId="77F83ACF">
      <w:pPr>
        <w:spacing w:line="360" w:lineRule="auto"/>
        <w:ind w:firstLine="420" w:firstLineChars="200"/>
        <w:rPr>
          <w:color w:val="auto"/>
          <w:highlight w:val="none"/>
        </w:rPr>
      </w:pPr>
      <w:r>
        <w:rPr>
          <w:rFonts w:hint="eastAsia" w:ascii="宋体" w:hAnsi="宋体"/>
          <w:color w:val="auto"/>
          <w:szCs w:val="21"/>
          <w:highlight w:val="none"/>
        </w:rPr>
        <w:t>方式：供应商登录广西政府采购云平台（https://www.gcy.zfcg.gxzf.gov.cn/）在线申请获取采购文件（进入“项目采购”应用，在获取采购文件菜单中选择项目，申请获取采购文件）。</w:t>
      </w:r>
    </w:p>
    <w:p w14:paraId="08F508B8">
      <w:pPr>
        <w:pStyle w:val="5"/>
        <w:spacing w:line="360" w:lineRule="auto"/>
        <w:ind w:firstLine="422" w:firstLineChars="200"/>
        <w:rPr>
          <w:rFonts w:hint="eastAsia" w:ascii="宋体" w:hAnsi="宋体" w:eastAsia="宋体" w:cs="宋体"/>
          <w:bCs w:val="0"/>
          <w:color w:val="auto"/>
          <w:sz w:val="21"/>
          <w:szCs w:val="21"/>
          <w:highlight w:val="none"/>
        </w:rPr>
      </w:pPr>
      <w:bookmarkStart w:id="21" w:name="_Toc28970"/>
      <w:bookmarkStart w:id="22" w:name="_Toc28359092"/>
      <w:bookmarkStart w:id="23" w:name="_Toc18110"/>
      <w:bookmarkStart w:id="24" w:name="_Toc35393632"/>
      <w:bookmarkStart w:id="25" w:name="_Toc35393801"/>
      <w:bookmarkStart w:id="26" w:name="_Toc28359015"/>
      <w:r>
        <w:rPr>
          <w:rFonts w:hint="eastAsia" w:ascii="宋体" w:hAnsi="宋体" w:eastAsia="宋体" w:cs="宋体"/>
          <w:bCs w:val="0"/>
          <w:color w:val="auto"/>
          <w:sz w:val="21"/>
          <w:szCs w:val="21"/>
          <w:highlight w:val="none"/>
        </w:rPr>
        <w:t>四、响应文件提交</w:t>
      </w:r>
      <w:bookmarkEnd w:id="21"/>
      <w:bookmarkEnd w:id="22"/>
      <w:bookmarkEnd w:id="23"/>
      <w:bookmarkEnd w:id="24"/>
      <w:bookmarkEnd w:id="25"/>
      <w:bookmarkEnd w:id="26"/>
    </w:p>
    <w:p w14:paraId="3B5C3583">
      <w:pPr>
        <w:spacing w:line="360" w:lineRule="auto"/>
        <w:ind w:firstLine="420" w:firstLineChars="200"/>
        <w:rPr>
          <w:rFonts w:hint="eastAsia" w:ascii="宋体" w:hAnsi="宋体" w:cs="宋体"/>
          <w:color w:val="auto"/>
          <w:szCs w:val="21"/>
          <w:highlight w:val="none"/>
        </w:rPr>
      </w:pPr>
      <w:r>
        <w:rPr>
          <w:rFonts w:hint="eastAsia" w:ascii="宋体" w:hAnsi="宋体"/>
          <w:bCs/>
          <w:color w:val="auto"/>
          <w:szCs w:val="21"/>
          <w:highlight w:val="none"/>
        </w:rPr>
        <w:t>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5B7DC50B">
      <w:pPr>
        <w:spacing w:line="360" w:lineRule="auto"/>
        <w:ind w:firstLine="420" w:firstLineChars="200"/>
        <w:rPr>
          <w:rFonts w:hint="eastAsia" w:ascii="宋体" w:hAnsi="宋体" w:cs="宋体"/>
          <w:bCs/>
          <w:color w:val="auto"/>
          <w:szCs w:val="21"/>
          <w:highlight w:val="none"/>
        </w:rPr>
      </w:pPr>
      <w:r>
        <w:rPr>
          <w:rFonts w:hint="eastAsia" w:ascii="宋体" w:hAnsi="宋体"/>
          <w:color w:val="auto"/>
          <w:szCs w:val="21"/>
          <w:highlight w:val="none"/>
        </w:rPr>
        <w:t>地点（网址）：</w:t>
      </w:r>
      <w:r>
        <w:rPr>
          <w:rFonts w:hint="eastAsia" w:ascii="宋体" w:hAnsi="宋体" w:cs="宋体"/>
          <w:bCs/>
          <w:color w:val="auto"/>
          <w:szCs w:val="21"/>
          <w:highlight w:val="none"/>
        </w:rPr>
        <w:t>通过</w:t>
      </w:r>
      <w:r>
        <w:rPr>
          <w:rFonts w:hint="eastAsia" w:ascii="宋体" w:hAnsi="宋体" w:cs="宋体"/>
          <w:color w:val="auto"/>
          <w:highlight w:val="none"/>
        </w:rPr>
        <w:t>广西政府采购云平台（https://www.gcy.zfcg.gxzf.gov.cn/）</w:t>
      </w:r>
      <w:r>
        <w:rPr>
          <w:rFonts w:hint="eastAsia" w:ascii="宋体" w:hAnsi="宋体" w:cs="宋体"/>
          <w:color w:val="auto"/>
          <w:szCs w:val="21"/>
          <w:highlight w:val="none"/>
        </w:rPr>
        <w:t>上传响应文件，并在线竞标。</w:t>
      </w:r>
    </w:p>
    <w:p w14:paraId="02FD2AC4">
      <w:pPr>
        <w:pStyle w:val="5"/>
        <w:spacing w:line="360" w:lineRule="auto"/>
        <w:ind w:firstLine="422" w:firstLineChars="200"/>
        <w:rPr>
          <w:rFonts w:hint="eastAsia" w:ascii="宋体" w:hAnsi="宋体" w:eastAsia="宋体" w:cs="宋体"/>
          <w:bCs w:val="0"/>
          <w:color w:val="auto"/>
          <w:sz w:val="21"/>
          <w:szCs w:val="21"/>
          <w:highlight w:val="none"/>
        </w:rPr>
      </w:pPr>
      <w:bookmarkStart w:id="27" w:name="_Toc24973"/>
      <w:bookmarkStart w:id="28" w:name="_Toc35393633"/>
      <w:bookmarkStart w:id="29" w:name="_Toc28359016"/>
      <w:bookmarkStart w:id="30" w:name="_Toc3197"/>
      <w:bookmarkStart w:id="31" w:name="_Toc35393802"/>
      <w:bookmarkStart w:id="32" w:name="_Toc28359093"/>
      <w:r>
        <w:rPr>
          <w:rFonts w:hint="eastAsia" w:ascii="宋体" w:hAnsi="宋体" w:eastAsia="宋体" w:cs="宋体"/>
          <w:bCs w:val="0"/>
          <w:color w:val="auto"/>
          <w:sz w:val="21"/>
          <w:szCs w:val="21"/>
          <w:highlight w:val="none"/>
        </w:rPr>
        <w:t>五、响应文件开启</w:t>
      </w:r>
      <w:bookmarkEnd w:id="27"/>
      <w:bookmarkEnd w:id="28"/>
      <w:bookmarkEnd w:id="29"/>
      <w:bookmarkEnd w:id="30"/>
      <w:bookmarkEnd w:id="31"/>
      <w:bookmarkEnd w:id="32"/>
    </w:p>
    <w:p w14:paraId="455E46AB">
      <w:pPr>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开启时间：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 xml:space="preserve"> 30</w:t>
      </w:r>
      <w:r>
        <w:rPr>
          <w:rFonts w:hint="eastAsia" w:ascii="宋体" w:hAnsi="宋体" w:cs="宋体"/>
          <w:color w:val="auto"/>
          <w:szCs w:val="21"/>
          <w:highlight w:val="none"/>
        </w:rPr>
        <w:t>分</w:t>
      </w:r>
      <w:r>
        <w:rPr>
          <w:rFonts w:hint="eastAsia" w:ascii="宋体" w:hAnsi="宋体"/>
          <w:bCs/>
          <w:color w:val="auto"/>
          <w:szCs w:val="21"/>
          <w:highlight w:val="none"/>
        </w:rPr>
        <w:t>（北京时间）</w:t>
      </w:r>
    </w:p>
    <w:p w14:paraId="4CC9E112">
      <w:pPr>
        <w:spacing w:line="360" w:lineRule="auto"/>
        <w:ind w:firstLine="420" w:firstLineChars="200"/>
        <w:rPr>
          <w:rFonts w:hint="eastAsia" w:ascii="宋体" w:hAnsi="宋体" w:cs="宋体"/>
          <w:bCs/>
          <w:color w:val="auto"/>
          <w:szCs w:val="21"/>
          <w:highlight w:val="none"/>
        </w:rPr>
      </w:pPr>
      <w:r>
        <w:rPr>
          <w:rFonts w:hint="eastAsia" w:ascii="宋体" w:hAnsi="宋体"/>
          <w:bCs/>
          <w:color w:val="auto"/>
          <w:szCs w:val="21"/>
          <w:highlight w:val="none"/>
        </w:rPr>
        <w:t>地点：广西政府采购云平台电子开标大厅在线解密开启。</w:t>
      </w:r>
    </w:p>
    <w:p w14:paraId="77CC3CF0">
      <w:pPr>
        <w:pStyle w:val="5"/>
        <w:spacing w:line="360" w:lineRule="auto"/>
        <w:ind w:firstLine="422" w:firstLineChars="200"/>
        <w:rPr>
          <w:rFonts w:hint="eastAsia" w:ascii="宋体" w:hAnsi="宋体" w:eastAsia="宋体" w:cs="宋体"/>
          <w:bCs w:val="0"/>
          <w:color w:val="auto"/>
          <w:sz w:val="21"/>
          <w:szCs w:val="21"/>
          <w:highlight w:val="none"/>
        </w:rPr>
      </w:pPr>
      <w:bookmarkStart w:id="33" w:name="_Toc28359017"/>
      <w:bookmarkStart w:id="34" w:name="_Toc28359094"/>
      <w:bookmarkStart w:id="35" w:name="_Toc35393634"/>
      <w:bookmarkStart w:id="36" w:name="_Toc17419"/>
      <w:bookmarkStart w:id="37" w:name="_Toc5452"/>
      <w:bookmarkStart w:id="38" w:name="_Toc35393803"/>
      <w:r>
        <w:rPr>
          <w:rFonts w:hint="eastAsia" w:ascii="宋体" w:hAnsi="宋体" w:eastAsia="宋体" w:cs="宋体"/>
          <w:bCs w:val="0"/>
          <w:color w:val="auto"/>
          <w:sz w:val="21"/>
          <w:szCs w:val="21"/>
          <w:highlight w:val="none"/>
        </w:rPr>
        <w:t>六、公告期限</w:t>
      </w:r>
      <w:bookmarkEnd w:id="33"/>
      <w:bookmarkEnd w:id="34"/>
      <w:bookmarkEnd w:id="35"/>
      <w:bookmarkEnd w:id="36"/>
      <w:bookmarkEnd w:id="37"/>
      <w:bookmarkEnd w:id="38"/>
    </w:p>
    <w:p w14:paraId="714AB56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5A1D1D2F">
      <w:pPr>
        <w:pStyle w:val="5"/>
        <w:spacing w:line="360" w:lineRule="auto"/>
        <w:ind w:firstLine="422" w:firstLineChars="200"/>
        <w:rPr>
          <w:rFonts w:hint="eastAsia" w:ascii="宋体" w:hAnsi="宋体" w:eastAsia="宋体" w:cs="宋体"/>
          <w:bCs w:val="0"/>
          <w:color w:val="auto"/>
          <w:sz w:val="21"/>
          <w:szCs w:val="21"/>
          <w:highlight w:val="none"/>
        </w:rPr>
      </w:pPr>
      <w:bookmarkStart w:id="39" w:name="_Toc35393804"/>
      <w:bookmarkStart w:id="40" w:name="_Toc321"/>
      <w:bookmarkStart w:id="41" w:name="_Toc35393635"/>
      <w:bookmarkStart w:id="42" w:name="_Toc26297"/>
      <w:r>
        <w:rPr>
          <w:rFonts w:hint="eastAsia" w:ascii="宋体" w:hAnsi="宋体" w:eastAsia="宋体" w:cs="宋体"/>
          <w:bCs w:val="0"/>
          <w:color w:val="auto"/>
          <w:sz w:val="21"/>
          <w:szCs w:val="21"/>
          <w:highlight w:val="none"/>
        </w:rPr>
        <w:t>七、其他补充事宜</w:t>
      </w:r>
      <w:bookmarkEnd w:id="39"/>
      <w:bookmarkEnd w:id="40"/>
      <w:bookmarkEnd w:id="41"/>
      <w:bookmarkEnd w:id="42"/>
    </w:p>
    <w:p w14:paraId="29F570E9">
      <w:pPr>
        <w:spacing w:line="360" w:lineRule="auto"/>
        <w:ind w:firstLine="420" w:firstLineChars="200"/>
        <w:jc w:val="left"/>
        <w:rPr>
          <w:rFonts w:hint="eastAsia" w:ascii="宋体" w:hAnsi="宋体" w:cs="宋体"/>
          <w:color w:val="auto"/>
          <w:szCs w:val="21"/>
          <w:highlight w:val="none"/>
        </w:rPr>
      </w:pPr>
      <w:bookmarkStart w:id="43" w:name="_Toc28359095"/>
      <w:bookmarkStart w:id="44" w:name="_Toc28359018"/>
      <w:bookmarkStart w:id="45" w:name="_Toc35393805"/>
      <w:bookmarkStart w:id="46" w:name="_Toc35393636"/>
      <w:bookmarkStart w:id="574" w:name="_GoBack"/>
      <w:r>
        <w:rPr>
          <w:rFonts w:hint="eastAsia" w:ascii="宋体" w:hAnsi="宋体" w:cs="宋体"/>
          <w:color w:val="auto"/>
          <w:szCs w:val="21"/>
          <w:highlight w:val="none"/>
        </w:rPr>
        <w:t>1.本项目为全流程电子化政府采购项目，供应商应按照本项目采购文件和广西政府采购云平台的要求编制、加密并提交电子响应文件。未完成广西政府采购云平台供应商注册入驻并办理数字证书（CA认证）的供应商将无法参与本项目政府采购活动。供应商在使用广西政府采购云平台参与竞标过程中遇到涉及平台使用的任何问题，</w:t>
      </w:r>
      <w:r>
        <w:rPr>
          <w:rFonts w:hint="eastAsia" w:ascii="宋体" w:hAnsi="宋体"/>
          <w:color w:val="auto"/>
          <w:szCs w:val="21"/>
          <w:highlight w:val="none"/>
        </w:rPr>
        <w:t>可致电广西政府采购云平台技术支持热线咨询</w:t>
      </w:r>
      <w:r>
        <w:rPr>
          <w:rFonts w:hint="eastAsia" w:ascii="宋体" w:hAnsi="宋体" w:cs="宋体"/>
          <w:color w:val="auto"/>
          <w:szCs w:val="21"/>
          <w:highlight w:val="none"/>
        </w:rPr>
        <w:t>：</w:t>
      </w:r>
      <w:r>
        <w:rPr>
          <w:rFonts w:hint="eastAsia" w:ascii="宋体" w:hAnsi="宋体" w:cs="宋体"/>
          <w:color w:val="auto"/>
          <w:kern w:val="0"/>
          <w:szCs w:val="21"/>
          <w:highlight w:val="none"/>
        </w:rPr>
        <w:t>95763</w:t>
      </w:r>
      <w:r>
        <w:rPr>
          <w:rFonts w:hint="eastAsia" w:ascii="宋体"/>
          <w:color w:val="auto"/>
          <w:szCs w:val="21"/>
          <w:highlight w:val="none"/>
        </w:rPr>
        <w:t>。</w:t>
      </w:r>
    </w:p>
    <w:p w14:paraId="47F97682">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（1）供应商应及时熟悉掌握电子标系统操作指南（见广西政府采购云平台电子卖场首页右上角—服务中心—帮助文档—项目采购）：https：//service.zcygov.cn/#/knowledges/tree?tag=AG1DtGwBFdiHxlNdhY0r。</w:t>
      </w:r>
    </w:p>
    <w:p w14:paraId="4844273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应及时完成广西政府采购云平台供应商注册入驻和办理广西政府采购云平台CA证书申领和绑定（见广西壮族自治区政府采购网—办事服务—下载专区-CA证书申请操作指南或广西政采云西部CA办理方式）。</w:t>
      </w:r>
    </w:p>
    <w:p w14:paraId="79A1B94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（3）供应商须通过广西政府采购云平台供应商客户端软件制作电子响应文件，广西政府采购云平台供应商客户端软件请供应商自行前往下载并安装（</w:t>
      </w:r>
      <w:r>
        <w:rPr>
          <w:rFonts w:hint="eastAsia" w:ascii="宋体" w:hAnsi="宋体" w:cs="宋体"/>
          <w:color w:val="auto"/>
          <w:kern w:val="0"/>
          <w:szCs w:val="21"/>
          <w:highlight w:val="none"/>
        </w:rPr>
        <w:t>客户端下载路径：广西政府采购网（访问地址http：//zfcg.gxzf.gov.cn/）—办事服务—下载专区-广西政府采购云平台新版客户端</w:t>
      </w:r>
      <w:r>
        <w:rPr>
          <w:rFonts w:hint="eastAsia" w:ascii="宋体" w:hAnsi="宋体" w:cs="宋体"/>
          <w:color w:val="auto"/>
          <w:szCs w:val="21"/>
          <w:highlight w:val="none"/>
        </w:rPr>
        <w:t>）。</w:t>
      </w:r>
    </w:p>
    <w:p w14:paraId="4C4DD7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2.本项目需要落实的政府采购政策</w:t>
      </w:r>
    </w:p>
    <w:p w14:paraId="615102F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7BEBCA2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1FB6D6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44C8C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47C19A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694512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19F13939">
      <w:pPr>
        <w:spacing w:line="360" w:lineRule="auto"/>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http：//zfcg.gxzf.gov.cn（广西政府采购网）、http：//www.ccgp.gov.cn/（中国政府采购网）、http：//ggzy.jgswj.gxzf.gov.cn/pbggzy/[全国公共资源交易平台（广西.浦北）]。</w:t>
      </w:r>
    </w:p>
    <w:p w14:paraId="562CF521">
      <w:pPr>
        <w:widowControl/>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bidi="ar"/>
        </w:rPr>
        <w:t>监督部门：浦北县政府采购监督管理办公室   联系电话：0777-8314622</w:t>
      </w:r>
    </w:p>
    <w:p w14:paraId="6266188C">
      <w:pPr>
        <w:spacing w:line="360" w:lineRule="auto"/>
        <w:ind w:firstLine="420" w:firstLineChars="200"/>
        <w:jc w:val="left"/>
        <w:rPr>
          <w:rFonts w:hint="eastAsia" w:ascii="宋体" w:hAnsi="宋体" w:eastAsia="宋体" w:cs="宋体"/>
          <w:color w:val="auto"/>
          <w:szCs w:val="21"/>
          <w:highlight w:val="none"/>
          <w:lang w:bidi="ar"/>
        </w:rPr>
      </w:pPr>
      <w:bookmarkStart w:id="47" w:name="_Toc23726"/>
      <w:bookmarkStart w:id="48" w:name="_Toc227"/>
      <w:r>
        <w:rPr>
          <w:rFonts w:hint="eastAsia" w:ascii="宋体" w:hAnsi="宋体" w:eastAsia="宋体" w:cs="宋体"/>
          <w:color w:val="auto"/>
          <w:szCs w:val="21"/>
          <w:highlight w:val="none"/>
          <w:lang w:bidi="ar"/>
        </w:rPr>
        <w:t>5.本项目采用远程异地评标，评标主场设在浦北县公共资源交易中心【浦北县城金浦新区越秀路133号(政务中心西向县总工会楼三楼)】，分会场设在南宁市高新区科园大道东四路7号远信大厦2516室。</w:t>
      </w:r>
    </w:p>
    <w:bookmarkEnd w:id="574"/>
    <w:p w14:paraId="15C4E063">
      <w:pPr>
        <w:pStyle w:val="5"/>
        <w:spacing w:line="360" w:lineRule="auto"/>
        <w:ind w:firstLine="422" w:firstLineChars="20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八、凡对本次采购提出询问，请按以下方式联系</w:t>
      </w:r>
      <w:bookmarkEnd w:id="43"/>
      <w:bookmarkEnd w:id="44"/>
      <w:bookmarkEnd w:id="45"/>
      <w:bookmarkEnd w:id="46"/>
      <w:bookmarkEnd w:id="47"/>
      <w:bookmarkEnd w:id="48"/>
    </w:p>
    <w:p w14:paraId="3CE0F0EF">
      <w:pPr>
        <w:pStyle w:val="5"/>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49" w:name="_Toc28359096"/>
      <w:bookmarkStart w:id="50" w:name="_Toc35393637"/>
      <w:bookmarkStart w:id="51" w:name="_Toc35393806"/>
      <w:bookmarkStart w:id="52" w:name="_Toc28359019"/>
      <w:r>
        <w:rPr>
          <w:rFonts w:hint="eastAsia" w:asciiTheme="minorEastAsia" w:hAnsiTheme="minorEastAsia" w:eastAsiaTheme="minorEastAsia" w:cstheme="minorEastAsia"/>
          <w:b w:val="0"/>
          <w:bCs w:val="0"/>
          <w:color w:val="auto"/>
          <w:kern w:val="0"/>
          <w:sz w:val="21"/>
          <w:szCs w:val="21"/>
          <w:highlight w:val="none"/>
        </w:rPr>
        <w:t>1.采购人信息</w:t>
      </w:r>
      <w:bookmarkEnd w:id="49"/>
      <w:bookmarkEnd w:id="50"/>
      <w:bookmarkEnd w:id="51"/>
      <w:bookmarkEnd w:id="52"/>
    </w:p>
    <w:p w14:paraId="1C87D8CB">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w:t>
      </w:r>
      <w:r>
        <w:rPr>
          <w:rFonts w:hint="eastAsia" w:asciiTheme="minorEastAsia" w:hAnsiTheme="minorEastAsia" w:eastAsiaTheme="minorEastAsia" w:cstheme="minorEastAsia"/>
          <w:color w:val="auto"/>
          <w:kern w:val="0"/>
          <w:szCs w:val="21"/>
          <w:highlight w:val="none"/>
          <w:lang w:eastAsia="zh-CN"/>
        </w:rPr>
        <w:t>浦北县龙门镇人民政府</w:t>
      </w:r>
      <w:r>
        <w:rPr>
          <w:rFonts w:hint="eastAsia" w:asciiTheme="minorEastAsia" w:hAnsiTheme="minorEastAsia" w:eastAsiaTheme="minorEastAsia" w:cstheme="minorEastAsia"/>
          <w:color w:val="auto"/>
          <w:kern w:val="0"/>
          <w:szCs w:val="21"/>
          <w:highlight w:val="none"/>
        </w:rPr>
        <w:t xml:space="preserve">  </w:t>
      </w:r>
    </w:p>
    <w:p w14:paraId="2294A0AA">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址：浦北县龙门镇马路街5号</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3AE46716">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项目联系人：李瑞雁</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67537BD9">
      <w:pPr>
        <w:spacing w:line="360" w:lineRule="auto"/>
        <w:ind w:firstLine="420" w:firstLineChars="200"/>
        <w:jc w:val="left"/>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项目联系方式：0777-8538001</w:t>
      </w:r>
      <w:r>
        <w:rPr>
          <w:rFonts w:hint="eastAsia" w:asciiTheme="minorEastAsia" w:hAnsiTheme="minorEastAsia" w:eastAsiaTheme="minorEastAsia" w:cstheme="minorEastAsia"/>
          <w:color w:val="auto"/>
          <w:kern w:val="0"/>
          <w:szCs w:val="21"/>
          <w:highlight w:val="none"/>
          <w:lang w:val="en-US" w:eastAsia="zh-CN"/>
        </w:rPr>
        <w:t xml:space="preserve"> </w:t>
      </w:r>
      <w:r>
        <w:rPr>
          <w:rFonts w:hint="eastAsia" w:asciiTheme="minorEastAsia" w:hAnsiTheme="minorEastAsia" w:eastAsiaTheme="minorEastAsia" w:cstheme="minorEastAsia"/>
          <w:color w:val="auto"/>
          <w:kern w:val="0"/>
          <w:szCs w:val="21"/>
          <w:highlight w:val="none"/>
        </w:rPr>
        <w:t xml:space="preserve">  </w:t>
      </w:r>
    </w:p>
    <w:p w14:paraId="08C33144">
      <w:pPr>
        <w:pStyle w:val="5"/>
        <w:spacing w:line="360" w:lineRule="auto"/>
        <w:ind w:firstLine="420" w:firstLineChars="200"/>
        <w:rPr>
          <w:rFonts w:hint="eastAsia" w:asciiTheme="minorEastAsia" w:hAnsiTheme="minorEastAsia" w:eastAsiaTheme="minorEastAsia" w:cstheme="minorEastAsia"/>
          <w:b w:val="0"/>
          <w:bCs w:val="0"/>
          <w:color w:val="auto"/>
          <w:kern w:val="0"/>
          <w:sz w:val="21"/>
          <w:szCs w:val="21"/>
          <w:highlight w:val="none"/>
        </w:rPr>
      </w:pPr>
      <w:bookmarkStart w:id="53" w:name="_Toc35393807"/>
      <w:bookmarkStart w:id="54" w:name="_Toc35393638"/>
      <w:bookmarkStart w:id="55" w:name="_Toc28359020"/>
      <w:bookmarkStart w:id="56" w:name="_Toc28359097"/>
      <w:r>
        <w:rPr>
          <w:rFonts w:hint="eastAsia" w:asciiTheme="minorEastAsia" w:hAnsiTheme="minorEastAsia" w:eastAsiaTheme="minorEastAsia" w:cstheme="minorEastAsia"/>
          <w:b w:val="0"/>
          <w:bCs w:val="0"/>
          <w:color w:val="auto"/>
          <w:kern w:val="0"/>
          <w:sz w:val="21"/>
          <w:szCs w:val="21"/>
          <w:highlight w:val="none"/>
        </w:rPr>
        <w:t>2.采购代理机构信息</w:t>
      </w:r>
      <w:bookmarkEnd w:id="53"/>
      <w:bookmarkEnd w:id="54"/>
      <w:bookmarkEnd w:id="55"/>
      <w:bookmarkEnd w:id="56"/>
    </w:p>
    <w:p w14:paraId="4345B3BA">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名    称：广西荣胜项目管理有限公司　</w:t>
      </w:r>
    </w:p>
    <w:p w14:paraId="640CBEFC">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bookmarkStart w:id="57" w:name="_Toc35393808"/>
      <w:bookmarkStart w:id="58" w:name="_Toc28359098"/>
      <w:bookmarkStart w:id="59" w:name="_Toc28359021"/>
      <w:bookmarkStart w:id="60" w:name="_Toc35393639"/>
      <w:r>
        <w:rPr>
          <w:rFonts w:hint="eastAsia" w:asciiTheme="minorEastAsia" w:hAnsiTheme="minorEastAsia" w:eastAsiaTheme="minorEastAsia" w:cstheme="minorEastAsia"/>
          <w:color w:val="auto"/>
          <w:kern w:val="0"/>
          <w:szCs w:val="21"/>
          <w:highlight w:val="none"/>
        </w:rPr>
        <w:t>钦州市蓬莱大道鸿亭街333号皇庭天麓湖小区183栋203室       </w:t>
      </w:r>
    </w:p>
    <w:p w14:paraId="5807B046">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项目联系人：黄洁</w:t>
      </w:r>
      <w:r>
        <w:rPr>
          <w:rFonts w:hint="eastAsia" w:asciiTheme="minorEastAsia" w:hAnsiTheme="minorEastAsia" w:eastAsiaTheme="minorEastAsia" w:cstheme="minorEastAsia"/>
          <w:color w:val="auto"/>
          <w:kern w:val="0"/>
          <w:szCs w:val="21"/>
          <w:highlight w:val="none"/>
        </w:rPr>
        <w:tab/>
      </w:r>
    </w:p>
    <w:p w14:paraId="3A024865">
      <w:pPr>
        <w:spacing w:line="360" w:lineRule="auto"/>
        <w:ind w:firstLine="420" w:firstLineChars="20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项目联系方式：</w:t>
      </w:r>
      <w:bookmarkEnd w:id="57"/>
      <w:bookmarkEnd w:id="58"/>
      <w:bookmarkEnd w:id="59"/>
      <w:bookmarkEnd w:id="60"/>
      <w:r>
        <w:rPr>
          <w:rFonts w:hint="eastAsia" w:asciiTheme="minorEastAsia" w:hAnsiTheme="minorEastAsia" w:eastAsiaTheme="minorEastAsia" w:cstheme="minorEastAsia"/>
          <w:color w:val="auto"/>
          <w:kern w:val="0"/>
          <w:szCs w:val="21"/>
          <w:highlight w:val="none"/>
        </w:rPr>
        <w:t>0777-5512166</w:t>
      </w:r>
    </w:p>
    <w:p w14:paraId="04A011CD">
      <w:pPr>
        <w:pStyle w:val="3"/>
        <w:spacing w:line="360" w:lineRule="auto"/>
        <w:rPr>
          <w:rFonts w:hint="eastAsia"/>
          <w:color w:val="auto"/>
          <w:highlight w:val="none"/>
        </w:rPr>
      </w:pPr>
    </w:p>
    <w:p w14:paraId="0BD7A76A">
      <w:pPr>
        <w:spacing w:line="360" w:lineRule="auto"/>
        <w:rPr>
          <w:rFonts w:hint="eastAsia" w:asciiTheme="minorEastAsia" w:hAnsiTheme="minorEastAsia" w:eastAsiaTheme="minorEastAsia" w:cstheme="minorEastAsia"/>
          <w:color w:val="auto"/>
          <w:kern w:val="0"/>
          <w:szCs w:val="21"/>
          <w:highlight w:val="none"/>
        </w:rPr>
      </w:pPr>
    </w:p>
    <w:p w14:paraId="6B3E3AFD">
      <w:pPr>
        <w:spacing w:line="360" w:lineRule="auto"/>
        <w:ind w:firstLine="420" w:firstLineChars="200"/>
        <w:jc w:val="center"/>
        <w:rPr>
          <w:rFonts w:hint="eastAsia" w:ascii="宋体" w:hAnsi="宋体" w:cs="宋体"/>
          <w:color w:val="auto"/>
          <w:highlight w:val="none"/>
        </w:rPr>
      </w:pPr>
      <w:r>
        <w:rPr>
          <w:rFonts w:hint="eastAsia" w:ascii="宋体" w:hAnsi="宋体" w:cs="宋体"/>
          <w:color w:val="auto"/>
          <w:highlight w:val="none"/>
        </w:rPr>
        <w:t xml:space="preserve">                                                       广西荣胜项目管理有限公司</w:t>
      </w:r>
    </w:p>
    <w:p w14:paraId="4D69DF90">
      <w:pPr>
        <w:pStyle w:val="2"/>
        <w:spacing w:after="0" w:line="360" w:lineRule="auto"/>
        <w:ind w:left="210" w:leftChars="100" w:firstLine="6930" w:firstLineChars="3300"/>
        <w:rPr>
          <w:rFonts w:hint="eastAsia" w:hAnsi="宋体" w:cs="宋体"/>
          <w:b/>
          <w:bCs/>
          <w:color w:val="auto"/>
          <w:sz w:val="28"/>
          <w:szCs w:val="28"/>
          <w:highlight w:val="none"/>
        </w:rPr>
      </w:pPr>
      <w:r>
        <w:rPr>
          <w:rFonts w:hint="eastAsia" w:hAnsi="宋体" w:cs="宋体"/>
          <w:color w:val="auto"/>
          <w:kern w:val="2"/>
          <w:sz w:val="21"/>
          <w:szCs w:val="24"/>
          <w:highlight w:val="none"/>
        </w:rPr>
        <w:t>202</w:t>
      </w:r>
      <w:r>
        <w:rPr>
          <w:rFonts w:hint="eastAsia" w:hAnsi="宋体" w:cs="宋体"/>
          <w:color w:val="auto"/>
          <w:kern w:val="2"/>
          <w:sz w:val="21"/>
          <w:szCs w:val="24"/>
          <w:highlight w:val="none"/>
          <w:lang w:val="en-US" w:eastAsia="zh-CN"/>
        </w:rPr>
        <w:t>6</w:t>
      </w:r>
      <w:r>
        <w:rPr>
          <w:rFonts w:hint="eastAsia" w:hAnsi="宋体" w:cs="宋体"/>
          <w:color w:val="auto"/>
          <w:kern w:val="2"/>
          <w:sz w:val="21"/>
          <w:szCs w:val="24"/>
          <w:highlight w:val="none"/>
        </w:rPr>
        <w:t>年</w:t>
      </w:r>
      <w:r>
        <w:rPr>
          <w:rFonts w:hint="eastAsia" w:hAnsi="宋体" w:cs="宋体"/>
          <w:color w:val="auto"/>
          <w:kern w:val="2"/>
          <w:sz w:val="21"/>
          <w:szCs w:val="24"/>
          <w:highlight w:val="none"/>
          <w:lang w:val="en-US" w:eastAsia="zh-CN"/>
        </w:rPr>
        <w:t>4</w:t>
      </w:r>
      <w:r>
        <w:rPr>
          <w:rFonts w:hint="eastAsia" w:hAnsi="宋体" w:cs="宋体"/>
          <w:color w:val="auto"/>
          <w:kern w:val="2"/>
          <w:sz w:val="21"/>
          <w:szCs w:val="24"/>
          <w:highlight w:val="none"/>
        </w:rPr>
        <w:t>月</w:t>
      </w:r>
      <w:r>
        <w:rPr>
          <w:rFonts w:hint="eastAsia" w:hAnsi="宋体" w:cs="宋体"/>
          <w:color w:val="auto"/>
          <w:kern w:val="2"/>
          <w:sz w:val="21"/>
          <w:szCs w:val="24"/>
          <w:highlight w:val="none"/>
          <w:lang w:val="en-US" w:eastAsia="zh-CN"/>
        </w:rPr>
        <w:t>13</w:t>
      </w:r>
      <w:r>
        <w:rPr>
          <w:rFonts w:hint="eastAsia" w:hAnsi="宋体" w:cs="宋体"/>
          <w:color w:val="auto"/>
          <w:kern w:val="2"/>
          <w:sz w:val="21"/>
          <w:szCs w:val="24"/>
          <w:highlight w:val="none"/>
        </w:rPr>
        <w:t>日</w:t>
      </w:r>
    </w:p>
    <w:p w14:paraId="71B287A1">
      <w:pPr>
        <w:pStyle w:val="3"/>
        <w:rPr>
          <w:rFonts w:hint="eastAsia" w:asciiTheme="minorEastAsia" w:hAnsiTheme="minorEastAsia" w:eastAsiaTheme="minorEastAsia" w:cstheme="minorEastAsia"/>
          <w:color w:val="auto"/>
          <w:szCs w:val="21"/>
          <w:highlight w:val="none"/>
        </w:rPr>
      </w:pPr>
    </w:p>
    <w:p w14:paraId="690A100A">
      <w:pPr>
        <w:pStyle w:val="3"/>
        <w:rPr>
          <w:rFonts w:hint="eastAsia" w:ascii="宋体" w:hAnsi="宋体" w:eastAsia="宋体" w:cs="宋体"/>
          <w:color w:val="auto"/>
          <w:szCs w:val="21"/>
          <w:highlight w:val="none"/>
        </w:rPr>
      </w:pPr>
    </w:p>
    <w:p w14:paraId="58986286">
      <w:pPr>
        <w:pStyle w:val="3"/>
        <w:rPr>
          <w:rFonts w:hint="eastAsia" w:ascii="宋体" w:hAnsi="宋体" w:eastAsia="宋体" w:cs="宋体"/>
          <w:color w:val="auto"/>
          <w:szCs w:val="21"/>
          <w:highlight w:val="none"/>
        </w:rPr>
      </w:pPr>
    </w:p>
    <w:p w14:paraId="690881FF">
      <w:pPr>
        <w:numPr>
          <w:ilvl w:val="0"/>
          <w:numId w:val="1"/>
        </w:numPr>
        <w:jc w:val="center"/>
        <w:outlineLvl w:val="0"/>
        <w:rPr>
          <w:rFonts w:hint="eastAsia" w:ascii="宋体" w:hAnsi="宋体" w:cs="宋体"/>
          <w:b/>
          <w:bCs/>
          <w:color w:val="auto"/>
          <w:kern w:val="0"/>
          <w:sz w:val="36"/>
          <w:szCs w:val="36"/>
          <w:highlight w:val="none"/>
        </w:rPr>
      </w:pPr>
      <w:bookmarkStart w:id="61" w:name="_Toc5416"/>
      <w:r>
        <w:rPr>
          <w:rFonts w:hint="eastAsia" w:ascii="宋体" w:hAnsi="宋体" w:cs="宋体"/>
          <w:b/>
          <w:bCs/>
          <w:color w:val="auto"/>
          <w:kern w:val="0"/>
          <w:sz w:val="36"/>
          <w:szCs w:val="36"/>
          <w:highlight w:val="none"/>
        </w:rPr>
        <w:t>供应商须知前附表</w:t>
      </w:r>
      <w:bookmarkEnd w:id="61"/>
    </w:p>
    <w:bookmarkEnd w:id="2"/>
    <w:tbl>
      <w:tblPr>
        <w:tblStyle w:val="31"/>
        <w:tblpPr w:leftFromText="180" w:rightFromText="180" w:vertAnchor="text" w:horzAnchor="page" w:tblpX="1215" w:tblpY="304"/>
        <w:tblOverlap w:val="never"/>
        <w:tblW w:w="9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602"/>
        <w:gridCol w:w="7399"/>
      </w:tblGrid>
      <w:tr w14:paraId="59B0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13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602" w:type="dxa"/>
            <w:tcBorders>
              <w:top w:val="single" w:color="auto" w:sz="4" w:space="0"/>
              <w:left w:val="single" w:color="auto" w:sz="4" w:space="0"/>
              <w:bottom w:val="single" w:color="auto" w:sz="4" w:space="0"/>
              <w:right w:val="single" w:color="auto" w:sz="4" w:space="0"/>
            </w:tcBorders>
            <w:vAlign w:val="center"/>
          </w:tcPr>
          <w:p w14:paraId="149EF1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条款名称</w:t>
            </w:r>
          </w:p>
        </w:tc>
        <w:tc>
          <w:tcPr>
            <w:tcW w:w="7399" w:type="dxa"/>
            <w:tcBorders>
              <w:top w:val="single" w:color="auto" w:sz="4" w:space="0"/>
              <w:left w:val="single" w:color="auto" w:sz="4" w:space="0"/>
              <w:bottom w:val="single" w:color="auto" w:sz="4" w:space="0"/>
              <w:right w:val="single" w:color="auto" w:sz="4" w:space="0"/>
            </w:tcBorders>
            <w:vAlign w:val="center"/>
          </w:tcPr>
          <w:p w14:paraId="30AF8C8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内容</w:t>
            </w:r>
          </w:p>
        </w:tc>
      </w:tr>
      <w:tr w14:paraId="371F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532947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602" w:type="dxa"/>
            <w:tcBorders>
              <w:top w:val="single" w:color="auto" w:sz="4" w:space="0"/>
              <w:left w:val="single" w:color="auto" w:sz="4" w:space="0"/>
              <w:bottom w:val="single" w:color="auto" w:sz="4" w:space="0"/>
              <w:right w:val="single" w:color="auto" w:sz="4" w:space="0"/>
            </w:tcBorders>
            <w:vAlign w:val="center"/>
          </w:tcPr>
          <w:p w14:paraId="71A01FC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项目名称和编号</w:t>
            </w:r>
          </w:p>
        </w:tc>
        <w:tc>
          <w:tcPr>
            <w:tcW w:w="7399" w:type="dxa"/>
            <w:tcBorders>
              <w:top w:val="single" w:color="auto" w:sz="4" w:space="0"/>
              <w:left w:val="single" w:color="auto" w:sz="4" w:space="0"/>
              <w:bottom w:val="single" w:color="auto" w:sz="4" w:space="0"/>
              <w:right w:val="single" w:color="auto" w:sz="4" w:space="0"/>
            </w:tcBorders>
            <w:vAlign w:val="center"/>
          </w:tcPr>
          <w:p w14:paraId="26F0A702">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2026年龙门镇日新村委长岭岗岭、大平坡大红柑产业道路硬化工程</w:t>
            </w:r>
          </w:p>
          <w:p w14:paraId="7943BFBB">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QZZC2026-C2-220031-GXRS</w:t>
            </w:r>
            <w:r>
              <w:rPr>
                <w:rFonts w:hint="eastAsia" w:ascii="宋体" w:hAnsi="宋体" w:cs="宋体"/>
                <w:color w:val="auto"/>
                <w:szCs w:val="21"/>
                <w:highlight w:val="none"/>
              </w:rPr>
              <w:t xml:space="preserve"> </w:t>
            </w:r>
          </w:p>
        </w:tc>
      </w:tr>
      <w:tr w14:paraId="0C6A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48" w:type="dxa"/>
            <w:tcBorders>
              <w:top w:val="single" w:color="auto" w:sz="4" w:space="0"/>
              <w:left w:val="single" w:color="auto" w:sz="4" w:space="0"/>
              <w:bottom w:val="single" w:color="auto" w:sz="4" w:space="0"/>
              <w:right w:val="single" w:color="auto" w:sz="4" w:space="0"/>
            </w:tcBorders>
            <w:vAlign w:val="center"/>
          </w:tcPr>
          <w:p w14:paraId="4884B2B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602" w:type="dxa"/>
            <w:tcBorders>
              <w:top w:val="single" w:color="auto" w:sz="4" w:space="0"/>
              <w:left w:val="single" w:color="auto" w:sz="4" w:space="0"/>
              <w:bottom w:val="single" w:color="auto" w:sz="4" w:space="0"/>
              <w:right w:val="single" w:color="auto" w:sz="4" w:space="0"/>
            </w:tcBorders>
            <w:vAlign w:val="center"/>
          </w:tcPr>
          <w:p w14:paraId="25CA0B2D">
            <w:pPr>
              <w:pStyle w:val="15"/>
              <w:spacing w:line="360" w:lineRule="auto"/>
              <w:jc w:val="center"/>
              <w:rPr>
                <w:rFonts w:hint="eastAsia" w:hAnsi="宋体" w:cs="宋体"/>
                <w:color w:val="auto"/>
                <w:highlight w:val="none"/>
              </w:rPr>
            </w:pPr>
            <w:r>
              <w:rPr>
                <w:rFonts w:hint="eastAsia"/>
                <w:color w:val="auto"/>
                <w:highlight w:val="none"/>
              </w:rPr>
              <w:t>供应商资格</w:t>
            </w:r>
          </w:p>
        </w:tc>
        <w:tc>
          <w:tcPr>
            <w:tcW w:w="7399" w:type="dxa"/>
            <w:tcBorders>
              <w:top w:val="single" w:color="auto" w:sz="4" w:space="0"/>
              <w:left w:val="single" w:color="auto" w:sz="4" w:space="0"/>
              <w:bottom w:val="single" w:color="auto" w:sz="4" w:space="0"/>
              <w:right w:val="single" w:color="auto" w:sz="4" w:space="0"/>
            </w:tcBorders>
            <w:vAlign w:val="center"/>
          </w:tcPr>
          <w:p w14:paraId="531B8341">
            <w:pPr>
              <w:spacing w:line="360" w:lineRule="auto"/>
              <w:jc w:val="left"/>
              <w:rPr>
                <w:b/>
                <w:bCs/>
                <w:color w:val="auto"/>
                <w:highlight w:val="none"/>
              </w:rPr>
            </w:pPr>
            <w:bookmarkStart w:id="62" w:name="OLE_LINK8"/>
            <w:r>
              <w:rPr>
                <w:rFonts w:hint="eastAsia"/>
                <w:b/>
                <w:bCs/>
                <w:color w:val="auto"/>
                <w:highlight w:val="none"/>
              </w:rPr>
              <w:t>供应商资格要求：</w:t>
            </w:r>
          </w:p>
          <w:bookmarkEnd w:id="62"/>
          <w:p w14:paraId="61874082">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1.符合《中华人民共和国政府采购法》第二十二条规定。 </w:t>
            </w:r>
          </w:p>
          <w:p w14:paraId="1CC2AA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2.落实政府采购政策需满足的资格要求：本项目属于专门面向中小企业采购的项目，供应商须为中小企业或监狱企业或残疾人福利性单位。</w:t>
            </w:r>
          </w:p>
          <w:p w14:paraId="73195999">
            <w:pPr>
              <w:pStyle w:val="2"/>
              <w:autoSpaceDE/>
              <w:autoSpaceDN/>
              <w:adjustRightInd/>
              <w:spacing w:after="0" w:line="360" w:lineRule="auto"/>
              <w:rPr>
                <w:rFonts w:hint="eastAsia" w:hAnsi="宋体" w:cs="宋体"/>
                <w:color w:val="auto"/>
                <w:sz w:val="21"/>
                <w:szCs w:val="21"/>
                <w:highlight w:val="none"/>
              </w:rPr>
            </w:pPr>
            <w:r>
              <w:rPr>
                <w:rFonts w:hint="eastAsia" w:hAnsi="宋体" w:cs="宋体"/>
                <w:color w:val="auto"/>
                <w:sz w:val="21"/>
                <w:szCs w:val="21"/>
                <w:highlight w:val="none"/>
              </w:rPr>
              <w:t>3.本项目的特定资格要求：</w:t>
            </w:r>
          </w:p>
          <w:p w14:paraId="1C4435AE">
            <w:pPr>
              <w:pStyle w:val="2"/>
              <w:autoSpaceDE/>
              <w:autoSpaceDN/>
              <w:adjustRightInd/>
              <w:spacing w:after="0" w:line="360" w:lineRule="auto"/>
              <w:ind w:firstLine="420" w:firstLineChars="200"/>
              <w:rPr>
                <w:rFonts w:hint="eastAsia" w:hAnsi="宋体" w:cs="宋体"/>
                <w:color w:val="auto"/>
                <w:sz w:val="21"/>
                <w:szCs w:val="21"/>
                <w:highlight w:val="none"/>
              </w:rPr>
            </w:pPr>
            <w:r>
              <w:rPr>
                <w:rFonts w:hint="eastAsia" w:hAnsi="宋体" w:cs="宋体"/>
                <w:color w:val="auto"/>
                <w:sz w:val="21"/>
                <w:szCs w:val="21"/>
                <w:highlight w:val="none"/>
              </w:rPr>
              <w:t>（1）本项目供应商企业资质要求具备公路工程施工总承包三级(含三级)以上资质，</w:t>
            </w:r>
            <w:r>
              <w:rPr>
                <w:rFonts w:hint="eastAsia" w:hAnsi="宋体" w:cs="宋体"/>
                <w:color w:val="auto"/>
                <w:sz w:val="21"/>
                <w:szCs w:val="21"/>
                <w:highlight w:val="none"/>
                <w:lang w:eastAsia="zh-CN"/>
              </w:rPr>
              <w:t>且</w:t>
            </w:r>
            <w:r>
              <w:rPr>
                <w:rFonts w:hint="eastAsia" w:hAnsi="宋体" w:cs="宋体"/>
                <w:color w:val="auto"/>
                <w:sz w:val="21"/>
                <w:szCs w:val="21"/>
                <w:highlight w:val="none"/>
              </w:rPr>
              <w:t>具备省级及以上建设行政主管部门颁发的安全生产许可证。并在人员、设备、资金等方面具有相应的施工能力；</w:t>
            </w:r>
            <w:r>
              <w:rPr>
                <w:rFonts w:hint="eastAsia" w:hAnsi="宋体" w:cs="宋体"/>
                <w:color w:val="auto"/>
                <w:sz w:val="21"/>
                <w:szCs w:val="21"/>
                <w:highlight w:val="none"/>
              </w:rPr>
              <w:br w:type="textWrapping"/>
            </w:r>
            <w:r>
              <w:rPr>
                <w:rFonts w:hint="eastAsia" w:hAnsi="宋体" w:cs="宋体"/>
                <w:color w:val="auto"/>
                <w:sz w:val="21"/>
                <w:szCs w:val="21"/>
                <w:highlight w:val="none"/>
              </w:rPr>
              <w:t xml:space="preserve">    （2）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理。</w:t>
            </w:r>
          </w:p>
          <w:p w14:paraId="494CA76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供应商出现下列情形之一的，不得参加政府采购活动：</w:t>
            </w:r>
          </w:p>
          <w:p w14:paraId="1CBF02B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6D820B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2.对在“信用中国”网站（www.creditchina.gov.cn）、中国政府采购网（www.ccgp.gov.cn）</w:t>
            </w:r>
            <w:r>
              <w:rPr>
                <w:rFonts w:hint="eastAsia" w:ascii="宋体" w:hAnsi="宋体" w:cs="宋体"/>
                <w:color w:val="auto"/>
                <w:szCs w:val="21"/>
                <w:highlight w:val="none"/>
                <w:lang w:eastAsia="zh-CN"/>
              </w:rPr>
              <w:t>、</w:t>
            </w:r>
            <w:r>
              <w:rPr>
                <w:rFonts w:hint="eastAsia" w:ascii="宋体" w:hAnsi="宋体" w:cs="宋体"/>
                <w:color w:val="auto"/>
                <w:szCs w:val="21"/>
                <w:highlight w:val="none"/>
                <w:lang w:eastAsia="zh-CN" w:bidi="ar"/>
              </w:rPr>
              <w:t>中国执行信息公开网（https://zxgk.court.gov.cn/）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67355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48" w:type="dxa"/>
            <w:tcBorders>
              <w:top w:val="single" w:color="auto" w:sz="4" w:space="0"/>
              <w:left w:val="single" w:color="auto" w:sz="4" w:space="0"/>
              <w:bottom w:val="single" w:color="auto" w:sz="4" w:space="0"/>
              <w:right w:val="single" w:color="auto" w:sz="4" w:space="0"/>
            </w:tcBorders>
            <w:vAlign w:val="center"/>
          </w:tcPr>
          <w:p w14:paraId="7BAA080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602" w:type="dxa"/>
            <w:tcBorders>
              <w:top w:val="single" w:color="auto" w:sz="4" w:space="0"/>
              <w:left w:val="single" w:color="auto" w:sz="4" w:space="0"/>
              <w:bottom w:val="single" w:color="auto" w:sz="4" w:space="0"/>
              <w:right w:val="single" w:color="auto" w:sz="4" w:space="0"/>
            </w:tcBorders>
            <w:vAlign w:val="center"/>
          </w:tcPr>
          <w:p w14:paraId="4502A4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竞标报价</w:t>
            </w:r>
          </w:p>
        </w:tc>
        <w:tc>
          <w:tcPr>
            <w:tcW w:w="7399" w:type="dxa"/>
            <w:tcBorders>
              <w:top w:val="single" w:color="auto" w:sz="4" w:space="0"/>
              <w:left w:val="single" w:color="auto" w:sz="4" w:space="0"/>
              <w:bottom w:val="single" w:color="auto" w:sz="4" w:space="0"/>
              <w:right w:val="single" w:color="auto" w:sz="4" w:space="0"/>
            </w:tcBorders>
            <w:vAlign w:val="center"/>
          </w:tcPr>
          <w:p w14:paraId="1178FF0D">
            <w:pPr>
              <w:spacing w:line="360" w:lineRule="auto"/>
              <w:jc w:val="left"/>
              <w:rPr>
                <w:rFonts w:hint="eastAsia" w:ascii="宋体" w:hAnsi="宋体" w:cs="宋体"/>
                <w:color w:val="auto"/>
                <w:highlight w:val="none"/>
              </w:rPr>
            </w:pPr>
            <w:r>
              <w:rPr>
                <w:rFonts w:hint="eastAsia" w:ascii="宋体" w:hAnsi="宋体" w:cs="宋体"/>
                <w:color w:val="auto"/>
                <w:highlight w:val="none"/>
              </w:rPr>
              <w:t>竞标报价：</w:t>
            </w:r>
          </w:p>
          <w:p w14:paraId="69DD6080">
            <w:pPr>
              <w:spacing w:line="360" w:lineRule="auto"/>
              <w:jc w:val="left"/>
              <w:rPr>
                <w:rFonts w:hint="eastAsia" w:ascii="宋体" w:hAnsi="宋体" w:cs="宋体"/>
                <w:color w:val="auto"/>
                <w:highlight w:val="none"/>
              </w:rPr>
            </w:pPr>
            <w:r>
              <w:rPr>
                <w:rFonts w:hint="eastAsia" w:ascii="宋体" w:hAnsi="宋体" w:cs="宋体"/>
                <w:color w:val="auto"/>
                <w:highlight w:val="none"/>
              </w:rPr>
              <w:t xml:space="preserve">1.供应商必须就所投项目的全部内容作完整唯一报价，漏项报价的或有选择的或有条件的报价，其磋商将视为无效。                        </w:t>
            </w:r>
          </w:p>
          <w:p w14:paraId="6CCBF2FA">
            <w:pPr>
              <w:spacing w:line="360" w:lineRule="auto"/>
              <w:jc w:val="left"/>
              <w:rPr>
                <w:rFonts w:hint="eastAsia" w:ascii="宋体" w:hAnsi="宋体" w:cs="宋体"/>
                <w:color w:val="auto"/>
                <w:szCs w:val="21"/>
                <w:highlight w:val="none"/>
              </w:rPr>
            </w:pPr>
            <w:r>
              <w:rPr>
                <w:rFonts w:hint="eastAsia" w:ascii="宋体" w:hAnsi="宋体" w:cs="宋体"/>
                <w:color w:val="auto"/>
                <w:highlight w:val="none"/>
              </w:rPr>
              <w:t>2.本项目报价采用工程量清单报价方式，合同价在合同实施期间因市场价格波动可调整合同价格，合同价含服务资料、人员成本、服务费、管理、材料、利润、税金、政策性文件规定及合同包含的应有风险、责任等各项应有费用。</w:t>
            </w:r>
          </w:p>
        </w:tc>
      </w:tr>
      <w:tr w14:paraId="4738F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036DF0A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602" w:type="dxa"/>
            <w:tcBorders>
              <w:top w:val="single" w:color="auto" w:sz="4" w:space="0"/>
              <w:left w:val="single" w:color="auto" w:sz="4" w:space="0"/>
              <w:bottom w:val="single" w:color="auto" w:sz="4" w:space="0"/>
              <w:right w:val="single" w:color="auto" w:sz="4" w:space="0"/>
            </w:tcBorders>
            <w:vAlign w:val="center"/>
          </w:tcPr>
          <w:p w14:paraId="2BB63A1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响应文件电子版要求</w:t>
            </w:r>
          </w:p>
        </w:tc>
        <w:tc>
          <w:tcPr>
            <w:tcW w:w="7399" w:type="dxa"/>
            <w:tcBorders>
              <w:top w:val="single" w:color="auto" w:sz="4" w:space="0"/>
              <w:left w:val="single" w:color="auto" w:sz="4" w:space="0"/>
              <w:bottom w:val="single" w:color="auto" w:sz="4" w:space="0"/>
              <w:right w:val="single" w:color="auto" w:sz="4" w:space="0"/>
            </w:tcBorders>
            <w:vAlign w:val="center"/>
          </w:tcPr>
          <w:p w14:paraId="08DF7520">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1.响应文件电子版要求：按照本采购文件“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7F9D0E4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Courier New"/>
                <w:color w:val="auto"/>
                <w:szCs w:val="21"/>
                <w:highlight w:val="none"/>
              </w:rPr>
              <w:t>.响应文件电子版密封方式：电子响应文件通过平台有效CA加密后在广西政府采购云平台递交。</w:t>
            </w:r>
          </w:p>
        </w:tc>
      </w:tr>
      <w:tr w14:paraId="393E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8" w:type="dxa"/>
            <w:tcBorders>
              <w:top w:val="single" w:color="auto" w:sz="4" w:space="0"/>
              <w:left w:val="single" w:color="auto" w:sz="4" w:space="0"/>
              <w:bottom w:val="single" w:color="auto" w:sz="4" w:space="0"/>
              <w:right w:val="single" w:color="auto" w:sz="4" w:space="0"/>
            </w:tcBorders>
            <w:vAlign w:val="center"/>
          </w:tcPr>
          <w:p w14:paraId="708F00B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602" w:type="dxa"/>
            <w:tcBorders>
              <w:top w:val="single" w:color="auto" w:sz="4" w:space="0"/>
              <w:left w:val="single" w:color="auto" w:sz="4" w:space="0"/>
              <w:bottom w:val="single" w:color="auto" w:sz="4" w:space="0"/>
              <w:right w:val="single" w:color="auto" w:sz="4" w:space="0"/>
            </w:tcBorders>
            <w:vAlign w:val="center"/>
          </w:tcPr>
          <w:p w14:paraId="391AA24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备份响应文件</w:t>
            </w:r>
          </w:p>
        </w:tc>
        <w:tc>
          <w:tcPr>
            <w:tcW w:w="7399" w:type="dxa"/>
            <w:tcBorders>
              <w:top w:val="single" w:color="auto" w:sz="4" w:space="0"/>
              <w:left w:val="single" w:color="auto" w:sz="4" w:space="0"/>
              <w:bottom w:val="single" w:color="auto" w:sz="4" w:space="0"/>
              <w:right w:val="single" w:color="auto" w:sz="4" w:space="0"/>
            </w:tcBorders>
            <w:vAlign w:val="center"/>
          </w:tcPr>
          <w:p w14:paraId="4DD144B4">
            <w:pPr>
              <w:pStyle w:val="11"/>
              <w:spacing w:line="360" w:lineRule="auto"/>
              <w:rPr>
                <w:rFonts w:hint="eastAsia" w:ascii="宋体" w:hAnsi="宋体"/>
                <w:color w:val="auto"/>
                <w:szCs w:val="21"/>
                <w:highlight w:val="none"/>
              </w:rPr>
            </w:pPr>
            <w:r>
              <w:rPr>
                <w:rFonts w:hint="eastAsia" w:ascii="宋体" w:hAnsi="宋体"/>
                <w:color w:val="auto"/>
                <w:szCs w:val="21"/>
                <w:highlight w:val="none"/>
              </w:rPr>
              <w:t>☑本项目不接受</w:t>
            </w:r>
            <w:r>
              <w:rPr>
                <w:color w:val="auto"/>
                <w:highlight w:val="none"/>
              </w:rPr>
              <w:t>电子备份响应文件</w:t>
            </w:r>
            <w:r>
              <w:rPr>
                <w:rFonts w:hint="eastAsia"/>
                <w:color w:val="auto"/>
                <w:highlight w:val="none"/>
              </w:rPr>
              <w:t>。</w:t>
            </w:r>
          </w:p>
          <w:p w14:paraId="70459A55">
            <w:pPr>
              <w:pStyle w:val="11"/>
              <w:spacing w:line="360" w:lineRule="auto"/>
              <w:rPr>
                <w:rFonts w:hint="eastAsia" w:ascii="宋体" w:hAnsi="宋体" w:cs="宋体"/>
                <w:color w:val="auto"/>
                <w:szCs w:val="21"/>
                <w:highlight w:val="none"/>
              </w:rPr>
            </w:pPr>
            <w:r>
              <w:rPr>
                <w:rFonts w:hint="eastAsia" w:ascii="宋体" w:hAnsi="宋体"/>
                <w:color w:val="auto"/>
                <w:szCs w:val="21"/>
                <w:highlight w:val="none"/>
              </w:rPr>
              <w:t>□本项目接受</w:t>
            </w:r>
            <w:r>
              <w:rPr>
                <w:color w:val="auto"/>
                <w:highlight w:val="none"/>
              </w:rPr>
              <w:t>电子备份响应文件</w:t>
            </w:r>
            <w:r>
              <w:rPr>
                <w:rFonts w:hint="eastAsia" w:ascii="宋体" w:hAnsi="宋体"/>
                <w:color w:val="auto"/>
                <w:szCs w:val="21"/>
                <w:highlight w:val="none"/>
              </w:rPr>
              <w:t>。</w:t>
            </w:r>
          </w:p>
        </w:tc>
      </w:tr>
      <w:tr w14:paraId="634C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356AC36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602" w:type="dxa"/>
            <w:tcBorders>
              <w:top w:val="single" w:color="auto" w:sz="4" w:space="0"/>
              <w:left w:val="single" w:color="auto" w:sz="4" w:space="0"/>
              <w:bottom w:val="single" w:color="auto" w:sz="4" w:space="0"/>
              <w:right w:val="single" w:color="auto" w:sz="4" w:space="0"/>
            </w:tcBorders>
            <w:vAlign w:val="center"/>
          </w:tcPr>
          <w:p w14:paraId="5BD6BB54">
            <w:pPr>
              <w:spacing w:line="360" w:lineRule="auto"/>
              <w:jc w:val="center"/>
              <w:rPr>
                <w:color w:val="auto"/>
                <w:highlight w:val="none"/>
              </w:rPr>
            </w:pPr>
            <w:r>
              <w:rPr>
                <w:rFonts w:hint="eastAsia"/>
                <w:color w:val="auto"/>
                <w:highlight w:val="none"/>
              </w:rPr>
              <w:t>竞标有效期</w:t>
            </w:r>
          </w:p>
        </w:tc>
        <w:tc>
          <w:tcPr>
            <w:tcW w:w="7399" w:type="dxa"/>
            <w:tcBorders>
              <w:top w:val="single" w:color="auto" w:sz="4" w:space="0"/>
              <w:left w:val="single" w:color="auto" w:sz="4" w:space="0"/>
              <w:bottom w:val="single" w:color="auto" w:sz="4" w:space="0"/>
              <w:right w:val="single" w:color="auto" w:sz="4" w:space="0"/>
            </w:tcBorders>
            <w:vAlign w:val="center"/>
          </w:tcPr>
          <w:p w14:paraId="57DD63D9">
            <w:pPr>
              <w:spacing w:line="360" w:lineRule="auto"/>
              <w:jc w:val="left"/>
              <w:rPr>
                <w:rFonts w:hint="eastAsia" w:ascii="宋体" w:hAnsi="宋体" w:cs="宋体"/>
                <w:color w:val="auto"/>
                <w:szCs w:val="21"/>
                <w:highlight w:val="none"/>
              </w:rPr>
            </w:pPr>
            <w:r>
              <w:rPr>
                <w:rFonts w:hint="eastAsia"/>
                <w:color w:val="auto"/>
                <w:highlight w:val="none"/>
              </w:rPr>
              <w:t>竞</w:t>
            </w:r>
            <w:r>
              <w:rPr>
                <w:rFonts w:hint="eastAsia" w:ascii="宋体" w:hAnsi="宋体" w:cs="宋体"/>
                <w:color w:val="auto"/>
                <w:szCs w:val="21"/>
                <w:highlight w:val="none"/>
              </w:rPr>
              <w:t>标有效期：</w:t>
            </w:r>
            <w:r>
              <w:rPr>
                <w:rFonts w:hint="eastAsia"/>
                <w:color w:val="auto"/>
                <w:highlight w:val="none"/>
              </w:rPr>
              <w:t>竞</w:t>
            </w:r>
            <w:r>
              <w:rPr>
                <w:rFonts w:hint="eastAsia" w:ascii="宋体" w:hAnsi="宋体" w:cs="宋体"/>
                <w:color w:val="auto"/>
                <w:szCs w:val="21"/>
                <w:highlight w:val="none"/>
              </w:rPr>
              <w:t>标截止日期后60天</w:t>
            </w:r>
          </w:p>
        </w:tc>
      </w:tr>
      <w:tr w14:paraId="1DCB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648" w:type="dxa"/>
            <w:tcBorders>
              <w:top w:val="single" w:color="auto" w:sz="4" w:space="0"/>
              <w:left w:val="single" w:color="auto" w:sz="4" w:space="0"/>
              <w:bottom w:val="single" w:color="auto" w:sz="4" w:space="0"/>
              <w:right w:val="single" w:color="auto" w:sz="4" w:space="0"/>
            </w:tcBorders>
            <w:vAlign w:val="center"/>
          </w:tcPr>
          <w:p w14:paraId="06706B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602" w:type="dxa"/>
            <w:tcBorders>
              <w:top w:val="single" w:color="auto" w:sz="4" w:space="0"/>
              <w:left w:val="single" w:color="auto" w:sz="4" w:space="0"/>
              <w:bottom w:val="single" w:color="auto" w:sz="4" w:space="0"/>
              <w:right w:val="single" w:color="auto" w:sz="4" w:space="0"/>
            </w:tcBorders>
            <w:vAlign w:val="center"/>
          </w:tcPr>
          <w:p w14:paraId="21E2FC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磋商保证金</w:t>
            </w:r>
          </w:p>
        </w:tc>
        <w:tc>
          <w:tcPr>
            <w:tcW w:w="7399" w:type="dxa"/>
            <w:tcBorders>
              <w:top w:val="single" w:color="auto" w:sz="4" w:space="0"/>
              <w:left w:val="single" w:color="auto" w:sz="4" w:space="0"/>
              <w:bottom w:val="single" w:color="auto" w:sz="4" w:space="0"/>
              <w:right w:val="single" w:color="auto" w:sz="4" w:space="0"/>
            </w:tcBorders>
            <w:vAlign w:val="center"/>
          </w:tcPr>
          <w:p w14:paraId="1BFF3F22">
            <w:pPr>
              <w:pStyle w:val="15"/>
              <w:spacing w:line="360" w:lineRule="auto"/>
              <w:rPr>
                <w:rFonts w:hint="eastAsia" w:hAnsi="宋体" w:cs="宋体"/>
                <w:color w:val="auto"/>
                <w:kern w:val="0"/>
                <w:highlight w:val="none"/>
              </w:rPr>
            </w:pPr>
            <w:r>
              <w:rPr>
                <w:rFonts w:hint="eastAsia" w:hAnsi="宋体" w:cs="宋体"/>
                <w:color w:val="auto"/>
                <w:kern w:val="0"/>
                <w:highlight w:val="none"/>
              </w:rPr>
              <w:t>本项目是否要求收取磋商保证金：不要求</w:t>
            </w:r>
          </w:p>
          <w:p w14:paraId="2A25BEA4">
            <w:pPr>
              <w:pStyle w:val="15"/>
              <w:spacing w:line="360" w:lineRule="auto"/>
              <w:rPr>
                <w:rFonts w:hint="eastAsia" w:hAnsi="宋体" w:cs="宋体"/>
                <w:color w:val="auto"/>
                <w:kern w:val="0"/>
                <w:highlight w:val="none"/>
              </w:rPr>
            </w:pPr>
            <w:r>
              <w:rPr>
                <w:rFonts w:hint="eastAsia" w:hAnsi="宋体" w:cs="宋体"/>
                <w:color w:val="auto"/>
                <w:kern w:val="0"/>
                <w:highlight w:val="none"/>
              </w:rPr>
              <w:t>磋商保证金：</w:t>
            </w:r>
            <w:r>
              <w:rPr>
                <w:rFonts w:hint="eastAsia" w:hAnsi="宋体"/>
                <w:color w:val="auto"/>
                <w:highlight w:val="none"/>
                <w:u w:val="single"/>
              </w:rPr>
              <w:t xml:space="preserve">  / </w:t>
            </w:r>
            <w:r>
              <w:rPr>
                <w:rFonts w:hint="eastAsia" w:hAnsi="宋体"/>
                <w:color w:val="auto"/>
                <w:highlight w:val="none"/>
              </w:rPr>
              <w:t>元整</w:t>
            </w:r>
            <w:r>
              <w:rPr>
                <w:rFonts w:hint="eastAsia" w:hAnsi="宋体" w:cs="宋体"/>
                <w:color w:val="auto"/>
                <w:kern w:val="0"/>
                <w:highlight w:val="none"/>
              </w:rPr>
              <w:t>。</w:t>
            </w:r>
          </w:p>
          <w:p w14:paraId="050F5167">
            <w:pPr>
              <w:pStyle w:val="15"/>
              <w:spacing w:line="360" w:lineRule="auto"/>
              <w:rPr>
                <w:rFonts w:hint="eastAsia" w:hAnsi="宋体" w:cs="宋体"/>
                <w:color w:val="auto"/>
                <w:kern w:val="0"/>
                <w:highlight w:val="none"/>
              </w:rPr>
            </w:pPr>
            <w:r>
              <w:rPr>
                <w:rFonts w:hint="eastAsia" w:hAnsi="宋体"/>
                <w:color w:val="auto"/>
                <w:highlight w:val="none"/>
              </w:rPr>
              <w:t>磋商保证金缴纳形式：银行转账、支票、汇票、本票或者银行、保险机构出具的保函、保险单，禁止采用现钞方式。</w:t>
            </w:r>
          </w:p>
          <w:p w14:paraId="37B29C42">
            <w:pPr>
              <w:pStyle w:val="15"/>
              <w:spacing w:line="360" w:lineRule="auto"/>
              <w:rPr>
                <w:rFonts w:hint="eastAsia" w:hAnsi="宋体" w:cs="宋体"/>
                <w:color w:val="auto"/>
                <w:kern w:val="0"/>
                <w:highlight w:val="none"/>
              </w:rPr>
            </w:pPr>
            <w:r>
              <w:rPr>
                <w:rFonts w:hint="eastAsia" w:hAnsi="宋体" w:cs="宋体"/>
                <w:color w:val="auto"/>
                <w:kern w:val="0"/>
                <w:highlight w:val="none"/>
              </w:rPr>
              <w:t>采用银行转账方式的，竞标人将磋商保证金从竞标人基本账户转出交至以下指定的磋商保证金专用账户，且提交到指定账户时间不得迟于响应文件提交截止时间（以到账为准）：</w:t>
            </w:r>
          </w:p>
          <w:p w14:paraId="5A216086">
            <w:pPr>
              <w:pStyle w:val="15"/>
              <w:spacing w:line="360" w:lineRule="auto"/>
              <w:rPr>
                <w:rFonts w:hint="eastAsia" w:hAnsi="宋体" w:cs="宋体"/>
                <w:color w:val="auto"/>
                <w:kern w:val="0"/>
                <w:highlight w:val="none"/>
              </w:rPr>
            </w:pPr>
            <w:r>
              <w:rPr>
                <w:rFonts w:hint="eastAsia" w:hAnsi="宋体" w:cs="宋体"/>
                <w:color w:val="auto"/>
                <w:kern w:val="0"/>
                <w:highlight w:val="none"/>
              </w:rPr>
              <w:t>开户行：</w:t>
            </w:r>
            <w:r>
              <w:rPr>
                <w:rFonts w:hint="eastAsia" w:hAnsi="宋体"/>
                <w:color w:val="auto"/>
                <w:highlight w:val="none"/>
              </w:rPr>
              <w:t>/</w:t>
            </w:r>
          </w:p>
          <w:p w14:paraId="4D80D8A2">
            <w:pPr>
              <w:pStyle w:val="15"/>
              <w:spacing w:line="360" w:lineRule="auto"/>
              <w:rPr>
                <w:rFonts w:hint="eastAsia" w:hAnsi="宋体" w:cs="宋体"/>
                <w:color w:val="auto"/>
                <w:kern w:val="0"/>
                <w:highlight w:val="none"/>
              </w:rPr>
            </w:pPr>
            <w:r>
              <w:rPr>
                <w:rFonts w:hint="eastAsia" w:hAnsi="宋体" w:cs="宋体"/>
                <w:color w:val="auto"/>
                <w:kern w:val="0"/>
                <w:highlight w:val="none"/>
              </w:rPr>
              <w:t>户名：</w:t>
            </w:r>
            <w:r>
              <w:rPr>
                <w:rFonts w:hint="eastAsia" w:hAnsi="宋体"/>
                <w:color w:val="auto"/>
                <w:highlight w:val="none"/>
              </w:rPr>
              <w:t>/</w:t>
            </w:r>
          </w:p>
          <w:p w14:paraId="6303A487">
            <w:pPr>
              <w:pStyle w:val="15"/>
              <w:spacing w:line="360" w:lineRule="auto"/>
              <w:rPr>
                <w:color w:val="auto"/>
                <w:highlight w:val="none"/>
              </w:rPr>
            </w:pPr>
            <w:r>
              <w:rPr>
                <w:rFonts w:hint="eastAsia" w:hAnsi="宋体" w:cs="宋体"/>
                <w:color w:val="auto"/>
                <w:kern w:val="0"/>
                <w:highlight w:val="none"/>
              </w:rPr>
              <w:t xml:space="preserve">账号： </w:t>
            </w:r>
            <w:r>
              <w:rPr>
                <w:rFonts w:hint="eastAsia" w:hAnsi="宋体"/>
                <w:color w:val="auto"/>
                <w:highlight w:val="none"/>
              </w:rPr>
              <w:t>/</w:t>
            </w:r>
          </w:p>
        </w:tc>
      </w:tr>
      <w:tr w14:paraId="143D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2BE6779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602" w:type="dxa"/>
            <w:tcBorders>
              <w:top w:val="single" w:color="auto" w:sz="4" w:space="0"/>
              <w:left w:val="single" w:color="auto" w:sz="4" w:space="0"/>
              <w:bottom w:val="single" w:color="auto" w:sz="4" w:space="0"/>
              <w:right w:val="single" w:color="auto" w:sz="4" w:space="0"/>
            </w:tcBorders>
            <w:vAlign w:val="center"/>
          </w:tcPr>
          <w:p w14:paraId="4385FF18">
            <w:pPr>
              <w:spacing w:line="360" w:lineRule="auto"/>
              <w:jc w:val="center"/>
              <w:rPr>
                <w:rFonts w:hint="eastAsia" w:ascii="宋体" w:hAnsi="宋体" w:cs="宋体"/>
                <w:color w:val="auto"/>
                <w:szCs w:val="21"/>
                <w:highlight w:val="none"/>
              </w:rPr>
            </w:pPr>
            <w:r>
              <w:rPr>
                <w:rFonts w:hint="eastAsia" w:hAnsi="宋体" w:cs="宋体"/>
                <w:color w:val="auto"/>
                <w:highlight w:val="none"/>
              </w:rPr>
              <w:t>响应文件递交截止时间和地点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06981A8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44D5D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8" w:type="dxa"/>
            <w:tcBorders>
              <w:top w:val="single" w:color="auto" w:sz="4" w:space="0"/>
              <w:left w:val="single" w:color="auto" w:sz="4" w:space="0"/>
              <w:bottom w:val="single" w:color="auto" w:sz="4" w:space="0"/>
              <w:right w:val="single" w:color="auto" w:sz="4" w:space="0"/>
            </w:tcBorders>
            <w:vAlign w:val="center"/>
          </w:tcPr>
          <w:p w14:paraId="1A0059F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1602" w:type="dxa"/>
            <w:tcBorders>
              <w:top w:val="single" w:color="auto" w:sz="4" w:space="0"/>
              <w:left w:val="single" w:color="auto" w:sz="4" w:space="0"/>
              <w:bottom w:val="single" w:color="auto" w:sz="4" w:space="0"/>
              <w:right w:val="single" w:color="auto" w:sz="4" w:space="0"/>
            </w:tcBorders>
            <w:vAlign w:val="center"/>
          </w:tcPr>
          <w:p w14:paraId="1A870CC7">
            <w:pPr>
              <w:spacing w:line="360" w:lineRule="auto"/>
              <w:jc w:val="center"/>
              <w:rPr>
                <w:rFonts w:hint="eastAsia" w:ascii="宋体" w:hAnsi="宋体" w:cs="宋体"/>
                <w:color w:val="auto"/>
                <w:szCs w:val="21"/>
                <w:highlight w:val="none"/>
              </w:rPr>
            </w:pPr>
            <w:r>
              <w:rPr>
                <w:rFonts w:hint="eastAsia" w:ascii="宋体" w:hAnsi="宋体" w:cs="宋体"/>
                <w:color w:val="auto"/>
                <w:highlight w:val="none"/>
              </w:rPr>
              <w:t>评标委员会的组建</w:t>
            </w:r>
          </w:p>
        </w:tc>
        <w:tc>
          <w:tcPr>
            <w:tcW w:w="7399" w:type="dxa"/>
            <w:tcBorders>
              <w:top w:val="single" w:color="auto" w:sz="4" w:space="0"/>
              <w:left w:val="single" w:color="auto" w:sz="4" w:space="0"/>
              <w:bottom w:val="single" w:color="auto" w:sz="4" w:space="0"/>
              <w:right w:val="single" w:color="auto" w:sz="4" w:space="0"/>
            </w:tcBorders>
            <w:vAlign w:val="center"/>
          </w:tcPr>
          <w:p w14:paraId="4A01F7CC">
            <w:pPr>
              <w:pStyle w:val="15"/>
              <w:spacing w:line="360" w:lineRule="auto"/>
              <w:jc w:val="left"/>
              <w:rPr>
                <w:rFonts w:hint="eastAsia" w:hAnsi="宋体" w:cs="宋体"/>
                <w:color w:val="auto"/>
                <w:highlight w:val="none"/>
              </w:rPr>
            </w:pPr>
            <w:r>
              <w:rPr>
                <w:rFonts w:hint="eastAsia" w:hAnsi="宋体" w:cs="宋体"/>
                <w:color w:val="auto"/>
                <w:highlight w:val="none"/>
              </w:rPr>
              <w:t>评标委员会构成：3人，其中采购单位委托代表代表1人，专家2人；</w:t>
            </w:r>
          </w:p>
          <w:p w14:paraId="488C2E37">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评标专家确定方式：随机抽取。</w:t>
            </w:r>
          </w:p>
        </w:tc>
      </w:tr>
      <w:tr w14:paraId="0E9FD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5B9BA8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602" w:type="dxa"/>
            <w:tcBorders>
              <w:top w:val="single" w:color="auto" w:sz="4" w:space="0"/>
              <w:left w:val="single" w:color="auto" w:sz="4" w:space="0"/>
              <w:bottom w:val="single" w:color="auto" w:sz="4" w:space="0"/>
              <w:right w:val="single" w:color="auto" w:sz="4" w:space="0"/>
            </w:tcBorders>
            <w:vAlign w:val="center"/>
          </w:tcPr>
          <w:p w14:paraId="7D8B3A0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磋商时间和地点</w:t>
            </w:r>
          </w:p>
        </w:tc>
        <w:tc>
          <w:tcPr>
            <w:tcW w:w="7399" w:type="dxa"/>
            <w:tcBorders>
              <w:top w:val="single" w:color="auto" w:sz="4" w:space="0"/>
              <w:left w:val="single" w:color="auto" w:sz="4" w:space="0"/>
              <w:bottom w:val="single" w:color="auto" w:sz="4" w:space="0"/>
              <w:right w:val="single" w:color="auto" w:sz="4" w:space="0"/>
            </w:tcBorders>
            <w:vAlign w:val="center"/>
          </w:tcPr>
          <w:p w14:paraId="613D7AE0">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详见竞争性磋商公告</w:t>
            </w:r>
          </w:p>
        </w:tc>
      </w:tr>
      <w:tr w14:paraId="65A71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48" w:type="dxa"/>
            <w:tcBorders>
              <w:top w:val="single" w:color="auto" w:sz="4" w:space="0"/>
              <w:left w:val="single" w:color="auto" w:sz="4" w:space="0"/>
              <w:bottom w:val="single" w:color="auto" w:sz="4" w:space="0"/>
              <w:right w:val="single" w:color="auto" w:sz="4" w:space="0"/>
            </w:tcBorders>
            <w:vAlign w:val="center"/>
          </w:tcPr>
          <w:p w14:paraId="244414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602" w:type="dxa"/>
            <w:tcBorders>
              <w:top w:val="single" w:color="auto" w:sz="4" w:space="0"/>
              <w:left w:val="single" w:color="auto" w:sz="4" w:space="0"/>
              <w:bottom w:val="single" w:color="auto" w:sz="4" w:space="0"/>
              <w:right w:val="single" w:color="auto" w:sz="4" w:space="0"/>
            </w:tcBorders>
            <w:vAlign w:val="center"/>
          </w:tcPr>
          <w:p w14:paraId="62E4E1E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评标方法</w:t>
            </w:r>
          </w:p>
        </w:tc>
        <w:tc>
          <w:tcPr>
            <w:tcW w:w="7399" w:type="dxa"/>
            <w:tcBorders>
              <w:top w:val="single" w:color="auto" w:sz="4" w:space="0"/>
              <w:left w:val="single" w:color="auto" w:sz="4" w:space="0"/>
              <w:bottom w:val="single" w:color="auto" w:sz="4" w:space="0"/>
              <w:right w:val="single" w:color="auto" w:sz="4" w:space="0"/>
            </w:tcBorders>
            <w:vAlign w:val="center"/>
          </w:tcPr>
          <w:p w14:paraId="01BA5DA4">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评标方法：</w:t>
            </w:r>
            <w:r>
              <w:rPr>
                <w:rFonts w:hint="eastAsia"/>
                <w:color w:val="auto"/>
                <w:highlight w:val="none"/>
              </w:rPr>
              <w:t>综合评分法</w:t>
            </w:r>
          </w:p>
        </w:tc>
      </w:tr>
      <w:tr w14:paraId="1190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48" w:type="dxa"/>
            <w:tcBorders>
              <w:top w:val="single" w:color="auto" w:sz="4" w:space="0"/>
              <w:left w:val="single" w:color="auto" w:sz="4" w:space="0"/>
              <w:bottom w:val="single" w:color="auto" w:sz="4" w:space="0"/>
              <w:right w:val="single" w:color="auto" w:sz="4" w:space="0"/>
            </w:tcBorders>
            <w:vAlign w:val="center"/>
          </w:tcPr>
          <w:p w14:paraId="56D4A7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1602" w:type="dxa"/>
            <w:tcBorders>
              <w:top w:val="single" w:color="auto" w:sz="4" w:space="0"/>
              <w:left w:val="single" w:color="auto" w:sz="4" w:space="0"/>
              <w:bottom w:val="single" w:color="auto" w:sz="4" w:space="0"/>
              <w:right w:val="single" w:color="auto" w:sz="4" w:space="0"/>
            </w:tcBorders>
            <w:vAlign w:val="center"/>
          </w:tcPr>
          <w:p w14:paraId="371B744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负偏离要求</w:t>
            </w:r>
          </w:p>
        </w:tc>
        <w:tc>
          <w:tcPr>
            <w:tcW w:w="7399" w:type="dxa"/>
            <w:tcBorders>
              <w:top w:val="single" w:color="auto" w:sz="4" w:space="0"/>
              <w:left w:val="single" w:color="auto" w:sz="4" w:space="0"/>
              <w:bottom w:val="single" w:color="auto" w:sz="4" w:space="0"/>
              <w:right w:val="single" w:color="auto" w:sz="4" w:space="0"/>
            </w:tcBorders>
            <w:vAlign w:val="center"/>
          </w:tcPr>
          <w:p w14:paraId="334792FE">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商务条款评审中允许负偏离的非实质性条款数为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5BDEE8A6">
            <w:pPr>
              <w:snapToGrid w:val="0"/>
              <w:spacing w:line="360" w:lineRule="auto"/>
              <w:rPr>
                <w:rFonts w:hint="eastAsia" w:ascii="宋体" w:hAnsi="宋体"/>
                <w:color w:val="auto"/>
                <w:szCs w:val="21"/>
                <w:highlight w:val="none"/>
              </w:rPr>
            </w:pPr>
            <w:r>
              <w:rPr>
                <w:rFonts w:hint="eastAsia" w:ascii="宋体" w:hAnsi="宋体" w:cs="宋体"/>
                <w:color w:val="auto"/>
                <w:szCs w:val="21"/>
                <w:highlight w:val="none"/>
              </w:rPr>
              <w:t>服务需求评审中允许负偏离的非实质性条款数为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tc>
      </w:tr>
      <w:tr w14:paraId="24CA6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5" w:hRule="atLeast"/>
        </w:trPr>
        <w:tc>
          <w:tcPr>
            <w:tcW w:w="648" w:type="dxa"/>
            <w:tcBorders>
              <w:top w:val="single" w:color="auto" w:sz="4" w:space="0"/>
              <w:left w:val="single" w:color="auto" w:sz="4" w:space="0"/>
              <w:bottom w:val="single" w:color="auto" w:sz="4" w:space="0"/>
              <w:right w:val="single" w:color="auto" w:sz="4" w:space="0"/>
            </w:tcBorders>
            <w:vAlign w:val="center"/>
          </w:tcPr>
          <w:p w14:paraId="5CA9575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13</w:t>
            </w:r>
          </w:p>
        </w:tc>
        <w:tc>
          <w:tcPr>
            <w:tcW w:w="1602" w:type="dxa"/>
            <w:tcBorders>
              <w:top w:val="single" w:color="auto" w:sz="4" w:space="0"/>
              <w:left w:val="single" w:color="auto" w:sz="4" w:space="0"/>
              <w:bottom w:val="single" w:color="auto" w:sz="4" w:space="0"/>
              <w:right w:val="single" w:color="auto" w:sz="4" w:space="0"/>
            </w:tcBorders>
            <w:vAlign w:val="center"/>
          </w:tcPr>
          <w:p w14:paraId="6789B9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履约保证金</w:t>
            </w:r>
          </w:p>
        </w:tc>
        <w:tc>
          <w:tcPr>
            <w:tcW w:w="7399" w:type="dxa"/>
            <w:tcBorders>
              <w:top w:val="single" w:color="auto" w:sz="4" w:space="0"/>
              <w:left w:val="single" w:color="auto" w:sz="4" w:space="0"/>
              <w:bottom w:val="single" w:color="auto" w:sz="4" w:space="0"/>
              <w:right w:val="single" w:color="auto" w:sz="4" w:space="0"/>
            </w:tcBorders>
            <w:vAlign w:val="center"/>
          </w:tcPr>
          <w:p w14:paraId="29908DEB">
            <w:pPr>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本项目不收取履约保证金。</w:t>
            </w:r>
          </w:p>
          <w:p w14:paraId="29A1432B">
            <w:pPr>
              <w:autoSpaceDE w:val="0"/>
              <w:autoSpaceDN w:val="0"/>
              <w:snapToGrid w:val="0"/>
              <w:spacing w:line="360" w:lineRule="auto"/>
              <w:rPr>
                <w:rFonts w:hint="eastAsia"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rPr>
              <w:t>本项目收取履约保证金，具体规定如下：</w:t>
            </w:r>
          </w:p>
          <w:p w14:paraId="2A9A977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履约保证金金额：按成交金额的</w:t>
            </w:r>
            <w:r>
              <w:rPr>
                <w:rFonts w:hint="eastAsia" w:ascii="宋体" w:hAnsi="宋体" w:cs="宋体"/>
                <w:color w:val="auto"/>
                <w:szCs w:val="21"/>
                <w:highlight w:val="none"/>
                <w:u w:val="single"/>
                <w:lang w:val="en-US" w:eastAsia="zh-CN"/>
              </w:rPr>
              <w:t>0</w:t>
            </w:r>
            <w:r>
              <w:rPr>
                <w:rFonts w:hint="eastAsia" w:ascii="宋体" w:hAnsi="宋体" w:cs="宋体"/>
                <w:color w:val="auto"/>
                <w:szCs w:val="21"/>
                <w:highlight w:val="none"/>
              </w:rPr>
              <w:t>%。</w:t>
            </w:r>
            <w:r>
              <w:rPr>
                <w:rFonts w:hint="eastAsia" w:ascii="宋体" w:hAnsi="宋体" w:cs="宋体"/>
                <w:b/>
                <w:color w:val="auto"/>
                <w:szCs w:val="21"/>
                <w:highlight w:val="none"/>
              </w:rPr>
              <w:t>（注：履约保证金不超过</w:t>
            </w:r>
            <w:r>
              <w:rPr>
                <w:rFonts w:hint="eastAsia"/>
                <w:b/>
                <w:color w:val="auto"/>
                <w:highlight w:val="none"/>
              </w:rPr>
              <w:t>政府采购合同金额的</w:t>
            </w:r>
            <w:r>
              <w:rPr>
                <w:rFonts w:ascii="宋体" w:hAnsi="宋体" w:cs="宋体"/>
                <w:b/>
                <w:color w:val="auto"/>
                <w:szCs w:val="21"/>
                <w:highlight w:val="none"/>
              </w:rPr>
              <w:t>5</w:t>
            </w:r>
            <w:r>
              <w:rPr>
                <w:rFonts w:hint="eastAsia" w:ascii="宋体" w:hAnsi="宋体" w:cs="宋体"/>
                <w:b/>
                <w:color w:val="auto"/>
                <w:szCs w:val="21"/>
                <w:highlight w:val="none"/>
              </w:rPr>
              <w:t>%，对中小企业收取的履约保证金数额不得超过政府采购合同金额的2%。采购人可根据供应商的资信等情况减免履约保证金。）</w:t>
            </w:r>
          </w:p>
          <w:p w14:paraId="07B0CD8E">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履约保证金提交方式：银行转账、支票、汇票、本票或者银行、保险机构出具的保函、保险单等非现金方式。</w:t>
            </w:r>
          </w:p>
        </w:tc>
      </w:tr>
      <w:tr w14:paraId="3B506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48" w:type="dxa"/>
            <w:tcBorders>
              <w:top w:val="single" w:color="auto" w:sz="4" w:space="0"/>
              <w:left w:val="single" w:color="auto" w:sz="4" w:space="0"/>
              <w:bottom w:val="single" w:color="auto" w:sz="4" w:space="0"/>
              <w:right w:val="single" w:color="auto" w:sz="4" w:space="0"/>
            </w:tcBorders>
            <w:vAlign w:val="center"/>
          </w:tcPr>
          <w:p w14:paraId="048E8A1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14</w:t>
            </w:r>
          </w:p>
        </w:tc>
        <w:tc>
          <w:tcPr>
            <w:tcW w:w="1602" w:type="dxa"/>
            <w:tcBorders>
              <w:top w:val="single" w:color="auto" w:sz="4" w:space="0"/>
              <w:left w:val="single" w:color="auto" w:sz="4" w:space="0"/>
              <w:bottom w:val="single" w:color="auto" w:sz="4" w:space="0"/>
              <w:right w:val="single" w:color="auto" w:sz="4" w:space="0"/>
            </w:tcBorders>
            <w:vAlign w:val="center"/>
          </w:tcPr>
          <w:p w14:paraId="6B54BF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采购预算价</w:t>
            </w:r>
          </w:p>
        </w:tc>
        <w:tc>
          <w:tcPr>
            <w:tcW w:w="7399" w:type="dxa"/>
            <w:tcBorders>
              <w:top w:val="single" w:color="auto" w:sz="4" w:space="0"/>
              <w:left w:val="single" w:color="auto" w:sz="4" w:space="0"/>
              <w:bottom w:val="single" w:color="auto" w:sz="4" w:space="0"/>
              <w:right w:val="single" w:color="auto" w:sz="4" w:space="0"/>
            </w:tcBorders>
            <w:vAlign w:val="center"/>
          </w:tcPr>
          <w:p w14:paraId="2D4E9900">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本项目采购预算价：</w:t>
            </w:r>
            <w:r>
              <w:rPr>
                <w:rFonts w:hint="eastAsia"/>
                <w:color w:val="auto"/>
                <w:highlight w:val="none"/>
                <w:lang w:val="en-US" w:eastAsia="zh-CN"/>
              </w:rPr>
              <w:t>673578.38</w:t>
            </w:r>
            <w:r>
              <w:rPr>
                <w:rFonts w:hint="eastAsia" w:ascii="宋体" w:hAnsi="宋体" w:cs="宋体"/>
                <w:color w:val="auto"/>
                <w:szCs w:val="21"/>
                <w:highlight w:val="none"/>
              </w:rPr>
              <w:t>元</w:t>
            </w:r>
            <w:r>
              <w:rPr>
                <w:rFonts w:hint="eastAsia" w:ascii="宋体" w:hAnsi="宋体" w:cs="宋体"/>
                <w:color w:val="auto"/>
                <w:szCs w:val="21"/>
                <w:highlight w:val="none"/>
                <w:lang w:eastAsia="zh-CN"/>
              </w:rPr>
              <w:t>，最高限价：</w:t>
            </w:r>
            <w:r>
              <w:rPr>
                <w:rFonts w:hint="eastAsia" w:ascii="宋体" w:hAnsi="宋体" w:cs="宋体"/>
                <w:color w:val="auto"/>
                <w:szCs w:val="21"/>
                <w:highlight w:val="none"/>
              </w:rPr>
              <w:t>673578.38元</w:t>
            </w:r>
          </w:p>
        </w:tc>
      </w:tr>
      <w:tr w14:paraId="727A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48" w:type="dxa"/>
            <w:tcBorders>
              <w:top w:val="single" w:color="auto" w:sz="4" w:space="0"/>
              <w:left w:val="single" w:color="auto" w:sz="4" w:space="0"/>
              <w:bottom w:val="single" w:color="auto" w:sz="4" w:space="0"/>
              <w:right w:val="single" w:color="auto" w:sz="4" w:space="0"/>
            </w:tcBorders>
            <w:vAlign w:val="center"/>
          </w:tcPr>
          <w:p w14:paraId="17C47F4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w:t>
            </w:r>
          </w:p>
        </w:tc>
        <w:tc>
          <w:tcPr>
            <w:tcW w:w="1602" w:type="dxa"/>
            <w:tcBorders>
              <w:top w:val="single" w:color="auto" w:sz="4" w:space="0"/>
              <w:left w:val="single" w:color="auto" w:sz="4" w:space="0"/>
              <w:bottom w:val="single" w:color="auto" w:sz="4" w:space="0"/>
              <w:right w:val="single" w:color="auto" w:sz="4" w:space="0"/>
            </w:tcBorders>
            <w:vAlign w:val="center"/>
          </w:tcPr>
          <w:p w14:paraId="6852F63E">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接收质疑函方式</w:t>
            </w:r>
          </w:p>
        </w:tc>
        <w:tc>
          <w:tcPr>
            <w:tcW w:w="7399" w:type="dxa"/>
            <w:tcBorders>
              <w:top w:val="single" w:color="auto" w:sz="4" w:space="0"/>
              <w:left w:val="single" w:color="auto" w:sz="4" w:space="0"/>
              <w:bottom w:val="single" w:color="auto" w:sz="4" w:space="0"/>
              <w:right w:val="single" w:color="auto" w:sz="4" w:space="0"/>
            </w:tcBorders>
            <w:vAlign w:val="center"/>
          </w:tcPr>
          <w:p w14:paraId="51BD9E9C">
            <w:pPr>
              <w:snapToGrid w:val="0"/>
              <w:spacing w:line="360" w:lineRule="auto"/>
              <w:rPr>
                <w:rFonts w:hint="eastAsia" w:ascii="宋体" w:hAnsi="宋体" w:cs="宋体"/>
                <w:color w:val="auto"/>
                <w:szCs w:val="21"/>
                <w:highlight w:val="none"/>
              </w:rPr>
            </w:pPr>
            <w:r>
              <w:rPr>
                <w:rFonts w:hint="eastAsia" w:ascii="宋体" w:hAnsi="宋体"/>
                <w:color w:val="auto"/>
                <w:szCs w:val="21"/>
                <w:highlight w:val="none"/>
              </w:rPr>
              <w:t>以书面形式</w:t>
            </w:r>
          </w:p>
        </w:tc>
      </w:tr>
      <w:tr w14:paraId="348D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66F381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p>
        </w:tc>
        <w:tc>
          <w:tcPr>
            <w:tcW w:w="1602" w:type="dxa"/>
            <w:tcBorders>
              <w:top w:val="single" w:color="auto" w:sz="4" w:space="0"/>
              <w:left w:val="single" w:color="auto" w:sz="4" w:space="0"/>
              <w:bottom w:val="single" w:color="auto" w:sz="4" w:space="0"/>
              <w:right w:val="single" w:color="auto" w:sz="4" w:space="0"/>
            </w:tcBorders>
            <w:vAlign w:val="center"/>
          </w:tcPr>
          <w:p w14:paraId="26C28C03">
            <w:pPr>
              <w:spacing w:line="360" w:lineRule="auto"/>
              <w:jc w:val="center"/>
              <w:rPr>
                <w:rFonts w:hint="eastAsia" w:ascii="宋体" w:hAnsi="宋体" w:cs="宋体"/>
                <w:color w:val="auto"/>
                <w:szCs w:val="21"/>
                <w:highlight w:val="none"/>
              </w:rPr>
            </w:pPr>
            <w:r>
              <w:rPr>
                <w:rFonts w:hint="eastAsia" w:ascii="宋体" w:hAnsi="宋体"/>
                <w:color w:val="auto"/>
                <w:szCs w:val="21"/>
                <w:highlight w:val="none"/>
              </w:rPr>
              <w:t>质疑联系部门及联系方式</w:t>
            </w:r>
          </w:p>
        </w:tc>
        <w:tc>
          <w:tcPr>
            <w:tcW w:w="7399" w:type="dxa"/>
            <w:tcBorders>
              <w:top w:val="single" w:color="auto" w:sz="4" w:space="0"/>
              <w:left w:val="single" w:color="auto" w:sz="4" w:space="0"/>
              <w:bottom w:val="single" w:color="auto" w:sz="4" w:space="0"/>
              <w:right w:val="single" w:color="auto" w:sz="4" w:space="0"/>
            </w:tcBorders>
            <w:vAlign w:val="center"/>
          </w:tcPr>
          <w:p w14:paraId="1082117B">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广西荣胜项目管理有限公司</w:t>
            </w:r>
          </w:p>
          <w:p w14:paraId="68E54C9C">
            <w:pPr>
              <w:snapToGrid w:val="0"/>
              <w:spacing w:line="360" w:lineRule="auto"/>
              <w:rPr>
                <w:rFonts w:hint="eastAsia" w:ascii="宋体" w:hAnsi="宋体"/>
                <w:color w:val="auto"/>
                <w:szCs w:val="21"/>
                <w:highlight w:val="none"/>
              </w:rPr>
            </w:pPr>
            <w:r>
              <w:rPr>
                <w:rFonts w:ascii="宋体" w:hAnsi="宋体"/>
                <w:color w:val="auto"/>
                <w:szCs w:val="21"/>
                <w:highlight w:val="none"/>
              </w:rPr>
              <w:t>联系电话</w:t>
            </w:r>
            <w:r>
              <w:rPr>
                <w:rFonts w:hint="eastAsia" w:ascii="宋体" w:hAnsi="宋体"/>
                <w:color w:val="auto"/>
                <w:szCs w:val="21"/>
                <w:highlight w:val="none"/>
              </w:rPr>
              <w:t>：0777-5512166</w:t>
            </w:r>
          </w:p>
          <w:p w14:paraId="3FB8EDF7">
            <w:pPr>
              <w:snapToGrid w:val="0"/>
              <w:spacing w:line="360" w:lineRule="auto"/>
              <w:rPr>
                <w:rFonts w:hint="eastAsia" w:hAnsi="宋体"/>
                <w:b/>
                <w:color w:val="auto"/>
                <w:highlight w:val="none"/>
              </w:rPr>
            </w:pPr>
            <w:r>
              <w:rPr>
                <w:rFonts w:ascii="宋体" w:hAnsi="宋体"/>
                <w:color w:val="auto"/>
                <w:szCs w:val="21"/>
                <w:highlight w:val="none"/>
              </w:rPr>
              <w:t>通讯地址</w:t>
            </w:r>
            <w:r>
              <w:rPr>
                <w:rFonts w:hint="eastAsia" w:ascii="宋体" w:hAnsi="宋体" w:cs="Helvetica"/>
                <w:color w:val="auto"/>
                <w:szCs w:val="21"/>
                <w:highlight w:val="none"/>
              </w:rPr>
              <w:t>：</w:t>
            </w:r>
            <w:r>
              <w:rPr>
                <w:rFonts w:hint="eastAsia" w:ascii="宋体" w:hAnsi="宋体"/>
                <w:color w:val="auto"/>
                <w:szCs w:val="21"/>
                <w:highlight w:val="none"/>
              </w:rPr>
              <w:t>钦州市蓬莱大道鸿亭街333号皇庭天麓湖小区183栋203室</w:t>
            </w:r>
          </w:p>
        </w:tc>
      </w:tr>
      <w:tr w14:paraId="2E14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48" w:type="dxa"/>
            <w:tcBorders>
              <w:top w:val="single" w:color="auto" w:sz="4" w:space="0"/>
              <w:left w:val="single" w:color="auto" w:sz="4" w:space="0"/>
              <w:bottom w:val="single" w:color="auto" w:sz="4" w:space="0"/>
              <w:right w:val="single" w:color="auto" w:sz="4" w:space="0"/>
            </w:tcBorders>
            <w:vAlign w:val="center"/>
          </w:tcPr>
          <w:p w14:paraId="4328288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w:t>
            </w:r>
          </w:p>
        </w:tc>
        <w:tc>
          <w:tcPr>
            <w:tcW w:w="1602" w:type="dxa"/>
            <w:tcBorders>
              <w:top w:val="single" w:color="auto" w:sz="4" w:space="0"/>
              <w:left w:val="single" w:color="auto" w:sz="4" w:space="0"/>
              <w:bottom w:val="single" w:color="auto" w:sz="4" w:space="0"/>
              <w:right w:val="single" w:color="auto" w:sz="4" w:space="0"/>
            </w:tcBorders>
            <w:vAlign w:val="center"/>
          </w:tcPr>
          <w:p w14:paraId="76A6D39F">
            <w:pPr>
              <w:spacing w:line="360" w:lineRule="auto"/>
              <w:jc w:val="center"/>
              <w:rPr>
                <w:rFonts w:hint="eastAsia" w:ascii="宋体" w:hAnsi="宋体" w:cs="宋体"/>
                <w:color w:val="auto"/>
                <w:szCs w:val="21"/>
                <w:highlight w:val="none"/>
              </w:rPr>
            </w:pPr>
            <w:r>
              <w:rPr>
                <w:rFonts w:hint="eastAsia" w:hAnsi="宋体"/>
                <w:color w:val="auto"/>
                <w:highlight w:val="none"/>
              </w:rPr>
              <w:t>现场提交质疑办理业务时间</w:t>
            </w:r>
          </w:p>
        </w:tc>
        <w:tc>
          <w:tcPr>
            <w:tcW w:w="7399" w:type="dxa"/>
            <w:tcBorders>
              <w:top w:val="single" w:color="auto" w:sz="4" w:space="0"/>
              <w:left w:val="single" w:color="auto" w:sz="4" w:space="0"/>
              <w:bottom w:val="single" w:color="auto" w:sz="4" w:space="0"/>
              <w:right w:val="single" w:color="auto" w:sz="4" w:space="0"/>
            </w:tcBorders>
            <w:vAlign w:val="center"/>
          </w:tcPr>
          <w:p w14:paraId="79117724">
            <w:pPr>
              <w:snapToGrid w:val="0"/>
              <w:spacing w:line="360" w:lineRule="auto"/>
              <w:rPr>
                <w:rFonts w:hint="eastAsia" w:hAnsi="宋体"/>
                <w:b/>
                <w:color w:val="auto"/>
                <w:highlight w:val="none"/>
              </w:rPr>
            </w:pPr>
            <w:r>
              <w:rPr>
                <w:rFonts w:hint="eastAsia" w:hAnsi="宋体"/>
                <w:color w:val="auto"/>
                <w:highlight w:val="none"/>
              </w:rPr>
              <w:t>质疑期内每个工作日</w:t>
            </w:r>
            <w:r>
              <w:rPr>
                <w:rFonts w:hint="eastAsia" w:hAnsi="宋体"/>
                <w:color w:val="auto"/>
                <w:highlight w:val="none"/>
                <w:u w:val="single"/>
              </w:rPr>
              <w:t>08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12</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r>
              <w:rPr>
                <w:rFonts w:hint="eastAsia" w:hAnsi="宋体"/>
                <w:color w:val="auto"/>
                <w:highlight w:val="none"/>
                <w:u w:val="single"/>
              </w:rPr>
              <w:t>15</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分到</w:t>
            </w:r>
            <w:r>
              <w:rPr>
                <w:rFonts w:hint="eastAsia" w:hAnsi="宋体"/>
                <w:color w:val="auto"/>
                <w:highlight w:val="none"/>
                <w:u w:val="single"/>
              </w:rPr>
              <w:t>18</w:t>
            </w:r>
            <w:r>
              <w:rPr>
                <w:rFonts w:hint="eastAsia" w:hAnsi="宋体"/>
                <w:color w:val="auto"/>
                <w:highlight w:val="none"/>
              </w:rPr>
              <w:t>时</w:t>
            </w:r>
            <w:r>
              <w:rPr>
                <w:rFonts w:hint="eastAsia" w:hAnsi="宋体"/>
                <w:color w:val="auto"/>
                <w:highlight w:val="none"/>
                <w:u w:val="single"/>
              </w:rPr>
              <w:t>00</w:t>
            </w:r>
            <w:r>
              <w:rPr>
                <w:rFonts w:hint="eastAsia" w:hAnsi="宋体"/>
                <w:color w:val="auto"/>
                <w:highlight w:val="none"/>
              </w:rPr>
              <w:t>分</w:t>
            </w:r>
          </w:p>
        </w:tc>
      </w:tr>
      <w:tr w14:paraId="53CC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14:paraId="65985B7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18</w:t>
            </w:r>
          </w:p>
        </w:tc>
        <w:tc>
          <w:tcPr>
            <w:tcW w:w="1602" w:type="dxa"/>
            <w:tcBorders>
              <w:top w:val="single" w:color="auto" w:sz="4" w:space="0"/>
              <w:left w:val="single" w:color="auto" w:sz="4" w:space="0"/>
              <w:bottom w:val="single" w:color="auto" w:sz="4" w:space="0"/>
              <w:right w:val="single" w:color="auto" w:sz="4" w:space="0"/>
            </w:tcBorders>
            <w:vAlign w:val="center"/>
          </w:tcPr>
          <w:p w14:paraId="20F97FF5">
            <w:pPr>
              <w:spacing w:line="360" w:lineRule="auto"/>
              <w:jc w:val="center"/>
              <w:rPr>
                <w:rFonts w:hint="eastAsia" w:hAnsi="宋体"/>
                <w:color w:val="auto"/>
                <w:highlight w:val="none"/>
              </w:rPr>
            </w:pPr>
            <w:r>
              <w:rPr>
                <w:rFonts w:hint="eastAsia" w:ascii="宋体" w:hAnsi="宋体" w:cs="宋体"/>
                <w:color w:val="auto"/>
                <w:szCs w:val="21"/>
                <w:highlight w:val="none"/>
              </w:rPr>
              <w:t>采购代理费</w:t>
            </w:r>
          </w:p>
        </w:tc>
        <w:tc>
          <w:tcPr>
            <w:tcW w:w="7399" w:type="dxa"/>
            <w:tcBorders>
              <w:top w:val="single" w:color="auto" w:sz="4" w:space="0"/>
              <w:left w:val="single" w:color="auto" w:sz="4" w:space="0"/>
              <w:bottom w:val="single" w:color="auto" w:sz="4" w:space="0"/>
              <w:right w:val="single" w:color="auto" w:sz="4" w:space="0"/>
            </w:tcBorders>
            <w:vAlign w:val="center"/>
          </w:tcPr>
          <w:p w14:paraId="1EAE956D">
            <w:pPr>
              <w:pStyle w:val="15"/>
              <w:snapToGrid w:val="0"/>
              <w:spacing w:line="360" w:lineRule="auto"/>
              <w:rPr>
                <w:rFonts w:hint="eastAsia" w:hAnsi="宋体" w:cs="宋体"/>
                <w:color w:val="auto"/>
                <w:highlight w:val="none"/>
              </w:rPr>
            </w:pPr>
            <w:r>
              <w:rPr>
                <w:rFonts w:hint="eastAsia" w:hAnsi="宋体" w:cs="宋体"/>
                <w:color w:val="auto"/>
                <w:highlight w:val="none"/>
              </w:rPr>
              <w:t>1.代理服务费：按差额定率累进法，参照《招标代理服务收费管理暂行办法》计价格[2002]1980号文和发改价格[2011]534号工程类标准计算，按计费依据计费向成交人计取。成交人在领取成交通知书前，一次性向采购代理机构支付。</w:t>
            </w:r>
          </w:p>
          <w:p w14:paraId="2AA72BA6">
            <w:pPr>
              <w:pStyle w:val="15"/>
              <w:snapToGrid w:val="0"/>
              <w:spacing w:line="360" w:lineRule="auto"/>
              <w:rPr>
                <w:rFonts w:hint="eastAsia" w:hAnsi="宋体" w:cs="宋体"/>
                <w:color w:val="auto"/>
                <w:highlight w:val="none"/>
              </w:rPr>
            </w:pPr>
            <w:r>
              <w:rPr>
                <w:rFonts w:hint="eastAsia" w:hAnsi="宋体" w:cs="宋体"/>
                <w:color w:val="auto"/>
                <w:highlight w:val="none"/>
              </w:rPr>
              <w:t>2. 代理服务费收取银行账户：</w:t>
            </w:r>
          </w:p>
          <w:p w14:paraId="6A4249DB">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广西荣胜项目管理有限公司灵山分公司</w:t>
            </w:r>
          </w:p>
          <w:p w14:paraId="0C184C80">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811712010121967396</w:t>
            </w:r>
          </w:p>
          <w:p w14:paraId="1B3B7A3B">
            <w:pPr>
              <w:pStyle w:val="15"/>
              <w:snapToGrid w:val="0"/>
              <w:spacing w:line="360" w:lineRule="auto"/>
              <w:rPr>
                <w:rFonts w:hint="eastAsia" w:hAnsi="宋体" w:eastAsia="宋体"/>
                <w:color w:val="auto"/>
                <w:highlight w:val="none"/>
                <w:lang w:eastAsia="zh-CN"/>
              </w:rPr>
            </w:pPr>
            <w:r>
              <w:rPr>
                <w:rFonts w:hint="eastAsia" w:hAnsi="宋体" w:cs="宋体"/>
                <w:color w:val="auto"/>
                <w:highlight w:val="none"/>
              </w:rPr>
              <w:t>开户行：</w:t>
            </w:r>
            <w:r>
              <w:rPr>
                <w:rFonts w:hint="eastAsia" w:hAnsi="宋体" w:cs="宋体"/>
                <w:color w:val="auto"/>
                <w:highlight w:val="none"/>
                <w:lang w:eastAsia="zh-CN"/>
              </w:rPr>
              <w:t>灵山县农村信用合作联社平山信用社</w:t>
            </w:r>
          </w:p>
        </w:tc>
      </w:tr>
      <w:tr w14:paraId="285E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795159A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19</w:t>
            </w:r>
          </w:p>
        </w:tc>
        <w:tc>
          <w:tcPr>
            <w:tcW w:w="1602" w:type="dxa"/>
            <w:tcBorders>
              <w:top w:val="single" w:color="auto" w:sz="4" w:space="0"/>
              <w:left w:val="single" w:color="auto" w:sz="4" w:space="0"/>
              <w:bottom w:val="single" w:color="auto" w:sz="4" w:space="0"/>
              <w:right w:val="single" w:color="auto" w:sz="4" w:space="0"/>
            </w:tcBorders>
            <w:vAlign w:val="center"/>
          </w:tcPr>
          <w:p w14:paraId="40E85758">
            <w:pPr>
              <w:spacing w:line="360" w:lineRule="auto"/>
              <w:jc w:val="center"/>
              <w:rPr>
                <w:rFonts w:hint="eastAsia" w:ascii="宋体" w:hAnsi="宋体" w:cs="宋体"/>
                <w:color w:val="auto"/>
                <w:szCs w:val="21"/>
                <w:highlight w:val="none"/>
              </w:rPr>
            </w:pPr>
            <w:r>
              <w:rPr>
                <w:rFonts w:hint="eastAsia" w:hAnsi="宋体"/>
                <w:color w:val="auto"/>
                <w:highlight w:val="none"/>
              </w:rPr>
              <w:t>解释</w:t>
            </w:r>
          </w:p>
        </w:tc>
        <w:tc>
          <w:tcPr>
            <w:tcW w:w="7399" w:type="dxa"/>
            <w:tcBorders>
              <w:top w:val="single" w:color="auto" w:sz="4" w:space="0"/>
              <w:left w:val="single" w:color="auto" w:sz="4" w:space="0"/>
              <w:bottom w:val="single" w:color="auto" w:sz="4" w:space="0"/>
              <w:right w:val="single" w:color="auto" w:sz="4" w:space="0"/>
            </w:tcBorders>
            <w:vAlign w:val="center"/>
          </w:tcPr>
          <w:p w14:paraId="2C6BAD80">
            <w:pPr>
              <w:pStyle w:val="15"/>
              <w:snapToGrid w:val="0"/>
              <w:spacing w:line="360" w:lineRule="auto"/>
              <w:rPr>
                <w:rFonts w:hint="eastAsia" w:hAnsi="宋体" w:cs="宋体"/>
                <w:b/>
                <w:color w:val="auto"/>
                <w:highlight w:val="none"/>
              </w:rPr>
            </w:pPr>
            <w:r>
              <w:rPr>
                <w:rFonts w:hint="eastAsia" w:hAnsi="宋体" w:cs="宋体"/>
                <w:b/>
                <w:color w:val="auto"/>
                <w:highlight w:val="none"/>
              </w:rPr>
              <w:t>解释权：</w:t>
            </w:r>
            <w:r>
              <w:rPr>
                <w:rFonts w:hAnsi="宋体" w:cs="宋体"/>
                <w:color w:val="auto"/>
                <w:highlight w:val="none"/>
              </w:rPr>
              <w:t>构成本</w:t>
            </w:r>
            <w:r>
              <w:rPr>
                <w:rFonts w:hint="eastAsia" w:hAnsi="宋体" w:cs="宋体"/>
                <w:color w:val="auto"/>
                <w:highlight w:val="none"/>
              </w:rPr>
              <w:t>磋商文件</w:t>
            </w:r>
            <w:r>
              <w:rPr>
                <w:rFonts w:hAnsi="宋体" w:cs="宋体"/>
                <w:color w:val="auto"/>
                <w:highlight w:val="none"/>
              </w:rPr>
              <w:t>的各个组成文件应互为解释，互为说明；除</w:t>
            </w:r>
            <w:r>
              <w:rPr>
                <w:rFonts w:hint="eastAsia" w:hAnsi="宋体" w:cs="宋体"/>
                <w:color w:val="auto"/>
                <w:highlight w:val="none"/>
              </w:rPr>
              <w:t>磋商文件</w:t>
            </w:r>
            <w:r>
              <w:rPr>
                <w:rFonts w:hAnsi="宋体" w:cs="宋体"/>
                <w:color w:val="auto"/>
                <w:highlight w:val="none"/>
              </w:rPr>
              <w:t>中有特别规定外，仅适用于</w:t>
            </w:r>
            <w:r>
              <w:rPr>
                <w:rFonts w:hint="eastAsia" w:hAnsi="宋体" w:cs="宋体"/>
                <w:color w:val="auto"/>
                <w:highlight w:val="none"/>
              </w:rPr>
              <w:t>竞标</w:t>
            </w:r>
            <w:r>
              <w:rPr>
                <w:rFonts w:hAnsi="宋体" w:cs="宋体"/>
                <w:color w:val="auto"/>
                <w:highlight w:val="none"/>
              </w:rPr>
              <w:t>阶段的规定，按</w:t>
            </w:r>
            <w:r>
              <w:rPr>
                <w:rFonts w:hint="eastAsia" w:hAnsi="宋体" w:cs="宋体"/>
                <w:color w:val="auto"/>
                <w:highlight w:val="none"/>
              </w:rPr>
              <w:t>更正公告（澄清公告）</w:t>
            </w:r>
            <w:r>
              <w:rPr>
                <w:rFonts w:hAnsi="宋体" w:cs="宋体"/>
                <w:color w:val="auto"/>
                <w:highlight w:val="none"/>
              </w:rPr>
              <w:t>、</w:t>
            </w:r>
            <w:r>
              <w:rPr>
                <w:rFonts w:hint="eastAsia" w:hAnsi="宋体" w:cs="宋体"/>
                <w:color w:val="auto"/>
                <w:highlight w:val="none"/>
              </w:rPr>
              <w:t>竞争性磋商</w:t>
            </w:r>
            <w:r>
              <w:rPr>
                <w:rFonts w:hAnsi="宋体" w:cs="宋体"/>
                <w:color w:val="auto"/>
                <w:highlight w:val="none"/>
              </w:rPr>
              <w:t>公告、</w:t>
            </w:r>
            <w:r>
              <w:rPr>
                <w:rFonts w:hint="eastAsia" w:hAnsi="宋体" w:cs="宋体"/>
                <w:color w:val="auto"/>
                <w:highlight w:val="none"/>
              </w:rPr>
              <w:t>供应商</w:t>
            </w:r>
            <w:r>
              <w:rPr>
                <w:rFonts w:hAnsi="宋体" w:cs="宋体"/>
                <w:color w:val="auto"/>
                <w:highlight w:val="none"/>
              </w:rPr>
              <w:t>须知</w:t>
            </w:r>
            <w:r>
              <w:rPr>
                <w:rFonts w:hint="eastAsia" w:hAnsi="宋体" w:cs="宋体"/>
                <w:color w:val="auto"/>
                <w:highlight w:val="none"/>
              </w:rPr>
              <w:t>、采购需求</w:t>
            </w:r>
            <w:r>
              <w:rPr>
                <w:rFonts w:hAnsi="宋体" w:cs="宋体"/>
                <w:color w:val="auto"/>
                <w:highlight w:val="none"/>
              </w:rPr>
              <w:t>、</w:t>
            </w:r>
            <w:r>
              <w:rPr>
                <w:rFonts w:hint="eastAsia" w:hAnsi="宋体" w:cs="宋体"/>
                <w:color w:val="auto"/>
                <w:highlight w:val="none"/>
              </w:rPr>
              <w:t>评审程序、评审方法和评审标准</w:t>
            </w:r>
            <w:r>
              <w:rPr>
                <w:rFonts w:hAnsi="宋体" w:cs="宋体"/>
                <w:color w:val="auto"/>
                <w:highlight w:val="none"/>
              </w:rPr>
              <w:t>、</w:t>
            </w:r>
            <w:r>
              <w:rPr>
                <w:rFonts w:hint="eastAsia" w:hAnsi="宋体" w:cs="宋体"/>
                <w:color w:val="auto"/>
                <w:highlight w:val="none"/>
              </w:rPr>
              <w:t>响应</w:t>
            </w:r>
            <w:r>
              <w:rPr>
                <w:rFonts w:hAnsi="宋体" w:cs="宋体"/>
                <w:color w:val="auto"/>
                <w:highlight w:val="none"/>
              </w:rPr>
              <w:t>文件格式</w:t>
            </w:r>
            <w:r>
              <w:rPr>
                <w:rFonts w:hint="eastAsia" w:hAnsi="宋体" w:cs="宋体"/>
                <w:color w:val="auto"/>
                <w:highlight w:val="none"/>
              </w:rPr>
              <w:t>、合同文本</w:t>
            </w:r>
            <w:r>
              <w:rPr>
                <w:rFonts w:hAnsi="宋体" w:cs="宋体"/>
                <w:color w:val="auto"/>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s="宋体"/>
                <w:color w:val="auto"/>
                <w:highlight w:val="none"/>
              </w:rPr>
              <w:t>更正公告（澄清公告）</w:t>
            </w:r>
            <w:r>
              <w:rPr>
                <w:rFonts w:hAnsi="宋体" w:cs="宋体"/>
                <w:color w:val="auto"/>
                <w:highlight w:val="none"/>
              </w:rPr>
              <w:t>与同步更新的</w:t>
            </w:r>
            <w:r>
              <w:rPr>
                <w:rFonts w:hint="eastAsia" w:hAnsi="宋体" w:cs="宋体"/>
                <w:color w:val="auto"/>
                <w:highlight w:val="none"/>
              </w:rPr>
              <w:t>磋商文件</w:t>
            </w:r>
            <w:r>
              <w:rPr>
                <w:rFonts w:hAnsi="宋体" w:cs="宋体"/>
                <w:color w:val="auto"/>
                <w:highlight w:val="none"/>
              </w:rPr>
              <w:t>不一致时以</w:t>
            </w:r>
            <w:r>
              <w:rPr>
                <w:rFonts w:hint="eastAsia" w:hAnsi="宋体" w:cs="宋体"/>
                <w:color w:val="auto"/>
                <w:highlight w:val="none"/>
              </w:rPr>
              <w:t>更正公告（澄清公告）</w:t>
            </w:r>
            <w:r>
              <w:rPr>
                <w:rFonts w:hAnsi="宋体" w:cs="宋体"/>
                <w:color w:val="auto"/>
                <w:highlight w:val="none"/>
              </w:rPr>
              <w:t>为准。按本款前述规定仍不能形成结论的，</w:t>
            </w:r>
            <w:r>
              <w:rPr>
                <w:rFonts w:hAnsi="宋体" w:cs="宋体"/>
                <w:b/>
                <w:color w:val="auto"/>
                <w:highlight w:val="none"/>
              </w:rPr>
              <w:t>由</w:t>
            </w:r>
            <w:r>
              <w:rPr>
                <w:rFonts w:hint="eastAsia" w:hAnsi="宋体" w:cs="宋体"/>
                <w:b/>
                <w:color w:val="auto"/>
                <w:highlight w:val="none"/>
              </w:rPr>
              <w:t>采购</w:t>
            </w:r>
            <w:r>
              <w:rPr>
                <w:rFonts w:hAnsi="宋体" w:cs="宋体"/>
                <w:b/>
                <w:color w:val="auto"/>
                <w:highlight w:val="none"/>
              </w:rPr>
              <w:t>人</w:t>
            </w:r>
            <w:r>
              <w:rPr>
                <w:rFonts w:hint="eastAsia" w:hAnsi="宋体" w:cs="宋体"/>
                <w:b/>
                <w:color w:val="auto"/>
                <w:highlight w:val="none"/>
              </w:rPr>
              <w:t>或者采购代理机构</w:t>
            </w:r>
            <w:r>
              <w:rPr>
                <w:rFonts w:hAnsi="宋体" w:cs="宋体"/>
                <w:b/>
                <w:color w:val="auto"/>
                <w:highlight w:val="none"/>
              </w:rPr>
              <w:t>负责解释。</w:t>
            </w:r>
          </w:p>
          <w:p w14:paraId="39EBDBDF">
            <w:pPr>
              <w:pStyle w:val="15"/>
              <w:snapToGrid w:val="0"/>
              <w:spacing w:line="360" w:lineRule="auto"/>
              <w:rPr>
                <w:rFonts w:hint="eastAsia" w:hAnsi="宋体" w:cs="宋体"/>
                <w:color w:val="auto"/>
                <w:highlight w:val="none"/>
              </w:rPr>
            </w:pPr>
            <w:r>
              <w:rPr>
                <w:rFonts w:hint="eastAsia" w:hAnsi="宋体" w:cs="宋体"/>
                <w:b/>
                <w:color w:val="auto"/>
                <w:highlight w:val="none"/>
              </w:rPr>
              <w:t>法律责任：</w:t>
            </w:r>
            <w:r>
              <w:rPr>
                <w:rFonts w:hint="eastAsia" w:hAnsi="宋体" w:cs="宋体"/>
                <w:color w:val="auto"/>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5AEC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648" w:type="dxa"/>
            <w:tcBorders>
              <w:top w:val="single" w:color="auto" w:sz="4" w:space="0"/>
              <w:left w:val="single" w:color="auto" w:sz="4" w:space="0"/>
              <w:bottom w:val="single" w:color="auto" w:sz="4" w:space="0"/>
              <w:right w:val="single" w:color="auto" w:sz="4" w:space="0"/>
            </w:tcBorders>
            <w:vAlign w:val="center"/>
          </w:tcPr>
          <w:p w14:paraId="563A832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w:t>
            </w:r>
          </w:p>
        </w:tc>
        <w:tc>
          <w:tcPr>
            <w:tcW w:w="1602" w:type="dxa"/>
            <w:tcBorders>
              <w:top w:val="single" w:color="auto" w:sz="4" w:space="0"/>
              <w:left w:val="single" w:color="auto" w:sz="4" w:space="0"/>
              <w:bottom w:val="single" w:color="auto" w:sz="4" w:space="0"/>
              <w:right w:val="single" w:color="auto" w:sz="4" w:space="0"/>
            </w:tcBorders>
            <w:vAlign w:val="center"/>
          </w:tcPr>
          <w:p w14:paraId="1DC6BB8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其他</w:t>
            </w:r>
          </w:p>
        </w:tc>
        <w:tc>
          <w:tcPr>
            <w:tcW w:w="7399" w:type="dxa"/>
            <w:tcBorders>
              <w:top w:val="single" w:color="auto" w:sz="4" w:space="0"/>
              <w:left w:val="single" w:color="auto" w:sz="4" w:space="0"/>
              <w:bottom w:val="single" w:color="auto" w:sz="4" w:space="0"/>
              <w:right w:val="single" w:color="auto" w:sz="4" w:space="0"/>
            </w:tcBorders>
            <w:vAlign w:val="center"/>
          </w:tcPr>
          <w:p w14:paraId="6C13DDC9">
            <w:pPr>
              <w:pStyle w:val="15"/>
              <w:spacing w:line="360" w:lineRule="auto"/>
              <w:rPr>
                <w:rFonts w:hint="eastAsia" w:hAnsi="宋体" w:cs="宋体"/>
                <w:color w:val="auto"/>
                <w:highlight w:val="none"/>
              </w:rPr>
            </w:pPr>
            <w:r>
              <w:rPr>
                <w:rFonts w:hint="eastAsia" w:hAnsi="宋体" w:cs="宋体"/>
                <w:color w:val="auto"/>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51306260">
            <w:pPr>
              <w:pStyle w:val="15"/>
              <w:spacing w:line="360" w:lineRule="auto"/>
              <w:rPr>
                <w:rFonts w:hint="eastAsia" w:hAnsi="宋体" w:cs="宋体"/>
                <w:color w:val="auto"/>
                <w:highlight w:val="none"/>
              </w:rPr>
            </w:pPr>
            <w:r>
              <w:rPr>
                <w:rFonts w:hint="eastAsia" w:hAnsi="宋体" w:cs="宋体"/>
                <w:color w:val="auto"/>
                <w:highlight w:val="none"/>
              </w:rPr>
              <w:t>2.本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483AEE8B">
            <w:pPr>
              <w:pStyle w:val="15"/>
              <w:spacing w:line="360" w:lineRule="auto"/>
              <w:rPr>
                <w:rFonts w:hint="eastAsia" w:hAnsi="宋体" w:cs="宋体"/>
                <w:color w:val="auto"/>
                <w:highlight w:val="none"/>
              </w:rPr>
            </w:pPr>
            <w:r>
              <w:rPr>
                <w:rFonts w:hint="eastAsia" w:hAnsi="宋体" w:cs="宋体"/>
                <w:color w:val="auto"/>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17DE1308">
            <w:pPr>
              <w:pStyle w:val="15"/>
              <w:spacing w:line="360" w:lineRule="auto"/>
              <w:rPr>
                <w:rFonts w:hint="eastAsia" w:hAnsi="宋体" w:cs="宋体"/>
                <w:color w:val="auto"/>
                <w:highlight w:val="none"/>
              </w:rPr>
            </w:pPr>
            <w:r>
              <w:rPr>
                <w:rFonts w:hint="eastAsia" w:hAnsi="宋体" w:cs="宋体"/>
                <w:color w:val="auto"/>
                <w:highlight w:val="none"/>
              </w:rPr>
              <w:t>4.供应商为其他组织或者自然人时，本磋商文件规定的法定代表人指负责人或者自然人。本磋商文件所称负责人是指参加竞标的其他组织营业执照上的负责人，本磋商文件所称自然人指参与竞标的自然人本人。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8CC6CA">
            <w:pPr>
              <w:pStyle w:val="15"/>
              <w:spacing w:line="360" w:lineRule="auto"/>
              <w:rPr>
                <w:rFonts w:hint="eastAsia" w:hAnsi="宋体" w:cs="宋体"/>
                <w:color w:val="auto"/>
                <w:highlight w:val="none"/>
              </w:rPr>
            </w:pPr>
            <w:r>
              <w:rPr>
                <w:rFonts w:hint="eastAsia" w:hAnsi="宋体" w:cs="宋体"/>
                <w:color w:val="auto"/>
                <w:highlight w:val="none"/>
              </w:rPr>
              <w:t>5</w:t>
            </w:r>
            <w:r>
              <w:rPr>
                <w:rFonts w:hAnsi="宋体" w:cs="宋体"/>
                <w:color w:val="auto"/>
                <w:highlight w:val="none"/>
              </w:rPr>
              <w:t>.</w:t>
            </w:r>
            <w:r>
              <w:rPr>
                <w:rFonts w:hint="eastAsia" w:hAnsi="宋体" w:cs="宋体"/>
                <w:color w:val="auto"/>
                <w:highlight w:val="none"/>
              </w:rPr>
              <w:t>自然人竞标的，磋商文件规定盖公章处由自然人摁手指指印。</w:t>
            </w:r>
          </w:p>
          <w:p w14:paraId="5CB305A7">
            <w:pPr>
              <w:pStyle w:val="15"/>
              <w:spacing w:line="360" w:lineRule="auto"/>
              <w:rPr>
                <w:rFonts w:hint="eastAsia" w:hAnsi="宋体" w:cs="宋体"/>
                <w:color w:val="auto"/>
                <w:highlight w:val="none"/>
              </w:rPr>
            </w:pPr>
            <w:r>
              <w:rPr>
                <w:rFonts w:hint="eastAsia" w:hAnsi="宋体" w:cs="宋体"/>
                <w:color w:val="auto"/>
                <w:highlight w:val="none"/>
              </w:rPr>
              <w:t>6</w:t>
            </w:r>
            <w:r>
              <w:rPr>
                <w:rFonts w:hAnsi="宋体" w:cs="宋体"/>
                <w:color w:val="auto"/>
                <w:highlight w:val="none"/>
              </w:rPr>
              <w:t>.</w:t>
            </w:r>
            <w:r>
              <w:rPr>
                <w:rFonts w:hint="eastAsia" w:hAnsi="宋体" w:cs="宋体"/>
                <w:color w:val="auto"/>
                <w:highlight w:val="none"/>
              </w:rPr>
              <w:t>本磋商文件所称的“以上”“以下”“以内”“届满”，包括本数；所称的“不满”“超过”“以外”，不包括本数。</w:t>
            </w:r>
          </w:p>
        </w:tc>
      </w:tr>
      <w:tr w14:paraId="5605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47EC3CA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1602" w:type="dxa"/>
            <w:tcBorders>
              <w:top w:val="single" w:color="auto" w:sz="4" w:space="0"/>
              <w:left w:val="single" w:color="auto" w:sz="4" w:space="0"/>
              <w:bottom w:val="single" w:color="auto" w:sz="4" w:space="0"/>
              <w:right w:val="single" w:color="auto" w:sz="4" w:space="0"/>
            </w:tcBorders>
            <w:vAlign w:val="center"/>
          </w:tcPr>
          <w:p w14:paraId="4CE0613C">
            <w:pPr>
              <w:spacing w:line="360" w:lineRule="auto"/>
              <w:jc w:val="center"/>
              <w:rPr>
                <w:rFonts w:hint="eastAsia" w:ascii="宋体" w:hAnsi="宋体" w:cs="宋体"/>
                <w:color w:val="auto"/>
                <w:szCs w:val="21"/>
                <w:highlight w:val="none"/>
              </w:rPr>
            </w:pPr>
            <w:r>
              <w:rPr>
                <w:rFonts w:hint="eastAsia" w:ascii="宋体" w:hAnsi="宋体" w:cs="宋体"/>
                <w:b/>
                <w:color w:val="auto"/>
                <w:szCs w:val="21"/>
                <w:highlight w:val="none"/>
              </w:rPr>
              <w:t>特别说明</w:t>
            </w:r>
          </w:p>
        </w:tc>
        <w:tc>
          <w:tcPr>
            <w:tcW w:w="7399" w:type="dxa"/>
            <w:tcBorders>
              <w:top w:val="single" w:color="auto" w:sz="4" w:space="0"/>
              <w:left w:val="single" w:color="auto" w:sz="4" w:space="0"/>
              <w:bottom w:val="single" w:color="auto" w:sz="4" w:space="0"/>
              <w:right w:val="single" w:color="auto" w:sz="4" w:space="0"/>
            </w:tcBorders>
            <w:vAlign w:val="center"/>
          </w:tcPr>
          <w:p w14:paraId="56FF10F7">
            <w:pPr>
              <w:pStyle w:val="15"/>
              <w:spacing w:line="360" w:lineRule="auto"/>
              <w:jc w:val="left"/>
              <w:rPr>
                <w:color w:val="auto"/>
                <w:highlight w:val="none"/>
              </w:rPr>
            </w:pPr>
            <w:r>
              <w:rPr>
                <w:rFonts w:hint="eastAsia"/>
                <w:color w:val="auto"/>
                <w:highlight w:val="none"/>
              </w:rPr>
              <w:t>（1）响应文件中须加盖供应商公章位置均采用CA签章，并根据“政府采购项目电子交易管理操作指南-供应商”及本竞争性磋商文件规定的要求编制响应文件并进行关联定位，以便磋商小组在评审时，点击评分项可直接定位到该评分项内容。如对竞争性磋商文件的某项要求，供应商的响应文件未能关联定位提供相应的内容与其对应，则磋商小组在评审时如做出对供应商不利的评审由供应商自行承担。响应文件如内容不完整、编排混乱导致响应文件被误读、 漏读，或者在按磋商文件规定的部位查找不到相关内容的，由供应商自行承担。</w:t>
            </w:r>
          </w:p>
          <w:p w14:paraId="123AA93A">
            <w:pPr>
              <w:pStyle w:val="15"/>
              <w:spacing w:line="360" w:lineRule="auto"/>
              <w:jc w:val="left"/>
              <w:rPr>
                <w:color w:val="auto"/>
                <w:highlight w:val="none"/>
              </w:rPr>
            </w:pPr>
            <w:r>
              <w:rPr>
                <w:rFonts w:hint="eastAsia"/>
                <w:color w:val="auto"/>
                <w:highlight w:val="none"/>
              </w:rPr>
              <w:t>（2）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6F7AD336">
            <w:pPr>
              <w:pStyle w:val="47"/>
              <w:spacing w:before="0" w:after="0" w:line="360" w:lineRule="auto"/>
              <w:ind w:firstLine="0" w:firstLineChars="0"/>
              <w:rPr>
                <w:color w:val="auto"/>
                <w:spacing w:val="0"/>
                <w:highlight w:val="none"/>
              </w:rPr>
            </w:pPr>
            <w:r>
              <w:rPr>
                <w:rFonts w:hint="eastAsia" w:ascii="Times New Roman" w:eastAsia="宋体"/>
                <w:bCs w:val="0"/>
                <w:color w:val="auto"/>
                <w:spacing w:val="0"/>
                <w:kern w:val="2"/>
                <w:sz w:val="21"/>
                <w:szCs w:val="24"/>
                <w:highlight w:val="none"/>
              </w:rPr>
              <w:t>（3）补充事项：成交供应商需在确定成交3日内打印盖章响应文件（一式三份）提供给代理机构，作为成果文件装订使用。</w:t>
            </w:r>
          </w:p>
        </w:tc>
      </w:tr>
      <w:tr w14:paraId="46076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48" w:type="dxa"/>
            <w:tcBorders>
              <w:top w:val="single" w:color="auto" w:sz="4" w:space="0"/>
              <w:left w:val="single" w:color="auto" w:sz="4" w:space="0"/>
              <w:bottom w:val="single" w:color="auto" w:sz="4" w:space="0"/>
              <w:right w:val="single" w:color="auto" w:sz="4" w:space="0"/>
            </w:tcBorders>
            <w:vAlign w:val="center"/>
          </w:tcPr>
          <w:p w14:paraId="30F883C4">
            <w:pPr>
              <w:spacing w:line="360" w:lineRule="auto"/>
              <w:jc w:val="center"/>
              <w:rPr>
                <w:rFonts w:hint="eastAsia" w:ascii="宋体" w:hAnsi="宋体" w:cs="宋体"/>
                <w:color w:val="auto"/>
                <w:szCs w:val="21"/>
                <w:highlight w:val="none"/>
              </w:rPr>
            </w:pPr>
            <w:bookmarkStart w:id="63" w:name="_Toc16298"/>
            <w:bookmarkStart w:id="64" w:name="_Toc8441"/>
            <w:r>
              <w:rPr>
                <w:rFonts w:hint="eastAsia" w:ascii="宋体" w:hAnsi="宋体" w:cs="宋体"/>
                <w:color w:val="auto"/>
                <w:szCs w:val="21"/>
                <w:highlight w:val="none"/>
              </w:rPr>
              <w:t>22</w:t>
            </w:r>
          </w:p>
        </w:tc>
        <w:tc>
          <w:tcPr>
            <w:tcW w:w="1602" w:type="dxa"/>
            <w:tcBorders>
              <w:top w:val="single" w:color="auto" w:sz="4" w:space="0"/>
              <w:left w:val="single" w:color="auto" w:sz="4" w:space="0"/>
              <w:bottom w:val="single" w:color="auto" w:sz="4" w:space="0"/>
              <w:right w:val="single" w:color="auto" w:sz="4" w:space="0"/>
            </w:tcBorders>
            <w:vAlign w:val="center"/>
          </w:tcPr>
          <w:p w14:paraId="48E3D55D">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政府采购电子保函</w:t>
            </w:r>
          </w:p>
        </w:tc>
        <w:tc>
          <w:tcPr>
            <w:tcW w:w="7399" w:type="dxa"/>
            <w:tcBorders>
              <w:top w:val="single" w:color="auto" w:sz="4" w:space="0"/>
              <w:left w:val="single" w:color="auto" w:sz="4" w:space="0"/>
              <w:bottom w:val="single" w:color="auto" w:sz="4" w:space="0"/>
              <w:right w:val="single" w:color="auto" w:sz="4" w:space="0"/>
            </w:tcBorders>
            <w:vAlign w:val="center"/>
          </w:tcPr>
          <w:p w14:paraId="677D1E7C">
            <w:pPr>
              <w:pStyle w:val="47"/>
              <w:spacing w:before="0" w:after="0" w:line="360" w:lineRule="auto"/>
              <w:ind w:firstLine="0" w:firstLineChars="0"/>
              <w:rPr>
                <w:rFonts w:ascii="Times New Roman" w:eastAsia="宋体"/>
                <w:bCs w:val="0"/>
                <w:color w:val="auto"/>
                <w:spacing w:val="0"/>
                <w:kern w:val="2"/>
                <w:sz w:val="21"/>
                <w:szCs w:val="24"/>
                <w:highlight w:val="none"/>
              </w:rPr>
            </w:pPr>
            <w:r>
              <w:rPr>
                <w:rFonts w:hint="eastAsia" w:ascii="Times New Roman" w:eastAsia="宋体"/>
                <w:bCs w:val="0"/>
                <w:color w:val="auto"/>
                <w:spacing w:val="0"/>
                <w:kern w:val="2"/>
                <w:sz w:val="21"/>
                <w:szCs w:val="24"/>
                <w:highlight w:val="none"/>
              </w:rPr>
              <w:t>供应商可通过“广西政府采购金融服务平台”（https://jinrong.zcygov.cn/finance/gx）在线方式完成预付款保函申请、递交、验收和索赔等全流程电子化操作，电子保函有关业务操作流程和手册可从“广西政府采购金融服务平台”查阅下载，供应商在电子保函的申请、使用、查看应用过程中遇到问题可咨询技术支撑方：400-903-9583。</w:t>
            </w:r>
          </w:p>
        </w:tc>
      </w:tr>
    </w:tbl>
    <w:p w14:paraId="24642237">
      <w:pPr>
        <w:rPr>
          <w:color w:val="auto"/>
          <w:highlight w:val="none"/>
        </w:rPr>
      </w:pPr>
    </w:p>
    <w:p w14:paraId="30814FE1">
      <w:pPr>
        <w:pStyle w:val="17"/>
        <w:ind w:left="420"/>
        <w:rPr>
          <w:color w:val="auto"/>
          <w:highlight w:val="none"/>
        </w:rPr>
      </w:pPr>
    </w:p>
    <w:p w14:paraId="6BE2318B">
      <w:pPr>
        <w:pStyle w:val="4"/>
        <w:spacing w:before="156" w:beforeLines="50" w:after="0" w:line="600" w:lineRule="exact"/>
        <w:jc w:val="center"/>
        <w:rPr>
          <w:rFonts w:hint="eastAsia" w:ascii="宋体" w:hAnsi="宋体" w:cs="宋体"/>
          <w:bCs w:val="0"/>
          <w:color w:val="auto"/>
          <w:sz w:val="32"/>
          <w:szCs w:val="32"/>
          <w:highlight w:val="none"/>
        </w:rPr>
      </w:pPr>
    </w:p>
    <w:p w14:paraId="5F939449">
      <w:pPr>
        <w:rPr>
          <w:color w:val="auto"/>
          <w:highlight w:val="none"/>
        </w:rPr>
        <w:sectPr>
          <w:pgSz w:w="11906" w:h="16838"/>
          <w:pgMar w:top="1247" w:right="1417" w:bottom="1247" w:left="1417" w:header="851" w:footer="992" w:gutter="0"/>
          <w:cols w:space="0" w:num="1"/>
          <w:docGrid w:type="lines" w:linePitch="312" w:charSpace="0"/>
        </w:sectPr>
      </w:pPr>
    </w:p>
    <w:p w14:paraId="3BAC98D9">
      <w:pPr>
        <w:pStyle w:val="4"/>
        <w:spacing w:before="156" w:beforeLines="50" w:after="0" w:line="600" w:lineRule="exact"/>
        <w:jc w:val="center"/>
        <w:rPr>
          <w:rFonts w:hint="eastAsia" w:ascii="宋体" w:hAnsi="宋体" w:cs="宋体"/>
          <w:bCs w:val="0"/>
          <w:color w:val="auto"/>
          <w:szCs w:val="21"/>
          <w:highlight w:val="none"/>
        </w:rPr>
      </w:pPr>
      <w:r>
        <w:rPr>
          <w:rFonts w:hint="eastAsia" w:ascii="宋体" w:hAnsi="宋体" w:cs="宋体"/>
          <w:bCs w:val="0"/>
          <w:color w:val="auto"/>
          <w:sz w:val="32"/>
          <w:szCs w:val="32"/>
          <w:highlight w:val="none"/>
        </w:rPr>
        <w:t>供应商须知</w:t>
      </w:r>
      <w:bookmarkEnd w:id="63"/>
      <w:bookmarkEnd w:id="64"/>
    </w:p>
    <w:p w14:paraId="67709EFC">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669027C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1.适用范围</w:t>
      </w:r>
    </w:p>
    <w:p w14:paraId="4353BF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7EF1537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1.2本竞争性磋商文件适用于本项目的所有采购程序和环节（法律、法规另有规定的，从其规定）。</w:t>
      </w:r>
    </w:p>
    <w:p w14:paraId="0B1BE71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2.定义</w:t>
      </w:r>
    </w:p>
    <w:p w14:paraId="487CC50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759E8FE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2.2“采购代理机构”是指政府采购代理机构（以下简称采购代理机构）是指集中采购机构以外、受采购人委托从事政府采购代理业务的社会中介机构。</w:t>
      </w:r>
    </w:p>
    <w:p w14:paraId="5F046BC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A6EAA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2.4“工程”是指建设工程，包括建筑物和构筑物的新建、改建、扩建、装修、拆除、修缮等。</w:t>
      </w:r>
    </w:p>
    <w:p w14:paraId="69843E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2.5“竞标”是指供应商按照本项目竞争性磋商公告规定的方式获取竞争性磋商文件、提交响应文件并希望获得标的的行为。</w:t>
      </w:r>
    </w:p>
    <w:p w14:paraId="114CE2C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2.6“响应文件”是指：供应商根据本竞争性磋商文件要求，编制包含资格证明、报价商务技术等所有内容的文件。</w:t>
      </w:r>
    </w:p>
    <w:p w14:paraId="4DA470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2.7“实质性要求”是指竞争性磋商文件中已经指明不满足则响应文件按无效响应处理的条款，或不能负偏离的条款，或采购需求中带“▲”的条款。</w:t>
      </w:r>
    </w:p>
    <w:p w14:paraId="388D8B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2.8“正偏离”，是指响应文件对竞争性磋商文件“采购需求”中有关条款作出的响应优于条款要求并有利于采购人的情形。</w:t>
      </w:r>
    </w:p>
    <w:p w14:paraId="291CE9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2.9“负偏离”，是指响应文件对竞争性磋商文件“采购需求”中有关条款作出的响应不满足条款要求导致采购人要求不能得到满足的情形。</w:t>
      </w:r>
    </w:p>
    <w:p w14:paraId="554573B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647533E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F5531D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26691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2.13“评审价”是指供应商提交的最后报价并经修正和政策功能价格扣除后的价格。</w:t>
      </w:r>
    </w:p>
    <w:p w14:paraId="33F9E6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3.供应商的资格条件</w:t>
      </w:r>
    </w:p>
    <w:p w14:paraId="15116FA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8F631B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4.竞标费用</w:t>
      </w:r>
    </w:p>
    <w:p w14:paraId="77DEFD1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供应商应承担参与本次采购活动有关的所有费用，包括但不限于获取磋商文件、勘查现场、编制和提交响应文件、参加磋商与应答、签订合同等，不论磋商结果如何，均应自行承担。</w:t>
      </w:r>
    </w:p>
    <w:p w14:paraId="40A06E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5.联合体竞标</w:t>
      </w:r>
    </w:p>
    <w:p w14:paraId="65CDCD4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5.1本项目不接受联合体竞标。</w:t>
      </w:r>
    </w:p>
    <w:p w14:paraId="2348E49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6.转包与分包</w:t>
      </w:r>
    </w:p>
    <w:p w14:paraId="3E75B5B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6.1本项目不允许转包。</w:t>
      </w:r>
    </w:p>
    <w:p w14:paraId="44C81C6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7.特别说明</w:t>
      </w:r>
    </w:p>
    <w:p w14:paraId="4BF71BE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7.1如果本磋商文件要求供应商提供资格、信誉、荣誉、业绩与企业认证等材料的，则供应商所提供的以上材料必须为供应商所拥有。</w:t>
      </w:r>
    </w:p>
    <w:p w14:paraId="61F6170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7.2供应商应仔细阅读竞争性磋商文件的所有内容，按照竞争性磋商文件的要求提交响应文件，并对所提供的全部资料的真实性承担法律责任。</w:t>
      </w:r>
    </w:p>
    <w:p w14:paraId="38DE448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在磋商活动中提供任何疑似虚假材料，将报监管部门查处；签订合同后发现的，成交供应商须依照《中华人民共和国消费者权益保护法》规定赔偿采购人，且民事赔偿并不免除违法供应商的行政与刑事责任。</w:t>
      </w:r>
    </w:p>
    <w:p w14:paraId="41F7D8D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5C469C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BE43B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DB9733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E856EC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（4）与供应商的法定代表人或负责人有夫妻、直系血亲、三代以内旁系血亲或者近姻亲关系；</w:t>
      </w:r>
    </w:p>
    <w:p w14:paraId="0FF891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DEB27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514F267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648267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（1）不同供应商的响应文件由同一单位或者个人编制；或者不同供应商报名的IP地址一致的；</w:t>
      </w:r>
    </w:p>
    <w:p w14:paraId="79C50C7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（2）不同供应商委托同一单位或者个人办理磋商事宜；</w:t>
      </w:r>
    </w:p>
    <w:p w14:paraId="177D1B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89AD9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DD4BAC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650DCD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p>
    <w:p w14:paraId="5D8972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7.6供应商有下列情形之一的，属于恶意串通行为：</w:t>
      </w:r>
    </w:p>
    <w:p w14:paraId="7D08601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455B9A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664E0D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B56909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22F6FDC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78718E5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76F309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3FA720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7.7关联供应商不得参加同一合同项下政府采购活动，否则响应文件将被视为无效：</w:t>
      </w:r>
    </w:p>
    <w:p w14:paraId="0986DE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（1）单位负责人为同一人或者存在直接控股、管理关系的不同的供应商，不得参加同一合同项下的政府采购活动。</w:t>
      </w:r>
    </w:p>
    <w:p w14:paraId="1600C448">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二、响应文件的编制</w:t>
      </w:r>
    </w:p>
    <w:p w14:paraId="3676BC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8.响应文件的编制原则</w:t>
      </w:r>
    </w:p>
    <w:p w14:paraId="0435B2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供应商应当按照竞争性磋商文件的要求编制响应文件，并对其提交的响应文件的真实性、合法性承担法律责任。响应文件应当对竞争性磋商文件作出实质性响应。</w:t>
      </w:r>
    </w:p>
    <w:p w14:paraId="1B0440C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9.响应文件编制基本要求</w:t>
      </w:r>
    </w:p>
    <w:p w14:paraId="0D35F1FB">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9.1本项目实行电子开评标，供应商应准备电子磋商响应文件。供应商应仔细阅读竞争性磋商采购文件，在充分了解采购的内容、服务要求和商务条款以及实质性要求和条件后，编写响应文件。电子响应文件按广西政府采购云平台要求及本竞争性磋商采购文件要求制作、加密并递交。具体操作流程可参考《政府采购项目电子交易管理操作指南-供应商》，指南可在“http：//zfcg.gxzf.gov.cn/PurchaseAdvisory/ImportantNotice/2866753.html”下载。</w:t>
      </w:r>
    </w:p>
    <w:p w14:paraId="6990DB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9.2供应商提交的竞争性磋商响应文件以及供应商与广西荣胜项目管理有限公司和采购人就有关磋商的所有来往函电均应使用中文。供应商提交的支持文件和印刷的文献可以使用别的语言，但其相应内容必须附有中文翻译文本，在解释竞争性磋商响应文件时以翻译文本为准。</w:t>
      </w:r>
    </w:p>
    <w:p w14:paraId="7552510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9.3供应商应认真阅读、并充分理解本文件的全部内容（包括所有的补充、修改内容），承诺并履行本文件中各项条款规定及要求。</w:t>
      </w:r>
    </w:p>
    <w:p w14:paraId="71FBD8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9.4竞争性磋商响应文件必须按本文件的全部内容，包括所有的补充通知及附件进行编制。</w:t>
      </w:r>
    </w:p>
    <w:p w14:paraId="659D6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9.5如因供应商只填写和提供了本文件要求的部分内容和附件，而给评审造成困难，其可能导致的结果和责任由供应商自行承担。</w:t>
      </w:r>
    </w:p>
    <w:p w14:paraId="61FAAB00">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9.6响应文件的组成：响应文件应分为资格证明文件、报价文件、商务技术文件三个部分组成。</w:t>
      </w:r>
      <w:r>
        <w:rPr>
          <w:rFonts w:hint="eastAsia" w:ascii="宋体" w:hAnsi="宋体" w:cs="宋体"/>
          <w:b/>
          <w:color w:val="auto"/>
          <w:szCs w:val="21"/>
          <w:highlight w:val="none"/>
        </w:rPr>
        <w:t>以下注明“</w:t>
      </w:r>
      <w:r>
        <w:rPr>
          <w:rFonts w:hint="eastAsia" w:ascii="宋体" w:hAnsi="宋体" w:cs="宋体"/>
          <w:color w:val="auto"/>
          <w:szCs w:val="21"/>
          <w:highlight w:val="none"/>
        </w:rPr>
        <w:t>▲</w:t>
      </w:r>
      <w:r>
        <w:rPr>
          <w:rFonts w:hint="eastAsia" w:ascii="宋体" w:hAnsi="宋体" w:cs="宋体"/>
          <w:b/>
          <w:color w:val="auto"/>
          <w:szCs w:val="21"/>
          <w:highlight w:val="none"/>
        </w:rPr>
        <w:t>”的必须提供，否则竞标无效。</w:t>
      </w:r>
    </w:p>
    <w:p w14:paraId="687EF74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1.资格证明文件</w:t>
      </w:r>
    </w:p>
    <w:p w14:paraId="69E0C47E">
      <w:pPr>
        <w:pStyle w:val="11"/>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w:t>
      </w:r>
      <w:r>
        <w:rPr>
          <w:rFonts w:hint="eastAsia" w:ascii="宋体" w:hAnsi="宋体" w:cs="宋体"/>
          <w:color w:val="auto"/>
          <w:szCs w:val="21"/>
          <w:highlight w:val="none"/>
        </w:rPr>
        <w:t>供应商为法人或者其他组织的提供其营业执照等证明文件复印件（如营业执照或者事业单位法人证书或者执业许可证或者登记证书等）；</w:t>
      </w:r>
    </w:p>
    <w:p w14:paraId="6EDEF8F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7B027B8A">
      <w:pPr>
        <w:spacing w:line="360" w:lineRule="auto"/>
        <w:ind w:firstLine="420" w:firstLineChars="200"/>
        <w:contextualSpacing/>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1</w:t>
      </w:r>
      <w:r>
        <w:rPr>
          <w:rFonts w:hint="eastAsia" w:ascii="宋体" w:hAnsi="宋体" w:cs="宋体"/>
          <w:color w:val="auto"/>
          <w:szCs w:val="21"/>
          <w:highlight w:val="none"/>
        </w:rPr>
        <w:t>月以来任意</w:t>
      </w:r>
      <w:r>
        <w:rPr>
          <w:rFonts w:hint="eastAsia" w:ascii="宋体" w:hAnsi="宋体" w:cs="宋体"/>
          <w:color w:val="auto"/>
          <w:szCs w:val="21"/>
          <w:highlight w:val="none"/>
          <w:u w:val="single"/>
        </w:rPr>
        <w:t>1</w:t>
      </w:r>
      <w:r>
        <w:rPr>
          <w:rFonts w:hint="eastAsia" w:ascii="宋体" w:hAnsi="宋体" w:cs="宋体"/>
          <w:color w:val="auto"/>
          <w:szCs w:val="21"/>
          <w:highlight w:val="none"/>
        </w:rPr>
        <w:t>个月的依法缴纳社会保障资金的缴费凭证复印件；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p>
    <w:p w14:paraId="294A4C8E">
      <w:pPr>
        <w:spacing w:line="360" w:lineRule="auto"/>
        <w:ind w:firstLine="420" w:firstLineChars="200"/>
        <w:contextualSpacing/>
        <w:jc w:val="left"/>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（4）投标人财务状况报告：[</w:t>
      </w:r>
      <w:r>
        <w:rPr>
          <w:rFonts w:hint="eastAsia" w:ascii="宋体" w:hAnsi="宋体" w:cs="宋体"/>
          <w:bCs/>
          <w:color w:val="auto"/>
          <w:szCs w:val="21"/>
          <w:highlight w:val="none"/>
          <w:lang w:val="en-US" w:eastAsia="zh-CN"/>
        </w:rPr>
        <w:t>2024年度或2025年度</w:t>
      </w:r>
      <w:r>
        <w:rPr>
          <w:rFonts w:hint="eastAsia" w:ascii="宋体" w:hAnsi="宋体" w:cs="宋体"/>
          <w:bCs/>
          <w:color w:val="auto"/>
          <w:szCs w:val="21"/>
          <w:highlight w:val="none"/>
        </w:rPr>
        <w:t>]财务状况报告复印件；供应商成立不满一年的应按提供截标之日上一个月的财务状况报告复印件。</w:t>
      </w:r>
    </w:p>
    <w:p w14:paraId="22679AF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（5）</w:t>
      </w:r>
      <w:r>
        <w:rPr>
          <w:rFonts w:hint="eastAsia" w:ascii="宋体" w:hAnsi="宋体" w:cs="宋体"/>
          <w:color w:val="auto"/>
          <w:szCs w:val="21"/>
          <w:highlight w:val="none"/>
        </w:rPr>
        <w:t>竞标声明（格式后附）；</w:t>
      </w:r>
    </w:p>
    <w:p w14:paraId="7BB08BC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（6）</w:t>
      </w:r>
      <w:r>
        <w:rPr>
          <w:rFonts w:hint="eastAsia" w:ascii="宋体" w:hAnsi="宋体" w:cs="宋体"/>
          <w:color w:val="auto"/>
          <w:szCs w:val="21"/>
          <w:highlight w:val="none"/>
        </w:rPr>
        <w:t>供应商直接控股、管理关系信息表（格式后附）；</w:t>
      </w:r>
    </w:p>
    <w:p w14:paraId="4AE20169">
      <w:pPr>
        <w:snapToGrid w:val="0"/>
        <w:spacing w:line="360" w:lineRule="auto"/>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（7）拟派的项目经理无在建项目承诺书（格式自拟）</w:t>
      </w:r>
    </w:p>
    <w:p w14:paraId="3EEE7AC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8</w:t>
      </w:r>
      <w:r>
        <w:rPr>
          <w:rFonts w:hint="eastAsia" w:ascii="宋体" w:hAnsi="宋体" w:cs="宋体"/>
          <w:bCs/>
          <w:color w:val="auto"/>
          <w:szCs w:val="21"/>
          <w:highlight w:val="none"/>
        </w:rPr>
        <w:t>）</w:t>
      </w:r>
      <w:r>
        <w:rPr>
          <w:rFonts w:hint="eastAsia" w:ascii="宋体" w:hAnsi="宋体" w:cs="宋体"/>
          <w:color w:val="auto"/>
          <w:szCs w:val="21"/>
          <w:highlight w:val="none"/>
        </w:rPr>
        <w:t>本项目属于专门面向中小企业采购的项目，供应商须为中小企业或监狱企业或残疾人福利性单位。[供应商必须在响应文件中提供《</w:t>
      </w:r>
      <w:r>
        <w:rPr>
          <w:rFonts w:hint="eastAsia" w:ascii="宋体" w:hAnsi="宋体" w:cs="宋体"/>
          <w:bCs/>
          <w:color w:val="auto"/>
          <w:szCs w:val="21"/>
          <w:highlight w:val="none"/>
        </w:rPr>
        <w:t>中小企业声明函（工程）</w:t>
      </w:r>
      <w:r>
        <w:rPr>
          <w:rFonts w:hint="eastAsia" w:ascii="宋体" w:hAnsi="宋体" w:cs="宋体"/>
          <w:color w:val="auto"/>
          <w:szCs w:val="21"/>
          <w:highlight w:val="none"/>
        </w:rPr>
        <w:t>》</w:t>
      </w:r>
      <w:r>
        <w:rPr>
          <w:rFonts w:hint="eastAsia" w:ascii="宋体" w:hAnsi="宋体" w:cs="宋体"/>
          <w:color w:val="auto"/>
          <w:szCs w:val="22"/>
          <w:highlight w:val="none"/>
        </w:rPr>
        <w:t>或残疾人福利性单位声明函或监狱企业证明材料]；</w:t>
      </w:r>
    </w:p>
    <w:p w14:paraId="50BE5C2F">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9</w:t>
      </w:r>
      <w:r>
        <w:rPr>
          <w:rFonts w:hint="eastAsia" w:ascii="宋体" w:hAnsi="宋体" w:cs="宋体"/>
          <w:bCs/>
          <w:color w:val="auto"/>
          <w:szCs w:val="21"/>
          <w:highlight w:val="none"/>
        </w:rPr>
        <w:t>）本项目的特定资格要求：（1）本项目供应商企业资质要求具备公路工程施工总承包三级(含三级)以上资质，且具备省级及以上建设行政主管部门颁发的安全生产许可证。并在人员、设备、资金等方面具有相应的施工能力；</w:t>
      </w:r>
    </w:p>
    <w:p w14:paraId="5DE7F988">
      <w:pPr>
        <w:spacing w:line="360" w:lineRule="auto"/>
        <w:ind w:firstLine="420" w:firstLineChars="200"/>
        <w:rPr>
          <w:rFonts w:hint="eastAsia" w:ascii="宋体" w:hAnsi="宋体" w:eastAsia="宋体" w:cs="宋体"/>
          <w:b/>
          <w:color w:val="auto"/>
          <w:szCs w:val="21"/>
          <w:highlight w:val="none"/>
          <w:lang w:eastAsia="zh-CN"/>
        </w:rPr>
      </w:pPr>
      <w:r>
        <w:rPr>
          <w:rFonts w:hint="eastAsia" w:ascii="宋体" w:hAnsi="宋体" w:cs="宋体"/>
          <w:bCs/>
          <w:color w:val="auto"/>
          <w:szCs w:val="21"/>
          <w:highlight w:val="none"/>
        </w:rPr>
        <w:t xml:space="preserve">    （2）拟投入本工程的项目经理必须具有公路工程专业贰级以上（含贰级）注册建造师资格及安全生产考核合格证（B证），为供应商的在岗人员，且未担任其他在建项目或已中标未开工项目或已列为项目第一中标候选人项目的项目经理</w:t>
      </w:r>
      <w:r>
        <w:rPr>
          <w:rFonts w:hint="eastAsia" w:ascii="宋体" w:hAnsi="宋体" w:cs="宋体"/>
          <w:color w:val="auto"/>
          <w:szCs w:val="21"/>
          <w:highlight w:val="none"/>
          <w:lang w:eastAsia="zh-CN"/>
        </w:rPr>
        <w:t>。</w:t>
      </w:r>
    </w:p>
    <w:p w14:paraId="275CB1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）供应商针对资格证明需要说明的其他证明文件和说明。（格式自拟）</w:t>
      </w:r>
    </w:p>
    <w:p w14:paraId="2A1E8FD8">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2.报价文件</w:t>
      </w:r>
    </w:p>
    <w:p w14:paraId="7181210A">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（1）磋商函；</w:t>
      </w:r>
    </w:p>
    <w:p w14:paraId="01DD7918">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（2）磋商函附录</w:t>
      </w:r>
      <w:r>
        <w:rPr>
          <w:rFonts w:hint="eastAsia" w:ascii="宋体" w:hAnsi="宋体" w:cs="宋体"/>
          <w:b/>
          <w:color w:val="auto"/>
          <w:szCs w:val="21"/>
          <w:highlight w:val="none"/>
        </w:rPr>
        <w:t>；</w:t>
      </w:r>
    </w:p>
    <w:p w14:paraId="287B35F5">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（3）竞标报价表；</w:t>
      </w:r>
    </w:p>
    <w:p w14:paraId="19D1C03D">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（4）已标价工程量清单；</w:t>
      </w:r>
    </w:p>
    <w:p w14:paraId="1EC8B28A">
      <w:pPr>
        <w:spacing w:line="360" w:lineRule="auto"/>
        <w:ind w:firstLine="420" w:firstLineChars="200"/>
        <w:rPr>
          <w:rFonts w:hint="eastAsia" w:ascii="宋体" w:hAnsi="宋体" w:cs="宋体"/>
          <w:b/>
          <w:color w:val="auto"/>
          <w:szCs w:val="21"/>
          <w:highlight w:val="none"/>
        </w:rPr>
      </w:pPr>
      <w:r>
        <w:rPr>
          <w:rFonts w:hint="eastAsia" w:ascii="宋体" w:hAnsi="宋体" w:cs="宋体"/>
          <w:bCs/>
          <w:color w:val="auto"/>
          <w:szCs w:val="21"/>
          <w:highlight w:val="none"/>
        </w:rPr>
        <w:t>（5）供应商针对报价需要说明的其他文件和说明（格式自拟）。</w:t>
      </w:r>
    </w:p>
    <w:p w14:paraId="14760B7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3.商务技术文件</w:t>
      </w:r>
    </w:p>
    <w:p w14:paraId="0FA2719B">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（1）无串通竞标行为的承诺函（格式后附）；</w:t>
      </w:r>
    </w:p>
    <w:p w14:paraId="65ED0293">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（2）法定代表人身份证明书及法定代表人有效身份证正反面复印件（格式后附）；</w:t>
      </w:r>
    </w:p>
    <w:p w14:paraId="5088B53E">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w:t>
      </w:r>
    </w:p>
    <w:p w14:paraId="279DDE52">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w:t>
      </w:r>
      <w:r>
        <w:rPr>
          <w:rFonts w:hint="eastAsia" w:ascii="宋体" w:hAnsi="宋体" w:cs="宋体"/>
          <w:bCs/>
          <w:color w:val="auto"/>
          <w:szCs w:val="21"/>
          <w:highlight w:val="none"/>
        </w:rPr>
        <w:t>（4）施工组织设计；</w:t>
      </w:r>
    </w:p>
    <w:p w14:paraId="6E66BE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（5）项目管理机构配备情况表；</w:t>
      </w:r>
    </w:p>
    <w:p w14:paraId="76AB6A2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（6）供应商针对商务技术需要说明的其他文件和说明（格式自拟）；</w:t>
      </w:r>
    </w:p>
    <w:p w14:paraId="2914EB6F">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特别说明：①电子磋商响应文件中所须加盖公章部分均采用CA签章。若竞争性磋商响应文件中有专门标注的某关联点，并要求供应商在电子投标系统中作出磋商响应的，如供应商未对关联点进行响应或者在响应文件其它内容进行描述，造成电子评审不能查询的责任由供应商自行承担。</w:t>
      </w:r>
    </w:p>
    <w:p w14:paraId="2298C5E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②采购文件要求法定代表人（负责人）或委托代理人签字的部分必须打印签字后扫描或拍照做成PDF格式上传，如供应商有广西政府采购云平台法定代表人私章CA证书或个人签名CA证书的也可直接使用，否则视为竞标无效。</w:t>
      </w:r>
    </w:p>
    <w:p w14:paraId="59EC50A8">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③竞争性磋商采购文件要求提供的各种复印件，须加盖供应商CA签章，否则其磋商无效。</w:t>
      </w:r>
    </w:p>
    <w:p w14:paraId="59DF29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9.7响应文件有效期：见供应商须知前附表。</w:t>
      </w:r>
    </w:p>
    <w:p w14:paraId="615759D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9.8磋商保证金：见供应商须知前附表。</w:t>
      </w:r>
    </w:p>
    <w:p w14:paraId="6F1E35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10.计量单位</w:t>
      </w:r>
    </w:p>
    <w:p w14:paraId="74EB79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10.1磋商文件已有明确规定的，使用磋商文件规定的计量单位；磋商文件没有规定的，应采用国家法定计量单位，货币种类为人民币，否则视同未响应。</w:t>
      </w:r>
    </w:p>
    <w:p w14:paraId="089F63A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三、磋商报价及采购预算</w:t>
      </w:r>
    </w:p>
    <w:p w14:paraId="65BE078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11.1对于本文件中未列明，而供应商认为必需的费用也需列入总报价。在合同实施时，采购人将不予支付成交供应商没有列入的项目费用，并认为此项目的费用已包括在总报价中。</w:t>
      </w:r>
    </w:p>
    <w:p w14:paraId="4632CEE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11.2供应商必须就所磋商的采购项目的全部内容作完整唯一报价，漏项报价的或有选择的或有条件的报价，其竞标将视为无效。</w:t>
      </w:r>
    </w:p>
    <w:p w14:paraId="26387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11.3本项目磋商报价费用指按照采购需求完成该项目的所有服务工作的费用总和。</w:t>
      </w:r>
    </w:p>
    <w:p w14:paraId="5FE54E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11.4供应商应在磋商报价表上标明单价和总价。大写金额和小写金额不一致的，以大写金额为准；总价金额与按单价汇总金额不一致的，以单价金额计算结果为准；单价金额小数点有明显错位的，应以总价为准，并修改单价；对不同文字文本响应文件的解释发生异议的，以中文文本为准。除上述原因以外，如果因供应商原因引起的报价失误，并在磋商时被接受，其后果由供应商自负。</w:t>
      </w:r>
    </w:p>
    <w:p w14:paraId="7AF8257F">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四、响应文件的份数、封装和递交</w:t>
      </w:r>
    </w:p>
    <w:p w14:paraId="1CC36C1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12.竞争性磋商响应文件的份数：电子加密响应文件一份。</w:t>
      </w:r>
    </w:p>
    <w:p w14:paraId="1016075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12.1电子磋商响应文件中须加盖供应商公章位置均采用CA签章，并根据“政府采购项目电子交易管理操作指南-供应商”及本竞争性磋商采购文件规定的格式和顺序编制电子磋商响应文件并进行关联定位，以便磋商小组在评审时，点击评分项可直接定位到该评分项内容。如对竞争性磋商采购文件的某项要求，供应商的电子磋商响应文件未能关联定位提供相应的内容与其对应，则磋商小组在评审时如做出对供应商不利的评审由供应商自行承担。电子磋商响应文件如内容不完整、编排混乱导致磋商响应文件被误读、漏读，或者在按采购文件规定的部位查找不到相关内容的，由供应商自行承担。</w:t>
      </w:r>
    </w:p>
    <w:p w14:paraId="3823964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13.响应文件的递交</w:t>
      </w:r>
    </w:p>
    <w:p w14:paraId="4848F2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13.1所有竞争性响应文件应于“第二章磋商须知及前附表”中规定的截止时间前递交到规定地点。</w:t>
      </w:r>
    </w:p>
    <w:p w14:paraId="318017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进行电子投标应安装客户端软件，并按照采购文件和电子交易平台的要求编制并加密响应文件。供应商未按规定加密的磋商响应文件，电子交易平台将拒收。供应商应当在递交截止时间前完成磋商响应文件的传输递交，并可以补充、修改或者撤回磋商响应文件。补充或者修改磋商响应文件的，应当先行撤回原文件，补充、修改后重新传输递交。递交截止时间前未完成传输的，视为撤回磋商响应文件。递交截止时间后递交的磋商响应文件，电子交易平台将拒收。</w:t>
      </w:r>
    </w:p>
    <w:p w14:paraId="1A1E9AD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13.2迟交的响应文件</w:t>
      </w:r>
    </w:p>
    <w:p w14:paraId="23273C3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采购人或采购代理人按照规定有权拒绝或原封退回在其规定的递交响应文件截止时间之后收到的任何响应文件。</w:t>
      </w:r>
    </w:p>
    <w:p w14:paraId="333DEB7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五、竞争性磋商（简称磋商）与评审</w:t>
      </w:r>
    </w:p>
    <w:p w14:paraId="697EF3C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14.磋商小组成立及响应文件的开启</w:t>
      </w:r>
    </w:p>
    <w:p w14:paraId="465AA79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磋商小组由采购人代表和评审专家共3人以上单数组成，具体人数见“供应商须知前附表”，其中评审专家人数不得少于磋商小组成员总数的2/3。采购人代表不得以评审专家身份参加本部门或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1EDCB36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13DA9AC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14.3响应文件的开启：具体详见“供应商须知前附表”。</w:t>
      </w:r>
    </w:p>
    <w:p w14:paraId="4470BE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15.响应文件评审程序</w:t>
      </w:r>
    </w:p>
    <w:p w14:paraId="345777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15.1资格审查</w:t>
      </w:r>
    </w:p>
    <w:p w14:paraId="1A9091C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15.1.1响应文件开启后，由磋商小组依法对供应商的资格证明文件进行审查。</w:t>
      </w:r>
    </w:p>
    <w:p w14:paraId="3735CA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15.1.2通过资格审查的合格供应商不足3家的，不得进入符合性审查环节，采购人或采购代理机构应当重新开展采购活动。</w:t>
      </w:r>
    </w:p>
    <w:p w14:paraId="25B4BA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15.2符合性审查</w:t>
      </w:r>
    </w:p>
    <w:p w14:paraId="216B889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15.2.1由磋商小组通过资格审查的合格供应商的响应文件的竞标报价、商务、技术等实质性要求进行符合性审查，以确定其是否满足竞争性磋商文件的实质性要求。</w:t>
      </w:r>
    </w:p>
    <w:p w14:paraId="35641D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CBBD39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2CB12D7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15.2.4首次响应文件中报价出现前后不一致的，按照下列规定修正：</w:t>
      </w:r>
    </w:p>
    <w:p w14:paraId="2429C70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（1）响应文件中报价表内容与响应文件中相应内容不一致的，以报价表为准；</w:t>
      </w:r>
    </w:p>
    <w:p w14:paraId="71C55C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（2）大写金额和小写金额不一致的，以大写金额为准；</w:t>
      </w:r>
    </w:p>
    <w:p w14:paraId="3B7923E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（3）单价金额小数点或者百分比有明显错位的，以报价表的总价为准，并修改单价；</w:t>
      </w:r>
    </w:p>
    <w:p w14:paraId="3163840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（4）总价金额与按单价汇总金额不一致的，以单价金额计算结果为准。</w:t>
      </w:r>
    </w:p>
    <w:p w14:paraId="51CCC6F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同时出现两种以上不一致的，按照以上（1）-（4）规定的顺序逐条进行修正。修正后的报价经供应商确认后产生约束力，供应商不确认的，其响应文件按无效响应处理。</w:t>
      </w:r>
    </w:p>
    <w:p w14:paraId="37FA34C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15.2.5磋商小组成员应当按照客观、公正、审慎的原则，根据第四章“评审程序、评审方法和评审标准”进行独立评审。磋商小组对响应文件进行评审，未实质性响应竞争性磋商文件的响应文件按无效响应处理，由磋商小组告知提交响应文件的供应商。</w:t>
      </w:r>
    </w:p>
    <w:p w14:paraId="14C73C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15.2.6通过符合性审查的合格供应商不足3家的，不得进入磋商环节，采购人或采购代理机构应当重新开展采购活动。</w:t>
      </w:r>
    </w:p>
    <w:p w14:paraId="3A5AE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16.磋商</w:t>
      </w:r>
    </w:p>
    <w:p w14:paraId="4CF6222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16.1磋商小组按照“供应商须知前附表”确定的顺序，集中与单一供应商分别进行磋商，并予所有参加磋商的供应商平等的磋商机会。符合磋商资格的供应商必须实时关注广西政府采购云平台</w:t>
      </w:r>
      <w:r>
        <w:rPr>
          <w:rFonts w:hint="eastAsia" w:ascii="宋体" w:hAnsi="宋体" w:cs="宋体"/>
          <w:bCs/>
          <w:color w:val="auto"/>
          <w:szCs w:val="21"/>
          <w:highlight w:val="none"/>
        </w:rPr>
        <w:tab/>
      </w:r>
      <w:r>
        <w:rPr>
          <w:rFonts w:hint="eastAsia" w:ascii="宋体" w:hAnsi="宋体" w:cs="宋体"/>
          <w:bCs/>
          <w:color w:val="auto"/>
          <w:szCs w:val="21"/>
          <w:highlight w:val="none"/>
        </w:rPr>
        <w:t>（https://www.gcy.zfcg.gxzf.gov.cn/）开标信息，在接到磋商通知后规定时间内参加磋商，未在规定时间内参加磋商的视同放弃参加磋商权利，其响应文件按无效响应处理。</w:t>
      </w:r>
    </w:p>
    <w:p w14:paraId="198868F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16.2在磋商过程中，磋商小组可以根据磋商文件和磋商情况实质性变动采购需求中的技术、服务要求以及合同草案条款，但不得变动磋商文件中的其他内容。实质性变动的内容，须经采购人代表确认。可能实质性变动的内容详见“供应商须知前附表”。</w:t>
      </w:r>
    </w:p>
    <w:p w14:paraId="212F93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16.3对竞争性磋商文件作出的实质性变动是竞争性磋商文件的有效组成部分，由磋商小组及时以书面形式同时通知所有参加磋商的供应商。</w:t>
      </w:r>
    </w:p>
    <w:p w14:paraId="3946625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5C384E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16.5磋商中，磋商的任何一方不得透露与磋商有关的其他供应商的技术资料、价格和其他信息。</w:t>
      </w:r>
    </w:p>
    <w:p w14:paraId="772547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16.6采购代理机构对磋商过程和重要磋商内容进行记录，磋商双方应在记录上签字确认。</w:t>
      </w:r>
    </w:p>
    <w:p w14:paraId="6C30D67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16.7磋商过程中重新提交的响应文件，供应商可以在开启前补充、修改。</w:t>
      </w:r>
    </w:p>
    <w:p w14:paraId="289F847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16.8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AAAAEB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16.9对磋商过程提交的响应文件进行有效性、完整性和响应程度审查，通过审查的合格供应商不足3家的，除本须知正文第16.8条的情形外，采购人或采购代理机构应当重新开展采购活动。</w:t>
      </w:r>
    </w:p>
    <w:p w14:paraId="50FD6D4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16.10本项目所有响应文件的首次报价及所有磋商报价均不公布。最后磋商结束后，磋商小组不得再与供应商进行任何形式的商谈。</w:t>
      </w:r>
    </w:p>
    <w:p w14:paraId="2555617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17.最后报价</w:t>
      </w:r>
    </w:p>
    <w:p w14:paraId="57888F3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2CEBC07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6B42B27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①最后报价与首次报价相比无调整的：供应商提交的最后报价只须注明与首次报价相同。</w:t>
      </w:r>
    </w:p>
    <w:p w14:paraId="78C5BCB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54E5ED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13CCC88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17.4已经提交响应文件的供应商，在提交最后报价之前，可以根据磋商情况退出磋商，退出磋商的供应商的响应文件按无效响应处理。采购人、采购代理机构将退还退出磋商的供应商的保证金。</w:t>
      </w:r>
    </w:p>
    <w:p w14:paraId="3236006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17.5供应商未在规定时间内提交最后报价的，视同退出磋商。</w:t>
      </w:r>
    </w:p>
    <w:p w14:paraId="5CB9E74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17.6磋商小组收齐某一分标最后报价后统一开启，磋商小组对最后报价进行有效性、完整性和响应程度的审查。</w:t>
      </w:r>
    </w:p>
    <w:p w14:paraId="62E963C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17.7响应文件最后报价出现前后不一致的，按照本正文第25.2.4条的规定修正。</w:t>
      </w:r>
    </w:p>
    <w:p w14:paraId="2EA6C2B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17.8修正后的报价出现下列情形的，按无效响应处理：</w:t>
      </w:r>
    </w:p>
    <w:p w14:paraId="4E8870A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（1）供应商不确认的；</w:t>
      </w:r>
    </w:p>
    <w:p w14:paraId="635744E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（2）经供应商确认修正后的竞标报价（包含首次报价、最后报价）超过所竞标规定的采购预算金额或者最高限价的（如本项目公布了最高限价）；</w:t>
      </w:r>
    </w:p>
    <w:p w14:paraId="25FC657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（3）经供应商确认修正后的竞标报价（包含首次报价、最后报价）超过分项采购预算金额或者最高限价的（如本项目公布了最高限价）。</w:t>
      </w:r>
    </w:p>
    <w:p w14:paraId="5ECE05A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17.9经供应商确认修正后的最后报价作为评审及签订合同的依据。</w:t>
      </w:r>
    </w:p>
    <w:p w14:paraId="20BC066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17.10最后报价结束后，磋商小组不得再与供应商进行任何形式的商谈。</w:t>
      </w:r>
    </w:p>
    <w:p w14:paraId="684E675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18.比较与评价</w:t>
      </w:r>
    </w:p>
    <w:p w14:paraId="22E08C1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18.1评审方法：综合评分法。</w:t>
      </w:r>
    </w:p>
    <w:p w14:paraId="1B6A38E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18.2经磋商确定最终采购需求和提交最后报价的供应商后，由磋商小组采用综合评分法对提交最后报价的供应商的响应文件和最后报价进行综合评分。详见第四章“评审程序、评审方法和评审标准”。</w:t>
      </w:r>
    </w:p>
    <w:p w14:paraId="5514B4E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18.3评审时，磋商小组各成员应当独立对每个有效的响应文件进行评价、打分，然后汇总每个供应商每项评分因素的得分。</w:t>
      </w:r>
    </w:p>
    <w:p w14:paraId="166CDF5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（1）磋商小组按照竞争性磋商文件中规定的评审标准计算各供应商的报价得分。项目评审过程中，不得去掉最后报价中的最高报价和最低报价。</w:t>
      </w:r>
    </w:p>
    <w:p w14:paraId="69C16CF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（2）各供应商的得分为磋商小组所有成员的有效评分的算术平均数。</w:t>
      </w:r>
    </w:p>
    <w:p w14:paraId="3C7D2CF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18.4评审价为供应商的最后报价进行政策性扣除后的价格，评审价只是作为评审时使用。最终成交供应商的成交金额等于最后报价（如有修正，以确认修正后的最后报价为准）。</w:t>
      </w:r>
    </w:p>
    <w:p w14:paraId="2932202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18.5由磋商小组根据综合评分情况，按照评审得分由高到低顺序推荐3名以上成交候选供应商，并编写评审报告。符合本须知正文第17.3条情形的，可以推荐2家成交候选供应商。评审得分相同的，按照最后报价由低到高的顺序推荐。评审得分且最后报价相同的，按照技术指标优劣顺序推荐。</w:t>
      </w:r>
    </w:p>
    <w:p w14:paraId="030727C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8E6B1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特别说明：广西政府采购云平台公司如对电子化磋商及评审程序有调整的，按调整后的程序操作。</w:t>
      </w:r>
    </w:p>
    <w:p w14:paraId="26B0259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18.6采购过程中出现以下情形，导致电子交易平台无法正常运行，或者无法保证电子交易的公平、公正和安全时，采购组织机构可中止电子交易活动：</w:t>
      </w:r>
    </w:p>
    <w:p w14:paraId="4E9F95A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18.6.1电子交易平台发生故障而无法登录访问的；</w:t>
      </w:r>
    </w:p>
    <w:p w14:paraId="5B3C380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18.6.2电子交易平台应用或数据库出现错误，不能进行正常操作的；</w:t>
      </w:r>
    </w:p>
    <w:p w14:paraId="303E25A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18.6.3电子交易平台发现严重安全漏洞，有潜在泄密危险的；</w:t>
      </w:r>
    </w:p>
    <w:p w14:paraId="5B3771F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18.6.4病毒发作导致不能进行正常操作的；</w:t>
      </w:r>
    </w:p>
    <w:p w14:paraId="791B61E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18.6.5其他无法保证电子交易的公平、公正和安全的情况。</w:t>
      </w:r>
    </w:p>
    <w:p w14:paraId="2A87A09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18.6.6出现前款规定情形，不影响采购公平、公正性的，采购组织机构可以待上述情形消除后继续组织电子交易活动，也可以决定某些环节以纸质形式进行；影响或可能影响采购公平、公正性的，应当重新采购。</w:t>
      </w:r>
    </w:p>
    <w:p w14:paraId="30290B17">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六、确定成交供应商办法及结果公告</w:t>
      </w:r>
    </w:p>
    <w:p w14:paraId="319B2E5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94DE0A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19.2采购代理机构应当在成交供应商确定后2个工作日内，在省级以上财政部门指定的媒体上公告成交结果，同时向成交供应商发出成交通知书。采购人或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争性磋商文件一并保存。</w:t>
      </w:r>
    </w:p>
    <w:p w14:paraId="2BAF413A">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19.3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7D66258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19.4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52B9EB7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七、履约保证金</w:t>
      </w:r>
    </w:p>
    <w:p w14:paraId="418AAB7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20.履约保证金：详见须知前附表。</w:t>
      </w:r>
    </w:p>
    <w:p w14:paraId="7FE0C466">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八、签订合同</w:t>
      </w:r>
    </w:p>
    <w:p w14:paraId="6CDB8AE4">
      <w:pPr>
        <w:spacing w:line="360" w:lineRule="auto"/>
        <w:ind w:firstLine="420" w:firstLineChars="200"/>
        <w:rPr>
          <w:rFonts w:hint="eastAsia" w:ascii="宋体" w:hAnsi="宋体" w:cs="宋体"/>
          <w:color w:val="auto"/>
          <w:highlight w:val="none"/>
        </w:rPr>
      </w:pPr>
      <w:r>
        <w:rPr>
          <w:rFonts w:hint="eastAsia" w:ascii="宋体" w:hAnsi="宋体" w:cs="宋体"/>
          <w:bCs/>
          <w:color w:val="auto"/>
          <w:szCs w:val="21"/>
          <w:highlight w:val="none"/>
        </w:rPr>
        <w:t>21.1成交供应商在收到成交通知书后，按规定与采购人签订采购合同。采购代理机构将在评标结束2个工作日内将评标结果送采购人，采购人在2个工作日内按照采购结果报告中推荐的排名第一的成交候选供应商为成交人。对中标、成交结果公告无异议的项目在中标、成交通知书发出之日起25日内和中标、成交供应商签订政府采购合同，倡导各采购人尽量压缩合同签订时间。</w:t>
      </w:r>
    </w:p>
    <w:p w14:paraId="3D6C47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21.2成交供应商拒绝签订采购合同的，采购人可以按本项目确定成交供应商办法确定其他供应商作为成交供应商并签订采购合同，也可以重新开展采购活动。拒绝签订采购合同的成交供应商不得参加对该项目重新开展的采购活动。</w:t>
      </w:r>
    </w:p>
    <w:p w14:paraId="7DF3C7BD">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九、政府采购合同公告</w:t>
      </w:r>
    </w:p>
    <w:p w14:paraId="0C428C8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22.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016F6D4">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十、适用法律</w:t>
      </w:r>
    </w:p>
    <w:p w14:paraId="3C081BA7">
      <w:pPr>
        <w:spacing w:line="360" w:lineRule="auto"/>
        <w:ind w:firstLine="420" w:firstLineChars="200"/>
        <w:jc w:val="distribute"/>
        <w:rPr>
          <w:rFonts w:hint="eastAsia" w:ascii="宋体" w:hAnsi="宋体" w:cs="宋体"/>
          <w:bCs/>
          <w:color w:val="auto"/>
          <w:szCs w:val="21"/>
          <w:highlight w:val="none"/>
        </w:rPr>
      </w:pPr>
      <w:r>
        <w:rPr>
          <w:rFonts w:hint="eastAsia" w:ascii="宋体" w:hAnsi="宋体" w:cs="宋体"/>
          <w:bCs/>
          <w:color w:val="auto"/>
          <w:szCs w:val="21"/>
          <w:highlight w:val="none"/>
        </w:rPr>
        <w:t>23.本项目适用于《中华人民共和国政府采购法》《中华人民共和国政府采购法实施条例》</w:t>
      </w:r>
    </w:p>
    <w:p w14:paraId="1E199A3B">
      <w:pPr>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《政府采购竞争性磋商采购方式管理暂行办法》《财政部关于政府采购竞争性磋商采购方式管理暂行办法有关问题的补充通知》及本项目本级和上级财政部门政府采购有关规定。</w:t>
      </w:r>
    </w:p>
    <w:p w14:paraId="573E84A0">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十一、其他事项</w:t>
      </w:r>
    </w:p>
    <w:p w14:paraId="1472DB0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24.1招标代理服务费</w:t>
      </w:r>
    </w:p>
    <w:p w14:paraId="15483F8E">
      <w:pPr>
        <w:pStyle w:val="15"/>
        <w:snapToGrid w:val="0"/>
        <w:spacing w:line="360" w:lineRule="auto"/>
        <w:ind w:firstLine="420" w:firstLineChars="200"/>
        <w:rPr>
          <w:rFonts w:hint="eastAsia" w:hAnsi="宋体" w:cs="宋体"/>
          <w:bCs/>
          <w:color w:val="auto"/>
          <w:highlight w:val="none"/>
        </w:rPr>
      </w:pPr>
      <w:r>
        <w:rPr>
          <w:rFonts w:hint="eastAsia" w:hAnsi="宋体" w:cs="宋体"/>
          <w:color w:val="auto"/>
          <w:highlight w:val="none"/>
        </w:rPr>
        <w:t>按差额定率累进法，参照《招标代理服务收费管理暂行办法》计价格[2002]1980号文和发改价格[2011]534号工程类标准计算，按计费依据计费向成交人计取。成交人在领取成交通知书前，一次性向采购代理机构支付</w:t>
      </w:r>
      <w:r>
        <w:rPr>
          <w:rFonts w:hint="eastAsia" w:hAnsi="宋体" w:cs="宋体"/>
          <w:bCs/>
          <w:color w:val="auto"/>
          <w:highlight w:val="none"/>
        </w:rPr>
        <w:t>。</w:t>
      </w:r>
    </w:p>
    <w:p w14:paraId="0FBAF90A">
      <w:pPr>
        <w:pStyle w:val="15"/>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代理服务费专用账户：</w:t>
      </w:r>
    </w:p>
    <w:p w14:paraId="12F0AEEE">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开户名称：</w:t>
      </w:r>
      <w:r>
        <w:rPr>
          <w:rFonts w:hint="eastAsia" w:hAnsi="宋体" w:cs="宋体"/>
          <w:color w:val="auto"/>
          <w:highlight w:val="none"/>
          <w:lang w:eastAsia="zh-CN"/>
        </w:rPr>
        <w:t>广西荣胜项目管理有限公司灵山分公司</w:t>
      </w:r>
    </w:p>
    <w:p w14:paraId="3673A013">
      <w:pPr>
        <w:pStyle w:val="15"/>
        <w:snapToGrid w:val="0"/>
        <w:spacing w:line="360" w:lineRule="auto"/>
        <w:rPr>
          <w:rFonts w:hint="eastAsia" w:hAnsi="宋体" w:eastAsia="宋体" w:cs="宋体"/>
          <w:color w:val="auto"/>
          <w:highlight w:val="none"/>
          <w:lang w:eastAsia="zh-CN"/>
        </w:rPr>
      </w:pPr>
      <w:r>
        <w:rPr>
          <w:rFonts w:hint="eastAsia" w:hAnsi="宋体" w:cs="宋体"/>
          <w:color w:val="auto"/>
          <w:highlight w:val="none"/>
        </w:rPr>
        <w:t>账  号：</w:t>
      </w:r>
      <w:r>
        <w:rPr>
          <w:rFonts w:hint="eastAsia" w:hAnsi="宋体" w:cs="宋体"/>
          <w:color w:val="auto"/>
          <w:highlight w:val="none"/>
          <w:lang w:eastAsia="zh-CN"/>
        </w:rPr>
        <w:t>811712010121967396</w:t>
      </w:r>
    </w:p>
    <w:p w14:paraId="0CD0DAE9">
      <w:pPr>
        <w:pStyle w:val="15"/>
        <w:snapToGrid w:val="0"/>
        <w:spacing w:line="360" w:lineRule="auto"/>
        <w:rPr>
          <w:rFonts w:hint="eastAsia" w:hAnsi="宋体" w:eastAsia="宋体" w:cs="宋体"/>
          <w:color w:val="auto"/>
          <w:szCs w:val="24"/>
          <w:highlight w:val="none"/>
          <w:lang w:eastAsia="zh-CN"/>
        </w:rPr>
      </w:pPr>
      <w:r>
        <w:rPr>
          <w:rFonts w:hint="eastAsia" w:hAnsi="宋体" w:cs="宋体"/>
          <w:color w:val="auto"/>
          <w:highlight w:val="none"/>
        </w:rPr>
        <w:t>开户行：</w:t>
      </w:r>
      <w:r>
        <w:rPr>
          <w:rFonts w:hint="eastAsia" w:hAnsi="宋体" w:cs="宋体"/>
          <w:color w:val="auto"/>
          <w:highlight w:val="none"/>
          <w:lang w:eastAsia="zh-CN"/>
        </w:rPr>
        <w:t>灵山县农村信用合作联社平山信用社</w:t>
      </w:r>
    </w:p>
    <w:p w14:paraId="771D6022">
      <w:pPr>
        <w:pStyle w:val="15"/>
        <w:snapToGrid w:val="0"/>
        <w:spacing w:line="360" w:lineRule="auto"/>
        <w:ind w:firstLine="420" w:firstLineChars="200"/>
        <w:rPr>
          <w:rFonts w:hint="eastAsia" w:hAnsi="宋体" w:cs="宋体"/>
          <w:bCs/>
          <w:color w:val="auto"/>
          <w:highlight w:val="none"/>
        </w:rPr>
      </w:pPr>
      <w:r>
        <w:rPr>
          <w:rFonts w:hint="eastAsia" w:hAnsi="宋体" w:cs="宋体"/>
          <w:bCs/>
          <w:color w:val="auto"/>
          <w:highlight w:val="none"/>
        </w:rPr>
        <w:t>代理服务费收费计算标准：</w:t>
      </w:r>
    </w:p>
    <w:tbl>
      <w:tblPr>
        <w:tblStyle w:val="59"/>
        <w:tblW w:w="82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02"/>
        <w:gridCol w:w="1591"/>
        <w:gridCol w:w="1591"/>
        <w:gridCol w:w="1593"/>
      </w:tblGrid>
      <w:tr w14:paraId="5B6C4D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4" w:hRule="atLeast"/>
          <w:jc w:val="center"/>
        </w:trPr>
        <w:tc>
          <w:tcPr>
            <w:tcW w:w="3502" w:type="dxa"/>
            <w:tcBorders>
              <w:tl2br w:val="single" w:color="000000" w:sz="4" w:space="0"/>
            </w:tcBorders>
            <w:vAlign w:val="center"/>
          </w:tcPr>
          <w:p w14:paraId="3CFDEF6A">
            <w:pPr>
              <w:spacing w:line="360" w:lineRule="auto"/>
              <w:ind w:left="1702"/>
              <w:jc w:val="center"/>
              <w:rPr>
                <w:rFonts w:hint="eastAsia" w:ascii="宋体" w:hAnsi="宋体" w:cs="宋体"/>
                <w:color w:val="auto"/>
                <w:szCs w:val="21"/>
                <w:highlight w:val="none"/>
              </w:rPr>
            </w:pPr>
            <w:r>
              <w:rPr>
                <w:rFonts w:ascii="宋体" w:hAnsi="宋体" w:cs="宋体"/>
                <w:color w:val="auto"/>
                <w:szCs w:val="21"/>
                <w:highlight w:val="none"/>
              </w:rPr>
              <w:t>费率</w:t>
            </w:r>
          </w:p>
          <w:p w14:paraId="74D6811C">
            <w:pPr>
              <w:spacing w:line="360" w:lineRule="auto"/>
              <w:ind w:left="118"/>
              <w:jc w:val="center"/>
              <w:rPr>
                <w:rFonts w:hint="eastAsia" w:ascii="宋体" w:hAnsi="宋体" w:cs="宋体"/>
                <w:color w:val="auto"/>
                <w:szCs w:val="21"/>
                <w:highlight w:val="none"/>
              </w:rPr>
            </w:pPr>
            <w:r>
              <w:rPr>
                <w:rFonts w:ascii="宋体" w:hAnsi="宋体" w:cs="宋体"/>
                <w:color w:val="auto"/>
                <w:szCs w:val="21"/>
                <w:highlight w:val="none"/>
              </w:rPr>
              <w:t>金额</w:t>
            </w:r>
          </w:p>
        </w:tc>
        <w:tc>
          <w:tcPr>
            <w:tcW w:w="1591" w:type="dxa"/>
            <w:vAlign w:val="center"/>
          </w:tcPr>
          <w:p w14:paraId="6423F393">
            <w:pPr>
              <w:spacing w:line="360" w:lineRule="auto"/>
              <w:ind w:left="578"/>
              <w:rPr>
                <w:rFonts w:hint="eastAsia" w:ascii="宋体" w:hAnsi="宋体" w:cs="宋体"/>
                <w:color w:val="auto"/>
                <w:szCs w:val="21"/>
                <w:highlight w:val="none"/>
              </w:rPr>
            </w:pPr>
            <w:r>
              <w:rPr>
                <w:rFonts w:ascii="宋体" w:hAnsi="宋体" w:cs="宋体"/>
                <w:color w:val="auto"/>
                <w:szCs w:val="21"/>
                <w:highlight w:val="none"/>
              </w:rPr>
              <w:t>货物类</w:t>
            </w:r>
          </w:p>
        </w:tc>
        <w:tc>
          <w:tcPr>
            <w:tcW w:w="1591" w:type="dxa"/>
            <w:vAlign w:val="center"/>
          </w:tcPr>
          <w:p w14:paraId="52443787">
            <w:pPr>
              <w:spacing w:line="360" w:lineRule="auto"/>
              <w:ind w:left="458"/>
              <w:rPr>
                <w:rFonts w:hint="eastAsia" w:ascii="宋体" w:hAnsi="宋体" w:cs="宋体"/>
                <w:color w:val="auto"/>
                <w:szCs w:val="21"/>
                <w:highlight w:val="none"/>
              </w:rPr>
            </w:pPr>
            <w:r>
              <w:rPr>
                <w:rFonts w:ascii="宋体" w:hAnsi="宋体" w:cs="宋体"/>
                <w:color w:val="auto"/>
                <w:szCs w:val="21"/>
                <w:highlight w:val="none"/>
              </w:rPr>
              <w:t>服务类</w:t>
            </w:r>
          </w:p>
        </w:tc>
        <w:tc>
          <w:tcPr>
            <w:tcW w:w="1593" w:type="dxa"/>
            <w:vAlign w:val="center"/>
          </w:tcPr>
          <w:p w14:paraId="1E1309D1">
            <w:pPr>
              <w:spacing w:line="360" w:lineRule="auto"/>
              <w:ind w:left="468"/>
              <w:rPr>
                <w:rFonts w:hint="eastAsia" w:ascii="宋体" w:hAnsi="宋体" w:cs="宋体"/>
                <w:color w:val="auto"/>
                <w:szCs w:val="21"/>
                <w:highlight w:val="none"/>
              </w:rPr>
            </w:pPr>
            <w:r>
              <w:rPr>
                <w:rFonts w:ascii="宋体" w:hAnsi="宋体" w:cs="宋体"/>
                <w:color w:val="auto"/>
                <w:szCs w:val="21"/>
                <w:highlight w:val="none"/>
              </w:rPr>
              <w:t>工程类</w:t>
            </w:r>
          </w:p>
        </w:tc>
      </w:tr>
      <w:tr w14:paraId="7F7628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64DC5E2C">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100万元以下</w:t>
            </w:r>
          </w:p>
        </w:tc>
        <w:tc>
          <w:tcPr>
            <w:tcW w:w="1591" w:type="dxa"/>
            <w:vAlign w:val="center"/>
          </w:tcPr>
          <w:p w14:paraId="7515BA96">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1" w:type="dxa"/>
            <w:vAlign w:val="center"/>
          </w:tcPr>
          <w:p w14:paraId="5DA40F51">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1.5%</w:t>
            </w:r>
          </w:p>
        </w:tc>
        <w:tc>
          <w:tcPr>
            <w:tcW w:w="1593" w:type="dxa"/>
            <w:vAlign w:val="center"/>
          </w:tcPr>
          <w:p w14:paraId="79EC75F5">
            <w:pPr>
              <w:spacing w:line="360" w:lineRule="auto"/>
              <w:ind w:left="342"/>
              <w:jc w:val="center"/>
              <w:rPr>
                <w:rFonts w:hint="eastAsia" w:ascii="宋体" w:hAnsi="宋体" w:cs="宋体"/>
                <w:color w:val="auto"/>
                <w:szCs w:val="21"/>
                <w:highlight w:val="none"/>
              </w:rPr>
            </w:pPr>
            <w:r>
              <w:rPr>
                <w:rFonts w:ascii="宋体" w:hAnsi="宋体" w:cs="宋体"/>
                <w:color w:val="auto"/>
                <w:szCs w:val="21"/>
                <w:highlight w:val="none"/>
              </w:rPr>
              <w:t>1.0%</w:t>
            </w:r>
          </w:p>
        </w:tc>
      </w:tr>
      <w:tr w14:paraId="3B72B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72FE561A">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w:t>
            </w:r>
            <w:r>
              <w:rPr>
                <w:rFonts w:hint="eastAsia" w:ascii="宋体" w:hAnsi="宋体" w:cs="宋体"/>
                <w:color w:val="auto"/>
                <w:szCs w:val="21"/>
                <w:highlight w:val="none"/>
              </w:rPr>
              <w:t>～</w:t>
            </w:r>
            <w:r>
              <w:rPr>
                <w:rFonts w:ascii="宋体" w:hAnsi="宋体" w:cs="宋体"/>
                <w:color w:val="auto"/>
                <w:szCs w:val="21"/>
                <w:highlight w:val="none"/>
              </w:rPr>
              <w:t>500万元</w:t>
            </w:r>
          </w:p>
        </w:tc>
        <w:tc>
          <w:tcPr>
            <w:tcW w:w="1591" w:type="dxa"/>
            <w:vAlign w:val="center"/>
          </w:tcPr>
          <w:p w14:paraId="223A1C28">
            <w:pPr>
              <w:spacing w:line="360" w:lineRule="auto"/>
              <w:ind w:left="339"/>
              <w:jc w:val="center"/>
              <w:rPr>
                <w:rFonts w:hint="eastAsia" w:ascii="宋体" w:hAnsi="宋体" w:cs="宋体"/>
                <w:color w:val="auto"/>
                <w:szCs w:val="21"/>
                <w:highlight w:val="none"/>
              </w:rPr>
            </w:pPr>
            <w:r>
              <w:rPr>
                <w:rFonts w:ascii="宋体" w:hAnsi="宋体" w:cs="宋体"/>
                <w:color w:val="auto"/>
                <w:szCs w:val="21"/>
                <w:highlight w:val="none"/>
              </w:rPr>
              <w:t>1.1%</w:t>
            </w:r>
          </w:p>
        </w:tc>
        <w:tc>
          <w:tcPr>
            <w:tcW w:w="1591" w:type="dxa"/>
            <w:vAlign w:val="center"/>
          </w:tcPr>
          <w:p w14:paraId="2A56F5FC">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3" w:type="dxa"/>
            <w:vAlign w:val="center"/>
          </w:tcPr>
          <w:p w14:paraId="65279B03">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0.7%</w:t>
            </w:r>
          </w:p>
        </w:tc>
      </w:tr>
      <w:tr w14:paraId="482B2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5B6286">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w:t>
            </w:r>
            <w:r>
              <w:rPr>
                <w:rFonts w:hint="eastAsia" w:ascii="宋体" w:hAnsi="宋体" w:cs="宋体"/>
                <w:color w:val="auto"/>
                <w:szCs w:val="21"/>
                <w:highlight w:val="none"/>
              </w:rPr>
              <w:t>～</w:t>
            </w:r>
            <w:r>
              <w:rPr>
                <w:rFonts w:ascii="宋体" w:hAnsi="宋体" w:cs="宋体"/>
                <w:color w:val="auto"/>
                <w:szCs w:val="21"/>
                <w:highlight w:val="none"/>
              </w:rPr>
              <w:t>1000万元</w:t>
            </w:r>
          </w:p>
        </w:tc>
        <w:tc>
          <w:tcPr>
            <w:tcW w:w="1591" w:type="dxa"/>
            <w:vAlign w:val="center"/>
          </w:tcPr>
          <w:p w14:paraId="5EDF9268">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0.8%</w:t>
            </w:r>
          </w:p>
        </w:tc>
        <w:tc>
          <w:tcPr>
            <w:tcW w:w="1591" w:type="dxa"/>
            <w:vAlign w:val="center"/>
          </w:tcPr>
          <w:p w14:paraId="420096EB">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0.45%</w:t>
            </w:r>
          </w:p>
        </w:tc>
        <w:tc>
          <w:tcPr>
            <w:tcW w:w="1593" w:type="dxa"/>
            <w:vAlign w:val="center"/>
          </w:tcPr>
          <w:p w14:paraId="2BAA8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0.55%</w:t>
            </w:r>
          </w:p>
        </w:tc>
      </w:tr>
      <w:tr w14:paraId="54F355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3ACF52FD">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1000</w:t>
            </w:r>
            <w:r>
              <w:rPr>
                <w:rFonts w:hint="eastAsia" w:ascii="宋体" w:hAnsi="宋体" w:cs="宋体"/>
                <w:color w:val="auto"/>
                <w:szCs w:val="21"/>
                <w:highlight w:val="none"/>
              </w:rPr>
              <w:t>～</w:t>
            </w:r>
            <w:r>
              <w:rPr>
                <w:rFonts w:ascii="宋体" w:hAnsi="宋体" w:cs="宋体"/>
                <w:color w:val="auto"/>
                <w:szCs w:val="21"/>
                <w:highlight w:val="none"/>
              </w:rPr>
              <w:t>5000万元</w:t>
            </w:r>
          </w:p>
        </w:tc>
        <w:tc>
          <w:tcPr>
            <w:tcW w:w="1591" w:type="dxa"/>
            <w:vAlign w:val="center"/>
          </w:tcPr>
          <w:p w14:paraId="3EAF83C9">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0.5%</w:t>
            </w:r>
          </w:p>
        </w:tc>
        <w:tc>
          <w:tcPr>
            <w:tcW w:w="1591" w:type="dxa"/>
            <w:vAlign w:val="center"/>
          </w:tcPr>
          <w:p w14:paraId="6E5F819F">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3" w:type="dxa"/>
            <w:vAlign w:val="center"/>
          </w:tcPr>
          <w:p w14:paraId="60FC952A">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0.35%</w:t>
            </w:r>
          </w:p>
        </w:tc>
      </w:tr>
      <w:tr w14:paraId="5989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161F6460">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5000万元</w:t>
            </w:r>
            <w:r>
              <w:rPr>
                <w:rFonts w:hint="eastAsia" w:ascii="宋体" w:hAnsi="宋体" w:cs="宋体"/>
                <w:color w:val="auto"/>
                <w:szCs w:val="21"/>
                <w:highlight w:val="none"/>
              </w:rPr>
              <w:t>～</w:t>
            </w:r>
            <w:r>
              <w:rPr>
                <w:rFonts w:ascii="宋体" w:hAnsi="宋体" w:cs="宋体"/>
                <w:color w:val="auto"/>
                <w:szCs w:val="21"/>
                <w:highlight w:val="none"/>
              </w:rPr>
              <w:t>1亿元</w:t>
            </w:r>
          </w:p>
        </w:tc>
        <w:tc>
          <w:tcPr>
            <w:tcW w:w="1591" w:type="dxa"/>
            <w:vAlign w:val="center"/>
          </w:tcPr>
          <w:p w14:paraId="4D5A6D33">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0.25%</w:t>
            </w:r>
          </w:p>
        </w:tc>
        <w:tc>
          <w:tcPr>
            <w:tcW w:w="1591" w:type="dxa"/>
            <w:vAlign w:val="center"/>
          </w:tcPr>
          <w:p w14:paraId="211C0B74">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0.1%</w:t>
            </w:r>
          </w:p>
        </w:tc>
        <w:tc>
          <w:tcPr>
            <w:tcW w:w="1593" w:type="dxa"/>
            <w:vAlign w:val="center"/>
          </w:tcPr>
          <w:p w14:paraId="4BF03762">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0.2%</w:t>
            </w:r>
          </w:p>
        </w:tc>
      </w:tr>
      <w:tr w14:paraId="5AB7B3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3502" w:type="dxa"/>
            <w:vAlign w:val="center"/>
          </w:tcPr>
          <w:p w14:paraId="0C0F5033">
            <w:pPr>
              <w:spacing w:line="360" w:lineRule="auto"/>
              <w:ind w:left="131"/>
              <w:jc w:val="center"/>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w:t>
            </w:r>
            <w:r>
              <w:rPr>
                <w:rFonts w:ascii="宋体" w:hAnsi="宋体" w:cs="宋体"/>
                <w:color w:val="auto"/>
                <w:szCs w:val="21"/>
                <w:highlight w:val="none"/>
              </w:rPr>
              <w:t>5亿元</w:t>
            </w:r>
          </w:p>
        </w:tc>
        <w:tc>
          <w:tcPr>
            <w:tcW w:w="1591" w:type="dxa"/>
            <w:vAlign w:val="center"/>
          </w:tcPr>
          <w:p w14:paraId="428470C5">
            <w:pPr>
              <w:spacing w:line="360" w:lineRule="auto"/>
              <w:ind w:left="325"/>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1" w:type="dxa"/>
            <w:vAlign w:val="center"/>
          </w:tcPr>
          <w:p w14:paraId="6DE710E7">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0.05%</w:t>
            </w:r>
          </w:p>
        </w:tc>
        <w:tc>
          <w:tcPr>
            <w:tcW w:w="1593" w:type="dxa"/>
            <w:vAlign w:val="center"/>
          </w:tcPr>
          <w:p w14:paraId="548057DE">
            <w:pPr>
              <w:spacing w:line="360" w:lineRule="auto"/>
              <w:ind w:left="328"/>
              <w:jc w:val="center"/>
              <w:rPr>
                <w:rFonts w:hint="eastAsia" w:ascii="宋体" w:hAnsi="宋体" w:cs="宋体"/>
                <w:color w:val="auto"/>
                <w:szCs w:val="21"/>
                <w:highlight w:val="none"/>
              </w:rPr>
            </w:pPr>
            <w:r>
              <w:rPr>
                <w:rFonts w:ascii="宋体" w:hAnsi="宋体" w:cs="宋体"/>
                <w:color w:val="auto"/>
                <w:szCs w:val="21"/>
                <w:highlight w:val="none"/>
              </w:rPr>
              <w:t>0.05%</w:t>
            </w:r>
          </w:p>
        </w:tc>
      </w:tr>
      <w:tr w14:paraId="75AB91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0" w:hRule="atLeast"/>
          <w:jc w:val="center"/>
        </w:trPr>
        <w:tc>
          <w:tcPr>
            <w:tcW w:w="3502" w:type="dxa"/>
            <w:vAlign w:val="center"/>
          </w:tcPr>
          <w:p w14:paraId="546DCC6D">
            <w:pPr>
              <w:spacing w:line="360" w:lineRule="auto"/>
              <w:ind w:left="120"/>
              <w:jc w:val="center"/>
              <w:rPr>
                <w:rFonts w:hint="eastAsia"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w:t>
            </w:r>
            <w:r>
              <w:rPr>
                <w:rFonts w:ascii="宋体" w:hAnsi="宋体" w:cs="宋体"/>
                <w:color w:val="auto"/>
                <w:szCs w:val="21"/>
                <w:highlight w:val="none"/>
              </w:rPr>
              <w:t>10亿元</w:t>
            </w:r>
          </w:p>
        </w:tc>
        <w:tc>
          <w:tcPr>
            <w:tcW w:w="1591" w:type="dxa"/>
            <w:vAlign w:val="center"/>
          </w:tcPr>
          <w:p w14:paraId="134861C5">
            <w:pPr>
              <w:spacing w:line="360" w:lineRule="auto"/>
              <w:ind w:left="220"/>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1" w:type="dxa"/>
            <w:vAlign w:val="center"/>
          </w:tcPr>
          <w:p w14:paraId="5ADB72D2">
            <w:pPr>
              <w:spacing w:line="360" w:lineRule="auto"/>
              <w:ind w:left="326"/>
              <w:jc w:val="center"/>
              <w:rPr>
                <w:rFonts w:hint="eastAsia" w:ascii="宋体" w:hAnsi="宋体" w:cs="宋体"/>
                <w:color w:val="auto"/>
                <w:szCs w:val="21"/>
                <w:highlight w:val="none"/>
              </w:rPr>
            </w:pPr>
            <w:r>
              <w:rPr>
                <w:rFonts w:ascii="宋体" w:hAnsi="宋体" w:cs="宋体"/>
                <w:color w:val="auto"/>
                <w:szCs w:val="21"/>
                <w:highlight w:val="none"/>
              </w:rPr>
              <w:t>0.035%</w:t>
            </w:r>
          </w:p>
        </w:tc>
        <w:tc>
          <w:tcPr>
            <w:tcW w:w="1593" w:type="dxa"/>
            <w:vAlign w:val="center"/>
          </w:tcPr>
          <w:p w14:paraId="2FD0BB3B">
            <w:pPr>
              <w:spacing w:line="360" w:lineRule="auto"/>
              <w:ind w:left="223"/>
              <w:jc w:val="center"/>
              <w:rPr>
                <w:rFonts w:hint="eastAsia" w:ascii="宋体" w:hAnsi="宋体" w:cs="宋体"/>
                <w:color w:val="auto"/>
                <w:szCs w:val="21"/>
                <w:highlight w:val="none"/>
              </w:rPr>
            </w:pPr>
            <w:r>
              <w:rPr>
                <w:rFonts w:ascii="宋体" w:hAnsi="宋体" w:cs="宋体"/>
                <w:color w:val="auto"/>
                <w:szCs w:val="21"/>
                <w:highlight w:val="none"/>
              </w:rPr>
              <w:t>0.035%</w:t>
            </w:r>
          </w:p>
        </w:tc>
      </w:tr>
    </w:tbl>
    <w:p w14:paraId="51EEA91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注：招标代理服务收费按差额定率累进法计算。</w:t>
      </w:r>
    </w:p>
    <w:p w14:paraId="4BD9EDE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24.2.解释权</w:t>
      </w:r>
    </w:p>
    <w:p w14:paraId="0287F41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解释权属本采购代理机构。</w:t>
      </w:r>
    </w:p>
    <w:p w14:paraId="34ABA29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24.3询问、质疑和投诉</w:t>
      </w:r>
    </w:p>
    <w:p w14:paraId="378885D2">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24.3.1供应商对政府采购活动事项有疑问的，可以向采购人、采购代理机构提出询问，采购人或者采购代理机构应当在3个工作日内对供应商依法提出的询问作出答复。</w:t>
      </w:r>
    </w:p>
    <w:p w14:paraId="0B829E6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24.3.2供应商认为竞争性磋商文件、采购过程或成交结果使自己的合法权益受到损害的，应当在知道或者应知其权益受到损害之日起七个工作日内，以书面形式向采购人、采购代理机构提出质疑，接收质疑函的方式、联系部门、联系电话和通讯地址等信息详见“供应商须知前附表”。具体质疑起算时间如下：</w:t>
      </w:r>
    </w:p>
    <w:p w14:paraId="2D03E2CF">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（1）对可以质疑的竞争性磋商文件提出质疑的，为收到竞争性磋商文件之日或竞争性磋商公告期限届满之日；</w:t>
      </w:r>
    </w:p>
    <w:p w14:paraId="0920EFA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（2）对采购过程提出质疑的，为各采购程序环节结束之日；</w:t>
      </w:r>
    </w:p>
    <w:p w14:paraId="4F97767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（3）对成交结果提出质疑的，为成交结果公告期限届满之日。</w:t>
      </w:r>
    </w:p>
    <w:p w14:paraId="00A8C366">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供应商对采购人或采购代理机构的质疑答复不满意或者采购人或采购代理机构未在规定时间内作出答复的，可以在答复期满后十五个工作日内向同级采购监管部门投诉。</w:t>
      </w:r>
    </w:p>
    <w:p w14:paraId="655CBF7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24.3.3供应商提出的询问或者质疑超出采购人对采购代理机构委托授权范围的，采购代理机构应当告知供应商向采购人提出。政府采购评审专家应当配合采购人或者采购代理机构答复供应商的询问和质疑。</w:t>
      </w:r>
    </w:p>
    <w:p w14:paraId="32297CBD">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24.3.4质疑、投诉应当采用书面形式，质疑函、投诉书均应明确阐述竞争性磋商文件、采购过程或成交结果中使自己合法权益受到损害的实质性内容，提供相关事实、法律依据和证据及其来源或线索，便于有关单位调查、答复和处理。</w:t>
      </w:r>
    </w:p>
    <w:p w14:paraId="7CA33B6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供应商提出质疑应当提交质疑函和必要的证明材料，针对同一采购程序环节的质疑必须在法定质疑期内一次性提出。质疑函应当包括下列内容：</w:t>
      </w:r>
    </w:p>
    <w:p w14:paraId="1D2B732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（1）供应商的姓名或者名称、地址、邮编、联系人及联系电话；</w:t>
      </w:r>
    </w:p>
    <w:p w14:paraId="26EC8B3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（2）质疑项目的名称、编号；</w:t>
      </w:r>
    </w:p>
    <w:p w14:paraId="5BA46DE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（3）具体、明确的质疑事项和与质疑事项相关的请求；</w:t>
      </w:r>
    </w:p>
    <w:p w14:paraId="4E18287B">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（4）事实依据；</w:t>
      </w:r>
    </w:p>
    <w:p w14:paraId="0FD5C5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（5）必要的法律依据；</w:t>
      </w:r>
    </w:p>
    <w:p w14:paraId="16F5AA2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（6）提出质疑的日期。</w:t>
      </w:r>
    </w:p>
    <w:p w14:paraId="698CEAD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供应商为自然人的，应当由本人签字；供应商为法人或者其他组织的，应当由法定代表人、主要负责人，或者其委托代理人签字或者盖章，并加盖公章。</w:t>
      </w:r>
    </w:p>
    <w:p w14:paraId="5E190F3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24.3.5采购人、采购代理机构认为供应商质疑不成立，或者成立但未对成交结果构成影响的，继续开展采购活动；认为供应商质疑成立且影响或者可能影响成交结果的，按照下列情况处理：</w:t>
      </w:r>
    </w:p>
    <w:p w14:paraId="0268BEA5">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（1）对竞争性磋商文件提出的质疑，依法通过澄清或者修改可以继续开展采购活动的，澄清或者修改竞争性磋商文件后继续开展采购活动；否则应当在修改竞争性磋商文件后重新开展采购活动。</w:t>
      </w:r>
    </w:p>
    <w:p w14:paraId="07666C61">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（2）对采购过程、成交结果提出的质疑，合格供应商符合法定数量时，可以从合格的成交候选人中另行确定成交供应商的，应当依法另行确定成交供应商；否则应当重新开展采购活动。</w:t>
      </w:r>
    </w:p>
    <w:p w14:paraId="7F586DB3">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质疑答复导致成交结果改变的，采购人或者采购代理机构应当将有关情况书面报告本级财政部门。</w:t>
      </w:r>
    </w:p>
    <w:p w14:paraId="7E756027">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24.3.6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w:t>
      </w:r>
    </w:p>
    <w:p w14:paraId="77F6BE10">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所有与本磋商文件有关的函件请按下列通讯地址联系：</w:t>
      </w:r>
    </w:p>
    <w:p w14:paraId="4FE65C6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通讯地址：钦州市蓬莱大道鸿亭街333号皇庭天麓湖小区183栋203室</w:t>
      </w:r>
    </w:p>
    <w:p w14:paraId="5374C21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电话：0777-5512166</w:t>
      </w:r>
    </w:p>
    <w:p w14:paraId="414726A1">
      <w:pPr>
        <w:spacing w:line="360" w:lineRule="auto"/>
        <w:ind w:firstLine="420" w:firstLineChars="200"/>
        <w:rPr>
          <w:rFonts w:hint="eastAsia" w:ascii="宋体" w:hAnsi="宋体" w:cs="宋体"/>
          <w:bCs/>
          <w:color w:val="auto"/>
          <w:szCs w:val="21"/>
          <w:highlight w:val="none"/>
        </w:rPr>
      </w:pPr>
    </w:p>
    <w:p w14:paraId="61A1B764">
      <w:pPr>
        <w:pStyle w:val="17"/>
        <w:ind w:left="420"/>
        <w:rPr>
          <w:rFonts w:hint="eastAsia" w:ascii="宋体" w:hAnsi="宋体" w:cs="宋体"/>
          <w:bCs/>
          <w:color w:val="auto"/>
          <w:szCs w:val="21"/>
          <w:highlight w:val="none"/>
        </w:rPr>
      </w:pPr>
    </w:p>
    <w:p w14:paraId="14056D6B">
      <w:pPr>
        <w:pStyle w:val="17"/>
        <w:ind w:left="420"/>
        <w:rPr>
          <w:rFonts w:hint="eastAsia" w:ascii="宋体" w:hAnsi="宋体" w:cs="宋体"/>
          <w:bCs/>
          <w:color w:val="auto"/>
          <w:szCs w:val="21"/>
          <w:highlight w:val="none"/>
        </w:rPr>
      </w:pPr>
    </w:p>
    <w:p w14:paraId="5686BD7A">
      <w:pPr>
        <w:pStyle w:val="17"/>
        <w:ind w:left="420"/>
        <w:rPr>
          <w:rFonts w:hint="eastAsia" w:ascii="宋体" w:hAnsi="宋体" w:cs="宋体"/>
          <w:bCs/>
          <w:color w:val="auto"/>
          <w:szCs w:val="21"/>
          <w:highlight w:val="none"/>
        </w:rPr>
      </w:pPr>
    </w:p>
    <w:p w14:paraId="38F617DF">
      <w:pPr>
        <w:pStyle w:val="17"/>
        <w:ind w:left="420"/>
        <w:rPr>
          <w:rFonts w:hint="eastAsia" w:ascii="宋体" w:hAnsi="宋体" w:cs="宋体"/>
          <w:bCs/>
          <w:color w:val="auto"/>
          <w:szCs w:val="21"/>
          <w:highlight w:val="none"/>
        </w:rPr>
      </w:pPr>
    </w:p>
    <w:p w14:paraId="7913CF59">
      <w:pPr>
        <w:pStyle w:val="17"/>
        <w:ind w:left="420"/>
        <w:rPr>
          <w:rFonts w:hint="eastAsia" w:ascii="宋体" w:hAnsi="宋体" w:cs="宋体"/>
          <w:bCs/>
          <w:color w:val="auto"/>
          <w:szCs w:val="21"/>
          <w:highlight w:val="none"/>
        </w:rPr>
      </w:pPr>
    </w:p>
    <w:p w14:paraId="3D6A52EF">
      <w:pPr>
        <w:pStyle w:val="17"/>
        <w:ind w:left="420"/>
        <w:rPr>
          <w:rFonts w:hint="eastAsia" w:ascii="宋体" w:hAnsi="宋体" w:cs="宋体"/>
          <w:bCs/>
          <w:color w:val="auto"/>
          <w:szCs w:val="21"/>
          <w:highlight w:val="none"/>
        </w:rPr>
      </w:pPr>
    </w:p>
    <w:p w14:paraId="2F435F8A">
      <w:pPr>
        <w:jc w:val="center"/>
        <w:outlineLvl w:val="0"/>
        <w:rPr>
          <w:rFonts w:hint="eastAsia" w:ascii="宋体" w:hAnsi="宋体" w:cs="宋体"/>
          <w:b/>
          <w:bCs/>
          <w:color w:val="auto"/>
          <w:kern w:val="0"/>
          <w:sz w:val="36"/>
          <w:szCs w:val="36"/>
          <w:highlight w:val="none"/>
        </w:rPr>
      </w:pPr>
      <w:bookmarkStart w:id="65" w:name="_Toc26558"/>
      <w:r>
        <w:rPr>
          <w:rFonts w:hint="eastAsia" w:ascii="宋体" w:hAnsi="宋体" w:cs="宋体"/>
          <w:b/>
          <w:bCs/>
          <w:color w:val="auto"/>
          <w:kern w:val="0"/>
          <w:sz w:val="36"/>
          <w:szCs w:val="36"/>
          <w:highlight w:val="none"/>
        </w:rPr>
        <w:t>第三章  项目基本情况及要求</w:t>
      </w:r>
      <w:bookmarkEnd w:id="65"/>
    </w:p>
    <w:p w14:paraId="46B4F76A">
      <w:pPr>
        <w:pStyle w:val="47"/>
        <w:ind w:firstLine="845"/>
        <w:rPr>
          <w:color w:val="auto"/>
          <w:spacing w:val="0"/>
          <w:highlight w:val="none"/>
        </w:rPr>
      </w:pPr>
    </w:p>
    <w:p w14:paraId="278485E2">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221109EB">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1.商务条款评审中允许负偏离的非实质性条款数为 0 项。</w:t>
      </w:r>
    </w:p>
    <w:p w14:paraId="02B6358C">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2.服务需求评审中允许负偏离的非实质性条款数为 0 项。</w:t>
      </w:r>
    </w:p>
    <w:p w14:paraId="2330DFA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3.供应商必须自行为其竞标产品侵犯他人的知识产权或者专利成果的行为承担相应法律责任。</w:t>
      </w:r>
    </w:p>
    <w:p w14:paraId="2501C2F3">
      <w:pPr>
        <w:spacing w:line="360" w:lineRule="auto"/>
        <w:ind w:firstLine="424" w:firstLineChars="202"/>
        <w:jc w:val="left"/>
        <w:rPr>
          <w:rFonts w:hint="eastAsia" w:ascii="宋体" w:hAnsi="宋体" w:cs="宋体"/>
          <w:color w:val="auto"/>
          <w:szCs w:val="21"/>
          <w:highlight w:val="none"/>
        </w:rPr>
      </w:pPr>
      <w:bookmarkStart w:id="66" w:name="_Toc20069"/>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采购范围详见：2026年龙门镇日新村委长岭岗岭、大平坡大红柑产业道路硬化工程，混凝土硬底化道路长1370米、路面宽度3.5米、厚度0.18米，路基宽4.5米，具体详见竞争性磋商文件、工程量清单及图纸（另册）。</w:t>
      </w:r>
    </w:p>
    <w:p w14:paraId="4FA09940">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商务条款：</w:t>
      </w:r>
    </w:p>
    <w:p w14:paraId="5F241632">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质量标准：达到合格标准；</w:t>
      </w:r>
    </w:p>
    <w:p w14:paraId="0674763A">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工期要求：120个日历天；</w:t>
      </w:r>
    </w:p>
    <w:p w14:paraId="3CE83E6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质保期：竣工验收后1年；</w:t>
      </w:r>
    </w:p>
    <w:p w14:paraId="0759DEBD">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付款方式：</w:t>
      </w:r>
    </w:p>
    <w:p w14:paraId="763657E8">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(1)预付款:工程预付款的总金额为签约合同价的30%(需按要求缴纳农民工保证金和开具相应的履约保函以及意外险、工伤险方可支付预付款)。</w:t>
      </w:r>
    </w:p>
    <w:p w14:paraId="1BC9C951">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(2)每个付款周期按实际完成工程量的90%，依据监理报告支付工程进度款。工程完工验收达到质量要求，结算经浦北县有资质审计机构审定后，工程款支付至结算总价的97%(不得低于97%)。发包人按工程价款结算总额的3%，预留工程质量保证金。质量保证金待工程质量保修期满且无质量问题后按规定无息返还。</w:t>
      </w:r>
    </w:p>
    <w:p w14:paraId="477E8B97">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(3)农民工工资按支付款的比例支付30%。</w:t>
      </w:r>
    </w:p>
    <w:p w14:paraId="52A568C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报价方式：工程量清单报价；</w:t>
      </w:r>
    </w:p>
    <w:p w14:paraId="2EB2AD2F">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合同签订期：中标通知书发出之日起25日内；</w:t>
      </w:r>
    </w:p>
    <w:p w14:paraId="17AAB1B4">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项目地址：浦北县</w:t>
      </w:r>
      <w:r>
        <w:rPr>
          <w:rFonts w:hint="eastAsia" w:ascii="宋体" w:hAnsi="宋体" w:cs="宋体"/>
          <w:color w:val="auto"/>
          <w:szCs w:val="21"/>
          <w:highlight w:val="none"/>
          <w:lang w:val="en-US" w:eastAsia="zh-CN"/>
        </w:rPr>
        <w:t>龙门镇</w:t>
      </w:r>
      <w:r>
        <w:rPr>
          <w:rFonts w:hint="eastAsia" w:ascii="宋体" w:hAnsi="宋体" w:cs="宋体"/>
          <w:color w:val="auto"/>
          <w:szCs w:val="21"/>
          <w:highlight w:val="none"/>
        </w:rPr>
        <w:t>；</w:t>
      </w:r>
    </w:p>
    <w:p w14:paraId="0A7000C3">
      <w:pPr>
        <w:spacing w:line="360" w:lineRule="auto"/>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本项目所属行业：建筑业</w:t>
      </w:r>
    </w:p>
    <w:p w14:paraId="05D9FF6D">
      <w:pPr>
        <w:pStyle w:val="15"/>
        <w:spacing w:line="360" w:lineRule="auto"/>
        <w:outlineLvl w:val="0"/>
        <w:rPr>
          <w:rFonts w:hint="eastAsia" w:ascii="黑体" w:hAnsi="宋体" w:eastAsia="黑体" w:cs="Times New Roman"/>
          <w:b/>
          <w:bCs/>
          <w:color w:val="auto"/>
          <w:kern w:val="0"/>
          <w:sz w:val="36"/>
          <w:szCs w:val="36"/>
          <w:highlight w:val="none"/>
        </w:rPr>
      </w:pPr>
    </w:p>
    <w:p w14:paraId="39DD539E">
      <w:pPr>
        <w:pStyle w:val="15"/>
        <w:spacing w:line="360" w:lineRule="auto"/>
        <w:jc w:val="both"/>
        <w:outlineLvl w:val="0"/>
        <w:rPr>
          <w:rFonts w:hint="eastAsia" w:ascii="黑体" w:hAnsi="宋体" w:eastAsia="黑体" w:cs="Times New Roman"/>
          <w:b/>
          <w:bCs/>
          <w:color w:val="auto"/>
          <w:kern w:val="0"/>
          <w:sz w:val="36"/>
          <w:szCs w:val="36"/>
          <w:highlight w:val="none"/>
        </w:rPr>
      </w:pPr>
    </w:p>
    <w:p w14:paraId="7ADDAE4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附件1：最后报价表（格式）</w:t>
      </w:r>
    </w:p>
    <w:p w14:paraId="25750BB4">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164ECDB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81F7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8377AD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33715AC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1EB3A297">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6C7133B9">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最后报价（元）</w:t>
            </w:r>
          </w:p>
        </w:tc>
        <w:tc>
          <w:tcPr>
            <w:tcW w:w="1184" w:type="dxa"/>
            <w:tcBorders>
              <w:top w:val="single" w:color="auto" w:sz="4" w:space="0"/>
              <w:left w:val="single" w:color="auto" w:sz="4" w:space="0"/>
              <w:bottom w:val="single" w:color="auto" w:sz="4" w:space="0"/>
              <w:right w:val="single" w:color="auto" w:sz="4" w:space="0"/>
            </w:tcBorders>
            <w:vAlign w:val="center"/>
          </w:tcPr>
          <w:p w14:paraId="4DDA3B3D">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5A74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7A20D999">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5948BB71">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564BB770">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1C93847">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F80C78C">
            <w:pPr>
              <w:spacing w:line="360" w:lineRule="auto"/>
              <w:contextualSpacing/>
              <w:rPr>
                <w:rFonts w:hint="eastAsia" w:ascii="宋体" w:hAnsi="宋体" w:cs="仿宋_GB2312"/>
                <w:color w:val="auto"/>
                <w:sz w:val="24"/>
                <w:highlight w:val="none"/>
              </w:rPr>
            </w:pPr>
          </w:p>
        </w:tc>
      </w:tr>
      <w:tr w14:paraId="04F17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31DD1FA0">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0B1311A6">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7598BC95">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F879191">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0EE8682E">
            <w:pPr>
              <w:spacing w:line="360" w:lineRule="auto"/>
              <w:contextualSpacing/>
              <w:rPr>
                <w:rFonts w:hint="eastAsia" w:ascii="宋体" w:hAnsi="宋体" w:cs="仿宋_GB2312"/>
                <w:color w:val="auto"/>
                <w:sz w:val="24"/>
                <w:highlight w:val="none"/>
              </w:rPr>
            </w:pPr>
          </w:p>
        </w:tc>
      </w:tr>
      <w:tr w14:paraId="57C9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3DFAC0F8">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704C5211">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AF53F4D">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供应商的最后报价表必须加盖供应商电子签章并由法定代表人或者委托代理人签字或者电子签名，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6D8A40D1">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最后报价一经涂改，应在涂改处加盖供应商公章或者加盖电子签章或者由法定代表人或者授权委托人签字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6BE57594">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w:t>
      </w:r>
      <w:r>
        <w:rPr>
          <w:rFonts w:hint="eastAsia" w:ascii="宋体" w:hAnsi="宋体" w:cs="宋体"/>
          <w:b/>
          <w:bCs/>
          <w:color w:val="auto"/>
          <w:sz w:val="32"/>
          <w:szCs w:val="32"/>
          <w:highlight w:val="none"/>
          <w:u w:val="single"/>
        </w:rPr>
        <w:t>供应商提交的</w:t>
      </w:r>
      <w:r>
        <w:rPr>
          <w:rFonts w:hint="eastAsia" w:ascii="宋体" w:hAnsi="宋体" w:cs="仿宋_GB2312"/>
          <w:b/>
          <w:bCs/>
          <w:color w:val="auto"/>
          <w:sz w:val="32"/>
          <w:szCs w:val="32"/>
          <w:highlight w:val="none"/>
          <w:u w:val="single"/>
        </w:rPr>
        <w:t>最后报价与首次报价相比有调整的，必须同时上传相对应的“已标价的工程量清单”作为附件</w:t>
      </w:r>
      <w:r>
        <w:rPr>
          <w:rFonts w:hint="eastAsia" w:ascii="宋体" w:hAnsi="宋体" w:cs="仿宋_GB2312"/>
          <w:b/>
          <w:bCs/>
          <w:color w:val="auto"/>
          <w:sz w:val="32"/>
          <w:szCs w:val="32"/>
          <w:highlight w:val="none"/>
        </w:rPr>
        <w:t>，否则其响应文件按无效处理。</w:t>
      </w:r>
    </w:p>
    <w:p w14:paraId="5CDC9F15">
      <w:pPr>
        <w:spacing w:line="360" w:lineRule="auto"/>
        <w:ind w:right="-817" w:rightChars="-389"/>
        <w:contextualSpacing/>
        <w:rPr>
          <w:rFonts w:hint="eastAsia" w:ascii="宋体" w:hAnsi="宋体" w:cs="仿宋_GB2312"/>
          <w:color w:val="auto"/>
          <w:sz w:val="24"/>
          <w:highlight w:val="none"/>
        </w:rPr>
      </w:pPr>
    </w:p>
    <w:p w14:paraId="16CFCD43">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D0234A5">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8AA655A">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BFEE524">
      <w:pPr>
        <w:pStyle w:val="15"/>
        <w:spacing w:line="360" w:lineRule="auto"/>
        <w:jc w:val="center"/>
        <w:outlineLvl w:val="0"/>
        <w:rPr>
          <w:rFonts w:hint="eastAsia" w:ascii="黑体" w:hAnsi="宋体" w:eastAsia="黑体" w:cs="Times New Roman"/>
          <w:b/>
          <w:bCs/>
          <w:color w:val="auto"/>
          <w:kern w:val="0"/>
          <w:sz w:val="36"/>
          <w:szCs w:val="36"/>
          <w:highlight w:val="none"/>
        </w:rPr>
        <w:sectPr>
          <w:pgSz w:w="11906" w:h="16838"/>
          <w:pgMar w:top="1247" w:right="1417" w:bottom="1247" w:left="1417" w:header="851" w:footer="992" w:gutter="0"/>
          <w:cols w:space="0" w:num="1"/>
          <w:docGrid w:type="lines" w:linePitch="312" w:charSpace="0"/>
        </w:sectPr>
      </w:pPr>
    </w:p>
    <w:p w14:paraId="5CA97FCD">
      <w:pPr>
        <w:pStyle w:val="15"/>
        <w:spacing w:line="360" w:lineRule="auto"/>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第四章 评审标准</w:t>
      </w:r>
      <w:bookmarkEnd w:id="66"/>
    </w:p>
    <w:p w14:paraId="6D98C0A0">
      <w:pPr>
        <w:pStyle w:val="7"/>
        <w:spacing w:line="360" w:lineRule="auto"/>
        <w:ind w:left="0"/>
        <w:jc w:val="both"/>
        <w:rPr>
          <w:rFonts w:hint="eastAsia"/>
          <w:color w:val="auto"/>
          <w:sz w:val="24"/>
          <w:szCs w:val="24"/>
          <w:highlight w:val="none"/>
        </w:rPr>
      </w:pPr>
      <w:r>
        <w:rPr>
          <w:rFonts w:hint="eastAsia"/>
          <w:color w:val="auto"/>
          <w:sz w:val="24"/>
          <w:szCs w:val="24"/>
          <w:highlight w:val="none"/>
        </w:rPr>
        <w:t>一、评审程序和评审方法</w:t>
      </w:r>
    </w:p>
    <w:p w14:paraId="18229C35">
      <w:pPr>
        <w:spacing w:line="360" w:lineRule="auto"/>
        <w:ind w:firstLine="422" w:firstLineChars="200"/>
        <w:rPr>
          <w:b/>
          <w:bCs/>
          <w:color w:val="auto"/>
          <w:highlight w:val="none"/>
        </w:rPr>
      </w:pPr>
      <w:r>
        <w:rPr>
          <w:rFonts w:hint="eastAsia"/>
          <w:b/>
          <w:bCs/>
          <w:color w:val="auto"/>
          <w:highlight w:val="none"/>
        </w:rPr>
        <w:t>1.资格审查</w:t>
      </w:r>
    </w:p>
    <w:p w14:paraId="02CF6E41">
      <w:pPr>
        <w:spacing w:line="360" w:lineRule="auto"/>
        <w:ind w:firstLine="420" w:firstLineChars="200"/>
        <w:rPr>
          <w:color w:val="auto"/>
          <w:highlight w:val="none"/>
        </w:rPr>
      </w:pPr>
      <w:r>
        <w:rPr>
          <w:rFonts w:hint="eastAsia"/>
          <w:color w:val="auto"/>
          <w:highlight w:val="none"/>
        </w:rPr>
        <w:t>1.1响应文件开启后，磋商小组依法对供应商的资格证明文件进行审查。</w:t>
      </w:r>
    </w:p>
    <w:p w14:paraId="6AC574A6">
      <w:pPr>
        <w:spacing w:line="360" w:lineRule="auto"/>
        <w:ind w:firstLine="420" w:firstLineChars="200"/>
        <w:rPr>
          <w:color w:val="auto"/>
          <w:highlight w:val="none"/>
        </w:rPr>
      </w:pPr>
      <w:r>
        <w:rPr>
          <w:rFonts w:hint="eastAsia"/>
          <w:color w:val="auto"/>
          <w:highlight w:val="none"/>
        </w:rPr>
        <w:t>注：采购人或者采购代理机构在资格审查结束前，对供应商进行信用查询。</w:t>
      </w:r>
    </w:p>
    <w:p w14:paraId="3418F79F">
      <w:pPr>
        <w:spacing w:line="360" w:lineRule="auto"/>
        <w:ind w:firstLine="420" w:firstLineChars="200"/>
        <w:rPr>
          <w:color w:val="auto"/>
          <w:highlight w:val="none"/>
        </w:rPr>
      </w:pPr>
      <w:r>
        <w:rPr>
          <w:rFonts w:hint="eastAsia"/>
          <w:color w:val="auto"/>
          <w:highlight w:val="none"/>
        </w:rPr>
        <w:t>（1）查询渠道：“信用中国”网站（www.creditchina.gov.cn）、中国政府采购网（www.ccgp.gov.cn）</w:t>
      </w:r>
      <w:r>
        <w:rPr>
          <w:rFonts w:hint="eastAsia"/>
          <w:color w:val="auto"/>
          <w:highlight w:val="none"/>
          <w:lang w:eastAsia="zh-CN"/>
        </w:rPr>
        <w:t>、</w:t>
      </w:r>
      <w:r>
        <w:rPr>
          <w:rFonts w:hint="eastAsia" w:ascii="宋体" w:hAnsi="宋体" w:cs="宋体"/>
          <w:color w:val="auto"/>
          <w:szCs w:val="21"/>
          <w:highlight w:val="none"/>
          <w:lang w:eastAsia="zh-CN" w:bidi="ar"/>
        </w:rPr>
        <w:t>中国执行信息公开网（https://zxgk.court.gov.cn/）</w:t>
      </w:r>
      <w:r>
        <w:rPr>
          <w:rFonts w:hint="eastAsia"/>
          <w:color w:val="auto"/>
          <w:highlight w:val="none"/>
        </w:rPr>
        <w:t>。</w:t>
      </w:r>
    </w:p>
    <w:p w14:paraId="3CE06E25">
      <w:pPr>
        <w:spacing w:line="360" w:lineRule="auto"/>
        <w:ind w:firstLine="420" w:firstLineChars="200"/>
        <w:rPr>
          <w:color w:val="auto"/>
          <w:highlight w:val="none"/>
        </w:rPr>
      </w:pPr>
      <w:r>
        <w:rPr>
          <w:rFonts w:hint="eastAsia"/>
          <w:color w:val="auto"/>
          <w:highlight w:val="none"/>
        </w:rPr>
        <w:t>（2）信用查询截止时点：资格审查结束前。</w:t>
      </w:r>
    </w:p>
    <w:p w14:paraId="08EE640D">
      <w:pPr>
        <w:spacing w:line="360" w:lineRule="auto"/>
        <w:ind w:firstLine="420" w:firstLineChars="200"/>
        <w:rPr>
          <w:color w:val="auto"/>
          <w:highlight w:val="none"/>
        </w:rPr>
      </w:pPr>
      <w:r>
        <w:rPr>
          <w:rFonts w:hint="eastAsia"/>
          <w:color w:val="auto"/>
          <w:highlight w:val="none"/>
        </w:rPr>
        <w:t>查询记录和证据留存方式：在查询网站中直接打印查询记录，打印材料作为评审资料保存。</w:t>
      </w:r>
    </w:p>
    <w:p w14:paraId="3C80FBB3">
      <w:pPr>
        <w:spacing w:line="360" w:lineRule="auto"/>
        <w:ind w:firstLine="420" w:firstLineChars="200"/>
        <w:rPr>
          <w:color w:val="auto"/>
          <w:highlight w:val="none"/>
        </w:rPr>
      </w:pPr>
      <w:r>
        <w:rPr>
          <w:rFonts w:hint="eastAsia"/>
          <w:color w:val="auto"/>
          <w:highlight w:val="none"/>
        </w:rPr>
        <w:t>信用信息使用规则：对在“信用中国”网站（www.creditchina.gov.cn）、中国府采购网（www.ccgp.gov.cn）</w:t>
      </w:r>
      <w:r>
        <w:rPr>
          <w:rFonts w:hint="eastAsia"/>
          <w:color w:val="auto"/>
          <w:highlight w:val="none"/>
          <w:lang w:eastAsia="zh-CN"/>
        </w:rPr>
        <w:t>、</w:t>
      </w:r>
      <w:r>
        <w:rPr>
          <w:rFonts w:hint="eastAsia" w:ascii="宋体" w:hAnsi="宋体" w:cs="宋体"/>
          <w:color w:val="auto"/>
          <w:szCs w:val="21"/>
          <w:highlight w:val="none"/>
          <w:lang w:eastAsia="zh-CN" w:bidi="ar"/>
        </w:rPr>
        <w:t>中国执行信息公开网（https://zxgk.court.gov.cn/）</w:t>
      </w:r>
      <w:r>
        <w:rPr>
          <w:rFonts w:hint="eastAsia"/>
          <w:color w:val="auto"/>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3B44C59D">
      <w:pPr>
        <w:spacing w:line="360" w:lineRule="auto"/>
        <w:ind w:firstLine="420" w:firstLineChars="200"/>
        <w:rPr>
          <w:color w:val="auto"/>
          <w:highlight w:val="none"/>
        </w:rPr>
      </w:pPr>
      <w:r>
        <w:rPr>
          <w:rFonts w:hint="eastAsia"/>
          <w:color w:val="auto"/>
          <w:highlight w:val="none"/>
        </w:rPr>
        <w:t>1.2资格审查标准为本磋商文件中载明对供应商资格要求的条件。资格审查采用合格制，凡符合磋商文件规定的供应商资格要求的响应文件均通过资格审查。</w:t>
      </w:r>
    </w:p>
    <w:p w14:paraId="585DEBBB">
      <w:pPr>
        <w:spacing w:line="360" w:lineRule="auto"/>
        <w:ind w:firstLine="420" w:firstLineChars="200"/>
        <w:rPr>
          <w:color w:val="auto"/>
          <w:highlight w:val="none"/>
        </w:rPr>
      </w:pPr>
      <w:r>
        <w:rPr>
          <w:rFonts w:hint="eastAsia"/>
          <w:color w:val="auto"/>
          <w:highlight w:val="none"/>
        </w:rPr>
        <w:t>1.3供应商有下列情形之一的，资格审查不通过，其响应文件按无效响应处理：</w:t>
      </w:r>
    </w:p>
    <w:p w14:paraId="26293AA7">
      <w:pPr>
        <w:spacing w:line="360" w:lineRule="auto"/>
        <w:ind w:firstLine="420" w:firstLineChars="200"/>
        <w:rPr>
          <w:color w:val="auto"/>
          <w:highlight w:val="none"/>
        </w:rPr>
      </w:pPr>
      <w:r>
        <w:rPr>
          <w:rFonts w:hint="eastAsia"/>
          <w:color w:val="auto"/>
          <w:highlight w:val="none"/>
        </w:rPr>
        <w:t>（1）不具备磋商文件中规定的资格要求的；</w:t>
      </w:r>
    </w:p>
    <w:p w14:paraId="16BBEAB8">
      <w:pPr>
        <w:spacing w:line="360" w:lineRule="auto"/>
        <w:ind w:firstLine="420" w:firstLineChars="200"/>
        <w:rPr>
          <w:color w:val="auto"/>
          <w:highlight w:val="none"/>
        </w:rPr>
      </w:pPr>
      <w:r>
        <w:rPr>
          <w:rFonts w:hint="eastAsia"/>
          <w:color w:val="auto"/>
          <w:highlight w:val="none"/>
        </w:rPr>
        <w:t>（2）响应文件未提供任一项“供应商须知前附表”资格证明文件规定的“必须提供”的文件资料的；</w:t>
      </w:r>
    </w:p>
    <w:p w14:paraId="42284459">
      <w:pPr>
        <w:spacing w:line="360" w:lineRule="auto"/>
        <w:ind w:firstLine="420" w:firstLineChars="200"/>
        <w:rPr>
          <w:color w:val="auto"/>
          <w:highlight w:val="none"/>
        </w:rPr>
      </w:pPr>
      <w:r>
        <w:rPr>
          <w:rFonts w:hint="eastAsia"/>
          <w:color w:val="auto"/>
          <w:highlight w:val="none"/>
        </w:rPr>
        <w:t>（3）响应文件提供的资格证明文件出现任一项不符合“供应商须知前附表”资格证明文件规定的“必须提供”的文件资料要求或者无效的。</w:t>
      </w:r>
    </w:p>
    <w:p w14:paraId="1DD2EA51">
      <w:pPr>
        <w:spacing w:line="360" w:lineRule="auto"/>
        <w:ind w:firstLine="420" w:firstLineChars="200"/>
        <w:rPr>
          <w:color w:val="auto"/>
          <w:highlight w:val="none"/>
        </w:rPr>
      </w:pPr>
      <w:r>
        <w:rPr>
          <w:rFonts w:hint="eastAsia"/>
          <w:color w:val="auto"/>
          <w:highlight w:val="none"/>
        </w:rPr>
        <w:t>1.4通过资格审查的合格供应商不足3家的，不得进入符合性审查环节，采购人或者采购代理机构应当重新开展采购活动。</w:t>
      </w:r>
    </w:p>
    <w:p w14:paraId="3F73F30D">
      <w:pPr>
        <w:spacing w:line="360" w:lineRule="auto"/>
        <w:ind w:firstLine="420" w:firstLineChars="200"/>
        <w:rPr>
          <w:color w:val="auto"/>
          <w:highlight w:val="none"/>
        </w:rPr>
      </w:pPr>
      <w:r>
        <w:rPr>
          <w:rFonts w:hint="eastAsia"/>
          <w:color w:val="auto"/>
          <w:highlight w:val="none"/>
        </w:rPr>
        <w:t>2.符合性审查</w:t>
      </w:r>
    </w:p>
    <w:p w14:paraId="5E401A74">
      <w:pPr>
        <w:spacing w:line="360" w:lineRule="auto"/>
        <w:ind w:firstLine="420" w:firstLineChars="200"/>
        <w:rPr>
          <w:color w:val="auto"/>
          <w:highlight w:val="none"/>
        </w:rPr>
      </w:pPr>
      <w:r>
        <w:rPr>
          <w:rFonts w:hint="eastAsia"/>
          <w:color w:val="auto"/>
          <w:highlight w:val="none"/>
        </w:rPr>
        <w:t>2.1由磋商小组对通过资格审查的合格供应商的响应文件的竞标报价、商务、技术等实质性要求进行符合性审查，以确定其是否满足磋商文件的实质性要求。</w:t>
      </w:r>
    </w:p>
    <w:p w14:paraId="5C43C116">
      <w:pPr>
        <w:spacing w:line="360" w:lineRule="auto"/>
        <w:ind w:firstLine="420" w:firstLineChars="200"/>
        <w:rPr>
          <w:color w:val="auto"/>
          <w:highlight w:val="none"/>
        </w:rPr>
      </w:pPr>
      <w:r>
        <w:rPr>
          <w:rFonts w:hint="eastAsia"/>
          <w:color w:val="auto"/>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E5346E1">
      <w:pPr>
        <w:spacing w:line="360" w:lineRule="auto"/>
        <w:ind w:firstLine="420" w:firstLineChars="200"/>
        <w:rPr>
          <w:color w:val="auto"/>
          <w:highlight w:val="none"/>
        </w:rPr>
      </w:pPr>
      <w:r>
        <w:rPr>
          <w:rFonts w:hint="eastAsia"/>
          <w:color w:val="auto"/>
          <w:highlight w:val="none"/>
        </w:rPr>
        <w:t>2.3磋商小组要求供应商澄清、说明或者更正响应文件应当要求供应商在合理时间内通过广西政府采购云平台（https://www.gcy.zfcg.gxzf.gov.cn/）的方式形式作出。供应商的澄清、说明或者更正必须通过广西政府采购云平台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委托代理人签字或者加盖CA签章。由委托代理人签字的，若委托代理人不是响应文件中授权的委托代理人时，必须同时出示有效的法定代表人授权委托书原件。供应商为自然人的，必须由本人签字并附身份证明。</w:t>
      </w:r>
    </w:p>
    <w:p w14:paraId="4BD2F011">
      <w:pPr>
        <w:spacing w:line="360" w:lineRule="auto"/>
        <w:ind w:firstLine="420" w:firstLineChars="200"/>
        <w:rPr>
          <w:color w:val="auto"/>
          <w:highlight w:val="none"/>
        </w:rPr>
      </w:pPr>
      <w:r>
        <w:rPr>
          <w:rFonts w:hint="eastAsia"/>
          <w:color w:val="auto"/>
          <w:highlight w:val="none"/>
        </w:rPr>
        <w:t>2.4首次响应文件报价出现前后不一致的，按照下列规定修正：</w:t>
      </w:r>
    </w:p>
    <w:p w14:paraId="76509D34">
      <w:pPr>
        <w:spacing w:line="360" w:lineRule="auto"/>
        <w:ind w:firstLine="420" w:firstLineChars="200"/>
        <w:rPr>
          <w:color w:val="auto"/>
          <w:highlight w:val="none"/>
        </w:rPr>
      </w:pPr>
      <w:r>
        <w:rPr>
          <w:rFonts w:hint="eastAsia"/>
          <w:color w:val="auto"/>
          <w:highlight w:val="none"/>
        </w:rPr>
        <w:t>（1）响应文件中报价表内容与响应文件中相应内容不一致的，以报价表为准；</w:t>
      </w:r>
    </w:p>
    <w:p w14:paraId="0DABDCB7">
      <w:pPr>
        <w:spacing w:line="360" w:lineRule="auto"/>
        <w:ind w:firstLine="420" w:firstLineChars="200"/>
        <w:rPr>
          <w:color w:val="auto"/>
          <w:highlight w:val="none"/>
        </w:rPr>
      </w:pPr>
      <w:r>
        <w:rPr>
          <w:rFonts w:hint="eastAsia"/>
          <w:color w:val="auto"/>
          <w:highlight w:val="none"/>
        </w:rPr>
        <w:t>（2）大写金额和小写金额不一致的，以大写金额为准；</w:t>
      </w:r>
    </w:p>
    <w:p w14:paraId="153EFFAC">
      <w:pPr>
        <w:spacing w:line="360" w:lineRule="auto"/>
        <w:ind w:firstLine="420" w:firstLineChars="200"/>
        <w:rPr>
          <w:color w:val="auto"/>
          <w:highlight w:val="none"/>
        </w:rPr>
      </w:pPr>
      <w:r>
        <w:rPr>
          <w:rFonts w:hint="eastAsia"/>
          <w:color w:val="auto"/>
          <w:highlight w:val="none"/>
        </w:rPr>
        <w:t>（3）单价金额小数点或者百分比有明显错位的，以报价表的总价为准，并修改单价；</w:t>
      </w:r>
    </w:p>
    <w:p w14:paraId="2CE31CE3">
      <w:pPr>
        <w:spacing w:line="360" w:lineRule="auto"/>
        <w:ind w:firstLine="420" w:firstLineChars="200"/>
        <w:rPr>
          <w:color w:val="auto"/>
          <w:highlight w:val="none"/>
        </w:rPr>
      </w:pPr>
      <w:r>
        <w:rPr>
          <w:rFonts w:hint="eastAsia"/>
          <w:color w:val="auto"/>
          <w:highlight w:val="none"/>
        </w:rPr>
        <w:t>（4）总价金额与按单价汇总金额不一致的，以单价金额计算结果为准。</w:t>
      </w:r>
    </w:p>
    <w:p w14:paraId="1FD7FB2C">
      <w:pPr>
        <w:spacing w:line="360" w:lineRule="auto"/>
        <w:ind w:firstLine="420" w:firstLineChars="200"/>
        <w:rPr>
          <w:color w:val="auto"/>
          <w:highlight w:val="none"/>
        </w:rPr>
      </w:pPr>
      <w:r>
        <w:rPr>
          <w:rFonts w:hint="eastAsia"/>
          <w:color w:val="auto"/>
          <w:highlight w:val="none"/>
        </w:rPr>
        <w:t>同时出现两种以上不一致的，按照以上（1）-（4）规定的顺序逐条进行修正。修正后的报价经供应商确认后产生约束力，供应商不确认的，其响应文件按无效响应处理。</w:t>
      </w:r>
    </w:p>
    <w:p w14:paraId="3BCB7E22">
      <w:pPr>
        <w:spacing w:line="360" w:lineRule="auto"/>
        <w:ind w:firstLine="420" w:firstLineChars="200"/>
        <w:rPr>
          <w:color w:val="auto"/>
          <w:highlight w:val="none"/>
        </w:rPr>
      </w:pPr>
      <w:r>
        <w:rPr>
          <w:rFonts w:hint="eastAsia"/>
          <w:color w:val="auto"/>
          <w:highlight w:val="none"/>
        </w:rPr>
        <w:t>2.5商务技术报价评审</w:t>
      </w:r>
    </w:p>
    <w:p w14:paraId="08B2AC35">
      <w:pPr>
        <w:spacing w:line="360" w:lineRule="auto"/>
        <w:ind w:firstLine="420" w:firstLineChars="200"/>
        <w:rPr>
          <w:color w:val="auto"/>
          <w:highlight w:val="none"/>
        </w:rPr>
      </w:pPr>
      <w:r>
        <w:rPr>
          <w:rFonts w:hint="eastAsia"/>
          <w:color w:val="auto"/>
          <w:highlight w:val="none"/>
        </w:rPr>
        <w:t>在评审时，如发现下列情形之一的，将被视为响应文件无效处理：</w:t>
      </w:r>
    </w:p>
    <w:p w14:paraId="4985162A">
      <w:pPr>
        <w:spacing w:line="360" w:lineRule="auto"/>
        <w:ind w:firstLine="420" w:firstLineChars="200"/>
        <w:rPr>
          <w:color w:val="auto"/>
          <w:highlight w:val="none"/>
        </w:rPr>
      </w:pPr>
      <w:r>
        <w:rPr>
          <w:rFonts w:hint="eastAsia"/>
          <w:color w:val="auto"/>
          <w:highlight w:val="none"/>
        </w:rPr>
        <w:t>（1）商务技术评审</w:t>
      </w:r>
    </w:p>
    <w:p w14:paraId="11B029D8">
      <w:pPr>
        <w:spacing w:line="360" w:lineRule="auto"/>
        <w:ind w:firstLine="420" w:firstLineChars="200"/>
        <w:rPr>
          <w:color w:val="auto"/>
          <w:highlight w:val="none"/>
        </w:rPr>
      </w:pPr>
      <w:r>
        <w:rPr>
          <w:rFonts w:hint="eastAsia"/>
          <w:color w:val="auto"/>
          <w:highlight w:val="none"/>
        </w:rPr>
        <w:t>1）响应文件未按磋商文件要求签署、盖章；</w:t>
      </w:r>
    </w:p>
    <w:p w14:paraId="2E41FC1E">
      <w:pPr>
        <w:spacing w:line="360" w:lineRule="auto"/>
        <w:ind w:firstLine="420" w:firstLineChars="200"/>
        <w:rPr>
          <w:color w:val="auto"/>
          <w:highlight w:val="none"/>
        </w:rPr>
      </w:pPr>
      <w:r>
        <w:rPr>
          <w:rFonts w:hint="eastAsia"/>
          <w:color w:val="auto"/>
          <w:highlight w:val="none"/>
        </w:rPr>
        <w:t>2）委托代理人未能出具有效身份证明或者出具的身份证明与授权委托书中的信息不符；</w:t>
      </w:r>
    </w:p>
    <w:p w14:paraId="3471CAAA">
      <w:pPr>
        <w:spacing w:line="360" w:lineRule="auto"/>
        <w:ind w:firstLine="420" w:firstLineChars="200"/>
        <w:rPr>
          <w:color w:val="auto"/>
          <w:highlight w:val="none"/>
        </w:rPr>
      </w:pPr>
      <w:r>
        <w:rPr>
          <w:rFonts w:hint="eastAsia"/>
          <w:color w:val="auto"/>
          <w:highlight w:val="none"/>
        </w:rPr>
        <w:t>3）响应文件未提供任一项“供应商须知前附表”报价商务技术文件中“必须提供”或者“委托时必须提供”的文件资料；响应文件提供的报价商务技术文件出现任一项不符合“供应商须知前附表”报价商务技术文件中“必须提供”或者“委托时必须提供”文件资料要求的规定或者提供的报价商务技术文件无效。</w:t>
      </w:r>
    </w:p>
    <w:p w14:paraId="0C78A557">
      <w:pPr>
        <w:spacing w:line="360" w:lineRule="auto"/>
        <w:ind w:firstLine="420" w:firstLineChars="200"/>
        <w:rPr>
          <w:color w:val="auto"/>
          <w:highlight w:val="none"/>
        </w:rPr>
      </w:pPr>
      <w:r>
        <w:rPr>
          <w:rFonts w:hint="eastAsia"/>
          <w:color w:val="auto"/>
          <w:highlight w:val="none"/>
        </w:rPr>
        <w:t>4）商务条款中标“▲”的条款发生负偏离的或者允许负偏离的条款数超过“供应商须知前附表”规定项数的或者标明实质性的要求发生负偏离；</w:t>
      </w:r>
    </w:p>
    <w:p w14:paraId="0B6BBC52">
      <w:pPr>
        <w:spacing w:line="360" w:lineRule="auto"/>
        <w:ind w:firstLine="420" w:firstLineChars="200"/>
        <w:rPr>
          <w:color w:val="auto"/>
          <w:highlight w:val="none"/>
        </w:rPr>
      </w:pPr>
      <w:r>
        <w:rPr>
          <w:rFonts w:hint="eastAsia"/>
          <w:color w:val="auto"/>
          <w:highlight w:val="none"/>
        </w:rPr>
        <w:t>5）未对竞标有效期作出响应或者响应文件承诺的竞标有效期不满足磋商文件要求；</w:t>
      </w:r>
    </w:p>
    <w:p w14:paraId="3F2454BB">
      <w:pPr>
        <w:spacing w:line="360" w:lineRule="auto"/>
        <w:ind w:firstLine="420" w:firstLineChars="200"/>
        <w:rPr>
          <w:color w:val="auto"/>
          <w:highlight w:val="none"/>
        </w:rPr>
      </w:pPr>
      <w:r>
        <w:rPr>
          <w:rFonts w:hint="eastAsia"/>
          <w:color w:val="auto"/>
          <w:highlight w:val="none"/>
        </w:rPr>
        <w:t>6）响应文件的实质性内容未使用中文表述、使用计量单位不符合磋商文件要求；</w:t>
      </w:r>
    </w:p>
    <w:p w14:paraId="6FD35396">
      <w:pPr>
        <w:spacing w:line="360" w:lineRule="auto"/>
        <w:ind w:firstLine="420" w:firstLineChars="200"/>
        <w:rPr>
          <w:color w:val="auto"/>
          <w:highlight w:val="none"/>
        </w:rPr>
      </w:pPr>
      <w:r>
        <w:rPr>
          <w:rFonts w:hint="eastAsia"/>
          <w:color w:val="auto"/>
          <w:highlight w:val="none"/>
        </w:rPr>
        <w:t>7）响应文件中的文件资料因填写不齐全或者内容虚假或者出现其他情形而导致被磋商小组认定无效；</w:t>
      </w:r>
    </w:p>
    <w:p w14:paraId="193A908A">
      <w:pPr>
        <w:spacing w:line="360" w:lineRule="auto"/>
        <w:ind w:firstLine="420" w:firstLineChars="200"/>
        <w:rPr>
          <w:color w:val="auto"/>
          <w:highlight w:val="none"/>
        </w:rPr>
      </w:pPr>
      <w:r>
        <w:rPr>
          <w:rFonts w:hint="eastAsia"/>
          <w:color w:val="auto"/>
          <w:highlight w:val="none"/>
        </w:rPr>
        <w:t>8）响应文件含有采购人不能接受的附加条件；</w:t>
      </w:r>
    </w:p>
    <w:p w14:paraId="76C7B919">
      <w:pPr>
        <w:spacing w:line="360" w:lineRule="auto"/>
        <w:ind w:firstLine="420" w:firstLineChars="200"/>
        <w:rPr>
          <w:color w:val="auto"/>
          <w:highlight w:val="none"/>
        </w:rPr>
      </w:pPr>
      <w:r>
        <w:rPr>
          <w:rFonts w:hint="eastAsia"/>
          <w:color w:val="auto"/>
          <w:highlight w:val="none"/>
        </w:rPr>
        <w:t>9）属于“供应商须知正文”第7.7条情形；</w:t>
      </w:r>
    </w:p>
    <w:p w14:paraId="6714F269">
      <w:pPr>
        <w:spacing w:line="360" w:lineRule="auto"/>
        <w:ind w:firstLine="420" w:firstLineChars="200"/>
        <w:rPr>
          <w:color w:val="auto"/>
          <w:highlight w:val="none"/>
        </w:rPr>
      </w:pPr>
      <w:r>
        <w:rPr>
          <w:rFonts w:hint="eastAsia"/>
          <w:color w:val="auto"/>
          <w:highlight w:val="none"/>
        </w:rPr>
        <w:t>10）技术需求允许负偏离的条款数超过“供应商须知前附表”规定项数；</w:t>
      </w:r>
    </w:p>
    <w:p w14:paraId="29A48993">
      <w:pPr>
        <w:spacing w:line="360" w:lineRule="auto"/>
        <w:ind w:firstLine="420" w:firstLineChars="200"/>
        <w:rPr>
          <w:color w:val="auto"/>
          <w:highlight w:val="none"/>
        </w:rPr>
      </w:pPr>
      <w:r>
        <w:rPr>
          <w:rFonts w:hint="eastAsia"/>
          <w:color w:val="auto"/>
          <w:highlight w:val="none"/>
        </w:rPr>
        <w:t>11）虚假竞标，或者出现其他情形而导致被磋商小组认定无效；</w:t>
      </w:r>
    </w:p>
    <w:p w14:paraId="283EA7AB">
      <w:pPr>
        <w:spacing w:line="360" w:lineRule="auto"/>
        <w:ind w:firstLine="420" w:firstLineChars="200"/>
        <w:rPr>
          <w:color w:val="auto"/>
          <w:highlight w:val="none"/>
        </w:rPr>
      </w:pPr>
      <w:r>
        <w:rPr>
          <w:rFonts w:hint="eastAsia"/>
          <w:color w:val="auto"/>
          <w:highlight w:val="none"/>
        </w:rPr>
        <w:t>12）竞标技术方案不明确，磋商文件未允许但响应文件中存在一个或者一个以上备选（替代）竞标方案；</w:t>
      </w:r>
    </w:p>
    <w:p w14:paraId="06B307BE">
      <w:pPr>
        <w:spacing w:line="360" w:lineRule="auto"/>
        <w:ind w:firstLine="420" w:firstLineChars="200"/>
        <w:rPr>
          <w:color w:val="auto"/>
          <w:highlight w:val="none"/>
        </w:rPr>
      </w:pPr>
      <w:r>
        <w:rPr>
          <w:rFonts w:hint="eastAsia"/>
          <w:color w:val="auto"/>
          <w:highlight w:val="none"/>
        </w:rPr>
        <w:t>13）响应文件标注的项目名称或者项目编号与竞争性磋商文件标注的项目名称或者项目编号不一致的；</w:t>
      </w:r>
    </w:p>
    <w:p w14:paraId="1D3CB57B">
      <w:pPr>
        <w:spacing w:line="360" w:lineRule="auto"/>
        <w:ind w:firstLine="420" w:firstLineChars="200"/>
        <w:rPr>
          <w:color w:val="auto"/>
          <w:highlight w:val="none"/>
        </w:rPr>
      </w:pPr>
      <w:r>
        <w:rPr>
          <w:rFonts w:hint="eastAsia"/>
          <w:color w:val="auto"/>
          <w:highlight w:val="none"/>
        </w:rPr>
        <w:t>14）未响应磋商文件实质性要求；</w:t>
      </w:r>
    </w:p>
    <w:p w14:paraId="3D0ADEAA">
      <w:pPr>
        <w:spacing w:line="360" w:lineRule="auto"/>
        <w:ind w:firstLine="420" w:firstLineChars="200"/>
        <w:rPr>
          <w:color w:val="auto"/>
          <w:highlight w:val="none"/>
        </w:rPr>
      </w:pPr>
      <w:r>
        <w:rPr>
          <w:rFonts w:hint="eastAsia"/>
          <w:color w:val="auto"/>
          <w:highlight w:val="none"/>
        </w:rPr>
        <w:t>15）法律、法规和磋商文件规定的其他无效情形。</w:t>
      </w:r>
    </w:p>
    <w:p w14:paraId="650CF553">
      <w:pPr>
        <w:spacing w:line="360" w:lineRule="auto"/>
        <w:ind w:firstLine="420" w:firstLineChars="200"/>
        <w:rPr>
          <w:color w:val="auto"/>
          <w:highlight w:val="none"/>
        </w:rPr>
      </w:pPr>
      <w:r>
        <w:rPr>
          <w:rFonts w:hint="eastAsia"/>
          <w:color w:val="auto"/>
          <w:highlight w:val="none"/>
        </w:rPr>
        <w:t>（2）报价评审</w:t>
      </w:r>
    </w:p>
    <w:p w14:paraId="3D2C5BA0">
      <w:pPr>
        <w:spacing w:line="360" w:lineRule="auto"/>
        <w:ind w:firstLine="420" w:firstLineChars="200"/>
        <w:rPr>
          <w:color w:val="auto"/>
          <w:highlight w:val="none"/>
        </w:rPr>
      </w:pPr>
      <w:r>
        <w:rPr>
          <w:rFonts w:hint="eastAsia"/>
          <w:color w:val="auto"/>
          <w:highlight w:val="none"/>
        </w:rPr>
        <w:t>1）响应文件未提供“供应商须知前附表”报价商务技术文件中规定的；</w:t>
      </w:r>
    </w:p>
    <w:p w14:paraId="69C3E73C">
      <w:pPr>
        <w:spacing w:line="360" w:lineRule="auto"/>
        <w:ind w:firstLine="420" w:firstLineChars="200"/>
        <w:rPr>
          <w:color w:val="auto"/>
          <w:highlight w:val="none"/>
        </w:rPr>
      </w:pPr>
      <w:r>
        <w:rPr>
          <w:rFonts w:hint="eastAsia"/>
          <w:color w:val="auto"/>
          <w:highlight w:val="none"/>
        </w:rPr>
        <w:t>2）未采用人民币报价或者未按照磋商文件标明的币种报价；</w:t>
      </w:r>
    </w:p>
    <w:p w14:paraId="1B8AC809">
      <w:pPr>
        <w:spacing w:line="360" w:lineRule="auto"/>
        <w:ind w:firstLine="420" w:firstLineChars="200"/>
        <w:rPr>
          <w:color w:val="auto"/>
          <w:highlight w:val="none"/>
        </w:rPr>
      </w:pPr>
      <w:r>
        <w:rPr>
          <w:rFonts w:hint="eastAsia"/>
          <w:color w:val="auto"/>
          <w:highlight w:val="none"/>
        </w:rPr>
        <w:t>3）供应商未就所磋商分标进行报价或者存在漏项报价；供应商未就所磋商分标的单项内容作唯一报价；供应商未就所磋商分标的全部内容作唯一总价报价；供应商响应文件中存在有选择、有条件报价的（磋商文件允许有备选方案或者其他约定的除外）；</w:t>
      </w:r>
    </w:p>
    <w:p w14:paraId="3628AF93">
      <w:pPr>
        <w:spacing w:line="360" w:lineRule="auto"/>
        <w:ind w:firstLine="420" w:firstLineChars="200"/>
        <w:rPr>
          <w:color w:val="auto"/>
          <w:highlight w:val="none"/>
        </w:rPr>
      </w:pPr>
      <w:r>
        <w:rPr>
          <w:rFonts w:hint="eastAsia"/>
          <w:color w:val="auto"/>
          <w:highlight w:val="none"/>
        </w:rPr>
        <w:t>4）磋商报价（包含首次报价、最后报价）超过的采购预算金额或者最高限价的（如本项目公布了最高限价）；磋商报价（包含首次报价、最后报价）超过磋商文件分项采购预算金额或者最高限价的（如本项目公布了最高限价）；</w:t>
      </w:r>
    </w:p>
    <w:p w14:paraId="51E47DFB">
      <w:pPr>
        <w:spacing w:line="360" w:lineRule="auto"/>
        <w:ind w:firstLine="420" w:firstLineChars="200"/>
        <w:rPr>
          <w:color w:val="auto"/>
          <w:highlight w:val="none"/>
        </w:rPr>
      </w:pPr>
      <w:r>
        <w:rPr>
          <w:rFonts w:hint="eastAsia"/>
          <w:color w:val="auto"/>
          <w:highlight w:val="none"/>
        </w:rPr>
        <w:t>5）修正后的报价，供应商不确认的；或者经供应商确认修正后的磋商报价（包含首次报价、最后报价）超过所磋商分标规定的采购预算金额或者最高限价（如本项目公布了最高限价）；或者经供应商确认修正后磋商报价（包含首次报价、最后报价）超过磋商文件分项采购预算金额或者最高限价的（如本项目公布了最高限价）。</w:t>
      </w:r>
    </w:p>
    <w:p w14:paraId="45C1EF62">
      <w:pPr>
        <w:spacing w:line="360" w:lineRule="auto"/>
        <w:ind w:firstLine="420" w:firstLineChars="200"/>
        <w:rPr>
          <w:color w:val="auto"/>
          <w:highlight w:val="none"/>
        </w:rPr>
      </w:pPr>
      <w:r>
        <w:rPr>
          <w:rFonts w:hint="eastAsia"/>
          <w:color w:val="auto"/>
          <w:highlight w:val="none"/>
        </w:rPr>
        <w:t>6）响应文件响应的标的数量及单位与竞争性磋商采购文件要求实质性不一致的。</w:t>
      </w:r>
    </w:p>
    <w:p w14:paraId="3C095D57">
      <w:pPr>
        <w:spacing w:line="360" w:lineRule="auto"/>
        <w:ind w:firstLine="420" w:firstLineChars="200"/>
        <w:rPr>
          <w:color w:val="auto"/>
          <w:highlight w:val="none"/>
        </w:rPr>
      </w:pPr>
      <w:r>
        <w:rPr>
          <w:rFonts w:hint="eastAsia"/>
          <w:color w:val="auto"/>
          <w:highlight w:val="none"/>
        </w:rPr>
        <w:t>2.6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E4EAB2C">
      <w:pPr>
        <w:spacing w:line="360" w:lineRule="auto"/>
        <w:ind w:firstLine="420" w:firstLineChars="200"/>
        <w:rPr>
          <w:color w:val="auto"/>
          <w:highlight w:val="none"/>
        </w:rPr>
      </w:pPr>
      <w:r>
        <w:rPr>
          <w:rFonts w:hint="eastAsia"/>
          <w:color w:val="auto"/>
          <w:highlight w:val="none"/>
        </w:rPr>
        <w:t>2.7通过符合性审查的合格供应商不足3家的，不得进入磋商环节，采购人或者采购代理机构应当重新开展采购活动。</w:t>
      </w:r>
    </w:p>
    <w:p w14:paraId="3B098549">
      <w:pPr>
        <w:spacing w:line="360" w:lineRule="auto"/>
        <w:ind w:firstLine="420" w:firstLineChars="200"/>
        <w:rPr>
          <w:color w:val="auto"/>
          <w:highlight w:val="none"/>
        </w:rPr>
      </w:pPr>
      <w:r>
        <w:rPr>
          <w:rFonts w:hint="eastAsia"/>
          <w:color w:val="auto"/>
          <w:highlight w:val="none"/>
        </w:rPr>
        <w:t>3.磋商程序</w:t>
      </w:r>
    </w:p>
    <w:p w14:paraId="774B143D">
      <w:pPr>
        <w:spacing w:line="360" w:lineRule="auto"/>
        <w:ind w:firstLine="420" w:firstLineChars="200"/>
        <w:rPr>
          <w:color w:val="auto"/>
          <w:highlight w:val="none"/>
        </w:rPr>
      </w:pPr>
      <w:r>
        <w:rPr>
          <w:rFonts w:hint="eastAsia"/>
          <w:color w:val="auto"/>
          <w:highlight w:val="none"/>
        </w:rPr>
        <w:t>3.1磋商小组按照“供应商须知前附表”确定的顺序，集中与单一供应商分别进行磋商，并给予所有参加磋商的供应商平等的磋商机会。符合磋商资格的供应商必须实时关注广西政府采购云平台（https://www.gcy.zfcg.gxzf.gov.cn/）开标信息，在接到磋商通知后规定时间内参加磋商，未在规定时间内参加磋商的视同放弃参加磋商权利，其响应文件按无效响应处理。</w:t>
      </w:r>
    </w:p>
    <w:p w14:paraId="16545662">
      <w:pPr>
        <w:spacing w:line="360" w:lineRule="auto"/>
        <w:ind w:firstLine="420" w:firstLineChars="200"/>
        <w:rPr>
          <w:color w:val="auto"/>
          <w:highlight w:val="none"/>
        </w:rPr>
      </w:pPr>
      <w:r>
        <w:rPr>
          <w:rFonts w:hint="eastAsia"/>
          <w:color w:val="auto"/>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C82A892">
      <w:pPr>
        <w:spacing w:line="360" w:lineRule="auto"/>
        <w:ind w:firstLine="420" w:firstLineChars="200"/>
        <w:rPr>
          <w:color w:val="auto"/>
          <w:highlight w:val="none"/>
        </w:rPr>
      </w:pPr>
      <w:r>
        <w:rPr>
          <w:rFonts w:hint="eastAsia"/>
          <w:color w:val="auto"/>
          <w:highlight w:val="none"/>
        </w:rPr>
        <w:t>3.3对磋商文件作出的实质性变动是磋商文件的有效组成部分，由磋商小组及时以书面形式同时通知所有参加磋商的供应商。</w:t>
      </w:r>
    </w:p>
    <w:p w14:paraId="7B89C100">
      <w:pPr>
        <w:spacing w:line="360" w:lineRule="auto"/>
        <w:ind w:firstLine="420" w:firstLineChars="200"/>
        <w:rPr>
          <w:color w:val="auto"/>
          <w:highlight w:val="none"/>
        </w:rPr>
      </w:pPr>
      <w:r>
        <w:rPr>
          <w:rFonts w:hint="eastAsia"/>
          <w:color w:val="auto"/>
          <w:highlight w:val="none"/>
        </w:rPr>
        <w:t>3.4供应商必须按照磋商文件的变动情况和磋商小组的要求重新提交响应文件，并由其法定代表人或者授权代表签字或者加盖CA签章在广西政府采购云平台（https://www.gcy.zfcg.gxzf.gov.cn/）提交。由委托代理人签字的，若委托代理人不是响应文件中授权的委托代理人时，必须同时出示有效的法定代表人授权委托书原件。供应商为自然人的，必须由本人签字并附身份证明。参加磋商的供应商未在规定时间内重新提交响应文件的，视同退出磋商。</w:t>
      </w:r>
    </w:p>
    <w:p w14:paraId="6EBE26A4">
      <w:pPr>
        <w:spacing w:line="360" w:lineRule="auto"/>
        <w:ind w:firstLine="420" w:firstLineChars="200"/>
        <w:rPr>
          <w:color w:val="auto"/>
          <w:highlight w:val="none"/>
        </w:rPr>
      </w:pPr>
      <w:r>
        <w:rPr>
          <w:rFonts w:hint="eastAsia"/>
          <w:color w:val="auto"/>
          <w:highlight w:val="none"/>
        </w:rPr>
        <w:t>3.5磋商中，磋商的任何一方不得透露与磋商有关的其他供应商的技术资料、价格和其他信息。</w:t>
      </w:r>
    </w:p>
    <w:p w14:paraId="0FDD5558">
      <w:pPr>
        <w:spacing w:line="360" w:lineRule="auto"/>
        <w:ind w:firstLine="420" w:firstLineChars="200"/>
        <w:rPr>
          <w:color w:val="auto"/>
          <w:highlight w:val="none"/>
        </w:rPr>
      </w:pPr>
      <w:r>
        <w:rPr>
          <w:rFonts w:hint="eastAsia"/>
          <w:color w:val="auto"/>
          <w:highlight w:val="none"/>
        </w:rPr>
        <w:t>3.6采购代理机构对磋商过程和重要磋商内容进行记录，磋商双方在记录上签字确认。</w:t>
      </w:r>
    </w:p>
    <w:p w14:paraId="391FDCDF">
      <w:pPr>
        <w:spacing w:line="360" w:lineRule="auto"/>
        <w:ind w:firstLine="420" w:firstLineChars="200"/>
        <w:rPr>
          <w:color w:val="auto"/>
          <w:highlight w:val="none"/>
        </w:rPr>
      </w:pPr>
      <w:r>
        <w:rPr>
          <w:rFonts w:hint="eastAsia"/>
          <w:color w:val="auto"/>
          <w:highlight w:val="none"/>
        </w:rPr>
        <w:t>3.7磋商过程中重新提交的响应文件，供应商可以在开启前补充、修改。</w:t>
      </w:r>
    </w:p>
    <w:p w14:paraId="166930EE">
      <w:pPr>
        <w:spacing w:line="360" w:lineRule="auto"/>
        <w:ind w:firstLine="420" w:firstLineChars="200"/>
        <w:rPr>
          <w:color w:val="auto"/>
          <w:highlight w:val="none"/>
        </w:rPr>
      </w:pPr>
      <w:r>
        <w:rPr>
          <w:rFonts w:hint="eastAsia"/>
          <w:color w:val="auto"/>
          <w:highlight w:val="none"/>
        </w:rPr>
        <w:t>3.8对磋商过程提交的响应文件进行有效性、完整性和响应程度审查，通过审查的合格供应商不足3家的，采购人或者采购代理机构应当重新开展采购活动。</w:t>
      </w:r>
    </w:p>
    <w:p w14:paraId="5C86CCBD">
      <w:pPr>
        <w:spacing w:line="360" w:lineRule="auto"/>
        <w:ind w:firstLine="420" w:firstLineChars="200"/>
        <w:rPr>
          <w:color w:val="auto"/>
          <w:highlight w:val="none"/>
        </w:rPr>
      </w:pPr>
      <w:r>
        <w:rPr>
          <w:rFonts w:hint="eastAsia"/>
          <w:color w:val="auto"/>
          <w:highlight w:val="none"/>
        </w:rPr>
        <w:t>3.9本项目所有响应文件的首次报价及所有磋商报价均不公布。最后磋商结束后，磋商小组不得再与供应商进行任何形式的商谈。</w:t>
      </w:r>
    </w:p>
    <w:p w14:paraId="3A6943EE">
      <w:pPr>
        <w:spacing w:line="360" w:lineRule="auto"/>
        <w:ind w:firstLine="420" w:firstLineChars="200"/>
        <w:rPr>
          <w:color w:val="auto"/>
          <w:highlight w:val="none"/>
        </w:rPr>
      </w:pPr>
      <w:r>
        <w:rPr>
          <w:rFonts w:hint="eastAsia"/>
          <w:color w:val="auto"/>
          <w:highlight w:val="none"/>
        </w:rPr>
        <w:t>4.最后报价</w:t>
      </w:r>
    </w:p>
    <w:p w14:paraId="735FD00F">
      <w:pPr>
        <w:spacing w:line="360" w:lineRule="auto"/>
        <w:ind w:firstLine="420" w:firstLineChars="200"/>
        <w:rPr>
          <w:color w:val="auto"/>
          <w:highlight w:val="none"/>
        </w:rPr>
      </w:pPr>
      <w:r>
        <w:rPr>
          <w:rFonts w:hint="eastAsia"/>
          <w:color w:val="auto"/>
          <w:highlight w:val="none"/>
        </w:rPr>
        <w:t>4.1磋商文件能够详细列明采购标的的技术、服务要求的，磋商结束后，由磋商小组要求所有继续参加磋商的供应商在规定时间内在广西政府采购云平台（https://www.gcy.zfcg.gxzf.gov.cn/）提交最后报价，提交最后报价的供应商不得少于3家，除本章第4.3条外，否则必须重新采购。</w:t>
      </w:r>
    </w:p>
    <w:p w14:paraId="3DBDBE0B">
      <w:pPr>
        <w:spacing w:line="360" w:lineRule="auto"/>
        <w:ind w:firstLine="420" w:firstLineChars="200"/>
        <w:rPr>
          <w:color w:val="auto"/>
          <w:highlight w:val="none"/>
        </w:rPr>
      </w:pPr>
      <w:r>
        <w:rPr>
          <w:rFonts w:hint="eastAsia"/>
          <w:color w:val="auto"/>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https://www.gcy.zfcg.gxzf.gov.cn/）提交最后报价。</w:t>
      </w:r>
    </w:p>
    <w:p w14:paraId="333089BC">
      <w:pPr>
        <w:spacing w:line="360" w:lineRule="auto"/>
        <w:ind w:firstLine="420" w:firstLineChars="200"/>
        <w:rPr>
          <w:color w:val="auto"/>
          <w:highlight w:val="none"/>
        </w:rPr>
      </w:pPr>
      <w:r>
        <w:rPr>
          <w:rFonts w:hint="eastAsia"/>
          <w:color w:val="auto"/>
          <w:highlight w:val="none"/>
        </w:rPr>
        <w:t>①最后报价与首次报价相比无调整的：供应商提交的最后报价只须注明与首次报价相同。</w:t>
      </w:r>
    </w:p>
    <w:p w14:paraId="6820ADB0">
      <w:pPr>
        <w:spacing w:line="360" w:lineRule="auto"/>
        <w:ind w:firstLine="420" w:firstLineChars="200"/>
        <w:rPr>
          <w:color w:val="auto"/>
          <w:highlight w:val="none"/>
        </w:rPr>
      </w:pPr>
      <w:r>
        <w:rPr>
          <w:rFonts w:hint="eastAsia"/>
          <w:color w:val="auto"/>
          <w:highlight w:val="none"/>
        </w:rPr>
        <w:t>②最后报价与首次报价相比有调整的：供应商提交的最后报价必须包含已标价的工程量清单，即最后报价是工程量清单全部工作内容的价格体现，具体包括供应商部分（分部分项工程量清单费用、措施项目清单费用、规费、税金、其它项目）和采购人部分（暂列金、材料购置费）（如有）等完成本工程并经验收合格至达到质量保修期限所需的费用、合理利润及风险。如磋商文件或磋商程中明确供应商应提供技术服务及其它服务的（如检测费、验收发生的费用），相应费用也应包括在最后报价中。最后报价不允许采用汇总后优惠、打折的形式，否则其报价无效并作无效响应处理。供应商在报价时可只报总价，但必须将包含已标价工程量清单的最后报价在规定时间内在广西政府采购云平台（https://www.gcy.zfcg.gxzf.gov.cn/）提交，逾期视为放弃磋商资格、退出磋商。</w:t>
      </w:r>
    </w:p>
    <w:p w14:paraId="48B42236">
      <w:pPr>
        <w:spacing w:line="360" w:lineRule="auto"/>
        <w:ind w:firstLine="420" w:firstLineChars="200"/>
        <w:rPr>
          <w:color w:val="auto"/>
          <w:highlight w:val="none"/>
        </w:rPr>
      </w:pPr>
      <w:r>
        <w:rPr>
          <w:rFonts w:hint="eastAsia"/>
          <w:color w:val="auto"/>
          <w:highlight w:val="none"/>
        </w:rPr>
        <w:t>4.3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41915353">
      <w:pPr>
        <w:spacing w:line="360" w:lineRule="auto"/>
        <w:ind w:firstLine="420" w:firstLineChars="200"/>
        <w:rPr>
          <w:color w:val="auto"/>
          <w:highlight w:val="none"/>
        </w:rPr>
      </w:pPr>
      <w:r>
        <w:rPr>
          <w:rFonts w:hint="eastAsia"/>
          <w:color w:val="auto"/>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7F366B98">
      <w:pPr>
        <w:spacing w:line="360" w:lineRule="auto"/>
        <w:ind w:firstLine="420" w:firstLineChars="200"/>
        <w:rPr>
          <w:color w:val="auto"/>
          <w:highlight w:val="none"/>
        </w:rPr>
      </w:pPr>
      <w:r>
        <w:rPr>
          <w:rFonts w:hint="eastAsia"/>
          <w:color w:val="auto"/>
          <w:highlight w:val="none"/>
        </w:rPr>
        <w:t>4.5供应商未在规定时间内提交最后报价的，视同退出磋商。</w:t>
      </w:r>
    </w:p>
    <w:p w14:paraId="65CA9B41">
      <w:pPr>
        <w:spacing w:line="360" w:lineRule="auto"/>
        <w:ind w:firstLine="420" w:firstLineChars="200"/>
        <w:rPr>
          <w:color w:val="auto"/>
          <w:highlight w:val="none"/>
        </w:rPr>
      </w:pPr>
      <w:r>
        <w:rPr>
          <w:rFonts w:hint="eastAsia"/>
          <w:color w:val="auto"/>
          <w:highlight w:val="none"/>
        </w:rPr>
        <w:t>4.6磋商小组收齐某一分标最后报价后统一开启，磋商小组对最后报价进行有效性、完整性和响应程度的审查。</w:t>
      </w:r>
    </w:p>
    <w:p w14:paraId="28B30254">
      <w:pPr>
        <w:spacing w:line="360" w:lineRule="auto"/>
        <w:ind w:firstLine="420" w:firstLineChars="200"/>
        <w:rPr>
          <w:color w:val="auto"/>
          <w:highlight w:val="none"/>
        </w:rPr>
      </w:pPr>
      <w:r>
        <w:rPr>
          <w:rFonts w:hint="eastAsia"/>
          <w:color w:val="auto"/>
          <w:highlight w:val="none"/>
        </w:rPr>
        <w:t>4.7响应文件最后报价出现前后不一致的，按照本正文第25.2.4条的规定修正。</w:t>
      </w:r>
    </w:p>
    <w:p w14:paraId="766D11B3">
      <w:pPr>
        <w:spacing w:line="360" w:lineRule="auto"/>
        <w:ind w:firstLine="420" w:firstLineChars="200"/>
        <w:rPr>
          <w:color w:val="auto"/>
          <w:highlight w:val="none"/>
        </w:rPr>
      </w:pPr>
      <w:r>
        <w:rPr>
          <w:rFonts w:hint="eastAsia"/>
          <w:color w:val="auto"/>
          <w:highlight w:val="none"/>
        </w:rPr>
        <w:t>4.8修正后的报价出现下列情形的，按无效响应处理：</w:t>
      </w:r>
    </w:p>
    <w:p w14:paraId="514D0147">
      <w:pPr>
        <w:spacing w:line="360" w:lineRule="auto"/>
        <w:ind w:firstLine="420" w:firstLineChars="200"/>
        <w:rPr>
          <w:color w:val="auto"/>
          <w:highlight w:val="none"/>
        </w:rPr>
      </w:pPr>
      <w:r>
        <w:rPr>
          <w:rFonts w:hint="eastAsia"/>
          <w:color w:val="auto"/>
          <w:highlight w:val="none"/>
        </w:rPr>
        <w:t>（1）供应商不确认的；</w:t>
      </w:r>
    </w:p>
    <w:p w14:paraId="1236E75F">
      <w:pPr>
        <w:spacing w:line="360" w:lineRule="auto"/>
        <w:ind w:firstLine="420" w:firstLineChars="200"/>
        <w:rPr>
          <w:color w:val="auto"/>
          <w:highlight w:val="none"/>
        </w:rPr>
      </w:pPr>
      <w:r>
        <w:rPr>
          <w:rFonts w:hint="eastAsia"/>
          <w:color w:val="auto"/>
          <w:highlight w:val="none"/>
        </w:rPr>
        <w:t>（2）经供应商确认修正后的竞标报价（包含首次报价、最后报价）超过所竞标规定的采购预算金额或者最高限价的（如本项目公布了最高限价）；</w:t>
      </w:r>
    </w:p>
    <w:p w14:paraId="5F56F489">
      <w:pPr>
        <w:spacing w:line="360" w:lineRule="auto"/>
        <w:ind w:firstLine="420" w:firstLineChars="200"/>
        <w:rPr>
          <w:color w:val="auto"/>
          <w:highlight w:val="none"/>
        </w:rPr>
      </w:pPr>
      <w:r>
        <w:rPr>
          <w:rFonts w:hint="eastAsia"/>
          <w:color w:val="auto"/>
          <w:highlight w:val="none"/>
        </w:rPr>
        <w:t>（3）经供应商确认修正后的竞标报价（包含首次报价、最后报价）超过分项采购预算金额或者最高限价的（如本项目公布了最高限价）。</w:t>
      </w:r>
    </w:p>
    <w:p w14:paraId="25F0217C">
      <w:pPr>
        <w:spacing w:line="360" w:lineRule="auto"/>
        <w:ind w:firstLine="420" w:firstLineChars="200"/>
        <w:rPr>
          <w:color w:val="auto"/>
          <w:highlight w:val="none"/>
        </w:rPr>
      </w:pPr>
      <w:r>
        <w:rPr>
          <w:rFonts w:hint="eastAsia"/>
          <w:color w:val="auto"/>
          <w:highlight w:val="none"/>
        </w:rPr>
        <w:t>4.9经供应商确认修正后的最后报价作为评审及签订合同的依据。</w:t>
      </w:r>
    </w:p>
    <w:p w14:paraId="0841533D">
      <w:pPr>
        <w:spacing w:line="360" w:lineRule="auto"/>
        <w:ind w:firstLine="420" w:firstLineChars="200"/>
        <w:rPr>
          <w:color w:val="auto"/>
          <w:highlight w:val="none"/>
        </w:rPr>
      </w:pPr>
      <w:r>
        <w:rPr>
          <w:rFonts w:hint="eastAsia"/>
          <w:color w:val="auto"/>
          <w:highlight w:val="none"/>
        </w:rPr>
        <w:t>4.10最后报价结束后，磋商小组不得再与供应商进行任何形式的商谈。</w:t>
      </w:r>
    </w:p>
    <w:p w14:paraId="4D22FFAF">
      <w:pPr>
        <w:spacing w:line="360" w:lineRule="auto"/>
        <w:ind w:firstLine="420" w:firstLineChars="200"/>
        <w:rPr>
          <w:color w:val="auto"/>
          <w:highlight w:val="none"/>
        </w:rPr>
      </w:pPr>
      <w:r>
        <w:rPr>
          <w:rFonts w:hint="eastAsia"/>
          <w:color w:val="auto"/>
          <w:highlight w:val="none"/>
        </w:rPr>
        <w:t>5.比较与评价</w:t>
      </w:r>
    </w:p>
    <w:p w14:paraId="52B7C313">
      <w:pPr>
        <w:spacing w:line="360" w:lineRule="auto"/>
        <w:ind w:firstLine="420" w:firstLineChars="200"/>
        <w:rPr>
          <w:color w:val="auto"/>
          <w:highlight w:val="none"/>
        </w:rPr>
      </w:pPr>
      <w:r>
        <w:rPr>
          <w:rFonts w:hint="eastAsia"/>
          <w:color w:val="auto"/>
          <w:highlight w:val="none"/>
        </w:rPr>
        <w:t>5.1评审方法：综合评分法。</w:t>
      </w:r>
    </w:p>
    <w:p w14:paraId="016588B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磋商小组</w:t>
      </w:r>
      <w:r>
        <w:rPr>
          <w:rFonts w:hint="eastAsia" w:ascii="宋体" w:hAnsi="宋体"/>
          <w:color w:val="auto"/>
          <w:szCs w:val="21"/>
          <w:highlight w:val="none"/>
        </w:rPr>
        <w:t>按照</w:t>
      </w:r>
      <w:r>
        <w:rPr>
          <w:rFonts w:hint="eastAsia" w:ascii="宋体" w:hAnsi="宋体"/>
          <w:color w:val="auto"/>
          <w:szCs w:val="21"/>
          <w:highlight w:val="none"/>
          <w:lang w:eastAsia="zh-CN"/>
        </w:rPr>
        <w:t>采购</w:t>
      </w:r>
      <w:r>
        <w:rPr>
          <w:rFonts w:hint="eastAsia" w:ascii="宋体" w:hAnsi="宋体"/>
          <w:color w:val="auto"/>
          <w:szCs w:val="21"/>
          <w:highlight w:val="none"/>
        </w:rPr>
        <w:t>文件中规定的</w:t>
      </w:r>
      <w:r>
        <w:rPr>
          <w:rFonts w:hint="eastAsia" w:ascii="宋体" w:hAnsi="宋体"/>
          <w:color w:val="auto"/>
          <w:szCs w:val="21"/>
          <w:highlight w:val="none"/>
          <w:lang w:eastAsia="zh-CN"/>
        </w:rPr>
        <w:t>评审</w:t>
      </w:r>
      <w:r>
        <w:rPr>
          <w:rFonts w:hint="eastAsia" w:ascii="宋体" w:hAnsi="宋体"/>
          <w:color w:val="auto"/>
          <w:szCs w:val="21"/>
          <w:highlight w:val="none"/>
        </w:rPr>
        <w:t>方法及</w:t>
      </w:r>
      <w:r>
        <w:rPr>
          <w:rFonts w:hint="eastAsia" w:ascii="宋体" w:hAnsi="宋体"/>
          <w:color w:val="auto"/>
          <w:szCs w:val="21"/>
          <w:highlight w:val="none"/>
          <w:lang w:eastAsia="zh-CN"/>
        </w:rPr>
        <w:t>评审</w:t>
      </w:r>
      <w:r>
        <w:rPr>
          <w:rFonts w:hint="eastAsia" w:ascii="宋体" w:hAnsi="宋体"/>
          <w:color w:val="auto"/>
          <w:szCs w:val="21"/>
          <w:highlight w:val="none"/>
        </w:rPr>
        <w:t>标准，对</w:t>
      </w:r>
      <w:r>
        <w:rPr>
          <w:rFonts w:hint="eastAsia" w:ascii="宋体" w:hAnsi="宋体"/>
          <w:color w:val="auto"/>
          <w:szCs w:val="21"/>
          <w:highlight w:val="none"/>
          <w:lang w:eastAsia="zh-CN"/>
        </w:rPr>
        <w:t>资格及</w:t>
      </w:r>
      <w:r>
        <w:rPr>
          <w:rFonts w:hint="eastAsia" w:ascii="宋体" w:hAnsi="宋体"/>
          <w:color w:val="auto"/>
          <w:szCs w:val="21"/>
          <w:highlight w:val="none"/>
        </w:rPr>
        <w:t>符合性审查合格的</w:t>
      </w:r>
      <w:r>
        <w:rPr>
          <w:rFonts w:hint="eastAsia" w:ascii="宋体" w:hAnsi="宋体"/>
          <w:color w:val="auto"/>
          <w:szCs w:val="21"/>
          <w:highlight w:val="none"/>
          <w:lang w:eastAsia="zh-CN"/>
        </w:rPr>
        <w:t>响应</w:t>
      </w:r>
      <w:r>
        <w:rPr>
          <w:rFonts w:hint="eastAsia" w:ascii="宋体" w:hAnsi="宋体"/>
          <w:color w:val="auto"/>
          <w:szCs w:val="21"/>
          <w:highlight w:val="none"/>
        </w:rPr>
        <w:t>文件进行商务和技术评估，综合比较与评价。</w:t>
      </w:r>
    </w:p>
    <w:p w14:paraId="15FDE36D">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磋商小组</w:t>
      </w:r>
      <w:r>
        <w:rPr>
          <w:rFonts w:hint="eastAsia" w:ascii="宋体" w:hAnsi="宋体"/>
          <w:color w:val="auto"/>
          <w:szCs w:val="21"/>
          <w:highlight w:val="none"/>
        </w:rPr>
        <w:t>独立对每个</w:t>
      </w:r>
      <w:r>
        <w:rPr>
          <w:rFonts w:hint="eastAsia" w:ascii="宋体" w:hAnsi="宋体"/>
          <w:color w:val="auto"/>
          <w:szCs w:val="21"/>
          <w:highlight w:val="none"/>
          <w:lang w:eastAsia="zh-CN"/>
        </w:rPr>
        <w:t>供应商</w:t>
      </w:r>
      <w:r>
        <w:rPr>
          <w:rFonts w:hint="eastAsia" w:ascii="宋体" w:hAnsi="宋体"/>
          <w:color w:val="auto"/>
          <w:szCs w:val="21"/>
          <w:highlight w:val="none"/>
        </w:rPr>
        <w:t>的</w:t>
      </w:r>
      <w:r>
        <w:rPr>
          <w:rFonts w:hint="eastAsia" w:ascii="宋体" w:hAnsi="宋体"/>
          <w:color w:val="auto"/>
          <w:szCs w:val="21"/>
          <w:highlight w:val="none"/>
          <w:lang w:eastAsia="zh-CN"/>
        </w:rPr>
        <w:t>响应</w:t>
      </w:r>
      <w:r>
        <w:rPr>
          <w:rFonts w:hint="eastAsia" w:ascii="宋体" w:hAnsi="宋体"/>
          <w:color w:val="auto"/>
          <w:szCs w:val="21"/>
          <w:highlight w:val="none"/>
        </w:rPr>
        <w:t>文件进行评价，并汇总每个</w:t>
      </w:r>
      <w:r>
        <w:rPr>
          <w:rFonts w:hint="eastAsia" w:ascii="宋体" w:hAnsi="宋体"/>
          <w:color w:val="auto"/>
          <w:szCs w:val="21"/>
          <w:highlight w:val="none"/>
          <w:lang w:eastAsia="zh-CN"/>
        </w:rPr>
        <w:t>供应商</w:t>
      </w:r>
      <w:r>
        <w:rPr>
          <w:rFonts w:hint="eastAsia" w:ascii="宋体" w:hAnsi="宋体"/>
          <w:color w:val="auto"/>
          <w:szCs w:val="21"/>
          <w:highlight w:val="none"/>
        </w:rPr>
        <w:t>的得分。</w:t>
      </w:r>
    </w:p>
    <w:p w14:paraId="6B08E3C2">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磋商小组</w:t>
      </w:r>
      <w:r>
        <w:rPr>
          <w:rFonts w:hint="eastAsia" w:ascii="宋体" w:hAnsi="宋体"/>
          <w:color w:val="auto"/>
          <w:szCs w:val="21"/>
          <w:highlight w:val="none"/>
        </w:rPr>
        <w:t>在评审中发出现下列情形之一的，应当启动异常低价投标审查程序：</w:t>
      </w:r>
    </w:p>
    <w:p w14:paraId="008F0A1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①</w:t>
      </w:r>
      <w:r>
        <w:rPr>
          <w:rFonts w:hint="eastAsia" w:ascii="宋体" w:hAnsi="宋体"/>
          <w:color w:val="auto"/>
          <w:szCs w:val="21"/>
          <w:highlight w:val="none"/>
          <w:lang w:eastAsia="zh-CN"/>
        </w:rPr>
        <w:t>磋商</w:t>
      </w:r>
      <w:r>
        <w:rPr>
          <w:rFonts w:hint="eastAsia" w:ascii="宋体" w:hAnsi="宋体"/>
          <w:color w:val="auto"/>
          <w:szCs w:val="21"/>
          <w:highlight w:val="none"/>
        </w:rPr>
        <w:t>报价低于全部通过</w:t>
      </w:r>
      <w:r>
        <w:rPr>
          <w:rFonts w:hint="eastAsia" w:ascii="宋体" w:hAnsi="宋体"/>
          <w:color w:val="auto"/>
          <w:szCs w:val="21"/>
          <w:highlight w:val="none"/>
          <w:lang w:eastAsia="zh-CN"/>
        </w:rPr>
        <w:t>资格及</w:t>
      </w:r>
      <w:r>
        <w:rPr>
          <w:rFonts w:hint="eastAsia" w:ascii="宋体" w:hAnsi="宋体"/>
          <w:color w:val="auto"/>
          <w:szCs w:val="21"/>
          <w:highlight w:val="none"/>
        </w:rPr>
        <w:t>符合性审查供应商</w:t>
      </w:r>
      <w:r>
        <w:rPr>
          <w:rFonts w:hint="eastAsia" w:ascii="宋体" w:hAnsi="宋体"/>
          <w:color w:val="auto"/>
          <w:szCs w:val="21"/>
          <w:highlight w:val="none"/>
          <w:lang w:eastAsia="zh-CN"/>
        </w:rPr>
        <w:t>磋商</w:t>
      </w:r>
      <w:r>
        <w:rPr>
          <w:rFonts w:hint="eastAsia" w:ascii="宋体" w:hAnsi="宋体"/>
          <w:color w:val="auto"/>
          <w:szCs w:val="21"/>
          <w:highlight w:val="none"/>
        </w:rPr>
        <w:t>报价平均值</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w:t>
      </w:r>
      <w:r>
        <w:rPr>
          <w:rFonts w:hint="eastAsia" w:ascii="宋体" w:hAnsi="宋体"/>
          <w:color w:val="auto"/>
          <w:szCs w:val="21"/>
          <w:highlight w:val="none"/>
          <w:lang w:eastAsia="zh-CN"/>
        </w:rPr>
        <w:t>磋商</w:t>
      </w:r>
      <w:r>
        <w:rPr>
          <w:rFonts w:hint="eastAsia" w:ascii="宋体" w:hAnsi="宋体"/>
          <w:color w:val="auto"/>
          <w:szCs w:val="21"/>
          <w:highlight w:val="none"/>
        </w:rPr>
        <w:t>报价＜全部通过</w:t>
      </w:r>
      <w:r>
        <w:rPr>
          <w:rFonts w:hint="eastAsia" w:ascii="宋体" w:hAnsi="宋体"/>
          <w:color w:val="auto"/>
          <w:szCs w:val="21"/>
          <w:highlight w:val="none"/>
          <w:lang w:eastAsia="zh-CN"/>
        </w:rPr>
        <w:t>资格及</w:t>
      </w:r>
      <w:r>
        <w:rPr>
          <w:rFonts w:hint="eastAsia" w:ascii="宋体" w:hAnsi="宋体"/>
          <w:color w:val="auto"/>
          <w:szCs w:val="21"/>
          <w:highlight w:val="none"/>
        </w:rPr>
        <w:t>符合性审查供应商</w:t>
      </w:r>
      <w:r>
        <w:rPr>
          <w:rFonts w:hint="eastAsia" w:ascii="宋体" w:hAnsi="宋体"/>
          <w:color w:val="auto"/>
          <w:szCs w:val="21"/>
          <w:highlight w:val="none"/>
          <w:lang w:eastAsia="zh-CN"/>
        </w:rPr>
        <w:t>磋商</w:t>
      </w:r>
      <w:r>
        <w:rPr>
          <w:rFonts w:hint="eastAsia" w:ascii="宋体" w:hAnsi="宋体"/>
          <w:color w:val="auto"/>
          <w:szCs w:val="21"/>
          <w:highlight w:val="none"/>
        </w:rPr>
        <w:t>报价平均值×</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p w14:paraId="3666EE9F">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②</w:t>
      </w:r>
      <w:r>
        <w:rPr>
          <w:rFonts w:hint="eastAsia" w:ascii="宋体" w:hAnsi="宋体"/>
          <w:color w:val="auto"/>
          <w:szCs w:val="21"/>
          <w:highlight w:val="none"/>
          <w:lang w:eastAsia="zh-CN"/>
        </w:rPr>
        <w:t>磋商</w:t>
      </w:r>
      <w:r>
        <w:rPr>
          <w:rFonts w:hint="eastAsia" w:ascii="宋体" w:hAnsi="宋体"/>
          <w:color w:val="auto"/>
          <w:szCs w:val="21"/>
          <w:highlight w:val="none"/>
        </w:rPr>
        <w:t>报价低于通过符合性审查的次低报价供应商</w:t>
      </w:r>
      <w:r>
        <w:rPr>
          <w:rFonts w:hint="eastAsia" w:ascii="宋体" w:hAnsi="宋体"/>
          <w:color w:val="auto"/>
          <w:szCs w:val="21"/>
          <w:highlight w:val="none"/>
          <w:lang w:eastAsia="zh-CN"/>
        </w:rPr>
        <w:t>磋商</w:t>
      </w:r>
      <w:r>
        <w:rPr>
          <w:rFonts w:hint="eastAsia" w:ascii="宋体" w:hAnsi="宋体"/>
          <w:color w:val="auto"/>
          <w:szCs w:val="21"/>
          <w:highlight w:val="none"/>
        </w:rPr>
        <w:t>报价</w:t>
      </w:r>
      <w:r>
        <w:rPr>
          <w:rFonts w:ascii="宋体" w:hAnsi="宋体"/>
          <w:color w:val="auto"/>
          <w:szCs w:val="21"/>
          <w:highlight w:val="none"/>
          <w:u w:val="single"/>
        </w:rPr>
        <w:t xml:space="preserve"> </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w:t>
      </w:r>
      <w:r>
        <w:rPr>
          <w:rFonts w:hint="eastAsia" w:ascii="宋体" w:hAnsi="宋体"/>
          <w:color w:val="auto"/>
          <w:szCs w:val="21"/>
          <w:highlight w:val="none"/>
          <w:lang w:eastAsia="zh-CN"/>
        </w:rPr>
        <w:t>磋商</w:t>
      </w:r>
      <w:r>
        <w:rPr>
          <w:rFonts w:hint="eastAsia" w:ascii="宋体" w:hAnsi="宋体"/>
          <w:color w:val="auto"/>
          <w:szCs w:val="21"/>
          <w:highlight w:val="none"/>
        </w:rPr>
        <w:t>报价＜通过</w:t>
      </w:r>
      <w:r>
        <w:rPr>
          <w:rFonts w:hint="eastAsia" w:ascii="宋体" w:hAnsi="宋体"/>
          <w:color w:val="auto"/>
          <w:szCs w:val="21"/>
          <w:highlight w:val="none"/>
          <w:lang w:eastAsia="zh-CN"/>
        </w:rPr>
        <w:t>资格及</w:t>
      </w:r>
      <w:r>
        <w:rPr>
          <w:rFonts w:hint="eastAsia" w:ascii="宋体" w:hAnsi="宋体"/>
          <w:color w:val="auto"/>
          <w:szCs w:val="21"/>
          <w:highlight w:val="none"/>
        </w:rPr>
        <w:t>符合性审查的次低报价供应商</w:t>
      </w:r>
      <w:r>
        <w:rPr>
          <w:rFonts w:hint="eastAsia" w:ascii="宋体" w:hAnsi="宋体"/>
          <w:color w:val="auto"/>
          <w:szCs w:val="21"/>
          <w:highlight w:val="none"/>
          <w:lang w:eastAsia="zh-CN"/>
        </w:rPr>
        <w:t>磋商</w:t>
      </w:r>
      <w:r>
        <w:rPr>
          <w:rFonts w:hint="eastAsia" w:ascii="宋体" w:hAnsi="宋体"/>
          <w:color w:val="auto"/>
          <w:szCs w:val="21"/>
          <w:highlight w:val="none"/>
        </w:rPr>
        <w:t>报价×</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 xml:space="preserve">； </w:t>
      </w:r>
    </w:p>
    <w:p w14:paraId="718B45C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③</w:t>
      </w:r>
      <w:r>
        <w:rPr>
          <w:rFonts w:hint="eastAsia" w:ascii="宋体" w:hAnsi="宋体"/>
          <w:color w:val="auto"/>
          <w:szCs w:val="21"/>
          <w:highlight w:val="none"/>
          <w:lang w:eastAsia="zh-CN"/>
        </w:rPr>
        <w:t>磋商</w:t>
      </w:r>
      <w:r>
        <w:rPr>
          <w:rFonts w:hint="eastAsia" w:ascii="宋体" w:hAnsi="宋体"/>
          <w:color w:val="auto"/>
          <w:szCs w:val="21"/>
          <w:highlight w:val="none"/>
        </w:rPr>
        <w:t>报价低于采购项目最高限价</w:t>
      </w:r>
      <w:r>
        <w:rPr>
          <w:rFonts w:hint="eastAsia" w:ascii="宋体" w:hAnsi="宋体"/>
          <w:color w:val="auto"/>
          <w:szCs w:val="21"/>
          <w:highlight w:val="none"/>
          <w:u w:val="single"/>
        </w:rPr>
        <w:t>65%</w:t>
      </w:r>
      <w:r>
        <w:rPr>
          <w:rFonts w:ascii="宋体" w:hAnsi="宋体"/>
          <w:color w:val="auto"/>
          <w:szCs w:val="21"/>
          <w:highlight w:val="none"/>
          <w:u w:val="single"/>
        </w:rPr>
        <w:t xml:space="preserve"> </w:t>
      </w:r>
      <w:r>
        <w:rPr>
          <w:rFonts w:hint="eastAsia" w:ascii="宋体" w:hAnsi="宋体"/>
          <w:color w:val="auto"/>
          <w:szCs w:val="21"/>
          <w:highlight w:val="none"/>
        </w:rPr>
        <w:t>的，即</w:t>
      </w:r>
      <w:r>
        <w:rPr>
          <w:rFonts w:hint="eastAsia" w:ascii="宋体" w:hAnsi="宋体"/>
          <w:color w:val="auto"/>
          <w:szCs w:val="21"/>
          <w:highlight w:val="none"/>
          <w:lang w:eastAsia="zh-CN"/>
        </w:rPr>
        <w:t>磋商</w:t>
      </w:r>
      <w:r>
        <w:rPr>
          <w:rFonts w:hint="eastAsia" w:ascii="宋体" w:hAnsi="宋体"/>
          <w:color w:val="auto"/>
          <w:szCs w:val="21"/>
          <w:highlight w:val="none"/>
        </w:rPr>
        <w:t>报价＜采购项目最高限价×</w:t>
      </w:r>
      <w:r>
        <w:rPr>
          <w:rFonts w:hint="eastAsia" w:ascii="宋体" w:hAnsi="宋体"/>
          <w:color w:val="auto"/>
          <w:szCs w:val="21"/>
          <w:highlight w:val="none"/>
          <w:u w:val="single"/>
        </w:rPr>
        <w:t>65%</w:t>
      </w:r>
      <w:r>
        <w:rPr>
          <w:rFonts w:hint="eastAsia" w:ascii="宋体" w:hAnsi="宋体"/>
          <w:color w:val="auto"/>
          <w:szCs w:val="21"/>
          <w:highlight w:val="none"/>
        </w:rPr>
        <w:t xml:space="preserve">； </w:t>
      </w:r>
    </w:p>
    <w:p w14:paraId="1FD6CF0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④</w:t>
      </w:r>
      <w:r>
        <w:rPr>
          <w:rFonts w:hint="eastAsia" w:ascii="宋体" w:hAnsi="宋体"/>
          <w:color w:val="auto"/>
          <w:szCs w:val="21"/>
          <w:highlight w:val="none"/>
          <w:lang w:eastAsia="zh-CN"/>
        </w:rPr>
        <w:t>磋商小组</w:t>
      </w:r>
      <w:r>
        <w:rPr>
          <w:rFonts w:hint="eastAsia" w:ascii="宋体" w:hAnsi="宋体"/>
          <w:color w:val="auto"/>
          <w:szCs w:val="21"/>
          <w:highlight w:val="none"/>
        </w:rPr>
        <w:t>基于专业判断，认为供应商报价过低，有可能影响产品质量或者不能诚信履约的其他情形。</w:t>
      </w:r>
    </w:p>
    <w:p w14:paraId="60C2933C">
      <w:pPr>
        <w:snapToGrid w:val="0"/>
        <w:spacing w:line="360" w:lineRule="auto"/>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olor w:val="auto"/>
          <w:szCs w:val="21"/>
          <w:highlight w:val="none"/>
          <w:lang w:eastAsia="zh-CN"/>
        </w:rPr>
        <w:t>磋商小组</w:t>
      </w:r>
      <w:r>
        <w:rPr>
          <w:rFonts w:hint="eastAsia" w:ascii="宋体" w:hAnsi="宋体"/>
          <w:color w:val="auto"/>
          <w:szCs w:val="21"/>
          <w:highlight w:val="none"/>
        </w:rPr>
        <w:t>启动异常低价投标审查后，属于前述第1项至第4项情形的，应当要求相关供应商在评审现场合理的时间内对</w:t>
      </w:r>
      <w:r>
        <w:rPr>
          <w:rFonts w:hint="eastAsia" w:ascii="宋体" w:hAnsi="宋体"/>
          <w:color w:val="auto"/>
          <w:szCs w:val="21"/>
          <w:highlight w:val="none"/>
          <w:lang w:eastAsia="zh-CN"/>
        </w:rPr>
        <w:t>磋商</w:t>
      </w:r>
      <w:r>
        <w:rPr>
          <w:rFonts w:hint="eastAsia" w:ascii="宋体" w:hAnsi="宋体"/>
          <w:color w:val="auto"/>
          <w:szCs w:val="21"/>
          <w:highlight w:val="none"/>
        </w:rPr>
        <w:t>价格作出解释，提供项目具体成本测算等与报价合理性相关的书面说明及必要的证明材料，包括但不限于原材料成本、人工成本、制造费用等，给予相关供应商的合理时间一般不少于30分钟。其中，属于第③项情形，供应商已随</w:t>
      </w:r>
      <w:r>
        <w:rPr>
          <w:rFonts w:hint="eastAsia" w:ascii="宋体" w:hAnsi="宋体"/>
          <w:color w:val="auto"/>
          <w:szCs w:val="21"/>
          <w:highlight w:val="none"/>
          <w:lang w:eastAsia="zh-CN"/>
        </w:rPr>
        <w:t>响应</w:t>
      </w:r>
      <w:r>
        <w:rPr>
          <w:rFonts w:hint="eastAsia" w:ascii="宋体" w:hAnsi="宋体"/>
          <w:color w:val="auto"/>
          <w:szCs w:val="21"/>
          <w:highlight w:val="none"/>
        </w:rPr>
        <w:t>文件一并提交相关书面说明及必要的证明材料的，可不再重复提交。</w:t>
      </w:r>
    </w:p>
    <w:p w14:paraId="1E41102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eastAsia="zh-CN"/>
        </w:rPr>
        <w:t>磋商小组</w:t>
      </w:r>
      <w:r>
        <w:rPr>
          <w:rFonts w:hint="eastAsia" w:ascii="宋体" w:hAnsi="宋体"/>
          <w:color w:val="auto"/>
          <w:szCs w:val="21"/>
          <w:highlight w:val="none"/>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供应商不能提供书面说明、证明材料，或者提供的书面说明、证明材料不能证明其报价合理性的，</w:t>
      </w:r>
      <w:r>
        <w:rPr>
          <w:rFonts w:hint="eastAsia" w:ascii="宋体" w:hAnsi="宋体"/>
          <w:b/>
          <w:color w:val="auto"/>
          <w:szCs w:val="21"/>
          <w:highlight w:val="none"/>
          <w:lang w:eastAsia="zh-CN"/>
        </w:rPr>
        <w:t>磋商小组</w:t>
      </w:r>
      <w:r>
        <w:rPr>
          <w:rFonts w:hint="eastAsia" w:ascii="宋体" w:hAnsi="宋体"/>
          <w:b/>
          <w:color w:val="auto"/>
          <w:szCs w:val="21"/>
          <w:highlight w:val="none"/>
        </w:rPr>
        <w:t>应当将其作为无效</w:t>
      </w:r>
      <w:r>
        <w:rPr>
          <w:rFonts w:hint="eastAsia" w:ascii="宋体" w:hAnsi="宋体"/>
          <w:b/>
          <w:color w:val="auto"/>
          <w:szCs w:val="21"/>
          <w:highlight w:val="none"/>
          <w:lang w:eastAsia="zh-CN"/>
        </w:rPr>
        <w:t>竞标</w:t>
      </w:r>
      <w:r>
        <w:rPr>
          <w:rFonts w:hint="eastAsia" w:ascii="宋体" w:hAnsi="宋体"/>
          <w:b/>
          <w:color w:val="auto"/>
          <w:szCs w:val="21"/>
          <w:highlight w:val="none"/>
        </w:rPr>
        <w:t>处理。</w:t>
      </w:r>
    </w:p>
    <w:p w14:paraId="6EC39C52">
      <w:pPr>
        <w:spacing w:line="360" w:lineRule="auto"/>
        <w:ind w:firstLine="420" w:firstLineChars="200"/>
        <w:rPr>
          <w:color w:val="auto"/>
          <w:highlight w:val="none"/>
        </w:rPr>
      </w:pPr>
      <w:r>
        <w:rPr>
          <w:rFonts w:hint="eastAsia"/>
          <w:color w:val="auto"/>
          <w:highlight w:val="none"/>
        </w:rPr>
        <w:t>5.2经磋商确定最终采购需求和提交最后报价的供应商后，由磋商小组采用综合评分法对提交最后报价的供应商的响应文件和最后报价进行综合评分。</w:t>
      </w:r>
    </w:p>
    <w:p w14:paraId="6150EF9F">
      <w:pPr>
        <w:spacing w:line="360" w:lineRule="auto"/>
        <w:ind w:firstLine="420" w:firstLineChars="200"/>
        <w:rPr>
          <w:color w:val="auto"/>
          <w:highlight w:val="none"/>
        </w:rPr>
      </w:pPr>
      <w:r>
        <w:rPr>
          <w:rFonts w:hint="eastAsia"/>
          <w:color w:val="auto"/>
          <w:highlight w:val="none"/>
        </w:rPr>
        <w:t>5.3评审时，磋商小组各成员应当独立对每个有效响应的文件进行评价、打分，然后汇总每个供应商每项评分因素的得分。</w:t>
      </w:r>
    </w:p>
    <w:p w14:paraId="79058E16">
      <w:pPr>
        <w:spacing w:line="360" w:lineRule="auto"/>
        <w:ind w:firstLine="420" w:firstLineChars="200"/>
        <w:rPr>
          <w:color w:val="auto"/>
          <w:highlight w:val="none"/>
        </w:rPr>
      </w:pPr>
      <w:r>
        <w:rPr>
          <w:rFonts w:hint="eastAsia"/>
          <w:color w:val="auto"/>
          <w:highlight w:val="none"/>
        </w:rPr>
        <w:t>（1）磋商小组按照磋商文件中规定的评审标准计算各供应商的报价得分。项目评审过程中，不得去掉最后报价中的最高报价和最低报价。</w:t>
      </w:r>
    </w:p>
    <w:p w14:paraId="6528CE56">
      <w:pPr>
        <w:spacing w:line="360" w:lineRule="auto"/>
        <w:ind w:firstLine="420" w:firstLineChars="200"/>
        <w:rPr>
          <w:color w:val="auto"/>
          <w:highlight w:val="none"/>
        </w:rPr>
      </w:pPr>
      <w:r>
        <w:rPr>
          <w:rFonts w:hint="eastAsia"/>
          <w:color w:val="auto"/>
          <w:highlight w:val="none"/>
        </w:rPr>
        <w:t>（2）各供应商的得分为磋商小组所有成员的有效评分的算术平均数。</w:t>
      </w:r>
    </w:p>
    <w:p w14:paraId="6980AC41">
      <w:pPr>
        <w:spacing w:line="360" w:lineRule="auto"/>
        <w:ind w:firstLine="420" w:firstLineChars="200"/>
        <w:rPr>
          <w:color w:val="auto"/>
          <w:highlight w:val="none"/>
        </w:rPr>
      </w:pPr>
      <w:r>
        <w:rPr>
          <w:rFonts w:hint="eastAsia"/>
          <w:color w:val="auto"/>
          <w:highlight w:val="none"/>
        </w:rPr>
        <w:t>5.4评审价为供应商的最后报价进行政策性扣除后的价格，评审价只是作为评审时使用。最终成交供应商的成交金额等于最后报价（如有修正，以确认修正后的最后报价为准）。</w:t>
      </w:r>
    </w:p>
    <w:p w14:paraId="085D32DA">
      <w:pPr>
        <w:spacing w:line="360" w:lineRule="auto"/>
        <w:ind w:firstLine="420" w:firstLineChars="200"/>
        <w:rPr>
          <w:color w:val="auto"/>
          <w:highlight w:val="none"/>
        </w:rPr>
      </w:pPr>
      <w:r>
        <w:rPr>
          <w:rFonts w:hint="eastAsia"/>
          <w:color w:val="auto"/>
          <w:highlight w:val="none"/>
        </w:rPr>
        <w:t>5.5由磋商小组根据综合评分情况，按照评审得分由高到低顺序推荐3名以上成交候选供应商，并编写评审报告。符合本章第4.3条情形的，可以推荐2家成交候选供应商。评审得分相同的，按照最后报价由低到高的顺序推荐。评审得分且最后报价相同的，按照技术指标优劣顺序推荐。</w:t>
      </w:r>
    </w:p>
    <w:p w14:paraId="7A74849F">
      <w:pPr>
        <w:spacing w:line="360" w:lineRule="auto"/>
        <w:ind w:firstLine="420" w:firstLineChars="200"/>
        <w:rPr>
          <w:color w:val="auto"/>
          <w:highlight w:val="none"/>
        </w:rPr>
      </w:pPr>
      <w:r>
        <w:rPr>
          <w:rFonts w:hint="eastAsia"/>
          <w:color w:val="auto"/>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10C723">
      <w:pPr>
        <w:spacing w:line="360" w:lineRule="auto"/>
        <w:rPr>
          <w:b/>
          <w:bCs/>
          <w:color w:val="auto"/>
          <w:highlight w:val="none"/>
        </w:rPr>
      </w:pPr>
      <w:r>
        <w:rPr>
          <w:rFonts w:hint="eastAsia"/>
          <w:b/>
          <w:bCs/>
          <w:color w:val="auto"/>
          <w:highlight w:val="none"/>
        </w:rPr>
        <w:t>二、评定标准（综合评分法）</w:t>
      </w:r>
    </w:p>
    <w:p w14:paraId="15B481D4">
      <w:pPr>
        <w:spacing w:line="360" w:lineRule="auto"/>
        <w:ind w:firstLine="420" w:firstLineChars="200"/>
        <w:rPr>
          <w:color w:val="auto"/>
          <w:highlight w:val="none"/>
        </w:rPr>
      </w:pPr>
      <w:r>
        <w:rPr>
          <w:rFonts w:hint="eastAsia"/>
          <w:color w:val="auto"/>
          <w:highlight w:val="none"/>
        </w:rPr>
        <w:t>对进入详评的，磋商小组将以竞争性磋商文件、响应文件为评定依据，采用百分制综合评分法；计分办法（按四舍五入取至百分位）。</w:t>
      </w:r>
    </w:p>
    <w:tbl>
      <w:tblPr>
        <w:tblStyle w:val="31"/>
        <w:tblW w:w="9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958"/>
        <w:gridCol w:w="1115"/>
        <w:gridCol w:w="5935"/>
        <w:gridCol w:w="807"/>
      </w:tblGrid>
      <w:tr w14:paraId="685D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48E55C03">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序号</w:t>
            </w:r>
          </w:p>
        </w:tc>
        <w:tc>
          <w:tcPr>
            <w:tcW w:w="2073" w:type="dxa"/>
            <w:gridSpan w:val="2"/>
            <w:vAlign w:val="center"/>
          </w:tcPr>
          <w:p w14:paraId="2207A932">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评审因素</w:t>
            </w:r>
          </w:p>
        </w:tc>
        <w:tc>
          <w:tcPr>
            <w:tcW w:w="5935" w:type="dxa"/>
            <w:vAlign w:val="center"/>
          </w:tcPr>
          <w:p w14:paraId="1AF2AF4B">
            <w:pPr>
              <w:snapToGrid w:val="0"/>
              <w:spacing w:line="360" w:lineRule="auto"/>
              <w:jc w:val="center"/>
              <w:rPr>
                <w:rFonts w:hint="eastAsia" w:ascii="宋体" w:hAnsi="宋体" w:cs="宋体"/>
                <w:color w:val="auto"/>
                <w:szCs w:val="21"/>
                <w:highlight w:val="none"/>
              </w:rPr>
            </w:pPr>
            <w:r>
              <w:rPr>
                <w:rFonts w:hint="eastAsia" w:ascii="宋体" w:hAnsi="宋体" w:cs="Tahoma"/>
                <w:b/>
                <w:bCs/>
                <w:color w:val="auto"/>
                <w:kern w:val="0"/>
                <w:szCs w:val="21"/>
                <w:highlight w:val="none"/>
              </w:rPr>
              <w:t>评审因素具体内容</w:t>
            </w:r>
          </w:p>
        </w:tc>
        <w:tc>
          <w:tcPr>
            <w:tcW w:w="807" w:type="dxa"/>
            <w:vAlign w:val="center"/>
          </w:tcPr>
          <w:p w14:paraId="6B3B98B3">
            <w:pPr>
              <w:snapToGrid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备注</w:t>
            </w:r>
          </w:p>
        </w:tc>
      </w:tr>
      <w:tr w14:paraId="646A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Align w:val="center"/>
          </w:tcPr>
          <w:p w14:paraId="78D95FA9">
            <w:pPr>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58" w:type="dxa"/>
            <w:vAlign w:val="center"/>
          </w:tcPr>
          <w:p w14:paraId="4637CEBB">
            <w:pPr>
              <w:snapToGrid w:val="0"/>
              <w:spacing w:line="360"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报价</w:t>
            </w:r>
          </w:p>
        </w:tc>
        <w:tc>
          <w:tcPr>
            <w:tcW w:w="1115" w:type="dxa"/>
            <w:vAlign w:val="center"/>
          </w:tcPr>
          <w:p w14:paraId="6602AAF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价格分（满分</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分）</w:t>
            </w:r>
          </w:p>
        </w:tc>
        <w:tc>
          <w:tcPr>
            <w:tcW w:w="5935" w:type="dxa"/>
            <w:vAlign w:val="center"/>
          </w:tcPr>
          <w:p w14:paraId="0F66513A">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（1）本项目专门面向中小企业采购（供应商应为中小微企业或监狱企业或残疾人福利性单位)，不再执行价格评审优惠的扶持政策。</w:t>
            </w:r>
          </w:p>
          <w:p w14:paraId="6346E314">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（2）以进入比较与评价环节的最后报价的最低价格为基准价，基准价得分为20分。</w:t>
            </w:r>
          </w:p>
          <w:p w14:paraId="31825B4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（3）价格分计算公式：报价得分=（基准价/最后报价）×20分</w:t>
            </w:r>
          </w:p>
        </w:tc>
        <w:tc>
          <w:tcPr>
            <w:tcW w:w="807" w:type="dxa"/>
            <w:vAlign w:val="center"/>
          </w:tcPr>
          <w:p w14:paraId="70F43A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3E3D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Align w:val="center"/>
          </w:tcPr>
          <w:p w14:paraId="51F9927D">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2</w:t>
            </w:r>
          </w:p>
        </w:tc>
        <w:tc>
          <w:tcPr>
            <w:tcW w:w="958" w:type="dxa"/>
            <w:vAlign w:val="center"/>
          </w:tcPr>
          <w:p w14:paraId="6E75AB76">
            <w:pPr>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技术</w:t>
            </w:r>
          </w:p>
        </w:tc>
        <w:tc>
          <w:tcPr>
            <w:tcW w:w="7050" w:type="dxa"/>
            <w:gridSpan w:val="2"/>
            <w:vAlign w:val="center"/>
          </w:tcPr>
          <w:p w14:paraId="333FB6D8">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满分</w:t>
            </w:r>
            <w:r>
              <w:rPr>
                <w:rFonts w:hint="eastAsia" w:ascii="宋体" w:hAnsi="宋体" w:cs="宋体"/>
                <w:color w:val="auto"/>
                <w:szCs w:val="21"/>
                <w:highlight w:val="none"/>
                <w:lang w:val="en-US" w:eastAsia="zh-CN"/>
              </w:rPr>
              <w:t>74分</w:t>
            </w:r>
          </w:p>
        </w:tc>
        <w:tc>
          <w:tcPr>
            <w:tcW w:w="807" w:type="dxa"/>
            <w:vAlign w:val="center"/>
          </w:tcPr>
          <w:p w14:paraId="2E564261">
            <w:pPr>
              <w:spacing w:line="360" w:lineRule="auto"/>
              <w:jc w:val="center"/>
              <w:rPr>
                <w:rFonts w:hint="eastAsia" w:ascii="宋体" w:hAnsi="宋体" w:cs="宋体"/>
                <w:b/>
                <w:bCs/>
                <w:color w:val="auto"/>
                <w:szCs w:val="21"/>
                <w:highlight w:val="none"/>
              </w:rPr>
            </w:pPr>
          </w:p>
        </w:tc>
      </w:tr>
      <w:tr w14:paraId="33AD3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19" w:type="dxa"/>
            <w:vMerge w:val="restart"/>
            <w:vAlign w:val="center"/>
          </w:tcPr>
          <w:p w14:paraId="501D9CF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958" w:type="dxa"/>
            <w:vMerge w:val="restart"/>
            <w:vAlign w:val="center"/>
          </w:tcPr>
          <w:p w14:paraId="1B1C4D3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施工组织设计</w:t>
            </w:r>
          </w:p>
        </w:tc>
        <w:tc>
          <w:tcPr>
            <w:tcW w:w="1115" w:type="dxa"/>
            <w:vAlign w:val="center"/>
          </w:tcPr>
          <w:p w14:paraId="27CAC60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（1）总体概述（满分10分）</w:t>
            </w:r>
          </w:p>
        </w:tc>
        <w:tc>
          <w:tcPr>
            <w:tcW w:w="5935" w:type="dxa"/>
            <w:vAlign w:val="center"/>
          </w:tcPr>
          <w:p w14:paraId="291C5B0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由磋商小组在打分前根据供应商提供的拟投入施工机械设备情况，在相应档次内独立打分。</w:t>
            </w:r>
          </w:p>
          <w:p w14:paraId="3FDCFC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一档（0分）：对项目认识不足，表达不清晰，措施不具体；施工段划分不合理。</w:t>
            </w:r>
          </w:p>
          <w:p w14:paraId="1BDDF55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二档（3分）：对项目总体有认识，有一定的措施但部分不具体；施工段划分较合理，符合规范要求。</w:t>
            </w:r>
          </w:p>
          <w:p w14:paraId="2D19EDE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三档（6分）：对项目总体有一定认识，表达清晰、完整，措施具体有效；施工段划分清晰，符合规范要求。</w:t>
            </w:r>
          </w:p>
          <w:p w14:paraId="56C7EACA">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四档（10分）：对项目总体 有深刻认识，表达清晰、完整、严谨、合理，措施先进、具体、有效、成熟；施工段划分清晰、合理，符合规范要求。</w:t>
            </w:r>
          </w:p>
        </w:tc>
        <w:tc>
          <w:tcPr>
            <w:tcW w:w="807" w:type="dxa"/>
            <w:vAlign w:val="center"/>
          </w:tcPr>
          <w:p w14:paraId="4E87329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F2A6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719" w:type="dxa"/>
            <w:vMerge w:val="continue"/>
            <w:vAlign w:val="center"/>
          </w:tcPr>
          <w:p w14:paraId="17CBAE44">
            <w:pPr>
              <w:spacing w:line="360" w:lineRule="auto"/>
              <w:jc w:val="center"/>
              <w:rPr>
                <w:rFonts w:hint="eastAsia" w:ascii="宋体" w:hAnsi="宋体" w:cs="宋体"/>
                <w:color w:val="auto"/>
                <w:szCs w:val="21"/>
                <w:highlight w:val="none"/>
              </w:rPr>
            </w:pPr>
          </w:p>
        </w:tc>
        <w:tc>
          <w:tcPr>
            <w:tcW w:w="958" w:type="dxa"/>
            <w:vMerge w:val="continue"/>
            <w:vAlign w:val="center"/>
          </w:tcPr>
          <w:p w14:paraId="7BE918C0">
            <w:pPr>
              <w:spacing w:line="360" w:lineRule="auto"/>
              <w:jc w:val="center"/>
              <w:rPr>
                <w:rFonts w:hint="eastAsia" w:ascii="宋体" w:hAnsi="宋体" w:cs="宋体"/>
                <w:color w:val="auto"/>
                <w:szCs w:val="21"/>
                <w:highlight w:val="none"/>
              </w:rPr>
            </w:pPr>
          </w:p>
        </w:tc>
        <w:tc>
          <w:tcPr>
            <w:tcW w:w="1115" w:type="dxa"/>
            <w:vAlign w:val="center"/>
          </w:tcPr>
          <w:p w14:paraId="38678AD7">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（2）劳动力安排计划（满分</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w:t>
            </w:r>
          </w:p>
        </w:tc>
        <w:tc>
          <w:tcPr>
            <w:tcW w:w="5935" w:type="dxa"/>
          </w:tcPr>
          <w:p w14:paraId="7746352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磋商小组在打分前根据供应商提供的劳动力安排计划，在相应档次内独立打分。</w:t>
            </w:r>
          </w:p>
          <w:p w14:paraId="5B719A8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一档（0分）：各主要施工工序劳动力安排计划不全，无各工种劳动力安排计划或计划不全，劳动力投入不合理，不能满足施工需要。</w:t>
            </w:r>
          </w:p>
          <w:p w14:paraId="30419E4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二档（3分）：各主要施工工序应有劳动力安排计划，有各工种劳动力安排计划，劳动力投入基本合理，基本满足施工需要。</w:t>
            </w:r>
          </w:p>
          <w:p w14:paraId="606212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三档（6分）：各主要施工工序有详细的劳动力安排计划，有各工种劳动力安排计划，劳动力投入合理，满足施工需要。</w:t>
            </w:r>
          </w:p>
          <w:p w14:paraId="2D655E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分）：各主要施工工序有详细周密的劳动力安排计划，各工种劳动力安排计划齐全，劳动力投入与进度计划呼应合理，满足施工需要。</w:t>
            </w:r>
          </w:p>
        </w:tc>
        <w:tc>
          <w:tcPr>
            <w:tcW w:w="807" w:type="dxa"/>
            <w:vAlign w:val="center"/>
          </w:tcPr>
          <w:p w14:paraId="24F892F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809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498172D7">
            <w:pPr>
              <w:spacing w:line="360" w:lineRule="auto"/>
              <w:jc w:val="center"/>
              <w:rPr>
                <w:rFonts w:hint="eastAsia" w:ascii="宋体" w:hAnsi="宋体" w:cs="宋体"/>
                <w:color w:val="auto"/>
                <w:szCs w:val="21"/>
                <w:highlight w:val="none"/>
              </w:rPr>
            </w:pPr>
          </w:p>
        </w:tc>
        <w:tc>
          <w:tcPr>
            <w:tcW w:w="958" w:type="dxa"/>
            <w:vMerge w:val="continue"/>
            <w:vAlign w:val="center"/>
          </w:tcPr>
          <w:p w14:paraId="061F7CD9">
            <w:pPr>
              <w:spacing w:line="360" w:lineRule="auto"/>
              <w:jc w:val="center"/>
              <w:rPr>
                <w:rFonts w:hint="eastAsia" w:ascii="宋体" w:hAnsi="宋体" w:cs="宋体"/>
                <w:color w:val="auto"/>
                <w:szCs w:val="21"/>
                <w:highlight w:val="none"/>
              </w:rPr>
            </w:pPr>
          </w:p>
        </w:tc>
        <w:tc>
          <w:tcPr>
            <w:tcW w:w="1115" w:type="dxa"/>
            <w:vAlign w:val="center"/>
          </w:tcPr>
          <w:p w14:paraId="0105430A">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（3）确保工程质量的技术组织措施（满分</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935" w:type="dxa"/>
          </w:tcPr>
          <w:p w14:paraId="41E97E9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磋商小组在打分前根据供应商提供的工程质量技术组织措施，在相应档次内独立打分。</w:t>
            </w:r>
          </w:p>
          <w:p w14:paraId="35A979C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一档（0分）：质量技术管理班子人员配备不合理，制度不健全。质量技术保证措施和手段不可行，没有质量违约责任承诺。</w:t>
            </w:r>
          </w:p>
          <w:p w14:paraId="41B101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二档（3分）：质量技术管理班子人员配备基本合理，制度基本健全。主要工序有质量技术保证措施和手段，能有效保证技术质量，满足磋商文件的质量要求。</w:t>
            </w:r>
          </w:p>
          <w:p w14:paraId="3E865B2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三档（6分）：有专门的质量技术管理班子和制度，且人员配备合理，制度健全。主要工序有质量技术保证措施和手段，自控体系完整，能有效保证技术质量，达到承诺的质量标准。</w:t>
            </w:r>
          </w:p>
          <w:p w14:paraId="43630E0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分）：有专门的质量技术管理班子和制度，且人员配备合理，制度健全。主要工序有质量技术保证措施和手段，且先进、可行、具体，高于磋商文件的质量要求及施工验收规范要求，达到承诺的质量标准。</w:t>
            </w:r>
          </w:p>
        </w:tc>
        <w:tc>
          <w:tcPr>
            <w:tcW w:w="807" w:type="dxa"/>
            <w:vAlign w:val="center"/>
          </w:tcPr>
          <w:p w14:paraId="4A1D105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DFD2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9" w:type="dxa"/>
            <w:vMerge w:val="continue"/>
            <w:vAlign w:val="center"/>
          </w:tcPr>
          <w:p w14:paraId="7B671C3A">
            <w:pPr>
              <w:spacing w:line="360" w:lineRule="auto"/>
              <w:jc w:val="center"/>
              <w:rPr>
                <w:rFonts w:hint="eastAsia" w:ascii="宋体" w:hAnsi="宋体" w:cs="宋体"/>
                <w:color w:val="auto"/>
                <w:szCs w:val="21"/>
                <w:highlight w:val="none"/>
              </w:rPr>
            </w:pPr>
          </w:p>
        </w:tc>
        <w:tc>
          <w:tcPr>
            <w:tcW w:w="958" w:type="dxa"/>
            <w:vMerge w:val="continue"/>
            <w:vAlign w:val="center"/>
          </w:tcPr>
          <w:p w14:paraId="3DB2DACD">
            <w:pPr>
              <w:spacing w:line="360" w:lineRule="auto"/>
              <w:jc w:val="center"/>
              <w:rPr>
                <w:rFonts w:hint="eastAsia" w:ascii="宋体" w:hAnsi="宋体" w:cs="宋体"/>
                <w:color w:val="auto"/>
                <w:szCs w:val="21"/>
                <w:highlight w:val="none"/>
              </w:rPr>
            </w:pPr>
          </w:p>
        </w:tc>
        <w:tc>
          <w:tcPr>
            <w:tcW w:w="1115" w:type="dxa"/>
            <w:vAlign w:val="center"/>
          </w:tcPr>
          <w:p w14:paraId="1180BC86">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（4）确保安全生产的技术组织措施（满分10分）</w:t>
            </w:r>
          </w:p>
        </w:tc>
        <w:tc>
          <w:tcPr>
            <w:tcW w:w="5935" w:type="dxa"/>
          </w:tcPr>
          <w:p w14:paraId="12CD103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磋商小组在打分前根据供应商提供的安全生产技术组织措施，在相应档次内独立打分。</w:t>
            </w:r>
          </w:p>
          <w:p w14:paraId="5FF2BB0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配备满足项目要求的专职安全员，人员配备不合理，安全管理制度不健全，各道工序安全技术措施基本符合实际，不能满足有关安全技术标准要求。现场防火、应急救援、社会治安安全措施不合理。</w:t>
            </w:r>
          </w:p>
          <w:p w14:paraId="7DFEFC1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配备满足项目要求的专职安全员，人员配备基本合理，安全管理制度基本健全，各道工序安全技术措施基本符合实际，基本满足有关安全技术标准要求。现场防火、应急救援、社会治安安全措施基本合理。</w:t>
            </w:r>
          </w:p>
          <w:p w14:paraId="3A1945A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三档（6分）：有配备满足项目要求的专职安全员，人员配备合理，有健全的安全管理制度，各道工序安全技术措施符合实际且满足有关安全技术标准要求。现场防火、应急救援、社会治安安全措施合理。</w:t>
            </w:r>
          </w:p>
          <w:p w14:paraId="769144D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配备满足项目要求的专职安全员，人员配备合理。有健全的安全管理制度，各道工序安全技术措施针对性强，符合实际且高于国家有关安全技术标准要求。现场防火、应急救援、社会治安安全措施得力。</w:t>
            </w:r>
          </w:p>
        </w:tc>
        <w:tc>
          <w:tcPr>
            <w:tcW w:w="807" w:type="dxa"/>
            <w:vAlign w:val="center"/>
          </w:tcPr>
          <w:p w14:paraId="3E0C03D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4738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719" w:type="dxa"/>
            <w:vMerge w:val="continue"/>
            <w:vAlign w:val="center"/>
          </w:tcPr>
          <w:p w14:paraId="230E6FB5">
            <w:pPr>
              <w:spacing w:line="360" w:lineRule="auto"/>
              <w:jc w:val="center"/>
              <w:rPr>
                <w:rFonts w:hint="eastAsia" w:ascii="宋体" w:hAnsi="宋体" w:cs="宋体"/>
                <w:color w:val="auto"/>
                <w:szCs w:val="21"/>
                <w:highlight w:val="none"/>
              </w:rPr>
            </w:pPr>
          </w:p>
        </w:tc>
        <w:tc>
          <w:tcPr>
            <w:tcW w:w="958" w:type="dxa"/>
            <w:vMerge w:val="continue"/>
            <w:vAlign w:val="center"/>
          </w:tcPr>
          <w:p w14:paraId="7BE04998">
            <w:pPr>
              <w:spacing w:line="360" w:lineRule="auto"/>
              <w:jc w:val="center"/>
              <w:rPr>
                <w:rFonts w:hint="eastAsia" w:ascii="宋体" w:hAnsi="宋体" w:cs="宋体"/>
                <w:color w:val="auto"/>
                <w:szCs w:val="21"/>
                <w:highlight w:val="none"/>
              </w:rPr>
            </w:pPr>
          </w:p>
        </w:tc>
        <w:tc>
          <w:tcPr>
            <w:tcW w:w="1115" w:type="dxa"/>
            <w:vAlign w:val="center"/>
          </w:tcPr>
          <w:p w14:paraId="66743A10">
            <w:pPr>
              <w:widowControl/>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（5）确保工期的技术组织措施（满分10分）</w:t>
            </w:r>
          </w:p>
        </w:tc>
        <w:tc>
          <w:tcPr>
            <w:tcW w:w="5935" w:type="dxa"/>
          </w:tcPr>
          <w:p w14:paraId="13E45CB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磋商小组在打分前根据供应商提供的工期技术组织措施，在相应档次内独立打分。</w:t>
            </w:r>
          </w:p>
          <w:p w14:paraId="3AC6B23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一档（0分）：有保证工期的具体措施。各项计划图表编制不完善，安排不合理，不能满足本项目施工实际要求。</w:t>
            </w:r>
          </w:p>
          <w:p w14:paraId="73AF2BC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二档（3分）：有保证工期的具体措施，措施基本得当。各项计划图表编制基本齐全，安排基本合理，基本符合本项目施工实际要求。</w:t>
            </w:r>
          </w:p>
          <w:p w14:paraId="2230A9E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三档（6分）：有保证工期的具体措施且措施得当。各项计划图表编制完善，安排较合理，符合本项目施工实际要求。</w:t>
            </w:r>
          </w:p>
          <w:p w14:paraId="3FF1ABA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四档（10分）：有保证工期的具体措施且措施得力。各项计划图表编制详尽周密，安排科学合理，符合本项目施工实际要求。</w:t>
            </w:r>
          </w:p>
        </w:tc>
        <w:tc>
          <w:tcPr>
            <w:tcW w:w="807" w:type="dxa"/>
            <w:vAlign w:val="center"/>
          </w:tcPr>
          <w:p w14:paraId="3552DEC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1BA6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19" w:type="dxa"/>
            <w:vMerge w:val="continue"/>
            <w:vAlign w:val="center"/>
          </w:tcPr>
          <w:p w14:paraId="686D61B9">
            <w:pPr>
              <w:spacing w:line="360" w:lineRule="auto"/>
              <w:jc w:val="center"/>
              <w:rPr>
                <w:rFonts w:hint="eastAsia" w:ascii="宋体" w:hAnsi="宋体" w:cs="宋体"/>
                <w:color w:val="auto"/>
                <w:szCs w:val="21"/>
                <w:highlight w:val="none"/>
              </w:rPr>
            </w:pPr>
          </w:p>
        </w:tc>
        <w:tc>
          <w:tcPr>
            <w:tcW w:w="958" w:type="dxa"/>
            <w:vMerge w:val="continue"/>
            <w:vAlign w:val="center"/>
          </w:tcPr>
          <w:p w14:paraId="474AE088">
            <w:pPr>
              <w:spacing w:line="360" w:lineRule="auto"/>
              <w:jc w:val="center"/>
              <w:rPr>
                <w:rFonts w:hint="eastAsia" w:ascii="宋体" w:hAnsi="宋体" w:cs="宋体"/>
                <w:color w:val="auto"/>
                <w:szCs w:val="21"/>
                <w:highlight w:val="none"/>
              </w:rPr>
            </w:pPr>
          </w:p>
        </w:tc>
        <w:tc>
          <w:tcPr>
            <w:tcW w:w="1115" w:type="dxa"/>
            <w:vAlign w:val="center"/>
          </w:tcPr>
          <w:p w14:paraId="1E949195">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（6）确保文明施工的技术组织措施（满分10分）</w:t>
            </w:r>
          </w:p>
        </w:tc>
        <w:tc>
          <w:tcPr>
            <w:tcW w:w="5935" w:type="dxa"/>
          </w:tcPr>
          <w:p w14:paraId="44A1C2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磋商小组在打分前根据供应商提供的文明施工技术组织措施，在相应档次内独立打分。</w:t>
            </w:r>
          </w:p>
          <w:p w14:paraId="0CA5987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一档（0分）：现场文明施工、环境保护措施和内容与《建筑施工安全生产检查标准》、《广西壮族自治区建筑工程文明施工导则》的要求偏差大，无现场文明施工目标的承诺。</w:t>
            </w:r>
          </w:p>
          <w:p w14:paraId="47D611AC">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现场文明施工、环境保护措施和内容基本达到《建筑施工安全生产检查标准》、《广西壮族自治区建筑工程文明施工导则》；有具体实现现场文明施工目标的承诺，而且各项措施基本周全、具体、有效的。</w:t>
            </w:r>
          </w:p>
          <w:p w14:paraId="7A70DF8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三档（6分）：现场文明施工、环境保护措施和内容达到《建筑施工安全生产检查标准》、《广西壮族自治区建筑工程文明施工导则》；承诺创建市级文明工地和标准化工地，而且各项措施周全、具体、有效的。</w:t>
            </w:r>
          </w:p>
          <w:p w14:paraId="573C3B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现场文明施工、环境保护措施和内容达到《建筑施工安全生产检查标准》、《广西壮族自治区建筑工程文明施工导则》要求；承诺创建自治区级及以上文明工地和标准化工地，而且各项措施周全、具体、有效的。</w:t>
            </w:r>
          </w:p>
        </w:tc>
        <w:tc>
          <w:tcPr>
            <w:tcW w:w="807" w:type="dxa"/>
            <w:vAlign w:val="center"/>
          </w:tcPr>
          <w:p w14:paraId="3CBF8D8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5CA9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19" w:type="dxa"/>
            <w:vMerge w:val="continue"/>
            <w:vAlign w:val="center"/>
          </w:tcPr>
          <w:p w14:paraId="4DDB2D04">
            <w:pPr>
              <w:spacing w:line="360" w:lineRule="auto"/>
              <w:jc w:val="center"/>
              <w:rPr>
                <w:rFonts w:hint="eastAsia" w:ascii="宋体" w:hAnsi="宋体" w:cs="宋体"/>
                <w:color w:val="auto"/>
                <w:szCs w:val="21"/>
                <w:highlight w:val="none"/>
              </w:rPr>
            </w:pPr>
          </w:p>
        </w:tc>
        <w:tc>
          <w:tcPr>
            <w:tcW w:w="958" w:type="dxa"/>
            <w:vMerge w:val="continue"/>
            <w:vAlign w:val="center"/>
          </w:tcPr>
          <w:p w14:paraId="6C5AD14F">
            <w:pPr>
              <w:spacing w:line="360" w:lineRule="auto"/>
              <w:jc w:val="center"/>
              <w:rPr>
                <w:rFonts w:hint="eastAsia" w:ascii="宋体" w:hAnsi="宋体" w:cs="宋体"/>
                <w:color w:val="auto"/>
                <w:szCs w:val="21"/>
                <w:highlight w:val="none"/>
              </w:rPr>
            </w:pPr>
          </w:p>
        </w:tc>
        <w:tc>
          <w:tcPr>
            <w:tcW w:w="1115" w:type="dxa"/>
            <w:vAlign w:val="center"/>
          </w:tcPr>
          <w:p w14:paraId="731CC24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（7）工程施工的重点和难点及保证措施（满分10分）</w:t>
            </w:r>
          </w:p>
        </w:tc>
        <w:tc>
          <w:tcPr>
            <w:tcW w:w="5935" w:type="dxa"/>
          </w:tcPr>
          <w:p w14:paraId="31550983">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磋商小组在打分前根据供应商提供的工程施工重点和难点及保证措施，在相应档次内独立打分。</w:t>
            </w:r>
          </w:p>
          <w:p w14:paraId="265AAE9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一档（0分）：未针对该项目的难点、重点进行分析，未考虑各部分施工如何相互交叉和衔接，施工质量效果和设计效果的无法统一。</w:t>
            </w:r>
          </w:p>
          <w:p w14:paraId="7FE8EC6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二档（3分）：针对该项目的难点、重点分析不具体，各部分施工如何相互交叉和衔接不合理，施工质量效果和设计效果有较大差距。</w:t>
            </w:r>
          </w:p>
          <w:p w14:paraId="25C2674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三档（6分）：针对该项目的难点、重点分析简单，未重点考虑各部分施工如何相互交叉和衔接，施工质量效果基本达到设计效果。</w:t>
            </w:r>
          </w:p>
          <w:p w14:paraId="2E005D9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四档（10分）：针对该项目的难点、重点详细分析，重点考虑各部分施工如何相互交叉和衔接，以保证施工质量效果和设计效果的完美统一。</w:t>
            </w:r>
          </w:p>
        </w:tc>
        <w:tc>
          <w:tcPr>
            <w:tcW w:w="807" w:type="dxa"/>
            <w:vAlign w:val="center"/>
          </w:tcPr>
          <w:p w14:paraId="5F12508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06F4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719" w:type="dxa"/>
            <w:vMerge w:val="continue"/>
            <w:vAlign w:val="center"/>
          </w:tcPr>
          <w:p w14:paraId="5E30DE6E">
            <w:pPr>
              <w:spacing w:line="360" w:lineRule="auto"/>
              <w:jc w:val="center"/>
              <w:rPr>
                <w:rFonts w:hint="eastAsia" w:ascii="宋体" w:hAnsi="宋体" w:cs="宋体"/>
                <w:color w:val="auto"/>
                <w:szCs w:val="21"/>
                <w:highlight w:val="none"/>
              </w:rPr>
            </w:pPr>
          </w:p>
        </w:tc>
        <w:tc>
          <w:tcPr>
            <w:tcW w:w="958" w:type="dxa"/>
            <w:vMerge w:val="continue"/>
            <w:vAlign w:val="center"/>
          </w:tcPr>
          <w:p w14:paraId="13D1FC1A">
            <w:pPr>
              <w:spacing w:line="360" w:lineRule="auto"/>
              <w:jc w:val="center"/>
              <w:rPr>
                <w:rFonts w:hint="eastAsia" w:ascii="宋体" w:hAnsi="宋体" w:cs="宋体"/>
                <w:color w:val="auto"/>
                <w:szCs w:val="21"/>
                <w:highlight w:val="none"/>
              </w:rPr>
            </w:pPr>
          </w:p>
        </w:tc>
        <w:tc>
          <w:tcPr>
            <w:tcW w:w="1115" w:type="dxa"/>
            <w:vAlign w:val="center"/>
          </w:tcPr>
          <w:p w14:paraId="79C138A0">
            <w:pPr>
              <w:widowControl/>
              <w:spacing w:line="360" w:lineRule="auto"/>
              <w:rPr>
                <w:rFonts w:hint="eastAsia" w:ascii="宋体" w:hAnsi="宋体" w:cs="宋体"/>
                <w:color w:val="auto"/>
                <w:szCs w:val="21"/>
                <w:highlight w:val="none"/>
              </w:rPr>
            </w:pPr>
            <w:r>
              <w:rPr>
                <w:rFonts w:hint="eastAsia" w:ascii="宋体" w:hAnsi="宋体" w:cs="宋体"/>
                <w:color w:val="auto"/>
                <w:szCs w:val="21"/>
                <w:highlight w:val="none"/>
              </w:rPr>
              <w:t>（8）新技术应用与承诺（满分5分）</w:t>
            </w:r>
          </w:p>
        </w:tc>
        <w:tc>
          <w:tcPr>
            <w:tcW w:w="5935" w:type="dxa"/>
          </w:tcPr>
          <w:p w14:paraId="04A6416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磋商小组在打分前根据供应商提供的新技术应用与承诺，在相应档次内独立打分。</w:t>
            </w:r>
          </w:p>
          <w:p w14:paraId="79278F7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一档（0分）：采用的新技术针对性不强或验证材料不可靠，对节约投资和工期没有具体收益。</w:t>
            </w:r>
          </w:p>
          <w:p w14:paraId="7DB8996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二档（1分）：有新技术措施，但验证材料不充分，对节约投资和工期可能有一定收益，对采用新技术可能产生的风险预见不足。</w:t>
            </w:r>
          </w:p>
          <w:p w14:paraId="2DE2134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三档（3分）：针对项目实际，提出采用新技术的具体措施。新技术的验证材料可靠，对节约投资和工期有保证措施。对采用新技术可能产生的风险有一定的预见。</w:t>
            </w:r>
          </w:p>
          <w:p w14:paraId="550B802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四档（5分）：针对项目实际，提出采用新技术的具体措施。新技术的验证材料可靠，对节约投资和工期的保证措施得力、具体、严谨。对采用新技术可能产生的风险预见充分，对新技术的实施有安全生产的可靠方案。</w:t>
            </w:r>
          </w:p>
        </w:tc>
        <w:tc>
          <w:tcPr>
            <w:tcW w:w="807" w:type="dxa"/>
            <w:vAlign w:val="center"/>
          </w:tcPr>
          <w:p w14:paraId="354083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主观分</w:t>
            </w:r>
          </w:p>
        </w:tc>
      </w:tr>
      <w:tr w14:paraId="65F37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jc w:val="center"/>
        </w:trPr>
        <w:tc>
          <w:tcPr>
            <w:tcW w:w="719" w:type="dxa"/>
            <w:vMerge w:val="restart"/>
            <w:vAlign w:val="center"/>
          </w:tcPr>
          <w:p w14:paraId="6787420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958" w:type="dxa"/>
            <w:vMerge w:val="restart"/>
            <w:vAlign w:val="center"/>
          </w:tcPr>
          <w:p w14:paraId="4AFD113C">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商务</w:t>
            </w:r>
            <w:r>
              <w:rPr>
                <w:rFonts w:hint="eastAsia" w:ascii="宋体" w:hAnsi="宋体" w:cs="宋体"/>
                <w:color w:val="auto"/>
                <w:szCs w:val="21"/>
                <w:highlight w:val="none"/>
                <w:lang w:eastAsia="zh-CN"/>
              </w:rPr>
              <w:t>分（满分</w:t>
            </w:r>
            <w:r>
              <w:rPr>
                <w:rFonts w:hint="eastAsia" w:ascii="宋体" w:hAnsi="宋体" w:cs="宋体"/>
                <w:color w:val="auto"/>
                <w:szCs w:val="21"/>
                <w:highlight w:val="none"/>
                <w:lang w:val="en-US" w:eastAsia="zh-CN"/>
              </w:rPr>
              <w:t>6分</w:t>
            </w:r>
            <w:r>
              <w:rPr>
                <w:rFonts w:hint="eastAsia" w:ascii="宋体" w:hAnsi="宋体" w:cs="宋体"/>
                <w:color w:val="auto"/>
                <w:szCs w:val="21"/>
                <w:highlight w:val="none"/>
                <w:lang w:eastAsia="zh-CN"/>
              </w:rPr>
              <w:t>）</w:t>
            </w:r>
          </w:p>
        </w:tc>
        <w:tc>
          <w:tcPr>
            <w:tcW w:w="1115" w:type="dxa"/>
            <w:vAlign w:val="center"/>
          </w:tcPr>
          <w:p w14:paraId="15D2A09E">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实力信誉（满分3分）</w:t>
            </w:r>
          </w:p>
        </w:tc>
        <w:tc>
          <w:tcPr>
            <w:tcW w:w="5935" w:type="dxa"/>
            <w:vAlign w:val="center"/>
          </w:tcPr>
          <w:p w14:paraId="565F1136">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供应商通过ISO9001质量管理体系认证、ISO14001环境管理体系认证、ISO45001职业健康安全管理体系认证，每提供1项得1分，此项满分为3分。注：以上认证证书复印件并加盖公章，否则不计分。</w:t>
            </w:r>
          </w:p>
        </w:tc>
        <w:tc>
          <w:tcPr>
            <w:tcW w:w="807" w:type="dxa"/>
            <w:vAlign w:val="center"/>
          </w:tcPr>
          <w:p w14:paraId="01A4D57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客观分</w:t>
            </w:r>
          </w:p>
        </w:tc>
      </w:tr>
      <w:tr w14:paraId="45B3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719" w:type="dxa"/>
            <w:vMerge w:val="continue"/>
            <w:vAlign w:val="center"/>
          </w:tcPr>
          <w:p w14:paraId="24BB0C28">
            <w:pPr>
              <w:spacing w:line="360" w:lineRule="auto"/>
              <w:jc w:val="center"/>
              <w:rPr>
                <w:rFonts w:hint="eastAsia" w:ascii="宋体" w:hAnsi="宋体" w:cs="宋体"/>
                <w:color w:val="auto"/>
                <w:szCs w:val="21"/>
                <w:highlight w:val="none"/>
              </w:rPr>
            </w:pPr>
          </w:p>
        </w:tc>
        <w:tc>
          <w:tcPr>
            <w:tcW w:w="958" w:type="dxa"/>
            <w:vMerge w:val="continue"/>
            <w:vAlign w:val="center"/>
          </w:tcPr>
          <w:p w14:paraId="61CD2304">
            <w:pPr>
              <w:spacing w:line="360" w:lineRule="auto"/>
              <w:jc w:val="center"/>
              <w:rPr>
                <w:rFonts w:hint="eastAsia" w:ascii="宋体" w:hAnsi="宋体" w:cs="宋体"/>
                <w:color w:val="auto"/>
                <w:szCs w:val="21"/>
                <w:highlight w:val="none"/>
              </w:rPr>
            </w:pPr>
          </w:p>
        </w:tc>
        <w:tc>
          <w:tcPr>
            <w:tcW w:w="1115" w:type="dxa"/>
            <w:vAlign w:val="center"/>
          </w:tcPr>
          <w:p w14:paraId="5784B9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5935" w:type="dxa"/>
            <w:vAlign w:val="center"/>
          </w:tcPr>
          <w:p w14:paraId="7DC1477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3月</w:t>
            </w:r>
            <w:r>
              <w:rPr>
                <w:rFonts w:hint="eastAsia" w:ascii="宋体" w:hAnsi="宋体" w:cs="宋体"/>
                <w:color w:val="auto"/>
                <w:szCs w:val="21"/>
                <w:highlight w:val="none"/>
              </w:rPr>
              <w:t>以来完成过类似项目业绩的，每个业绩得1分，满分</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分。【附成交(或中标)通知书或合同协议书复印件并加盖供应商电子公章】</w:t>
            </w:r>
          </w:p>
        </w:tc>
        <w:tc>
          <w:tcPr>
            <w:tcW w:w="807" w:type="dxa"/>
            <w:shd w:val="clear" w:color="auto" w:fill="auto"/>
            <w:vAlign w:val="center"/>
          </w:tcPr>
          <w:p w14:paraId="6A6B016C">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客观分</w:t>
            </w:r>
          </w:p>
        </w:tc>
      </w:tr>
      <w:tr w14:paraId="6111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77" w:type="dxa"/>
            <w:gridSpan w:val="2"/>
            <w:vAlign w:val="center"/>
          </w:tcPr>
          <w:p w14:paraId="474E0E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供应商汇总得分</w:t>
            </w:r>
          </w:p>
        </w:tc>
        <w:tc>
          <w:tcPr>
            <w:tcW w:w="7050" w:type="dxa"/>
            <w:gridSpan w:val="2"/>
            <w:vAlign w:val="center"/>
          </w:tcPr>
          <w:p w14:paraId="1897F686">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=报价分得分+技术分得分+商务分得分</w:t>
            </w:r>
          </w:p>
        </w:tc>
        <w:tc>
          <w:tcPr>
            <w:tcW w:w="807" w:type="dxa"/>
            <w:vAlign w:val="center"/>
          </w:tcPr>
          <w:p w14:paraId="18D93D50">
            <w:pPr>
              <w:spacing w:line="360" w:lineRule="auto"/>
              <w:jc w:val="left"/>
              <w:rPr>
                <w:rFonts w:hint="eastAsia" w:ascii="宋体" w:hAnsi="宋体" w:cs="宋体"/>
                <w:color w:val="auto"/>
                <w:szCs w:val="21"/>
                <w:highlight w:val="none"/>
              </w:rPr>
            </w:pPr>
          </w:p>
        </w:tc>
      </w:tr>
    </w:tbl>
    <w:p w14:paraId="0454DA80">
      <w:pPr>
        <w:spacing w:line="360" w:lineRule="auto"/>
        <w:rPr>
          <w:b/>
          <w:bCs/>
          <w:color w:val="auto"/>
          <w:highlight w:val="none"/>
        </w:rPr>
      </w:pPr>
      <w:r>
        <w:rPr>
          <w:rFonts w:hint="eastAsia"/>
          <w:b/>
          <w:bCs/>
          <w:color w:val="auto"/>
          <w:highlight w:val="none"/>
        </w:rPr>
        <w:t>三、成交候选供应商推荐原则</w:t>
      </w:r>
    </w:p>
    <w:p w14:paraId="464F0909">
      <w:pPr>
        <w:spacing w:line="360" w:lineRule="auto"/>
        <w:ind w:firstLine="420" w:firstLineChars="200"/>
        <w:rPr>
          <w:color w:val="auto"/>
          <w:highlight w:val="none"/>
        </w:rPr>
      </w:pPr>
      <w:r>
        <w:rPr>
          <w:rFonts w:hint="eastAsia"/>
          <w:color w:val="auto"/>
          <w:highlight w:val="none"/>
        </w:rPr>
        <w:t>（一）磋商小组将根据总得分由高到低对供应商排列次序（得分相同时，以最后报价由低到高顺序排列；得分相同且最后报价相同的，按技术指标优劣顺序排列），并推荐前三名为成交候选人。采购人应当确定磋商小组推荐排名第一的成交候选人为成交供应商。</w:t>
      </w:r>
    </w:p>
    <w:p w14:paraId="611A825F">
      <w:pPr>
        <w:spacing w:line="360" w:lineRule="auto"/>
        <w:ind w:firstLine="420" w:firstLineChars="200"/>
        <w:rPr>
          <w:color w:val="auto"/>
          <w:highlight w:val="none"/>
        </w:rPr>
      </w:pPr>
      <w:r>
        <w:rPr>
          <w:rFonts w:hint="eastAsia"/>
          <w:color w:val="auto"/>
          <w:highlight w:val="none"/>
        </w:rPr>
        <w:t>（二）成交供应商放弃成交、因不可抗力提出不能履行合同，或者采购文件规定应当提交履约保证金而在规定的期限内未能提交的，采购人可以确定排名第二的成交候选人为成交供应商，也可以重新开展采购活动，以此类推。拒绝签订政府采购合同的成交供应商不得参加对该项目重新开展的采购活动。</w:t>
      </w:r>
    </w:p>
    <w:p w14:paraId="51086A20">
      <w:pPr>
        <w:pStyle w:val="3"/>
        <w:rPr>
          <w:rFonts w:hint="eastAsia" w:ascii="黑体" w:hAnsi="宋体" w:eastAsia="黑体" w:cs="Times New Roman"/>
          <w:b/>
          <w:bCs/>
          <w:color w:val="auto"/>
          <w:sz w:val="36"/>
          <w:szCs w:val="36"/>
          <w:highlight w:val="none"/>
        </w:rPr>
      </w:pPr>
    </w:p>
    <w:p w14:paraId="4ADC31E1">
      <w:pPr>
        <w:pStyle w:val="3"/>
        <w:rPr>
          <w:rFonts w:hint="eastAsia" w:ascii="黑体" w:hAnsi="宋体" w:eastAsia="黑体" w:cs="Times New Roman"/>
          <w:b/>
          <w:bCs/>
          <w:color w:val="auto"/>
          <w:sz w:val="36"/>
          <w:szCs w:val="36"/>
          <w:highlight w:val="none"/>
        </w:rPr>
      </w:pPr>
    </w:p>
    <w:p w14:paraId="1181DE5F">
      <w:pPr>
        <w:pStyle w:val="3"/>
        <w:rPr>
          <w:rFonts w:hint="eastAsia" w:ascii="黑体" w:hAnsi="宋体" w:eastAsia="黑体" w:cs="Times New Roman"/>
          <w:b/>
          <w:bCs/>
          <w:color w:val="auto"/>
          <w:sz w:val="36"/>
          <w:szCs w:val="36"/>
          <w:highlight w:val="none"/>
        </w:rPr>
      </w:pPr>
    </w:p>
    <w:p w14:paraId="53B15BAE">
      <w:pPr>
        <w:pStyle w:val="3"/>
        <w:rPr>
          <w:rFonts w:hint="eastAsia" w:ascii="黑体" w:hAnsi="宋体" w:eastAsia="黑体" w:cs="Times New Roman"/>
          <w:b/>
          <w:bCs/>
          <w:color w:val="auto"/>
          <w:sz w:val="36"/>
          <w:szCs w:val="36"/>
          <w:highlight w:val="none"/>
        </w:rPr>
      </w:pPr>
    </w:p>
    <w:p w14:paraId="0E97B590">
      <w:pPr>
        <w:pStyle w:val="3"/>
        <w:rPr>
          <w:rFonts w:hint="eastAsia" w:ascii="黑体" w:hAnsi="宋体" w:eastAsia="黑体" w:cs="Times New Roman"/>
          <w:b/>
          <w:bCs/>
          <w:color w:val="auto"/>
          <w:sz w:val="36"/>
          <w:szCs w:val="36"/>
          <w:highlight w:val="none"/>
        </w:rPr>
      </w:pPr>
    </w:p>
    <w:p w14:paraId="3E4E8FDE">
      <w:pPr>
        <w:pStyle w:val="3"/>
        <w:rPr>
          <w:rFonts w:hint="eastAsia" w:ascii="黑体" w:hAnsi="宋体" w:eastAsia="黑体" w:cs="Times New Roman"/>
          <w:b/>
          <w:bCs/>
          <w:color w:val="auto"/>
          <w:sz w:val="36"/>
          <w:szCs w:val="36"/>
          <w:highlight w:val="none"/>
        </w:rPr>
      </w:pPr>
    </w:p>
    <w:p w14:paraId="487A3E4C">
      <w:pPr>
        <w:pStyle w:val="3"/>
        <w:rPr>
          <w:rFonts w:hint="eastAsia" w:ascii="黑体" w:hAnsi="宋体" w:eastAsia="黑体" w:cs="Times New Roman"/>
          <w:b/>
          <w:bCs/>
          <w:color w:val="auto"/>
          <w:sz w:val="36"/>
          <w:szCs w:val="36"/>
          <w:highlight w:val="none"/>
        </w:rPr>
      </w:pPr>
    </w:p>
    <w:p w14:paraId="2D9EF899">
      <w:pPr>
        <w:pStyle w:val="3"/>
        <w:rPr>
          <w:rFonts w:hint="eastAsia" w:ascii="黑体" w:hAnsi="宋体" w:eastAsia="黑体" w:cs="Times New Roman"/>
          <w:b/>
          <w:bCs/>
          <w:color w:val="auto"/>
          <w:sz w:val="36"/>
          <w:szCs w:val="36"/>
          <w:highlight w:val="none"/>
        </w:rPr>
      </w:pPr>
    </w:p>
    <w:p w14:paraId="0DD2AED7">
      <w:pPr>
        <w:pStyle w:val="3"/>
        <w:rPr>
          <w:rFonts w:hint="eastAsia" w:ascii="黑体" w:hAnsi="宋体" w:eastAsia="黑体" w:cs="Times New Roman"/>
          <w:b/>
          <w:bCs/>
          <w:color w:val="auto"/>
          <w:sz w:val="36"/>
          <w:szCs w:val="36"/>
          <w:highlight w:val="none"/>
        </w:rPr>
      </w:pPr>
    </w:p>
    <w:p w14:paraId="4AD6E31C">
      <w:pPr>
        <w:rPr>
          <w:rFonts w:hint="eastAsia" w:ascii="黑体" w:hAnsi="宋体" w:eastAsia="黑体"/>
          <w:b/>
          <w:bCs/>
          <w:color w:val="auto"/>
          <w:kern w:val="0"/>
          <w:sz w:val="36"/>
          <w:szCs w:val="36"/>
          <w:highlight w:val="none"/>
        </w:rPr>
      </w:pPr>
      <w:bookmarkStart w:id="67" w:name="_Toc15543"/>
    </w:p>
    <w:p w14:paraId="30D3851C">
      <w:pPr>
        <w:pStyle w:val="15"/>
        <w:spacing w:line="500" w:lineRule="exact"/>
        <w:jc w:val="center"/>
        <w:outlineLvl w:val="0"/>
        <w:rPr>
          <w:rFonts w:hint="eastAsia" w:ascii="黑体" w:hAnsi="宋体" w:eastAsia="黑体" w:cs="Times New Roman"/>
          <w:b/>
          <w:bCs/>
          <w:color w:val="auto"/>
          <w:kern w:val="0"/>
          <w:sz w:val="36"/>
          <w:szCs w:val="36"/>
          <w:highlight w:val="none"/>
        </w:rPr>
      </w:pPr>
      <w:r>
        <w:rPr>
          <w:rFonts w:hint="eastAsia" w:ascii="黑体" w:hAnsi="宋体" w:eastAsia="黑体" w:cs="Times New Roman"/>
          <w:b/>
          <w:bCs/>
          <w:color w:val="auto"/>
          <w:kern w:val="0"/>
          <w:sz w:val="36"/>
          <w:szCs w:val="36"/>
          <w:highlight w:val="none"/>
        </w:rPr>
        <w:t>第五章  响应文件（格式）</w:t>
      </w:r>
      <w:bookmarkEnd w:id="67"/>
    </w:p>
    <w:p w14:paraId="3DA65824">
      <w:pPr>
        <w:autoSpaceDE w:val="0"/>
        <w:autoSpaceDN w:val="0"/>
        <w:adjustRightInd w:val="0"/>
        <w:spacing w:line="360" w:lineRule="auto"/>
        <w:rPr>
          <w:rFonts w:ascii="宋体" w:cs="宋体"/>
          <w:color w:val="auto"/>
          <w:szCs w:val="21"/>
          <w:highlight w:val="none"/>
          <w:lang w:val="zh-CN"/>
        </w:rPr>
      </w:pPr>
    </w:p>
    <w:p w14:paraId="3190362B">
      <w:pPr>
        <w:rPr>
          <w:b/>
          <w:color w:val="auto"/>
          <w:sz w:val="32"/>
          <w:szCs w:val="32"/>
          <w:highlight w:val="none"/>
        </w:rPr>
      </w:pPr>
      <w:bookmarkStart w:id="68" w:name="_Toc31723070"/>
      <w:bookmarkStart w:id="69" w:name="_Toc44229899"/>
      <w:bookmarkStart w:id="70" w:name="_Toc31728084"/>
      <w:bookmarkStart w:id="71" w:name="_Toc35611438"/>
      <w:bookmarkStart w:id="72" w:name="_Toc71366186"/>
      <w:bookmarkStart w:id="73" w:name="_Toc35611516"/>
      <w:r>
        <w:rPr>
          <w:rFonts w:hint="eastAsia"/>
          <w:b/>
          <w:color w:val="auto"/>
          <w:sz w:val="32"/>
          <w:szCs w:val="32"/>
          <w:highlight w:val="none"/>
        </w:rPr>
        <w:t>一、资格证明文件格式</w:t>
      </w:r>
      <w:bookmarkEnd w:id="68"/>
      <w:bookmarkEnd w:id="69"/>
      <w:bookmarkEnd w:id="70"/>
      <w:bookmarkEnd w:id="71"/>
      <w:bookmarkEnd w:id="72"/>
      <w:bookmarkEnd w:id="73"/>
    </w:p>
    <w:p w14:paraId="047AE857">
      <w:pPr>
        <w:snapToGrid w:val="0"/>
        <w:spacing w:before="156" w:beforeLines="5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r>
        <w:rPr>
          <w:rFonts w:hint="eastAsia" w:ascii="宋体" w:hAnsi="宋体"/>
          <w:b/>
          <w:color w:val="auto"/>
          <w:sz w:val="24"/>
          <w:highlight w:val="none"/>
        </w:rPr>
        <w:t xml:space="preserve"> </w:t>
      </w:r>
    </w:p>
    <w:p w14:paraId="7A30077A">
      <w:pPr>
        <w:snapToGrid w:val="0"/>
        <w:spacing w:before="156" w:beforeLines="50" w:after="50"/>
        <w:jc w:val="center"/>
        <w:rPr>
          <w:rFonts w:hint="eastAsia" w:ascii="宋体" w:hAnsi="宋体"/>
          <w:color w:val="auto"/>
          <w:sz w:val="44"/>
          <w:szCs w:val="44"/>
          <w:highlight w:val="none"/>
        </w:rPr>
      </w:pPr>
    </w:p>
    <w:p w14:paraId="1F9BC42A">
      <w:pPr>
        <w:snapToGrid w:val="0"/>
        <w:spacing w:before="156" w:beforeLines="5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35C14804">
      <w:pPr>
        <w:snapToGrid w:val="0"/>
        <w:spacing w:before="156" w:beforeLines="50" w:after="50"/>
        <w:rPr>
          <w:rFonts w:hint="eastAsia" w:ascii="宋体" w:hAnsi="宋体"/>
          <w:color w:val="auto"/>
          <w:sz w:val="24"/>
          <w:szCs w:val="20"/>
          <w:highlight w:val="none"/>
        </w:rPr>
      </w:pPr>
    </w:p>
    <w:p w14:paraId="52F4833D">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095BA76F">
      <w:pPr>
        <w:snapToGrid w:val="0"/>
        <w:spacing w:before="156" w:beforeLines="50" w:after="50"/>
        <w:rPr>
          <w:rFonts w:hint="eastAsia" w:ascii="宋体" w:hAnsi="宋体"/>
          <w:bCs/>
          <w:color w:val="auto"/>
          <w:sz w:val="24"/>
          <w:szCs w:val="20"/>
          <w:highlight w:val="none"/>
        </w:rPr>
      </w:pPr>
    </w:p>
    <w:p w14:paraId="1C3312DC">
      <w:pPr>
        <w:snapToGrid w:val="0"/>
        <w:spacing w:before="156" w:beforeLines="50" w:after="50"/>
        <w:rPr>
          <w:rFonts w:hint="eastAsia" w:ascii="宋体" w:hAnsi="宋体"/>
          <w:bCs/>
          <w:color w:val="auto"/>
          <w:sz w:val="24"/>
          <w:szCs w:val="20"/>
          <w:highlight w:val="none"/>
        </w:rPr>
      </w:pPr>
    </w:p>
    <w:p w14:paraId="6E674AF9">
      <w:pPr>
        <w:snapToGrid w:val="0"/>
        <w:spacing w:before="156" w:beforeLines="50" w:after="50"/>
        <w:rPr>
          <w:rFonts w:hint="eastAsia" w:ascii="宋体" w:hAnsi="宋体"/>
          <w:bCs/>
          <w:color w:val="auto"/>
          <w:sz w:val="24"/>
          <w:szCs w:val="20"/>
          <w:highlight w:val="none"/>
        </w:rPr>
      </w:pPr>
    </w:p>
    <w:p w14:paraId="0BB4367C">
      <w:pPr>
        <w:snapToGrid w:val="0"/>
        <w:spacing w:before="156" w:beforeLines="50" w:after="50"/>
        <w:rPr>
          <w:rFonts w:hint="eastAsia" w:ascii="宋体" w:hAnsi="宋体"/>
          <w:bCs/>
          <w:color w:val="auto"/>
          <w:sz w:val="24"/>
          <w:szCs w:val="20"/>
          <w:highlight w:val="none"/>
        </w:rPr>
      </w:pPr>
    </w:p>
    <w:p w14:paraId="1B9AE8A0">
      <w:pPr>
        <w:snapToGrid w:val="0"/>
        <w:spacing w:before="156" w:beforeLines="50" w:after="50"/>
        <w:rPr>
          <w:rFonts w:hint="eastAsia" w:ascii="宋体" w:hAnsi="宋体"/>
          <w:bCs/>
          <w:color w:val="auto"/>
          <w:sz w:val="24"/>
          <w:szCs w:val="20"/>
          <w:highlight w:val="none"/>
        </w:rPr>
      </w:pPr>
    </w:p>
    <w:p w14:paraId="20DAF0BC">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A520F07">
      <w:pPr>
        <w:snapToGrid w:val="0"/>
        <w:spacing w:before="156" w:beforeLines="50" w:after="50"/>
        <w:ind w:firstLine="720" w:firstLineChars="225"/>
        <w:rPr>
          <w:rFonts w:hint="eastAsia" w:ascii="宋体" w:hAnsi="宋体" w:cs="仿宋_GB2312"/>
          <w:bCs/>
          <w:color w:val="auto"/>
          <w:sz w:val="32"/>
          <w:szCs w:val="32"/>
          <w:highlight w:val="none"/>
        </w:rPr>
      </w:pPr>
    </w:p>
    <w:p w14:paraId="091731E6">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59E1FA6D">
      <w:pPr>
        <w:snapToGrid w:val="0"/>
        <w:spacing w:before="156" w:beforeLines="50" w:after="50"/>
        <w:ind w:firstLine="720" w:firstLineChars="225"/>
        <w:rPr>
          <w:rFonts w:hint="eastAsia" w:ascii="宋体" w:hAnsi="宋体" w:cs="仿宋_GB2312"/>
          <w:bCs/>
          <w:color w:val="auto"/>
          <w:sz w:val="32"/>
          <w:szCs w:val="32"/>
          <w:highlight w:val="none"/>
        </w:rPr>
      </w:pPr>
    </w:p>
    <w:p w14:paraId="4D511870">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B236FA8">
      <w:pPr>
        <w:pStyle w:val="10"/>
        <w:snapToGrid w:val="0"/>
        <w:spacing w:before="50" w:after="50"/>
        <w:ind w:firstLine="640"/>
        <w:rPr>
          <w:rFonts w:hint="eastAsia" w:ascii="宋体" w:hAnsi="宋体" w:cs="仿宋_GB2312"/>
          <w:bCs/>
          <w:color w:val="auto"/>
          <w:sz w:val="32"/>
          <w:szCs w:val="32"/>
          <w:highlight w:val="none"/>
        </w:rPr>
      </w:pPr>
    </w:p>
    <w:p w14:paraId="597F5A3E">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5B5F10A">
      <w:pPr>
        <w:snapToGrid w:val="0"/>
        <w:spacing w:before="156" w:beforeLines="50" w:after="50"/>
        <w:ind w:firstLine="640" w:firstLineChars="200"/>
        <w:rPr>
          <w:rFonts w:hint="eastAsia" w:ascii="宋体" w:hAnsi="宋体" w:cs="仿宋_GB2312"/>
          <w:bCs/>
          <w:color w:val="auto"/>
          <w:sz w:val="32"/>
          <w:szCs w:val="32"/>
          <w:highlight w:val="none"/>
        </w:rPr>
      </w:pPr>
    </w:p>
    <w:p w14:paraId="2FECD16B">
      <w:pPr>
        <w:pStyle w:val="10"/>
        <w:snapToGrid w:val="0"/>
        <w:spacing w:before="50" w:after="50"/>
        <w:ind w:firstLine="720" w:firstLineChars="225"/>
        <w:rPr>
          <w:rFonts w:hint="eastAsia" w:ascii="宋体" w:hAnsi="宋体" w:cs="仿宋_GB2312"/>
          <w:bCs/>
          <w:color w:val="auto"/>
          <w:sz w:val="32"/>
          <w:szCs w:val="32"/>
          <w:highlight w:val="none"/>
        </w:rPr>
      </w:pPr>
    </w:p>
    <w:p w14:paraId="2B2AC5F9">
      <w:pPr>
        <w:pStyle w:val="10"/>
        <w:snapToGrid w:val="0"/>
        <w:spacing w:before="50" w:after="50"/>
        <w:ind w:firstLine="1280" w:firstLineChars="400"/>
        <w:rPr>
          <w:rFonts w:hint="eastAsia" w:ascii="宋体" w:hAnsi="宋体" w:cs="仿宋_GB2312"/>
          <w:bCs/>
          <w:color w:val="auto"/>
          <w:sz w:val="32"/>
          <w:szCs w:val="32"/>
          <w:highlight w:val="none"/>
        </w:rPr>
      </w:pPr>
    </w:p>
    <w:p w14:paraId="22F99B9A">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5CD33AFC">
      <w:pPr>
        <w:snapToGrid w:val="0"/>
        <w:spacing w:before="156" w:beforeLines="5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r>
      <w:r>
        <w:rPr>
          <w:rFonts w:hint="eastAsia" w:ascii="宋体" w:hAnsi="宋体"/>
          <w:b/>
          <w:bCs/>
          <w:color w:val="auto"/>
          <w:sz w:val="32"/>
          <w:szCs w:val="32"/>
          <w:highlight w:val="none"/>
        </w:rPr>
        <w:t>2.资格证明文件目录</w:t>
      </w:r>
    </w:p>
    <w:p w14:paraId="2E8ABFCC">
      <w:pPr>
        <w:snapToGrid w:val="0"/>
        <w:spacing w:before="156" w:beforeLines="5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BECBE51">
      <w:pPr>
        <w:snapToGrid w:val="0"/>
        <w:spacing w:before="156" w:beforeLines="50" w:after="50"/>
        <w:rPr>
          <w:rFonts w:hint="eastAsia" w:ascii="宋体" w:hAnsi="宋体"/>
          <w:color w:val="auto"/>
          <w:sz w:val="24"/>
          <w:szCs w:val="20"/>
          <w:highlight w:val="none"/>
        </w:rPr>
      </w:pPr>
      <w:r>
        <w:rPr>
          <w:rFonts w:ascii="宋体" w:hAnsi="宋体"/>
          <w:color w:val="auto"/>
          <w:sz w:val="24"/>
          <w:szCs w:val="20"/>
          <w:highlight w:val="none"/>
        </w:rPr>
        <w:t xml:space="preserve"> </w:t>
      </w:r>
    </w:p>
    <w:p w14:paraId="644DEEA8">
      <w:pPr>
        <w:spacing w:line="300" w:lineRule="auto"/>
        <w:rPr>
          <w:rFonts w:hint="eastAsia" w:ascii="宋体" w:hAnsi="宋体"/>
          <w:color w:val="auto"/>
          <w:szCs w:val="21"/>
          <w:highlight w:val="none"/>
        </w:rPr>
      </w:pPr>
    </w:p>
    <w:p w14:paraId="1CC99CF1">
      <w:pPr>
        <w:spacing w:line="300" w:lineRule="auto"/>
        <w:rPr>
          <w:rFonts w:hint="eastAsia" w:ascii="宋体" w:hAnsi="宋体"/>
          <w:color w:val="auto"/>
          <w:szCs w:val="21"/>
          <w:highlight w:val="none"/>
        </w:rPr>
      </w:pPr>
    </w:p>
    <w:p w14:paraId="7D969154">
      <w:pPr>
        <w:spacing w:line="300" w:lineRule="auto"/>
        <w:rPr>
          <w:rFonts w:hint="eastAsia" w:ascii="宋体" w:hAnsi="宋体"/>
          <w:color w:val="auto"/>
          <w:szCs w:val="21"/>
          <w:highlight w:val="none"/>
        </w:rPr>
      </w:pPr>
    </w:p>
    <w:p w14:paraId="1452442C">
      <w:pPr>
        <w:spacing w:line="300" w:lineRule="auto"/>
        <w:rPr>
          <w:rFonts w:hint="eastAsia" w:ascii="宋体" w:hAnsi="宋体"/>
          <w:color w:val="auto"/>
          <w:szCs w:val="21"/>
          <w:highlight w:val="none"/>
        </w:rPr>
      </w:pPr>
    </w:p>
    <w:p w14:paraId="330DFAD1">
      <w:pPr>
        <w:spacing w:line="300" w:lineRule="auto"/>
        <w:rPr>
          <w:rFonts w:hint="eastAsia" w:ascii="宋体" w:hAnsi="宋体"/>
          <w:color w:val="auto"/>
          <w:szCs w:val="21"/>
          <w:highlight w:val="none"/>
        </w:rPr>
      </w:pPr>
    </w:p>
    <w:p w14:paraId="3A5BEB8F">
      <w:pPr>
        <w:spacing w:line="300" w:lineRule="auto"/>
        <w:rPr>
          <w:rFonts w:hint="eastAsia" w:ascii="宋体" w:hAnsi="宋体"/>
          <w:color w:val="auto"/>
          <w:szCs w:val="21"/>
          <w:highlight w:val="none"/>
        </w:rPr>
      </w:pPr>
    </w:p>
    <w:p w14:paraId="7368994C">
      <w:pPr>
        <w:spacing w:line="300" w:lineRule="auto"/>
        <w:rPr>
          <w:rFonts w:hint="eastAsia" w:ascii="宋体" w:hAnsi="宋体"/>
          <w:color w:val="auto"/>
          <w:szCs w:val="21"/>
          <w:highlight w:val="none"/>
        </w:rPr>
      </w:pPr>
    </w:p>
    <w:p w14:paraId="0ECDFC56">
      <w:pPr>
        <w:spacing w:line="300" w:lineRule="auto"/>
        <w:rPr>
          <w:rFonts w:hint="eastAsia" w:ascii="宋体" w:hAnsi="宋体"/>
          <w:color w:val="auto"/>
          <w:szCs w:val="21"/>
          <w:highlight w:val="none"/>
        </w:rPr>
      </w:pPr>
    </w:p>
    <w:p w14:paraId="0F562F4F">
      <w:pPr>
        <w:spacing w:line="300" w:lineRule="auto"/>
        <w:rPr>
          <w:rFonts w:hint="eastAsia" w:ascii="宋体" w:hAnsi="宋体"/>
          <w:color w:val="auto"/>
          <w:szCs w:val="21"/>
          <w:highlight w:val="none"/>
        </w:rPr>
      </w:pPr>
    </w:p>
    <w:p w14:paraId="7861A8C9">
      <w:pPr>
        <w:spacing w:line="300" w:lineRule="auto"/>
        <w:rPr>
          <w:rFonts w:hint="eastAsia" w:ascii="宋体" w:hAnsi="宋体"/>
          <w:color w:val="auto"/>
          <w:szCs w:val="21"/>
          <w:highlight w:val="none"/>
        </w:rPr>
      </w:pPr>
    </w:p>
    <w:p w14:paraId="559524F9">
      <w:pPr>
        <w:spacing w:line="300" w:lineRule="auto"/>
        <w:rPr>
          <w:rFonts w:hint="eastAsia" w:ascii="宋体" w:hAnsi="宋体"/>
          <w:color w:val="auto"/>
          <w:szCs w:val="21"/>
          <w:highlight w:val="none"/>
        </w:rPr>
      </w:pPr>
    </w:p>
    <w:p w14:paraId="55B84B55">
      <w:pPr>
        <w:spacing w:line="300" w:lineRule="auto"/>
        <w:rPr>
          <w:rFonts w:hint="eastAsia" w:ascii="宋体" w:hAnsi="宋体"/>
          <w:color w:val="auto"/>
          <w:szCs w:val="21"/>
          <w:highlight w:val="none"/>
        </w:rPr>
      </w:pPr>
    </w:p>
    <w:p w14:paraId="1A2EE4C8">
      <w:pPr>
        <w:spacing w:line="300" w:lineRule="auto"/>
        <w:rPr>
          <w:rFonts w:hint="eastAsia" w:ascii="宋体" w:hAnsi="宋体"/>
          <w:color w:val="auto"/>
          <w:szCs w:val="21"/>
          <w:highlight w:val="none"/>
        </w:rPr>
      </w:pPr>
    </w:p>
    <w:p w14:paraId="140B8B86">
      <w:pPr>
        <w:spacing w:line="300" w:lineRule="auto"/>
        <w:rPr>
          <w:rFonts w:hint="eastAsia" w:ascii="宋体" w:hAnsi="宋体"/>
          <w:color w:val="auto"/>
          <w:szCs w:val="21"/>
          <w:highlight w:val="none"/>
        </w:rPr>
      </w:pPr>
    </w:p>
    <w:p w14:paraId="19F4565E">
      <w:pPr>
        <w:spacing w:line="300" w:lineRule="auto"/>
        <w:rPr>
          <w:rFonts w:hint="eastAsia" w:ascii="宋体" w:hAnsi="宋体"/>
          <w:color w:val="auto"/>
          <w:szCs w:val="21"/>
          <w:highlight w:val="none"/>
        </w:rPr>
      </w:pPr>
    </w:p>
    <w:p w14:paraId="4DA220F3">
      <w:pPr>
        <w:spacing w:line="320" w:lineRule="exact"/>
        <w:jc w:val="center"/>
        <w:rPr>
          <w:rFonts w:hint="eastAsia" w:ascii="宋体" w:hAnsi="宋体"/>
          <w:b/>
          <w:color w:val="auto"/>
          <w:sz w:val="32"/>
          <w:szCs w:val="32"/>
          <w:highlight w:val="none"/>
        </w:rPr>
      </w:pPr>
      <w:r>
        <w:rPr>
          <w:rFonts w:ascii="宋体" w:hAnsi="宋体"/>
          <w:color w:val="auto"/>
          <w:szCs w:val="21"/>
          <w:highlight w:val="none"/>
        </w:rPr>
        <w:br w:type="page"/>
      </w:r>
      <w:r>
        <w:rPr>
          <w:rFonts w:hint="eastAsia" w:ascii="宋体" w:hAnsi="宋体"/>
          <w:b/>
          <w:color w:val="auto"/>
          <w:sz w:val="32"/>
          <w:szCs w:val="32"/>
          <w:highlight w:val="none"/>
        </w:rPr>
        <w:t>竞标声明（格式）</w:t>
      </w:r>
    </w:p>
    <w:p w14:paraId="5FD6EB15">
      <w:pPr>
        <w:spacing w:line="320" w:lineRule="exact"/>
        <w:jc w:val="center"/>
        <w:rPr>
          <w:rFonts w:hint="eastAsia" w:ascii="宋体" w:hAnsi="宋体"/>
          <w:color w:val="auto"/>
          <w:sz w:val="24"/>
          <w:szCs w:val="20"/>
          <w:highlight w:val="none"/>
        </w:rPr>
      </w:pPr>
    </w:p>
    <w:p w14:paraId="5305788B">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13EE464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70A430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1FBADA8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E5D7B1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43477D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8A7F7B8">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4ED7067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2A20CF8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47C6AAB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2B8FF03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BFE6D1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AAC6E7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41693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13532F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0F178C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AB39A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4733494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58FD3D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9BE697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28E016C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7D78EE4">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63918131">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60160FC3">
      <w:pPr>
        <w:pStyle w:val="14"/>
        <w:tabs>
          <w:tab w:val="left" w:pos="939"/>
        </w:tabs>
        <w:spacing w:line="360" w:lineRule="auto"/>
        <w:ind w:left="141" w:leftChars="67" w:firstLine="360" w:firstLineChars="150"/>
        <w:rPr>
          <w:rFonts w:hint="eastAsia" w:ascii="宋体" w:hAnsi="宋体" w:cs="宋体"/>
          <w:color w:val="auto"/>
          <w:sz w:val="24"/>
          <w:highlight w:val="none"/>
          <w:u w:val="singl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帐号：</w:t>
      </w:r>
      <w:r>
        <w:rPr>
          <w:rFonts w:hint="eastAsia" w:ascii="宋体" w:hAnsi="宋体" w:cs="宋体"/>
          <w:color w:val="auto"/>
          <w:sz w:val="24"/>
          <w:highlight w:val="none"/>
          <w:u w:val="single"/>
        </w:rPr>
        <w:t xml:space="preserve">                             </w:t>
      </w:r>
    </w:p>
    <w:p w14:paraId="4967994F">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手机号码：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6715400">
      <w:pPr>
        <w:pStyle w:val="14"/>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64B057D8">
      <w:pPr>
        <w:pStyle w:val="14"/>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5C26DD1F">
      <w:pPr>
        <w:spacing w:line="360" w:lineRule="auto"/>
        <w:ind w:firstLine="482" w:firstLineChars="200"/>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59FDDE6E">
      <w:pPr>
        <w:spacing w:line="360" w:lineRule="auto"/>
        <w:contextualSpacing/>
        <w:jc w:val="left"/>
        <w:rPr>
          <w:rFonts w:hint="eastAsia" w:ascii="宋体" w:hAnsi="宋体" w:cs="宋体"/>
          <w:color w:val="auto"/>
          <w:szCs w:val="21"/>
          <w:highlight w:val="none"/>
        </w:rPr>
      </w:pPr>
    </w:p>
    <w:p w14:paraId="7B4AF893">
      <w:pPr>
        <w:spacing w:line="360" w:lineRule="auto"/>
        <w:ind w:firstLine="1800" w:firstLineChars="750"/>
        <w:contextualSpacing/>
        <w:rPr>
          <w:color w:val="auto"/>
          <w:sz w:val="24"/>
          <w:highlight w:val="none"/>
        </w:rPr>
      </w:pPr>
      <w:r>
        <w:rPr>
          <w:rFonts w:hint="eastAsia" w:ascii="宋体" w:hAnsi="宋体"/>
          <w:color w:val="auto"/>
          <w:sz w:val="24"/>
          <w:highlight w:val="none"/>
        </w:rPr>
        <w:t>法定代表人（签字或者盖章或者电子签名</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p>
    <w:p w14:paraId="062F1EB6">
      <w:pPr>
        <w:spacing w:line="360" w:lineRule="auto"/>
        <w:ind w:firstLine="4320" w:firstLineChars="1800"/>
        <w:contextualSpacing/>
        <w:rPr>
          <w:rFonts w:hint="eastAsia" w:ascii="宋体" w:hAnsi="宋体" w:cs="宋体"/>
          <w:color w:val="auto"/>
          <w:sz w:val="24"/>
          <w:highlight w:val="none"/>
          <w:u w:val="single"/>
        </w:rPr>
      </w:pPr>
      <w:r>
        <w:rPr>
          <w:rFonts w:hint="eastAsia" w:ascii="宋体" w:hAnsi="宋体"/>
          <w:color w:val="auto"/>
          <w:sz w:val="24"/>
          <w:highlight w:val="none"/>
        </w:rPr>
        <w:t>供应商（电子签章）</w:t>
      </w:r>
      <w:r>
        <w:rPr>
          <w:rFonts w:hint="eastAsia"/>
          <w:color w:val="auto"/>
          <w:sz w:val="24"/>
          <w:highlight w:val="none"/>
        </w:rPr>
        <w:t>：</w:t>
      </w:r>
      <w:r>
        <w:rPr>
          <w:rFonts w:hint="eastAsia"/>
          <w:color w:val="auto"/>
          <w:sz w:val="24"/>
          <w:highlight w:val="none"/>
          <w:u w:val="single"/>
        </w:rPr>
        <w:t xml:space="preserve">                    </w:t>
      </w:r>
      <w:r>
        <w:rPr>
          <w:rFonts w:hint="eastAsia"/>
          <w:color w:val="auto"/>
          <w:sz w:val="24"/>
          <w:highlight w:val="none"/>
        </w:rPr>
        <w:t xml:space="preserve">       </w:t>
      </w:r>
      <w:r>
        <w:rPr>
          <w:rFonts w:hint="eastAsia" w:ascii="宋体" w:hAnsi="宋体" w:cs="宋体"/>
          <w:color w:val="auto"/>
          <w:sz w:val="24"/>
          <w:highlight w:val="none"/>
        </w:rPr>
        <w:t xml:space="preserve">    </w:t>
      </w:r>
    </w:p>
    <w:p w14:paraId="58B9D09B">
      <w:pPr>
        <w:pStyle w:val="14"/>
        <w:tabs>
          <w:tab w:val="left" w:pos="939"/>
        </w:tabs>
        <w:spacing w:line="360" w:lineRule="auto"/>
        <w:ind w:left="0" w:leftChars="0" w:firstLine="480" w:firstLineChars="200"/>
        <w:rPr>
          <w:color w:val="auto"/>
          <w:sz w:val="24"/>
          <w:highlight w:val="none"/>
        </w:rPr>
      </w:pPr>
      <w:r>
        <w:rPr>
          <w:rFonts w:hint="eastAsia" w:ascii="宋体" w:hAnsi="宋体" w:cs="宋体"/>
          <w:color w:val="auto"/>
          <w:sz w:val="24"/>
          <w:highlight w:val="none"/>
        </w:rPr>
        <w:t xml:space="preserve">                                                        </w:t>
      </w:r>
      <w:r>
        <w:rPr>
          <w:rFonts w:hint="eastAsia"/>
          <w:color w:val="auto"/>
          <w:sz w:val="24"/>
          <w:highlight w:val="none"/>
        </w:rPr>
        <w:t xml:space="preserve"> 年    月    日</w:t>
      </w:r>
    </w:p>
    <w:p w14:paraId="6B84B5C1">
      <w:pPr>
        <w:spacing w:line="320" w:lineRule="exact"/>
        <w:jc w:val="left"/>
        <w:rPr>
          <w:rFonts w:hint="eastAsia" w:ascii="宋体" w:hAnsi="宋体"/>
          <w:color w:val="auto"/>
          <w:szCs w:val="21"/>
          <w:highlight w:val="none"/>
        </w:rPr>
      </w:pPr>
    </w:p>
    <w:p w14:paraId="5D3D9915">
      <w:pPr>
        <w:spacing w:line="320" w:lineRule="exact"/>
        <w:jc w:val="center"/>
        <w:rPr>
          <w:rFonts w:hint="eastAsia" w:ascii="宋体" w:hAnsi="宋体"/>
          <w:b/>
          <w:color w:val="auto"/>
          <w:sz w:val="32"/>
          <w:szCs w:val="32"/>
          <w:highlight w:val="none"/>
        </w:rPr>
      </w:pPr>
    </w:p>
    <w:p w14:paraId="1F26B118">
      <w:pPr>
        <w:spacing w:line="320" w:lineRule="exact"/>
        <w:jc w:val="center"/>
        <w:rPr>
          <w:rFonts w:hint="eastAsia" w:ascii="宋体" w:hAnsi="宋体"/>
          <w:b/>
          <w:color w:val="auto"/>
          <w:sz w:val="32"/>
          <w:szCs w:val="32"/>
          <w:highlight w:val="none"/>
        </w:rPr>
      </w:pPr>
    </w:p>
    <w:p w14:paraId="2A649FDD">
      <w:pPr>
        <w:spacing w:line="320" w:lineRule="exact"/>
        <w:jc w:val="center"/>
        <w:rPr>
          <w:rFonts w:hint="eastAsia" w:ascii="宋体" w:hAnsi="宋体"/>
          <w:b/>
          <w:color w:val="auto"/>
          <w:sz w:val="32"/>
          <w:szCs w:val="32"/>
          <w:highlight w:val="none"/>
        </w:rPr>
      </w:pPr>
    </w:p>
    <w:p w14:paraId="7155B953">
      <w:pPr>
        <w:spacing w:line="320" w:lineRule="exact"/>
        <w:jc w:val="center"/>
        <w:rPr>
          <w:rFonts w:hint="eastAsia" w:ascii="宋体" w:hAnsi="宋体"/>
          <w:b/>
          <w:color w:val="auto"/>
          <w:sz w:val="32"/>
          <w:szCs w:val="32"/>
          <w:highlight w:val="none"/>
        </w:rPr>
      </w:pPr>
    </w:p>
    <w:p w14:paraId="00B38F68">
      <w:pPr>
        <w:spacing w:line="320" w:lineRule="exact"/>
        <w:jc w:val="center"/>
        <w:rPr>
          <w:rFonts w:hint="eastAsia" w:ascii="宋体" w:hAnsi="宋体"/>
          <w:b/>
          <w:color w:val="auto"/>
          <w:sz w:val="32"/>
          <w:szCs w:val="32"/>
          <w:highlight w:val="none"/>
        </w:rPr>
      </w:pPr>
    </w:p>
    <w:p w14:paraId="03912BC7">
      <w:pPr>
        <w:spacing w:line="320" w:lineRule="exact"/>
        <w:jc w:val="center"/>
        <w:rPr>
          <w:rFonts w:hint="eastAsia" w:ascii="宋体" w:hAnsi="宋体"/>
          <w:b/>
          <w:color w:val="auto"/>
          <w:sz w:val="32"/>
          <w:szCs w:val="32"/>
          <w:highlight w:val="none"/>
        </w:rPr>
      </w:pPr>
    </w:p>
    <w:p w14:paraId="73491E19">
      <w:pPr>
        <w:spacing w:line="320" w:lineRule="exact"/>
        <w:jc w:val="center"/>
        <w:rPr>
          <w:rFonts w:hint="eastAsia" w:ascii="宋体" w:hAnsi="宋体"/>
          <w:b/>
          <w:color w:val="auto"/>
          <w:sz w:val="32"/>
          <w:szCs w:val="32"/>
          <w:highlight w:val="none"/>
        </w:rPr>
      </w:pPr>
    </w:p>
    <w:p w14:paraId="5714A23E">
      <w:pPr>
        <w:spacing w:line="320" w:lineRule="exact"/>
        <w:jc w:val="center"/>
        <w:rPr>
          <w:rFonts w:hint="eastAsia" w:ascii="宋体" w:hAnsi="宋体"/>
          <w:b/>
          <w:color w:val="auto"/>
          <w:sz w:val="32"/>
          <w:szCs w:val="32"/>
          <w:highlight w:val="none"/>
        </w:rPr>
      </w:pPr>
    </w:p>
    <w:p w14:paraId="4DA11A89">
      <w:pPr>
        <w:spacing w:line="320" w:lineRule="exact"/>
        <w:jc w:val="center"/>
        <w:rPr>
          <w:rFonts w:hint="eastAsia" w:ascii="宋体" w:hAnsi="宋体"/>
          <w:b/>
          <w:color w:val="auto"/>
          <w:sz w:val="32"/>
          <w:szCs w:val="32"/>
          <w:highlight w:val="none"/>
        </w:rPr>
      </w:pPr>
    </w:p>
    <w:p w14:paraId="3883D6D5">
      <w:pPr>
        <w:spacing w:line="320" w:lineRule="exact"/>
        <w:jc w:val="center"/>
        <w:rPr>
          <w:rFonts w:hint="eastAsia" w:ascii="宋体" w:hAnsi="宋体"/>
          <w:b/>
          <w:color w:val="auto"/>
          <w:sz w:val="32"/>
          <w:szCs w:val="32"/>
          <w:highlight w:val="none"/>
        </w:rPr>
      </w:pPr>
    </w:p>
    <w:p w14:paraId="34D573C9">
      <w:pPr>
        <w:spacing w:line="320" w:lineRule="exact"/>
        <w:jc w:val="center"/>
        <w:rPr>
          <w:rFonts w:hint="eastAsia" w:ascii="宋体" w:hAnsi="宋体"/>
          <w:b/>
          <w:color w:val="auto"/>
          <w:sz w:val="32"/>
          <w:szCs w:val="32"/>
          <w:highlight w:val="none"/>
        </w:rPr>
      </w:pPr>
    </w:p>
    <w:p w14:paraId="7BC7A7A7">
      <w:pPr>
        <w:spacing w:line="320" w:lineRule="exact"/>
        <w:jc w:val="center"/>
        <w:rPr>
          <w:rFonts w:hint="eastAsia" w:ascii="宋体" w:hAnsi="宋体"/>
          <w:b/>
          <w:color w:val="auto"/>
          <w:sz w:val="32"/>
          <w:szCs w:val="32"/>
          <w:highlight w:val="none"/>
        </w:rPr>
      </w:pPr>
    </w:p>
    <w:p w14:paraId="3577B65E">
      <w:pPr>
        <w:spacing w:line="320" w:lineRule="exact"/>
        <w:jc w:val="center"/>
        <w:rPr>
          <w:rFonts w:hint="eastAsia" w:ascii="宋体" w:hAnsi="宋体"/>
          <w:b/>
          <w:color w:val="auto"/>
          <w:sz w:val="32"/>
          <w:szCs w:val="32"/>
          <w:highlight w:val="none"/>
        </w:rPr>
      </w:pPr>
    </w:p>
    <w:p w14:paraId="4C9C0200">
      <w:pPr>
        <w:spacing w:line="320" w:lineRule="exact"/>
        <w:jc w:val="center"/>
        <w:rPr>
          <w:rFonts w:hint="eastAsia" w:ascii="宋体" w:hAnsi="宋体"/>
          <w:b/>
          <w:color w:val="auto"/>
          <w:sz w:val="32"/>
          <w:szCs w:val="32"/>
          <w:highlight w:val="none"/>
        </w:rPr>
      </w:pPr>
    </w:p>
    <w:p w14:paraId="18058947">
      <w:pPr>
        <w:spacing w:line="320" w:lineRule="exact"/>
        <w:jc w:val="center"/>
        <w:rPr>
          <w:rFonts w:hint="eastAsia" w:ascii="宋体" w:hAnsi="宋体"/>
          <w:b/>
          <w:color w:val="auto"/>
          <w:sz w:val="32"/>
          <w:szCs w:val="32"/>
          <w:highlight w:val="none"/>
        </w:rPr>
      </w:pPr>
    </w:p>
    <w:p w14:paraId="27702304">
      <w:pPr>
        <w:spacing w:line="320" w:lineRule="exact"/>
        <w:jc w:val="center"/>
        <w:rPr>
          <w:rFonts w:hint="eastAsia" w:ascii="宋体" w:hAnsi="宋体"/>
          <w:b/>
          <w:color w:val="auto"/>
          <w:sz w:val="32"/>
          <w:szCs w:val="32"/>
          <w:highlight w:val="none"/>
        </w:rPr>
      </w:pPr>
    </w:p>
    <w:p w14:paraId="13FC091A">
      <w:pPr>
        <w:spacing w:line="320" w:lineRule="exact"/>
        <w:jc w:val="center"/>
        <w:rPr>
          <w:rFonts w:hint="eastAsia" w:ascii="宋体" w:hAnsi="宋体"/>
          <w:b/>
          <w:color w:val="auto"/>
          <w:sz w:val="32"/>
          <w:szCs w:val="32"/>
          <w:highlight w:val="none"/>
        </w:rPr>
      </w:pPr>
    </w:p>
    <w:p w14:paraId="46F5EA36">
      <w:pPr>
        <w:spacing w:line="320" w:lineRule="exact"/>
        <w:jc w:val="center"/>
        <w:rPr>
          <w:rFonts w:hint="eastAsia" w:ascii="宋体" w:hAnsi="宋体"/>
          <w:b/>
          <w:color w:val="auto"/>
          <w:sz w:val="32"/>
          <w:szCs w:val="32"/>
          <w:highlight w:val="none"/>
        </w:rPr>
      </w:pPr>
    </w:p>
    <w:p w14:paraId="6326E332">
      <w:pPr>
        <w:spacing w:line="320" w:lineRule="exact"/>
        <w:jc w:val="center"/>
        <w:rPr>
          <w:rFonts w:hint="eastAsia" w:ascii="宋体" w:hAnsi="宋体"/>
          <w:b/>
          <w:color w:val="auto"/>
          <w:sz w:val="32"/>
          <w:szCs w:val="32"/>
          <w:highlight w:val="none"/>
        </w:rPr>
      </w:pPr>
    </w:p>
    <w:p w14:paraId="65E6DD3D">
      <w:pPr>
        <w:spacing w:line="320" w:lineRule="exact"/>
        <w:jc w:val="center"/>
        <w:rPr>
          <w:rFonts w:hint="eastAsia" w:ascii="宋体" w:hAnsi="宋体"/>
          <w:b/>
          <w:color w:val="auto"/>
          <w:sz w:val="32"/>
          <w:szCs w:val="32"/>
          <w:highlight w:val="none"/>
        </w:rPr>
      </w:pPr>
    </w:p>
    <w:p w14:paraId="64C25276">
      <w:pPr>
        <w:spacing w:line="320" w:lineRule="exact"/>
        <w:jc w:val="center"/>
        <w:rPr>
          <w:rFonts w:hint="eastAsia" w:ascii="宋体" w:hAnsi="宋体"/>
          <w:b/>
          <w:color w:val="auto"/>
          <w:sz w:val="32"/>
          <w:szCs w:val="32"/>
          <w:highlight w:val="none"/>
        </w:rPr>
      </w:pPr>
    </w:p>
    <w:p w14:paraId="0DE268E3">
      <w:pPr>
        <w:spacing w:line="320" w:lineRule="exact"/>
        <w:jc w:val="center"/>
        <w:rPr>
          <w:rFonts w:hint="eastAsia" w:ascii="宋体" w:hAnsi="宋体"/>
          <w:b/>
          <w:color w:val="auto"/>
          <w:sz w:val="32"/>
          <w:szCs w:val="32"/>
          <w:highlight w:val="none"/>
        </w:rPr>
      </w:pPr>
    </w:p>
    <w:p w14:paraId="41DE9525">
      <w:pPr>
        <w:spacing w:line="320" w:lineRule="exact"/>
        <w:jc w:val="center"/>
        <w:rPr>
          <w:rFonts w:hint="eastAsia" w:ascii="宋体" w:hAnsi="宋体"/>
          <w:b/>
          <w:color w:val="auto"/>
          <w:sz w:val="32"/>
          <w:szCs w:val="32"/>
          <w:highlight w:val="none"/>
        </w:rPr>
      </w:pPr>
    </w:p>
    <w:p w14:paraId="130C8DA0">
      <w:pPr>
        <w:spacing w:line="320" w:lineRule="exact"/>
        <w:jc w:val="center"/>
        <w:rPr>
          <w:rFonts w:hint="eastAsia" w:ascii="宋体" w:hAnsi="宋体"/>
          <w:b/>
          <w:color w:val="auto"/>
          <w:sz w:val="32"/>
          <w:szCs w:val="32"/>
          <w:highlight w:val="none"/>
        </w:rPr>
      </w:pPr>
    </w:p>
    <w:p w14:paraId="63A1FD27">
      <w:pPr>
        <w:spacing w:line="320" w:lineRule="exact"/>
        <w:jc w:val="center"/>
        <w:rPr>
          <w:rFonts w:hint="eastAsia" w:ascii="宋体" w:hAnsi="宋体"/>
          <w:b/>
          <w:color w:val="auto"/>
          <w:sz w:val="32"/>
          <w:szCs w:val="32"/>
          <w:highlight w:val="none"/>
        </w:rPr>
      </w:pPr>
    </w:p>
    <w:p w14:paraId="5879ACB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供应商直接控股、管理关系信息表（格式）</w:t>
      </w:r>
    </w:p>
    <w:p w14:paraId="4EE2CEE0">
      <w:pPr>
        <w:spacing w:line="360" w:lineRule="auto"/>
        <w:contextualSpacing/>
        <w:jc w:val="center"/>
        <w:rPr>
          <w:rFonts w:hint="eastAsia" w:ascii="宋体" w:hAnsi="宋体"/>
          <w:b/>
          <w:color w:val="auto"/>
          <w:sz w:val="32"/>
          <w:szCs w:val="32"/>
          <w:highlight w:val="none"/>
        </w:rPr>
      </w:pPr>
    </w:p>
    <w:p w14:paraId="6E2759A3">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供应商直接控股股东信息表（格式）</w:t>
      </w:r>
    </w:p>
    <w:p w14:paraId="76A6C27D">
      <w:pPr>
        <w:spacing w:line="360" w:lineRule="auto"/>
        <w:contextualSpacing/>
        <w:jc w:val="center"/>
        <w:rPr>
          <w:rFonts w:hint="eastAsia" w:ascii="宋体" w:hAnsi="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0AABDC6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680346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679BDA">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4D2CFD7">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7C363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637831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799C1ADA">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33EC61">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9003A94">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8D404A1">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8C24531">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E54530">
            <w:pPr>
              <w:widowControl/>
              <w:spacing w:line="360" w:lineRule="auto"/>
              <w:contextualSpacing/>
              <w:jc w:val="center"/>
              <w:rPr>
                <w:rFonts w:hint="eastAsia" w:ascii="宋体" w:hAnsi="宋体" w:cs="宋体"/>
                <w:color w:val="auto"/>
                <w:kern w:val="0"/>
                <w:sz w:val="24"/>
                <w:highlight w:val="none"/>
              </w:rPr>
            </w:pPr>
          </w:p>
        </w:tc>
      </w:tr>
      <w:tr w14:paraId="0F515F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4BF03EB">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4FC5">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2F2D15">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E14369">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8E4099B">
            <w:pPr>
              <w:widowControl/>
              <w:spacing w:line="360" w:lineRule="auto"/>
              <w:contextualSpacing/>
              <w:jc w:val="center"/>
              <w:rPr>
                <w:rFonts w:hint="eastAsia" w:ascii="宋体" w:hAnsi="宋体" w:cs="宋体"/>
                <w:color w:val="auto"/>
                <w:kern w:val="0"/>
                <w:sz w:val="24"/>
                <w:highlight w:val="none"/>
              </w:rPr>
            </w:pPr>
          </w:p>
        </w:tc>
      </w:tr>
      <w:tr w14:paraId="7DC9FEC9">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FD88CD6">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9FD3DE">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8FDB98">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8E81814">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AF0AA81">
            <w:pPr>
              <w:widowControl/>
              <w:spacing w:line="360" w:lineRule="auto"/>
              <w:contextualSpacing/>
              <w:jc w:val="center"/>
              <w:rPr>
                <w:rFonts w:hint="eastAsia" w:ascii="宋体" w:hAnsi="宋体" w:cs="宋体"/>
                <w:color w:val="auto"/>
                <w:kern w:val="0"/>
                <w:sz w:val="24"/>
                <w:highlight w:val="none"/>
              </w:rPr>
            </w:pPr>
          </w:p>
        </w:tc>
      </w:tr>
      <w:tr w14:paraId="37E6012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4062D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61C1198">
            <w:pPr>
              <w:widowControl/>
              <w:spacing w:line="360" w:lineRule="auto"/>
              <w:contextualSpacing/>
              <w:jc w:val="center"/>
              <w:rPr>
                <w:rFonts w:hint="eastAsia"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DDBBEFF">
            <w:pPr>
              <w:widowControl/>
              <w:spacing w:line="360" w:lineRule="auto"/>
              <w:contextualSpacing/>
              <w:jc w:val="center"/>
              <w:rPr>
                <w:rFonts w:hint="eastAsia"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23B211E">
            <w:pPr>
              <w:widowControl/>
              <w:spacing w:line="360" w:lineRule="auto"/>
              <w:contextualSpacing/>
              <w:jc w:val="center"/>
              <w:rPr>
                <w:rFonts w:hint="eastAsia"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17245A1">
            <w:pPr>
              <w:widowControl/>
              <w:spacing w:line="360" w:lineRule="auto"/>
              <w:contextualSpacing/>
              <w:jc w:val="center"/>
              <w:rPr>
                <w:rFonts w:hint="eastAsia" w:ascii="宋体" w:hAnsi="宋体" w:cs="宋体"/>
                <w:color w:val="auto"/>
                <w:kern w:val="0"/>
                <w:sz w:val="24"/>
                <w:highlight w:val="none"/>
              </w:rPr>
            </w:pPr>
          </w:p>
        </w:tc>
      </w:tr>
    </w:tbl>
    <w:p w14:paraId="0DC678C7">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121434B3">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C3678AB">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40BFF018">
      <w:pPr>
        <w:spacing w:line="360" w:lineRule="auto"/>
        <w:ind w:firstLine="480" w:firstLineChars="20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1E6A967F">
      <w:pPr>
        <w:spacing w:line="360" w:lineRule="auto"/>
        <w:ind w:firstLine="420" w:firstLineChars="200"/>
        <w:contextualSpacing/>
        <w:jc w:val="left"/>
        <w:rPr>
          <w:rFonts w:hint="eastAsia" w:ascii="宋体" w:hAnsi="宋体" w:cs="宋体"/>
          <w:color w:val="auto"/>
          <w:szCs w:val="21"/>
          <w:highlight w:val="none"/>
        </w:rPr>
      </w:pPr>
    </w:p>
    <w:p w14:paraId="7A1C4E70">
      <w:pPr>
        <w:spacing w:line="360" w:lineRule="auto"/>
        <w:ind w:firstLine="560" w:firstLineChars="200"/>
        <w:contextualSpacing/>
        <w:jc w:val="left"/>
        <w:rPr>
          <w:rFonts w:hint="eastAsia" w:ascii="宋体" w:hAnsi="宋体" w:cs="宋体"/>
          <w:color w:val="auto"/>
          <w:sz w:val="28"/>
          <w:szCs w:val="28"/>
          <w:highlight w:val="none"/>
        </w:rPr>
      </w:pPr>
    </w:p>
    <w:p w14:paraId="2AFA29C2">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14:paraId="5A20AFBF">
      <w:pPr>
        <w:spacing w:line="360" w:lineRule="auto"/>
        <w:ind w:right="480" w:firstLine="3000" w:firstLineChars="125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p>
    <w:p w14:paraId="33031C09">
      <w:pPr>
        <w:spacing w:line="360" w:lineRule="auto"/>
        <w:ind w:firstLine="480" w:firstLineChars="200"/>
        <w:contextualSpacing/>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9576375">
      <w:pPr>
        <w:snapToGrid w:val="0"/>
        <w:jc w:val="center"/>
        <w:rPr>
          <w:rFonts w:hint="eastAsia" w:ascii="宋体" w:hAnsi="宋体"/>
          <w:b/>
          <w:color w:val="auto"/>
          <w:sz w:val="28"/>
          <w:szCs w:val="28"/>
          <w:highlight w:val="none"/>
        </w:rPr>
      </w:pPr>
      <w:r>
        <w:rPr>
          <w:rFonts w:ascii="宋体" w:hAnsi="宋体"/>
          <w:b/>
          <w:color w:val="auto"/>
          <w:sz w:val="28"/>
          <w:szCs w:val="28"/>
          <w:highlight w:val="none"/>
        </w:rPr>
        <w:br w:type="page"/>
      </w:r>
    </w:p>
    <w:p w14:paraId="488F3F58">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供应商直接管理关系信息表（格式）</w:t>
      </w:r>
    </w:p>
    <w:p w14:paraId="3A7DE384">
      <w:pPr>
        <w:snapToGrid w:val="0"/>
        <w:spacing w:line="360" w:lineRule="auto"/>
        <w:jc w:val="center"/>
        <w:rPr>
          <w:rFonts w:hint="eastAsia" w:ascii="宋体" w:hAnsi="宋体"/>
          <w:b/>
          <w:color w:val="auto"/>
          <w:sz w:val="24"/>
          <w:highlight w:val="none"/>
        </w:rPr>
      </w:pPr>
    </w:p>
    <w:tbl>
      <w:tblPr>
        <w:tblStyle w:val="31"/>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7001CC3D">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A8E22E9">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E03F6">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4ABA81">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EE19AF0">
            <w:pPr>
              <w:widowControl/>
              <w:spacing w:line="360" w:lineRule="auto"/>
              <w:contextualSpacing/>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相互关系</w:t>
            </w:r>
          </w:p>
        </w:tc>
      </w:tr>
      <w:tr w14:paraId="7C671C2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054550">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40B8F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F05EB8D">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12A3CB0">
            <w:pPr>
              <w:widowControl/>
              <w:spacing w:line="360" w:lineRule="auto"/>
              <w:contextualSpacing/>
              <w:jc w:val="center"/>
              <w:rPr>
                <w:rFonts w:hint="eastAsia" w:ascii="宋体" w:hAnsi="宋体" w:cs="宋体"/>
                <w:color w:val="auto"/>
                <w:kern w:val="0"/>
                <w:sz w:val="24"/>
                <w:highlight w:val="none"/>
              </w:rPr>
            </w:pPr>
          </w:p>
        </w:tc>
      </w:tr>
      <w:tr w14:paraId="453A963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B0EE73">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B86E3F">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E6A30C5">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DDACCB">
            <w:pPr>
              <w:widowControl/>
              <w:spacing w:line="360" w:lineRule="auto"/>
              <w:contextualSpacing/>
              <w:jc w:val="center"/>
              <w:rPr>
                <w:rFonts w:hint="eastAsia" w:ascii="宋体" w:hAnsi="宋体" w:cs="宋体"/>
                <w:color w:val="auto"/>
                <w:kern w:val="0"/>
                <w:sz w:val="24"/>
                <w:highlight w:val="none"/>
              </w:rPr>
            </w:pPr>
          </w:p>
        </w:tc>
      </w:tr>
      <w:tr w14:paraId="6222D5D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3A1140A">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8ACAF5">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898CE47">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2E5940">
            <w:pPr>
              <w:widowControl/>
              <w:spacing w:line="360" w:lineRule="auto"/>
              <w:contextualSpacing/>
              <w:jc w:val="center"/>
              <w:rPr>
                <w:rFonts w:hint="eastAsia" w:ascii="宋体" w:hAnsi="宋体" w:cs="宋体"/>
                <w:color w:val="auto"/>
                <w:kern w:val="0"/>
                <w:sz w:val="24"/>
                <w:highlight w:val="none"/>
              </w:rPr>
            </w:pPr>
          </w:p>
        </w:tc>
      </w:tr>
      <w:tr w14:paraId="0DD188B2">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71D6DE">
            <w:pPr>
              <w:widowControl/>
              <w:spacing w:line="360" w:lineRule="auto"/>
              <w:contextualSpacing/>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34CECF9">
            <w:pPr>
              <w:widowControl/>
              <w:spacing w:line="360" w:lineRule="auto"/>
              <w:contextualSpacing/>
              <w:jc w:val="center"/>
              <w:rPr>
                <w:rFonts w:hint="eastAsia"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2BDCB4">
            <w:pPr>
              <w:widowControl/>
              <w:spacing w:line="360" w:lineRule="auto"/>
              <w:contextualSpacing/>
              <w:jc w:val="center"/>
              <w:rPr>
                <w:rFonts w:hint="eastAsia"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BED3D6">
            <w:pPr>
              <w:widowControl/>
              <w:spacing w:line="360" w:lineRule="auto"/>
              <w:contextualSpacing/>
              <w:jc w:val="center"/>
              <w:rPr>
                <w:rFonts w:hint="eastAsia" w:ascii="宋体" w:hAnsi="宋体" w:cs="宋体"/>
                <w:color w:val="auto"/>
                <w:kern w:val="0"/>
                <w:sz w:val="24"/>
                <w:highlight w:val="none"/>
              </w:rPr>
            </w:pPr>
          </w:p>
        </w:tc>
      </w:tr>
    </w:tbl>
    <w:p w14:paraId="3A75C0D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52750B4B">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F3F25BE">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2.本表所指的管理关系仅限于直接管理关系，不包括间接的管理关系。</w:t>
      </w:r>
    </w:p>
    <w:p w14:paraId="6497E0A2">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3191955F">
      <w:pPr>
        <w:spacing w:line="360" w:lineRule="auto"/>
        <w:contextualSpacing/>
        <w:jc w:val="left"/>
        <w:rPr>
          <w:rFonts w:hint="eastAsia" w:ascii="宋体" w:hAnsi="宋体"/>
          <w:color w:val="auto"/>
          <w:sz w:val="28"/>
          <w:szCs w:val="28"/>
          <w:highlight w:val="none"/>
        </w:rPr>
      </w:pPr>
    </w:p>
    <w:p w14:paraId="391C3448">
      <w:pPr>
        <w:spacing w:line="360" w:lineRule="auto"/>
        <w:contextualSpacing/>
        <w:jc w:val="left"/>
        <w:rPr>
          <w:rFonts w:hint="eastAsia" w:ascii="宋体" w:hAnsi="宋体"/>
          <w:color w:val="auto"/>
          <w:sz w:val="28"/>
          <w:szCs w:val="28"/>
          <w:highlight w:val="none"/>
        </w:rPr>
      </w:pPr>
    </w:p>
    <w:p w14:paraId="0A0E6EAC">
      <w:pPr>
        <w:spacing w:line="360" w:lineRule="auto"/>
        <w:contextualSpacing/>
        <w:jc w:val="left"/>
        <w:rPr>
          <w:color w:val="auto"/>
          <w:sz w:val="28"/>
          <w:szCs w:val="28"/>
          <w:highlight w:val="none"/>
        </w:rPr>
      </w:pPr>
    </w:p>
    <w:p w14:paraId="66B87F05">
      <w:pPr>
        <w:spacing w:line="360" w:lineRule="auto"/>
        <w:contextualSpacing/>
        <w:jc w:val="left"/>
        <w:rPr>
          <w:rFonts w:hint="eastAsia" w:ascii="宋体" w:hAnsi="宋体"/>
          <w:color w:val="auto"/>
          <w:sz w:val="28"/>
          <w:szCs w:val="28"/>
          <w:highlight w:val="none"/>
        </w:rPr>
      </w:pPr>
    </w:p>
    <w:p w14:paraId="4EEDC80B">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320370C">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5EC9429">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6FFCC9B3">
      <w:pPr>
        <w:pStyle w:val="14"/>
        <w:tabs>
          <w:tab w:val="left" w:pos="939"/>
        </w:tabs>
        <w:spacing w:line="360" w:lineRule="auto"/>
        <w:ind w:left="0" w:leftChars="0" w:firstLine="560" w:firstLineChars="200"/>
        <w:rPr>
          <w:rFonts w:hint="eastAsia" w:ascii="宋体" w:hAnsi="宋体"/>
          <w:color w:val="auto"/>
          <w:sz w:val="28"/>
          <w:szCs w:val="28"/>
          <w:highlight w:val="none"/>
        </w:rPr>
      </w:pPr>
    </w:p>
    <w:p w14:paraId="4FD2CBF1">
      <w:pPr>
        <w:pStyle w:val="14"/>
        <w:tabs>
          <w:tab w:val="left" w:pos="939"/>
        </w:tabs>
        <w:spacing w:line="360" w:lineRule="auto"/>
        <w:ind w:left="980" w:hanging="560"/>
        <w:rPr>
          <w:rFonts w:hint="eastAsia" w:ascii="宋体" w:hAnsi="宋体"/>
          <w:color w:val="auto"/>
          <w:sz w:val="28"/>
          <w:szCs w:val="28"/>
          <w:highlight w:val="none"/>
        </w:rPr>
      </w:pPr>
    </w:p>
    <w:p w14:paraId="64E6B663">
      <w:pPr>
        <w:pStyle w:val="14"/>
        <w:tabs>
          <w:tab w:val="left" w:pos="939"/>
        </w:tabs>
        <w:spacing w:line="360" w:lineRule="auto"/>
        <w:ind w:left="980" w:hanging="560"/>
        <w:rPr>
          <w:rFonts w:hint="eastAsia" w:ascii="宋体" w:hAnsi="宋体"/>
          <w:color w:val="auto"/>
          <w:sz w:val="28"/>
          <w:szCs w:val="28"/>
          <w:highlight w:val="none"/>
        </w:rPr>
      </w:pPr>
    </w:p>
    <w:p w14:paraId="01EFEC01">
      <w:pPr>
        <w:pStyle w:val="14"/>
        <w:tabs>
          <w:tab w:val="left" w:pos="939"/>
        </w:tabs>
        <w:spacing w:line="360" w:lineRule="auto"/>
        <w:ind w:left="980" w:hanging="560"/>
        <w:rPr>
          <w:rFonts w:hint="eastAsia" w:ascii="宋体" w:hAnsi="宋体"/>
          <w:color w:val="auto"/>
          <w:sz w:val="28"/>
          <w:szCs w:val="28"/>
          <w:highlight w:val="none"/>
        </w:rPr>
      </w:pPr>
    </w:p>
    <w:p w14:paraId="6C3D9563">
      <w:pPr>
        <w:pStyle w:val="14"/>
        <w:tabs>
          <w:tab w:val="left" w:pos="939"/>
        </w:tabs>
        <w:spacing w:line="360" w:lineRule="auto"/>
        <w:ind w:left="980" w:hanging="560"/>
        <w:rPr>
          <w:rFonts w:hint="eastAsia" w:ascii="宋体" w:hAnsi="宋体"/>
          <w:color w:val="auto"/>
          <w:sz w:val="28"/>
          <w:szCs w:val="28"/>
          <w:highlight w:val="none"/>
        </w:rPr>
      </w:pPr>
    </w:p>
    <w:p w14:paraId="1198EB8F">
      <w:pPr>
        <w:pStyle w:val="14"/>
        <w:tabs>
          <w:tab w:val="left" w:pos="939"/>
        </w:tabs>
        <w:spacing w:line="360" w:lineRule="auto"/>
        <w:ind w:left="980" w:hanging="560"/>
        <w:rPr>
          <w:rFonts w:hint="eastAsia" w:ascii="宋体" w:hAnsi="宋体"/>
          <w:color w:val="auto"/>
          <w:sz w:val="28"/>
          <w:szCs w:val="28"/>
          <w:highlight w:val="none"/>
        </w:rPr>
      </w:pPr>
    </w:p>
    <w:p w14:paraId="3291896B">
      <w:pPr>
        <w:spacing w:line="500" w:lineRule="exact"/>
        <w:jc w:val="center"/>
        <w:rPr>
          <w:rFonts w:hint="eastAsia" w:ascii="宋体" w:hAnsi="宋体"/>
          <w:b/>
          <w:color w:val="auto"/>
          <w:sz w:val="32"/>
          <w:szCs w:val="32"/>
          <w:highlight w:val="none"/>
        </w:rPr>
      </w:pPr>
      <w:bookmarkStart w:id="74" w:name="_Toc71365926"/>
      <w:r>
        <w:rPr>
          <w:rFonts w:hint="eastAsia" w:ascii="宋体" w:hAnsi="宋体"/>
          <w:b/>
          <w:color w:val="auto"/>
          <w:sz w:val="32"/>
          <w:szCs w:val="32"/>
          <w:highlight w:val="none"/>
        </w:rPr>
        <w:t>中小企业声明函（工程）</w:t>
      </w:r>
      <w:bookmarkEnd w:id="74"/>
    </w:p>
    <w:p w14:paraId="145197C1">
      <w:pPr>
        <w:pStyle w:val="2"/>
        <w:spacing w:line="500" w:lineRule="exact"/>
        <w:ind w:right="142" w:firstLine="705" w:firstLineChars="294"/>
        <w:rPr>
          <w:rFonts w:hint="eastAsia" w:hAnsi="宋体"/>
          <w:color w:val="auto"/>
          <w:sz w:val="24"/>
          <w:highlight w:val="none"/>
        </w:rPr>
      </w:pPr>
    </w:p>
    <w:p w14:paraId="19377E57">
      <w:pPr>
        <w:pStyle w:val="2"/>
        <w:spacing w:line="500" w:lineRule="exact"/>
        <w:ind w:right="142" w:firstLine="705" w:firstLineChars="294"/>
        <w:rPr>
          <w:rFonts w:hint="eastAsia" w:hAnsi="宋体"/>
          <w:color w:val="auto"/>
          <w:sz w:val="24"/>
          <w:highlight w:val="none"/>
        </w:rPr>
      </w:pPr>
      <w:r>
        <w:rPr>
          <w:rFonts w:hAnsi="宋体"/>
          <w:color w:val="auto"/>
          <w:sz w:val="24"/>
          <w:highlight w:val="none"/>
        </w:rPr>
        <w:t>本公司（联合体）郑重声明，根据《政府采购促进中小企业发展管理办法》（财库﹝2020﹞46号）的规定，本公司（联合体）参加</w:t>
      </w:r>
      <w:r>
        <w:rPr>
          <w:rFonts w:hAnsi="宋体"/>
          <w:color w:val="auto"/>
          <w:sz w:val="24"/>
          <w:highlight w:val="none"/>
          <w:u w:val="single"/>
        </w:rPr>
        <w:t>（单位名称）</w:t>
      </w:r>
      <w:r>
        <w:rPr>
          <w:rFonts w:hAnsi="宋体"/>
          <w:color w:val="auto"/>
          <w:sz w:val="24"/>
          <w:highlight w:val="none"/>
        </w:rPr>
        <w:t>的</w:t>
      </w:r>
      <w:r>
        <w:rPr>
          <w:rFonts w:hAnsi="宋体"/>
          <w:color w:val="auto"/>
          <w:sz w:val="24"/>
          <w:highlight w:val="none"/>
          <w:u w:val="single"/>
        </w:rPr>
        <w:t>（项目名称）</w:t>
      </w:r>
      <w:r>
        <w:rPr>
          <w:rFonts w:hAnsi="宋体"/>
          <w:color w:val="auto"/>
          <w:sz w:val="24"/>
          <w:highlight w:val="none"/>
        </w:rPr>
        <w:t>采购活动，</w:t>
      </w:r>
      <w:r>
        <w:rPr>
          <w:rFonts w:hint="eastAsia" w:hAnsi="宋体"/>
          <w:color w:val="auto"/>
          <w:sz w:val="24"/>
          <w:highlight w:val="none"/>
        </w:rPr>
        <w:t>工程的施工单位全部为符合政策要求的中小企业。相关企业（含联合体中的中小企业、签订分包意向协议的中小企业）的具体情况如下：</w:t>
      </w:r>
    </w:p>
    <w:p w14:paraId="00F67E11">
      <w:pPr>
        <w:tabs>
          <w:tab w:val="left" w:pos="1384"/>
          <w:tab w:val="left" w:pos="4562"/>
          <w:tab w:val="left" w:pos="6803"/>
        </w:tabs>
        <w:spacing w:before="13" w:line="500" w:lineRule="exact"/>
        <w:ind w:right="142" w:firstLine="480" w:firstLineChars="200"/>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0B4EF6F8">
      <w:pPr>
        <w:tabs>
          <w:tab w:val="left" w:pos="1065"/>
          <w:tab w:val="left" w:pos="4262"/>
          <w:tab w:val="left" w:pos="6477"/>
        </w:tabs>
        <w:spacing w:before="20" w:line="500" w:lineRule="exact"/>
        <w:ind w:right="84" w:firstLine="480" w:firstLineChars="200"/>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6F6542B0">
      <w:pPr>
        <w:pStyle w:val="2"/>
        <w:spacing w:before="34" w:line="500" w:lineRule="exact"/>
        <w:ind w:right="142" w:firstLine="705" w:firstLineChars="294"/>
        <w:rPr>
          <w:rFonts w:hint="eastAsia" w:hAnsi="宋体"/>
          <w:color w:val="auto"/>
          <w:sz w:val="24"/>
          <w:highlight w:val="none"/>
        </w:rPr>
      </w:pPr>
      <w:r>
        <w:rPr>
          <w:rFonts w:hAnsi="宋体"/>
          <w:color w:val="auto"/>
          <w:sz w:val="24"/>
          <w:highlight w:val="none"/>
        </w:rPr>
        <w:t xml:space="preserve">…… </w:t>
      </w:r>
    </w:p>
    <w:p w14:paraId="1ABC40EE">
      <w:pPr>
        <w:pStyle w:val="2"/>
        <w:spacing w:before="34" w:line="500" w:lineRule="exact"/>
        <w:ind w:right="142" w:firstLine="723" w:firstLineChars="200"/>
        <w:rPr>
          <w:rFonts w:hint="eastAsia" w:hAnsi="宋体"/>
          <w:b/>
          <w:bCs/>
          <w:color w:val="auto"/>
          <w:sz w:val="36"/>
          <w:szCs w:val="24"/>
          <w:highlight w:val="none"/>
        </w:rPr>
      </w:pPr>
      <w:r>
        <w:rPr>
          <w:rFonts w:hAnsi="宋体"/>
          <w:b/>
          <w:bCs/>
          <w:color w:val="auto"/>
          <w:sz w:val="36"/>
          <w:szCs w:val="24"/>
          <w:highlight w:val="none"/>
        </w:rPr>
        <w:t>以上企业，不属于大企业的分支机构，不存在控股股东为大企业的情形，也不存在与大企业的负责人为同一人的情形。</w:t>
      </w:r>
    </w:p>
    <w:p w14:paraId="4313A461">
      <w:pPr>
        <w:pStyle w:val="2"/>
        <w:spacing w:before="25" w:line="500" w:lineRule="exact"/>
        <w:ind w:right="142" w:firstLine="480" w:firstLineChars="200"/>
        <w:rPr>
          <w:rFonts w:hint="eastAsia" w:hAnsi="宋体"/>
          <w:color w:val="auto"/>
          <w:sz w:val="24"/>
          <w:highlight w:val="none"/>
        </w:rPr>
      </w:pPr>
      <w:r>
        <w:rPr>
          <w:rFonts w:hAnsi="宋体"/>
          <w:color w:val="auto"/>
          <w:sz w:val="24"/>
          <w:highlight w:val="none"/>
        </w:rPr>
        <w:t>本企业对上述声明内容的真实性负责。如有虚假，将依法承担相应责任。</w:t>
      </w:r>
    </w:p>
    <w:p w14:paraId="639606BC">
      <w:pPr>
        <w:pStyle w:val="2"/>
        <w:spacing w:before="56" w:line="500" w:lineRule="exact"/>
        <w:ind w:right="1808" w:firstLine="705" w:firstLineChars="294"/>
        <w:rPr>
          <w:rFonts w:hint="eastAsia" w:hAnsi="宋体"/>
          <w:color w:val="auto"/>
          <w:sz w:val="24"/>
          <w:highlight w:val="none"/>
        </w:rPr>
      </w:pPr>
    </w:p>
    <w:p w14:paraId="0D8D50E9">
      <w:pPr>
        <w:pStyle w:val="2"/>
        <w:spacing w:before="56" w:line="500" w:lineRule="exact"/>
        <w:ind w:right="650" w:firstLine="5625" w:firstLineChars="2344"/>
        <w:rPr>
          <w:rFonts w:hint="eastAsia" w:hAnsi="宋体"/>
          <w:color w:val="auto"/>
          <w:sz w:val="24"/>
          <w:highlight w:val="none"/>
        </w:rPr>
      </w:pPr>
      <w:r>
        <w:rPr>
          <w:rFonts w:hAnsi="宋体"/>
          <w:color w:val="auto"/>
          <w:sz w:val="24"/>
          <w:highlight w:val="none"/>
        </w:rPr>
        <w:t>企业名称（</w:t>
      </w:r>
      <w:r>
        <w:rPr>
          <w:rFonts w:hint="eastAsia" w:hAnsi="宋体"/>
          <w:color w:val="auto"/>
          <w:sz w:val="24"/>
          <w:szCs w:val="24"/>
          <w:highlight w:val="none"/>
        </w:rPr>
        <w:t>电子签章</w:t>
      </w:r>
      <w:r>
        <w:rPr>
          <w:rFonts w:hAnsi="宋体"/>
          <w:color w:val="auto"/>
          <w:sz w:val="24"/>
          <w:highlight w:val="none"/>
        </w:rPr>
        <w:t xml:space="preserve">）： </w:t>
      </w:r>
    </w:p>
    <w:p w14:paraId="0165C2BB">
      <w:pPr>
        <w:pStyle w:val="2"/>
        <w:spacing w:before="56" w:line="500" w:lineRule="exact"/>
        <w:ind w:right="1808" w:firstLine="5625" w:firstLineChars="2344"/>
        <w:rPr>
          <w:rFonts w:hint="eastAsia" w:hAnsi="宋体"/>
          <w:color w:val="auto"/>
          <w:sz w:val="24"/>
          <w:highlight w:val="none"/>
        </w:rPr>
      </w:pPr>
      <w:r>
        <w:rPr>
          <w:rFonts w:hAnsi="宋体"/>
          <w:color w:val="auto"/>
          <w:sz w:val="24"/>
          <w:highlight w:val="none"/>
        </w:rPr>
        <w:t>日 期：</w:t>
      </w:r>
    </w:p>
    <w:p w14:paraId="37EC295F">
      <w:pPr>
        <w:pStyle w:val="2"/>
        <w:spacing w:before="56" w:line="500" w:lineRule="exact"/>
        <w:ind w:right="1808" w:firstLine="5625" w:firstLineChars="2344"/>
        <w:rPr>
          <w:rFonts w:hint="eastAsia" w:hAnsi="宋体"/>
          <w:color w:val="auto"/>
          <w:sz w:val="24"/>
          <w:highlight w:val="none"/>
        </w:rPr>
      </w:pPr>
    </w:p>
    <w:p w14:paraId="79FBE625">
      <w:pPr>
        <w:spacing w:line="520" w:lineRule="exact"/>
        <w:ind w:firstLine="480" w:firstLineChars="200"/>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FB90D6E">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r>
      <w:r>
        <w:rPr>
          <w:rFonts w:hint="eastAsia" w:ascii="方正小标宋简体" w:hAnsi="方正小标宋简体" w:eastAsia="方正小标宋简体" w:cs="方正小标宋简体"/>
          <w:color w:val="auto"/>
          <w:sz w:val="40"/>
          <w:szCs w:val="40"/>
          <w:highlight w:val="none"/>
        </w:rPr>
        <w:t>残疾人福利性单位声明函</w:t>
      </w:r>
    </w:p>
    <w:p w14:paraId="094515B2">
      <w:pPr>
        <w:spacing w:line="360" w:lineRule="auto"/>
        <w:contextualSpacing/>
        <w:rPr>
          <w:rFonts w:hint="eastAsia" w:ascii="仿宋_GB2312" w:hAnsi="仿宋_GB2312" w:eastAsia="仿宋_GB2312" w:cs="仿宋_GB2312"/>
          <w:color w:val="auto"/>
          <w:sz w:val="32"/>
          <w:szCs w:val="32"/>
          <w:highlight w:val="none"/>
        </w:rPr>
      </w:pPr>
    </w:p>
    <w:p w14:paraId="3A5E143F">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463B92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767A8041">
      <w:pPr>
        <w:spacing w:line="360" w:lineRule="auto"/>
        <w:contextualSpacing/>
        <w:rPr>
          <w:rFonts w:hint="eastAsia" w:ascii="宋体" w:hAnsi="宋体" w:cs="仿宋_GB2312"/>
          <w:color w:val="auto"/>
          <w:sz w:val="24"/>
          <w:highlight w:val="none"/>
        </w:rPr>
      </w:pPr>
    </w:p>
    <w:p w14:paraId="54974502">
      <w:pPr>
        <w:spacing w:line="360" w:lineRule="auto"/>
        <w:contextualSpacing/>
        <w:rPr>
          <w:rFonts w:hint="eastAsia" w:ascii="宋体" w:hAnsi="宋体" w:cs="仿宋_GB2312"/>
          <w:color w:val="auto"/>
          <w:sz w:val="24"/>
          <w:highlight w:val="none"/>
        </w:rPr>
      </w:pPr>
    </w:p>
    <w:p w14:paraId="4A3F4042">
      <w:pPr>
        <w:spacing w:line="360" w:lineRule="auto"/>
        <w:contextualSpacing/>
        <w:rPr>
          <w:rFonts w:hint="eastAsia" w:ascii="宋体" w:hAnsi="宋体" w:cs="仿宋_GB2312"/>
          <w:color w:val="auto"/>
          <w:sz w:val="24"/>
          <w:highlight w:val="none"/>
        </w:rPr>
      </w:pPr>
    </w:p>
    <w:p w14:paraId="7790F858">
      <w:pPr>
        <w:spacing w:line="360" w:lineRule="auto"/>
        <w:ind w:firstLine="4560" w:firstLineChars="19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w:t>
      </w:r>
      <w:r>
        <w:rPr>
          <w:rFonts w:hint="eastAsia" w:ascii="宋体" w:hAnsi="宋体"/>
          <w:color w:val="auto"/>
          <w:sz w:val="24"/>
          <w:highlight w:val="none"/>
        </w:rPr>
        <w:t>电子签章</w:t>
      </w:r>
      <w:r>
        <w:rPr>
          <w:rFonts w:hint="eastAsia" w:ascii="宋体" w:hAnsi="宋体" w:cs="仿宋_GB2312"/>
          <w:color w:val="auto"/>
          <w:sz w:val="24"/>
          <w:highlight w:val="none"/>
        </w:rPr>
        <w:t>）：</w:t>
      </w:r>
    </w:p>
    <w:p w14:paraId="0F94360B">
      <w:pPr>
        <w:spacing w:line="360" w:lineRule="auto"/>
        <w:ind w:firstLine="5040" w:firstLineChars="21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43E9F107">
      <w:pPr>
        <w:spacing w:line="360" w:lineRule="auto"/>
        <w:contextualSpacing/>
        <w:rPr>
          <w:rFonts w:hint="eastAsia" w:ascii="宋体" w:hAnsi="宋体" w:cs="仿宋_GB2312"/>
          <w:color w:val="auto"/>
          <w:sz w:val="24"/>
          <w:highlight w:val="none"/>
        </w:rPr>
      </w:pPr>
    </w:p>
    <w:p w14:paraId="00D079C1">
      <w:pPr>
        <w:spacing w:line="360" w:lineRule="auto"/>
        <w:contextualSpacing/>
        <w:rPr>
          <w:rFonts w:hint="eastAsia" w:ascii="宋体" w:hAnsi="宋体" w:cs="仿宋_GB2312"/>
          <w:color w:val="auto"/>
          <w:sz w:val="24"/>
          <w:highlight w:val="none"/>
        </w:rPr>
      </w:pPr>
    </w:p>
    <w:p w14:paraId="58DB9D48">
      <w:pPr>
        <w:spacing w:line="360" w:lineRule="auto"/>
        <w:contextualSpacing/>
        <w:rPr>
          <w:rFonts w:hint="eastAsia" w:ascii="宋体" w:hAnsi="宋体" w:cs="仿宋_GB2312"/>
          <w:color w:val="auto"/>
          <w:sz w:val="24"/>
          <w:highlight w:val="none"/>
        </w:rPr>
      </w:pPr>
    </w:p>
    <w:p w14:paraId="7C2DA786">
      <w:pPr>
        <w:pStyle w:val="14"/>
        <w:tabs>
          <w:tab w:val="left" w:pos="939"/>
        </w:tabs>
        <w:spacing w:line="360" w:lineRule="auto"/>
        <w:ind w:left="0" w:leftChars="0" w:firstLine="720" w:firstLineChars="300"/>
        <w:rPr>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r>
        <w:rPr>
          <w:rFonts w:ascii="宋体" w:hAnsi="宋体"/>
          <w:color w:val="auto"/>
          <w:sz w:val="28"/>
          <w:szCs w:val="28"/>
          <w:highlight w:val="none"/>
        </w:rPr>
        <w:br w:type="page"/>
      </w:r>
    </w:p>
    <w:p w14:paraId="7E80B936">
      <w:pPr>
        <w:spacing w:line="360" w:lineRule="auto"/>
        <w:ind w:right="420"/>
        <w:contextualSpacing/>
        <w:jc w:val="left"/>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2B4E3E6F">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73BDFEDD">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5AE75C9E">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8D90ECF">
      <w:pPr>
        <w:snapToGrid w:val="0"/>
        <w:spacing w:before="156" w:beforeLines="50" w:after="50"/>
        <w:rPr>
          <w:rFonts w:hint="eastAsia" w:ascii="宋体" w:hAnsi="宋体"/>
          <w:color w:val="auto"/>
          <w:sz w:val="24"/>
          <w:szCs w:val="20"/>
          <w:highlight w:val="none"/>
        </w:rPr>
      </w:pPr>
    </w:p>
    <w:p w14:paraId="3A1A0D3E">
      <w:pPr>
        <w:snapToGrid w:val="0"/>
        <w:spacing w:before="156" w:beforeLines="50" w:after="50"/>
        <w:rPr>
          <w:rFonts w:hint="eastAsia" w:ascii="宋体" w:hAnsi="宋体"/>
          <w:color w:val="auto"/>
          <w:sz w:val="24"/>
          <w:szCs w:val="20"/>
          <w:highlight w:val="none"/>
        </w:rPr>
      </w:pPr>
    </w:p>
    <w:p w14:paraId="147AC8AF">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571AE27">
      <w:pPr>
        <w:snapToGrid w:val="0"/>
        <w:spacing w:before="156" w:beforeLines="50" w:after="50"/>
        <w:rPr>
          <w:rFonts w:hint="eastAsia" w:ascii="宋体" w:hAnsi="宋体"/>
          <w:bCs/>
          <w:color w:val="auto"/>
          <w:sz w:val="24"/>
          <w:szCs w:val="20"/>
          <w:highlight w:val="none"/>
        </w:rPr>
      </w:pPr>
    </w:p>
    <w:p w14:paraId="3532DA12">
      <w:pPr>
        <w:snapToGrid w:val="0"/>
        <w:spacing w:before="156" w:beforeLines="50" w:after="50"/>
        <w:rPr>
          <w:rFonts w:hint="eastAsia" w:ascii="宋体" w:hAnsi="宋体"/>
          <w:bCs/>
          <w:color w:val="auto"/>
          <w:sz w:val="24"/>
          <w:szCs w:val="20"/>
          <w:highlight w:val="none"/>
        </w:rPr>
      </w:pPr>
    </w:p>
    <w:p w14:paraId="7AE4BE73">
      <w:pPr>
        <w:snapToGrid w:val="0"/>
        <w:spacing w:before="156" w:beforeLines="50" w:after="50"/>
        <w:rPr>
          <w:rFonts w:hint="eastAsia" w:ascii="宋体" w:hAnsi="宋体"/>
          <w:bCs/>
          <w:color w:val="auto"/>
          <w:sz w:val="24"/>
          <w:szCs w:val="20"/>
          <w:highlight w:val="none"/>
        </w:rPr>
      </w:pPr>
    </w:p>
    <w:p w14:paraId="346B40C8">
      <w:pPr>
        <w:snapToGrid w:val="0"/>
        <w:spacing w:before="156" w:beforeLines="50" w:after="50"/>
        <w:rPr>
          <w:rFonts w:hint="eastAsia" w:ascii="宋体" w:hAnsi="宋体"/>
          <w:bCs/>
          <w:color w:val="auto"/>
          <w:sz w:val="24"/>
          <w:szCs w:val="20"/>
          <w:highlight w:val="none"/>
        </w:rPr>
      </w:pPr>
    </w:p>
    <w:p w14:paraId="11A10E01">
      <w:pPr>
        <w:snapToGrid w:val="0"/>
        <w:spacing w:before="156" w:beforeLines="50" w:after="50"/>
        <w:rPr>
          <w:rFonts w:hint="eastAsia" w:ascii="宋体" w:hAnsi="宋体"/>
          <w:bCs/>
          <w:color w:val="auto"/>
          <w:sz w:val="24"/>
          <w:szCs w:val="20"/>
          <w:highlight w:val="none"/>
        </w:rPr>
      </w:pPr>
    </w:p>
    <w:p w14:paraId="6AA2EB91">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07340427">
      <w:pPr>
        <w:snapToGrid w:val="0"/>
        <w:spacing w:before="156" w:beforeLines="50" w:after="50"/>
        <w:ind w:firstLine="720" w:firstLineChars="225"/>
        <w:rPr>
          <w:rFonts w:hint="eastAsia" w:ascii="宋体" w:hAnsi="宋体" w:cs="仿宋_GB2312"/>
          <w:bCs/>
          <w:color w:val="auto"/>
          <w:sz w:val="32"/>
          <w:szCs w:val="32"/>
          <w:highlight w:val="none"/>
        </w:rPr>
      </w:pPr>
    </w:p>
    <w:p w14:paraId="719003E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CF3073E">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269AA44">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AB5DD40">
      <w:pPr>
        <w:pStyle w:val="10"/>
        <w:snapToGrid w:val="0"/>
        <w:spacing w:before="50" w:after="50"/>
        <w:ind w:firstLine="640"/>
        <w:rPr>
          <w:rFonts w:hint="eastAsia" w:ascii="宋体" w:hAnsi="宋体" w:cs="仿宋_GB2312"/>
          <w:bCs/>
          <w:color w:val="auto"/>
          <w:sz w:val="32"/>
          <w:szCs w:val="32"/>
          <w:highlight w:val="none"/>
        </w:rPr>
      </w:pPr>
    </w:p>
    <w:p w14:paraId="6DF5C553">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08A002A2">
      <w:pPr>
        <w:pStyle w:val="10"/>
        <w:snapToGrid w:val="0"/>
        <w:spacing w:before="50" w:after="50"/>
        <w:ind w:firstLine="640"/>
        <w:rPr>
          <w:rFonts w:hint="eastAsia" w:ascii="宋体" w:hAnsi="宋体" w:cs="仿宋_GB2312"/>
          <w:bCs/>
          <w:color w:val="auto"/>
          <w:sz w:val="32"/>
          <w:szCs w:val="32"/>
          <w:highlight w:val="none"/>
        </w:rPr>
      </w:pPr>
    </w:p>
    <w:p w14:paraId="7D91AF87">
      <w:pPr>
        <w:pStyle w:val="10"/>
        <w:snapToGrid w:val="0"/>
        <w:spacing w:before="50" w:after="50"/>
        <w:ind w:firstLine="720" w:firstLineChars="225"/>
        <w:rPr>
          <w:rFonts w:hint="eastAsia" w:ascii="宋体" w:hAnsi="宋体" w:cs="仿宋_GB2312"/>
          <w:bCs/>
          <w:color w:val="auto"/>
          <w:sz w:val="32"/>
          <w:szCs w:val="32"/>
          <w:highlight w:val="none"/>
        </w:rPr>
      </w:pPr>
    </w:p>
    <w:p w14:paraId="5907D477">
      <w:pPr>
        <w:pStyle w:val="10"/>
        <w:snapToGrid w:val="0"/>
        <w:spacing w:before="50" w:after="50"/>
        <w:ind w:firstLine="640"/>
        <w:rPr>
          <w:rFonts w:hint="eastAsia" w:ascii="宋体" w:hAnsi="宋体" w:cs="仿宋_GB2312"/>
          <w:bCs/>
          <w:color w:val="auto"/>
          <w:sz w:val="32"/>
          <w:szCs w:val="32"/>
          <w:highlight w:val="none"/>
        </w:rPr>
      </w:pPr>
    </w:p>
    <w:p w14:paraId="1C6EADFA">
      <w:pPr>
        <w:pStyle w:val="10"/>
        <w:snapToGrid w:val="0"/>
        <w:spacing w:before="50" w:after="50"/>
        <w:ind w:firstLine="1280" w:firstLineChars="400"/>
        <w:rPr>
          <w:rFonts w:hint="eastAsia" w:ascii="宋体" w:hAnsi="宋体" w:cs="仿宋_GB2312"/>
          <w:bCs/>
          <w:color w:val="auto"/>
          <w:sz w:val="32"/>
          <w:szCs w:val="32"/>
          <w:highlight w:val="none"/>
        </w:rPr>
      </w:pPr>
    </w:p>
    <w:p w14:paraId="5D151401">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0CAD4F72">
      <w:pPr>
        <w:snapToGrid w:val="0"/>
        <w:spacing w:before="156" w:beforeLines="5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r>
      <w:r>
        <w:rPr>
          <w:rFonts w:hint="eastAsia" w:ascii="宋体" w:hAnsi="宋体"/>
          <w:b/>
          <w:bCs/>
          <w:color w:val="auto"/>
          <w:sz w:val="32"/>
          <w:szCs w:val="32"/>
          <w:highlight w:val="none"/>
        </w:rPr>
        <w:t>2.报价文件目录</w:t>
      </w:r>
    </w:p>
    <w:p w14:paraId="6FCD7D29">
      <w:pPr>
        <w:autoSpaceDE w:val="0"/>
        <w:autoSpaceDN w:val="0"/>
        <w:adjustRightInd w:val="0"/>
        <w:spacing w:line="360" w:lineRule="auto"/>
        <w:ind w:firstLine="640" w:firstLineChars="200"/>
        <w:rPr>
          <w:rFonts w:hint="eastAsia" w:ascii="宋体" w:hAnsi="宋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r>
    </w:p>
    <w:p w14:paraId="3947894D">
      <w:pPr>
        <w:pStyle w:val="3"/>
        <w:jc w:val="center"/>
        <w:rPr>
          <w:rFonts w:hint="eastAsia" w:asciiTheme="majorEastAsia" w:hAnsiTheme="majorEastAsia" w:eastAsiaTheme="majorEastAsia" w:cstheme="majorEastAsia"/>
          <w:b/>
          <w:bCs/>
          <w:color w:val="auto"/>
          <w:sz w:val="32"/>
          <w:szCs w:val="32"/>
          <w:highlight w:val="none"/>
        </w:rPr>
      </w:pPr>
      <w:r>
        <w:rPr>
          <w:rFonts w:hint="eastAsia" w:asciiTheme="majorEastAsia" w:hAnsiTheme="majorEastAsia" w:eastAsiaTheme="majorEastAsia" w:cstheme="majorEastAsia"/>
          <w:b/>
          <w:bCs/>
          <w:color w:val="auto"/>
          <w:sz w:val="32"/>
          <w:szCs w:val="32"/>
          <w:highlight w:val="none"/>
        </w:rPr>
        <w:t>磋商函（格式）</w:t>
      </w:r>
    </w:p>
    <w:p w14:paraId="086B2F1C">
      <w:pPr>
        <w:pStyle w:val="3"/>
        <w:jc w:val="both"/>
        <w:rPr>
          <w:rFonts w:hint="eastAsia" w:asciiTheme="majorEastAsia" w:hAnsiTheme="majorEastAsia" w:eastAsiaTheme="majorEastAsia" w:cstheme="majorEastAsia"/>
          <w:color w:val="auto"/>
          <w:highlight w:val="none"/>
        </w:rPr>
      </w:pPr>
    </w:p>
    <w:p w14:paraId="12FAFA60">
      <w:pPr>
        <w:spacing w:line="360" w:lineRule="auto"/>
        <w:contextualSpacing/>
        <w:rPr>
          <w:rFonts w:hint="eastAsia" w:ascii="宋体" w:hAnsi="宋体" w:cs="宋体"/>
          <w:color w:val="auto"/>
          <w:sz w:val="22"/>
          <w:szCs w:val="22"/>
          <w:highlight w:val="none"/>
        </w:rPr>
      </w:pPr>
      <w:r>
        <w:rPr>
          <w:rFonts w:hint="eastAsia" w:ascii="宋体" w:hAnsi="宋体" w:cs="宋体"/>
          <w:color w:val="auto"/>
          <w:sz w:val="22"/>
          <w:szCs w:val="22"/>
          <w:highlight w:val="none"/>
        </w:rPr>
        <w:t>致：</w:t>
      </w:r>
      <w:r>
        <w:rPr>
          <w:rFonts w:hint="eastAsia" w:ascii="宋体" w:hAnsi="宋体" w:cs="宋体"/>
          <w:color w:val="auto"/>
          <w:sz w:val="22"/>
          <w:szCs w:val="22"/>
          <w:highlight w:val="none"/>
          <w:u w:val="single"/>
        </w:rPr>
        <w:t>（采购人名称）</w:t>
      </w:r>
    </w:p>
    <w:p w14:paraId="4163E701">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1、根据你方项目编号为</w:t>
      </w:r>
      <w:r>
        <w:rPr>
          <w:rFonts w:hint="eastAsia" w:asciiTheme="majorEastAsia" w:hAnsiTheme="majorEastAsia" w:eastAsiaTheme="majorEastAsia" w:cstheme="majorEastAsia"/>
          <w:color w:val="auto"/>
          <w:highlight w:val="none"/>
          <w:u w:val="single"/>
        </w:rPr>
        <w:t xml:space="preserve">    （项目编号）   </w:t>
      </w:r>
      <w:r>
        <w:rPr>
          <w:rFonts w:hint="eastAsia" w:asciiTheme="majorEastAsia" w:hAnsiTheme="majorEastAsia" w:eastAsiaTheme="majorEastAsia" w:cstheme="majorEastAsia"/>
          <w:color w:val="auto"/>
          <w:highlight w:val="none"/>
        </w:rPr>
        <w:t>的</w:t>
      </w:r>
      <w:r>
        <w:rPr>
          <w:rFonts w:hint="eastAsia" w:asciiTheme="majorEastAsia" w:hAnsiTheme="majorEastAsia" w:eastAsiaTheme="majorEastAsia" w:cstheme="majorEastAsia"/>
          <w:color w:val="auto"/>
          <w:highlight w:val="none"/>
          <w:u w:val="single"/>
        </w:rPr>
        <w:t xml:space="preserve">   （项目名称）   </w:t>
      </w:r>
      <w:r>
        <w:rPr>
          <w:rFonts w:hint="eastAsia" w:asciiTheme="majorEastAsia" w:hAnsiTheme="majorEastAsia" w:eastAsiaTheme="majorEastAsia" w:cstheme="majorEastAsia"/>
          <w:color w:val="auto"/>
          <w:highlight w:val="none"/>
        </w:rPr>
        <w:t>工程竞争性磋商文件，遵照《中华人民共和国政府采购法》、《中华人民共和国政府采购法实施条例》、《政府采购竞争性磋商采购方式管理暂行办法》等有关规定，经研究上述竞争性磋商文件的磋商须知、合同条款、图纸和工程量清单及其他有关文件后，我方愿以人民币（大 写：</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w:t>
      </w:r>
      <w:r>
        <w:rPr>
          <w:rFonts w:hint="eastAsia" w:asciiTheme="majorEastAsia" w:hAnsiTheme="majorEastAsia" w:eastAsiaTheme="majorEastAsia" w:cstheme="majorEastAsia"/>
          <w:color w:val="auto"/>
          <w:highlight w:val="none"/>
          <w:u w:val="single"/>
        </w:rPr>
        <w:t>（</w:t>
      </w:r>
      <w:r>
        <w:rPr>
          <w:rFonts w:ascii="Arial" w:hAnsi="Arial" w:cs="Arial" w:eastAsiaTheme="majorEastAsia"/>
          <w:color w:val="auto"/>
          <w:highlight w:val="none"/>
          <w:u w:val="single"/>
        </w:rPr>
        <w:t>¥</w:t>
      </w:r>
      <w:r>
        <w:rPr>
          <w:rFonts w:hint="eastAsia" w:asciiTheme="majorEastAsia" w:hAnsiTheme="majorEastAsia" w:eastAsiaTheme="majorEastAsia" w:cstheme="majorEastAsia"/>
          <w:color w:val="auto"/>
          <w:highlight w:val="none"/>
          <w:u w:val="single"/>
        </w:rPr>
        <w:t xml:space="preserve">         元）</w:t>
      </w:r>
      <w:r>
        <w:rPr>
          <w:rFonts w:hint="eastAsia" w:asciiTheme="majorEastAsia" w:hAnsiTheme="majorEastAsia" w:eastAsiaTheme="majorEastAsia" w:cstheme="majorEastAsia"/>
          <w:color w:val="auto"/>
          <w:highlight w:val="none"/>
        </w:rPr>
        <w:t>的磋商报价并按上述图纸、合同条款和工程量清单（如有时）的条件要求承包上述工程的施工、竣工，并承担任何质量缺陷保修责任。我方保证工程质量达到</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等级。</w:t>
      </w:r>
    </w:p>
    <w:p w14:paraId="30A1D8B2">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2、我方已详细审核全部竞争性磋商文件，包括修改文件（如有时）及有关附件。</w:t>
      </w:r>
    </w:p>
    <w:p w14:paraId="4C02FB81">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3、我方承认磋商函附录是我方磋商函的组成部分。</w:t>
      </w:r>
    </w:p>
    <w:p w14:paraId="297771B6">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4、我方承诺已经具备《中华人民共和国政府采购法》中规定的参加招标投标采购活动的供应商应当具备的条件：</w:t>
      </w:r>
    </w:p>
    <w:p w14:paraId="66521188">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（1）具有独立承担民事责任的能力；</w:t>
      </w:r>
    </w:p>
    <w:p w14:paraId="75777402">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（2）具有良好的商业信誉和健全的财务会计制度；</w:t>
      </w:r>
    </w:p>
    <w:p w14:paraId="02AA5642">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（3）具有履行合同所必需的设备和专业技术能力；</w:t>
      </w:r>
    </w:p>
    <w:p w14:paraId="5BBBDA3F">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（4）有依法缴纳税收和社会保障资金的良好记录；</w:t>
      </w:r>
    </w:p>
    <w:p w14:paraId="50B08C8A">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（5）参加招标投标采购活动前三年内，在经营活动中没有重大违法记录；</w:t>
      </w:r>
    </w:p>
    <w:p w14:paraId="200C58F6">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（6）法律、行政法规规定的其他条件。</w:t>
      </w:r>
    </w:p>
    <w:p w14:paraId="14BD8C25">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5、一旦我方成交，我方保证按合同书中规定的工期</w:t>
      </w:r>
      <w:r>
        <w:rPr>
          <w:rFonts w:hint="eastAsia" w:asciiTheme="majorEastAsia" w:hAnsiTheme="majorEastAsia" w:eastAsiaTheme="majorEastAsia" w:cstheme="majorEastAsia"/>
          <w:color w:val="auto"/>
          <w:highlight w:val="none"/>
          <w:u w:val="single"/>
        </w:rPr>
        <w:t xml:space="preserve">         </w:t>
      </w:r>
      <w:r>
        <w:rPr>
          <w:rFonts w:hint="eastAsia" w:asciiTheme="majorEastAsia" w:hAnsiTheme="majorEastAsia" w:eastAsiaTheme="majorEastAsia" w:cstheme="majorEastAsia"/>
          <w:color w:val="auto"/>
          <w:highlight w:val="none"/>
        </w:rPr>
        <w:t>日历天内完成并移交全部工程。</w:t>
      </w:r>
    </w:p>
    <w:p w14:paraId="46B61273">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6、如果我方成交，我方将按照文件规定提交履约保证金作为履约担保。</w:t>
      </w:r>
    </w:p>
    <w:p w14:paraId="51EEA9A8">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7、我方同意所提交的响应文件在竞争性磋商文件的“磋商须知”中第 11 条规定的响应文件有效期内有效，在此期间内如果成交，我方将受此约束。</w:t>
      </w:r>
    </w:p>
    <w:p w14:paraId="4BEF70BD">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8、除非另外达成协议并生效，你方的成交通知书和本响应文件将成为约束双方的合同文件的组成部分。</w:t>
      </w:r>
    </w:p>
    <w:p w14:paraId="3BC4F347">
      <w:pPr>
        <w:pStyle w:val="3"/>
        <w:spacing w:line="400" w:lineRule="exact"/>
        <w:ind w:firstLine="420" w:firstLineChars="200"/>
        <w:jc w:val="both"/>
        <w:rPr>
          <w:rFonts w:hint="eastAsia" w:asciiTheme="majorEastAsia" w:hAnsiTheme="majorEastAsia" w:eastAsiaTheme="majorEastAsia" w:cstheme="majorEastAsia"/>
          <w:color w:val="auto"/>
          <w:highlight w:val="none"/>
        </w:rPr>
      </w:pPr>
    </w:p>
    <w:p w14:paraId="0DB5C4DC">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供 应 商（电子签章）：</w:t>
      </w:r>
      <w:r>
        <w:rPr>
          <w:rFonts w:hint="eastAsia" w:asciiTheme="majorEastAsia" w:hAnsiTheme="majorEastAsia" w:eastAsiaTheme="majorEastAsia" w:cstheme="majorEastAsia"/>
          <w:color w:val="auto"/>
          <w:highlight w:val="none"/>
          <w:u w:val="single"/>
        </w:rPr>
        <w:t xml:space="preserve">                 </w:t>
      </w:r>
    </w:p>
    <w:p w14:paraId="114DEC23">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法定代表人或其委托代理人</w:t>
      </w:r>
      <w:r>
        <w:rPr>
          <w:rFonts w:hint="eastAsia" w:ascii="宋体" w:hAnsi="宋体"/>
          <w:color w:val="auto"/>
          <w:sz w:val="24"/>
          <w:highlight w:val="none"/>
        </w:rPr>
        <w:t>（签字或者电子签名）</w:t>
      </w:r>
      <w:r>
        <w:rPr>
          <w:rFonts w:hint="eastAsia" w:asciiTheme="majorEastAsia" w:hAnsiTheme="majorEastAsia" w:eastAsiaTheme="majorEastAsia" w:cstheme="majorEastAsia"/>
          <w:color w:val="auto"/>
          <w:highlight w:val="none"/>
        </w:rPr>
        <w:t xml:space="preserve">：    </w:t>
      </w:r>
    </w:p>
    <w:p w14:paraId="7568C7BD">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 xml:space="preserve">单位地址：     </w:t>
      </w:r>
    </w:p>
    <w:p w14:paraId="4FC3935F">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邮政编码：           电话：            传真：</w:t>
      </w:r>
    </w:p>
    <w:p w14:paraId="1CF98B24">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开户银行名称：</w:t>
      </w:r>
    </w:p>
    <w:p w14:paraId="2C5B9F93">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开户银行账号：</w:t>
      </w:r>
    </w:p>
    <w:p w14:paraId="5205866B">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开户银行地址：</w:t>
      </w:r>
    </w:p>
    <w:p w14:paraId="3902A3AB">
      <w:pPr>
        <w:pStyle w:val="3"/>
        <w:spacing w:line="400" w:lineRule="exact"/>
        <w:ind w:firstLine="420" w:firstLineChars="200"/>
        <w:jc w:val="both"/>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日期：      年    月   日</w:t>
      </w:r>
    </w:p>
    <w:p w14:paraId="354DA712">
      <w:pPr>
        <w:pStyle w:val="3"/>
        <w:spacing w:line="400" w:lineRule="exact"/>
        <w:ind w:firstLine="420" w:firstLineChars="200"/>
        <w:jc w:val="both"/>
        <w:rPr>
          <w:rFonts w:hint="eastAsia" w:asciiTheme="majorEastAsia" w:hAnsiTheme="majorEastAsia" w:eastAsiaTheme="majorEastAsia" w:cstheme="majorEastAsia"/>
          <w:color w:val="auto"/>
          <w:highlight w:val="none"/>
        </w:rPr>
      </w:pPr>
    </w:p>
    <w:p w14:paraId="7F0F301B">
      <w:pPr>
        <w:pStyle w:val="3"/>
        <w:spacing w:line="360" w:lineRule="exact"/>
        <w:jc w:val="center"/>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磋商函附录（格式）</w:t>
      </w:r>
    </w:p>
    <w:p w14:paraId="04B58275">
      <w:pPr>
        <w:pStyle w:val="3"/>
        <w:spacing w:line="360" w:lineRule="exact"/>
        <w:jc w:val="center"/>
        <w:rPr>
          <w:rFonts w:hint="eastAsia" w:asciiTheme="majorEastAsia" w:hAnsiTheme="majorEastAsia" w:eastAsiaTheme="majorEastAsia" w:cstheme="majorEastAsia"/>
          <w:b/>
          <w:bCs/>
          <w:color w:val="auto"/>
          <w:sz w:val="28"/>
          <w:szCs w:val="28"/>
          <w:highlight w:val="none"/>
        </w:rPr>
      </w:pPr>
    </w:p>
    <w:tbl>
      <w:tblPr>
        <w:tblStyle w:val="59"/>
        <w:tblW w:w="89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6"/>
        <w:gridCol w:w="3424"/>
        <w:gridCol w:w="2818"/>
        <w:gridCol w:w="1696"/>
      </w:tblGrid>
      <w:tr w14:paraId="66774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996" w:type="dxa"/>
          </w:tcPr>
          <w:p w14:paraId="425A85B7">
            <w:pPr>
              <w:spacing w:before="181" w:line="230" w:lineRule="auto"/>
              <w:ind w:left="292"/>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3424" w:type="dxa"/>
          </w:tcPr>
          <w:p w14:paraId="25C894B3">
            <w:pPr>
              <w:spacing w:before="181" w:line="228" w:lineRule="auto"/>
              <w:ind w:left="1298"/>
              <w:rPr>
                <w:rFonts w:hint="eastAsia" w:ascii="宋体" w:hAnsi="宋体" w:cs="宋体"/>
                <w:color w:val="auto"/>
                <w:szCs w:val="21"/>
                <w:highlight w:val="none"/>
              </w:rPr>
            </w:pPr>
            <w:r>
              <w:rPr>
                <w:rFonts w:hint="eastAsia" w:ascii="宋体" w:hAnsi="宋体" w:cs="宋体"/>
                <w:color w:val="auto"/>
                <w:szCs w:val="21"/>
                <w:highlight w:val="none"/>
              </w:rPr>
              <w:t>条款内容</w:t>
            </w:r>
          </w:p>
        </w:tc>
        <w:tc>
          <w:tcPr>
            <w:tcW w:w="2818" w:type="dxa"/>
          </w:tcPr>
          <w:p w14:paraId="1AFD5AFD">
            <w:pPr>
              <w:spacing w:before="181" w:line="228" w:lineRule="auto"/>
              <w:ind w:left="1000"/>
              <w:rPr>
                <w:rFonts w:hint="eastAsia" w:ascii="宋体" w:hAnsi="宋体" w:cs="宋体"/>
                <w:color w:val="auto"/>
                <w:szCs w:val="21"/>
                <w:highlight w:val="none"/>
              </w:rPr>
            </w:pPr>
            <w:r>
              <w:rPr>
                <w:rFonts w:hint="eastAsia" w:ascii="宋体" w:hAnsi="宋体" w:cs="宋体"/>
                <w:color w:val="auto"/>
                <w:szCs w:val="21"/>
                <w:highlight w:val="none"/>
              </w:rPr>
              <w:t>约定内容</w:t>
            </w:r>
          </w:p>
        </w:tc>
        <w:tc>
          <w:tcPr>
            <w:tcW w:w="1696" w:type="dxa"/>
          </w:tcPr>
          <w:p w14:paraId="04986C16">
            <w:pPr>
              <w:spacing w:before="181" w:line="230" w:lineRule="auto"/>
              <w:ind w:left="646"/>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25B37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093C64BB">
            <w:pPr>
              <w:spacing w:before="211" w:line="193" w:lineRule="auto"/>
              <w:ind w:left="467"/>
              <w:rPr>
                <w:rFonts w:hint="eastAsia" w:ascii="宋体" w:hAnsi="宋体" w:cs="宋体"/>
                <w:color w:val="auto"/>
                <w:szCs w:val="21"/>
                <w:highlight w:val="none"/>
              </w:rPr>
            </w:pPr>
            <w:r>
              <w:rPr>
                <w:rFonts w:hint="eastAsia" w:ascii="宋体" w:hAnsi="宋体" w:cs="宋体"/>
                <w:color w:val="auto"/>
                <w:szCs w:val="21"/>
                <w:highlight w:val="none"/>
              </w:rPr>
              <w:t>1</w:t>
            </w:r>
          </w:p>
        </w:tc>
        <w:tc>
          <w:tcPr>
            <w:tcW w:w="3424" w:type="dxa"/>
          </w:tcPr>
          <w:p w14:paraId="6CF11E31">
            <w:pPr>
              <w:spacing w:before="180" w:line="229" w:lineRule="auto"/>
              <w:ind w:left="1300"/>
              <w:rPr>
                <w:rFonts w:hint="eastAsia" w:ascii="宋体" w:hAnsi="宋体" w:cs="宋体"/>
                <w:color w:val="auto"/>
                <w:szCs w:val="21"/>
                <w:highlight w:val="none"/>
              </w:rPr>
            </w:pPr>
            <w:r>
              <w:rPr>
                <w:rFonts w:hint="eastAsia" w:ascii="宋体" w:hAnsi="宋体" w:cs="宋体"/>
                <w:color w:val="auto"/>
                <w:szCs w:val="21"/>
                <w:highlight w:val="none"/>
              </w:rPr>
              <w:t>项目经理</w:t>
            </w:r>
          </w:p>
        </w:tc>
        <w:tc>
          <w:tcPr>
            <w:tcW w:w="2818" w:type="dxa"/>
          </w:tcPr>
          <w:p w14:paraId="792029D8">
            <w:pPr>
              <w:spacing w:before="180" w:line="228" w:lineRule="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696" w:type="dxa"/>
          </w:tcPr>
          <w:p w14:paraId="61F240F9">
            <w:pPr>
              <w:rPr>
                <w:rFonts w:hint="eastAsia" w:ascii="宋体" w:hAnsi="宋体" w:cs="宋体"/>
                <w:color w:val="auto"/>
                <w:szCs w:val="21"/>
                <w:highlight w:val="none"/>
              </w:rPr>
            </w:pPr>
          </w:p>
        </w:tc>
      </w:tr>
      <w:tr w14:paraId="33950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96" w:type="dxa"/>
          </w:tcPr>
          <w:p w14:paraId="7071A6BA">
            <w:pPr>
              <w:spacing w:before="211" w:line="192" w:lineRule="auto"/>
              <w:ind w:left="454"/>
              <w:rPr>
                <w:rFonts w:hint="eastAsia" w:ascii="宋体" w:hAnsi="宋体" w:cs="宋体"/>
                <w:color w:val="auto"/>
                <w:szCs w:val="21"/>
                <w:highlight w:val="none"/>
              </w:rPr>
            </w:pPr>
            <w:r>
              <w:rPr>
                <w:rFonts w:hint="eastAsia" w:ascii="宋体" w:hAnsi="宋体" w:cs="宋体"/>
                <w:color w:val="auto"/>
                <w:szCs w:val="21"/>
                <w:highlight w:val="none"/>
              </w:rPr>
              <w:t>2</w:t>
            </w:r>
          </w:p>
        </w:tc>
        <w:tc>
          <w:tcPr>
            <w:tcW w:w="3424" w:type="dxa"/>
          </w:tcPr>
          <w:p w14:paraId="5316108D">
            <w:pPr>
              <w:spacing w:before="179" w:line="228" w:lineRule="auto"/>
              <w:ind w:left="993"/>
              <w:rPr>
                <w:rFonts w:hint="eastAsia" w:ascii="宋体" w:hAnsi="宋体" w:cs="宋体"/>
                <w:color w:val="auto"/>
                <w:szCs w:val="21"/>
                <w:highlight w:val="none"/>
              </w:rPr>
            </w:pPr>
            <w:r>
              <w:rPr>
                <w:rFonts w:hint="eastAsia" w:ascii="宋体" w:hAnsi="宋体" w:cs="宋体"/>
                <w:color w:val="auto"/>
                <w:szCs w:val="21"/>
                <w:highlight w:val="none"/>
              </w:rPr>
              <w:t>响应文件有效期</w:t>
            </w:r>
          </w:p>
        </w:tc>
        <w:tc>
          <w:tcPr>
            <w:tcW w:w="2818" w:type="dxa"/>
          </w:tcPr>
          <w:p w14:paraId="1085C91E">
            <w:pPr>
              <w:rPr>
                <w:rFonts w:hint="eastAsia" w:ascii="宋体" w:hAnsi="宋体" w:cs="宋体"/>
                <w:color w:val="auto"/>
                <w:szCs w:val="21"/>
                <w:highlight w:val="none"/>
              </w:rPr>
            </w:pPr>
          </w:p>
        </w:tc>
        <w:tc>
          <w:tcPr>
            <w:tcW w:w="1696" w:type="dxa"/>
          </w:tcPr>
          <w:p w14:paraId="778139D8">
            <w:pPr>
              <w:rPr>
                <w:rFonts w:hint="eastAsia" w:ascii="宋体" w:hAnsi="宋体" w:cs="宋体"/>
                <w:color w:val="auto"/>
                <w:szCs w:val="21"/>
                <w:highlight w:val="none"/>
              </w:rPr>
            </w:pPr>
          </w:p>
        </w:tc>
      </w:tr>
      <w:tr w14:paraId="5A29E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77DE8DB6">
            <w:pPr>
              <w:spacing w:before="212" w:line="190" w:lineRule="auto"/>
              <w:ind w:left="456"/>
              <w:rPr>
                <w:rFonts w:hint="eastAsia" w:ascii="宋体" w:hAnsi="宋体" w:cs="宋体"/>
                <w:color w:val="auto"/>
                <w:szCs w:val="21"/>
                <w:highlight w:val="none"/>
              </w:rPr>
            </w:pPr>
            <w:r>
              <w:rPr>
                <w:rFonts w:hint="eastAsia" w:ascii="宋体" w:hAnsi="宋体" w:cs="宋体"/>
                <w:color w:val="auto"/>
                <w:szCs w:val="21"/>
                <w:highlight w:val="none"/>
              </w:rPr>
              <w:t>3</w:t>
            </w:r>
          </w:p>
        </w:tc>
        <w:tc>
          <w:tcPr>
            <w:tcW w:w="3424" w:type="dxa"/>
          </w:tcPr>
          <w:p w14:paraId="2FEF870A">
            <w:pPr>
              <w:spacing w:before="179" w:line="229" w:lineRule="auto"/>
              <w:ind w:left="1510"/>
              <w:rPr>
                <w:rFonts w:hint="eastAsia" w:ascii="宋体" w:hAnsi="宋体" w:cs="宋体"/>
                <w:color w:val="auto"/>
                <w:szCs w:val="21"/>
                <w:highlight w:val="none"/>
              </w:rPr>
            </w:pPr>
            <w:r>
              <w:rPr>
                <w:rFonts w:hint="eastAsia" w:ascii="宋体" w:hAnsi="宋体" w:cs="宋体"/>
                <w:color w:val="auto"/>
                <w:szCs w:val="21"/>
                <w:highlight w:val="none"/>
              </w:rPr>
              <w:t>工期</w:t>
            </w:r>
          </w:p>
        </w:tc>
        <w:tc>
          <w:tcPr>
            <w:tcW w:w="2818" w:type="dxa"/>
          </w:tcPr>
          <w:p w14:paraId="131C514B">
            <w:pPr>
              <w:tabs>
                <w:tab w:val="left" w:pos="1506"/>
              </w:tabs>
              <w:spacing w:before="179" w:line="229" w:lineRule="auto"/>
              <w:ind w:left="832"/>
              <w:rPr>
                <w:rFonts w:hint="eastAsia" w:ascii="宋体" w:hAnsi="宋体" w:cs="宋体"/>
                <w:color w:val="auto"/>
                <w:szCs w:val="21"/>
                <w:highlight w:val="none"/>
              </w:rPr>
            </w:pPr>
            <w:r>
              <w:rPr>
                <w:rFonts w:hint="eastAsia" w:ascii="宋体" w:hAnsi="宋体" w:cs="宋体"/>
                <w:color w:val="auto"/>
                <w:szCs w:val="21"/>
                <w:highlight w:val="none"/>
                <w:u w:val="single"/>
              </w:rPr>
              <w:tab/>
            </w:r>
            <w:r>
              <w:rPr>
                <w:rFonts w:hint="eastAsia" w:ascii="宋体" w:hAnsi="宋体" w:cs="宋体"/>
                <w:color w:val="auto"/>
                <w:szCs w:val="21"/>
                <w:highlight w:val="none"/>
              </w:rPr>
              <w:t>日历天</w:t>
            </w:r>
          </w:p>
        </w:tc>
        <w:tc>
          <w:tcPr>
            <w:tcW w:w="1696" w:type="dxa"/>
          </w:tcPr>
          <w:p w14:paraId="406768BD">
            <w:pPr>
              <w:rPr>
                <w:rFonts w:hint="eastAsia" w:ascii="宋体" w:hAnsi="宋体" w:cs="宋体"/>
                <w:color w:val="auto"/>
                <w:szCs w:val="21"/>
                <w:highlight w:val="none"/>
              </w:rPr>
            </w:pPr>
          </w:p>
        </w:tc>
      </w:tr>
      <w:tr w14:paraId="3C18D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96" w:type="dxa"/>
          </w:tcPr>
          <w:p w14:paraId="13A4860F">
            <w:pPr>
              <w:spacing w:before="215" w:line="192" w:lineRule="auto"/>
              <w:ind w:left="451"/>
              <w:rPr>
                <w:rFonts w:hint="eastAsia" w:ascii="宋体" w:hAnsi="宋体" w:cs="宋体"/>
                <w:color w:val="auto"/>
                <w:szCs w:val="21"/>
                <w:highlight w:val="none"/>
              </w:rPr>
            </w:pPr>
            <w:r>
              <w:rPr>
                <w:rFonts w:hint="eastAsia" w:ascii="宋体" w:hAnsi="宋体" w:cs="宋体"/>
                <w:color w:val="auto"/>
                <w:szCs w:val="21"/>
                <w:highlight w:val="none"/>
              </w:rPr>
              <w:t>4</w:t>
            </w:r>
          </w:p>
        </w:tc>
        <w:tc>
          <w:tcPr>
            <w:tcW w:w="3424" w:type="dxa"/>
          </w:tcPr>
          <w:p w14:paraId="29B7A606">
            <w:pPr>
              <w:spacing w:before="182" w:line="229" w:lineRule="auto"/>
              <w:ind w:left="1191"/>
              <w:rPr>
                <w:rFonts w:hint="eastAsia" w:ascii="宋体" w:hAnsi="宋体" w:cs="宋体"/>
                <w:color w:val="auto"/>
                <w:szCs w:val="21"/>
                <w:highlight w:val="none"/>
              </w:rPr>
            </w:pPr>
            <w:r>
              <w:rPr>
                <w:rFonts w:hint="eastAsia" w:ascii="宋体" w:hAnsi="宋体" w:cs="宋体"/>
                <w:color w:val="auto"/>
                <w:szCs w:val="21"/>
                <w:highlight w:val="none"/>
              </w:rPr>
              <w:t>质量保证金</w:t>
            </w:r>
          </w:p>
        </w:tc>
        <w:tc>
          <w:tcPr>
            <w:tcW w:w="2818" w:type="dxa"/>
          </w:tcPr>
          <w:p w14:paraId="0568ECFB">
            <w:pPr>
              <w:spacing w:before="182" w:line="227" w:lineRule="auto"/>
              <w:ind w:left="690"/>
              <w:rPr>
                <w:rFonts w:hint="eastAsia" w:ascii="宋体" w:hAnsi="宋体" w:cs="宋体"/>
                <w:color w:val="auto"/>
                <w:szCs w:val="21"/>
                <w:highlight w:val="none"/>
              </w:rPr>
            </w:pPr>
            <w:r>
              <w:rPr>
                <w:rFonts w:hint="eastAsia" w:ascii="宋体" w:hAnsi="宋体" w:cs="宋体"/>
                <w:color w:val="auto"/>
                <w:szCs w:val="21"/>
                <w:highlight w:val="none"/>
              </w:rPr>
              <w:t>结算价的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c>
          <w:tcPr>
            <w:tcW w:w="1696" w:type="dxa"/>
          </w:tcPr>
          <w:p w14:paraId="25580086">
            <w:pPr>
              <w:rPr>
                <w:rFonts w:hint="eastAsia" w:ascii="宋体" w:hAnsi="宋体" w:cs="宋体"/>
                <w:color w:val="auto"/>
                <w:szCs w:val="21"/>
                <w:highlight w:val="none"/>
              </w:rPr>
            </w:pPr>
          </w:p>
        </w:tc>
      </w:tr>
      <w:tr w14:paraId="3860F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1FD74048">
            <w:pPr>
              <w:spacing w:before="215" w:line="189" w:lineRule="auto"/>
              <w:ind w:left="456"/>
              <w:rPr>
                <w:rFonts w:hint="eastAsia" w:ascii="宋体" w:hAnsi="宋体" w:cs="宋体"/>
                <w:color w:val="auto"/>
                <w:szCs w:val="21"/>
                <w:highlight w:val="none"/>
              </w:rPr>
            </w:pPr>
            <w:r>
              <w:rPr>
                <w:rFonts w:hint="eastAsia" w:ascii="宋体" w:hAnsi="宋体" w:cs="宋体"/>
                <w:color w:val="auto"/>
                <w:szCs w:val="21"/>
                <w:highlight w:val="none"/>
              </w:rPr>
              <w:t>5</w:t>
            </w:r>
          </w:p>
        </w:tc>
        <w:tc>
          <w:tcPr>
            <w:tcW w:w="3424" w:type="dxa"/>
          </w:tcPr>
          <w:p w14:paraId="1FC9C20E">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质量标准</w:t>
            </w:r>
          </w:p>
        </w:tc>
        <w:tc>
          <w:tcPr>
            <w:tcW w:w="2818" w:type="dxa"/>
          </w:tcPr>
          <w:p w14:paraId="1A2659E5">
            <w:pPr>
              <w:rPr>
                <w:rFonts w:hint="eastAsia" w:ascii="宋体" w:hAnsi="宋体" w:cs="宋体"/>
                <w:color w:val="auto"/>
                <w:szCs w:val="21"/>
                <w:highlight w:val="none"/>
              </w:rPr>
            </w:pPr>
          </w:p>
        </w:tc>
        <w:tc>
          <w:tcPr>
            <w:tcW w:w="1696" w:type="dxa"/>
          </w:tcPr>
          <w:p w14:paraId="4C53729E">
            <w:pPr>
              <w:rPr>
                <w:rFonts w:hint="eastAsia" w:ascii="宋体" w:hAnsi="宋体" w:cs="宋体"/>
                <w:color w:val="auto"/>
                <w:szCs w:val="21"/>
                <w:highlight w:val="none"/>
              </w:rPr>
            </w:pPr>
          </w:p>
        </w:tc>
      </w:tr>
      <w:tr w14:paraId="3AED1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96" w:type="dxa"/>
          </w:tcPr>
          <w:p w14:paraId="7BA5F0B9">
            <w:pPr>
              <w:spacing w:before="215" w:line="189" w:lineRule="auto"/>
              <w:ind w:left="456"/>
              <w:rPr>
                <w:rFonts w:hint="eastAsia" w:ascii="宋体" w:hAnsi="宋体" w:cs="宋体"/>
                <w:color w:val="auto"/>
                <w:szCs w:val="21"/>
                <w:highlight w:val="none"/>
              </w:rPr>
            </w:pPr>
            <w:r>
              <w:rPr>
                <w:rFonts w:hint="eastAsia" w:ascii="宋体" w:hAnsi="宋体" w:cs="宋体"/>
                <w:color w:val="auto"/>
                <w:szCs w:val="21"/>
                <w:highlight w:val="none"/>
              </w:rPr>
              <w:t>6</w:t>
            </w:r>
          </w:p>
        </w:tc>
        <w:tc>
          <w:tcPr>
            <w:tcW w:w="3424" w:type="dxa"/>
          </w:tcPr>
          <w:p w14:paraId="2810E777">
            <w:pPr>
              <w:spacing w:before="181" w:line="229" w:lineRule="auto"/>
              <w:ind w:left="1297"/>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2818" w:type="dxa"/>
          </w:tcPr>
          <w:p w14:paraId="2B8C7641">
            <w:pPr>
              <w:rPr>
                <w:rFonts w:hint="eastAsia" w:ascii="宋体" w:hAnsi="宋体" w:cs="宋体"/>
                <w:color w:val="auto"/>
                <w:szCs w:val="21"/>
                <w:highlight w:val="none"/>
              </w:rPr>
            </w:pPr>
          </w:p>
        </w:tc>
        <w:tc>
          <w:tcPr>
            <w:tcW w:w="1696" w:type="dxa"/>
          </w:tcPr>
          <w:p w14:paraId="46A17407">
            <w:pPr>
              <w:rPr>
                <w:rFonts w:hint="eastAsia" w:ascii="宋体" w:hAnsi="宋体" w:cs="宋体"/>
                <w:color w:val="auto"/>
                <w:szCs w:val="21"/>
                <w:highlight w:val="none"/>
              </w:rPr>
            </w:pPr>
          </w:p>
        </w:tc>
      </w:tr>
      <w:tr w14:paraId="13BF7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96" w:type="dxa"/>
          </w:tcPr>
          <w:p w14:paraId="34A28D08">
            <w:pPr>
              <w:spacing w:before="181" w:line="325" w:lineRule="exact"/>
              <w:ind w:left="306"/>
              <w:rPr>
                <w:rFonts w:hint="eastAsia" w:ascii="宋体" w:hAnsi="宋体" w:cs="宋体"/>
                <w:color w:val="auto"/>
                <w:szCs w:val="21"/>
                <w:highlight w:val="none"/>
              </w:rPr>
            </w:pPr>
            <w:r>
              <w:rPr>
                <w:rFonts w:hint="eastAsia" w:ascii="宋体" w:hAnsi="宋体" w:cs="宋体"/>
                <w:color w:val="auto"/>
                <w:szCs w:val="21"/>
                <w:highlight w:val="none"/>
              </w:rPr>
              <w:t>……</w:t>
            </w:r>
          </w:p>
        </w:tc>
        <w:tc>
          <w:tcPr>
            <w:tcW w:w="3424" w:type="dxa"/>
          </w:tcPr>
          <w:p w14:paraId="5B093303">
            <w:pPr>
              <w:spacing w:before="181" w:line="325" w:lineRule="exact"/>
              <w:ind w:left="1521"/>
              <w:rPr>
                <w:rFonts w:hint="eastAsia" w:ascii="宋体" w:hAnsi="宋体" w:cs="宋体"/>
                <w:color w:val="auto"/>
                <w:szCs w:val="21"/>
                <w:highlight w:val="none"/>
              </w:rPr>
            </w:pPr>
            <w:r>
              <w:rPr>
                <w:rFonts w:hint="eastAsia" w:ascii="宋体" w:hAnsi="宋体" w:cs="宋体"/>
                <w:color w:val="auto"/>
                <w:szCs w:val="21"/>
                <w:highlight w:val="none"/>
              </w:rPr>
              <w:t>……</w:t>
            </w:r>
          </w:p>
        </w:tc>
        <w:tc>
          <w:tcPr>
            <w:tcW w:w="2818" w:type="dxa"/>
          </w:tcPr>
          <w:p w14:paraId="0AF6E265">
            <w:pPr>
              <w:rPr>
                <w:rFonts w:hint="eastAsia" w:ascii="宋体" w:hAnsi="宋体" w:cs="宋体"/>
                <w:color w:val="auto"/>
                <w:szCs w:val="21"/>
                <w:highlight w:val="none"/>
              </w:rPr>
            </w:pPr>
          </w:p>
        </w:tc>
        <w:tc>
          <w:tcPr>
            <w:tcW w:w="1696" w:type="dxa"/>
          </w:tcPr>
          <w:p w14:paraId="3C57EA2C">
            <w:pPr>
              <w:rPr>
                <w:rFonts w:hint="eastAsia" w:ascii="宋体" w:hAnsi="宋体" w:cs="宋体"/>
                <w:color w:val="auto"/>
                <w:szCs w:val="21"/>
                <w:highlight w:val="none"/>
              </w:rPr>
            </w:pPr>
          </w:p>
        </w:tc>
      </w:tr>
      <w:tr w14:paraId="271E7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5" w:hRule="atLeast"/>
        </w:trPr>
        <w:tc>
          <w:tcPr>
            <w:tcW w:w="8934" w:type="dxa"/>
            <w:gridSpan w:val="4"/>
          </w:tcPr>
          <w:p w14:paraId="3443C662">
            <w:pPr>
              <w:spacing w:line="400" w:lineRule="exact"/>
              <w:ind w:left="119" w:right="102" w:firstLine="6"/>
              <w:rPr>
                <w:rFonts w:hint="eastAsia" w:ascii="宋体" w:hAnsi="宋体" w:cs="宋体"/>
                <w:color w:val="auto"/>
                <w:szCs w:val="21"/>
                <w:highlight w:val="none"/>
              </w:rPr>
            </w:pPr>
            <w:r>
              <w:rPr>
                <w:rFonts w:hint="eastAsia" w:ascii="宋体" w:hAnsi="宋体" w:cs="宋体"/>
                <w:color w:val="auto"/>
                <w:szCs w:val="21"/>
                <w:highlight w:val="none"/>
              </w:rPr>
              <w:t>备注：供应商在响应竞争性磋商文件中规定的实质性要求和条件的基础上，可做出其他有利于采购单位的承诺。此类承诺可在本表中予以补充填写。</w:t>
            </w:r>
          </w:p>
        </w:tc>
      </w:tr>
    </w:tbl>
    <w:p w14:paraId="565D6148">
      <w:pPr>
        <w:pStyle w:val="3"/>
        <w:spacing w:line="360" w:lineRule="exact"/>
        <w:ind w:firstLine="482" w:firstLineChars="200"/>
        <w:jc w:val="both"/>
        <w:rPr>
          <w:rFonts w:hint="eastAsia" w:asciiTheme="majorEastAsia" w:hAnsiTheme="majorEastAsia" w:eastAsiaTheme="majorEastAsia" w:cstheme="majorEastAsia"/>
          <w:b/>
          <w:bCs/>
          <w:color w:val="auto"/>
          <w:sz w:val="24"/>
          <w:szCs w:val="32"/>
          <w:highlight w:val="none"/>
        </w:rPr>
      </w:pPr>
    </w:p>
    <w:p w14:paraId="5769F84C">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17676017">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73DE1C15">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2AE847A5">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2C113BB7">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2C2CACDB">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48F00B13">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3BE5B69D">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769B6F49">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440943F2">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328081A4">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06FA4B8B">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4B30DA9A">
      <w:pPr>
        <w:pStyle w:val="3"/>
        <w:spacing w:line="360" w:lineRule="auto"/>
        <w:jc w:val="both"/>
        <w:rPr>
          <w:rFonts w:hint="eastAsia" w:ascii="宋体" w:hAnsi="宋体" w:eastAsia="宋体" w:cs="方正小标宋简体"/>
          <w:b/>
          <w:bCs/>
          <w:color w:val="auto"/>
          <w:kern w:val="2"/>
          <w:sz w:val="32"/>
          <w:szCs w:val="32"/>
          <w:highlight w:val="none"/>
        </w:rPr>
      </w:pPr>
    </w:p>
    <w:p w14:paraId="2C3F2E3F">
      <w:pPr>
        <w:spacing w:line="360" w:lineRule="auto"/>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竞标报价表（格式）</w:t>
      </w:r>
    </w:p>
    <w:p w14:paraId="0EDDFABC">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74E8BB96">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单位：元</w:t>
      </w:r>
    </w:p>
    <w:tbl>
      <w:tblPr>
        <w:tblStyle w:val="31"/>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505"/>
        <w:gridCol w:w="3107"/>
        <w:gridCol w:w="1184"/>
      </w:tblGrid>
      <w:tr w14:paraId="4D1A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1F7159AA">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A897F1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标的</w:t>
            </w:r>
            <w:r>
              <w:rPr>
                <w:rFonts w:ascii="宋体" w:hAnsi="宋体" w:cs="仿宋_GB2312"/>
                <w:color w:val="auto"/>
                <w:sz w:val="24"/>
                <w:highlight w:val="none"/>
              </w:rPr>
              <w:t>名称</w:t>
            </w:r>
          </w:p>
        </w:tc>
        <w:tc>
          <w:tcPr>
            <w:tcW w:w="1505" w:type="dxa"/>
            <w:tcBorders>
              <w:top w:val="single" w:color="auto" w:sz="4" w:space="0"/>
              <w:left w:val="single" w:color="auto" w:sz="4" w:space="0"/>
              <w:bottom w:val="single" w:color="auto" w:sz="4" w:space="0"/>
              <w:right w:val="single" w:color="auto" w:sz="4" w:space="0"/>
            </w:tcBorders>
            <w:vAlign w:val="center"/>
          </w:tcPr>
          <w:p w14:paraId="67DD4EE6">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数量及单位</w:t>
            </w:r>
          </w:p>
        </w:tc>
        <w:tc>
          <w:tcPr>
            <w:tcW w:w="3107" w:type="dxa"/>
            <w:tcBorders>
              <w:top w:val="single" w:color="auto" w:sz="4" w:space="0"/>
              <w:left w:val="single" w:color="auto" w:sz="4" w:space="0"/>
              <w:bottom w:val="single" w:color="auto" w:sz="4" w:space="0"/>
              <w:right w:val="single" w:color="auto" w:sz="4" w:space="0"/>
            </w:tcBorders>
            <w:vAlign w:val="center"/>
          </w:tcPr>
          <w:p w14:paraId="3028BA94">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竞标报价（元）</w:t>
            </w:r>
          </w:p>
        </w:tc>
        <w:tc>
          <w:tcPr>
            <w:tcW w:w="1184" w:type="dxa"/>
            <w:tcBorders>
              <w:top w:val="single" w:color="auto" w:sz="4" w:space="0"/>
              <w:left w:val="single" w:color="auto" w:sz="4" w:space="0"/>
              <w:bottom w:val="single" w:color="auto" w:sz="4" w:space="0"/>
              <w:right w:val="single" w:color="auto" w:sz="4" w:space="0"/>
            </w:tcBorders>
            <w:vAlign w:val="center"/>
          </w:tcPr>
          <w:p w14:paraId="258A7E42">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备注</w:t>
            </w:r>
          </w:p>
        </w:tc>
      </w:tr>
      <w:tr w14:paraId="4EDC0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0A4E9C7C">
            <w:pPr>
              <w:spacing w:line="360" w:lineRule="auto"/>
              <w:contextualSpacing/>
              <w:jc w:val="center"/>
              <w:rPr>
                <w:rFonts w:hint="eastAsia" w:ascii="宋体" w:hAnsi="宋体" w:cs="仿宋_GB2312"/>
                <w:color w:val="auto"/>
                <w:sz w:val="24"/>
                <w:highlight w:val="none"/>
              </w:rPr>
            </w:pPr>
            <w:r>
              <w:rPr>
                <w:rFonts w:ascii="宋体" w:hAnsi="宋体" w:cs="仿宋_GB2312"/>
                <w:color w:val="auto"/>
                <w:sz w:val="24"/>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04D5F99F">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1FD6018F">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700698A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81B0001">
            <w:pPr>
              <w:spacing w:line="360" w:lineRule="auto"/>
              <w:contextualSpacing/>
              <w:rPr>
                <w:rFonts w:hint="eastAsia" w:ascii="宋体" w:hAnsi="宋体" w:cs="仿宋_GB2312"/>
                <w:color w:val="auto"/>
                <w:sz w:val="24"/>
                <w:highlight w:val="none"/>
              </w:rPr>
            </w:pPr>
          </w:p>
        </w:tc>
      </w:tr>
      <w:tr w14:paraId="44490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6B3F82B2">
            <w:pPr>
              <w:spacing w:line="360" w:lineRule="auto"/>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7E85D3D5">
            <w:pPr>
              <w:spacing w:line="360" w:lineRule="auto"/>
              <w:contextualSpacing/>
              <w:jc w:val="center"/>
              <w:rPr>
                <w:rFonts w:hint="eastAsia" w:ascii="宋体" w:hAnsi="宋体" w:cs="仿宋_GB2312"/>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6F1C853E">
            <w:pPr>
              <w:spacing w:line="360" w:lineRule="auto"/>
              <w:contextualSpacing/>
              <w:jc w:val="center"/>
              <w:rPr>
                <w:rFonts w:hint="eastAsia" w:ascii="宋体" w:hAnsi="宋体" w:cs="仿宋_GB2312"/>
                <w:color w:val="auto"/>
                <w:sz w:val="24"/>
                <w:highlight w:val="none"/>
              </w:rPr>
            </w:pPr>
          </w:p>
        </w:tc>
        <w:tc>
          <w:tcPr>
            <w:tcW w:w="3107" w:type="dxa"/>
            <w:tcBorders>
              <w:top w:val="single" w:color="auto" w:sz="4" w:space="0"/>
              <w:left w:val="single" w:color="auto" w:sz="4" w:space="0"/>
              <w:bottom w:val="single" w:color="auto" w:sz="4" w:space="0"/>
              <w:right w:val="single" w:color="auto" w:sz="4" w:space="0"/>
            </w:tcBorders>
          </w:tcPr>
          <w:p w14:paraId="343086E6">
            <w:pPr>
              <w:spacing w:line="360" w:lineRule="auto"/>
              <w:contextualSpacing/>
              <w:rPr>
                <w:rFonts w:hint="eastAsia"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vAlign w:val="center"/>
          </w:tcPr>
          <w:p w14:paraId="44B3E445">
            <w:pPr>
              <w:spacing w:line="360" w:lineRule="auto"/>
              <w:contextualSpacing/>
              <w:rPr>
                <w:rFonts w:hint="eastAsia" w:ascii="宋体" w:hAnsi="宋体" w:cs="仿宋_GB2312"/>
                <w:color w:val="auto"/>
                <w:sz w:val="24"/>
                <w:highlight w:val="none"/>
              </w:rPr>
            </w:pPr>
          </w:p>
        </w:tc>
      </w:tr>
      <w:tr w14:paraId="5F8D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5"/>
            <w:tcBorders>
              <w:top w:val="single" w:color="auto" w:sz="4" w:space="0"/>
              <w:left w:val="single" w:color="auto" w:sz="4" w:space="0"/>
              <w:bottom w:val="single" w:color="auto" w:sz="4" w:space="0"/>
              <w:right w:val="single" w:color="auto" w:sz="4" w:space="0"/>
            </w:tcBorders>
            <w:vAlign w:val="center"/>
          </w:tcPr>
          <w:p w14:paraId="407EE7C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w:t>
            </w:r>
            <w:r>
              <w:rPr>
                <w:rFonts w:ascii="Arial" w:hAnsi="Arial" w:cs="Arial"/>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5AB8E794">
      <w:pPr>
        <w:spacing w:line="360" w:lineRule="auto"/>
        <w:contextualSpacing/>
        <w:jc w:val="left"/>
        <w:rPr>
          <w:rFonts w:hint="eastAsia" w:ascii="宋体" w:hAnsi="宋体" w:cs="仿宋_GB2312"/>
          <w:color w:val="auto"/>
          <w:sz w:val="24"/>
          <w:highlight w:val="none"/>
        </w:rPr>
      </w:pPr>
    </w:p>
    <w:p w14:paraId="0298F562">
      <w:pPr>
        <w:spacing w:line="360"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410A5132">
      <w:pPr>
        <w:spacing w:line="360" w:lineRule="auto"/>
        <w:ind w:firstLine="480" w:firstLineChars="2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43D9C588">
      <w:pPr>
        <w:spacing w:line="360" w:lineRule="auto"/>
        <w:ind w:firstLine="480" w:firstLineChars="20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147BBF23">
      <w:pPr>
        <w:spacing w:line="360" w:lineRule="auto"/>
        <w:ind w:firstLine="643" w:firstLineChars="200"/>
        <w:contextualSpacing/>
        <w:jc w:val="left"/>
        <w:rPr>
          <w:rFonts w:hint="eastAsia" w:ascii="宋体" w:hAnsi="宋体" w:cs="仿宋_GB2312"/>
          <w:b/>
          <w:bCs/>
          <w:color w:val="auto"/>
          <w:sz w:val="32"/>
          <w:szCs w:val="32"/>
          <w:highlight w:val="none"/>
        </w:rPr>
      </w:pPr>
      <w:r>
        <w:rPr>
          <w:rFonts w:hint="eastAsia" w:ascii="宋体" w:hAnsi="宋体" w:cs="仿宋_GB2312"/>
          <w:b/>
          <w:bCs/>
          <w:color w:val="auto"/>
          <w:sz w:val="32"/>
          <w:szCs w:val="32"/>
          <w:highlight w:val="none"/>
        </w:rPr>
        <w:t>3.</w:t>
      </w:r>
      <w:r>
        <w:rPr>
          <w:rFonts w:hint="eastAsia" w:ascii="宋体" w:hAnsi="宋体" w:cs="宋体"/>
          <w:b/>
          <w:bCs/>
          <w:color w:val="auto"/>
          <w:sz w:val="32"/>
          <w:szCs w:val="32"/>
          <w:highlight w:val="none"/>
        </w:rPr>
        <w:t>在广西政府采购云平台评审过程中，供应商提交的</w:t>
      </w:r>
      <w:r>
        <w:rPr>
          <w:rFonts w:hint="eastAsia" w:ascii="宋体" w:hAnsi="宋体" w:cs="仿宋_GB2312"/>
          <w:b/>
          <w:bCs/>
          <w:color w:val="auto"/>
          <w:sz w:val="32"/>
          <w:szCs w:val="32"/>
          <w:highlight w:val="none"/>
        </w:rPr>
        <w:t>最后报价与首次报价相比有调整的，必须同时上传相对应的“已标价的工程量清单”作为附件，否则其响应文件按无效处理。</w:t>
      </w:r>
    </w:p>
    <w:p w14:paraId="6A605530">
      <w:pPr>
        <w:spacing w:line="360" w:lineRule="auto"/>
        <w:ind w:right="-817" w:rightChars="-389"/>
        <w:contextualSpacing/>
        <w:rPr>
          <w:rFonts w:hint="eastAsia" w:ascii="宋体" w:hAnsi="宋体" w:cs="仿宋_GB2312"/>
          <w:color w:val="auto"/>
          <w:sz w:val="24"/>
          <w:highlight w:val="none"/>
        </w:rPr>
      </w:pPr>
    </w:p>
    <w:p w14:paraId="0CB10A7A">
      <w:pPr>
        <w:spacing w:line="360" w:lineRule="auto"/>
        <w:ind w:right="-817" w:rightChars="-389"/>
        <w:contextualSpacing/>
        <w:rPr>
          <w:rFonts w:hint="eastAsia" w:ascii="宋体" w:hAnsi="宋体" w:cs="仿宋_GB2312"/>
          <w:color w:val="auto"/>
          <w:sz w:val="24"/>
          <w:highlight w:val="none"/>
        </w:rPr>
      </w:pPr>
    </w:p>
    <w:p w14:paraId="7EEB9D58">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30002D8F">
      <w:pPr>
        <w:spacing w:line="360" w:lineRule="auto"/>
        <w:ind w:right="-817" w:rightChars="-389" w:firstLine="2640" w:firstLineChars="11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11E092B4">
      <w:pPr>
        <w:spacing w:line="360" w:lineRule="auto"/>
        <w:ind w:right="-817" w:rightChars="-389"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6F68CF5E">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22E82A08">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3FA14980">
      <w:pPr>
        <w:pStyle w:val="3"/>
        <w:spacing w:line="360" w:lineRule="auto"/>
        <w:jc w:val="both"/>
        <w:rPr>
          <w:rFonts w:hint="eastAsia" w:asciiTheme="majorEastAsia" w:hAnsiTheme="majorEastAsia" w:eastAsiaTheme="majorEastAsia" w:cstheme="majorEastAsia"/>
          <w:b/>
          <w:bCs/>
          <w:color w:val="auto"/>
          <w:sz w:val="32"/>
          <w:szCs w:val="40"/>
          <w:highlight w:val="none"/>
        </w:rPr>
      </w:pPr>
    </w:p>
    <w:p w14:paraId="298D901D">
      <w:pPr>
        <w:pStyle w:val="3"/>
        <w:spacing w:line="360" w:lineRule="auto"/>
        <w:jc w:val="center"/>
        <w:rPr>
          <w:rFonts w:hint="eastAsia" w:ascii="宋体" w:hAnsi="宋体" w:eastAsia="宋体" w:cs="宋体"/>
          <w:b/>
          <w:bCs/>
          <w:color w:val="auto"/>
          <w:sz w:val="32"/>
          <w:szCs w:val="40"/>
          <w:highlight w:val="none"/>
        </w:rPr>
      </w:pPr>
    </w:p>
    <w:p w14:paraId="36DE6F7E">
      <w:pPr>
        <w:pStyle w:val="3"/>
        <w:spacing w:line="360" w:lineRule="auto"/>
        <w:jc w:val="center"/>
        <w:rPr>
          <w:rFonts w:hint="eastAsia" w:ascii="宋体" w:hAnsi="宋体" w:eastAsia="宋体" w:cs="宋体"/>
          <w:b/>
          <w:bCs/>
          <w:color w:val="auto"/>
          <w:sz w:val="32"/>
          <w:szCs w:val="40"/>
          <w:highlight w:val="none"/>
        </w:rPr>
      </w:pPr>
      <w:r>
        <w:rPr>
          <w:rFonts w:hint="eastAsia" w:ascii="宋体" w:hAnsi="宋体" w:eastAsia="宋体" w:cs="宋体"/>
          <w:b/>
          <w:bCs/>
          <w:color w:val="auto"/>
          <w:sz w:val="32"/>
          <w:szCs w:val="40"/>
          <w:highlight w:val="none"/>
        </w:rPr>
        <w:t>已标价工程量清单</w:t>
      </w:r>
    </w:p>
    <w:p w14:paraId="0E680F24">
      <w:pPr>
        <w:pStyle w:val="3"/>
        <w:spacing w:line="360" w:lineRule="auto"/>
        <w:ind w:firstLine="420" w:firstLineChars="200"/>
        <w:jc w:val="both"/>
        <w:rPr>
          <w:rFonts w:hint="eastAsia" w:ascii="宋体" w:hAnsi="宋体" w:eastAsia="宋体" w:cs="宋体"/>
          <w:color w:val="auto"/>
          <w:highlight w:val="none"/>
        </w:rPr>
      </w:pPr>
    </w:p>
    <w:p w14:paraId="49198DCD">
      <w:pPr>
        <w:pStyle w:val="5"/>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1、已标价工程量清单按照第三章发放的“工程量清单”相关内容填写。</w:t>
      </w:r>
    </w:p>
    <w:p w14:paraId="7461D460">
      <w:pPr>
        <w:pStyle w:val="3"/>
        <w:spacing w:line="360" w:lineRule="auto"/>
        <w:jc w:val="both"/>
        <w:rPr>
          <w:rFonts w:hint="eastAsia" w:ascii="宋体" w:hAnsi="宋体" w:eastAsia="宋体" w:cs="宋体"/>
          <w:color w:val="auto"/>
          <w:highlight w:val="none"/>
        </w:rPr>
      </w:pPr>
      <w:r>
        <w:rPr>
          <w:rFonts w:hint="eastAsia" w:ascii="宋体" w:hAnsi="宋体" w:eastAsia="宋体" w:cs="宋体"/>
          <w:color w:val="auto"/>
          <w:sz w:val="24"/>
          <w:highlight w:val="none"/>
        </w:rPr>
        <w:t>2、招标人提供的工程量清单（由投标人自行在网上下载）</w:t>
      </w:r>
    </w:p>
    <w:p w14:paraId="681D5E15">
      <w:pPr>
        <w:autoSpaceDE w:val="0"/>
        <w:autoSpaceDN w:val="0"/>
        <w:adjustRightInd w:val="0"/>
        <w:spacing w:line="360" w:lineRule="auto"/>
        <w:rPr>
          <w:rFonts w:hint="eastAsia" w:ascii="宋体" w:hAnsi="宋体"/>
          <w:b/>
          <w:bCs/>
          <w:color w:val="auto"/>
          <w:sz w:val="32"/>
          <w:szCs w:val="32"/>
          <w:highlight w:val="none"/>
          <w:lang w:val="zh-CN"/>
        </w:rPr>
      </w:pPr>
    </w:p>
    <w:p w14:paraId="49AF4B88">
      <w:pPr>
        <w:autoSpaceDE w:val="0"/>
        <w:autoSpaceDN w:val="0"/>
        <w:adjustRightInd w:val="0"/>
        <w:spacing w:line="360" w:lineRule="auto"/>
        <w:rPr>
          <w:rFonts w:hint="eastAsia" w:ascii="宋体" w:hAnsi="宋体"/>
          <w:b/>
          <w:bCs/>
          <w:color w:val="auto"/>
          <w:sz w:val="32"/>
          <w:szCs w:val="32"/>
          <w:highlight w:val="none"/>
          <w:lang w:val="zh-CN"/>
        </w:rPr>
      </w:pPr>
    </w:p>
    <w:p w14:paraId="64F17C91">
      <w:pPr>
        <w:autoSpaceDE w:val="0"/>
        <w:autoSpaceDN w:val="0"/>
        <w:adjustRightInd w:val="0"/>
        <w:spacing w:line="360" w:lineRule="auto"/>
        <w:rPr>
          <w:rFonts w:hint="eastAsia" w:ascii="宋体" w:hAnsi="宋体"/>
          <w:b/>
          <w:bCs/>
          <w:color w:val="auto"/>
          <w:sz w:val="32"/>
          <w:szCs w:val="32"/>
          <w:highlight w:val="none"/>
          <w:lang w:val="zh-CN"/>
        </w:rPr>
      </w:pPr>
    </w:p>
    <w:p w14:paraId="1F44B08D">
      <w:pPr>
        <w:autoSpaceDE w:val="0"/>
        <w:autoSpaceDN w:val="0"/>
        <w:adjustRightInd w:val="0"/>
        <w:spacing w:line="360" w:lineRule="auto"/>
        <w:rPr>
          <w:rFonts w:hint="eastAsia" w:ascii="宋体" w:hAnsi="宋体"/>
          <w:b/>
          <w:bCs/>
          <w:color w:val="auto"/>
          <w:sz w:val="32"/>
          <w:szCs w:val="32"/>
          <w:highlight w:val="none"/>
          <w:lang w:val="zh-CN"/>
        </w:rPr>
      </w:pPr>
    </w:p>
    <w:p w14:paraId="2935DDF3">
      <w:pPr>
        <w:autoSpaceDE w:val="0"/>
        <w:autoSpaceDN w:val="0"/>
        <w:adjustRightInd w:val="0"/>
        <w:spacing w:line="360" w:lineRule="auto"/>
        <w:rPr>
          <w:rFonts w:hint="eastAsia" w:ascii="宋体" w:hAnsi="宋体"/>
          <w:b/>
          <w:bCs/>
          <w:color w:val="auto"/>
          <w:sz w:val="32"/>
          <w:szCs w:val="32"/>
          <w:highlight w:val="none"/>
          <w:lang w:val="zh-CN"/>
        </w:rPr>
      </w:pPr>
    </w:p>
    <w:p w14:paraId="12908D1F">
      <w:pPr>
        <w:autoSpaceDE w:val="0"/>
        <w:autoSpaceDN w:val="0"/>
        <w:adjustRightInd w:val="0"/>
        <w:spacing w:line="360" w:lineRule="auto"/>
        <w:rPr>
          <w:rFonts w:hint="eastAsia" w:ascii="宋体" w:hAnsi="宋体"/>
          <w:b/>
          <w:bCs/>
          <w:color w:val="auto"/>
          <w:sz w:val="32"/>
          <w:szCs w:val="32"/>
          <w:highlight w:val="none"/>
          <w:lang w:val="zh-CN"/>
        </w:rPr>
      </w:pPr>
    </w:p>
    <w:p w14:paraId="4E828992">
      <w:pPr>
        <w:autoSpaceDE w:val="0"/>
        <w:autoSpaceDN w:val="0"/>
        <w:adjustRightInd w:val="0"/>
        <w:spacing w:line="360" w:lineRule="auto"/>
        <w:rPr>
          <w:rFonts w:hint="eastAsia" w:ascii="宋体" w:hAnsi="宋体"/>
          <w:b/>
          <w:bCs/>
          <w:color w:val="auto"/>
          <w:sz w:val="32"/>
          <w:szCs w:val="32"/>
          <w:highlight w:val="none"/>
          <w:lang w:val="zh-CN"/>
        </w:rPr>
      </w:pPr>
    </w:p>
    <w:p w14:paraId="00E47F6F">
      <w:pPr>
        <w:autoSpaceDE w:val="0"/>
        <w:autoSpaceDN w:val="0"/>
        <w:adjustRightInd w:val="0"/>
        <w:spacing w:line="360" w:lineRule="auto"/>
        <w:rPr>
          <w:rFonts w:hint="eastAsia" w:ascii="宋体" w:hAnsi="宋体"/>
          <w:b/>
          <w:bCs/>
          <w:color w:val="auto"/>
          <w:sz w:val="32"/>
          <w:szCs w:val="32"/>
          <w:highlight w:val="none"/>
          <w:lang w:val="zh-CN"/>
        </w:rPr>
      </w:pPr>
    </w:p>
    <w:p w14:paraId="58F96D2F">
      <w:pPr>
        <w:autoSpaceDE w:val="0"/>
        <w:autoSpaceDN w:val="0"/>
        <w:adjustRightInd w:val="0"/>
        <w:spacing w:line="360" w:lineRule="auto"/>
        <w:rPr>
          <w:rFonts w:hint="eastAsia" w:ascii="宋体" w:hAnsi="宋体"/>
          <w:b/>
          <w:bCs/>
          <w:color w:val="auto"/>
          <w:sz w:val="32"/>
          <w:szCs w:val="32"/>
          <w:highlight w:val="none"/>
          <w:lang w:val="zh-CN"/>
        </w:rPr>
      </w:pPr>
    </w:p>
    <w:p w14:paraId="73DE9630">
      <w:pPr>
        <w:autoSpaceDE w:val="0"/>
        <w:autoSpaceDN w:val="0"/>
        <w:adjustRightInd w:val="0"/>
        <w:spacing w:line="360" w:lineRule="auto"/>
        <w:rPr>
          <w:rFonts w:hint="eastAsia" w:ascii="宋体" w:hAnsi="宋体"/>
          <w:b/>
          <w:bCs/>
          <w:color w:val="auto"/>
          <w:sz w:val="32"/>
          <w:szCs w:val="32"/>
          <w:highlight w:val="none"/>
          <w:lang w:val="zh-CN"/>
        </w:rPr>
      </w:pPr>
    </w:p>
    <w:p w14:paraId="3D34AD3E">
      <w:pPr>
        <w:autoSpaceDE w:val="0"/>
        <w:autoSpaceDN w:val="0"/>
        <w:adjustRightInd w:val="0"/>
        <w:spacing w:line="360" w:lineRule="auto"/>
        <w:rPr>
          <w:rFonts w:hint="eastAsia" w:ascii="宋体" w:hAnsi="宋体"/>
          <w:b/>
          <w:bCs/>
          <w:color w:val="auto"/>
          <w:sz w:val="32"/>
          <w:szCs w:val="32"/>
          <w:highlight w:val="none"/>
          <w:lang w:val="zh-CN"/>
        </w:rPr>
      </w:pPr>
    </w:p>
    <w:p w14:paraId="28E6FC77">
      <w:pPr>
        <w:autoSpaceDE w:val="0"/>
        <w:autoSpaceDN w:val="0"/>
        <w:adjustRightInd w:val="0"/>
        <w:spacing w:line="360" w:lineRule="auto"/>
        <w:rPr>
          <w:rFonts w:hint="eastAsia" w:ascii="宋体" w:hAnsi="宋体"/>
          <w:b/>
          <w:bCs/>
          <w:color w:val="auto"/>
          <w:sz w:val="32"/>
          <w:szCs w:val="32"/>
          <w:highlight w:val="none"/>
          <w:lang w:val="zh-CN"/>
        </w:rPr>
      </w:pPr>
    </w:p>
    <w:p w14:paraId="40702C02">
      <w:pPr>
        <w:autoSpaceDE w:val="0"/>
        <w:autoSpaceDN w:val="0"/>
        <w:adjustRightInd w:val="0"/>
        <w:spacing w:line="360" w:lineRule="auto"/>
        <w:rPr>
          <w:rFonts w:hint="eastAsia" w:ascii="宋体" w:hAnsi="宋体"/>
          <w:b/>
          <w:bCs/>
          <w:color w:val="auto"/>
          <w:sz w:val="32"/>
          <w:szCs w:val="32"/>
          <w:highlight w:val="none"/>
          <w:lang w:val="zh-CN"/>
        </w:rPr>
      </w:pPr>
    </w:p>
    <w:p w14:paraId="2A552D35">
      <w:pPr>
        <w:autoSpaceDE w:val="0"/>
        <w:autoSpaceDN w:val="0"/>
        <w:adjustRightInd w:val="0"/>
        <w:spacing w:line="360" w:lineRule="auto"/>
        <w:rPr>
          <w:rFonts w:hint="eastAsia" w:ascii="宋体" w:hAnsi="宋体"/>
          <w:b/>
          <w:bCs/>
          <w:color w:val="auto"/>
          <w:sz w:val="32"/>
          <w:szCs w:val="32"/>
          <w:highlight w:val="none"/>
          <w:lang w:val="zh-CN"/>
        </w:rPr>
      </w:pPr>
    </w:p>
    <w:p w14:paraId="20B413FC">
      <w:pPr>
        <w:autoSpaceDE w:val="0"/>
        <w:autoSpaceDN w:val="0"/>
        <w:adjustRightInd w:val="0"/>
        <w:spacing w:line="360" w:lineRule="auto"/>
        <w:rPr>
          <w:rFonts w:hint="eastAsia" w:ascii="宋体" w:hAnsi="宋体"/>
          <w:b/>
          <w:bCs/>
          <w:color w:val="auto"/>
          <w:sz w:val="32"/>
          <w:szCs w:val="32"/>
          <w:highlight w:val="none"/>
          <w:lang w:val="zh-CN"/>
        </w:rPr>
      </w:pPr>
    </w:p>
    <w:p w14:paraId="376F7A32">
      <w:pPr>
        <w:autoSpaceDE w:val="0"/>
        <w:autoSpaceDN w:val="0"/>
        <w:adjustRightInd w:val="0"/>
        <w:spacing w:line="360" w:lineRule="auto"/>
        <w:rPr>
          <w:rFonts w:hint="eastAsia" w:ascii="宋体" w:hAnsi="宋体"/>
          <w:b/>
          <w:bCs/>
          <w:color w:val="auto"/>
          <w:sz w:val="32"/>
          <w:szCs w:val="32"/>
          <w:highlight w:val="none"/>
          <w:lang w:val="zh-CN"/>
        </w:rPr>
      </w:pPr>
    </w:p>
    <w:p w14:paraId="4AAFAD3A">
      <w:pPr>
        <w:autoSpaceDE w:val="0"/>
        <w:autoSpaceDN w:val="0"/>
        <w:adjustRightInd w:val="0"/>
        <w:spacing w:line="360" w:lineRule="auto"/>
        <w:rPr>
          <w:rFonts w:hint="eastAsia" w:ascii="宋体" w:hAnsi="宋体"/>
          <w:b/>
          <w:bCs/>
          <w:color w:val="auto"/>
          <w:sz w:val="32"/>
          <w:szCs w:val="32"/>
          <w:highlight w:val="none"/>
          <w:lang w:val="zh-CN"/>
        </w:rPr>
      </w:pPr>
    </w:p>
    <w:p w14:paraId="50955479">
      <w:pPr>
        <w:autoSpaceDE w:val="0"/>
        <w:autoSpaceDN w:val="0"/>
        <w:adjustRightInd w:val="0"/>
        <w:spacing w:line="360" w:lineRule="auto"/>
        <w:rPr>
          <w:rFonts w:hint="eastAsia" w:ascii="宋体" w:hAnsi="宋体"/>
          <w:b/>
          <w:bCs/>
          <w:color w:val="auto"/>
          <w:sz w:val="32"/>
          <w:szCs w:val="32"/>
          <w:highlight w:val="none"/>
          <w:lang w:val="zh-CN"/>
        </w:rPr>
      </w:pPr>
    </w:p>
    <w:p w14:paraId="0BD68DF6">
      <w:pPr>
        <w:autoSpaceDE w:val="0"/>
        <w:autoSpaceDN w:val="0"/>
        <w:adjustRightInd w:val="0"/>
        <w:spacing w:line="360" w:lineRule="auto"/>
        <w:rPr>
          <w:rFonts w:hint="eastAsia" w:ascii="宋体" w:hAnsi="宋体"/>
          <w:b/>
          <w:bCs/>
          <w:color w:val="auto"/>
          <w:sz w:val="32"/>
          <w:szCs w:val="32"/>
          <w:highlight w:val="none"/>
          <w:lang w:val="zh-CN"/>
        </w:rPr>
      </w:pPr>
    </w:p>
    <w:p w14:paraId="4110CE57">
      <w:pPr>
        <w:spacing w:line="360" w:lineRule="auto"/>
        <w:contextualSpacing/>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3CC8AD62">
      <w:pPr>
        <w:snapToGrid w:val="0"/>
        <w:spacing w:before="156" w:beforeLines="5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79B050E7">
      <w:pPr>
        <w:snapToGrid w:val="0"/>
        <w:spacing w:before="156" w:beforeLines="50" w:after="50"/>
        <w:rPr>
          <w:rFonts w:hint="eastAsia" w:ascii="宋体" w:hAnsi="宋体"/>
          <w:bCs/>
          <w:color w:val="auto"/>
          <w:sz w:val="32"/>
          <w:szCs w:val="20"/>
          <w:highlight w:val="none"/>
        </w:rPr>
      </w:pPr>
      <w:r>
        <w:rPr>
          <w:rFonts w:hint="eastAsia" w:ascii="宋体" w:hAnsi="宋体"/>
          <w:color w:val="auto"/>
          <w:sz w:val="24"/>
          <w:highlight w:val="none"/>
        </w:rPr>
        <w:t xml:space="preserve">                                                    </w:t>
      </w:r>
    </w:p>
    <w:p w14:paraId="7C1CB8FB">
      <w:pPr>
        <w:snapToGrid w:val="0"/>
        <w:spacing w:before="156" w:beforeLines="5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74F17A2E">
      <w:pPr>
        <w:snapToGrid w:val="0"/>
        <w:spacing w:before="156" w:beforeLines="50" w:after="50"/>
        <w:rPr>
          <w:rFonts w:hint="eastAsia" w:ascii="宋体" w:hAnsi="宋体"/>
          <w:color w:val="auto"/>
          <w:sz w:val="24"/>
          <w:szCs w:val="20"/>
          <w:highlight w:val="none"/>
        </w:rPr>
      </w:pPr>
    </w:p>
    <w:p w14:paraId="6EE9206F">
      <w:pPr>
        <w:snapToGrid w:val="0"/>
        <w:spacing w:before="156" w:beforeLines="50" w:after="50"/>
        <w:rPr>
          <w:rFonts w:hint="eastAsia" w:ascii="宋体" w:hAnsi="宋体"/>
          <w:color w:val="auto"/>
          <w:sz w:val="24"/>
          <w:szCs w:val="20"/>
          <w:highlight w:val="none"/>
        </w:rPr>
      </w:pPr>
    </w:p>
    <w:p w14:paraId="008E278E">
      <w:pPr>
        <w:snapToGrid w:val="0"/>
        <w:spacing w:before="156"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68903558">
      <w:pPr>
        <w:snapToGrid w:val="0"/>
        <w:spacing w:before="156" w:beforeLines="50" w:after="50"/>
        <w:rPr>
          <w:rFonts w:hint="eastAsia" w:ascii="宋体" w:hAnsi="宋体"/>
          <w:bCs/>
          <w:color w:val="auto"/>
          <w:sz w:val="24"/>
          <w:szCs w:val="20"/>
          <w:highlight w:val="none"/>
        </w:rPr>
      </w:pPr>
    </w:p>
    <w:p w14:paraId="7F5B6B19">
      <w:pPr>
        <w:snapToGrid w:val="0"/>
        <w:spacing w:before="156" w:beforeLines="50" w:after="50"/>
        <w:rPr>
          <w:rFonts w:hint="eastAsia" w:ascii="宋体" w:hAnsi="宋体"/>
          <w:bCs/>
          <w:color w:val="auto"/>
          <w:sz w:val="24"/>
          <w:szCs w:val="20"/>
          <w:highlight w:val="none"/>
        </w:rPr>
      </w:pPr>
    </w:p>
    <w:p w14:paraId="7128AC98">
      <w:pPr>
        <w:snapToGrid w:val="0"/>
        <w:spacing w:before="156" w:beforeLines="50" w:after="50"/>
        <w:rPr>
          <w:rFonts w:hint="eastAsia" w:ascii="宋体" w:hAnsi="宋体"/>
          <w:bCs/>
          <w:color w:val="auto"/>
          <w:sz w:val="24"/>
          <w:szCs w:val="20"/>
          <w:highlight w:val="none"/>
        </w:rPr>
      </w:pPr>
    </w:p>
    <w:p w14:paraId="40722FA4">
      <w:pPr>
        <w:snapToGrid w:val="0"/>
        <w:spacing w:before="156" w:beforeLines="50" w:after="50"/>
        <w:rPr>
          <w:rFonts w:hint="eastAsia" w:ascii="宋体" w:hAnsi="宋体"/>
          <w:bCs/>
          <w:color w:val="auto"/>
          <w:sz w:val="24"/>
          <w:szCs w:val="20"/>
          <w:highlight w:val="none"/>
        </w:rPr>
      </w:pPr>
    </w:p>
    <w:p w14:paraId="779A7A1F">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7C4BE567">
      <w:pPr>
        <w:snapToGrid w:val="0"/>
        <w:spacing w:before="156" w:beforeLines="50" w:after="50"/>
        <w:ind w:firstLine="720" w:firstLineChars="225"/>
        <w:rPr>
          <w:rFonts w:hint="eastAsia" w:ascii="宋体" w:hAnsi="宋体" w:cs="仿宋_GB2312"/>
          <w:bCs/>
          <w:color w:val="auto"/>
          <w:sz w:val="32"/>
          <w:szCs w:val="32"/>
          <w:highlight w:val="none"/>
        </w:rPr>
      </w:pPr>
    </w:p>
    <w:p w14:paraId="06ACA139">
      <w:pPr>
        <w:snapToGrid w:val="0"/>
        <w:spacing w:before="156" w:beforeLines="50" w:after="50"/>
        <w:ind w:firstLine="640" w:firstLineChars="20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7B1C47A">
      <w:pPr>
        <w:snapToGrid w:val="0"/>
        <w:spacing w:before="156" w:beforeLines="50" w:after="50"/>
        <w:ind w:firstLine="720" w:firstLineChars="225"/>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69CB3BB5">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34BE8238">
      <w:pPr>
        <w:pStyle w:val="10"/>
        <w:snapToGrid w:val="0"/>
        <w:spacing w:before="50" w:after="50"/>
        <w:ind w:firstLine="640"/>
        <w:rPr>
          <w:rFonts w:hint="eastAsia" w:ascii="宋体" w:hAnsi="宋体" w:cs="仿宋_GB2312"/>
          <w:bCs/>
          <w:color w:val="auto"/>
          <w:sz w:val="32"/>
          <w:szCs w:val="32"/>
          <w:highlight w:val="none"/>
        </w:rPr>
      </w:pPr>
    </w:p>
    <w:p w14:paraId="0B9674AA">
      <w:pPr>
        <w:pStyle w:val="10"/>
        <w:snapToGrid w:val="0"/>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供应商地址：</w:t>
      </w:r>
    </w:p>
    <w:p w14:paraId="26065AD4">
      <w:pPr>
        <w:pStyle w:val="10"/>
        <w:snapToGrid w:val="0"/>
        <w:spacing w:before="50" w:after="50"/>
        <w:ind w:firstLine="640"/>
        <w:rPr>
          <w:rFonts w:hint="eastAsia" w:ascii="宋体" w:hAnsi="宋体" w:cs="仿宋_GB2312"/>
          <w:bCs/>
          <w:color w:val="auto"/>
          <w:sz w:val="32"/>
          <w:szCs w:val="32"/>
          <w:highlight w:val="none"/>
        </w:rPr>
      </w:pPr>
    </w:p>
    <w:p w14:paraId="5CD72BEA">
      <w:pPr>
        <w:pStyle w:val="10"/>
        <w:snapToGrid w:val="0"/>
        <w:spacing w:before="50" w:after="50"/>
        <w:ind w:firstLine="720" w:firstLineChars="225"/>
        <w:rPr>
          <w:rFonts w:hint="eastAsia" w:ascii="宋体" w:hAnsi="宋体" w:cs="仿宋_GB2312"/>
          <w:bCs/>
          <w:color w:val="auto"/>
          <w:sz w:val="32"/>
          <w:szCs w:val="32"/>
          <w:highlight w:val="none"/>
        </w:rPr>
      </w:pPr>
    </w:p>
    <w:p w14:paraId="45BC92FD">
      <w:pPr>
        <w:pStyle w:val="10"/>
        <w:snapToGrid w:val="0"/>
        <w:spacing w:before="50" w:after="50"/>
        <w:ind w:firstLine="1280" w:firstLineChars="400"/>
        <w:rPr>
          <w:rFonts w:hint="eastAsia" w:ascii="宋体" w:hAnsi="宋体" w:cs="仿宋_GB2312"/>
          <w:bCs/>
          <w:color w:val="auto"/>
          <w:sz w:val="32"/>
          <w:szCs w:val="32"/>
          <w:highlight w:val="none"/>
        </w:rPr>
      </w:pPr>
    </w:p>
    <w:p w14:paraId="6E5FCBB9">
      <w:pPr>
        <w:snapToGrid w:val="0"/>
        <w:spacing w:before="156" w:beforeLines="5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C1773E9">
      <w:pPr>
        <w:snapToGrid w:val="0"/>
        <w:spacing w:before="156" w:beforeLines="50" w:after="50" w:line="360" w:lineRule="auto"/>
        <w:ind w:right="480" w:firstLine="240" w:firstLineChars="100"/>
        <w:jc w:val="left"/>
        <w:rPr>
          <w:rFonts w:hint="eastAsia" w:ascii="宋体" w:hAnsi="宋体"/>
          <w:b/>
          <w:bCs/>
          <w:color w:val="auto"/>
          <w:sz w:val="24"/>
          <w:highlight w:val="none"/>
        </w:rPr>
      </w:pPr>
      <w:r>
        <w:rPr>
          <w:rFonts w:ascii="宋体" w:hAnsi="宋体"/>
          <w:color w:val="auto"/>
          <w:sz w:val="24"/>
          <w:highlight w:val="none"/>
        </w:rPr>
        <w:br w:type="page"/>
      </w:r>
      <w:r>
        <w:rPr>
          <w:rFonts w:hint="eastAsia" w:ascii="宋体" w:hAnsi="宋体"/>
          <w:b/>
          <w:bCs/>
          <w:color w:val="auto"/>
          <w:sz w:val="32"/>
          <w:szCs w:val="32"/>
          <w:highlight w:val="none"/>
        </w:rPr>
        <w:t>2.商务技术文件目录</w:t>
      </w:r>
    </w:p>
    <w:p w14:paraId="5AC6ADA6">
      <w:pPr>
        <w:snapToGrid w:val="0"/>
        <w:spacing w:before="156" w:beforeLines="50" w:after="50" w:line="360" w:lineRule="auto"/>
        <w:ind w:firstLine="640" w:firstLineChars="20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1300AAD3">
      <w:pPr>
        <w:spacing w:line="400" w:lineRule="exact"/>
        <w:rPr>
          <w:rFonts w:hint="eastAsia" w:ascii="仿宋_GB2312" w:hAnsi="仿宋_GB2312" w:eastAsia="仿宋_GB2312" w:cs="仿宋_GB2312"/>
          <w:color w:val="auto"/>
          <w:sz w:val="32"/>
          <w:szCs w:val="32"/>
          <w:highlight w:val="none"/>
        </w:rPr>
      </w:pPr>
    </w:p>
    <w:p w14:paraId="1BA61B40">
      <w:pPr>
        <w:spacing w:line="520" w:lineRule="exact"/>
        <w:jc w:val="center"/>
        <w:rPr>
          <w:rFonts w:hint="eastAsia" w:ascii="仿宋_GB2312" w:hAnsi="仿宋_GB2312" w:eastAsia="方正小标宋简体" w:cs="仿宋_GB2312"/>
          <w:color w:val="auto"/>
          <w:sz w:val="2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36"/>
          <w:szCs w:val="36"/>
          <w:highlight w:val="none"/>
        </w:rPr>
        <w:t>无串通竞标行为的承诺函（格式）</w:t>
      </w:r>
    </w:p>
    <w:p w14:paraId="4E701B60">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DD70366">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CAA2B8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2753F0B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A45A7D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3D43DDE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4.不同供应商的响应文件异常一致或者竞标报价呈规律性差异；</w:t>
      </w:r>
    </w:p>
    <w:p w14:paraId="6FA4029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02042C62">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752750B0">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04F6CC6">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20CA3A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39EEE83B">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3.供应商之间协商报价、技术方案等响应文件的实质性内容；</w:t>
      </w:r>
    </w:p>
    <w:p w14:paraId="1D4FE7E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1D7F6F18">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3CD5A2B7">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6AD02CC1">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7.供应商与采购人或者采购代理机构之间、供应商相互之间，为谋求特定供应商成交或者排斥其他供应商的其他串通行为。</w:t>
      </w:r>
    </w:p>
    <w:p w14:paraId="4F51E5FE">
      <w:pPr>
        <w:spacing w:line="360" w:lineRule="auto"/>
        <w:ind w:firstLine="480" w:firstLineChars="200"/>
        <w:contextualSpacing/>
        <w:rPr>
          <w:rFonts w:hint="eastAsia" w:ascii="宋体" w:hAnsi="宋体" w:cs="仿宋_GB2312"/>
          <w:color w:val="auto"/>
          <w:sz w:val="24"/>
          <w:highlight w:val="none"/>
        </w:rPr>
      </w:pPr>
    </w:p>
    <w:p w14:paraId="13F1211C">
      <w:pPr>
        <w:spacing w:line="360" w:lineRule="auto"/>
        <w:ind w:firstLine="482" w:firstLineChars="200"/>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248FEEDD">
      <w:pPr>
        <w:spacing w:line="360" w:lineRule="auto"/>
        <w:contextualSpacing/>
        <w:rPr>
          <w:rFonts w:hint="eastAsia" w:ascii="宋体" w:hAnsi="宋体" w:cs="仿宋_GB2312"/>
          <w:color w:val="auto"/>
          <w:sz w:val="24"/>
          <w:highlight w:val="none"/>
        </w:rPr>
      </w:pPr>
    </w:p>
    <w:p w14:paraId="40CB56E6">
      <w:pPr>
        <w:spacing w:line="360" w:lineRule="auto"/>
        <w:contextualSpacing/>
        <w:rPr>
          <w:rFonts w:hint="eastAsia" w:ascii="宋体" w:hAnsi="宋体" w:cs="仿宋_GB2312"/>
          <w:color w:val="auto"/>
          <w:sz w:val="24"/>
          <w:highlight w:val="none"/>
        </w:rPr>
      </w:pPr>
    </w:p>
    <w:p w14:paraId="53D17B63">
      <w:pPr>
        <w:spacing w:line="360" w:lineRule="auto"/>
        <w:ind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267769E5">
      <w:pPr>
        <w:spacing w:line="360" w:lineRule="auto"/>
        <w:ind w:firstLine="480" w:firstLineChars="20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4E26435E">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44"/>
          <w:szCs w:val="44"/>
          <w:highlight w:val="none"/>
        </w:rPr>
        <w:t>法定代表人证明书</w:t>
      </w:r>
    </w:p>
    <w:p w14:paraId="2CF34A70">
      <w:pPr>
        <w:spacing w:line="360" w:lineRule="auto"/>
        <w:ind w:left="540"/>
        <w:contextualSpacing/>
        <w:rPr>
          <w:rFonts w:hint="eastAsia" w:ascii="仿宋_GB2312" w:hAnsi="仿宋_GB2312" w:eastAsia="仿宋_GB2312" w:cs="仿宋_GB2312"/>
          <w:color w:val="auto"/>
          <w:sz w:val="32"/>
          <w:szCs w:val="32"/>
          <w:highlight w:val="none"/>
        </w:rPr>
      </w:pPr>
    </w:p>
    <w:p w14:paraId="0C7B63A3">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74AA197C">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3CA0AFDF">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7B87C15E">
      <w:pPr>
        <w:spacing w:line="360" w:lineRule="auto"/>
        <w:ind w:left="540"/>
        <w:contextualSpacing/>
        <w:rPr>
          <w:rFonts w:hint="eastAsia"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22123EA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30FAE1FD">
      <w:pPr>
        <w:spacing w:line="360" w:lineRule="auto"/>
        <w:ind w:firstLine="480" w:firstLineChars="200"/>
        <w:contextualSpacing/>
        <w:rPr>
          <w:rFonts w:hint="eastAsia"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3BC85C5">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特此证明。</w:t>
      </w:r>
    </w:p>
    <w:p w14:paraId="1264AEC3">
      <w:pPr>
        <w:spacing w:line="360" w:lineRule="auto"/>
        <w:ind w:left="540"/>
        <w:contextualSpacing/>
        <w:rPr>
          <w:rFonts w:hint="eastAsia" w:ascii="宋体" w:hAnsi="宋体" w:cs="仿宋_GB2312"/>
          <w:color w:val="auto"/>
          <w:sz w:val="24"/>
          <w:highlight w:val="none"/>
        </w:rPr>
      </w:pPr>
    </w:p>
    <w:p w14:paraId="3B911A4D">
      <w:pPr>
        <w:spacing w:line="360" w:lineRule="auto"/>
        <w:ind w:left="540"/>
        <w:contextualSpacing/>
        <w:rPr>
          <w:rFonts w:hint="eastAsia" w:ascii="宋体" w:hAnsi="宋体" w:cs="仿宋_GB2312"/>
          <w:color w:val="auto"/>
          <w:sz w:val="24"/>
          <w:highlight w:val="none"/>
        </w:rPr>
      </w:pPr>
    </w:p>
    <w:p w14:paraId="48AABCEF">
      <w:pPr>
        <w:spacing w:line="360" w:lineRule="auto"/>
        <w:ind w:left="540"/>
        <w:contextualSpacing/>
        <w:rPr>
          <w:rFonts w:hint="eastAsia" w:ascii="宋体" w:hAnsi="宋体" w:cs="仿宋_GB2312"/>
          <w:color w:val="auto"/>
          <w:sz w:val="24"/>
          <w:highlight w:val="none"/>
        </w:rPr>
      </w:pPr>
    </w:p>
    <w:p w14:paraId="591F092B">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16AFA97D">
      <w:pPr>
        <w:spacing w:line="360" w:lineRule="auto"/>
        <w:ind w:left="540"/>
        <w:contextualSpacing/>
        <w:rPr>
          <w:rFonts w:hint="eastAsia" w:ascii="宋体" w:hAnsi="宋体" w:cs="仿宋_GB2312"/>
          <w:color w:val="auto"/>
          <w:sz w:val="24"/>
          <w:highlight w:val="none"/>
        </w:rPr>
      </w:pPr>
    </w:p>
    <w:p w14:paraId="6C05E558">
      <w:pPr>
        <w:spacing w:line="360" w:lineRule="auto"/>
        <w:ind w:left="540"/>
        <w:contextualSpacing/>
        <w:rPr>
          <w:rFonts w:hint="eastAsia" w:ascii="宋体" w:hAnsi="宋体" w:cs="仿宋_GB2312"/>
          <w:color w:val="auto"/>
          <w:sz w:val="24"/>
          <w:highlight w:val="none"/>
        </w:rPr>
      </w:pPr>
    </w:p>
    <w:p w14:paraId="393C3F01">
      <w:pPr>
        <w:spacing w:line="360" w:lineRule="auto"/>
        <w:ind w:left="540" w:firstLine="3000" w:firstLineChars="125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r>
        <w:rPr>
          <w:rFonts w:hint="eastAsia" w:ascii="宋体" w:hAnsi="宋体" w:cs="仿宋_GB2312"/>
          <w:color w:val="auto"/>
          <w:sz w:val="24"/>
          <w:highlight w:val="none"/>
          <w:u w:val="single"/>
        </w:rPr>
        <w:t xml:space="preserve">               </w:t>
      </w:r>
    </w:p>
    <w:p w14:paraId="5749E1B4">
      <w:pPr>
        <w:spacing w:line="360" w:lineRule="auto"/>
        <w:ind w:firstLine="4080" w:firstLineChars="1700"/>
        <w:contextualSpacing/>
        <w:rPr>
          <w:rFonts w:hint="eastAsia"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48649626">
      <w:pPr>
        <w:spacing w:line="360" w:lineRule="auto"/>
        <w:contextualSpacing/>
        <w:jc w:val="center"/>
        <w:rPr>
          <w:rFonts w:hint="eastAsia" w:ascii="宋体" w:hAnsi="宋体" w:cs="仿宋_GB2312"/>
          <w:b/>
          <w:color w:val="auto"/>
          <w:sz w:val="24"/>
          <w:highlight w:val="none"/>
        </w:rPr>
      </w:pPr>
    </w:p>
    <w:p w14:paraId="55E10EE3">
      <w:pPr>
        <w:adjustRightInd w:val="0"/>
        <w:snapToGrid w:val="0"/>
        <w:spacing w:line="300" w:lineRule="auto"/>
        <w:jc w:val="left"/>
        <w:rPr>
          <w:rFonts w:hint="eastAsia" w:ascii="宋体" w:hAnsi="宋体"/>
          <w:b/>
          <w:color w:val="auto"/>
          <w:szCs w:val="21"/>
          <w:highlight w:val="none"/>
        </w:rPr>
      </w:pPr>
    </w:p>
    <w:p w14:paraId="36050790">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bookmarkStart w:id="75" w:name="_Hlk65853643"/>
      <w:r>
        <w:rPr>
          <w:rFonts w:hint="eastAsia" w:ascii="方正小标宋简体" w:hAnsi="方正小标宋简体" w:eastAsia="方正小标宋简体" w:cs="方正小标宋简体"/>
          <w:color w:val="auto"/>
          <w:sz w:val="44"/>
          <w:szCs w:val="44"/>
          <w:highlight w:val="none"/>
        </w:rPr>
        <w:t>授权委托书</w:t>
      </w:r>
    </w:p>
    <w:p w14:paraId="79FFE4C5">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68F84204">
      <w:pPr>
        <w:spacing w:line="520" w:lineRule="exact"/>
        <w:rPr>
          <w:rFonts w:hint="eastAsia" w:ascii="仿宋_GB2312" w:hAnsi="仿宋_GB2312" w:eastAsia="仿宋_GB2312" w:cs="仿宋_GB2312"/>
          <w:color w:val="auto"/>
          <w:sz w:val="32"/>
          <w:szCs w:val="32"/>
          <w:highlight w:val="none"/>
        </w:rPr>
      </w:pPr>
    </w:p>
    <w:p w14:paraId="1709756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0E919F3">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699567F3">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3C1CBF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5CBA91C7">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7C777155">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0D43B541">
      <w:pPr>
        <w:spacing w:line="360" w:lineRule="auto"/>
        <w:rPr>
          <w:rFonts w:hint="eastAsia" w:ascii="宋体" w:hAnsi="宋体" w:cs="仿宋_GB2312"/>
          <w:color w:val="auto"/>
          <w:sz w:val="24"/>
          <w:highlight w:val="none"/>
        </w:rPr>
      </w:pPr>
    </w:p>
    <w:p w14:paraId="798D3D53">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3A769AA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7316E787">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w:t>
      </w:r>
    </w:p>
    <w:p w14:paraId="50BD2C77">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045FA5FA">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646F2C01">
      <w:pPr>
        <w:spacing w:line="360" w:lineRule="auto"/>
        <w:rPr>
          <w:rFonts w:hint="eastAsia" w:ascii="宋体" w:hAnsi="宋体" w:cs="仿宋_GB2312"/>
          <w:color w:val="auto"/>
          <w:sz w:val="24"/>
          <w:highlight w:val="none"/>
        </w:rPr>
      </w:pPr>
    </w:p>
    <w:p w14:paraId="17F80772">
      <w:pPr>
        <w:spacing w:line="360" w:lineRule="auto"/>
        <w:rPr>
          <w:rFonts w:hint="eastAsia" w:ascii="宋体" w:hAnsi="宋体" w:cs="仿宋_GB2312"/>
          <w:color w:val="auto"/>
          <w:sz w:val="24"/>
          <w:highlight w:val="none"/>
        </w:rPr>
      </w:pPr>
    </w:p>
    <w:p w14:paraId="2142552A">
      <w:pPr>
        <w:spacing w:line="360" w:lineRule="auto"/>
        <w:rPr>
          <w:rFonts w:hint="eastAsia" w:ascii="宋体" w:hAnsi="宋体" w:cs="仿宋_GB2312"/>
          <w:color w:val="auto"/>
          <w:sz w:val="24"/>
          <w:highlight w:val="none"/>
        </w:rPr>
      </w:pPr>
    </w:p>
    <w:p w14:paraId="08CA014E">
      <w:pPr>
        <w:spacing w:line="360" w:lineRule="auto"/>
        <w:rPr>
          <w:rFonts w:hint="eastAsia" w:ascii="宋体" w:hAnsi="宋体" w:cs="仿宋_GB2312"/>
          <w:color w:val="auto"/>
          <w:sz w:val="24"/>
          <w:highlight w:val="none"/>
        </w:rPr>
      </w:pPr>
    </w:p>
    <w:p w14:paraId="48A0C708">
      <w:pPr>
        <w:spacing w:line="360" w:lineRule="auto"/>
        <w:rPr>
          <w:rFonts w:hint="eastAsia" w:ascii="宋体" w:hAnsi="宋体" w:cs="仿宋_GB2312"/>
          <w:color w:val="auto"/>
          <w:sz w:val="24"/>
          <w:highlight w:val="none"/>
        </w:rPr>
      </w:pPr>
    </w:p>
    <w:p w14:paraId="5B005280">
      <w:pPr>
        <w:spacing w:line="360" w:lineRule="auto"/>
        <w:ind w:firstLine="480" w:firstLineChars="200"/>
        <w:rPr>
          <w:rFonts w:hint="eastAsia" w:ascii="宋体" w:hAnsi="宋体" w:cs="仿宋_GB2312"/>
          <w:color w:val="auto"/>
          <w:sz w:val="24"/>
          <w:highlight w:val="none"/>
        </w:rPr>
      </w:pPr>
      <w:r>
        <w:rPr>
          <w:rFonts w:hint="eastAsia" w:ascii="宋体" w:hAnsi="宋体" w:cs="仿宋_GB2312"/>
          <w:color w:val="auto"/>
          <w:sz w:val="24"/>
          <w:highlight w:val="none"/>
        </w:rPr>
        <w:t>注：法定代表人必须在授权委托书上签字或者盖章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3669D51D">
      <w:pPr>
        <w:spacing w:line="360" w:lineRule="auto"/>
        <w:ind w:firstLine="420" w:firstLineChars="200"/>
        <w:jc w:val="left"/>
        <w:rPr>
          <w:rFonts w:hint="eastAsia" w:ascii="仿宋_GB2312" w:hAnsi="仿宋_GB2312" w:eastAsia="仿宋_GB2312" w:cs="仿宋_GB2312"/>
          <w:color w:val="auto"/>
          <w:szCs w:val="21"/>
          <w:highlight w:val="none"/>
        </w:rPr>
      </w:pPr>
    </w:p>
    <w:p w14:paraId="1521807F">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Cs w:val="21"/>
          <w:highlight w:val="none"/>
        </w:rPr>
        <w:br w:type="page"/>
      </w:r>
      <w:bookmarkEnd w:id="75"/>
      <w:r>
        <w:rPr>
          <w:rFonts w:hint="eastAsia" w:ascii="方正小标宋简体" w:hAnsi="方正小标宋简体" w:eastAsia="方正小标宋简体" w:cs="方正小标宋简体"/>
          <w:bCs/>
          <w:color w:val="auto"/>
          <w:sz w:val="44"/>
          <w:szCs w:val="44"/>
          <w:highlight w:val="none"/>
        </w:rPr>
        <w:t>施工组织设计</w:t>
      </w:r>
    </w:p>
    <w:p w14:paraId="414B3C23">
      <w:pPr>
        <w:spacing w:line="50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28"/>
          <w:szCs w:val="28"/>
          <w:highlight w:val="none"/>
        </w:rPr>
        <w:t>（格式自拟）</w:t>
      </w:r>
    </w:p>
    <w:p w14:paraId="7E4EE6CC">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r>
        <w:rPr>
          <w:rFonts w:ascii="方正小标宋简体" w:hAnsi="方正小标宋简体" w:eastAsia="方正小标宋简体" w:cs="方正小标宋简体"/>
          <w:bCs/>
          <w:color w:val="auto"/>
          <w:sz w:val="44"/>
          <w:szCs w:val="44"/>
          <w:highlight w:val="none"/>
        </w:rPr>
        <w:br w:type="page"/>
      </w:r>
      <w:r>
        <w:rPr>
          <w:rFonts w:hint="eastAsia" w:ascii="方正小标宋简体" w:hAnsi="方正小标宋简体" w:eastAsia="方正小标宋简体" w:cs="方正小标宋简体"/>
          <w:bCs/>
          <w:color w:val="auto"/>
          <w:sz w:val="36"/>
          <w:szCs w:val="36"/>
          <w:highlight w:val="none"/>
        </w:rPr>
        <w:t>项目管理机构配备情况表（格式）</w:t>
      </w:r>
    </w:p>
    <w:p w14:paraId="33F92961">
      <w:pPr>
        <w:adjustRightInd w:val="0"/>
        <w:snapToGrid w:val="0"/>
        <w:spacing w:line="300" w:lineRule="auto"/>
        <w:jc w:val="center"/>
        <w:rPr>
          <w:rFonts w:hint="eastAsia" w:ascii="方正小标宋简体" w:hAnsi="方正小标宋简体" w:eastAsia="方正小标宋简体" w:cs="方正小标宋简体"/>
          <w:bCs/>
          <w:color w:val="auto"/>
          <w:sz w:val="36"/>
          <w:szCs w:val="36"/>
          <w:highlight w:val="none"/>
        </w:rPr>
      </w:pP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5A8FC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vAlign w:val="center"/>
          </w:tcPr>
          <w:p w14:paraId="78B53F15">
            <w:pPr>
              <w:ind w:left="223" w:hanging="222" w:hangingChars="106"/>
              <w:jc w:val="center"/>
              <w:rPr>
                <w:color w:val="auto"/>
                <w:highlight w:val="none"/>
              </w:rPr>
            </w:pPr>
            <w:r>
              <w:rPr>
                <w:color w:val="auto"/>
                <w:highlight w:val="none"/>
              </w:rPr>
              <w:t>岗位</w:t>
            </w:r>
          </w:p>
        </w:tc>
        <w:tc>
          <w:tcPr>
            <w:tcW w:w="670" w:type="dxa"/>
            <w:vMerge w:val="restart"/>
            <w:vAlign w:val="center"/>
          </w:tcPr>
          <w:p w14:paraId="5C420875">
            <w:pPr>
              <w:ind w:left="223" w:hanging="222" w:hangingChars="106"/>
              <w:jc w:val="center"/>
              <w:rPr>
                <w:color w:val="auto"/>
                <w:highlight w:val="none"/>
              </w:rPr>
            </w:pPr>
            <w:r>
              <w:rPr>
                <w:color w:val="auto"/>
                <w:highlight w:val="none"/>
              </w:rPr>
              <w:t>姓名</w:t>
            </w:r>
          </w:p>
        </w:tc>
        <w:tc>
          <w:tcPr>
            <w:tcW w:w="829" w:type="dxa"/>
            <w:vMerge w:val="restart"/>
            <w:vAlign w:val="center"/>
          </w:tcPr>
          <w:p w14:paraId="6C4B45D8">
            <w:pPr>
              <w:jc w:val="center"/>
              <w:rPr>
                <w:color w:val="auto"/>
                <w:highlight w:val="none"/>
              </w:rPr>
            </w:pPr>
            <w:r>
              <w:rPr>
                <w:color w:val="auto"/>
                <w:highlight w:val="none"/>
              </w:rPr>
              <w:t>身份证号</w:t>
            </w:r>
          </w:p>
        </w:tc>
        <w:tc>
          <w:tcPr>
            <w:tcW w:w="816" w:type="dxa"/>
            <w:vMerge w:val="restart"/>
            <w:vAlign w:val="center"/>
          </w:tcPr>
          <w:p w14:paraId="1EC36B67">
            <w:pPr>
              <w:ind w:left="223" w:hanging="222" w:hangingChars="106"/>
              <w:jc w:val="center"/>
              <w:rPr>
                <w:color w:val="auto"/>
                <w:highlight w:val="none"/>
              </w:rPr>
            </w:pPr>
            <w:r>
              <w:rPr>
                <w:color w:val="auto"/>
                <w:highlight w:val="none"/>
              </w:rPr>
              <w:t>职称</w:t>
            </w:r>
          </w:p>
        </w:tc>
        <w:tc>
          <w:tcPr>
            <w:tcW w:w="4188" w:type="dxa"/>
            <w:gridSpan w:val="4"/>
            <w:vAlign w:val="center"/>
          </w:tcPr>
          <w:p w14:paraId="49FC12AD">
            <w:pPr>
              <w:ind w:left="223" w:hanging="222" w:hangingChars="106"/>
              <w:jc w:val="center"/>
              <w:rPr>
                <w:color w:val="auto"/>
                <w:highlight w:val="none"/>
              </w:rPr>
            </w:pPr>
            <w:r>
              <w:rPr>
                <w:color w:val="auto"/>
                <w:highlight w:val="none"/>
              </w:rPr>
              <w:t>执业或职业资格</w:t>
            </w:r>
          </w:p>
        </w:tc>
        <w:tc>
          <w:tcPr>
            <w:tcW w:w="2443" w:type="dxa"/>
            <w:gridSpan w:val="2"/>
            <w:vAlign w:val="center"/>
          </w:tcPr>
          <w:p w14:paraId="666562E4">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234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vAlign w:val="center"/>
          </w:tcPr>
          <w:p w14:paraId="58195A7E">
            <w:pPr>
              <w:ind w:left="223" w:hanging="222" w:hangingChars="106"/>
              <w:jc w:val="center"/>
              <w:rPr>
                <w:color w:val="auto"/>
                <w:highlight w:val="none"/>
              </w:rPr>
            </w:pPr>
          </w:p>
        </w:tc>
        <w:tc>
          <w:tcPr>
            <w:tcW w:w="670" w:type="dxa"/>
            <w:vMerge w:val="continue"/>
            <w:vAlign w:val="center"/>
          </w:tcPr>
          <w:p w14:paraId="5FB1704F">
            <w:pPr>
              <w:ind w:left="223" w:hanging="222" w:hangingChars="106"/>
              <w:jc w:val="center"/>
              <w:rPr>
                <w:color w:val="auto"/>
                <w:highlight w:val="none"/>
              </w:rPr>
            </w:pPr>
          </w:p>
        </w:tc>
        <w:tc>
          <w:tcPr>
            <w:tcW w:w="829" w:type="dxa"/>
            <w:vMerge w:val="continue"/>
            <w:vAlign w:val="center"/>
          </w:tcPr>
          <w:p w14:paraId="352E6D0D">
            <w:pPr>
              <w:ind w:left="223" w:hanging="222" w:hangingChars="106"/>
              <w:jc w:val="center"/>
              <w:rPr>
                <w:color w:val="auto"/>
                <w:highlight w:val="none"/>
              </w:rPr>
            </w:pPr>
          </w:p>
        </w:tc>
        <w:tc>
          <w:tcPr>
            <w:tcW w:w="816" w:type="dxa"/>
            <w:vMerge w:val="continue"/>
            <w:vAlign w:val="center"/>
          </w:tcPr>
          <w:p w14:paraId="511A6A35">
            <w:pPr>
              <w:ind w:left="223" w:hanging="222" w:hangingChars="106"/>
              <w:jc w:val="center"/>
              <w:rPr>
                <w:color w:val="auto"/>
                <w:highlight w:val="none"/>
              </w:rPr>
            </w:pPr>
          </w:p>
        </w:tc>
        <w:tc>
          <w:tcPr>
            <w:tcW w:w="1148" w:type="dxa"/>
            <w:vAlign w:val="center"/>
          </w:tcPr>
          <w:p w14:paraId="7D694EF6">
            <w:pPr>
              <w:ind w:left="223" w:hanging="222" w:hangingChars="106"/>
              <w:jc w:val="center"/>
              <w:rPr>
                <w:color w:val="auto"/>
                <w:highlight w:val="none"/>
              </w:rPr>
            </w:pPr>
            <w:r>
              <w:rPr>
                <w:color w:val="auto"/>
                <w:highlight w:val="none"/>
              </w:rPr>
              <w:t>证书名称</w:t>
            </w:r>
          </w:p>
        </w:tc>
        <w:tc>
          <w:tcPr>
            <w:tcW w:w="1148" w:type="dxa"/>
            <w:vAlign w:val="center"/>
          </w:tcPr>
          <w:p w14:paraId="4C074028">
            <w:pPr>
              <w:ind w:left="223" w:hanging="222" w:hangingChars="106"/>
              <w:jc w:val="center"/>
              <w:rPr>
                <w:color w:val="auto"/>
                <w:highlight w:val="none"/>
              </w:rPr>
            </w:pPr>
            <w:r>
              <w:rPr>
                <w:color w:val="auto"/>
                <w:highlight w:val="none"/>
              </w:rPr>
              <w:t>级别</w:t>
            </w:r>
          </w:p>
        </w:tc>
        <w:tc>
          <w:tcPr>
            <w:tcW w:w="1148" w:type="dxa"/>
            <w:vAlign w:val="center"/>
          </w:tcPr>
          <w:p w14:paraId="4D35240F">
            <w:pPr>
              <w:ind w:left="223" w:hanging="222" w:hangingChars="106"/>
              <w:jc w:val="center"/>
              <w:rPr>
                <w:color w:val="auto"/>
                <w:highlight w:val="none"/>
              </w:rPr>
            </w:pPr>
            <w:r>
              <w:rPr>
                <w:color w:val="auto"/>
                <w:highlight w:val="none"/>
              </w:rPr>
              <w:t>证号</w:t>
            </w:r>
          </w:p>
        </w:tc>
        <w:tc>
          <w:tcPr>
            <w:tcW w:w="744" w:type="dxa"/>
            <w:vAlign w:val="center"/>
          </w:tcPr>
          <w:p w14:paraId="0AB53203">
            <w:pPr>
              <w:ind w:left="223" w:hanging="222" w:hangingChars="106"/>
              <w:jc w:val="center"/>
              <w:rPr>
                <w:color w:val="auto"/>
                <w:highlight w:val="none"/>
              </w:rPr>
            </w:pPr>
            <w:r>
              <w:rPr>
                <w:color w:val="auto"/>
                <w:highlight w:val="none"/>
              </w:rPr>
              <w:t>专业</w:t>
            </w:r>
          </w:p>
        </w:tc>
        <w:tc>
          <w:tcPr>
            <w:tcW w:w="1167" w:type="dxa"/>
            <w:vAlign w:val="center"/>
          </w:tcPr>
          <w:p w14:paraId="644C5968">
            <w:pPr>
              <w:jc w:val="center"/>
              <w:rPr>
                <w:color w:val="auto"/>
                <w:highlight w:val="none"/>
              </w:rPr>
            </w:pPr>
            <w:r>
              <w:rPr>
                <w:rFonts w:hint="eastAsia"/>
                <w:color w:val="auto"/>
                <w:highlight w:val="none"/>
              </w:rPr>
              <w:t>完工/在建</w:t>
            </w:r>
          </w:p>
        </w:tc>
        <w:tc>
          <w:tcPr>
            <w:tcW w:w="1276" w:type="dxa"/>
            <w:vAlign w:val="center"/>
          </w:tcPr>
          <w:p w14:paraId="600ECD16">
            <w:pPr>
              <w:jc w:val="center"/>
              <w:rPr>
                <w:color w:val="auto"/>
                <w:highlight w:val="none"/>
              </w:rPr>
            </w:pPr>
            <w:r>
              <w:rPr>
                <w:color w:val="auto"/>
                <w:highlight w:val="none"/>
              </w:rPr>
              <w:t>主要项目</w:t>
            </w:r>
          </w:p>
          <w:p w14:paraId="32DEAAD2">
            <w:pPr>
              <w:jc w:val="center"/>
              <w:rPr>
                <w:color w:val="auto"/>
                <w:highlight w:val="none"/>
              </w:rPr>
            </w:pPr>
            <w:r>
              <w:rPr>
                <w:color w:val="auto"/>
                <w:highlight w:val="none"/>
              </w:rPr>
              <w:t>名称</w:t>
            </w:r>
          </w:p>
        </w:tc>
      </w:tr>
      <w:tr w14:paraId="1093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37CFB19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vAlign w:val="center"/>
          </w:tcPr>
          <w:p w14:paraId="35DDDE34">
            <w:pPr>
              <w:ind w:left="223" w:hanging="222" w:hangingChars="106"/>
              <w:jc w:val="center"/>
              <w:rPr>
                <w:color w:val="auto"/>
                <w:szCs w:val="21"/>
                <w:highlight w:val="none"/>
              </w:rPr>
            </w:pPr>
          </w:p>
        </w:tc>
        <w:tc>
          <w:tcPr>
            <w:tcW w:w="829" w:type="dxa"/>
            <w:vAlign w:val="center"/>
          </w:tcPr>
          <w:p w14:paraId="1BA248A2">
            <w:pPr>
              <w:ind w:left="223" w:hanging="222" w:hangingChars="106"/>
              <w:jc w:val="center"/>
              <w:rPr>
                <w:color w:val="auto"/>
                <w:szCs w:val="21"/>
                <w:highlight w:val="none"/>
              </w:rPr>
            </w:pPr>
          </w:p>
        </w:tc>
        <w:tc>
          <w:tcPr>
            <w:tcW w:w="816" w:type="dxa"/>
            <w:vAlign w:val="center"/>
          </w:tcPr>
          <w:p w14:paraId="3BC93D3A">
            <w:pPr>
              <w:ind w:left="223" w:hanging="222" w:hangingChars="106"/>
              <w:jc w:val="center"/>
              <w:rPr>
                <w:color w:val="auto"/>
                <w:szCs w:val="21"/>
                <w:highlight w:val="none"/>
              </w:rPr>
            </w:pPr>
          </w:p>
        </w:tc>
        <w:tc>
          <w:tcPr>
            <w:tcW w:w="1148" w:type="dxa"/>
            <w:vAlign w:val="center"/>
          </w:tcPr>
          <w:p w14:paraId="323EB3C3">
            <w:pPr>
              <w:ind w:left="223" w:hanging="222" w:hangingChars="106"/>
              <w:jc w:val="center"/>
              <w:rPr>
                <w:color w:val="auto"/>
                <w:szCs w:val="21"/>
                <w:highlight w:val="none"/>
              </w:rPr>
            </w:pPr>
          </w:p>
        </w:tc>
        <w:tc>
          <w:tcPr>
            <w:tcW w:w="1148" w:type="dxa"/>
            <w:vAlign w:val="center"/>
          </w:tcPr>
          <w:p w14:paraId="2A830394">
            <w:pPr>
              <w:ind w:left="223" w:hanging="222" w:hangingChars="106"/>
              <w:jc w:val="center"/>
              <w:rPr>
                <w:color w:val="auto"/>
                <w:szCs w:val="21"/>
                <w:highlight w:val="none"/>
              </w:rPr>
            </w:pPr>
          </w:p>
        </w:tc>
        <w:tc>
          <w:tcPr>
            <w:tcW w:w="1148" w:type="dxa"/>
            <w:vAlign w:val="center"/>
          </w:tcPr>
          <w:p w14:paraId="7F2D0008">
            <w:pPr>
              <w:ind w:left="223" w:hanging="222" w:hangingChars="106"/>
              <w:jc w:val="center"/>
              <w:rPr>
                <w:color w:val="auto"/>
                <w:szCs w:val="21"/>
                <w:highlight w:val="none"/>
              </w:rPr>
            </w:pPr>
          </w:p>
        </w:tc>
        <w:tc>
          <w:tcPr>
            <w:tcW w:w="744" w:type="dxa"/>
            <w:vAlign w:val="center"/>
          </w:tcPr>
          <w:p w14:paraId="7C6726BE">
            <w:pPr>
              <w:ind w:left="223" w:hanging="222" w:hangingChars="106"/>
              <w:jc w:val="center"/>
              <w:rPr>
                <w:color w:val="auto"/>
                <w:szCs w:val="21"/>
                <w:highlight w:val="none"/>
              </w:rPr>
            </w:pPr>
          </w:p>
        </w:tc>
        <w:tc>
          <w:tcPr>
            <w:tcW w:w="1167" w:type="dxa"/>
            <w:vAlign w:val="center"/>
          </w:tcPr>
          <w:p w14:paraId="1C464056">
            <w:pPr>
              <w:ind w:left="223" w:hanging="222" w:hangingChars="106"/>
              <w:jc w:val="center"/>
              <w:rPr>
                <w:color w:val="auto"/>
                <w:szCs w:val="21"/>
                <w:highlight w:val="none"/>
              </w:rPr>
            </w:pPr>
          </w:p>
        </w:tc>
        <w:tc>
          <w:tcPr>
            <w:tcW w:w="1276" w:type="dxa"/>
            <w:vAlign w:val="center"/>
          </w:tcPr>
          <w:p w14:paraId="4E1ED9B7">
            <w:pPr>
              <w:ind w:left="223" w:hanging="222" w:hangingChars="106"/>
              <w:jc w:val="center"/>
              <w:rPr>
                <w:color w:val="auto"/>
                <w:szCs w:val="21"/>
                <w:highlight w:val="none"/>
              </w:rPr>
            </w:pPr>
          </w:p>
        </w:tc>
      </w:tr>
      <w:tr w14:paraId="1474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76D986F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vAlign w:val="center"/>
          </w:tcPr>
          <w:p w14:paraId="121BB54F">
            <w:pPr>
              <w:ind w:left="223" w:hanging="222" w:hangingChars="106"/>
              <w:jc w:val="center"/>
              <w:rPr>
                <w:color w:val="auto"/>
                <w:szCs w:val="21"/>
                <w:highlight w:val="none"/>
              </w:rPr>
            </w:pPr>
          </w:p>
        </w:tc>
        <w:tc>
          <w:tcPr>
            <w:tcW w:w="829" w:type="dxa"/>
            <w:vAlign w:val="center"/>
          </w:tcPr>
          <w:p w14:paraId="4C0749AD">
            <w:pPr>
              <w:ind w:left="223" w:hanging="222" w:hangingChars="106"/>
              <w:jc w:val="center"/>
              <w:rPr>
                <w:color w:val="auto"/>
                <w:szCs w:val="21"/>
                <w:highlight w:val="none"/>
              </w:rPr>
            </w:pPr>
          </w:p>
        </w:tc>
        <w:tc>
          <w:tcPr>
            <w:tcW w:w="816" w:type="dxa"/>
            <w:vAlign w:val="center"/>
          </w:tcPr>
          <w:p w14:paraId="4EA2519B">
            <w:pPr>
              <w:ind w:left="223" w:hanging="222" w:hangingChars="106"/>
              <w:jc w:val="center"/>
              <w:rPr>
                <w:color w:val="auto"/>
                <w:szCs w:val="21"/>
                <w:highlight w:val="none"/>
              </w:rPr>
            </w:pPr>
          </w:p>
        </w:tc>
        <w:tc>
          <w:tcPr>
            <w:tcW w:w="1148" w:type="dxa"/>
            <w:vAlign w:val="center"/>
          </w:tcPr>
          <w:p w14:paraId="44218665">
            <w:pPr>
              <w:ind w:left="223" w:hanging="222" w:hangingChars="106"/>
              <w:jc w:val="center"/>
              <w:rPr>
                <w:color w:val="auto"/>
                <w:szCs w:val="21"/>
                <w:highlight w:val="none"/>
              </w:rPr>
            </w:pPr>
          </w:p>
        </w:tc>
        <w:tc>
          <w:tcPr>
            <w:tcW w:w="1148" w:type="dxa"/>
            <w:vAlign w:val="center"/>
          </w:tcPr>
          <w:p w14:paraId="552D976C">
            <w:pPr>
              <w:ind w:left="223" w:hanging="222" w:hangingChars="106"/>
              <w:jc w:val="center"/>
              <w:rPr>
                <w:color w:val="auto"/>
                <w:szCs w:val="21"/>
                <w:highlight w:val="none"/>
              </w:rPr>
            </w:pPr>
          </w:p>
        </w:tc>
        <w:tc>
          <w:tcPr>
            <w:tcW w:w="1148" w:type="dxa"/>
            <w:vAlign w:val="center"/>
          </w:tcPr>
          <w:p w14:paraId="5116F60E">
            <w:pPr>
              <w:ind w:left="223" w:hanging="222" w:hangingChars="106"/>
              <w:jc w:val="center"/>
              <w:rPr>
                <w:color w:val="auto"/>
                <w:szCs w:val="21"/>
                <w:highlight w:val="none"/>
              </w:rPr>
            </w:pPr>
          </w:p>
        </w:tc>
        <w:tc>
          <w:tcPr>
            <w:tcW w:w="744" w:type="dxa"/>
            <w:vAlign w:val="center"/>
          </w:tcPr>
          <w:p w14:paraId="78EA5F88">
            <w:pPr>
              <w:ind w:left="223" w:hanging="222" w:hangingChars="106"/>
              <w:jc w:val="center"/>
              <w:rPr>
                <w:color w:val="auto"/>
                <w:szCs w:val="21"/>
                <w:highlight w:val="none"/>
              </w:rPr>
            </w:pPr>
          </w:p>
        </w:tc>
        <w:tc>
          <w:tcPr>
            <w:tcW w:w="1167" w:type="dxa"/>
            <w:vAlign w:val="center"/>
          </w:tcPr>
          <w:p w14:paraId="525FEC8D">
            <w:pPr>
              <w:ind w:left="223" w:hanging="222" w:hangingChars="106"/>
              <w:jc w:val="center"/>
              <w:rPr>
                <w:color w:val="auto"/>
                <w:szCs w:val="21"/>
                <w:highlight w:val="none"/>
              </w:rPr>
            </w:pPr>
          </w:p>
        </w:tc>
        <w:tc>
          <w:tcPr>
            <w:tcW w:w="1276" w:type="dxa"/>
            <w:vAlign w:val="center"/>
          </w:tcPr>
          <w:p w14:paraId="4502B8B6">
            <w:pPr>
              <w:ind w:left="223" w:hanging="222" w:hangingChars="106"/>
              <w:jc w:val="center"/>
              <w:rPr>
                <w:color w:val="auto"/>
                <w:szCs w:val="21"/>
                <w:highlight w:val="none"/>
              </w:rPr>
            </w:pPr>
          </w:p>
        </w:tc>
      </w:tr>
      <w:tr w14:paraId="5DF8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51A3207">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vAlign w:val="center"/>
          </w:tcPr>
          <w:p w14:paraId="38FE3360">
            <w:pPr>
              <w:ind w:left="223" w:hanging="222" w:hangingChars="106"/>
              <w:jc w:val="center"/>
              <w:rPr>
                <w:color w:val="auto"/>
                <w:szCs w:val="21"/>
                <w:highlight w:val="none"/>
              </w:rPr>
            </w:pPr>
          </w:p>
        </w:tc>
        <w:tc>
          <w:tcPr>
            <w:tcW w:w="829" w:type="dxa"/>
            <w:vAlign w:val="center"/>
          </w:tcPr>
          <w:p w14:paraId="0B05B4E2">
            <w:pPr>
              <w:ind w:left="223" w:hanging="222" w:hangingChars="106"/>
              <w:jc w:val="center"/>
              <w:rPr>
                <w:color w:val="auto"/>
                <w:szCs w:val="21"/>
                <w:highlight w:val="none"/>
              </w:rPr>
            </w:pPr>
          </w:p>
        </w:tc>
        <w:tc>
          <w:tcPr>
            <w:tcW w:w="816" w:type="dxa"/>
            <w:vAlign w:val="center"/>
          </w:tcPr>
          <w:p w14:paraId="74F8EEC2">
            <w:pPr>
              <w:ind w:left="223" w:hanging="222" w:hangingChars="106"/>
              <w:jc w:val="center"/>
              <w:rPr>
                <w:color w:val="auto"/>
                <w:szCs w:val="21"/>
                <w:highlight w:val="none"/>
              </w:rPr>
            </w:pPr>
          </w:p>
        </w:tc>
        <w:tc>
          <w:tcPr>
            <w:tcW w:w="1148" w:type="dxa"/>
            <w:vAlign w:val="center"/>
          </w:tcPr>
          <w:p w14:paraId="0CEC6C36">
            <w:pPr>
              <w:ind w:left="223" w:hanging="222" w:hangingChars="106"/>
              <w:jc w:val="center"/>
              <w:rPr>
                <w:color w:val="auto"/>
                <w:szCs w:val="21"/>
                <w:highlight w:val="none"/>
              </w:rPr>
            </w:pPr>
          </w:p>
        </w:tc>
        <w:tc>
          <w:tcPr>
            <w:tcW w:w="1148" w:type="dxa"/>
            <w:vAlign w:val="center"/>
          </w:tcPr>
          <w:p w14:paraId="64FFFE19">
            <w:pPr>
              <w:ind w:left="223" w:hanging="222" w:hangingChars="106"/>
              <w:jc w:val="center"/>
              <w:rPr>
                <w:color w:val="auto"/>
                <w:szCs w:val="21"/>
                <w:highlight w:val="none"/>
              </w:rPr>
            </w:pPr>
          </w:p>
        </w:tc>
        <w:tc>
          <w:tcPr>
            <w:tcW w:w="1148" w:type="dxa"/>
            <w:vAlign w:val="center"/>
          </w:tcPr>
          <w:p w14:paraId="4BC404E9">
            <w:pPr>
              <w:ind w:left="223" w:hanging="222" w:hangingChars="106"/>
              <w:jc w:val="center"/>
              <w:rPr>
                <w:color w:val="auto"/>
                <w:szCs w:val="21"/>
                <w:highlight w:val="none"/>
              </w:rPr>
            </w:pPr>
          </w:p>
        </w:tc>
        <w:tc>
          <w:tcPr>
            <w:tcW w:w="744" w:type="dxa"/>
            <w:vAlign w:val="center"/>
          </w:tcPr>
          <w:p w14:paraId="39FD33D7">
            <w:pPr>
              <w:ind w:left="223" w:hanging="222" w:hangingChars="106"/>
              <w:jc w:val="center"/>
              <w:rPr>
                <w:color w:val="auto"/>
                <w:szCs w:val="21"/>
                <w:highlight w:val="none"/>
              </w:rPr>
            </w:pPr>
          </w:p>
        </w:tc>
        <w:tc>
          <w:tcPr>
            <w:tcW w:w="1167" w:type="dxa"/>
            <w:vAlign w:val="center"/>
          </w:tcPr>
          <w:p w14:paraId="41BA86BD">
            <w:pPr>
              <w:ind w:left="223" w:hanging="222" w:hangingChars="106"/>
              <w:jc w:val="center"/>
              <w:rPr>
                <w:color w:val="auto"/>
                <w:szCs w:val="21"/>
                <w:highlight w:val="none"/>
              </w:rPr>
            </w:pPr>
          </w:p>
        </w:tc>
        <w:tc>
          <w:tcPr>
            <w:tcW w:w="1276" w:type="dxa"/>
            <w:vAlign w:val="center"/>
          </w:tcPr>
          <w:p w14:paraId="2BCFCD03">
            <w:pPr>
              <w:ind w:left="223" w:hanging="222" w:hangingChars="106"/>
              <w:jc w:val="center"/>
              <w:rPr>
                <w:color w:val="auto"/>
                <w:szCs w:val="21"/>
                <w:highlight w:val="none"/>
              </w:rPr>
            </w:pPr>
          </w:p>
        </w:tc>
      </w:tr>
      <w:tr w14:paraId="7514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C55270E">
            <w:pPr>
              <w:pStyle w:val="78"/>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vAlign w:val="center"/>
          </w:tcPr>
          <w:p w14:paraId="59C81B9A">
            <w:pPr>
              <w:ind w:left="223" w:hanging="222" w:hangingChars="106"/>
              <w:jc w:val="center"/>
              <w:rPr>
                <w:color w:val="auto"/>
                <w:szCs w:val="21"/>
                <w:highlight w:val="none"/>
              </w:rPr>
            </w:pPr>
          </w:p>
        </w:tc>
        <w:tc>
          <w:tcPr>
            <w:tcW w:w="829" w:type="dxa"/>
            <w:vAlign w:val="center"/>
          </w:tcPr>
          <w:p w14:paraId="6CD7C2C7">
            <w:pPr>
              <w:ind w:left="223" w:hanging="222" w:hangingChars="106"/>
              <w:jc w:val="center"/>
              <w:rPr>
                <w:color w:val="auto"/>
                <w:szCs w:val="21"/>
                <w:highlight w:val="none"/>
              </w:rPr>
            </w:pPr>
          </w:p>
        </w:tc>
        <w:tc>
          <w:tcPr>
            <w:tcW w:w="816" w:type="dxa"/>
            <w:vAlign w:val="center"/>
          </w:tcPr>
          <w:p w14:paraId="2C583259">
            <w:pPr>
              <w:ind w:left="223" w:hanging="222" w:hangingChars="106"/>
              <w:jc w:val="center"/>
              <w:rPr>
                <w:color w:val="auto"/>
                <w:szCs w:val="21"/>
                <w:highlight w:val="none"/>
              </w:rPr>
            </w:pPr>
          </w:p>
        </w:tc>
        <w:tc>
          <w:tcPr>
            <w:tcW w:w="1148" w:type="dxa"/>
            <w:vAlign w:val="center"/>
          </w:tcPr>
          <w:p w14:paraId="4E904318">
            <w:pPr>
              <w:ind w:left="223" w:hanging="222" w:hangingChars="106"/>
              <w:jc w:val="center"/>
              <w:rPr>
                <w:color w:val="auto"/>
                <w:szCs w:val="21"/>
                <w:highlight w:val="none"/>
              </w:rPr>
            </w:pPr>
          </w:p>
        </w:tc>
        <w:tc>
          <w:tcPr>
            <w:tcW w:w="1148" w:type="dxa"/>
            <w:vAlign w:val="center"/>
          </w:tcPr>
          <w:p w14:paraId="0F6AC37E">
            <w:pPr>
              <w:ind w:left="223" w:hanging="222" w:hangingChars="106"/>
              <w:jc w:val="center"/>
              <w:rPr>
                <w:color w:val="auto"/>
                <w:szCs w:val="21"/>
                <w:highlight w:val="none"/>
              </w:rPr>
            </w:pPr>
          </w:p>
        </w:tc>
        <w:tc>
          <w:tcPr>
            <w:tcW w:w="1148" w:type="dxa"/>
            <w:vAlign w:val="center"/>
          </w:tcPr>
          <w:p w14:paraId="0DDA6F1A">
            <w:pPr>
              <w:ind w:left="223" w:hanging="222" w:hangingChars="106"/>
              <w:jc w:val="center"/>
              <w:rPr>
                <w:color w:val="auto"/>
                <w:szCs w:val="21"/>
                <w:highlight w:val="none"/>
              </w:rPr>
            </w:pPr>
          </w:p>
        </w:tc>
        <w:tc>
          <w:tcPr>
            <w:tcW w:w="744" w:type="dxa"/>
            <w:vAlign w:val="center"/>
          </w:tcPr>
          <w:p w14:paraId="0FE4E003">
            <w:pPr>
              <w:ind w:left="223" w:hanging="222" w:hangingChars="106"/>
              <w:jc w:val="center"/>
              <w:rPr>
                <w:color w:val="auto"/>
                <w:szCs w:val="21"/>
                <w:highlight w:val="none"/>
              </w:rPr>
            </w:pPr>
          </w:p>
        </w:tc>
        <w:tc>
          <w:tcPr>
            <w:tcW w:w="1167" w:type="dxa"/>
            <w:vAlign w:val="center"/>
          </w:tcPr>
          <w:p w14:paraId="5A7282F8">
            <w:pPr>
              <w:ind w:left="223" w:hanging="222" w:hangingChars="106"/>
              <w:jc w:val="center"/>
              <w:rPr>
                <w:color w:val="auto"/>
                <w:szCs w:val="21"/>
                <w:highlight w:val="none"/>
              </w:rPr>
            </w:pPr>
          </w:p>
        </w:tc>
        <w:tc>
          <w:tcPr>
            <w:tcW w:w="1276" w:type="dxa"/>
            <w:vAlign w:val="center"/>
          </w:tcPr>
          <w:p w14:paraId="7617408D">
            <w:pPr>
              <w:ind w:left="223" w:hanging="222" w:hangingChars="106"/>
              <w:jc w:val="center"/>
              <w:rPr>
                <w:color w:val="auto"/>
                <w:szCs w:val="21"/>
                <w:highlight w:val="none"/>
              </w:rPr>
            </w:pPr>
          </w:p>
        </w:tc>
      </w:tr>
      <w:tr w14:paraId="06DD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2ABF1AC7">
            <w:pPr>
              <w:jc w:val="left"/>
              <w:rPr>
                <w:color w:val="auto"/>
                <w:szCs w:val="21"/>
                <w:highlight w:val="none"/>
              </w:rPr>
            </w:pPr>
            <w:r>
              <w:rPr>
                <w:rFonts w:hint="eastAsia"/>
                <w:color w:val="auto"/>
                <w:szCs w:val="21"/>
                <w:highlight w:val="none"/>
              </w:rPr>
              <w:t>5.</w:t>
            </w:r>
            <w:r>
              <w:rPr>
                <w:color w:val="auto"/>
                <w:szCs w:val="21"/>
                <w:highlight w:val="none"/>
              </w:rPr>
              <w:t xml:space="preserve"> 质量员</w:t>
            </w:r>
          </w:p>
        </w:tc>
        <w:tc>
          <w:tcPr>
            <w:tcW w:w="670" w:type="dxa"/>
            <w:vAlign w:val="center"/>
          </w:tcPr>
          <w:p w14:paraId="00730051">
            <w:pPr>
              <w:ind w:left="223" w:hanging="222" w:hangingChars="106"/>
              <w:jc w:val="center"/>
              <w:rPr>
                <w:color w:val="auto"/>
                <w:szCs w:val="21"/>
                <w:highlight w:val="none"/>
              </w:rPr>
            </w:pPr>
          </w:p>
        </w:tc>
        <w:tc>
          <w:tcPr>
            <w:tcW w:w="829" w:type="dxa"/>
            <w:vAlign w:val="center"/>
          </w:tcPr>
          <w:p w14:paraId="56DFC37E">
            <w:pPr>
              <w:ind w:left="223" w:hanging="222" w:hangingChars="106"/>
              <w:jc w:val="center"/>
              <w:rPr>
                <w:color w:val="auto"/>
                <w:szCs w:val="21"/>
                <w:highlight w:val="none"/>
              </w:rPr>
            </w:pPr>
          </w:p>
        </w:tc>
        <w:tc>
          <w:tcPr>
            <w:tcW w:w="816" w:type="dxa"/>
            <w:vAlign w:val="center"/>
          </w:tcPr>
          <w:p w14:paraId="615BAF16">
            <w:pPr>
              <w:ind w:left="223" w:hanging="222" w:hangingChars="106"/>
              <w:jc w:val="center"/>
              <w:rPr>
                <w:color w:val="auto"/>
                <w:szCs w:val="21"/>
                <w:highlight w:val="none"/>
              </w:rPr>
            </w:pPr>
          </w:p>
        </w:tc>
        <w:tc>
          <w:tcPr>
            <w:tcW w:w="1148" w:type="dxa"/>
            <w:vAlign w:val="center"/>
          </w:tcPr>
          <w:p w14:paraId="1558BD08">
            <w:pPr>
              <w:ind w:left="223" w:hanging="222" w:hangingChars="106"/>
              <w:jc w:val="center"/>
              <w:rPr>
                <w:color w:val="auto"/>
                <w:szCs w:val="21"/>
                <w:highlight w:val="none"/>
              </w:rPr>
            </w:pPr>
          </w:p>
        </w:tc>
        <w:tc>
          <w:tcPr>
            <w:tcW w:w="1148" w:type="dxa"/>
            <w:vAlign w:val="center"/>
          </w:tcPr>
          <w:p w14:paraId="08588DD0">
            <w:pPr>
              <w:ind w:left="223" w:hanging="222" w:hangingChars="106"/>
              <w:jc w:val="center"/>
              <w:rPr>
                <w:color w:val="auto"/>
                <w:szCs w:val="21"/>
                <w:highlight w:val="none"/>
              </w:rPr>
            </w:pPr>
          </w:p>
        </w:tc>
        <w:tc>
          <w:tcPr>
            <w:tcW w:w="1148" w:type="dxa"/>
            <w:vAlign w:val="center"/>
          </w:tcPr>
          <w:p w14:paraId="484516FD">
            <w:pPr>
              <w:ind w:left="223" w:hanging="222" w:hangingChars="106"/>
              <w:jc w:val="center"/>
              <w:rPr>
                <w:color w:val="auto"/>
                <w:szCs w:val="21"/>
                <w:highlight w:val="none"/>
              </w:rPr>
            </w:pPr>
          </w:p>
        </w:tc>
        <w:tc>
          <w:tcPr>
            <w:tcW w:w="744" w:type="dxa"/>
            <w:vAlign w:val="center"/>
          </w:tcPr>
          <w:p w14:paraId="1D8FCB1E">
            <w:pPr>
              <w:ind w:left="223" w:hanging="222" w:hangingChars="106"/>
              <w:jc w:val="center"/>
              <w:rPr>
                <w:color w:val="auto"/>
                <w:szCs w:val="21"/>
                <w:highlight w:val="none"/>
              </w:rPr>
            </w:pPr>
          </w:p>
        </w:tc>
        <w:tc>
          <w:tcPr>
            <w:tcW w:w="1167" w:type="dxa"/>
            <w:vAlign w:val="center"/>
          </w:tcPr>
          <w:p w14:paraId="30700442">
            <w:pPr>
              <w:ind w:left="223" w:hanging="222" w:hangingChars="106"/>
              <w:jc w:val="center"/>
              <w:rPr>
                <w:color w:val="auto"/>
                <w:szCs w:val="21"/>
                <w:highlight w:val="none"/>
              </w:rPr>
            </w:pPr>
          </w:p>
        </w:tc>
        <w:tc>
          <w:tcPr>
            <w:tcW w:w="1276" w:type="dxa"/>
            <w:vAlign w:val="center"/>
          </w:tcPr>
          <w:p w14:paraId="546020F5">
            <w:pPr>
              <w:ind w:left="223" w:hanging="222" w:hangingChars="106"/>
              <w:jc w:val="center"/>
              <w:rPr>
                <w:color w:val="auto"/>
                <w:szCs w:val="21"/>
                <w:highlight w:val="none"/>
              </w:rPr>
            </w:pPr>
          </w:p>
        </w:tc>
      </w:tr>
      <w:tr w14:paraId="7738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6E2EE592">
            <w:pPr>
              <w:jc w:val="left"/>
              <w:rPr>
                <w:color w:val="auto"/>
                <w:szCs w:val="21"/>
                <w:highlight w:val="none"/>
              </w:rPr>
            </w:pPr>
            <w:r>
              <w:rPr>
                <w:rFonts w:hint="eastAsia"/>
                <w:color w:val="auto"/>
                <w:szCs w:val="21"/>
                <w:highlight w:val="none"/>
              </w:rPr>
              <w:t>6.材料员</w:t>
            </w:r>
          </w:p>
        </w:tc>
        <w:tc>
          <w:tcPr>
            <w:tcW w:w="670" w:type="dxa"/>
            <w:vAlign w:val="center"/>
          </w:tcPr>
          <w:p w14:paraId="1829FF10">
            <w:pPr>
              <w:ind w:left="223" w:hanging="222" w:hangingChars="106"/>
              <w:jc w:val="center"/>
              <w:rPr>
                <w:color w:val="auto"/>
                <w:szCs w:val="21"/>
                <w:highlight w:val="none"/>
              </w:rPr>
            </w:pPr>
          </w:p>
        </w:tc>
        <w:tc>
          <w:tcPr>
            <w:tcW w:w="829" w:type="dxa"/>
            <w:vAlign w:val="center"/>
          </w:tcPr>
          <w:p w14:paraId="1E2AC761">
            <w:pPr>
              <w:ind w:left="223" w:hanging="222" w:hangingChars="106"/>
              <w:jc w:val="center"/>
              <w:rPr>
                <w:color w:val="auto"/>
                <w:szCs w:val="21"/>
                <w:highlight w:val="none"/>
              </w:rPr>
            </w:pPr>
          </w:p>
        </w:tc>
        <w:tc>
          <w:tcPr>
            <w:tcW w:w="816" w:type="dxa"/>
            <w:vAlign w:val="center"/>
          </w:tcPr>
          <w:p w14:paraId="6A2FA16A">
            <w:pPr>
              <w:ind w:left="223" w:hanging="222" w:hangingChars="106"/>
              <w:jc w:val="center"/>
              <w:rPr>
                <w:color w:val="auto"/>
                <w:szCs w:val="21"/>
                <w:highlight w:val="none"/>
              </w:rPr>
            </w:pPr>
          </w:p>
        </w:tc>
        <w:tc>
          <w:tcPr>
            <w:tcW w:w="1148" w:type="dxa"/>
            <w:vAlign w:val="center"/>
          </w:tcPr>
          <w:p w14:paraId="40503CCB">
            <w:pPr>
              <w:ind w:left="223" w:hanging="222" w:hangingChars="106"/>
              <w:jc w:val="center"/>
              <w:rPr>
                <w:color w:val="auto"/>
                <w:szCs w:val="21"/>
                <w:highlight w:val="none"/>
              </w:rPr>
            </w:pPr>
          </w:p>
        </w:tc>
        <w:tc>
          <w:tcPr>
            <w:tcW w:w="1148" w:type="dxa"/>
            <w:vAlign w:val="center"/>
          </w:tcPr>
          <w:p w14:paraId="6139170E">
            <w:pPr>
              <w:ind w:left="223" w:hanging="222" w:hangingChars="106"/>
              <w:jc w:val="center"/>
              <w:rPr>
                <w:color w:val="auto"/>
                <w:szCs w:val="21"/>
                <w:highlight w:val="none"/>
              </w:rPr>
            </w:pPr>
          </w:p>
        </w:tc>
        <w:tc>
          <w:tcPr>
            <w:tcW w:w="1148" w:type="dxa"/>
            <w:vAlign w:val="center"/>
          </w:tcPr>
          <w:p w14:paraId="66364FB9">
            <w:pPr>
              <w:ind w:left="223" w:hanging="222" w:hangingChars="106"/>
              <w:jc w:val="center"/>
              <w:rPr>
                <w:color w:val="auto"/>
                <w:szCs w:val="21"/>
                <w:highlight w:val="none"/>
              </w:rPr>
            </w:pPr>
          </w:p>
        </w:tc>
        <w:tc>
          <w:tcPr>
            <w:tcW w:w="744" w:type="dxa"/>
            <w:vAlign w:val="center"/>
          </w:tcPr>
          <w:p w14:paraId="4C9D4BAA">
            <w:pPr>
              <w:ind w:left="223" w:hanging="222" w:hangingChars="106"/>
              <w:jc w:val="center"/>
              <w:rPr>
                <w:color w:val="auto"/>
                <w:szCs w:val="21"/>
                <w:highlight w:val="none"/>
              </w:rPr>
            </w:pPr>
          </w:p>
        </w:tc>
        <w:tc>
          <w:tcPr>
            <w:tcW w:w="1167" w:type="dxa"/>
            <w:vAlign w:val="center"/>
          </w:tcPr>
          <w:p w14:paraId="496CA255">
            <w:pPr>
              <w:ind w:left="223" w:hanging="222" w:hangingChars="106"/>
              <w:jc w:val="center"/>
              <w:rPr>
                <w:color w:val="auto"/>
                <w:szCs w:val="21"/>
                <w:highlight w:val="none"/>
              </w:rPr>
            </w:pPr>
          </w:p>
        </w:tc>
        <w:tc>
          <w:tcPr>
            <w:tcW w:w="1276" w:type="dxa"/>
            <w:vAlign w:val="center"/>
          </w:tcPr>
          <w:p w14:paraId="679C6E18">
            <w:pPr>
              <w:ind w:left="223" w:hanging="222" w:hangingChars="106"/>
              <w:jc w:val="center"/>
              <w:rPr>
                <w:color w:val="auto"/>
                <w:szCs w:val="21"/>
                <w:highlight w:val="none"/>
              </w:rPr>
            </w:pPr>
          </w:p>
        </w:tc>
      </w:tr>
      <w:tr w14:paraId="6AE53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vAlign w:val="center"/>
          </w:tcPr>
          <w:p w14:paraId="4C886B2B">
            <w:pPr>
              <w:ind w:left="223" w:hanging="222" w:hangingChars="106"/>
              <w:jc w:val="center"/>
              <w:rPr>
                <w:color w:val="auto"/>
                <w:szCs w:val="21"/>
                <w:highlight w:val="none"/>
              </w:rPr>
            </w:pPr>
          </w:p>
        </w:tc>
        <w:tc>
          <w:tcPr>
            <w:tcW w:w="670" w:type="dxa"/>
            <w:vAlign w:val="center"/>
          </w:tcPr>
          <w:p w14:paraId="28843840">
            <w:pPr>
              <w:ind w:left="223" w:hanging="222" w:hangingChars="106"/>
              <w:jc w:val="center"/>
              <w:rPr>
                <w:color w:val="auto"/>
                <w:szCs w:val="21"/>
                <w:highlight w:val="none"/>
              </w:rPr>
            </w:pPr>
          </w:p>
        </w:tc>
        <w:tc>
          <w:tcPr>
            <w:tcW w:w="829" w:type="dxa"/>
            <w:vAlign w:val="center"/>
          </w:tcPr>
          <w:p w14:paraId="736EAABE">
            <w:pPr>
              <w:ind w:left="223" w:hanging="222" w:hangingChars="106"/>
              <w:jc w:val="center"/>
              <w:rPr>
                <w:color w:val="auto"/>
                <w:szCs w:val="21"/>
                <w:highlight w:val="none"/>
              </w:rPr>
            </w:pPr>
          </w:p>
        </w:tc>
        <w:tc>
          <w:tcPr>
            <w:tcW w:w="816" w:type="dxa"/>
            <w:vAlign w:val="center"/>
          </w:tcPr>
          <w:p w14:paraId="77991D67">
            <w:pPr>
              <w:ind w:left="223" w:hanging="222" w:hangingChars="106"/>
              <w:jc w:val="center"/>
              <w:rPr>
                <w:color w:val="auto"/>
                <w:szCs w:val="21"/>
                <w:highlight w:val="none"/>
              </w:rPr>
            </w:pPr>
          </w:p>
        </w:tc>
        <w:tc>
          <w:tcPr>
            <w:tcW w:w="1148" w:type="dxa"/>
            <w:vAlign w:val="center"/>
          </w:tcPr>
          <w:p w14:paraId="4809E54A">
            <w:pPr>
              <w:ind w:left="223" w:hanging="222" w:hangingChars="106"/>
              <w:jc w:val="center"/>
              <w:rPr>
                <w:color w:val="auto"/>
                <w:szCs w:val="21"/>
                <w:highlight w:val="none"/>
              </w:rPr>
            </w:pPr>
          </w:p>
        </w:tc>
        <w:tc>
          <w:tcPr>
            <w:tcW w:w="1148" w:type="dxa"/>
            <w:vAlign w:val="center"/>
          </w:tcPr>
          <w:p w14:paraId="3EAE1EE0">
            <w:pPr>
              <w:ind w:left="223" w:hanging="222" w:hangingChars="106"/>
              <w:jc w:val="center"/>
              <w:rPr>
                <w:color w:val="auto"/>
                <w:szCs w:val="21"/>
                <w:highlight w:val="none"/>
              </w:rPr>
            </w:pPr>
          </w:p>
        </w:tc>
        <w:tc>
          <w:tcPr>
            <w:tcW w:w="1148" w:type="dxa"/>
            <w:vAlign w:val="center"/>
          </w:tcPr>
          <w:p w14:paraId="38E34CCB">
            <w:pPr>
              <w:ind w:left="223" w:hanging="222" w:hangingChars="106"/>
              <w:jc w:val="center"/>
              <w:rPr>
                <w:color w:val="auto"/>
                <w:szCs w:val="21"/>
                <w:highlight w:val="none"/>
              </w:rPr>
            </w:pPr>
          </w:p>
        </w:tc>
        <w:tc>
          <w:tcPr>
            <w:tcW w:w="744" w:type="dxa"/>
            <w:vAlign w:val="center"/>
          </w:tcPr>
          <w:p w14:paraId="0305E449">
            <w:pPr>
              <w:ind w:left="223" w:hanging="222" w:hangingChars="106"/>
              <w:jc w:val="center"/>
              <w:rPr>
                <w:color w:val="auto"/>
                <w:szCs w:val="21"/>
                <w:highlight w:val="none"/>
              </w:rPr>
            </w:pPr>
          </w:p>
        </w:tc>
        <w:tc>
          <w:tcPr>
            <w:tcW w:w="1167" w:type="dxa"/>
            <w:vAlign w:val="center"/>
          </w:tcPr>
          <w:p w14:paraId="14138483">
            <w:pPr>
              <w:ind w:left="223" w:hanging="222" w:hangingChars="106"/>
              <w:jc w:val="center"/>
              <w:rPr>
                <w:color w:val="auto"/>
                <w:szCs w:val="21"/>
                <w:highlight w:val="none"/>
              </w:rPr>
            </w:pPr>
          </w:p>
        </w:tc>
        <w:tc>
          <w:tcPr>
            <w:tcW w:w="1276" w:type="dxa"/>
            <w:vAlign w:val="center"/>
          </w:tcPr>
          <w:p w14:paraId="4BCF4DB7">
            <w:pPr>
              <w:ind w:left="223" w:hanging="222" w:hangingChars="106"/>
              <w:jc w:val="center"/>
              <w:rPr>
                <w:color w:val="auto"/>
                <w:szCs w:val="21"/>
                <w:highlight w:val="none"/>
              </w:rPr>
            </w:pPr>
          </w:p>
        </w:tc>
      </w:tr>
      <w:tr w14:paraId="523E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9866" w:type="dxa"/>
            <w:gridSpan w:val="10"/>
            <w:vAlign w:val="center"/>
          </w:tcPr>
          <w:p w14:paraId="75B595BD">
            <w:pPr>
              <w:ind w:firstLine="420" w:firstLineChars="200"/>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3D12E385">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w:t>
      </w:r>
    </w:p>
    <w:p w14:paraId="18AF43E1">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16CBCB0F">
      <w:pPr>
        <w:spacing w:line="360" w:lineRule="auto"/>
        <w:ind w:firstLine="480" w:firstLineChars="200"/>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供应商应当在本表后附所有管理人员的身份证、职称证（如有）、执业或职业资格证书的复印件并加盖供应商电子签章。</w:t>
      </w:r>
    </w:p>
    <w:p w14:paraId="2339BA65">
      <w:pPr>
        <w:spacing w:line="360" w:lineRule="auto"/>
        <w:ind w:firstLine="480" w:firstLineChars="200"/>
        <w:contextualSpacing/>
        <w:jc w:val="left"/>
        <w:rPr>
          <w:rFonts w:hint="eastAsia" w:ascii="宋体" w:hAnsi="宋体"/>
          <w:color w:val="auto"/>
          <w:sz w:val="24"/>
          <w:szCs w:val="20"/>
          <w:highlight w:val="none"/>
        </w:rPr>
      </w:pPr>
    </w:p>
    <w:p w14:paraId="78B07427">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法定代表人或者委托代理人（签字或者电子签名）：</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p>
    <w:p w14:paraId="2464F69A">
      <w:pPr>
        <w:spacing w:line="360" w:lineRule="auto"/>
        <w:ind w:right="480" w:firstLine="3360" w:firstLineChars="1400"/>
        <w:contextualSpacing/>
        <w:rPr>
          <w:rFonts w:hint="eastAsia" w:ascii="宋体" w:hAnsi="宋体"/>
          <w:color w:val="auto"/>
          <w:sz w:val="24"/>
          <w:highlight w:val="none"/>
        </w:rPr>
      </w:pPr>
      <w:r>
        <w:rPr>
          <w:rFonts w:hint="eastAsia" w:ascii="宋体" w:hAnsi="宋体"/>
          <w:color w:val="auto"/>
          <w:sz w:val="24"/>
          <w:highlight w:val="none"/>
        </w:rPr>
        <w:t>供应商（电子签章）：</w:t>
      </w:r>
      <w:r>
        <w:rPr>
          <w:rFonts w:hint="eastAsia" w:ascii="宋体" w:hAnsi="宋体"/>
          <w:color w:val="auto"/>
          <w:sz w:val="24"/>
          <w:highlight w:val="none"/>
          <w:u w:val="single"/>
        </w:rPr>
        <w:t xml:space="preserve">                </w:t>
      </w:r>
    </w:p>
    <w:p w14:paraId="5055444A">
      <w:pPr>
        <w:spacing w:line="360" w:lineRule="auto"/>
        <w:ind w:firstLine="480" w:firstLineChars="200"/>
        <w:contextualSpacing/>
        <w:jc w:val="left"/>
        <w:rPr>
          <w:rFonts w:hint="eastAsia" w:ascii="宋体" w:hAnsi="宋体"/>
          <w:color w:val="auto"/>
          <w:sz w:val="24"/>
          <w:highlight w:val="none"/>
        </w:rPr>
      </w:pPr>
      <w:r>
        <w:rPr>
          <w:rFonts w:hint="eastAsia" w:ascii="宋体" w:hAnsi="宋体"/>
          <w:color w:val="auto"/>
          <w:sz w:val="24"/>
          <w:highlight w:val="none"/>
        </w:rPr>
        <w:t xml:space="preserve">                                        年    月    日</w:t>
      </w:r>
    </w:p>
    <w:p w14:paraId="7229BC9F">
      <w:pPr>
        <w:spacing w:before="100" w:line="225" w:lineRule="auto"/>
        <w:ind w:left="16"/>
        <w:outlineLvl w:val="1"/>
        <w:rPr>
          <w:rFonts w:ascii="Cambria" w:hAnsi="Cambria" w:eastAsia="Cambria" w:cs="Cambria"/>
          <w:color w:val="auto"/>
          <w:sz w:val="31"/>
          <w:szCs w:val="31"/>
          <w:highlight w:val="none"/>
        </w:rPr>
      </w:pPr>
      <w:r>
        <w:rPr>
          <w:rFonts w:ascii="宋体" w:hAnsi="宋体"/>
          <w:b/>
          <w:color w:val="auto"/>
          <w:sz w:val="32"/>
          <w:szCs w:val="32"/>
          <w:highlight w:val="none"/>
        </w:rPr>
        <w:br w:type="page"/>
      </w:r>
    </w:p>
    <w:p w14:paraId="463615A0">
      <w:pPr>
        <w:pStyle w:val="3"/>
        <w:spacing w:line="400" w:lineRule="exact"/>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附：大型、 中型和小型、微型企业划型标准</w:t>
      </w:r>
    </w:p>
    <w:p w14:paraId="23E86A54">
      <w:pPr>
        <w:pStyle w:val="3"/>
        <w:spacing w:line="400" w:lineRule="exact"/>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根据（工信部联企业[2011]300 号）文</w:t>
      </w:r>
    </w:p>
    <w:tbl>
      <w:tblPr>
        <w:tblStyle w:val="59"/>
        <w:tblW w:w="8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4"/>
        <w:gridCol w:w="1187"/>
        <w:gridCol w:w="900"/>
        <w:gridCol w:w="1399"/>
        <w:gridCol w:w="1535"/>
        <w:gridCol w:w="1295"/>
        <w:gridCol w:w="1004"/>
      </w:tblGrid>
      <w:tr w14:paraId="35444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8" w:hRule="atLeast"/>
        </w:trPr>
        <w:tc>
          <w:tcPr>
            <w:tcW w:w="1184" w:type="dxa"/>
          </w:tcPr>
          <w:p w14:paraId="2643CBC5">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行业名称</w:t>
            </w:r>
          </w:p>
        </w:tc>
        <w:tc>
          <w:tcPr>
            <w:tcW w:w="1187" w:type="dxa"/>
          </w:tcPr>
          <w:p w14:paraId="11ED0156">
            <w:pPr>
              <w:spacing w:before="104" w:line="200" w:lineRule="exact"/>
              <w:ind w:left="12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指标名称</w:t>
            </w:r>
          </w:p>
        </w:tc>
        <w:tc>
          <w:tcPr>
            <w:tcW w:w="900" w:type="dxa"/>
          </w:tcPr>
          <w:p w14:paraId="4C58FFA2">
            <w:pPr>
              <w:spacing w:before="104" w:line="200" w:lineRule="exact"/>
              <w:ind w:left="22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单位</w:t>
            </w:r>
          </w:p>
        </w:tc>
        <w:tc>
          <w:tcPr>
            <w:tcW w:w="1399" w:type="dxa"/>
          </w:tcPr>
          <w:p w14:paraId="0D53B6F5">
            <w:pPr>
              <w:spacing w:before="104" w:line="200" w:lineRule="exact"/>
              <w:ind w:left="4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大型</w:t>
            </w:r>
          </w:p>
        </w:tc>
        <w:tc>
          <w:tcPr>
            <w:tcW w:w="1535" w:type="dxa"/>
          </w:tcPr>
          <w:p w14:paraId="5F9E84F5">
            <w:pPr>
              <w:spacing w:before="104" w:line="200" w:lineRule="exact"/>
              <w:ind w:left="5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中型</w:t>
            </w:r>
          </w:p>
        </w:tc>
        <w:tc>
          <w:tcPr>
            <w:tcW w:w="1295" w:type="dxa"/>
          </w:tcPr>
          <w:p w14:paraId="5F5F8E6F">
            <w:pPr>
              <w:spacing w:before="105" w:line="200" w:lineRule="exact"/>
              <w:ind w:left="42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小型</w:t>
            </w:r>
          </w:p>
        </w:tc>
        <w:tc>
          <w:tcPr>
            <w:tcW w:w="1004" w:type="dxa"/>
          </w:tcPr>
          <w:p w14:paraId="6FE81396">
            <w:pPr>
              <w:spacing w:before="104" w:line="200" w:lineRule="exact"/>
              <w:ind w:left="2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14:textOutline w14:w="4356" w14:cap="sq" w14:cmpd="sng" w14:algn="ctr">
                  <w14:solidFill>
                    <w14:srgbClr w14:val="000000"/>
                  </w14:solidFill>
                  <w14:prstDash w14:val="solid"/>
                  <w14:bevel/>
                </w14:textOutline>
              </w:rPr>
              <w:t>微型</w:t>
            </w:r>
          </w:p>
        </w:tc>
      </w:tr>
      <w:tr w14:paraId="476A2B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184" w:type="dxa"/>
          </w:tcPr>
          <w:p w14:paraId="1703ADDA">
            <w:pPr>
              <w:spacing w:before="99"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农林牧渔</w:t>
            </w:r>
          </w:p>
        </w:tc>
        <w:tc>
          <w:tcPr>
            <w:tcW w:w="1187" w:type="dxa"/>
          </w:tcPr>
          <w:p w14:paraId="03313A26">
            <w:pPr>
              <w:spacing w:before="100"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2906EE4">
            <w:pPr>
              <w:spacing w:before="100"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FAE551">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393C1FA8">
            <w:pPr>
              <w:spacing w:before="141"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52973198">
            <w:pPr>
              <w:spacing w:before="141" w:line="200" w:lineRule="exact"/>
              <w:ind w:left="29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50-500</w:t>
            </w:r>
          </w:p>
        </w:tc>
        <w:tc>
          <w:tcPr>
            <w:tcW w:w="1004" w:type="dxa"/>
          </w:tcPr>
          <w:p w14:paraId="0D566B97">
            <w:pPr>
              <w:spacing w:before="10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521E9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4F0F6342">
            <w:pPr>
              <w:spacing w:line="200" w:lineRule="exact"/>
              <w:rPr>
                <w:rFonts w:ascii="Arial"/>
                <w:color w:val="auto"/>
                <w:highlight w:val="none"/>
              </w:rPr>
            </w:pPr>
          </w:p>
          <w:p w14:paraId="1C5FC334">
            <w:pPr>
              <w:spacing w:before="7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工业</w:t>
            </w:r>
          </w:p>
        </w:tc>
        <w:tc>
          <w:tcPr>
            <w:tcW w:w="1187" w:type="dxa"/>
          </w:tcPr>
          <w:p w14:paraId="20D06EC5">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7363CFA">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76CE329C">
            <w:pPr>
              <w:spacing w:before="101"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5F788B2C">
            <w:pPr>
              <w:spacing w:before="142"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2E80049B">
            <w:pPr>
              <w:spacing w:before="142"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003D7E30">
            <w:pPr>
              <w:spacing w:before="101"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37E784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7B6D7D40">
            <w:pPr>
              <w:spacing w:line="200" w:lineRule="exact"/>
              <w:rPr>
                <w:rFonts w:ascii="Arial"/>
                <w:color w:val="auto"/>
                <w:highlight w:val="none"/>
              </w:rPr>
            </w:pPr>
          </w:p>
        </w:tc>
        <w:tc>
          <w:tcPr>
            <w:tcW w:w="1187" w:type="dxa"/>
          </w:tcPr>
          <w:p w14:paraId="326AF7C3">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4CAFC2E4">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DD47082">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29ECF03D">
            <w:pPr>
              <w:spacing w:before="142"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2000-40000</w:t>
            </w:r>
          </w:p>
        </w:tc>
        <w:tc>
          <w:tcPr>
            <w:tcW w:w="1295" w:type="dxa"/>
          </w:tcPr>
          <w:p w14:paraId="01C912CE">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300-2000</w:t>
            </w:r>
          </w:p>
        </w:tc>
        <w:tc>
          <w:tcPr>
            <w:tcW w:w="1004" w:type="dxa"/>
          </w:tcPr>
          <w:p w14:paraId="19E3169F">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2252FF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47D57F00">
            <w:pPr>
              <w:spacing w:line="200" w:lineRule="exact"/>
              <w:rPr>
                <w:rFonts w:ascii="Arial"/>
                <w:color w:val="auto"/>
                <w:highlight w:val="none"/>
              </w:rPr>
            </w:pPr>
          </w:p>
          <w:p w14:paraId="6475F20C">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建筑业</w:t>
            </w:r>
          </w:p>
        </w:tc>
        <w:tc>
          <w:tcPr>
            <w:tcW w:w="1187" w:type="dxa"/>
          </w:tcPr>
          <w:p w14:paraId="1BD3A867">
            <w:pPr>
              <w:spacing w:before="101"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1F03C6E">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184B069B">
            <w:pPr>
              <w:spacing w:before="100"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11491618">
            <w:pPr>
              <w:spacing w:before="141" w:line="200" w:lineRule="exact"/>
              <w:ind w:left="17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6000-80000</w:t>
            </w:r>
          </w:p>
        </w:tc>
        <w:tc>
          <w:tcPr>
            <w:tcW w:w="1295" w:type="dxa"/>
          </w:tcPr>
          <w:p w14:paraId="3BE14985">
            <w:pPr>
              <w:spacing w:before="141"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300-6000</w:t>
            </w:r>
          </w:p>
        </w:tc>
        <w:tc>
          <w:tcPr>
            <w:tcW w:w="1004" w:type="dxa"/>
          </w:tcPr>
          <w:p w14:paraId="4CCE5300">
            <w:pPr>
              <w:spacing w:before="10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36FAE5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6511ECC0">
            <w:pPr>
              <w:spacing w:line="200" w:lineRule="exact"/>
              <w:rPr>
                <w:rFonts w:ascii="Arial"/>
                <w:color w:val="auto"/>
                <w:highlight w:val="none"/>
              </w:rPr>
            </w:pPr>
          </w:p>
        </w:tc>
        <w:tc>
          <w:tcPr>
            <w:tcW w:w="1187" w:type="dxa"/>
          </w:tcPr>
          <w:p w14:paraId="7BB46D32">
            <w:pPr>
              <w:spacing w:before="101"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CE0323">
            <w:pPr>
              <w:spacing w:before="101"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15B25D1">
            <w:pPr>
              <w:spacing w:before="101"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≥80000</w:t>
            </w:r>
          </w:p>
        </w:tc>
        <w:tc>
          <w:tcPr>
            <w:tcW w:w="1535" w:type="dxa"/>
          </w:tcPr>
          <w:p w14:paraId="40C67D12">
            <w:pPr>
              <w:spacing w:before="142"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5000-80000</w:t>
            </w:r>
          </w:p>
        </w:tc>
        <w:tc>
          <w:tcPr>
            <w:tcW w:w="1295" w:type="dxa"/>
          </w:tcPr>
          <w:p w14:paraId="19B8F395">
            <w:pPr>
              <w:spacing w:before="142" w:line="200" w:lineRule="exact"/>
              <w:ind w:left="17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300-5000</w:t>
            </w:r>
          </w:p>
        </w:tc>
        <w:tc>
          <w:tcPr>
            <w:tcW w:w="1004" w:type="dxa"/>
          </w:tcPr>
          <w:p w14:paraId="67655F03">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r>
      <w:tr w14:paraId="70C88D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184" w:type="dxa"/>
            <w:vMerge w:val="restart"/>
            <w:tcBorders>
              <w:bottom w:val="nil"/>
            </w:tcBorders>
          </w:tcPr>
          <w:p w14:paraId="524949A1">
            <w:pPr>
              <w:spacing w:line="200" w:lineRule="exact"/>
              <w:rPr>
                <w:rFonts w:ascii="Arial"/>
                <w:color w:val="auto"/>
                <w:highlight w:val="none"/>
              </w:rPr>
            </w:pPr>
          </w:p>
          <w:p w14:paraId="609A7908">
            <w:pPr>
              <w:spacing w:before="74" w:line="200" w:lineRule="exact"/>
              <w:ind w:left="24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批发业</w:t>
            </w:r>
          </w:p>
        </w:tc>
        <w:tc>
          <w:tcPr>
            <w:tcW w:w="1187" w:type="dxa"/>
          </w:tcPr>
          <w:p w14:paraId="2122160E">
            <w:pPr>
              <w:spacing w:before="101"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3B4CB03">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39DD0736">
            <w:pPr>
              <w:spacing w:before="101"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6F6A6347">
            <w:pPr>
              <w:spacing w:before="142" w:line="200" w:lineRule="exact"/>
              <w:ind w:left="41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20-200</w:t>
            </w:r>
          </w:p>
        </w:tc>
        <w:tc>
          <w:tcPr>
            <w:tcW w:w="1295" w:type="dxa"/>
          </w:tcPr>
          <w:p w14:paraId="5F6F91A1">
            <w:pPr>
              <w:spacing w:before="142" w:line="200" w:lineRule="exact"/>
              <w:ind w:left="4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5-20</w:t>
            </w:r>
          </w:p>
        </w:tc>
        <w:tc>
          <w:tcPr>
            <w:tcW w:w="1004" w:type="dxa"/>
          </w:tcPr>
          <w:p w14:paraId="5632AAA0">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w:t>
            </w:r>
          </w:p>
        </w:tc>
      </w:tr>
      <w:tr w14:paraId="552FF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58E92504">
            <w:pPr>
              <w:spacing w:line="200" w:lineRule="exact"/>
              <w:rPr>
                <w:rFonts w:ascii="Arial"/>
                <w:color w:val="auto"/>
                <w:highlight w:val="none"/>
              </w:rPr>
            </w:pPr>
          </w:p>
        </w:tc>
        <w:tc>
          <w:tcPr>
            <w:tcW w:w="1187" w:type="dxa"/>
          </w:tcPr>
          <w:p w14:paraId="033DE93E">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9299A6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C14778C">
            <w:pPr>
              <w:spacing w:before="102"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≥40000</w:t>
            </w:r>
          </w:p>
        </w:tc>
        <w:tc>
          <w:tcPr>
            <w:tcW w:w="1535" w:type="dxa"/>
          </w:tcPr>
          <w:p w14:paraId="483B0D73">
            <w:pPr>
              <w:spacing w:before="143"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5000-40000</w:t>
            </w:r>
          </w:p>
        </w:tc>
        <w:tc>
          <w:tcPr>
            <w:tcW w:w="1295" w:type="dxa"/>
          </w:tcPr>
          <w:p w14:paraId="1C7FDB95">
            <w:pPr>
              <w:spacing w:before="14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004" w:type="dxa"/>
          </w:tcPr>
          <w:p w14:paraId="70179EB2">
            <w:pPr>
              <w:spacing w:before="102"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r>
      <w:tr w14:paraId="2DB08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2CE3E7EA">
            <w:pPr>
              <w:spacing w:line="200" w:lineRule="exact"/>
              <w:rPr>
                <w:rFonts w:ascii="Arial"/>
                <w:color w:val="auto"/>
                <w:highlight w:val="none"/>
              </w:rPr>
            </w:pPr>
          </w:p>
          <w:p w14:paraId="3E44DA45">
            <w:pPr>
              <w:spacing w:before="75" w:line="200" w:lineRule="exact"/>
              <w:ind w:left="24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零售业</w:t>
            </w:r>
          </w:p>
        </w:tc>
        <w:tc>
          <w:tcPr>
            <w:tcW w:w="1187" w:type="dxa"/>
          </w:tcPr>
          <w:p w14:paraId="72764FDF">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FE310CD">
            <w:pPr>
              <w:spacing w:before="101"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5086CCE">
            <w:pPr>
              <w:spacing w:before="102"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F42D6A1">
            <w:pPr>
              <w:spacing w:before="143" w:line="200" w:lineRule="exact"/>
              <w:ind w:left="41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50-300</w:t>
            </w:r>
          </w:p>
        </w:tc>
        <w:tc>
          <w:tcPr>
            <w:tcW w:w="1295" w:type="dxa"/>
          </w:tcPr>
          <w:p w14:paraId="3230B661">
            <w:pPr>
              <w:spacing w:before="143" w:line="200" w:lineRule="exact"/>
              <w:ind w:left="37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10-50</w:t>
            </w:r>
          </w:p>
        </w:tc>
        <w:tc>
          <w:tcPr>
            <w:tcW w:w="1004" w:type="dxa"/>
          </w:tcPr>
          <w:p w14:paraId="11D1838E">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34427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1184" w:type="dxa"/>
            <w:vMerge w:val="continue"/>
            <w:tcBorders>
              <w:top w:val="nil"/>
            </w:tcBorders>
          </w:tcPr>
          <w:p w14:paraId="689E4FF7">
            <w:pPr>
              <w:spacing w:line="200" w:lineRule="exact"/>
              <w:rPr>
                <w:rFonts w:ascii="Arial"/>
                <w:color w:val="auto"/>
                <w:highlight w:val="none"/>
              </w:rPr>
            </w:pPr>
          </w:p>
        </w:tc>
        <w:tc>
          <w:tcPr>
            <w:tcW w:w="1187" w:type="dxa"/>
          </w:tcPr>
          <w:p w14:paraId="1C6EB7AF">
            <w:pPr>
              <w:spacing w:before="102"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E897F34">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BE1C46E">
            <w:pPr>
              <w:spacing w:before="101" w:line="200" w:lineRule="exact"/>
              <w:ind w:left="30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w:t>
            </w:r>
          </w:p>
        </w:tc>
        <w:tc>
          <w:tcPr>
            <w:tcW w:w="1535" w:type="dxa"/>
          </w:tcPr>
          <w:p w14:paraId="7F39A84B">
            <w:pPr>
              <w:spacing w:before="142"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500-20000</w:t>
            </w:r>
          </w:p>
        </w:tc>
        <w:tc>
          <w:tcPr>
            <w:tcW w:w="1295" w:type="dxa"/>
          </w:tcPr>
          <w:p w14:paraId="61FA3A82">
            <w:pPr>
              <w:spacing w:before="142"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100-500</w:t>
            </w:r>
          </w:p>
        </w:tc>
        <w:tc>
          <w:tcPr>
            <w:tcW w:w="1004" w:type="dxa"/>
          </w:tcPr>
          <w:p w14:paraId="57A37168">
            <w:pPr>
              <w:spacing w:before="101"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53091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restart"/>
            <w:tcBorders>
              <w:bottom w:val="nil"/>
            </w:tcBorders>
          </w:tcPr>
          <w:p w14:paraId="74DC1B21">
            <w:pPr>
              <w:spacing w:line="200" w:lineRule="exact"/>
              <w:rPr>
                <w:rFonts w:ascii="Arial"/>
                <w:color w:val="auto"/>
                <w:highlight w:val="none"/>
              </w:rPr>
            </w:pPr>
          </w:p>
          <w:p w14:paraId="3B09C2EA">
            <w:pPr>
              <w:spacing w:before="75"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交通运输</w:t>
            </w:r>
          </w:p>
        </w:tc>
        <w:tc>
          <w:tcPr>
            <w:tcW w:w="1187" w:type="dxa"/>
          </w:tcPr>
          <w:p w14:paraId="008763A7">
            <w:pPr>
              <w:spacing w:before="102"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506AC92">
            <w:pPr>
              <w:spacing w:before="102"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4C175201">
            <w:pPr>
              <w:spacing w:before="10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35B1C40F">
            <w:pPr>
              <w:spacing w:before="143"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7FBB492A">
            <w:pPr>
              <w:spacing w:before="143"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4EF2C8AB">
            <w:pPr>
              <w:spacing w:before="102"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046452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continue"/>
            <w:tcBorders>
              <w:top w:val="nil"/>
            </w:tcBorders>
          </w:tcPr>
          <w:p w14:paraId="1FD332C4">
            <w:pPr>
              <w:spacing w:line="200" w:lineRule="exact"/>
              <w:rPr>
                <w:rFonts w:ascii="Arial"/>
                <w:color w:val="auto"/>
                <w:highlight w:val="none"/>
              </w:rPr>
            </w:pPr>
          </w:p>
        </w:tc>
        <w:tc>
          <w:tcPr>
            <w:tcW w:w="1187" w:type="dxa"/>
          </w:tcPr>
          <w:p w14:paraId="044F52B6">
            <w:pPr>
              <w:spacing w:before="105"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224CADC">
            <w:pPr>
              <w:spacing w:before="105"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887435A">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82F76B0">
            <w:pPr>
              <w:spacing w:before="145"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3000-30000</w:t>
            </w:r>
          </w:p>
        </w:tc>
        <w:tc>
          <w:tcPr>
            <w:tcW w:w="1295" w:type="dxa"/>
          </w:tcPr>
          <w:p w14:paraId="5FE9111B">
            <w:pPr>
              <w:spacing w:before="145" w:line="200" w:lineRule="exact"/>
              <w:ind w:left="17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200-3000</w:t>
            </w:r>
          </w:p>
        </w:tc>
        <w:tc>
          <w:tcPr>
            <w:tcW w:w="1004" w:type="dxa"/>
          </w:tcPr>
          <w:p w14:paraId="0B422A7A">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r>
      <w:tr w14:paraId="692F5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17CB4872">
            <w:pPr>
              <w:spacing w:line="200" w:lineRule="exact"/>
              <w:rPr>
                <w:rFonts w:ascii="Arial"/>
                <w:color w:val="auto"/>
                <w:highlight w:val="none"/>
              </w:rPr>
            </w:pPr>
          </w:p>
          <w:p w14:paraId="6CA6E952">
            <w:pPr>
              <w:spacing w:before="75" w:line="200" w:lineRule="exact"/>
              <w:ind w:left="369"/>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仓储</w:t>
            </w:r>
          </w:p>
        </w:tc>
        <w:tc>
          <w:tcPr>
            <w:tcW w:w="1187" w:type="dxa"/>
          </w:tcPr>
          <w:p w14:paraId="5A51D990">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1143D03">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754B72">
            <w:pPr>
              <w:spacing w:before="104"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w:t>
            </w:r>
          </w:p>
        </w:tc>
        <w:tc>
          <w:tcPr>
            <w:tcW w:w="1535" w:type="dxa"/>
          </w:tcPr>
          <w:p w14:paraId="3EDC2676">
            <w:pPr>
              <w:spacing w:before="145"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1EBC52BD">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20-100</w:t>
            </w:r>
          </w:p>
        </w:tc>
        <w:tc>
          <w:tcPr>
            <w:tcW w:w="1004" w:type="dxa"/>
          </w:tcPr>
          <w:p w14:paraId="39BED648">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6D4DA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57FABA63">
            <w:pPr>
              <w:spacing w:line="200" w:lineRule="exact"/>
              <w:rPr>
                <w:rFonts w:ascii="Arial"/>
                <w:color w:val="auto"/>
                <w:highlight w:val="none"/>
              </w:rPr>
            </w:pPr>
          </w:p>
        </w:tc>
        <w:tc>
          <w:tcPr>
            <w:tcW w:w="1187" w:type="dxa"/>
          </w:tcPr>
          <w:p w14:paraId="48CD54E9">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083F4C89">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F67C7BB">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B665854">
            <w:pPr>
              <w:spacing w:before="145"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1000-30000</w:t>
            </w:r>
          </w:p>
        </w:tc>
        <w:tc>
          <w:tcPr>
            <w:tcW w:w="1295" w:type="dxa"/>
          </w:tcPr>
          <w:p w14:paraId="3057710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2598ADBB">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680792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56FEB4E6">
            <w:pPr>
              <w:spacing w:line="200" w:lineRule="exact"/>
              <w:rPr>
                <w:rFonts w:ascii="Arial"/>
                <w:color w:val="auto"/>
                <w:highlight w:val="none"/>
              </w:rPr>
            </w:pPr>
          </w:p>
          <w:p w14:paraId="046EB4CC">
            <w:pPr>
              <w:spacing w:before="75" w:line="200" w:lineRule="exact"/>
              <w:ind w:left="26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邮政业</w:t>
            </w:r>
          </w:p>
        </w:tc>
        <w:tc>
          <w:tcPr>
            <w:tcW w:w="1187" w:type="dxa"/>
          </w:tcPr>
          <w:p w14:paraId="261AB666">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69D43B0C">
            <w:pPr>
              <w:spacing w:before="104"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0DEA2CF4">
            <w:pPr>
              <w:spacing w:before="10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6BCB4E33">
            <w:pPr>
              <w:spacing w:before="145" w:line="200" w:lineRule="exact"/>
              <w:ind w:left="23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300- 1000</w:t>
            </w:r>
          </w:p>
        </w:tc>
        <w:tc>
          <w:tcPr>
            <w:tcW w:w="1295" w:type="dxa"/>
          </w:tcPr>
          <w:p w14:paraId="7183F841">
            <w:pPr>
              <w:spacing w:before="145" w:line="200" w:lineRule="exact"/>
              <w:ind w:left="29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20-300</w:t>
            </w:r>
          </w:p>
        </w:tc>
        <w:tc>
          <w:tcPr>
            <w:tcW w:w="1004" w:type="dxa"/>
          </w:tcPr>
          <w:p w14:paraId="6ED7CE05">
            <w:pPr>
              <w:spacing w:before="104"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w:t>
            </w:r>
          </w:p>
        </w:tc>
      </w:tr>
      <w:tr w14:paraId="5E0A2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84" w:type="dxa"/>
            <w:vMerge w:val="continue"/>
            <w:tcBorders>
              <w:top w:val="nil"/>
            </w:tcBorders>
          </w:tcPr>
          <w:p w14:paraId="057D964B">
            <w:pPr>
              <w:spacing w:line="200" w:lineRule="exact"/>
              <w:rPr>
                <w:rFonts w:ascii="Arial"/>
                <w:color w:val="auto"/>
                <w:highlight w:val="none"/>
              </w:rPr>
            </w:pPr>
          </w:p>
        </w:tc>
        <w:tc>
          <w:tcPr>
            <w:tcW w:w="1187" w:type="dxa"/>
          </w:tcPr>
          <w:p w14:paraId="3DFB655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706C310B">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01A25CCD">
            <w:pPr>
              <w:spacing w:before="104"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≥30000</w:t>
            </w:r>
          </w:p>
        </w:tc>
        <w:tc>
          <w:tcPr>
            <w:tcW w:w="1535" w:type="dxa"/>
          </w:tcPr>
          <w:p w14:paraId="4CCEC3DE">
            <w:pPr>
              <w:spacing w:before="145"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2000-30000</w:t>
            </w:r>
          </w:p>
        </w:tc>
        <w:tc>
          <w:tcPr>
            <w:tcW w:w="1295" w:type="dxa"/>
          </w:tcPr>
          <w:p w14:paraId="333CF99C">
            <w:pPr>
              <w:spacing w:before="145"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4540B26F">
            <w:pPr>
              <w:spacing w:before="104"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E5F2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restart"/>
            <w:tcBorders>
              <w:bottom w:val="nil"/>
            </w:tcBorders>
          </w:tcPr>
          <w:p w14:paraId="45A93377">
            <w:pPr>
              <w:spacing w:line="200" w:lineRule="exact"/>
              <w:rPr>
                <w:rFonts w:ascii="Arial"/>
                <w:color w:val="auto"/>
                <w:highlight w:val="none"/>
              </w:rPr>
            </w:pPr>
          </w:p>
          <w:p w14:paraId="07283912">
            <w:pPr>
              <w:spacing w:before="75"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住宿餐饮</w:t>
            </w:r>
          </w:p>
        </w:tc>
        <w:tc>
          <w:tcPr>
            <w:tcW w:w="1187" w:type="dxa"/>
          </w:tcPr>
          <w:p w14:paraId="2D221D0A">
            <w:pPr>
              <w:spacing w:before="104"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10C0D6A3">
            <w:pPr>
              <w:spacing w:before="103"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0F6E210">
            <w:pPr>
              <w:spacing w:before="103"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A4B5828">
            <w:pPr>
              <w:spacing w:before="144"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2781AFEE">
            <w:pPr>
              <w:spacing w:before="144"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3546F62F">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184F2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24B9DDA9">
            <w:pPr>
              <w:spacing w:line="200" w:lineRule="exact"/>
              <w:rPr>
                <w:rFonts w:ascii="Arial"/>
                <w:color w:val="auto"/>
                <w:highlight w:val="none"/>
              </w:rPr>
            </w:pPr>
          </w:p>
        </w:tc>
        <w:tc>
          <w:tcPr>
            <w:tcW w:w="1187" w:type="dxa"/>
          </w:tcPr>
          <w:p w14:paraId="09795E8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02D5657">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655F889">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1B2C6AB3">
            <w:pPr>
              <w:spacing w:before="144" w:line="200" w:lineRule="exact"/>
              <w:ind w:left="17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2000-10000</w:t>
            </w:r>
          </w:p>
        </w:tc>
        <w:tc>
          <w:tcPr>
            <w:tcW w:w="1295" w:type="dxa"/>
          </w:tcPr>
          <w:p w14:paraId="12062115">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100-2000</w:t>
            </w:r>
          </w:p>
        </w:tc>
        <w:tc>
          <w:tcPr>
            <w:tcW w:w="1004" w:type="dxa"/>
          </w:tcPr>
          <w:p w14:paraId="102FE41F">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78914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restart"/>
            <w:tcBorders>
              <w:bottom w:val="nil"/>
            </w:tcBorders>
          </w:tcPr>
          <w:p w14:paraId="2F09F0A1">
            <w:pPr>
              <w:spacing w:before="172" w:line="200" w:lineRule="exact"/>
              <w:ind w:left="124" w:right="110" w:firstLine="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房地产 开发经营</w:t>
            </w:r>
          </w:p>
        </w:tc>
        <w:tc>
          <w:tcPr>
            <w:tcW w:w="1187" w:type="dxa"/>
          </w:tcPr>
          <w:p w14:paraId="2B61180C">
            <w:pPr>
              <w:spacing w:before="103"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46E449BE">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3EEDDF81">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6A43DC4">
            <w:pPr>
              <w:spacing w:before="144" w:line="200" w:lineRule="exact"/>
              <w:ind w:left="17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5000-10000</w:t>
            </w:r>
          </w:p>
        </w:tc>
        <w:tc>
          <w:tcPr>
            <w:tcW w:w="1295" w:type="dxa"/>
          </w:tcPr>
          <w:p w14:paraId="25E2633E">
            <w:pPr>
              <w:spacing w:before="103" w:line="200" w:lineRule="exact"/>
              <w:ind w:left="116"/>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2000&lt;5000</w:t>
            </w:r>
          </w:p>
        </w:tc>
        <w:tc>
          <w:tcPr>
            <w:tcW w:w="1004" w:type="dxa"/>
          </w:tcPr>
          <w:p w14:paraId="79060F98">
            <w:pPr>
              <w:spacing w:before="103" w:line="200" w:lineRule="exact"/>
              <w:ind w:left="16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r>
      <w:tr w14:paraId="5ED63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1184" w:type="dxa"/>
            <w:vMerge w:val="continue"/>
            <w:tcBorders>
              <w:top w:val="nil"/>
            </w:tcBorders>
          </w:tcPr>
          <w:p w14:paraId="7807C122">
            <w:pPr>
              <w:spacing w:line="200" w:lineRule="exact"/>
              <w:rPr>
                <w:rFonts w:ascii="Arial"/>
                <w:color w:val="auto"/>
                <w:highlight w:val="none"/>
              </w:rPr>
            </w:pPr>
          </w:p>
        </w:tc>
        <w:tc>
          <w:tcPr>
            <w:tcW w:w="1187" w:type="dxa"/>
          </w:tcPr>
          <w:p w14:paraId="5C891C8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13184588">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253027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≥200000</w:t>
            </w:r>
          </w:p>
        </w:tc>
        <w:tc>
          <w:tcPr>
            <w:tcW w:w="1535" w:type="dxa"/>
          </w:tcPr>
          <w:p w14:paraId="4371FD8A">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1000-200000</w:t>
            </w:r>
          </w:p>
        </w:tc>
        <w:tc>
          <w:tcPr>
            <w:tcW w:w="1295" w:type="dxa"/>
          </w:tcPr>
          <w:p w14:paraId="07187C97">
            <w:pPr>
              <w:spacing w:before="103" w:line="200" w:lineRule="exact"/>
              <w:ind w:left="13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100&lt;10000</w:t>
            </w:r>
          </w:p>
        </w:tc>
        <w:tc>
          <w:tcPr>
            <w:tcW w:w="1004" w:type="dxa"/>
          </w:tcPr>
          <w:p w14:paraId="51705E15">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47D4D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 w:hRule="atLeast"/>
        </w:trPr>
        <w:tc>
          <w:tcPr>
            <w:tcW w:w="1184" w:type="dxa"/>
            <w:vMerge w:val="restart"/>
            <w:tcBorders>
              <w:bottom w:val="nil"/>
            </w:tcBorders>
          </w:tcPr>
          <w:p w14:paraId="5A5987E4">
            <w:pPr>
              <w:spacing w:before="263"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物业管理</w:t>
            </w:r>
          </w:p>
        </w:tc>
        <w:tc>
          <w:tcPr>
            <w:tcW w:w="1187" w:type="dxa"/>
          </w:tcPr>
          <w:p w14:paraId="37BF1F2E">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3A1BEA06">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BEDB880">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w:t>
            </w:r>
          </w:p>
        </w:tc>
        <w:tc>
          <w:tcPr>
            <w:tcW w:w="1535" w:type="dxa"/>
          </w:tcPr>
          <w:p w14:paraId="49CBFBEA">
            <w:pPr>
              <w:spacing w:before="81" w:line="200" w:lineRule="exact"/>
              <w:ind w:left="29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300-1000</w:t>
            </w:r>
          </w:p>
        </w:tc>
        <w:tc>
          <w:tcPr>
            <w:tcW w:w="1295" w:type="dxa"/>
          </w:tcPr>
          <w:p w14:paraId="318C0BB0">
            <w:pPr>
              <w:spacing w:before="81" w:line="200" w:lineRule="exact"/>
              <w:ind w:left="25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004" w:type="dxa"/>
          </w:tcPr>
          <w:p w14:paraId="64A923F2">
            <w:pPr>
              <w:spacing w:before="40"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32922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1184" w:type="dxa"/>
            <w:vMerge w:val="continue"/>
            <w:tcBorders>
              <w:top w:val="nil"/>
            </w:tcBorders>
          </w:tcPr>
          <w:p w14:paraId="4C9F0E84">
            <w:pPr>
              <w:spacing w:line="200" w:lineRule="exact"/>
              <w:rPr>
                <w:rFonts w:ascii="Arial"/>
                <w:color w:val="auto"/>
                <w:highlight w:val="none"/>
              </w:rPr>
            </w:pPr>
          </w:p>
        </w:tc>
        <w:tc>
          <w:tcPr>
            <w:tcW w:w="1187" w:type="dxa"/>
          </w:tcPr>
          <w:p w14:paraId="0CFCB71F">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5609D995">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52ED013E">
            <w:pPr>
              <w:spacing w:before="103"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≥5000</w:t>
            </w:r>
          </w:p>
        </w:tc>
        <w:tc>
          <w:tcPr>
            <w:tcW w:w="1535" w:type="dxa"/>
          </w:tcPr>
          <w:p w14:paraId="695598BD">
            <w:pPr>
              <w:spacing w:before="144"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1000-5000</w:t>
            </w:r>
          </w:p>
        </w:tc>
        <w:tc>
          <w:tcPr>
            <w:tcW w:w="1295" w:type="dxa"/>
          </w:tcPr>
          <w:p w14:paraId="13D1761C">
            <w:pPr>
              <w:spacing w:before="144" w:line="200" w:lineRule="exact"/>
              <w:ind w:left="11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500- 1000</w:t>
            </w:r>
          </w:p>
        </w:tc>
        <w:tc>
          <w:tcPr>
            <w:tcW w:w="1004" w:type="dxa"/>
          </w:tcPr>
          <w:p w14:paraId="65ACD5C7">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＜500</w:t>
            </w:r>
          </w:p>
        </w:tc>
      </w:tr>
      <w:tr w14:paraId="6EAE8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1184" w:type="dxa"/>
            <w:vMerge w:val="restart"/>
            <w:tcBorders>
              <w:bottom w:val="nil"/>
            </w:tcBorders>
          </w:tcPr>
          <w:p w14:paraId="2C55D1C0">
            <w:pPr>
              <w:spacing w:before="263" w:line="200" w:lineRule="exact"/>
              <w:ind w:left="124"/>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信息传输</w:t>
            </w:r>
          </w:p>
        </w:tc>
        <w:tc>
          <w:tcPr>
            <w:tcW w:w="1187" w:type="dxa"/>
          </w:tcPr>
          <w:p w14:paraId="735C8EE9">
            <w:pPr>
              <w:spacing w:before="40"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40E36A85">
            <w:pPr>
              <w:spacing w:before="40"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6F7A3D1E">
            <w:pPr>
              <w:spacing w:before="40"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≥2000</w:t>
            </w:r>
          </w:p>
        </w:tc>
        <w:tc>
          <w:tcPr>
            <w:tcW w:w="1535" w:type="dxa"/>
          </w:tcPr>
          <w:p w14:paraId="3F8788B5">
            <w:pPr>
              <w:spacing w:before="82"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100-200</w:t>
            </w:r>
          </w:p>
        </w:tc>
        <w:tc>
          <w:tcPr>
            <w:tcW w:w="1295" w:type="dxa"/>
          </w:tcPr>
          <w:p w14:paraId="4D94554E">
            <w:pPr>
              <w:spacing w:before="82"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4E996B19">
            <w:pPr>
              <w:spacing w:before="40"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047D95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39B68251">
            <w:pPr>
              <w:spacing w:line="200" w:lineRule="exact"/>
              <w:rPr>
                <w:rFonts w:ascii="Arial"/>
                <w:color w:val="auto"/>
                <w:highlight w:val="none"/>
              </w:rPr>
            </w:pPr>
          </w:p>
        </w:tc>
        <w:tc>
          <w:tcPr>
            <w:tcW w:w="1187" w:type="dxa"/>
          </w:tcPr>
          <w:p w14:paraId="29B22B47">
            <w:pPr>
              <w:spacing w:before="103"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33331211">
            <w:pPr>
              <w:spacing w:before="103"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4948F6C2">
            <w:pPr>
              <w:spacing w:before="103"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≥100000</w:t>
            </w:r>
          </w:p>
        </w:tc>
        <w:tc>
          <w:tcPr>
            <w:tcW w:w="1535" w:type="dxa"/>
          </w:tcPr>
          <w:p w14:paraId="0F2F4F7D">
            <w:pPr>
              <w:spacing w:before="144" w:line="200" w:lineRule="exact"/>
              <w:ind w:left="1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1000-100000</w:t>
            </w:r>
          </w:p>
        </w:tc>
        <w:tc>
          <w:tcPr>
            <w:tcW w:w="1295" w:type="dxa"/>
          </w:tcPr>
          <w:p w14:paraId="25092E2D">
            <w:pPr>
              <w:spacing w:before="144"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100-1000</w:t>
            </w:r>
          </w:p>
        </w:tc>
        <w:tc>
          <w:tcPr>
            <w:tcW w:w="1004" w:type="dxa"/>
          </w:tcPr>
          <w:p w14:paraId="6C3D3DED">
            <w:pPr>
              <w:spacing w:before="103"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04495B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1184" w:type="dxa"/>
            <w:vMerge w:val="restart"/>
            <w:tcBorders>
              <w:bottom w:val="nil"/>
            </w:tcBorders>
          </w:tcPr>
          <w:p w14:paraId="60D09E5C">
            <w:pPr>
              <w:spacing w:before="127" w:line="200" w:lineRule="exact"/>
              <w:ind w:left="124" w:right="110" w:firstLine="12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软件和 信息技术</w:t>
            </w:r>
          </w:p>
        </w:tc>
        <w:tc>
          <w:tcPr>
            <w:tcW w:w="1187" w:type="dxa"/>
          </w:tcPr>
          <w:p w14:paraId="3E582669">
            <w:pPr>
              <w:spacing w:before="57"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56C64EB4">
            <w:pPr>
              <w:spacing w:before="57"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10C630F3">
            <w:pPr>
              <w:spacing w:before="57"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E50A0CA">
            <w:pPr>
              <w:spacing w:before="98"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163515F0">
            <w:pPr>
              <w:spacing w:before="98"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0D9766A4">
            <w:pPr>
              <w:spacing w:before="57"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5B172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184" w:type="dxa"/>
            <w:vMerge w:val="continue"/>
            <w:tcBorders>
              <w:top w:val="nil"/>
            </w:tcBorders>
          </w:tcPr>
          <w:p w14:paraId="0D565FFE">
            <w:pPr>
              <w:spacing w:line="200" w:lineRule="exact"/>
              <w:rPr>
                <w:rFonts w:ascii="Arial"/>
                <w:color w:val="auto"/>
                <w:highlight w:val="none"/>
              </w:rPr>
            </w:pPr>
          </w:p>
        </w:tc>
        <w:tc>
          <w:tcPr>
            <w:tcW w:w="1187" w:type="dxa"/>
          </w:tcPr>
          <w:p w14:paraId="45AD4EEB">
            <w:pPr>
              <w:spacing w:before="104" w:line="200" w:lineRule="exact"/>
              <w:ind w:left="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营业收入</w:t>
            </w:r>
          </w:p>
        </w:tc>
        <w:tc>
          <w:tcPr>
            <w:tcW w:w="900" w:type="dxa"/>
          </w:tcPr>
          <w:p w14:paraId="24B95754">
            <w:pPr>
              <w:spacing w:before="104"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557EFB4">
            <w:pPr>
              <w:spacing w:before="103" w:line="200" w:lineRule="exact"/>
              <w:ind w:left="31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≥10000</w:t>
            </w:r>
          </w:p>
        </w:tc>
        <w:tc>
          <w:tcPr>
            <w:tcW w:w="1535" w:type="dxa"/>
          </w:tcPr>
          <w:p w14:paraId="4993C374">
            <w:pPr>
              <w:spacing w:before="144" w:line="200" w:lineRule="exact"/>
              <w:ind w:left="19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1000-10000</w:t>
            </w:r>
          </w:p>
        </w:tc>
        <w:tc>
          <w:tcPr>
            <w:tcW w:w="1295" w:type="dxa"/>
          </w:tcPr>
          <w:p w14:paraId="44BE04BE">
            <w:pPr>
              <w:spacing w:before="144" w:line="200" w:lineRule="exact"/>
              <w:ind w:left="2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50-1000</w:t>
            </w:r>
          </w:p>
        </w:tc>
        <w:tc>
          <w:tcPr>
            <w:tcW w:w="1004" w:type="dxa"/>
          </w:tcPr>
          <w:p w14:paraId="48C8D16D">
            <w:pPr>
              <w:spacing w:before="103"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＜50</w:t>
            </w:r>
          </w:p>
        </w:tc>
      </w:tr>
      <w:tr w14:paraId="17D5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84" w:type="dxa"/>
            <w:vMerge w:val="restart"/>
            <w:tcBorders>
              <w:bottom w:val="nil"/>
            </w:tcBorders>
          </w:tcPr>
          <w:p w14:paraId="22F52BFB">
            <w:pPr>
              <w:spacing w:before="117" w:line="200" w:lineRule="exact"/>
              <w:ind w:left="133" w:right="110" w:firstLine="112"/>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租赁和 商务服务</w:t>
            </w:r>
          </w:p>
        </w:tc>
        <w:tc>
          <w:tcPr>
            <w:tcW w:w="1187" w:type="dxa"/>
          </w:tcPr>
          <w:p w14:paraId="32A4F282">
            <w:pPr>
              <w:spacing w:before="48"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CF83326">
            <w:pPr>
              <w:spacing w:before="48"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8CF3569">
            <w:pPr>
              <w:spacing w:before="48"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2040D9AF">
            <w:pPr>
              <w:spacing w:before="89"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72EBCE8F">
            <w:pPr>
              <w:spacing w:before="89"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5B6048CC">
            <w:pPr>
              <w:spacing w:before="48"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r w14:paraId="2CC8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84" w:type="dxa"/>
            <w:vMerge w:val="continue"/>
            <w:tcBorders>
              <w:top w:val="nil"/>
            </w:tcBorders>
          </w:tcPr>
          <w:p w14:paraId="77E45F95">
            <w:pPr>
              <w:spacing w:line="200" w:lineRule="exact"/>
              <w:rPr>
                <w:rFonts w:ascii="Arial"/>
                <w:color w:val="auto"/>
                <w:highlight w:val="none"/>
              </w:rPr>
            </w:pPr>
          </w:p>
        </w:tc>
        <w:tc>
          <w:tcPr>
            <w:tcW w:w="1187" w:type="dxa"/>
          </w:tcPr>
          <w:p w14:paraId="0F33DED4">
            <w:pPr>
              <w:spacing w:before="102" w:line="200" w:lineRule="exact"/>
              <w:ind w:left="138"/>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资产总额</w:t>
            </w:r>
          </w:p>
        </w:tc>
        <w:tc>
          <w:tcPr>
            <w:tcW w:w="900" w:type="dxa"/>
          </w:tcPr>
          <w:p w14:paraId="53F81CB1">
            <w:pPr>
              <w:spacing w:before="102" w:line="200" w:lineRule="exact"/>
              <w:ind w:left="2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万元</w:t>
            </w:r>
          </w:p>
        </w:tc>
        <w:tc>
          <w:tcPr>
            <w:tcW w:w="1399" w:type="dxa"/>
          </w:tcPr>
          <w:p w14:paraId="70719C8C">
            <w:pPr>
              <w:spacing w:before="102" w:line="200" w:lineRule="exact"/>
              <w:ind w:left="25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≥120000</w:t>
            </w:r>
          </w:p>
        </w:tc>
        <w:tc>
          <w:tcPr>
            <w:tcW w:w="1535" w:type="dxa"/>
          </w:tcPr>
          <w:p w14:paraId="518F966D">
            <w:pPr>
              <w:spacing w:before="143" w:line="200" w:lineRule="exact"/>
              <w:ind w:left="11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8000-120000</w:t>
            </w:r>
          </w:p>
        </w:tc>
        <w:tc>
          <w:tcPr>
            <w:tcW w:w="1295" w:type="dxa"/>
          </w:tcPr>
          <w:p w14:paraId="0C8ABF46">
            <w:pPr>
              <w:spacing w:before="143" w:line="200" w:lineRule="exact"/>
              <w:ind w:left="19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100-8000</w:t>
            </w:r>
          </w:p>
        </w:tc>
        <w:tc>
          <w:tcPr>
            <w:tcW w:w="1004" w:type="dxa"/>
          </w:tcPr>
          <w:p w14:paraId="41D89494">
            <w:pPr>
              <w:spacing w:before="102" w:line="200" w:lineRule="exact"/>
              <w:ind w:left="22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w:t>
            </w:r>
          </w:p>
        </w:tc>
      </w:tr>
      <w:tr w14:paraId="23AEC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84" w:type="dxa"/>
          </w:tcPr>
          <w:p w14:paraId="30A4AF0C">
            <w:pPr>
              <w:spacing w:before="40" w:line="200" w:lineRule="exact"/>
              <w:ind w:left="259" w:right="110" w:hanging="133"/>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其他未列 明行业</w:t>
            </w:r>
          </w:p>
        </w:tc>
        <w:tc>
          <w:tcPr>
            <w:tcW w:w="1187" w:type="dxa"/>
          </w:tcPr>
          <w:p w14:paraId="38DC30F5">
            <w:pPr>
              <w:spacing w:before="195" w:line="200" w:lineRule="exact"/>
              <w:ind w:left="125"/>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从业人员</w:t>
            </w:r>
          </w:p>
        </w:tc>
        <w:tc>
          <w:tcPr>
            <w:tcW w:w="900" w:type="dxa"/>
          </w:tcPr>
          <w:p w14:paraId="724EF96C">
            <w:pPr>
              <w:spacing w:before="195" w:line="200" w:lineRule="exact"/>
              <w:ind w:left="34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人</w:t>
            </w:r>
          </w:p>
        </w:tc>
        <w:tc>
          <w:tcPr>
            <w:tcW w:w="1399" w:type="dxa"/>
          </w:tcPr>
          <w:p w14:paraId="5AC39CF1">
            <w:pPr>
              <w:spacing w:before="195" w:line="200" w:lineRule="exact"/>
              <w:ind w:left="43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≥300</w:t>
            </w:r>
          </w:p>
        </w:tc>
        <w:tc>
          <w:tcPr>
            <w:tcW w:w="1535" w:type="dxa"/>
          </w:tcPr>
          <w:p w14:paraId="1D68BB5F">
            <w:pPr>
              <w:spacing w:before="236" w:line="200" w:lineRule="exact"/>
              <w:ind w:left="370"/>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100-300</w:t>
            </w:r>
          </w:p>
        </w:tc>
        <w:tc>
          <w:tcPr>
            <w:tcW w:w="1295" w:type="dxa"/>
          </w:tcPr>
          <w:p w14:paraId="55E8DB9D">
            <w:pPr>
              <w:spacing w:before="236" w:line="200" w:lineRule="exact"/>
              <w:ind w:left="311"/>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10-100</w:t>
            </w:r>
          </w:p>
        </w:tc>
        <w:tc>
          <w:tcPr>
            <w:tcW w:w="1004" w:type="dxa"/>
          </w:tcPr>
          <w:p w14:paraId="613E0766">
            <w:pPr>
              <w:spacing w:before="195" w:line="200" w:lineRule="exact"/>
              <w:ind w:left="287"/>
              <w:rPr>
                <w:rFonts w:hint="eastAsia" w:ascii="仿宋" w:hAnsi="仿宋" w:eastAsia="仿宋" w:cs="仿宋"/>
                <w:color w:val="auto"/>
                <w:sz w:val="23"/>
                <w:szCs w:val="23"/>
                <w:highlight w:val="none"/>
              </w:rPr>
            </w:pPr>
            <w:r>
              <w:rPr>
                <w:rFonts w:ascii="仿宋" w:hAnsi="仿宋" w:eastAsia="仿宋" w:cs="仿宋"/>
                <w:color w:val="auto"/>
                <w:sz w:val="23"/>
                <w:szCs w:val="23"/>
                <w:highlight w:val="none"/>
              </w:rPr>
              <w:t>＜10</w:t>
            </w:r>
          </w:p>
        </w:tc>
      </w:tr>
    </w:tbl>
    <w:p w14:paraId="040C256C">
      <w:pPr>
        <w:widowControl/>
        <w:spacing w:line="360" w:lineRule="auto"/>
        <w:ind w:left="420" w:hanging="420" w:hanging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说明：</w:t>
      </w:r>
    </w:p>
    <w:p w14:paraId="61044AA4">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7CB06E6F">
      <w:pPr>
        <w:widowControl/>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7899801">
      <w:pPr>
        <w:pStyle w:val="3"/>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49925A0">
      <w:pPr>
        <w:snapToGrid w:val="0"/>
        <w:spacing w:before="156" w:beforeLines="50" w:after="50" w:line="360" w:lineRule="auto"/>
        <w:ind w:right="480" w:firstLine="321" w:firstLineChars="100"/>
        <w:jc w:val="center"/>
        <w:outlineLvl w:val="2"/>
        <w:rPr>
          <w:rFonts w:hint="eastAsia" w:ascii="宋体" w:hAnsi="宋体" w:cs="宋体"/>
          <w:b/>
          <w:bCs/>
          <w:color w:val="auto"/>
          <w:sz w:val="32"/>
          <w:szCs w:val="32"/>
          <w:highlight w:val="none"/>
          <w:lang w:bidi="ar"/>
        </w:rPr>
      </w:pPr>
      <w:r>
        <w:rPr>
          <w:rFonts w:hint="eastAsia" w:ascii="宋体" w:hAnsi="宋体" w:cs="宋体"/>
          <w:b/>
          <w:bCs/>
          <w:color w:val="auto"/>
          <w:sz w:val="32"/>
          <w:szCs w:val="32"/>
          <w:highlight w:val="none"/>
          <w:lang w:bidi="ar"/>
        </w:rPr>
        <w:t>其他文书、文件格式</w:t>
      </w:r>
    </w:p>
    <w:p w14:paraId="524514A2">
      <w:pPr>
        <w:spacing w:line="360" w:lineRule="auto"/>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bidi="ar"/>
        </w:rPr>
        <w:t>质疑函（格式）</w:t>
      </w:r>
    </w:p>
    <w:p w14:paraId="3F357CD1">
      <w:pPr>
        <w:pStyle w:val="25"/>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一、质疑供应商基本信息：</w:t>
      </w:r>
    </w:p>
    <w:p w14:paraId="02024255">
      <w:pPr>
        <w:pStyle w:val="25"/>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质疑供应商：</w:t>
      </w:r>
      <w:r>
        <w:rPr>
          <w:rFonts w:hint="eastAsia"/>
          <w:bCs/>
          <w:color w:val="auto"/>
          <w:highlight w:val="none"/>
          <w:u w:val="single"/>
          <w:lang w:bidi="ar"/>
        </w:rPr>
        <w:t xml:space="preserve">                                       </w:t>
      </w:r>
      <w:r>
        <w:rPr>
          <w:rFonts w:hint="eastAsia"/>
          <w:bCs/>
          <w:color w:val="auto"/>
          <w:highlight w:val="none"/>
          <w:lang w:bidi="ar"/>
        </w:rPr>
        <w:t xml:space="preserve">                 </w:t>
      </w:r>
    </w:p>
    <w:p w14:paraId="2BB779A4">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38C25C5A">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联系人：</w:t>
      </w:r>
      <w:r>
        <w:rPr>
          <w:rFonts w:hint="eastAsia"/>
          <w:bCs/>
          <w:color w:val="auto"/>
          <w:highlight w:val="none"/>
          <w:u w:val="single"/>
          <w:lang w:bidi="ar"/>
        </w:rPr>
        <w:t xml:space="preserve">                     </w:t>
      </w:r>
      <w:r>
        <w:rPr>
          <w:rFonts w:hint="eastAsia"/>
          <w:bCs/>
          <w:color w:val="auto"/>
          <w:highlight w:val="none"/>
          <w:lang w:bidi="ar"/>
        </w:rPr>
        <w:t>联系电话：</w:t>
      </w:r>
      <w:r>
        <w:rPr>
          <w:rFonts w:hint="eastAsia"/>
          <w:bCs/>
          <w:color w:val="auto"/>
          <w:highlight w:val="none"/>
          <w:u w:val="single"/>
          <w:lang w:bidi="ar"/>
        </w:rPr>
        <w:t xml:space="preserve">                 </w:t>
      </w:r>
    </w:p>
    <w:p w14:paraId="135DB606">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授权代表：</w:t>
      </w:r>
      <w:r>
        <w:rPr>
          <w:rFonts w:hint="eastAsia"/>
          <w:bCs/>
          <w:color w:val="auto"/>
          <w:highlight w:val="none"/>
          <w:u w:val="single"/>
          <w:lang w:bidi="ar"/>
        </w:rPr>
        <w:t xml:space="preserve">                      </w:t>
      </w:r>
    </w:p>
    <w:p w14:paraId="0D1CC90B">
      <w:pPr>
        <w:pStyle w:val="25"/>
        <w:widowControl w:val="0"/>
        <w:snapToGrid w:val="0"/>
        <w:spacing w:before="0" w:beforeAutospacing="0" w:after="0" w:afterAutospacing="0" w:line="360" w:lineRule="auto"/>
        <w:ind w:firstLine="480" w:firstLineChars="200"/>
        <w:jc w:val="both"/>
        <w:rPr>
          <w:rFonts w:hint="eastAsia"/>
          <w:bCs/>
          <w:color w:val="auto"/>
          <w:highlight w:val="none"/>
          <w:u w:val="single"/>
        </w:rPr>
      </w:pPr>
      <w:r>
        <w:rPr>
          <w:rFonts w:hint="eastAsia"/>
          <w:bCs/>
          <w:color w:val="auto"/>
          <w:highlight w:val="none"/>
          <w:lang w:bidi="ar"/>
        </w:rPr>
        <w:t>联系电话：</w:t>
      </w:r>
      <w:r>
        <w:rPr>
          <w:rFonts w:hint="eastAsia"/>
          <w:bCs/>
          <w:color w:val="auto"/>
          <w:highlight w:val="none"/>
          <w:u w:val="single"/>
          <w:lang w:bidi="ar"/>
        </w:rPr>
        <w:t xml:space="preserve">                      </w:t>
      </w:r>
    </w:p>
    <w:p w14:paraId="24595BB4">
      <w:pPr>
        <w:pStyle w:val="25"/>
        <w:widowControl w:val="0"/>
        <w:snapToGrid w:val="0"/>
        <w:spacing w:before="0" w:beforeAutospacing="0" w:after="0" w:afterAutospacing="0" w:line="360" w:lineRule="auto"/>
        <w:ind w:firstLine="480" w:firstLineChars="200"/>
        <w:jc w:val="both"/>
        <w:rPr>
          <w:rFonts w:hint="eastAsia"/>
          <w:bCs/>
          <w:color w:val="auto"/>
          <w:highlight w:val="none"/>
        </w:rPr>
      </w:pPr>
      <w:r>
        <w:rPr>
          <w:rFonts w:hint="eastAsia"/>
          <w:bCs/>
          <w:color w:val="auto"/>
          <w:highlight w:val="none"/>
          <w:lang w:bidi="ar"/>
        </w:rPr>
        <w:t>地址：</w:t>
      </w:r>
      <w:r>
        <w:rPr>
          <w:rFonts w:hint="eastAsia"/>
          <w:bCs/>
          <w:color w:val="auto"/>
          <w:highlight w:val="none"/>
          <w:u w:val="single"/>
          <w:lang w:bidi="ar"/>
        </w:rPr>
        <w:t xml:space="preserve">                 </w:t>
      </w:r>
      <w:r>
        <w:rPr>
          <w:rFonts w:hint="eastAsia"/>
          <w:bCs/>
          <w:color w:val="auto"/>
          <w:highlight w:val="none"/>
          <w:lang w:bidi="ar"/>
        </w:rPr>
        <w:t>邮编：</w:t>
      </w:r>
      <w:r>
        <w:rPr>
          <w:rFonts w:hint="eastAsia"/>
          <w:bCs/>
          <w:color w:val="auto"/>
          <w:highlight w:val="none"/>
          <w:u w:val="single"/>
          <w:lang w:bidi="ar"/>
        </w:rPr>
        <w:t xml:space="preserve">                  </w:t>
      </w:r>
      <w:r>
        <w:rPr>
          <w:rFonts w:hint="eastAsia"/>
          <w:bCs/>
          <w:color w:val="auto"/>
          <w:highlight w:val="none"/>
          <w:lang w:bidi="ar"/>
        </w:rPr>
        <w:t xml:space="preserve">     </w:t>
      </w:r>
    </w:p>
    <w:p w14:paraId="131FBE6B">
      <w:pPr>
        <w:pStyle w:val="25"/>
        <w:widowControl w:val="0"/>
        <w:snapToGrid w:val="0"/>
        <w:spacing w:before="0" w:beforeAutospacing="0" w:after="0" w:afterAutospacing="0" w:line="360" w:lineRule="auto"/>
        <w:ind w:firstLine="482" w:firstLineChars="200"/>
        <w:jc w:val="both"/>
        <w:outlineLvl w:val="2"/>
        <w:rPr>
          <w:rFonts w:hint="eastAsia"/>
          <w:b/>
          <w:bCs/>
          <w:color w:val="auto"/>
          <w:highlight w:val="none"/>
        </w:rPr>
      </w:pPr>
      <w:r>
        <w:rPr>
          <w:rFonts w:hint="eastAsia"/>
          <w:b/>
          <w:bCs/>
          <w:color w:val="auto"/>
          <w:highlight w:val="none"/>
          <w:lang w:bidi="ar"/>
        </w:rPr>
        <w:t>二、质疑项目基本情况：</w:t>
      </w:r>
    </w:p>
    <w:p w14:paraId="43D8C0EC">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项目的名称：</w:t>
      </w:r>
      <w:r>
        <w:rPr>
          <w:rFonts w:hint="eastAsia"/>
          <w:bCs/>
          <w:color w:val="auto"/>
          <w:highlight w:val="none"/>
          <w:u w:val="single"/>
          <w:lang w:bidi="ar"/>
        </w:rPr>
        <w:t xml:space="preserve">                                     </w:t>
      </w:r>
    </w:p>
    <w:p w14:paraId="6D6E0475">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bCs/>
          <w:color w:val="auto"/>
          <w:highlight w:val="none"/>
          <w:lang w:bidi="ar"/>
        </w:rPr>
        <w:t>质疑</w:t>
      </w:r>
      <w:r>
        <w:rPr>
          <w:rFonts w:hint="eastAsia"/>
          <w:color w:val="auto"/>
          <w:highlight w:val="none"/>
          <w:lang w:bidi="ar"/>
        </w:rPr>
        <w:t>项目的编号：</w:t>
      </w:r>
      <w:r>
        <w:rPr>
          <w:rFonts w:hint="eastAsia"/>
          <w:bCs/>
          <w:color w:val="auto"/>
          <w:highlight w:val="none"/>
          <w:u w:val="single"/>
          <w:lang w:bidi="ar"/>
        </w:rPr>
        <w:t xml:space="preserve">                                     </w:t>
      </w:r>
    </w:p>
    <w:p w14:paraId="30ADFDD5">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采购人名称：</w:t>
      </w:r>
      <w:r>
        <w:rPr>
          <w:rFonts w:hint="eastAsia"/>
          <w:bCs/>
          <w:color w:val="auto"/>
          <w:highlight w:val="none"/>
          <w:u w:val="single"/>
          <w:lang w:bidi="ar"/>
        </w:rPr>
        <w:t xml:space="preserve">                                         </w:t>
      </w:r>
    </w:p>
    <w:p w14:paraId="1DEF9BA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w:t>
      </w:r>
    </w:p>
    <w:p w14:paraId="0C328C18">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□采购文件   采购文件获取日期：</w:t>
      </w:r>
      <w:r>
        <w:rPr>
          <w:rFonts w:hint="eastAsia"/>
          <w:bCs/>
          <w:color w:val="auto"/>
          <w:highlight w:val="none"/>
          <w:u w:val="single"/>
          <w:lang w:bidi="ar"/>
        </w:rPr>
        <w:t xml:space="preserve">                                   </w:t>
      </w:r>
    </w:p>
    <w:p w14:paraId="0A3519F6">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□采购过程   </w:t>
      </w:r>
    </w:p>
    <w:p w14:paraId="3231B069">
      <w:pPr>
        <w:pStyle w:val="25"/>
        <w:widowControl w:val="0"/>
        <w:spacing w:before="0" w:beforeAutospacing="0" w:after="0" w:afterAutospacing="0" w:line="360" w:lineRule="auto"/>
        <w:ind w:left="25" w:leftChars="12" w:firstLine="352" w:firstLineChars="147"/>
        <w:jc w:val="both"/>
        <w:rPr>
          <w:rFonts w:hint="eastAsia"/>
          <w:bCs/>
          <w:color w:val="auto"/>
          <w:highlight w:val="none"/>
          <w:u w:val="single"/>
        </w:rPr>
      </w:pPr>
      <w:r>
        <w:rPr>
          <w:rFonts w:hint="eastAsia"/>
          <w:color w:val="auto"/>
          <w:highlight w:val="none"/>
          <w:lang w:bidi="ar"/>
        </w:rPr>
        <w:t xml:space="preserve">□成交结果   </w:t>
      </w:r>
    </w:p>
    <w:p w14:paraId="37496EE8">
      <w:pPr>
        <w:pStyle w:val="25"/>
        <w:widowControl w:val="0"/>
        <w:spacing w:before="0" w:beforeAutospacing="0" w:after="0" w:afterAutospacing="0" w:line="360" w:lineRule="auto"/>
        <w:ind w:left="25" w:leftChars="12" w:firstLine="472" w:firstLineChars="196"/>
        <w:jc w:val="both"/>
        <w:outlineLvl w:val="2"/>
        <w:rPr>
          <w:rFonts w:hint="eastAsia"/>
          <w:b/>
          <w:color w:val="auto"/>
          <w:highlight w:val="none"/>
        </w:rPr>
      </w:pPr>
      <w:r>
        <w:rPr>
          <w:rFonts w:hint="eastAsia"/>
          <w:b/>
          <w:color w:val="auto"/>
          <w:highlight w:val="none"/>
          <w:lang w:bidi="ar"/>
        </w:rPr>
        <w:t>三、质疑事项具体内容</w:t>
      </w:r>
    </w:p>
    <w:p w14:paraId="17308E0E">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质疑事项1：</w:t>
      </w:r>
      <w:r>
        <w:rPr>
          <w:rFonts w:hint="eastAsia"/>
          <w:bCs/>
          <w:color w:val="auto"/>
          <w:highlight w:val="none"/>
          <w:u w:val="single"/>
          <w:lang w:bidi="ar"/>
        </w:rPr>
        <w:t xml:space="preserve">                                                                    </w:t>
      </w:r>
    </w:p>
    <w:p w14:paraId="3CC66569">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事实依据：</w:t>
      </w:r>
      <w:r>
        <w:rPr>
          <w:rFonts w:hint="eastAsia"/>
          <w:bCs/>
          <w:color w:val="auto"/>
          <w:highlight w:val="none"/>
          <w:u w:val="single"/>
          <w:lang w:bidi="ar"/>
        </w:rPr>
        <w:t xml:space="preserve">                                                                      </w:t>
      </w:r>
    </w:p>
    <w:p w14:paraId="222D3B12">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法律依据：</w:t>
      </w:r>
      <w:r>
        <w:rPr>
          <w:rFonts w:hint="eastAsia"/>
          <w:color w:val="auto"/>
          <w:highlight w:val="none"/>
          <w:u w:val="single"/>
          <w:lang w:bidi="ar"/>
        </w:rPr>
        <w:t xml:space="preserve">                                                        </w:t>
      </w:r>
      <w:r>
        <w:rPr>
          <w:rFonts w:hint="eastAsia"/>
          <w:bCs/>
          <w:color w:val="auto"/>
          <w:highlight w:val="none"/>
          <w:u w:val="single"/>
          <w:lang w:bidi="ar"/>
        </w:rPr>
        <w:t xml:space="preserve">               </w:t>
      </w:r>
    </w:p>
    <w:p w14:paraId="3C3FF7C8">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质疑事项2</w:t>
      </w:r>
    </w:p>
    <w:p w14:paraId="7D11901D">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w:t>
      </w:r>
    </w:p>
    <w:p w14:paraId="25D2AE49">
      <w:pPr>
        <w:pStyle w:val="25"/>
        <w:widowControl w:val="0"/>
        <w:spacing w:before="0" w:beforeAutospacing="0" w:after="0" w:afterAutospacing="0" w:line="360" w:lineRule="auto"/>
        <w:ind w:left="25" w:leftChars="12" w:firstLine="472" w:firstLineChars="196"/>
        <w:jc w:val="both"/>
        <w:outlineLvl w:val="2"/>
        <w:rPr>
          <w:rFonts w:hint="eastAsia"/>
          <w:b/>
          <w:color w:val="auto"/>
          <w:highlight w:val="none"/>
          <w:lang w:bidi="ar"/>
        </w:rPr>
      </w:pPr>
      <w:r>
        <w:rPr>
          <w:rFonts w:hint="eastAsia"/>
          <w:b/>
          <w:color w:val="auto"/>
          <w:highlight w:val="none"/>
          <w:lang w:bidi="ar"/>
        </w:rPr>
        <w:t>四、与质疑事项相关的质疑请求：</w:t>
      </w:r>
    </w:p>
    <w:p w14:paraId="1E74E2D7">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请求：</w:t>
      </w:r>
      <w:r>
        <w:rPr>
          <w:rFonts w:hint="eastAsia"/>
          <w:bCs/>
          <w:color w:val="auto"/>
          <w:highlight w:val="none"/>
          <w:u w:val="single"/>
          <w:lang w:bidi="ar"/>
        </w:rPr>
        <w:t xml:space="preserve">                                                                </w:t>
      </w:r>
    </w:p>
    <w:p w14:paraId="052F0E0D">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793AC82F">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签字（签章）：                                       公章：</w:t>
      </w:r>
    </w:p>
    <w:p w14:paraId="5F1EAD81">
      <w:pPr>
        <w:pStyle w:val="25"/>
        <w:widowControl w:val="0"/>
        <w:spacing w:before="0" w:beforeAutospacing="0" w:after="0" w:afterAutospacing="0" w:line="360" w:lineRule="auto"/>
        <w:ind w:left="25" w:leftChars="12" w:firstLine="352" w:firstLineChars="147"/>
        <w:jc w:val="both"/>
        <w:rPr>
          <w:rFonts w:hint="eastAsia"/>
          <w:color w:val="auto"/>
          <w:highlight w:val="none"/>
        </w:rPr>
      </w:pPr>
      <w:r>
        <w:rPr>
          <w:rFonts w:hint="eastAsia"/>
          <w:color w:val="auto"/>
          <w:highlight w:val="none"/>
          <w:lang w:bidi="ar"/>
        </w:rPr>
        <w:t xml:space="preserve"> </w:t>
      </w:r>
    </w:p>
    <w:p w14:paraId="36F32693">
      <w:pPr>
        <w:pStyle w:val="25"/>
        <w:widowControl w:val="0"/>
        <w:spacing w:before="0" w:beforeAutospacing="0" w:after="0" w:afterAutospacing="0" w:line="360" w:lineRule="auto"/>
        <w:ind w:left="25" w:leftChars="12" w:firstLine="472" w:firstLineChars="197"/>
        <w:jc w:val="both"/>
        <w:rPr>
          <w:rFonts w:hint="eastAsia"/>
          <w:color w:val="auto"/>
          <w:highlight w:val="none"/>
        </w:rPr>
      </w:pPr>
      <w:r>
        <w:rPr>
          <w:rFonts w:hint="eastAsia"/>
          <w:color w:val="auto"/>
          <w:highlight w:val="none"/>
          <w:lang w:bidi="ar"/>
        </w:rPr>
        <w:t>日期：</w:t>
      </w:r>
    </w:p>
    <w:p w14:paraId="291BA0C8">
      <w:pPr>
        <w:pStyle w:val="25"/>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 xml:space="preserve"> </w:t>
      </w:r>
    </w:p>
    <w:p w14:paraId="23F3E828">
      <w:pPr>
        <w:pStyle w:val="25"/>
        <w:widowControl w:val="0"/>
        <w:snapToGrid w:val="0"/>
        <w:spacing w:before="0" w:beforeAutospacing="0" w:after="0" w:afterAutospacing="0" w:line="360" w:lineRule="auto"/>
        <w:jc w:val="both"/>
        <w:rPr>
          <w:rFonts w:hint="eastAsia"/>
          <w:b/>
          <w:color w:val="auto"/>
          <w:highlight w:val="none"/>
          <w:lang w:bidi="ar"/>
        </w:rPr>
      </w:pPr>
    </w:p>
    <w:p w14:paraId="5F1E15A7">
      <w:pPr>
        <w:pStyle w:val="25"/>
        <w:widowControl w:val="0"/>
        <w:snapToGrid w:val="0"/>
        <w:spacing w:before="0" w:beforeAutospacing="0" w:after="0" w:afterAutospacing="0" w:line="360" w:lineRule="auto"/>
        <w:jc w:val="both"/>
        <w:rPr>
          <w:rFonts w:hint="eastAsia"/>
          <w:b/>
          <w:color w:val="auto"/>
          <w:highlight w:val="none"/>
        </w:rPr>
      </w:pPr>
      <w:r>
        <w:rPr>
          <w:rFonts w:hint="eastAsia"/>
          <w:b/>
          <w:color w:val="auto"/>
          <w:highlight w:val="none"/>
          <w:lang w:bidi="ar"/>
        </w:rPr>
        <w:t>说明：</w:t>
      </w:r>
    </w:p>
    <w:p w14:paraId="2031A0AE">
      <w:pPr>
        <w:pStyle w:val="25"/>
        <w:widowControl w:val="0"/>
        <w:spacing w:before="0" w:beforeAutospacing="0" w:after="0" w:afterAutospacing="0" w:line="360" w:lineRule="auto"/>
        <w:ind w:left="25" w:leftChars="12" w:firstLine="354" w:firstLineChars="147"/>
        <w:jc w:val="both"/>
        <w:rPr>
          <w:rFonts w:hint="eastAsia"/>
          <w:b/>
          <w:bCs/>
          <w:color w:val="auto"/>
          <w:highlight w:val="none"/>
        </w:rPr>
      </w:pPr>
      <w:r>
        <w:rPr>
          <w:rFonts w:hint="eastAsia"/>
          <w:b/>
          <w:color w:val="auto"/>
          <w:highlight w:val="none"/>
          <w:lang w:bidi="ar"/>
        </w:rPr>
        <w:t>1.供应商提出质疑时，应提交质疑函和必要的证明材料</w:t>
      </w:r>
      <w:r>
        <w:rPr>
          <w:rFonts w:hint="eastAsia"/>
          <w:b/>
          <w:bCs/>
          <w:color w:val="auto"/>
          <w:highlight w:val="none"/>
          <w:lang w:bidi="ar"/>
        </w:rPr>
        <w:t>。</w:t>
      </w:r>
    </w:p>
    <w:p w14:paraId="2AEDF41A">
      <w:pPr>
        <w:pStyle w:val="25"/>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5BA4877">
      <w:pPr>
        <w:pStyle w:val="25"/>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3.质疑函的质疑事项应具体、明确，并有必要的事实依据和法律依据。</w:t>
      </w:r>
    </w:p>
    <w:p w14:paraId="567AA77D">
      <w:pPr>
        <w:pStyle w:val="25"/>
        <w:widowControl w:val="0"/>
        <w:spacing w:before="0" w:beforeAutospacing="0" w:after="0" w:afterAutospacing="0" w:line="360" w:lineRule="auto"/>
        <w:ind w:left="25" w:leftChars="12" w:firstLine="354" w:firstLineChars="147"/>
        <w:jc w:val="both"/>
        <w:rPr>
          <w:rFonts w:hint="eastAsia"/>
          <w:b/>
          <w:color w:val="auto"/>
          <w:highlight w:val="none"/>
        </w:rPr>
      </w:pPr>
      <w:r>
        <w:rPr>
          <w:rFonts w:hint="eastAsia"/>
          <w:b/>
          <w:color w:val="auto"/>
          <w:highlight w:val="none"/>
          <w:lang w:bidi="ar"/>
        </w:rPr>
        <w:t>4.质疑函的质疑请求应与质疑事项相关。</w:t>
      </w:r>
    </w:p>
    <w:p w14:paraId="3A785155">
      <w:pPr>
        <w:pStyle w:val="25"/>
        <w:widowControl w:val="0"/>
        <w:spacing w:before="0" w:beforeAutospacing="0" w:after="0" w:afterAutospacing="0" w:line="360" w:lineRule="auto"/>
        <w:ind w:left="25" w:leftChars="12" w:firstLine="354" w:firstLineChars="147"/>
        <w:jc w:val="both"/>
        <w:rPr>
          <w:rFonts w:hint="eastAsia"/>
          <w:b/>
          <w:color w:val="auto"/>
          <w:sz w:val="20"/>
          <w:szCs w:val="20"/>
          <w:highlight w:val="none"/>
        </w:rPr>
      </w:pPr>
      <w:r>
        <w:rPr>
          <w:rFonts w:hint="eastAsia"/>
          <w:b/>
          <w:color w:val="auto"/>
          <w:highlight w:val="none"/>
          <w:lang w:bidi="ar"/>
        </w:rPr>
        <w:t>5.质疑供应商为法人或者其他组织的，质疑函应由法定代表人、主要负责人，或者其授权代表签字或者盖章，并加盖公章。</w:t>
      </w:r>
    </w:p>
    <w:p w14:paraId="34D50B70">
      <w:pPr>
        <w:pStyle w:val="4"/>
        <w:spacing w:line="600" w:lineRule="auto"/>
        <w:ind w:firstLine="843" w:firstLineChars="300"/>
        <w:rPr>
          <w:rFonts w:hint="eastAsia" w:ascii="宋体" w:hAnsi="宋体" w:cs="宋体"/>
          <w:color w:val="auto"/>
          <w:highlight w:val="none"/>
        </w:rPr>
      </w:pPr>
    </w:p>
    <w:p w14:paraId="6C248E31">
      <w:pPr>
        <w:rPr>
          <w:rFonts w:hint="eastAsia" w:ascii="宋体" w:hAnsi="宋体" w:cs="宋体"/>
          <w:color w:val="auto"/>
          <w:highlight w:val="none"/>
        </w:rPr>
      </w:pPr>
    </w:p>
    <w:p w14:paraId="516FEB15">
      <w:pPr>
        <w:pStyle w:val="2"/>
        <w:rPr>
          <w:rFonts w:hint="eastAsia" w:hAnsi="宋体" w:cs="宋体"/>
          <w:color w:val="auto"/>
          <w:highlight w:val="none"/>
        </w:rPr>
      </w:pPr>
    </w:p>
    <w:p w14:paraId="4D9A5314">
      <w:pPr>
        <w:pStyle w:val="2"/>
        <w:rPr>
          <w:rFonts w:hint="eastAsia" w:hAnsi="宋体" w:cs="宋体"/>
          <w:color w:val="auto"/>
          <w:highlight w:val="none"/>
        </w:rPr>
      </w:pPr>
    </w:p>
    <w:p w14:paraId="347206ED">
      <w:pPr>
        <w:pStyle w:val="2"/>
        <w:rPr>
          <w:rFonts w:hint="eastAsia" w:hAnsi="宋体" w:cs="宋体"/>
          <w:color w:val="auto"/>
          <w:highlight w:val="none"/>
        </w:rPr>
      </w:pPr>
    </w:p>
    <w:p w14:paraId="158071B7">
      <w:pPr>
        <w:pStyle w:val="2"/>
        <w:rPr>
          <w:rFonts w:hint="eastAsia" w:hAnsi="宋体" w:cs="宋体"/>
          <w:color w:val="auto"/>
          <w:highlight w:val="none"/>
        </w:rPr>
      </w:pPr>
    </w:p>
    <w:p w14:paraId="7B97351F">
      <w:pPr>
        <w:pStyle w:val="2"/>
        <w:rPr>
          <w:rFonts w:hint="eastAsia" w:hAnsi="宋体" w:cs="宋体"/>
          <w:color w:val="auto"/>
          <w:highlight w:val="none"/>
        </w:rPr>
      </w:pPr>
    </w:p>
    <w:p w14:paraId="72DDD694">
      <w:pPr>
        <w:pStyle w:val="2"/>
        <w:rPr>
          <w:rFonts w:hint="eastAsia" w:hAnsi="宋体" w:cs="宋体"/>
          <w:color w:val="auto"/>
          <w:highlight w:val="none"/>
        </w:rPr>
      </w:pPr>
    </w:p>
    <w:p w14:paraId="437DD065">
      <w:pPr>
        <w:pStyle w:val="2"/>
        <w:rPr>
          <w:rFonts w:hint="eastAsia" w:hAnsi="宋体" w:cs="宋体"/>
          <w:color w:val="auto"/>
          <w:highlight w:val="none"/>
        </w:rPr>
      </w:pPr>
    </w:p>
    <w:p w14:paraId="4CB08A6F">
      <w:pPr>
        <w:pStyle w:val="2"/>
        <w:rPr>
          <w:rFonts w:hint="eastAsia" w:hAnsi="宋体" w:cs="宋体"/>
          <w:color w:val="auto"/>
          <w:highlight w:val="none"/>
        </w:rPr>
      </w:pPr>
    </w:p>
    <w:p w14:paraId="2BBB92B3">
      <w:pPr>
        <w:pStyle w:val="2"/>
        <w:rPr>
          <w:rFonts w:hint="eastAsia" w:hAnsi="宋体" w:cs="宋体"/>
          <w:color w:val="auto"/>
          <w:highlight w:val="none"/>
        </w:rPr>
      </w:pPr>
    </w:p>
    <w:p w14:paraId="55F7B6B7">
      <w:pPr>
        <w:pStyle w:val="2"/>
        <w:rPr>
          <w:rFonts w:hint="eastAsia" w:hAnsi="宋体" w:cs="宋体"/>
          <w:color w:val="auto"/>
          <w:highlight w:val="none"/>
        </w:rPr>
      </w:pPr>
    </w:p>
    <w:p w14:paraId="1B297495">
      <w:pPr>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br w:type="page"/>
      </w:r>
      <w:r>
        <w:rPr>
          <w:rFonts w:hint="eastAsia" w:ascii="宋体" w:hAnsi="宋体" w:cs="宋体"/>
          <w:b/>
          <w:color w:val="auto"/>
          <w:sz w:val="32"/>
          <w:highlight w:val="none"/>
        </w:rPr>
        <w:t>投诉书（格式）</w:t>
      </w:r>
    </w:p>
    <w:p w14:paraId="206A3366">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一、投诉相关主体基本情况：</w:t>
      </w:r>
    </w:p>
    <w:p w14:paraId="25429D8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供应商：</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07A23D3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7612C2B6">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法定代表人/主要负责人：</w:t>
      </w:r>
      <w:r>
        <w:rPr>
          <w:rFonts w:hint="eastAsia" w:ascii="宋体" w:hAnsi="宋体" w:cs="宋体"/>
          <w:color w:val="auto"/>
          <w:kern w:val="0"/>
          <w:sz w:val="24"/>
          <w:highlight w:val="none"/>
          <w:u w:val="single"/>
        </w:rPr>
        <w:t xml:space="preserve">                                                         </w:t>
      </w:r>
    </w:p>
    <w:p w14:paraId="48C4C39E">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3F9155D9">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授权代表：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45972A51">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33F4003">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C87A41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被投诉人1：</w:t>
      </w:r>
    </w:p>
    <w:p w14:paraId="3AAE902C">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p>
    <w:p w14:paraId="55DDB9F4">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3633BAE8">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p>
    <w:p w14:paraId="79961405">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被投诉人2：</w:t>
      </w:r>
    </w:p>
    <w:p w14:paraId="0D8AF76F">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27431B4B">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相关供应商：</w:t>
      </w:r>
      <w:r>
        <w:rPr>
          <w:rFonts w:hint="eastAsia" w:ascii="宋体" w:hAnsi="宋体" w:cs="宋体"/>
          <w:color w:val="auto"/>
          <w:kern w:val="0"/>
          <w:sz w:val="24"/>
          <w:highlight w:val="none"/>
          <w:u w:val="single"/>
        </w:rPr>
        <w:t xml:space="preserve">                                                                       </w:t>
      </w:r>
    </w:p>
    <w:p w14:paraId="547AC80A">
      <w:pPr>
        <w:snapToGrid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邮编：</w:t>
      </w:r>
      <w:r>
        <w:rPr>
          <w:rFonts w:hint="eastAsia" w:ascii="宋体" w:hAnsi="宋体" w:cs="宋体"/>
          <w:color w:val="auto"/>
          <w:kern w:val="0"/>
          <w:sz w:val="24"/>
          <w:highlight w:val="none"/>
          <w:u w:val="single"/>
        </w:rPr>
        <w:t xml:space="preserve">                         </w:t>
      </w:r>
    </w:p>
    <w:p w14:paraId="0558FF87">
      <w:pPr>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联系电话：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24F93FE">
      <w:pPr>
        <w:snapToGrid w:val="0"/>
        <w:spacing w:line="360" w:lineRule="auto"/>
        <w:ind w:firstLine="482" w:firstLineChars="200"/>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二、投诉项目基本情况：</w:t>
      </w:r>
    </w:p>
    <w:p w14:paraId="01ED48B9">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采购项目的名称：</w:t>
      </w:r>
      <w:r>
        <w:rPr>
          <w:rFonts w:hint="eastAsia" w:ascii="宋体" w:hAnsi="宋体" w:cs="宋体"/>
          <w:color w:val="auto"/>
          <w:kern w:val="0"/>
          <w:sz w:val="24"/>
          <w:highlight w:val="none"/>
          <w:u w:val="single"/>
        </w:rPr>
        <w:t xml:space="preserve">                                                                   </w:t>
      </w:r>
    </w:p>
    <w:p w14:paraId="070BA5B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采购项目的编号：</w:t>
      </w:r>
      <w:r>
        <w:rPr>
          <w:rFonts w:hint="eastAsia" w:ascii="宋体" w:hAnsi="宋体" w:cs="宋体"/>
          <w:color w:val="auto"/>
          <w:kern w:val="0"/>
          <w:sz w:val="24"/>
          <w:highlight w:val="none"/>
          <w:u w:val="single"/>
        </w:rPr>
        <w:t xml:space="preserve">                                          </w:t>
      </w:r>
    </w:p>
    <w:p w14:paraId="64E051E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color w:val="auto"/>
          <w:kern w:val="0"/>
          <w:sz w:val="24"/>
          <w:highlight w:val="none"/>
          <w:u w:val="single"/>
        </w:rPr>
        <w:t xml:space="preserve">                                                                        </w:t>
      </w:r>
    </w:p>
    <w:p w14:paraId="0CB27974">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color w:val="auto"/>
          <w:kern w:val="0"/>
          <w:sz w:val="24"/>
          <w:highlight w:val="none"/>
          <w:u w:val="single"/>
        </w:rPr>
        <w:t xml:space="preserve">                                                                      </w:t>
      </w:r>
    </w:p>
    <w:p w14:paraId="35EA155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招标文件公告：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70412E93">
      <w:pPr>
        <w:spacing w:line="360" w:lineRule="auto"/>
        <w:ind w:left="25" w:leftChars="12" w:firstLine="472" w:firstLineChars="197"/>
        <w:rPr>
          <w:rFonts w:hint="eastAsia" w:ascii="宋体" w:hAnsi="宋体" w:cs="宋体"/>
          <w:b/>
          <w:color w:val="auto"/>
          <w:kern w:val="0"/>
          <w:sz w:val="24"/>
          <w:highlight w:val="none"/>
        </w:rPr>
      </w:pPr>
      <w:r>
        <w:rPr>
          <w:rFonts w:hint="eastAsia" w:ascii="宋体" w:hAnsi="宋体" w:cs="宋体"/>
          <w:color w:val="auto"/>
          <w:kern w:val="0"/>
          <w:sz w:val="24"/>
          <w:highlight w:val="none"/>
        </w:rPr>
        <w:t>采购结果公告：</w:t>
      </w:r>
      <w:r>
        <w:rPr>
          <w:rFonts w:hint="eastAsia" w:ascii="宋体" w:hAnsi="宋体" w:cs="宋体"/>
          <w:color w:val="auto"/>
          <w:kern w:val="0"/>
          <w:sz w:val="24"/>
          <w:highlight w:val="none"/>
          <w:u w:val="single"/>
        </w:rPr>
        <w:t>是/否</w:t>
      </w:r>
      <w:r>
        <w:rPr>
          <w:rFonts w:hint="eastAsia" w:ascii="宋体" w:hAnsi="宋体" w:cs="宋体"/>
          <w:color w:val="auto"/>
          <w:kern w:val="0"/>
          <w:sz w:val="24"/>
          <w:highlight w:val="none"/>
        </w:rPr>
        <w:t>公告期限：</w:t>
      </w:r>
      <w:r>
        <w:rPr>
          <w:rFonts w:hint="eastAsia" w:ascii="宋体" w:hAnsi="宋体" w:cs="宋体"/>
          <w:color w:val="auto"/>
          <w:kern w:val="0"/>
          <w:sz w:val="24"/>
          <w:highlight w:val="none"/>
          <w:u w:val="single"/>
        </w:rPr>
        <w:t xml:space="preserve">                                                       </w:t>
      </w:r>
    </w:p>
    <w:p w14:paraId="0FA4AF4C">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3BE5ADA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7544D974">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6D5730E6">
      <w:pPr>
        <w:spacing w:line="360" w:lineRule="auto"/>
        <w:ind w:firstLine="241"/>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4FBC7D6">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u w:val="single"/>
        </w:rPr>
        <w:t>采购人/代理机构</w:t>
      </w:r>
      <w:r>
        <w:rPr>
          <w:rFonts w:hint="eastAsia" w:ascii="宋体" w:hAnsi="宋体" w:cs="宋体"/>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日，就质疑事项作出了答复/没有在法定期限内作出答复。                                                                                             </w:t>
      </w:r>
    </w:p>
    <w:p w14:paraId="0A2E4652">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2C4C68A5">
      <w:pPr>
        <w:spacing w:line="360" w:lineRule="auto"/>
        <w:ind w:left="25" w:leftChars="12" w:firstLine="472" w:firstLineChars="19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color w:val="auto"/>
          <w:kern w:val="0"/>
          <w:sz w:val="24"/>
          <w:highlight w:val="none"/>
          <w:u w:val="single"/>
        </w:rPr>
        <w:t xml:space="preserve">                                                                           </w:t>
      </w:r>
    </w:p>
    <w:p w14:paraId="0A5745E8">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事实依据： </w:t>
      </w:r>
      <w:r>
        <w:rPr>
          <w:rFonts w:hint="eastAsia" w:ascii="宋体" w:hAnsi="宋体" w:cs="宋体"/>
          <w:color w:val="auto"/>
          <w:kern w:val="0"/>
          <w:sz w:val="24"/>
          <w:highlight w:val="none"/>
          <w:u w:val="single"/>
        </w:rPr>
        <w:t xml:space="preserve">                                                                                      </w:t>
      </w:r>
    </w:p>
    <w:p w14:paraId="51217F1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u w:val="single"/>
        </w:rPr>
        <w:t xml:space="preserve">                                                                                        </w:t>
      </w:r>
    </w:p>
    <w:p w14:paraId="0D157CD6">
      <w:pPr>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法律依据： </w:t>
      </w:r>
      <w:r>
        <w:rPr>
          <w:rFonts w:hint="eastAsia" w:ascii="宋体" w:hAnsi="宋体" w:cs="宋体"/>
          <w:color w:val="auto"/>
          <w:kern w:val="0"/>
          <w:sz w:val="24"/>
          <w:highlight w:val="none"/>
          <w:u w:val="single"/>
        </w:rPr>
        <w:t xml:space="preserve">                                                                                      </w:t>
      </w:r>
    </w:p>
    <w:p w14:paraId="0C62CB4D">
      <w:pPr>
        <w:spacing w:line="360" w:lineRule="auto"/>
        <w:ind w:left="25" w:leftChars="12" w:firstLine="352" w:firstLineChars="147"/>
        <w:rPr>
          <w:rFonts w:hint="eastAsia" w:ascii="宋体" w:hAnsi="宋体" w:cs="宋体"/>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u w:val="single"/>
        </w:rPr>
        <w:t xml:space="preserve">                                                                                        </w:t>
      </w:r>
    </w:p>
    <w:p w14:paraId="451E0D3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投诉事项2     </w:t>
      </w:r>
    </w:p>
    <w:p w14:paraId="2CEE7C7B">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542A51AD">
      <w:pPr>
        <w:spacing w:line="360" w:lineRule="auto"/>
        <w:ind w:left="25" w:leftChars="12" w:firstLine="472" w:firstLineChars="196"/>
        <w:outlineLvl w:val="2"/>
        <w:rPr>
          <w:rFonts w:hint="eastAsia"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768C2F43">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color w:val="auto"/>
          <w:kern w:val="0"/>
          <w:sz w:val="24"/>
          <w:highlight w:val="none"/>
          <w:u w:val="single"/>
        </w:rPr>
        <w:t xml:space="preserve">                                                                                 </w:t>
      </w:r>
    </w:p>
    <w:p w14:paraId="7AFE203C">
      <w:pPr>
        <w:spacing w:line="360" w:lineRule="auto"/>
        <w:ind w:left="25" w:leftChars="12" w:firstLine="352" w:firstLineChars="147"/>
        <w:rPr>
          <w:rFonts w:hint="eastAsia" w:ascii="宋体" w:hAnsi="宋体" w:cs="宋体"/>
          <w:color w:val="auto"/>
          <w:kern w:val="0"/>
          <w:sz w:val="24"/>
          <w:highlight w:val="none"/>
        </w:rPr>
      </w:pPr>
    </w:p>
    <w:p w14:paraId="0227AA97">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签字（签章）：                                       公章：</w:t>
      </w:r>
    </w:p>
    <w:p w14:paraId="46C82205">
      <w:pPr>
        <w:spacing w:line="360" w:lineRule="auto"/>
        <w:rPr>
          <w:rFonts w:hint="eastAsia" w:ascii="宋体" w:hAnsi="宋体" w:cs="宋体"/>
          <w:color w:val="auto"/>
          <w:kern w:val="0"/>
          <w:sz w:val="24"/>
          <w:highlight w:val="none"/>
        </w:rPr>
      </w:pPr>
    </w:p>
    <w:p w14:paraId="06CDF862">
      <w:pPr>
        <w:spacing w:line="360" w:lineRule="auto"/>
        <w:ind w:left="25" w:leftChars="12" w:firstLine="472" w:firstLineChars="197"/>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日期：                                                                               </w:t>
      </w:r>
    </w:p>
    <w:p w14:paraId="26BE748F">
      <w:pPr>
        <w:snapToGrid w:val="0"/>
        <w:spacing w:line="360" w:lineRule="auto"/>
        <w:rPr>
          <w:rFonts w:hint="eastAsia" w:ascii="宋体" w:hAnsi="宋体" w:cs="宋体"/>
          <w:b/>
          <w:color w:val="auto"/>
          <w:kern w:val="0"/>
          <w:sz w:val="24"/>
          <w:highlight w:val="none"/>
        </w:rPr>
      </w:pPr>
    </w:p>
    <w:p w14:paraId="738A6B30">
      <w:pPr>
        <w:snapToGrid w:val="0"/>
        <w:spacing w:line="360" w:lineRule="auto"/>
        <w:rPr>
          <w:rFonts w:hint="eastAsia" w:ascii="宋体" w:hAnsi="宋体" w:cs="宋体"/>
          <w:b/>
          <w:color w:val="auto"/>
          <w:kern w:val="0"/>
          <w:sz w:val="24"/>
          <w:highlight w:val="none"/>
        </w:rPr>
      </w:pPr>
      <w:r>
        <w:rPr>
          <w:rFonts w:hint="eastAsia" w:ascii="宋体" w:hAnsi="宋体" w:cs="宋体"/>
          <w:b/>
          <w:color w:val="auto"/>
          <w:kern w:val="0"/>
          <w:sz w:val="24"/>
          <w:highlight w:val="none"/>
        </w:rPr>
        <w:t>说明：</w:t>
      </w:r>
    </w:p>
    <w:p w14:paraId="203EF717">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p>
    <w:p w14:paraId="2A9A0180">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3864A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1B7AAD72">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4C5CA03E">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187C3C59">
      <w:pPr>
        <w:spacing w:line="360" w:lineRule="auto"/>
        <w:ind w:left="25" w:leftChars="12" w:firstLine="354" w:firstLineChars="147"/>
        <w:rPr>
          <w:rFonts w:hint="eastAsia" w:ascii="宋体" w:hAnsi="宋体" w:cs="宋体"/>
          <w:b/>
          <w:color w:val="auto"/>
          <w:kern w:val="0"/>
          <w:sz w:val="24"/>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7123E34B">
      <w:pPr>
        <w:pStyle w:val="3"/>
        <w:spacing w:line="360" w:lineRule="auto"/>
        <w:jc w:val="both"/>
        <w:rPr>
          <w:rFonts w:hint="eastAsia" w:ascii="宋体" w:hAnsi="宋体" w:cs="宋体"/>
          <w:color w:val="auto"/>
          <w:szCs w:val="21"/>
          <w:highlight w:val="none"/>
        </w:rPr>
        <w:sectPr>
          <w:pgSz w:w="11906" w:h="16838"/>
          <w:pgMar w:top="1247" w:right="1417" w:bottom="1247" w:left="1417" w:header="851" w:footer="992" w:gutter="0"/>
          <w:cols w:space="0" w:num="1"/>
          <w:docGrid w:type="lines" w:linePitch="312" w:charSpace="0"/>
        </w:sectPr>
      </w:pPr>
    </w:p>
    <w:p w14:paraId="08D3A099">
      <w:pPr>
        <w:pStyle w:val="3"/>
        <w:spacing w:line="360" w:lineRule="auto"/>
        <w:jc w:val="both"/>
        <w:rPr>
          <w:rFonts w:hint="eastAsia" w:ascii="宋体" w:hAnsi="宋体" w:eastAsia="宋体" w:cs="宋体"/>
          <w:b/>
          <w:bCs/>
          <w:color w:val="auto"/>
          <w:highlight w:val="none"/>
        </w:rPr>
      </w:pPr>
    </w:p>
    <w:p w14:paraId="39C4B3DF">
      <w:pPr>
        <w:pStyle w:val="4"/>
        <w:numPr>
          <w:ilvl w:val="0"/>
          <w:numId w:val="2"/>
        </w:numPr>
        <w:spacing w:line="560" w:lineRule="exact"/>
        <w:jc w:val="center"/>
        <w:rPr>
          <w:rFonts w:hint="eastAsia" w:ascii="宋体" w:hAnsi="宋体" w:cs="宋体"/>
          <w:color w:val="auto"/>
          <w:kern w:val="0"/>
          <w:sz w:val="36"/>
          <w:szCs w:val="36"/>
          <w:highlight w:val="none"/>
        </w:rPr>
      </w:pPr>
      <w:r>
        <w:rPr>
          <w:rFonts w:hint="eastAsia" w:ascii="宋体" w:hAnsi="宋体" w:cs="宋体"/>
          <w:color w:val="auto"/>
          <w:kern w:val="0"/>
          <w:sz w:val="36"/>
          <w:szCs w:val="36"/>
          <w:highlight w:val="none"/>
        </w:rPr>
        <w:t xml:space="preserve">   </w:t>
      </w:r>
      <w:bookmarkStart w:id="76" w:name="_Toc3612"/>
      <w:r>
        <w:rPr>
          <w:rFonts w:hint="eastAsia" w:ascii="宋体" w:hAnsi="宋体" w:cs="宋体"/>
          <w:color w:val="auto"/>
          <w:kern w:val="0"/>
          <w:sz w:val="36"/>
          <w:szCs w:val="36"/>
          <w:highlight w:val="none"/>
        </w:rPr>
        <w:t>合同主要条款（参考格式</w:t>
      </w:r>
      <w:bookmarkEnd w:id="76"/>
      <w:r>
        <w:rPr>
          <w:rFonts w:hint="eastAsia" w:ascii="宋体" w:hAnsi="宋体" w:cs="宋体"/>
          <w:color w:val="auto"/>
          <w:kern w:val="0"/>
          <w:sz w:val="36"/>
          <w:szCs w:val="36"/>
          <w:highlight w:val="none"/>
        </w:rPr>
        <w:t>）</w:t>
      </w:r>
    </w:p>
    <w:p w14:paraId="4A3544E2">
      <w:pPr>
        <w:pStyle w:val="4"/>
        <w:spacing w:line="560" w:lineRule="exact"/>
        <w:jc w:val="center"/>
        <w:rPr>
          <w:rFonts w:hint="eastAsia" w:ascii="宋体" w:hAnsi="宋体" w:cs="宋体"/>
          <w:color w:val="auto"/>
          <w:kern w:val="0"/>
          <w:sz w:val="32"/>
          <w:szCs w:val="32"/>
          <w:highlight w:val="none"/>
        </w:rPr>
      </w:pPr>
      <w:bookmarkStart w:id="77" w:name="_Toc31567"/>
      <w:r>
        <w:rPr>
          <w:rFonts w:hint="eastAsia" w:ascii="宋体" w:hAnsi="宋体" w:cs="宋体"/>
          <w:color w:val="auto"/>
          <w:kern w:val="0"/>
          <w:sz w:val="32"/>
          <w:szCs w:val="32"/>
          <w:highlight w:val="none"/>
        </w:rPr>
        <w:t>（仅供参考，由双方按实际情况调整</w:t>
      </w:r>
      <w:bookmarkEnd w:id="77"/>
      <w:r>
        <w:rPr>
          <w:rFonts w:hint="eastAsia" w:ascii="宋体" w:hAnsi="宋体" w:cs="宋体"/>
          <w:color w:val="auto"/>
          <w:kern w:val="0"/>
          <w:sz w:val="32"/>
          <w:szCs w:val="32"/>
          <w:highlight w:val="none"/>
        </w:rPr>
        <w:t>）</w:t>
      </w:r>
    </w:p>
    <w:p w14:paraId="78A067E4">
      <w:pPr>
        <w:jc w:val="center"/>
        <w:rPr>
          <w:rFonts w:hint="eastAsia" w:ascii="宋体" w:hAnsi="宋体" w:cs="宋体"/>
          <w:b/>
          <w:bCs/>
          <w:color w:val="auto"/>
          <w:sz w:val="72"/>
          <w:szCs w:val="144"/>
          <w:highlight w:val="none"/>
        </w:rPr>
      </w:pPr>
    </w:p>
    <w:p w14:paraId="3CBE9535">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56"/>
          <w:szCs w:val="96"/>
          <w:highlight w:val="none"/>
        </w:rPr>
        <w:t xml:space="preserve">                      副本</w:t>
      </w:r>
    </w:p>
    <w:p w14:paraId="766EE3FF">
      <w:pPr>
        <w:jc w:val="center"/>
        <w:rPr>
          <w:rFonts w:hint="eastAsia" w:ascii="宋体" w:hAnsi="宋体" w:cs="宋体"/>
          <w:b/>
          <w:bCs/>
          <w:color w:val="auto"/>
          <w:spacing w:val="20"/>
          <w:sz w:val="56"/>
          <w:szCs w:val="96"/>
          <w:highlight w:val="none"/>
        </w:rPr>
      </w:pPr>
      <w:r>
        <w:rPr>
          <w:rFonts w:hint="eastAsia" w:ascii="宋体" w:hAnsi="宋体" w:cs="宋体"/>
          <w:b/>
          <w:bCs/>
          <w:color w:val="auto"/>
          <w:spacing w:val="20"/>
          <w:sz w:val="48"/>
          <w:szCs w:val="56"/>
          <w:highlight w:val="none"/>
        </w:rPr>
        <w:t xml:space="preserve">                         </w:t>
      </w:r>
      <w:r>
        <w:rPr>
          <w:rFonts w:hint="eastAsia" w:ascii="宋体" w:hAnsi="宋体" w:cs="宋体"/>
          <w:b/>
          <w:bCs/>
          <w:color w:val="auto"/>
          <w:spacing w:val="20"/>
          <w:sz w:val="56"/>
          <w:szCs w:val="96"/>
          <w:highlight w:val="none"/>
        </w:rPr>
        <w:t xml:space="preserve"> </w:t>
      </w:r>
    </w:p>
    <w:p w14:paraId="172DB45C">
      <w:pPr>
        <w:rPr>
          <w:rFonts w:hint="eastAsia" w:ascii="宋体" w:hAnsi="宋体" w:cs="宋体"/>
          <w:b/>
          <w:bCs/>
          <w:color w:val="auto"/>
          <w:spacing w:val="20"/>
          <w:sz w:val="48"/>
          <w:szCs w:val="56"/>
          <w:highlight w:val="none"/>
        </w:rPr>
      </w:pPr>
    </w:p>
    <w:p w14:paraId="4F6CF7AD">
      <w:pPr>
        <w:jc w:val="center"/>
        <w:rPr>
          <w:rFonts w:hint="eastAsia" w:ascii="宋体" w:hAnsi="宋体" w:cs="宋体"/>
          <w:b/>
          <w:bCs/>
          <w:color w:val="auto"/>
          <w:spacing w:val="20"/>
          <w:sz w:val="96"/>
          <w:szCs w:val="160"/>
          <w:highlight w:val="none"/>
        </w:rPr>
      </w:pPr>
      <w:r>
        <w:rPr>
          <w:rFonts w:hint="eastAsia" w:ascii="宋体" w:hAnsi="宋体" w:cs="宋体"/>
          <w:b/>
          <w:bCs/>
          <w:color w:val="auto"/>
          <w:spacing w:val="20"/>
          <w:sz w:val="72"/>
          <w:szCs w:val="144"/>
          <w:highlight w:val="none"/>
        </w:rPr>
        <w:t>施 工 承 包 合 同 书</w:t>
      </w:r>
    </w:p>
    <w:p w14:paraId="226681EA">
      <w:pPr>
        <w:jc w:val="center"/>
        <w:rPr>
          <w:rFonts w:hint="eastAsia" w:ascii="宋体" w:hAnsi="宋体" w:cs="宋体"/>
          <w:color w:val="auto"/>
          <w:spacing w:val="20"/>
          <w:sz w:val="32"/>
          <w:szCs w:val="40"/>
          <w:highlight w:val="none"/>
        </w:rPr>
      </w:pPr>
    </w:p>
    <w:p w14:paraId="5192AE38">
      <w:pPr>
        <w:jc w:val="center"/>
        <w:rPr>
          <w:rFonts w:hint="eastAsia" w:ascii="宋体" w:hAnsi="宋体" w:cs="宋体"/>
          <w:color w:val="auto"/>
          <w:spacing w:val="20"/>
          <w:sz w:val="32"/>
          <w:szCs w:val="40"/>
          <w:highlight w:val="none"/>
        </w:rPr>
      </w:pPr>
    </w:p>
    <w:p w14:paraId="03328DBD">
      <w:pPr>
        <w:jc w:val="center"/>
        <w:rPr>
          <w:rFonts w:hint="eastAsia" w:ascii="宋体" w:hAnsi="宋体" w:cs="宋体"/>
          <w:color w:val="auto"/>
          <w:spacing w:val="20"/>
          <w:sz w:val="32"/>
          <w:szCs w:val="40"/>
          <w:highlight w:val="none"/>
        </w:rPr>
      </w:pPr>
    </w:p>
    <w:p w14:paraId="457434A5">
      <w:pPr>
        <w:jc w:val="center"/>
        <w:rPr>
          <w:rFonts w:hint="eastAsia" w:ascii="宋体" w:hAnsi="宋体" w:cs="宋体"/>
          <w:color w:val="auto"/>
          <w:spacing w:val="20"/>
          <w:sz w:val="32"/>
          <w:szCs w:val="40"/>
          <w:highlight w:val="none"/>
        </w:rPr>
      </w:pPr>
    </w:p>
    <w:p w14:paraId="1614857F">
      <w:pPr>
        <w:rPr>
          <w:rFonts w:hint="eastAsia" w:ascii="宋体" w:hAnsi="宋体" w:cs="宋体"/>
          <w:b/>
          <w:bCs/>
          <w:color w:val="auto"/>
          <w:spacing w:val="20"/>
          <w:sz w:val="48"/>
          <w:szCs w:val="56"/>
          <w:highlight w:val="none"/>
        </w:rPr>
      </w:pPr>
      <w:r>
        <w:rPr>
          <w:rFonts w:hint="eastAsia" w:ascii="宋体" w:hAnsi="宋体" w:cs="宋体"/>
          <w:color w:val="auto"/>
          <w:spacing w:val="20"/>
          <w:sz w:val="28"/>
          <w:szCs w:val="28"/>
          <w:highlight w:val="none"/>
        </w:rPr>
        <w:t>工程名称：</w:t>
      </w:r>
      <w:r>
        <w:rPr>
          <w:rFonts w:hint="eastAsia" w:ascii="宋体" w:hAnsi="宋体" w:cs="宋体"/>
          <w:color w:val="auto"/>
          <w:sz w:val="28"/>
          <w:szCs w:val="28"/>
          <w:highlight w:val="none"/>
          <w:u w:val="single"/>
        </w:rPr>
        <w:t xml:space="preserve">                       </w:t>
      </w:r>
    </w:p>
    <w:p w14:paraId="2C5224AA">
      <w:pPr>
        <w:rPr>
          <w:rFonts w:hint="eastAsia" w:ascii="宋体" w:hAnsi="宋体" w:cs="宋体"/>
          <w:color w:val="auto"/>
          <w:spacing w:val="20"/>
          <w:sz w:val="28"/>
          <w:szCs w:val="36"/>
          <w:highlight w:val="none"/>
        </w:rPr>
      </w:pPr>
    </w:p>
    <w:p w14:paraId="66556B3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发包人（甲方）：</w:t>
      </w:r>
      <w:r>
        <w:rPr>
          <w:rFonts w:hint="eastAsia" w:ascii="宋体" w:hAnsi="宋体" w:cs="宋体"/>
          <w:color w:val="auto"/>
          <w:spacing w:val="20"/>
          <w:sz w:val="28"/>
          <w:szCs w:val="36"/>
          <w:highlight w:val="none"/>
          <w:u w:val="single"/>
        </w:rPr>
        <w:t xml:space="preserve"> </w:t>
      </w:r>
      <w:r>
        <w:rPr>
          <w:rFonts w:hint="eastAsia" w:ascii="宋体" w:hAnsi="宋体" w:cs="宋体"/>
          <w:color w:val="auto"/>
          <w:spacing w:val="20"/>
          <w:sz w:val="28"/>
          <w:szCs w:val="36"/>
          <w:highlight w:val="none"/>
          <w:u w:val="single"/>
          <w:lang w:eastAsia="zh-CN"/>
        </w:rPr>
        <w:t>浦北县龙门镇人民政府</w:t>
      </w:r>
      <w:r>
        <w:rPr>
          <w:rFonts w:hint="eastAsia" w:ascii="宋体" w:hAnsi="宋体" w:cs="宋体"/>
          <w:color w:val="auto"/>
          <w:spacing w:val="20"/>
          <w:sz w:val="28"/>
          <w:szCs w:val="36"/>
          <w:highlight w:val="none"/>
          <w:u w:val="single"/>
        </w:rPr>
        <w:t xml:space="preserve"> </w:t>
      </w:r>
    </w:p>
    <w:p w14:paraId="75FE240B">
      <w:pPr>
        <w:rPr>
          <w:rFonts w:hint="eastAsia" w:ascii="宋体" w:hAnsi="宋体" w:cs="宋体"/>
          <w:color w:val="auto"/>
          <w:spacing w:val="20"/>
          <w:sz w:val="28"/>
          <w:szCs w:val="36"/>
          <w:highlight w:val="none"/>
        </w:rPr>
      </w:pPr>
    </w:p>
    <w:p w14:paraId="31B9B3C1">
      <w:pPr>
        <w:rPr>
          <w:rFonts w:hint="eastAsia" w:ascii="宋体" w:hAnsi="宋体" w:cs="宋体"/>
          <w:color w:val="auto"/>
          <w:spacing w:val="20"/>
          <w:sz w:val="28"/>
          <w:szCs w:val="36"/>
          <w:highlight w:val="none"/>
          <w:u w:val="single"/>
        </w:rPr>
      </w:pPr>
      <w:r>
        <w:rPr>
          <w:rFonts w:hint="eastAsia" w:ascii="宋体" w:hAnsi="宋体" w:cs="宋体"/>
          <w:color w:val="auto"/>
          <w:spacing w:val="20"/>
          <w:sz w:val="28"/>
          <w:szCs w:val="36"/>
          <w:highlight w:val="none"/>
        </w:rPr>
        <w:t>承包人（乙方）：</w:t>
      </w:r>
      <w:r>
        <w:rPr>
          <w:rFonts w:hint="eastAsia" w:ascii="宋体" w:hAnsi="宋体" w:cs="宋体"/>
          <w:color w:val="auto"/>
          <w:spacing w:val="20"/>
          <w:sz w:val="28"/>
          <w:szCs w:val="36"/>
          <w:highlight w:val="none"/>
          <w:u w:val="single"/>
        </w:rPr>
        <w:t xml:space="preserve">                         </w:t>
      </w:r>
    </w:p>
    <w:p w14:paraId="3C31D366">
      <w:pPr>
        <w:rPr>
          <w:rFonts w:hint="eastAsia" w:ascii="宋体" w:hAnsi="宋体" w:cs="宋体"/>
          <w:color w:val="auto"/>
          <w:spacing w:val="20"/>
          <w:sz w:val="28"/>
          <w:szCs w:val="36"/>
          <w:highlight w:val="none"/>
        </w:rPr>
      </w:pPr>
    </w:p>
    <w:p w14:paraId="5E87B330">
      <w:pPr>
        <w:rPr>
          <w:rFonts w:hint="eastAsia" w:ascii="宋体" w:hAnsi="宋体" w:cs="宋体"/>
          <w:color w:val="auto"/>
          <w:spacing w:val="20"/>
          <w:sz w:val="32"/>
          <w:szCs w:val="40"/>
          <w:highlight w:val="none"/>
        </w:rPr>
      </w:pPr>
      <w:r>
        <w:rPr>
          <w:rFonts w:hint="eastAsia" w:ascii="宋体" w:hAnsi="宋体" w:cs="宋体"/>
          <w:color w:val="auto"/>
          <w:spacing w:val="20"/>
          <w:sz w:val="28"/>
          <w:szCs w:val="28"/>
          <w:highlight w:val="none"/>
        </w:rPr>
        <w:t>日      期：</w:t>
      </w:r>
      <w:r>
        <w:rPr>
          <w:rFonts w:hint="eastAsia" w:ascii="宋体" w:hAnsi="宋体" w:cs="宋体"/>
          <w:color w:val="auto"/>
          <w:spacing w:val="20"/>
          <w:sz w:val="28"/>
          <w:szCs w:val="28"/>
          <w:highlight w:val="none"/>
          <w:u w:val="single"/>
        </w:rPr>
        <w:t xml:space="preserve">     年   月   日</w:t>
      </w:r>
    </w:p>
    <w:p w14:paraId="16F22F0D">
      <w:pPr>
        <w:pStyle w:val="4"/>
        <w:rPr>
          <w:rFonts w:hint="eastAsia" w:ascii="宋体" w:hAnsi="宋体" w:cs="宋体"/>
          <w:color w:val="auto"/>
          <w:spacing w:val="20"/>
          <w:sz w:val="40"/>
          <w:szCs w:val="52"/>
          <w:highlight w:val="none"/>
        </w:rPr>
        <w:sectPr>
          <w:pgSz w:w="11906" w:h="16838"/>
          <w:pgMar w:top="1190" w:right="1453" w:bottom="1368" w:left="1633" w:header="851" w:footer="992" w:gutter="0"/>
          <w:cols w:space="0" w:num="1"/>
          <w:docGrid w:type="lines" w:linePitch="312" w:charSpace="0"/>
        </w:sectPr>
      </w:pPr>
      <w:bookmarkStart w:id="78" w:name="_Toc296890982"/>
      <w:bookmarkStart w:id="79" w:name="_Toc26265"/>
      <w:bookmarkStart w:id="80" w:name="_Toc389065255"/>
      <w:bookmarkStart w:id="81" w:name="_Toc12680"/>
      <w:bookmarkStart w:id="82" w:name="_Toc373478199"/>
      <w:bookmarkStart w:id="83" w:name="_Toc373227552"/>
      <w:bookmarkStart w:id="84" w:name="_Toc351203480"/>
      <w:bookmarkStart w:id="85" w:name="_Toc296503025"/>
    </w:p>
    <w:p w14:paraId="6403CDCD">
      <w:pPr>
        <w:pStyle w:val="4"/>
        <w:numPr>
          <w:ilvl w:val="0"/>
          <w:numId w:val="3"/>
        </w:numPr>
        <w:jc w:val="center"/>
        <w:rPr>
          <w:color w:val="auto"/>
          <w:highlight w:val="none"/>
        </w:rPr>
      </w:pPr>
      <w:r>
        <w:rPr>
          <w:rFonts w:hint="eastAsia" w:ascii="宋体" w:hAnsi="宋体" w:cs="宋体"/>
          <w:color w:val="auto"/>
          <w:spacing w:val="20"/>
          <w:sz w:val="36"/>
          <w:szCs w:val="48"/>
          <w:highlight w:val="none"/>
        </w:rPr>
        <w:t>合同协议书</w:t>
      </w:r>
      <w:bookmarkEnd w:id="78"/>
      <w:bookmarkEnd w:id="79"/>
      <w:bookmarkEnd w:id="80"/>
      <w:bookmarkEnd w:id="81"/>
      <w:bookmarkEnd w:id="82"/>
      <w:bookmarkEnd w:id="83"/>
      <w:bookmarkEnd w:id="84"/>
      <w:bookmarkEnd w:id="85"/>
    </w:p>
    <w:p w14:paraId="00FB27A4">
      <w:pPr>
        <w:rPr>
          <w:color w:val="auto"/>
          <w:highlight w:val="none"/>
        </w:rPr>
      </w:pPr>
    </w:p>
    <w:p w14:paraId="3E2C5CD9">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浦北县龙门镇人民政府</w:t>
      </w:r>
      <w:r>
        <w:rPr>
          <w:rFonts w:hint="eastAsia" w:ascii="宋体" w:hAnsi="宋体" w:cs="宋体"/>
          <w:color w:val="auto"/>
          <w:spacing w:val="20"/>
          <w:sz w:val="24"/>
          <w:highlight w:val="none"/>
          <w:u w:val="single"/>
        </w:rPr>
        <w:t xml:space="preserve">   </w:t>
      </w:r>
    </w:p>
    <w:p w14:paraId="46F2D95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p>
    <w:p w14:paraId="6D896C4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lang w:eastAsia="zh-CN"/>
        </w:rPr>
        <w:t>浦北县龙门镇人民政府</w:t>
      </w:r>
      <w:r>
        <w:rPr>
          <w:rFonts w:hint="eastAsia" w:ascii="宋体" w:hAnsi="宋体" w:cs="宋体"/>
          <w:color w:val="auto"/>
          <w:spacing w:val="20"/>
          <w:sz w:val="24"/>
          <w:highlight w:val="none"/>
        </w:rPr>
        <w:t>（以下称发包人）为实施</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，根据《中华人民共和国合同法》、《中华人民共和国建筑法》及有关法律规定，遵循平等、自愿、公平和诚实信用的原则，双方就</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工程施工及有关事项协商一致，共同达成如下协议：</w:t>
      </w:r>
      <w:bookmarkStart w:id="86" w:name="_Toc351203481"/>
    </w:p>
    <w:p w14:paraId="4C0B88B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一、工程概况</w:t>
      </w:r>
      <w:bookmarkEnd w:id="86"/>
    </w:p>
    <w:p w14:paraId="7188421F">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1. 工程名称</w:t>
      </w:r>
      <w:r>
        <w:rPr>
          <w:rFonts w:hint="eastAsia" w:ascii="宋体" w:hAnsi="宋体" w:cs="宋体"/>
          <w:color w:val="auto"/>
          <w:spacing w:val="20"/>
          <w:sz w:val="24"/>
          <w:highlight w:val="none"/>
        </w:rPr>
        <w:t>：</w:t>
      </w:r>
      <w:r>
        <w:rPr>
          <w:rFonts w:hint="eastAsia" w:ascii="宋体" w:hAnsi="宋体" w:cs="宋体"/>
          <w:color w:val="auto"/>
          <w:spacing w:val="20"/>
          <w:sz w:val="24"/>
          <w:highlight w:val="none"/>
          <w:u w:val="single"/>
        </w:rPr>
        <w:t xml:space="preserve"> </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w:t>
      </w:r>
    </w:p>
    <w:p w14:paraId="135D8C3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工程地点：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06D8AB4B">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工程立项批准文号：</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41300E26">
      <w:pPr>
        <w:adjustRightInd w:val="0"/>
        <w:snapToGrid w:val="0"/>
        <w:spacing w:line="360" w:lineRule="auto"/>
        <w:ind w:firstLine="548" w:firstLineChars="196"/>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4. 资金来源：</w:t>
      </w:r>
      <w:r>
        <w:rPr>
          <w:rFonts w:hint="eastAsia" w:ascii="宋体" w:hAnsi="宋体" w:cs="宋体"/>
          <w:color w:val="auto"/>
          <w:spacing w:val="20"/>
          <w:sz w:val="24"/>
          <w:highlight w:val="none"/>
          <w:u w:val="single"/>
        </w:rPr>
        <w:t xml:space="preserve">             </w:t>
      </w:r>
      <w:r>
        <w:rPr>
          <w:rFonts w:hint="eastAsia" w:ascii="宋体" w:hAnsi="宋体" w:cs="宋体"/>
          <w:bCs/>
          <w:color w:val="auto"/>
          <w:spacing w:val="20"/>
          <w:sz w:val="24"/>
          <w:highlight w:val="none"/>
        </w:rPr>
        <w:t>。</w:t>
      </w:r>
    </w:p>
    <w:p w14:paraId="6B9BA098">
      <w:pPr>
        <w:adjustRightInd w:val="0"/>
        <w:snapToGrid w:val="0"/>
        <w:spacing w:line="360" w:lineRule="auto"/>
        <w:ind w:firstLine="548" w:firstLineChars="196"/>
        <w:rPr>
          <w:rFonts w:hint="eastAsia" w:ascii="宋体" w:hAnsi="宋体" w:cs="宋体"/>
          <w:color w:val="auto"/>
          <w:spacing w:val="20"/>
          <w:sz w:val="24"/>
          <w:highlight w:val="none"/>
          <w:u w:val="single"/>
        </w:rPr>
      </w:pPr>
      <w:r>
        <w:rPr>
          <w:rFonts w:hint="eastAsia" w:ascii="宋体" w:hAnsi="宋体" w:cs="宋体"/>
          <w:bCs/>
          <w:color w:val="auto"/>
          <w:spacing w:val="20"/>
          <w:sz w:val="24"/>
          <w:highlight w:val="none"/>
        </w:rPr>
        <w:t>5. 工程内容：</w:t>
      </w:r>
      <w:r>
        <w:rPr>
          <w:rFonts w:hint="eastAsia" w:ascii="宋体" w:hAnsi="宋体" w:cs="宋体"/>
          <w:bCs/>
          <w:color w:val="auto"/>
          <w:spacing w:val="20"/>
          <w:sz w:val="24"/>
          <w:highlight w:val="none"/>
          <w:u w:val="single"/>
        </w:rPr>
        <w:t xml:space="preserve">                                      </w:t>
      </w:r>
      <w:r>
        <w:rPr>
          <w:rFonts w:hint="eastAsia" w:ascii="宋体" w:hAnsi="宋体" w:cs="宋体"/>
          <w:color w:val="auto"/>
          <w:spacing w:val="20"/>
          <w:sz w:val="24"/>
          <w:highlight w:val="none"/>
          <w:u w:val="single"/>
          <w:lang w:val="zh-CN"/>
        </w:rPr>
        <w:t>等</w:t>
      </w:r>
      <w:r>
        <w:rPr>
          <w:rFonts w:hint="eastAsia" w:ascii="宋体" w:hAnsi="宋体" w:cs="宋体"/>
          <w:color w:val="auto"/>
          <w:spacing w:val="20"/>
          <w:sz w:val="24"/>
          <w:highlight w:val="none"/>
          <w:u w:val="single"/>
        </w:rPr>
        <w:t>。</w:t>
      </w:r>
    </w:p>
    <w:p w14:paraId="4C6CCA6C">
      <w:pPr>
        <w:adjustRightInd w:val="0"/>
        <w:snapToGrid w:val="0"/>
        <w:spacing w:line="360" w:lineRule="auto"/>
        <w:ind w:firstLine="548" w:firstLineChars="196"/>
        <w:outlineLvl w:val="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6. 工程承包范围：</w:t>
      </w:r>
      <w:r>
        <w:rPr>
          <w:rFonts w:hint="eastAsia" w:ascii="宋体" w:hAnsi="宋体" w:cs="宋体"/>
          <w:color w:val="auto"/>
          <w:spacing w:val="20"/>
          <w:sz w:val="24"/>
          <w:highlight w:val="none"/>
          <w:u w:val="single"/>
        </w:rPr>
        <w:t xml:space="preserve"> 详见工程量清单所包含内容 </w:t>
      </w:r>
      <w:r>
        <w:rPr>
          <w:rFonts w:hint="eastAsia" w:ascii="宋体" w:hAnsi="宋体" w:cs="宋体"/>
          <w:color w:val="auto"/>
          <w:spacing w:val="20"/>
          <w:sz w:val="24"/>
          <w:highlight w:val="none"/>
        </w:rPr>
        <w:t>。</w:t>
      </w:r>
    </w:p>
    <w:p w14:paraId="049E7DF6">
      <w:pPr>
        <w:adjustRightInd w:val="0"/>
        <w:snapToGrid w:val="0"/>
        <w:spacing w:line="360" w:lineRule="auto"/>
        <w:ind w:firstLine="542" w:firstLineChars="193"/>
        <w:outlineLvl w:val="0"/>
        <w:rPr>
          <w:rFonts w:hint="eastAsia" w:ascii="宋体" w:hAnsi="宋体" w:cs="宋体"/>
          <w:b/>
          <w:bCs/>
          <w:color w:val="auto"/>
          <w:spacing w:val="20"/>
          <w:sz w:val="24"/>
          <w:highlight w:val="none"/>
        </w:rPr>
      </w:pPr>
      <w:bookmarkStart w:id="87" w:name="_Toc351203482"/>
      <w:r>
        <w:rPr>
          <w:rFonts w:hint="eastAsia" w:ascii="宋体" w:hAnsi="宋体" w:cs="宋体"/>
          <w:b/>
          <w:bCs/>
          <w:color w:val="auto"/>
          <w:spacing w:val="20"/>
          <w:sz w:val="24"/>
          <w:highlight w:val="none"/>
        </w:rPr>
        <w:t>二、合同工期</w:t>
      </w:r>
      <w:bookmarkEnd w:id="87"/>
    </w:p>
    <w:p w14:paraId="4F52E8FC">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计划开工日期：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日。（具体以开工令为准）</w:t>
      </w:r>
    </w:p>
    <w:p w14:paraId="3AC0E23D">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计划竣工日期：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月</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日。</w:t>
      </w:r>
    </w:p>
    <w:p w14:paraId="14B41E12">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工期总日历天数：</w:t>
      </w:r>
      <w:r>
        <w:rPr>
          <w:rFonts w:hint="eastAsia" w:ascii="宋体" w:hAnsi="宋体" w:cs="宋体"/>
          <w:b/>
          <w:bCs/>
          <w:color w:val="auto"/>
          <w:spacing w:val="20"/>
          <w:sz w:val="24"/>
          <w:highlight w:val="none"/>
          <w:u w:val="single"/>
        </w:rPr>
        <w:t xml:space="preserve">     </w:t>
      </w:r>
      <w:r>
        <w:rPr>
          <w:rFonts w:hint="eastAsia" w:ascii="宋体" w:hAnsi="宋体" w:cs="宋体"/>
          <w:color w:val="auto"/>
          <w:spacing w:val="20"/>
          <w:sz w:val="24"/>
          <w:highlight w:val="none"/>
        </w:rPr>
        <w:t>天。工期总日历天数与根据前述计划开竣工日期计算的工期天数不一致的，以工期总日历天数为准。</w:t>
      </w:r>
    </w:p>
    <w:p w14:paraId="5CF25F32">
      <w:pPr>
        <w:adjustRightInd w:val="0"/>
        <w:snapToGrid w:val="0"/>
        <w:spacing w:line="360" w:lineRule="auto"/>
        <w:ind w:firstLine="459"/>
        <w:outlineLvl w:val="0"/>
        <w:rPr>
          <w:rFonts w:hint="eastAsia" w:ascii="宋体" w:hAnsi="宋体" w:cs="宋体"/>
          <w:b/>
          <w:bCs/>
          <w:color w:val="auto"/>
          <w:spacing w:val="20"/>
          <w:sz w:val="24"/>
          <w:highlight w:val="none"/>
        </w:rPr>
      </w:pPr>
      <w:bookmarkStart w:id="88" w:name="_Toc351203483"/>
      <w:r>
        <w:rPr>
          <w:rFonts w:hint="eastAsia" w:ascii="宋体" w:hAnsi="宋体" w:cs="宋体"/>
          <w:b/>
          <w:bCs/>
          <w:color w:val="auto"/>
          <w:spacing w:val="20"/>
          <w:sz w:val="24"/>
          <w:highlight w:val="none"/>
        </w:rPr>
        <w:t>三、质量标准</w:t>
      </w:r>
      <w:bookmarkEnd w:id="88"/>
    </w:p>
    <w:p w14:paraId="593AE604">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工程质量符合</w:t>
      </w:r>
      <w:r>
        <w:rPr>
          <w:rFonts w:hint="eastAsia" w:ascii="宋体" w:hAnsi="宋体" w:cs="宋体"/>
          <w:color w:val="auto"/>
          <w:spacing w:val="20"/>
          <w:sz w:val="24"/>
          <w:highlight w:val="none"/>
          <w:u w:val="single"/>
        </w:rPr>
        <w:t>《工程施工质量验收规范》合格</w:t>
      </w:r>
      <w:r>
        <w:rPr>
          <w:rFonts w:hint="eastAsia" w:ascii="宋体" w:hAnsi="宋体" w:cs="宋体"/>
          <w:color w:val="auto"/>
          <w:spacing w:val="20"/>
          <w:sz w:val="24"/>
          <w:highlight w:val="none"/>
        </w:rPr>
        <w:t>标准。</w:t>
      </w:r>
    </w:p>
    <w:p w14:paraId="43971406">
      <w:pPr>
        <w:adjustRightInd w:val="0"/>
        <w:snapToGrid w:val="0"/>
        <w:spacing w:line="360" w:lineRule="auto"/>
        <w:ind w:firstLine="459"/>
        <w:outlineLvl w:val="0"/>
        <w:rPr>
          <w:rFonts w:hint="eastAsia" w:ascii="宋体" w:hAnsi="宋体" w:cs="宋体"/>
          <w:b/>
          <w:bCs/>
          <w:color w:val="auto"/>
          <w:spacing w:val="20"/>
          <w:sz w:val="24"/>
          <w:highlight w:val="none"/>
        </w:rPr>
      </w:pPr>
      <w:bookmarkStart w:id="89" w:name="_Toc351203484"/>
      <w:r>
        <w:rPr>
          <w:rFonts w:hint="eastAsia" w:ascii="宋体" w:hAnsi="宋体" w:cs="宋体"/>
          <w:b/>
          <w:bCs/>
          <w:color w:val="auto"/>
          <w:spacing w:val="20"/>
          <w:sz w:val="24"/>
          <w:highlight w:val="none"/>
        </w:rPr>
        <w:t>四、签约合同价与合同价格形式</w:t>
      </w:r>
      <w:bookmarkEnd w:id="89"/>
    </w:p>
    <w:p w14:paraId="15E80B97">
      <w:pPr>
        <w:adjustRightInd w:val="0"/>
        <w:snapToGrid w:val="0"/>
        <w:spacing w:line="360" w:lineRule="auto"/>
        <w:ind w:firstLine="459"/>
        <w:rPr>
          <w:rFonts w:hint="eastAsia" w:ascii="宋体" w:hAnsi="宋体" w:cs="宋体"/>
          <w:color w:val="auto"/>
          <w:spacing w:val="20"/>
          <w:sz w:val="24"/>
          <w:highlight w:val="none"/>
        </w:rPr>
      </w:pPr>
      <w:r>
        <w:rPr>
          <w:rFonts w:hint="eastAsia" w:ascii="宋体" w:hAnsi="宋体" w:cs="宋体"/>
          <w:color w:val="auto"/>
          <w:spacing w:val="20"/>
          <w:sz w:val="24"/>
          <w:highlight w:val="none"/>
        </w:rPr>
        <w:t>1. 签约合同价为：</w:t>
      </w:r>
    </w:p>
    <w:p w14:paraId="0211586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人民币（大写：</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6E7A2CC1">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最终执行：如果结算审计价高于合同的按合同价执行，如果低于合同价的按审计价执行。</w:t>
      </w:r>
    </w:p>
    <w:p w14:paraId="6013DC2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 合同价格形式：</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74F2A90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0" w:name="_Toc351203485"/>
      <w:r>
        <w:rPr>
          <w:rFonts w:hint="eastAsia" w:ascii="宋体" w:hAnsi="宋体" w:cs="宋体"/>
          <w:b/>
          <w:bCs/>
          <w:color w:val="auto"/>
          <w:spacing w:val="20"/>
          <w:sz w:val="24"/>
          <w:highlight w:val="none"/>
        </w:rPr>
        <w:t>五、</w:t>
      </w:r>
      <w:bookmarkEnd w:id="90"/>
      <w:r>
        <w:rPr>
          <w:rFonts w:hint="eastAsia" w:ascii="宋体" w:hAnsi="宋体" w:cs="宋体"/>
          <w:b/>
          <w:bCs/>
          <w:color w:val="auto"/>
          <w:spacing w:val="20"/>
          <w:sz w:val="24"/>
          <w:highlight w:val="none"/>
        </w:rPr>
        <w:t>项目经理</w:t>
      </w:r>
    </w:p>
    <w:p w14:paraId="1C4C377C">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承包人项目经理：</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w:t>
      </w:r>
    </w:p>
    <w:p w14:paraId="32F948EB">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1" w:name="_Toc351203486"/>
      <w:r>
        <w:rPr>
          <w:rFonts w:hint="eastAsia" w:ascii="宋体" w:hAnsi="宋体" w:cs="宋体"/>
          <w:b/>
          <w:bCs/>
          <w:color w:val="auto"/>
          <w:spacing w:val="20"/>
          <w:sz w:val="24"/>
          <w:highlight w:val="none"/>
        </w:rPr>
        <w:t>六、合同文件构成</w:t>
      </w:r>
      <w:bookmarkEnd w:id="91"/>
    </w:p>
    <w:p w14:paraId="206F340B">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1.本协议书与下列文件一起构成合同文件：</w:t>
      </w:r>
    </w:p>
    <w:p w14:paraId="652C473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（1）中标通知书（如有）；</w:t>
      </w:r>
    </w:p>
    <w:p w14:paraId="6EB4CBD0">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（2）投标函及其附录（如有）； </w:t>
      </w:r>
    </w:p>
    <w:p w14:paraId="28FBEBAA">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（3）专用合同条款及其附件；</w:t>
      </w:r>
    </w:p>
    <w:p w14:paraId="638CB16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（4）通用合同条款；</w:t>
      </w:r>
    </w:p>
    <w:p w14:paraId="277E6B53">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（5）技术标准和要求；</w:t>
      </w:r>
    </w:p>
    <w:p w14:paraId="37E81DC1">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 xml:space="preserve">（6）已标价工程量清单或预算书； </w:t>
      </w:r>
    </w:p>
    <w:p w14:paraId="5ECA3D58">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（7）图纸；</w:t>
      </w:r>
    </w:p>
    <w:p w14:paraId="0FA036B5">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（8）其他合同文件。</w:t>
      </w:r>
    </w:p>
    <w:p w14:paraId="105F7A26">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2.双方有关工程的洽商、变更等书面协议或文件视为本合同的组成部分。</w:t>
      </w:r>
    </w:p>
    <w:p w14:paraId="39DDC6B7">
      <w:pPr>
        <w:autoSpaceDE w:val="0"/>
        <w:autoSpaceDN w:val="0"/>
        <w:adjustRightInd w:val="0"/>
        <w:snapToGrid w:val="0"/>
        <w:spacing w:line="360" w:lineRule="auto"/>
        <w:ind w:firstLine="560" w:firstLineChars="200"/>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上述各项合同文件包括合同当事人就该项合同文件所作出的补充和修改，属于同一类内容的文件，应以最新签署的为准。专用合同条款及其附件须经合同当事人签字或盖章。</w:t>
      </w:r>
    </w:p>
    <w:p w14:paraId="0C1D3C31">
      <w:pPr>
        <w:autoSpaceDE w:val="0"/>
        <w:autoSpaceDN w:val="0"/>
        <w:adjustRightInd w:val="0"/>
        <w:snapToGrid w:val="0"/>
        <w:spacing w:line="360" w:lineRule="auto"/>
        <w:ind w:firstLine="562" w:firstLineChars="200"/>
        <w:jc w:val="left"/>
        <w:outlineLvl w:val="0"/>
        <w:rPr>
          <w:rFonts w:hint="eastAsia" w:ascii="宋体" w:hAnsi="宋体" w:cs="宋体"/>
          <w:b/>
          <w:bCs/>
          <w:color w:val="auto"/>
          <w:spacing w:val="20"/>
          <w:sz w:val="24"/>
          <w:highlight w:val="none"/>
        </w:rPr>
      </w:pPr>
      <w:bookmarkStart w:id="92" w:name="_Toc351203487"/>
      <w:r>
        <w:rPr>
          <w:rFonts w:hint="eastAsia" w:ascii="宋体" w:hAnsi="宋体" w:cs="宋体"/>
          <w:b/>
          <w:bCs/>
          <w:color w:val="auto"/>
          <w:spacing w:val="20"/>
          <w:sz w:val="24"/>
          <w:highlight w:val="none"/>
        </w:rPr>
        <w:t>七、承诺</w:t>
      </w:r>
      <w:bookmarkEnd w:id="92"/>
    </w:p>
    <w:p w14:paraId="589AD1E1">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 发包人承诺按照法律规定履行项目审批手续、筹集工程建设资金并按照合同约定的期限和方式支付合同价款。</w:t>
      </w:r>
    </w:p>
    <w:p w14:paraId="467299C7">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 承包人承诺按照法律规定及合同约定组织完成工程施工，确保工程质量和安全，不进行转包及违法分包，并在缺陷责任期及保修期内承担相应的工程维修责任。</w:t>
      </w:r>
    </w:p>
    <w:p w14:paraId="3582367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 发包人和承包人签订的合同，双方理解并承诺不再就同一工程另行签订与合同实质性内容相背离的协议。</w:t>
      </w:r>
      <w:bookmarkStart w:id="93" w:name="_Toc351203488"/>
      <w:r>
        <w:rPr>
          <w:rFonts w:hint="eastAsia" w:ascii="宋体" w:hAnsi="宋体" w:cs="宋体"/>
          <w:bCs/>
          <w:color w:val="auto"/>
          <w:spacing w:val="20"/>
          <w:sz w:val="24"/>
          <w:highlight w:val="none"/>
        </w:rPr>
        <w:t xml:space="preserve">其他未说明的有关管理办法严格按浦政规〔2020〕1号及相关规范执行。比如 </w:t>
      </w:r>
    </w:p>
    <w:p w14:paraId="5F715963">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1）因勘察原因导致工程的最终结算价超过工程合同价10%以上的，县审计局要及时将审计发现的问题函告县投资项目建设办及县行业行政监管部门，由县行业行政监管部门通报县直单位及各镇（街道）两年内不得委托该勘察单位承领本县政府资金投资工程的勘察业务。</w:t>
      </w:r>
    </w:p>
    <w:p w14:paraId="1A7F0E1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2）因设计单位原因导致工程的最终结算价超过工程合同价10%以上，县审计局要及时将审计发现的问题函告县投资项目建设办及县行业行政监管部门，同县行业行政监管部门通报县直单位及各镇（街道）两年内不得委托该设计单位承领本县政府资金投资工程的设计业务。</w:t>
      </w:r>
    </w:p>
    <w:p w14:paraId="174C947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（3）监理单位弄虚作假、超越权限，导致虚增工程量、多计价款的，不支付监理费，并由县行业行政监管部门给予处罚；给项目业主造成损失的，依法承担经济和法律责任。</w:t>
      </w:r>
    </w:p>
    <w:p w14:paraId="6FE8B30E">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监理单位一次弄虚作假、超越权限的，由县行业行政监管部门通报全县各镇（街道）、县直单位五年内不得参加本县政府投资项目的监理；造成经济损失的，依法承担赔偿责任；涉嫌犯罪的，依法追究刑事责任。</w:t>
      </w:r>
    </w:p>
    <w:p w14:paraId="4D2A1C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r>
        <w:rPr>
          <w:rFonts w:hint="eastAsia" w:ascii="宋体" w:hAnsi="宋体" w:cs="宋体"/>
          <w:b/>
          <w:bCs/>
          <w:color w:val="auto"/>
          <w:spacing w:val="20"/>
          <w:sz w:val="24"/>
          <w:highlight w:val="none"/>
        </w:rPr>
        <w:t>八、词语含义</w:t>
      </w:r>
      <w:bookmarkEnd w:id="93"/>
    </w:p>
    <w:p w14:paraId="639E6EA2">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本协议书中词语含义与第二部分通用合同条款中赋予的含义相同。</w:t>
      </w:r>
    </w:p>
    <w:p w14:paraId="5007181D">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4" w:name="_Toc351203489"/>
      <w:r>
        <w:rPr>
          <w:rFonts w:hint="eastAsia" w:ascii="宋体" w:hAnsi="宋体" w:cs="宋体"/>
          <w:b/>
          <w:bCs/>
          <w:color w:val="auto"/>
          <w:spacing w:val="20"/>
          <w:sz w:val="24"/>
          <w:highlight w:val="none"/>
        </w:rPr>
        <w:t>九、签订时间</w:t>
      </w:r>
      <w:bookmarkEnd w:id="94"/>
    </w:p>
    <w:p w14:paraId="3B34F384">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本合同于</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年</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月</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日签订。</w:t>
      </w:r>
    </w:p>
    <w:p w14:paraId="796EE6C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5" w:name="_Toc351203490"/>
      <w:r>
        <w:rPr>
          <w:rFonts w:hint="eastAsia" w:ascii="宋体" w:hAnsi="宋体" w:cs="宋体"/>
          <w:b/>
          <w:bCs/>
          <w:color w:val="auto"/>
          <w:spacing w:val="20"/>
          <w:sz w:val="24"/>
          <w:highlight w:val="none"/>
        </w:rPr>
        <w:t>十、签订地点</w:t>
      </w:r>
      <w:bookmarkEnd w:id="95"/>
    </w:p>
    <w:p w14:paraId="2E97E8E9">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本合同在</w:t>
      </w:r>
      <w:r>
        <w:rPr>
          <w:rFonts w:hint="eastAsia" w:ascii="宋体" w:hAnsi="宋体" w:cs="宋体"/>
          <w:bCs/>
          <w:color w:val="auto"/>
          <w:spacing w:val="20"/>
          <w:sz w:val="24"/>
          <w:highlight w:val="none"/>
          <w:u w:val="single"/>
        </w:rPr>
        <w:t xml:space="preserve">                    </w:t>
      </w:r>
      <w:r>
        <w:rPr>
          <w:rFonts w:hint="eastAsia" w:ascii="宋体" w:hAnsi="宋体" w:cs="宋体"/>
          <w:bCs/>
          <w:color w:val="auto"/>
          <w:spacing w:val="20"/>
          <w:sz w:val="24"/>
          <w:highlight w:val="none"/>
        </w:rPr>
        <w:t>签订。</w:t>
      </w:r>
    </w:p>
    <w:p w14:paraId="14CF084A">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6" w:name="_Toc351203491"/>
      <w:r>
        <w:rPr>
          <w:rFonts w:hint="eastAsia" w:ascii="宋体" w:hAnsi="宋体" w:cs="宋体"/>
          <w:b/>
          <w:bCs/>
          <w:color w:val="auto"/>
          <w:spacing w:val="20"/>
          <w:sz w:val="24"/>
          <w:highlight w:val="none"/>
        </w:rPr>
        <w:t>十一、补充协议</w:t>
      </w:r>
      <w:bookmarkEnd w:id="96"/>
    </w:p>
    <w:p w14:paraId="657DC9F6">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合同未尽事宜，合同当事人另行签订补充协议，补充协议是合同的组成部分。</w:t>
      </w:r>
    </w:p>
    <w:p w14:paraId="25B9BC5C">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7" w:name="_Toc351203492"/>
      <w:r>
        <w:rPr>
          <w:rFonts w:hint="eastAsia" w:ascii="宋体" w:hAnsi="宋体" w:cs="宋体"/>
          <w:b/>
          <w:bCs/>
          <w:color w:val="auto"/>
          <w:spacing w:val="20"/>
          <w:sz w:val="24"/>
          <w:highlight w:val="none"/>
        </w:rPr>
        <w:t>十二、合同生效</w:t>
      </w:r>
      <w:bookmarkEnd w:id="97"/>
    </w:p>
    <w:p w14:paraId="617BCEA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本合同自</w:t>
      </w:r>
      <w:r>
        <w:rPr>
          <w:rFonts w:hint="eastAsia" w:ascii="宋体" w:hAnsi="宋体" w:cs="宋体"/>
          <w:bCs/>
          <w:color w:val="auto"/>
          <w:spacing w:val="20"/>
          <w:sz w:val="24"/>
          <w:highlight w:val="none"/>
          <w:u w:val="single"/>
        </w:rPr>
        <w:t xml:space="preserve"> 双方法定代表人或其授权代理人签字并加盖单位公章之日起 </w:t>
      </w:r>
      <w:r>
        <w:rPr>
          <w:rFonts w:hint="eastAsia" w:ascii="宋体" w:hAnsi="宋体" w:cs="宋体"/>
          <w:bCs/>
          <w:color w:val="auto"/>
          <w:spacing w:val="20"/>
          <w:sz w:val="24"/>
          <w:highlight w:val="none"/>
        </w:rPr>
        <w:t>生效。</w:t>
      </w:r>
    </w:p>
    <w:p w14:paraId="65B44744">
      <w:pPr>
        <w:adjustRightInd w:val="0"/>
        <w:snapToGrid w:val="0"/>
        <w:spacing w:line="360" w:lineRule="auto"/>
        <w:ind w:firstLine="562" w:firstLineChars="200"/>
        <w:outlineLvl w:val="0"/>
        <w:rPr>
          <w:rFonts w:hint="eastAsia" w:ascii="宋体" w:hAnsi="宋体" w:cs="宋体"/>
          <w:b/>
          <w:bCs/>
          <w:color w:val="auto"/>
          <w:spacing w:val="20"/>
          <w:sz w:val="24"/>
          <w:highlight w:val="none"/>
        </w:rPr>
      </w:pPr>
      <w:bookmarkStart w:id="98" w:name="_Toc351203493"/>
      <w:r>
        <w:rPr>
          <w:rFonts w:hint="eastAsia" w:ascii="宋体" w:hAnsi="宋体" w:cs="宋体"/>
          <w:b/>
          <w:bCs/>
          <w:color w:val="auto"/>
          <w:spacing w:val="20"/>
          <w:sz w:val="24"/>
          <w:highlight w:val="none"/>
        </w:rPr>
        <w:t>十三、合同份数</w:t>
      </w:r>
      <w:bookmarkEnd w:id="98"/>
    </w:p>
    <w:p w14:paraId="501EF10A">
      <w:pPr>
        <w:adjustRightInd w:val="0"/>
        <w:snapToGrid w:val="0"/>
        <w:spacing w:line="360" w:lineRule="auto"/>
        <w:ind w:firstLine="560" w:firstLineChars="200"/>
        <w:rPr>
          <w:rFonts w:hint="eastAsia" w:ascii="宋体" w:hAnsi="宋体" w:cs="宋体"/>
          <w:bCs/>
          <w:color w:val="auto"/>
          <w:spacing w:val="20"/>
          <w:sz w:val="24"/>
          <w:highlight w:val="none"/>
        </w:rPr>
      </w:pPr>
      <w:r>
        <w:rPr>
          <w:rFonts w:hint="eastAsia" w:ascii="宋体" w:hAnsi="宋体" w:cs="宋体"/>
          <w:bCs/>
          <w:color w:val="auto"/>
          <w:spacing w:val="20"/>
          <w:sz w:val="24"/>
          <w:highlight w:val="none"/>
        </w:rPr>
        <w:t>本合同一式</w:t>
      </w:r>
      <w:r>
        <w:rPr>
          <w:rFonts w:hint="eastAsia" w:ascii="宋体" w:hAnsi="宋体" w:cs="宋体"/>
          <w:bCs/>
          <w:color w:val="auto"/>
          <w:spacing w:val="20"/>
          <w:sz w:val="24"/>
          <w:highlight w:val="none"/>
          <w:u w:val="single"/>
        </w:rPr>
        <w:t xml:space="preserve"> 捌 </w:t>
      </w:r>
      <w:r>
        <w:rPr>
          <w:rFonts w:hint="eastAsia" w:ascii="宋体" w:hAnsi="宋体" w:cs="宋体"/>
          <w:bCs/>
          <w:color w:val="auto"/>
          <w:spacing w:val="20"/>
          <w:sz w:val="24"/>
          <w:highlight w:val="none"/>
        </w:rPr>
        <w:t>份，均具有同等法律效力，发包人执</w:t>
      </w:r>
      <w:r>
        <w:rPr>
          <w:rFonts w:hint="eastAsia" w:ascii="宋体" w:hAnsi="宋体" w:cs="宋体"/>
          <w:bCs/>
          <w:color w:val="auto"/>
          <w:spacing w:val="20"/>
          <w:sz w:val="24"/>
          <w:highlight w:val="none"/>
          <w:u w:val="single"/>
        </w:rPr>
        <w:t xml:space="preserve"> 肆 </w:t>
      </w:r>
      <w:r>
        <w:rPr>
          <w:rFonts w:hint="eastAsia" w:ascii="宋体" w:hAnsi="宋体" w:cs="宋体"/>
          <w:bCs/>
          <w:color w:val="auto"/>
          <w:spacing w:val="20"/>
          <w:sz w:val="24"/>
          <w:highlight w:val="none"/>
        </w:rPr>
        <w:t>份，承包人执</w:t>
      </w:r>
      <w:r>
        <w:rPr>
          <w:rFonts w:hint="eastAsia" w:ascii="宋体" w:hAnsi="宋体" w:cs="宋体"/>
          <w:bCs/>
          <w:color w:val="auto"/>
          <w:spacing w:val="20"/>
          <w:sz w:val="24"/>
          <w:highlight w:val="none"/>
          <w:u w:val="single"/>
        </w:rPr>
        <w:t xml:space="preserve"> 肆 </w:t>
      </w:r>
      <w:r>
        <w:rPr>
          <w:rFonts w:hint="eastAsia" w:ascii="宋体" w:hAnsi="宋体" w:cs="宋体"/>
          <w:bCs/>
          <w:color w:val="auto"/>
          <w:spacing w:val="20"/>
          <w:sz w:val="24"/>
          <w:highlight w:val="none"/>
        </w:rPr>
        <w:t>份。</w:t>
      </w:r>
    </w:p>
    <w:p w14:paraId="4E11F7B4">
      <w:pPr>
        <w:adjustRightInd w:val="0"/>
        <w:snapToGrid w:val="0"/>
        <w:spacing w:line="360" w:lineRule="auto"/>
        <w:rPr>
          <w:rFonts w:hint="eastAsia" w:ascii="宋体" w:hAnsi="宋体" w:cs="宋体"/>
          <w:bCs/>
          <w:color w:val="auto"/>
          <w:spacing w:val="20"/>
          <w:sz w:val="24"/>
          <w:highlight w:val="none"/>
        </w:rPr>
      </w:pPr>
    </w:p>
    <w:p w14:paraId="2258A3E3">
      <w:pPr>
        <w:adjustRightInd w:val="0"/>
        <w:snapToGrid w:val="0"/>
        <w:spacing w:line="420" w:lineRule="exact"/>
        <w:rPr>
          <w:rFonts w:hint="eastAsia" w:ascii="宋体" w:hAnsi="宋体" w:cs="宋体"/>
          <w:color w:val="auto"/>
          <w:spacing w:val="20"/>
          <w:sz w:val="24"/>
          <w:highlight w:val="none"/>
        </w:rPr>
      </w:pPr>
      <w:bookmarkStart w:id="99" w:name="_Toc389065256"/>
      <w:bookmarkStart w:id="100" w:name="_Toc439779029"/>
      <w:bookmarkStart w:id="101" w:name="_Toc425437329"/>
      <w:bookmarkStart w:id="102" w:name="_Toc461982824"/>
      <w:bookmarkStart w:id="103" w:name="_Toc16007"/>
      <w:bookmarkStart w:id="104" w:name="_Toc21285"/>
      <w:bookmarkStart w:id="105" w:name="_Toc373227691"/>
      <w:bookmarkStart w:id="106" w:name="_Toc351203632"/>
      <w:bookmarkStart w:id="107" w:name="_Toc373478338"/>
      <w:r>
        <w:rPr>
          <w:rFonts w:hint="eastAsia" w:ascii="宋体" w:hAnsi="宋体" w:cs="宋体"/>
          <w:color w:val="auto"/>
          <w:spacing w:val="20"/>
          <w:sz w:val="24"/>
          <w:highlight w:val="none"/>
        </w:rPr>
        <w:t>发包人：  （公章）              承包人：  （公章）</w:t>
      </w:r>
    </w:p>
    <w:p w14:paraId="3D93F9BB">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lang w:eastAsia="zh-CN"/>
        </w:rPr>
        <w:t>浦北县龙门镇人民政府</w:t>
      </w:r>
      <w:r>
        <w:rPr>
          <w:rFonts w:hint="eastAsia" w:ascii="宋体" w:hAnsi="宋体" w:cs="宋体"/>
          <w:color w:val="auto"/>
          <w:spacing w:val="20"/>
          <w:sz w:val="24"/>
          <w:highlight w:val="none"/>
        </w:rPr>
        <w:t xml:space="preserve">                                                                                                </w:t>
      </w:r>
    </w:p>
    <w:p w14:paraId="70E0529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法定代表人：                   法定代表人：</w:t>
      </w:r>
    </w:p>
    <w:p w14:paraId="68CDA55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或其委托代理人：               或其委托代理人：</w:t>
      </w:r>
    </w:p>
    <w:p w14:paraId="344D4B95">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地址：</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地址：</w:t>
      </w:r>
      <w:r>
        <w:rPr>
          <w:rFonts w:hint="eastAsia" w:asciiTheme="minorEastAsia" w:hAnsiTheme="minorEastAsia"/>
          <w:color w:val="auto"/>
          <w:sz w:val="24"/>
          <w:highlight w:val="none"/>
          <w:u w:val="single"/>
        </w:rPr>
        <w:t xml:space="preserve">                       </w:t>
      </w:r>
    </w:p>
    <w:p w14:paraId="14595D76">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邮政编码：</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邮政编码：</w:t>
      </w:r>
      <w:r>
        <w:rPr>
          <w:rFonts w:hint="eastAsia" w:ascii="宋体" w:hAnsi="宋体" w:cs="宋体"/>
          <w:color w:val="auto"/>
          <w:spacing w:val="20"/>
          <w:sz w:val="24"/>
          <w:highlight w:val="none"/>
          <w:u w:val="single"/>
        </w:rPr>
        <w:t xml:space="preserve">               </w:t>
      </w:r>
    </w:p>
    <w:p w14:paraId="43633289">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电话（传真）：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电话（传真）：</w:t>
      </w:r>
      <w:r>
        <w:rPr>
          <w:rFonts w:hint="eastAsia" w:ascii="宋体" w:hAnsi="宋体" w:cs="宋体"/>
          <w:color w:val="auto"/>
          <w:spacing w:val="20"/>
          <w:sz w:val="24"/>
          <w:highlight w:val="none"/>
          <w:u w:val="single"/>
        </w:rPr>
        <w:t xml:space="preserve">             </w:t>
      </w:r>
    </w:p>
    <w:p w14:paraId="4F96943A">
      <w:pPr>
        <w:adjustRightInd w:val="0"/>
        <w:snapToGrid w:val="0"/>
        <w:spacing w:line="420" w:lineRule="exact"/>
        <w:rPr>
          <w:rFonts w:hint="eastAsia" w:ascii="宋体" w:hAnsi="宋体" w:cs="宋体"/>
          <w:color w:val="auto"/>
          <w:spacing w:val="20"/>
          <w:sz w:val="24"/>
          <w:highlight w:val="none"/>
        </w:rPr>
      </w:pPr>
      <w:r>
        <w:rPr>
          <w:rFonts w:hint="eastAsia" w:ascii="宋体" w:hAnsi="宋体" w:cs="宋体"/>
          <w:color w:val="auto"/>
          <w:spacing w:val="20"/>
          <w:sz w:val="24"/>
          <w:highlight w:val="none"/>
        </w:rPr>
        <w:t>开户银行：</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开户银行：</w:t>
      </w:r>
      <w:r>
        <w:rPr>
          <w:rFonts w:hint="eastAsia" w:asciiTheme="minorEastAsia" w:hAnsiTheme="minorEastAsia"/>
          <w:color w:val="auto"/>
          <w:sz w:val="24"/>
          <w:highlight w:val="none"/>
          <w:u w:val="single"/>
        </w:rPr>
        <w:t xml:space="preserve">                      </w:t>
      </w:r>
    </w:p>
    <w:p w14:paraId="5EC14278">
      <w:pPr>
        <w:adjustRightInd w:val="0"/>
        <w:snapToGrid w:val="0"/>
        <w:spacing w:line="420" w:lineRule="exact"/>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账 号：</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账 号：</w:t>
      </w:r>
      <w:r>
        <w:rPr>
          <w:rFonts w:hint="eastAsia" w:asciiTheme="minorEastAsia" w:hAnsiTheme="minorEastAsia"/>
          <w:color w:val="auto"/>
          <w:sz w:val="24"/>
          <w:highlight w:val="none"/>
          <w:u w:val="single"/>
        </w:rPr>
        <w:t xml:space="preserve">                     </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 w:val="24"/>
          <w:highlight w:val="none"/>
          <w:u w:val="single"/>
        </w:rPr>
        <w:t xml:space="preserve"> </w:t>
      </w:r>
    </w:p>
    <w:p w14:paraId="371FE7C9">
      <w:pPr>
        <w:pStyle w:val="4"/>
        <w:keepNext w:val="0"/>
        <w:keepLines w:val="0"/>
        <w:spacing w:line="312" w:lineRule="auto"/>
        <w:jc w:val="center"/>
        <w:rPr>
          <w:rFonts w:hint="eastAsia" w:ascii="宋体" w:hAnsi="宋体" w:cs="宋体"/>
          <w:color w:val="auto"/>
          <w:spacing w:val="20"/>
          <w:szCs w:val="32"/>
          <w:highlight w:val="none"/>
        </w:rPr>
      </w:pPr>
    </w:p>
    <w:p w14:paraId="5E0BDCF7">
      <w:pPr>
        <w:rPr>
          <w:rFonts w:hint="eastAsia" w:ascii="宋体" w:hAnsi="宋体" w:cs="宋体"/>
          <w:color w:val="auto"/>
          <w:spacing w:val="20"/>
          <w:szCs w:val="32"/>
          <w:highlight w:val="none"/>
        </w:rPr>
      </w:pPr>
    </w:p>
    <w:p w14:paraId="0828CC7F">
      <w:pPr>
        <w:rPr>
          <w:rFonts w:hint="eastAsia" w:ascii="宋体" w:hAnsi="宋体" w:cs="宋体"/>
          <w:color w:val="auto"/>
          <w:spacing w:val="20"/>
          <w:szCs w:val="32"/>
          <w:highlight w:val="none"/>
        </w:rPr>
      </w:pPr>
    </w:p>
    <w:p w14:paraId="2039D2AB">
      <w:pPr>
        <w:rPr>
          <w:rFonts w:hint="eastAsia" w:ascii="宋体" w:hAnsi="宋体" w:cs="宋体"/>
          <w:color w:val="auto"/>
          <w:spacing w:val="20"/>
          <w:szCs w:val="32"/>
          <w:highlight w:val="none"/>
        </w:rPr>
      </w:pPr>
    </w:p>
    <w:p w14:paraId="6553BC3E">
      <w:pPr>
        <w:rPr>
          <w:rFonts w:hint="eastAsia" w:ascii="宋体" w:hAnsi="宋体" w:cs="宋体"/>
          <w:color w:val="auto"/>
          <w:spacing w:val="20"/>
          <w:szCs w:val="32"/>
          <w:highlight w:val="none"/>
        </w:rPr>
      </w:pPr>
    </w:p>
    <w:p w14:paraId="5869735C">
      <w:pPr>
        <w:rPr>
          <w:rFonts w:hint="eastAsia" w:ascii="宋体" w:hAnsi="宋体" w:cs="宋体"/>
          <w:color w:val="auto"/>
          <w:spacing w:val="20"/>
          <w:szCs w:val="32"/>
          <w:highlight w:val="none"/>
        </w:rPr>
      </w:pPr>
    </w:p>
    <w:p w14:paraId="607B6C48">
      <w:pPr>
        <w:pStyle w:val="4"/>
        <w:keepNext w:val="0"/>
        <w:keepLines w:val="0"/>
        <w:spacing w:line="312" w:lineRule="auto"/>
        <w:jc w:val="center"/>
        <w:rPr>
          <w:rFonts w:hint="eastAsia" w:ascii="宋体" w:hAnsi="宋体" w:cs="宋体"/>
          <w:color w:val="auto"/>
          <w:spacing w:val="20"/>
          <w:szCs w:val="32"/>
          <w:highlight w:val="none"/>
        </w:rPr>
        <w:sectPr>
          <w:headerReference r:id="rId5" w:type="default"/>
          <w:footerReference r:id="rId6" w:type="default"/>
          <w:pgSz w:w="11906" w:h="16838"/>
          <w:pgMar w:top="1440" w:right="1080" w:bottom="1440" w:left="1080" w:header="567" w:footer="567" w:gutter="567"/>
          <w:cols w:space="0" w:num="1"/>
          <w:docGrid w:type="lines" w:linePitch="312" w:charSpace="0"/>
        </w:sectPr>
      </w:pPr>
    </w:p>
    <w:p w14:paraId="79F5FA84">
      <w:pPr>
        <w:pStyle w:val="4"/>
        <w:keepNext w:val="0"/>
        <w:keepLines w:val="0"/>
        <w:spacing w:line="312" w:lineRule="auto"/>
        <w:jc w:val="center"/>
        <w:rPr>
          <w:rFonts w:hint="eastAsia" w:ascii="宋体" w:hAnsi="宋体" w:cs="宋体"/>
          <w:color w:val="auto"/>
          <w:spacing w:val="20"/>
          <w:szCs w:val="32"/>
          <w:highlight w:val="none"/>
        </w:rPr>
      </w:pPr>
      <w:r>
        <w:rPr>
          <w:rFonts w:hint="eastAsia" w:ascii="宋体" w:hAnsi="宋体" w:cs="宋体"/>
          <w:color w:val="auto"/>
          <w:spacing w:val="20"/>
          <w:szCs w:val="32"/>
          <w:highlight w:val="none"/>
        </w:rPr>
        <w:t>第二部分 通用合同条款</w:t>
      </w:r>
      <w:bookmarkEnd w:id="99"/>
      <w:bookmarkEnd w:id="100"/>
      <w:bookmarkEnd w:id="101"/>
      <w:bookmarkEnd w:id="102"/>
      <w:bookmarkEnd w:id="103"/>
      <w:bookmarkEnd w:id="104"/>
    </w:p>
    <w:p w14:paraId="6C989D86">
      <w:pPr>
        <w:pStyle w:val="7"/>
        <w:spacing w:before="120" w:after="120" w:line="312" w:lineRule="auto"/>
        <w:rPr>
          <w:rFonts w:hint="eastAsia"/>
          <w:b w:val="0"/>
          <w:color w:val="auto"/>
          <w:sz w:val="24"/>
          <w:szCs w:val="24"/>
          <w:highlight w:val="none"/>
        </w:rPr>
      </w:pPr>
      <w:bookmarkStart w:id="108" w:name="_Toc351203495"/>
      <w:bookmarkStart w:id="109" w:name="_Toc439779030"/>
      <w:bookmarkStart w:id="110" w:name="_Toc25546"/>
      <w:bookmarkStart w:id="111" w:name="_Toc1320"/>
      <w:bookmarkStart w:id="112" w:name="_Toc461982825"/>
      <w:bookmarkStart w:id="113" w:name="_Toc389065257"/>
      <w:bookmarkStart w:id="114" w:name="_Toc425437330"/>
      <w:r>
        <w:rPr>
          <w:rFonts w:hint="eastAsia"/>
          <w:b w:val="0"/>
          <w:color w:val="auto"/>
          <w:sz w:val="24"/>
          <w:szCs w:val="24"/>
          <w:highlight w:val="none"/>
        </w:rPr>
        <w:t>1.</w:t>
      </w:r>
      <w:bookmarkStart w:id="115" w:name="_Toc303538974"/>
      <w:bookmarkEnd w:id="115"/>
      <w:bookmarkStart w:id="116" w:name="_Toc303538972"/>
      <w:bookmarkEnd w:id="116"/>
      <w:bookmarkStart w:id="117" w:name="_Toc303538973"/>
      <w:bookmarkEnd w:id="117"/>
      <w:bookmarkStart w:id="118" w:name="_Toc303538975"/>
      <w:bookmarkEnd w:id="118"/>
      <w:bookmarkStart w:id="119" w:name="_Toc303538976"/>
      <w:bookmarkEnd w:id="119"/>
      <w:bookmarkStart w:id="120" w:name="_Toc296346528"/>
      <w:bookmarkStart w:id="121" w:name="_Toc296503027"/>
      <w:r>
        <w:rPr>
          <w:rFonts w:hint="eastAsia"/>
          <w:b w:val="0"/>
          <w:color w:val="auto"/>
          <w:sz w:val="24"/>
          <w:szCs w:val="24"/>
          <w:highlight w:val="none"/>
        </w:rPr>
        <w:t xml:space="preserve"> 一般约定</w:t>
      </w:r>
      <w:bookmarkEnd w:id="108"/>
      <w:bookmarkEnd w:id="120"/>
      <w:bookmarkEnd w:id="121"/>
    </w:p>
    <w:p w14:paraId="35E01C62">
      <w:pPr>
        <w:pStyle w:val="8"/>
        <w:spacing w:before="120" w:after="120" w:line="312" w:lineRule="auto"/>
        <w:ind w:firstLine="480" w:firstLineChars="200"/>
        <w:rPr>
          <w:rFonts w:hint="eastAsia" w:ascii="宋体" w:hAnsi="宋体" w:cs="宋体"/>
          <w:b w:val="0"/>
          <w:color w:val="auto"/>
          <w:sz w:val="24"/>
          <w:szCs w:val="24"/>
          <w:highlight w:val="none"/>
        </w:rPr>
      </w:pPr>
      <w:bookmarkStart w:id="122" w:name="_Toc296346529"/>
      <w:bookmarkStart w:id="123" w:name="_Toc296503028"/>
      <w:bookmarkStart w:id="124" w:name="_Toc337558728"/>
      <w:bookmarkStart w:id="125" w:name="_Toc351203496"/>
      <w:r>
        <w:rPr>
          <w:rFonts w:hint="eastAsia" w:ascii="宋体" w:hAnsi="宋体" w:cs="宋体"/>
          <w:b w:val="0"/>
          <w:color w:val="auto"/>
          <w:sz w:val="24"/>
          <w:szCs w:val="24"/>
          <w:highlight w:val="none"/>
        </w:rPr>
        <w:t>1.1词语定义</w:t>
      </w:r>
      <w:bookmarkEnd w:id="122"/>
      <w:bookmarkEnd w:id="123"/>
      <w:bookmarkEnd w:id="124"/>
      <w:r>
        <w:rPr>
          <w:rFonts w:hint="eastAsia" w:ascii="宋体" w:hAnsi="宋体" w:cs="宋体"/>
          <w:b w:val="0"/>
          <w:color w:val="auto"/>
          <w:sz w:val="24"/>
          <w:szCs w:val="24"/>
          <w:highlight w:val="none"/>
        </w:rPr>
        <w:t>与解释</w:t>
      </w:r>
      <w:bookmarkEnd w:id="125"/>
    </w:p>
    <w:p w14:paraId="71ADBB6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合同协议书、通用合同条款、专用合同条款中的下列词语具有本款所赋予的含义：</w:t>
      </w:r>
    </w:p>
    <w:p w14:paraId="30FC7761">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1.1.1 合同</w:t>
      </w:r>
    </w:p>
    <w:p w14:paraId="607C86F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合同：是指根据法律规定和合同当事人约定具有约束力的文件，构成合同的文件包括合同协议书、中标通知书（如果有）、投标函及其附录（如果有）、专用合同条款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、通用合同条款、技术标准和要求、图纸、已标价工程量清单或预算书以及其他合同文件。</w:t>
      </w:r>
    </w:p>
    <w:p w14:paraId="2453DE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合同协议书：是指构成合同的由发包人和承包人共同签署的称为“合同协议书”的书面文件。</w:t>
      </w:r>
    </w:p>
    <w:p w14:paraId="409608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中标通知书：是指构成合同的由发包人通知承包人中标的书面文件。</w:t>
      </w:r>
    </w:p>
    <w:p w14:paraId="56C773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1.1.1.4 投标函：是指构成合同的由承包人填写并签署的用于投标的称为“投标函”的文件。</w:t>
      </w:r>
    </w:p>
    <w:p w14:paraId="3CA84B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1.1.1.5 投标函附录：是指构成合同的附在投标函后的称为“投标函附录”的文件。</w:t>
      </w:r>
    </w:p>
    <w:p w14:paraId="1F607E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1.1.1.6 技术标准和要求：是指构成合同的施工应当遵守的或指导施工的国家、行业或地方的技术标准和要求，以及合同约定的技术标准和要求。</w:t>
      </w:r>
    </w:p>
    <w:p w14:paraId="53DB88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1.1.1.7 图纸：是指构成合同的图纸，包括由发包人按照合同约定提供或经发包人批准的设计文件、施工图、鸟瞰图及模型等，以及在合同履行过程中形成的图纸文件。图纸应当按照法律规定审查合格。</w:t>
      </w:r>
    </w:p>
    <w:p w14:paraId="281544BB">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1.1.1.8 已标价工程量清单：是指构成合同的由承包人按照规定的格式和要求填写并标明价格的工程量清单，包括说明和表格。</w:t>
      </w:r>
    </w:p>
    <w:p w14:paraId="52FA9545">
      <w:pPr>
        <w:autoSpaceDE w:val="0"/>
        <w:autoSpaceDN w:val="0"/>
        <w:adjustRightInd w:val="0"/>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1.1.1.9 预算书：是指构成合同的由承包人按照发包人规定的格式和要求编制的工程预算文件。</w:t>
      </w:r>
    </w:p>
    <w:p w14:paraId="723D62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1.1.1.10 其他合同文件：是指经合同当事人约定的与工程施工有关的具有合同约束力的文件或书面协议。合同当事人可以在专用合同条款中进行约定。</w:t>
      </w:r>
    </w:p>
    <w:p w14:paraId="37E60726">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1.1.2 合同当事人及其他相关方</w:t>
      </w:r>
    </w:p>
    <w:p w14:paraId="0EAD12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1.1.2.1 合同当事人：是指发包人和（或）承包人。</w:t>
      </w:r>
    </w:p>
    <w:p w14:paraId="20AF50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1.1.2.2 发包人：是指与承包人签订合同协议书的当事人及取得该当事人资格的合法继承人。</w:t>
      </w:r>
    </w:p>
    <w:p w14:paraId="00B3CF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1.1.2.3 承包人：是指与发包人签订合同协议书的，具有相应工程施工承包资质的当事人及取得该当事人资格的合法继承人。</w:t>
      </w:r>
    </w:p>
    <w:p w14:paraId="0D25A9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1.1.2.4 监理人：是指在专用合同条款中指明的，受发包人委托按照法律规定进行工程监督管理的法人或其他组织。</w:t>
      </w:r>
    </w:p>
    <w:p w14:paraId="78F2C0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1.1.2.5 设计人：是指在专用合同条款中指明的，受发包人委托负责工程设计并具备相应工程设计资质的法人或其他组织。</w:t>
      </w:r>
    </w:p>
    <w:p w14:paraId="13CF0651">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1.1.2.6 分包人：</w:t>
      </w:r>
      <w:bookmarkStart w:id="126" w:name="#go5"/>
      <w:bookmarkEnd w:id="126"/>
      <w:r>
        <w:rPr>
          <w:rFonts w:hint="eastAsia" w:ascii="宋体" w:hAnsi="宋体" w:cs="宋体"/>
          <w:color w:val="auto"/>
          <w:kern w:val="0"/>
          <w:sz w:val="24"/>
          <w:highlight w:val="none"/>
        </w:rPr>
        <w:t>是指按照法律规定和合同约定，分包部分工程或工作，并与承包人签订分包合同的具有相应资质的法人。</w:t>
      </w:r>
    </w:p>
    <w:p w14:paraId="08320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1.1.2.7 发包人代表：是指由发包人任命并派驻施工现场在发包人授权范围内行使发包人权利的人。</w:t>
      </w:r>
    </w:p>
    <w:p w14:paraId="018B68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1.1.2.8 项目经理：是指由承包人任命并派驻施工现场，在承包人授权范围内负责合同履行，且按照法律规定具有相应资格的项目负责人。</w:t>
      </w:r>
    </w:p>
    <w:p w14:paraId="5C2B0D2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1.1.2.9 总监理工程师：是指由监理人任命并派驻施工现场进行工程监理的总负责人。</w:t>
      </w:r>
    </w:p>
    <w:p w14:paraId="7AA584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 工程和设备</w:t>
      </w:r>
    </w:p>
    <w:p w14:paraId="3AE502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 工程：是指与合同协议书中工程承包范围对应的永久工程和（或）临时工程。</w:t>
      </w:r>
    </w:p>
    <w:p w14:paraId="7E9C867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1.1.3.2 永久工程：是指按合同约定建造并移交给发包人的工程，包括工程设备。</w:t>
      </w:r>
    </w:p>
    <w:p w14:paraId="55DE768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1.1.3.3 临时工程：是指为完成合同约定的永久工程所修建的各类临时性工程，不包括施工设备。</w:t>
      </w:r>
    </w:p>
    <w:p w14:paraId="52757B4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1.1.3.4 单位工程：是指在合同协议书中指明的，具备独立施工条件并能形成独立使用功能的永久工程。</w:t>
      </w:r>
    </w:p>
    <w:p w14:paraId="0007E82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1.1.3.5 工程设备：是指构成永久工程的机电设备、金属结构设备、仪器及其他类似的设备和装置。</w:t>
      </w:r>
    </w:p>
    <w:p w14:paraId="4A62F0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1.1.3.6 施工设备：是指为完成合同约定的各项工作所需的设备、器具和其他物品，但不包括工程设备、临时工程和材料。</w:t>
      </w:r>
    </w:p>
    <w:p w14:paraId="50BD86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1.1.3.7 施工现场：是指用于工程施工的场所，以及在专用合同条款中指明作为施工场所组成部分的其他场所，包括永久占地和临时占地。</w:t>
      </w:r>
    </w:p>
    <w:p w14:paraId="11D9E3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1.1.3.8临时设施：是指为完成合同约定的各项工作所服务的临时性生产和生活设施。</w:t>
      </w:r>
    </w:p>
    <w:p w14:paraId="6F09D20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1.1.3.9 永久占地：是指专用合同条款中指明为实施工程需永久占用的土地。</w:t>
      </w:r>
    </w:p>
    <w:p w14:paraId="66CAB1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1.1.3.10 临时占地：是指专用合同条款中指明为实施工程需要临时占用的土地。</w:t>
      </w:r>
    </w:p>
    <w:p w14:paraId="0917CB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 日期和期限</w:t>
      </w:r>
    </w:p>
    <w:p w14:paraId="70EC8C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DCD512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1.1.4.2 竣工日期：包括计划竣工日期和实际竣工日期。计划竣工日期是指合同协议书约定的竣工日期；实际竣工日期按照第13.2.3项〔竣工日期〕的约定确定。 </w:t>
      </w:r>
    </w:p>
    <w:p w14:paraId="08AE761F">
      <w:pPr>
        <w:spacing w:line="312" w:lineRule="auto"/>
        <w:ind w:firstLine="487" w:firstLineChars="203"/>
        <w:rPr>
          <w:rFonts w:hint="eastAsia" w:ascii="宋体" w:hAnsi="宋体" w:cs="宋体"/>
          <w:color w:val="auto"/>
          <w:sz w:val="24"/>
          <w:highlight w:val="none"/>
        </w:rPr>
      </w:pPr>
      <w:r>
        <w:rPr>
          <w:rFonts w:hint="eastAsia" w:ascii="宋体" w:hAnsi="宋体" w:cs="宋体"/>
          <w:color w:val="auto"/>
          <w:kern w:val="0"/>
          <w:sz w:val="24"/>
          <w:highlight w:val="none"/>
        </w:rPr>
        <w:t>1.1.4.3 工期：是指在合同协议书约定的承包人完成工程所需的期限，包括按照合同约定所作的期限变更。</w:t>
      </w:r>
    </w:p>
    <w:p w14:paraId="27F644E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1.1.4.4 缺陷责任期：是指承包人按照合同约定承担缺陷修复义务，且发包人预留质量保证金的期限，自工程实际竣工日期起计算。</w:t>
      </w:r>
    </w:p>
    <w:p w14:paraId="2DBE0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1.1.4.5 保修期：是指承包人按照合同约定对工程承担保修责任的期限，从工程竣工验收合格之日起计算。</w:t>
      </w:r>
    </w:p>
    <w:p w14:paraId="6E8E3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1.1.4.6 基准日期：招标发包的工程以投标截止日前28天的日期为基准日期，直接发包的工程以合同签订日前28天的日期为基准日期。</w:t>
      </w:r>
    </w:p>
    <w:p w14:paraId="61DE2B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1.1.4.7 天：除特别指明外，均指日历天。合同中按天计算时间的，开始当天不计入，从次日开始计算，期限最后一天的截止时间为当天24：00时。</w:t>
      </w:r>
    </w:p>
    <w:p w14:paraId="233C0AD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 合同价格和费用</w:t>
      </w:r>
    </w:p>
    <w:p w14:paraId="5177B32A">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1.1.5.1 签约合同价：是指</w:t>
      </w:r>
      <w:r>
        <w:rPr>
          <w:rFonts w:hint="eastAsia" w:ascii="宋体" w:hAnsi="宋体" w:cs="宋体"/>
          <w:color w:val="auto"/>
          <w:sz w:val="24"/>
          <w:highlight w:val="none"/>
        </w:rPr>
        <w:t>发包人和承包人在合同协议书中确定的总金额，包括安全文明施工费、暂估价及暂列金额等。</w:t>
      </w:r>
    </w:p>
    <w:p w14:paraId="782137C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1.1.5.2 合同价格：是指发包人用于支付承包人按照合同约定完成承包范围内全部工作的金额，包括合同履行过程中按合同约定发生的价格变化。</w:t>
      </w:r>
    </w:p>
    <w:p w14:paraId="2D65F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1.1.5.3 费用：是指为履行合同所发生的或将要发生的所有必需的开支，包括管理费和应分摊的其他费用，但不包括利润。</w:t>
      </w:r>
    </w:p>
    <w:p w14:paraId="3BFE28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1.1.5.4 暂估价：是指发包人在工程量清单或预算书中提供的用于支付必然发生但暂时不能确定价格的材料、工程设备的单价、专业工程以及服务工作的金额。</w:t>
      </w:r>
    </w:p>
    <w:p w14:paraId="20683F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5A576F7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1.1.5.6 计日工：是指合同履行过程中，承包人完成发包人提出的零星工作或需要采用计日工计价的变更工作时，按合同中约定的单价计价的一种方式。</w:t>
      </w:r>
    </w:p>
    <w:p w14:paraId="675B89F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1.1.5.7 质量保证金</w:t>
      </w:r>
      <w:bookmarkStart w:id="127" w:name="#go2"/>
      <w:bookmarkEnd w:id="127"/>
      <w:r>
        <w:rPr>
          <w:rFonts w:hint="eastAsia" w:ascii="宋体" w:hAnsi="宋体" w:cs="宋体"/>
          <w:color w:val="auto"/>
          <w:kern w:val="0"/>
          <w:sz w:val="24"/>
          <w:highlight w:val="none"/>
        </w:rPr>
        <w:t>：是指按照第15.3款〔质量保证金〕约定承包人用于保证其在缺陷责任期内履行缺陷修补义务的担保</w:t>
      </w:r>
      <w:r>
        <w:rPr>
          <w:rFonts w:hint="eastAsia" w:ascii="宋体" w:hAnsi="宋体" w:cs="宋体"/>
          <w:color w:val="auto"/>
          <w:sz w:val="24"/>
          <w:highlight w:val="none"/>
        </w:rPr>
        <w:t>。</w:t>
      </w:r>
    </w:p>
    <w:p w14:paraId="3DC86D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1.1.5.8 总价项目：是指在现行国家、行业以及地方的计量规则中无工程量计算规则，在已标价工程量清单或预算书中以总价或以费率形式计算的项目。</w:t>
      </w:r>
    </w:p>
    <w:p w14:paraId="4D1E6846">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 其他</w:t>
      </w:r>
    </w:p>
    <w:p w14:paraId="229320E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1.1.6.1 书面形式：是指合同文件、信函、电报、传真等可以有形地表现所载内容的形式。</w:t>
      </w:r>
    </w:p>
    <w:p w14:paraId="0162A8E6">
      <w:pPr>
        <w:pStyle w:val="8"/>
        <w:spacing w:before="120" w:after="120" w:line="312"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    </w:t>
      </w:r>
      <w:bookmarkStart w:id="128" w:name="_Toc337558729"/>
      <w:bookmarkStart w:id="129" w:name="_Toc296346530"/>
      <w:bookmarkStart w:id="130" w:name="_Toc296503029"/>
      <w:bookmarkStart w:id="131" w:name="_Toc351203497"/>
      <w:r>
        <w:rPr>
          <w:rFonts w:hint="eastAsia" w:ascii="宋体" w:hAnsi="宋体" w:cs="宋体"/>
          <w:b w:val="0"/>
          <w:color w:val="auto"/>
          <w:sz w:val="24"/>
          <w:szCs w:val="24"/>
          <w:highlight w:val="none"/>
        </w:rPr>
        <w:t>1.2语言文字</w:t>
      </w:r>
      <w:bookmarkEnd w:id="128"/>
      <w:bookmarkEnd w:id="129"/>
      <w:bookmarkEnd w:id="130"/>
      <w:bookmarkEnd w:id="131"/>
    </w:p>
    <w:p w14:paraId="40F624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合同以中国的汉语简体文字编写、解释和说明。合同当事人在专用合同条款中约定使用两种以上语言时，汉语为优先解释和说明合同的语言。</w:t>
      </w:r>
    </w:p>
    <w:p w14:paraId="3DE8A469">
      <w:pPr>
        <w:pStyle w:val="8"/>
        <w:spacing w:before="120" w:after="120" w:line="312" w:lineRule="auto"/>
        <w:ind w:firstLine="480" w:firstLineChars="200"/>
        <w:rPr>
          <w:rFonts w:hint="eastAsia" w:ascii="宋体" w:hAnsi="宋体" w:cs="宋体"/>
          <w:b w:val="0"/>
          <w:color w:val="auto"/>
          <w:sz w:val="24"/>
          <w:szCs w:val="24"/>
          <w:highlight w:val="none"/>
        </w:rPr>
      </w:pPr>
      <w:bookmarkStart w:id="132" w:name="_Toc337558730"/>
      <w:bookmarkStart w:id="133" w:name="_Toc351203498"/>
      <w:bookmarkStart w:id="134" w:name="_Toc296346531"/>
      <w:bookmarkStart w:id="135" w:name="_Toc296503030"/>
      <w:r>
        <w:rPr>
          <w:rFonts w:hint="eastAsia" w:ascii="宋体" w:hAnsi="宋体" w:cs="宋体"/>
          <w:b w:val="0"/>
          <w:color w:val="auto"/>
          <w:sz w:val="24"/>
          <w:szCs w:val="24"/>
          <w:highlight w:val="none"/>
        </w:rPr>
        <w:t>1.3法律</w:t>
      </w:r>
      <w:bookmarkEnd w:id="132"/>
      <w:bookmarkEnd w:id="133"/>
      <w:bookmarkEnd w:id="134"/>
      <w:bookmarkEnd w:id="135"/>
    </w:p>
    <w:p w14:paraId="20F826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合同所称法律是指中华人民共和国法律、行政法规、部门规章，以及工程所在地的地方性法规、自治条例、单行条例和地方政府规章等。</w:t>
      </w:r>
    </w:p>
    <w:p w14:paraId="6AEE20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合同当事人可以在专用合同条款中约定合同适用的其他规范性文件。</w:t>
      </w:r>
    </w:p>
    <w:p w14:paraId="4C4FF2A7">
      <w:pPr>
        <w:pStyle w:val="8"/>
        <w:spacing w:before="120" w:after="120" w:line="312" w:lineRule="auto"/>
        <w:ind w:firstLine="480" w:firstLineChars="200"/>
        <w:rPr>
          <w:rFonts w:hint="eastAsia" w:ascii="宋体" w:hAnsi="宋体" w:cs="宋体"/>
          <w:b w:val="0"/>
          <w:color w:val="auto"/>
          <w:sz w:val="24"/>
          <w:szCs w:val="24"/>
          <w:highlight w:val="none"/>
        </w:rPr>
      </w:pPr>
      <w:bookmarkStart w:id="136" w:name="_Toc351203499"/>
      <w:r>
        <w:rPr>
          <w:rFonts w:hint="eastAsia" w:ascii="宋体" w:hAnsi="宋体" w:cs="宋体"/>
          <w:b w:val="0"/>
          <w:color w:val="auto"/>
          <w:sz w:val="24"/>
          <w:szCs w:val="24"/>
          <w:highlight w:val="none"/>
        </w:rPr>
        <w:t>1.4 标准和规范</w:t>
      </w:r>
      <w:bookmarkEnd w:id="136"/>
    </w:p>
    <w:p w14:paraId="321CD466">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1.4.1 适用于工程的国家标准、行业标准、工程所在地的地方性标准，以及相应的规范、规程等，合同当事人有特别要求的，应在专用合同条款中约定。</w:t>
      </w:r>
    </w:p>
    <w:p w14:paraId="170D1DD5">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1.4.2 发包人要求使用国外标准、规范的，发包人负责提供原文版本和中文译本，并在专用合同条款中约定提供标准规范的名称、份数和时间。</w:t>
      </w:r>
    </w:p>
    <w:p w14:paraId="6D3E2082">
      <w:pPr>
        <w:autoSpaceDE w:val="0"/>
        <w:autoSpaceDN w:val="0"/>
        <w:adjustRightInd w:val="0"/>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03721AE9">
      <w:pPr>
        <w:pStyle w:val="8"/>
        <w:spacing w:before="120" w:after="120" w:line="312" w:lineRule="auto"/>
        <w:ind w:firstLine="480" w:firstLineChars="200"/>
        <w:rPr>
          <w:rFonts w:hint="eastAsia" w:ascii="宋体" w:hAnsi="宋体" w:cs="宋体"/>
          <w:b w:val="0"/>
          <w:color w:val="auto"/>
          <w:sz w:val="24"/>
          <w:szCs w:val="24"/>
          <w:highlight w:val="none"/>
        </w:rPr>
      </w:pPr>
      <w:bookmarkStart w:id="137" w:name="_Toc351203500"/>
      <w:r>
        <w:rPr>
          <w:rFonts w:hint="eastAsia" w:ascii="宋体" w:hAnsi="宋体" w:cs="宋体"/>
          <w:b w:val="0"/>
          <w:color w:val="auto"/>
          <w:sz w:val="24"/>
          <w:szCs w:val="24"/>
          <w:highlight w:val="none"/>
        </w:rPr>
        <w:t>1</w:t>
      </w:r>
      <w:bookmarkStart w:id="138" w:name="_Toc337558731"/>
      <w:bookmarkStart w:id="139" w:name="_Toc296503031"/>
      <w:bookmarkStart w:id="140" w:name="_Toc296346532"/>
      <w:r>
        <w:rPr>
          <w:rFonts w:hint="eastAsia" w:ascii="宋体" w:hAnsi="宋体" w:cs="宋体"/>
          <w:b w:val="0"/>
          <w:color w:val="auto"/>
          <w:sz w:val="24"/>
          <w:szCs w:val="24"/>
          <w:highlight w:val="none"/>
        </w:rPr>
        <w:t>.5 合同文件的优先顺序</w:t>
      </w:r>
      <w:bookmarkEnd w:id="137"/>
    </w:p>
    <w:bookmarkEnd w:id="138"/>
    <w:bookmarkEnd w:id="139"/>
    <w:bookmarkEnd w:id="140"/>
    <w:p w14:paraId="4B7EFD8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组成合同的各项文件应互相解释，互为说明。除专用合同条款另有约定外，解释合同文件的优先顺序如下：</w:t>
      </w:r>
    </w:p>
    <w:p w14:paraId="61D1670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（1）合同协议书；</w:t>
      </w:r>
    </w:p>
    <w:p w14:paraId="396983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（2）中标通知书（如果有）；</w:t>
      </w:r>
    </w:p>
    <w:p w14:paraId="1FE01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（3）投标函及其附录（如果有）；</w:t>
      </w:r>
    </w:p>
    <w:p w14:paraId="721C4D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（4）专用合同条款</w:t>
      </w:r>
      <w:r>
        <w:rPr>
          <w:rFonts w:hint="eastAsia" w:ascii="宋体" w:hAnsi="宋体" w:cs="宋体"/>
          <w:color w:val="auto"/>
          <w:sz w:val="24"/>
          <w:highlight w:val="none"/>
        </w:rPr>
        <w:t>及其附件</w:t>
      </w:r>
      <w:r>
        <w:rPr>
          <w:rFonts w:hint="eastAsia" w:ascii="宋体" w:hAnsi="宋体" w:cs="宋体"/>
          <w:color w:val="auto"/>
          <w:kern w:val="0"/>
          <w:sz w:val="24"/>
          <w:highlight w:val="none"/>
        </w:rPr>
        <w:t>；</w:t>
      </w:r>
    </w:p>
    <w:p w14:paraId="42D5D4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（5）通用合同条款；</w:t>
      </w:r>
    </w:p>
    <w:p w14:paraId="2055A51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（6）技术标准和要求；</w:t>
      </w:r>
    </w:p>
    <w:p w14:paraId="10AC4BC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（7）图纸；</w:t>
      </w:r>
    </w:p>
    <w:p w14:paraId="3CE345D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（8）已标价工程量清单或预算书；</w:t>
      </w:r>
    </w:p>
    <w:p w14:paraId="75FB2650">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（9）其他合同文件。</w:t>
      </w:r>
    </w:p>
    <w:p w14:paraId="3EF9C9C4">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上述各项合同文件包括合同当事人就该项合同文件所作出的补充和修改，属于同一类内容的文件，应以最新签署的为准。</w:t>
      </w:r>
    </w:p>
    <w:p w14:paraId="0FBE440A">
      <w:pPr>
        <w:spacing w:line="312" w:lineRule="auto"/>
        <w:ind w:firstLine="511" w:firstLineChars="213"/>
        <w:rPr>
          <w:rFonts w:hint="eastAsia" w:ascii="宋体" w:hAnsi="宋体" w:cs="宋体"/>
          <w:color w:val="auto"/>
          <w:sz w:val="24"/>
          <w:highlight w:val="none"/>
        </w:rPr>
      </w:pPr>
      <w:r>
        <w:rPr>
          <w:rFonts w:hint="eastAsia" w:ascii="宋体" w:hAnsi="宋体" w:cs="宋体"/>
          <w:color w:val="auto"/>
          <w:sz w:val="24"/>
          <w:highlight w:val="none"/>
        </w:rPr>
        <w:t>在合同订立及履行过程中形成的与合同有关的文件均构成合同文件组成部分，并根据其性质确定优先解释顺序。</w:t>
      </w:r>
    </w:p>
    <w:p w14:paraId="1144F353">
      <w:pPr>
        <w:pStyle w:val="8"/>
        <w:spacing w:before="120" w:after="120" w:line="312" w:lineRule="auto"/>
        <w:ind w:firstLine="480" w:firstLineChars="200"/>
        <w:rPr>
          <w:rFonts w:hint="eastAsia" w:ascii="宋体" w:hAnsi="宋体" w:cs="宋体"/>
          <w:b w:val="0"/>
          <w:color w:val="auto"/>
          <w:sz w:val="24"/>
          <w:szCs w:val="24"/>
          <w:highlight w:val="none"/>
        </w:rPr>
      </w:pPr>
      <w:bookmarkStart w:id="141" w:name="_Toc351203501"/>
      <w:r>
        <w:rPr>
          <w:rFonts w:hint="eastAsia" w:ascii="宋体" w:hAnsi="宋体" w:cs="宋体"/>
          <w:b w:val="0"/>
          <w:color w:val="auto"/>
          <w:sz w:val="24"/>
          <w:szCs w:val="24"/>
          <w:highlight w:val="none"/>
        </w:rPr>
        <w:t>1</w:t>
      </w:r>
      <w:bookmarkStart w:id="142" w:name="_Toc337558732"/>
      <w:bookmarkStart w:id="143" w:name="_Toc296346533"/>
      <w:bookmarkStart w:id="144" w:name="_Toc296503032"/>
      <w:r>
        <w:rPr>
          <w:rFonts w:hint="eastAsia" w:ascii="宋体" w:hAnsi="宋体" w:cs="宋体"/>
          <w:b w:val="0"/>
          <w:color w:val="auto"/>
          <w:sz w:val="24"/>
          <w:szCs w:val="24"/>
          <w:highlight w:val="none"/>
        </w:rPr>
        <w:t>.6图纸和承包人文件</w:t>
      </w:r>
      <w:bookmarkEnd w:id="141"/>
    </w:p>
    <w:bookmarkEnd w:id="142"/>
    <w:bookmarkEnd w:id="143"/>
    <w:bookmarkEnd w:id="144"/>
    <w:p w14:paraId="1D3779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 图纸的提供和交底</w:t>
      </w:r>
    </w:p>
    <w:p w14:paraId="74471A0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专用合同条款约定的期限、数量和内容向承包人免费提供图纸，并组织承包人、监理人和设计人进行图纸会审和设计交底。发包人至迟不得晚于第7.3.2项〔开工通知〕载明的开工日期前14天向承包人提供图纸。</w:t>
      </w:r>
    </w:p>
    <w:p w14:paraId="66BEB0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因发包人未按合同约定提供图纸导致承包人费用增加和（或）工期延误的，按照第7.5.1项〔因发包人原因导致工期延误〕约定办理。</w:t>
      </w:r>
    </w:p>
    <w:p w14:paraId="3C7A61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 图纸的错误</w:t>
      </w:r>
    </w:p>
    <w:p w14:paraId="3E05F3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055D1D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1.6.3 图纸的修改和补充</w:t>
      </w:r>
    </w:p>
    <w:p w14:paraId="603031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33E2E5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1.6.4 承包人文件</w:t>
      </w:r>
    </w:p>
    <w:p w14:paraId="228941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承包人应按照专用合同条款的约定提供应当由其编制的与工程施工有关的文件，并按照专用合同条款约定的期限、数量和形式提交监理人，并由监理人报送发包人。</w:t>
      </w:r>
    </w:p>
    <w:p w14:paraId="06AC15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12C0C20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1.6.5 图纸和承包人文件的保管</w:t>
      </w:r>
    </w:p>
    <w:p w14:paraId="07E0AF8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除专用合同条款另有约定外，承包人应在施工现场另外保存一套完整的图纸和承包人文件，供发包人、监理人及有关人员进行工程检查时使用。</w:t>
      </w:r>
    </w:p>
    <w:p w14:paraId="51B9D8B4">
      <w:pPr>
        <w:pStyle w:val="8"/>
        <w:spacing w:before="120" w:after="120" w:line="312" w:lineRule="auto"/>
        <w:ind w:firstLine="480" w:firstLineChars="200"/>
        <w:rPr>
          <w:rFonts w:hint="eastAsia" w:ascii="宋体" w:hAnsi="宋体" w:cs="宋体"/>
          <w:b w:val="0"/>
          <w:color w:val="auto"/>
          <w:sz w:val="24"/>
          <w:szCs w:val="24"/>
          <w:highlight w:val="none"/>
        </w:rPr>
      </w:pPr>
      <w:bookmarkStart w:id="145" w:name="_Toc351203502"/>
      <w:r>
        <w:rPr>
          <w:rFonts w:hint="eastAsia" w:ascii="宋体" w:hAnsi="宋体" w:cs="宋体"/>
          <w:b w:val="0"/>
          <w:color w:val="auto"/>
          <w:sz w:val="24"/>
          <w:szCs w:val="24"/>
          <w:highlight w:val="none"/>
        </w:rPr>
        <w:t>1</w:t>
      </w:r>
      <w:bookmarkStart w:id="146" w:name="_Toc296346534"/>
      <w:bookmarkStart w:id="147" w:name="_Toc296503033"/>
      <w:bookmarkStart w:id="148" w:name="_Toc337558733"/>
      <w:r>
        <w:rPr>
          <w:rFonts w:hint="eastAsia" w:ascii="宋体" w:hAnsi="宋体" w:cs="宋体"/>
          <w:b w:val="0"/>
          <w:color w:val="auto"/>
          <w:sz w:val="24"/>
          <w:szCs w:val="24"/>
          <w:highlight w:val="none"/>
        </w:rPr>
        <w:t>.7联络</w:t>
      </w:r>
      <w:bookmarkEnd w:id="145"/>
    </w:p>
    <w:bookmarkEnd w:id="146"/>
    <w:bookmarkEnd w:id="147"/>
    <w:bookmarkEnd w:id="148"/>
    <w:p w14:paraId="61BB60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1.7.1 与合同有关的通知、批准、证明、证书、指示、指令、要求、请求、同意、意见、确定和决定等，均应采用书面形式，并应在合同约定的期限内送达接收人和送达地点。</w:t>
      </w:r>
    </w:p>
    <w:p w14:paraId="6C6C83A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1.7.2 发包人和承包人应在专用合同条款中约定各自的送达接收人和送达地点。任何一方合同当事人指定的接收人或送达地点发生变动的，应提前3天以书面形式通知对方。</w:t>
      </w:r>
    </w:p>
    <w:p w14:paraId="1A02D2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 发包人和承包人应当及时签收另一方送达至送达地点和指定接收人的来往信函。拒不签收的，由此增加的费用和（或）延误的工期由拒绝接收一方承担。</w:t>
      </w:r>
    </w:p>
    <w:p w14:paraId="794D2501">
      <w:pPr>
        <w:pStyle w:val="8"/>
        <w:spacing w:before="120" w:after="120" w:line="312" w:lineRule="auto"/>
        <w:ind w:firstLine="480" w:firstLineChars="200"/>
        <w:rPr>
          <w:rFonts w:hint="eastAsia" w:ascii="宋体" w:hAnsi="宋体" w:cs="宋体"/>
          <w:b w:val="0"/>
          <w:color w:val="auto"/>
          <w:sz w:val="24"/>
          <w:szCs w:val="24"/>
          <w:highlight w:val="none"/>
        </w:rPr>
      </w:pPr>
      <w:bookmarkStart w:id="149" w:name="_Toc351203503"/>
      <w:r>
        <w:rPr>
          <w:rFonts w:hint="eastAsia" w:ascii="宋体" w:hAnsi="宋体" w:cs="宋体"/>
          <w:b w:val="0"/>
          <w:color w:val="auto"/>
          <w:sz w:val="24"/>
          <w:szCs w:val="24"/>
          <w:highlight w:val="none"/>
        </w:rPr>
        <w:t>1</w:t>
      </w:r>
      <w:bookmarkStart w:id="150" w:name="_Toc296346536"/>
      <w:bookmarkStart w:id="151" w:name="_Toc296503035"/>
      <w:bookmarkStart w:id="152" w:name="_Toc337558734"/>
      <w:r>
        <w:rPr>
          <w:rFonts w:hint="eastAsia" w:ascii="宋体" w:hAnsi="宋体" w:cs="宋体"/>
          <w:b w:val="0"/>
          <w:color w:val="auto"/>
          <w:sz w:val="24"/>
          <w:szCs w:val="24"/>
          <w:highlight w:val="none"/>
        </w:rPr>
        <w:t>.8严禁贿赂</w:t>
      </w:r>
      <w:bookmarkEnd w:id="149"/>
    </w:p>
    <w:bookmarkEnd w:id="150"/>
    <w:bookmarkEnd w:id="151"/>
    <w:bookmarkEnd w:id="152"/>
    <w:p w14:paraId="1F9194C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合同当事人不得以贿赂或变相贿赂的方式，谋取非法利益或损害对方权益。因一方合同当事人的贿赂造成对方损失的，应赔偿损失，并承担相应的法律责任。</w:t>
      </w:r>
    </w:p>
    <w:p w14:paraId="2F060C4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16120C83">
      <w:pPr>
        <w:pStyle w:val="8"/>
        <w:spacing w:before="120" w:after="120" w:line="312" w:lineRule="auto"/>
        <w:ind w:firstLine="480" w:firstLineChars="200"/>
        <w:rPr>
          <w:rFonts w:hint="eastAsia" w:ascii="宋体" w:hAnsi="宋体" w:cs="宋体"/>
          <w:b w:val="0"/>
          <w:color w:val="auto"/>
          <w:sz w:val="24"/>
          <w:szCs w:val="24"/>
          <w:highlight w:val="none"/>
        </w:rPr>
      </w:pPr>
      <w:bookmarkStart w:id="153" w:name="_Toc351203504"/>
      <w:r>
        <w:rPr>
          <w:rFonts w:hint="eastAsia" w:ascii="宋体" w:hAnsi="宋体" w:cs="宋体"/>
          <w:b w:val="0"/>
          <w:color w:val="auto"/>
          <w:sz w:val="24"/>
          <w:szCs w:val="24"/>
          <w:highlight w:val="none"/>
        </w:rPr>
        <w:t>1</w:t>
      </w:r>
      <w:bookmarkStart w:id="154" w:name="_Toc296503036"/>
      <w:bookmarkStart w:id="155" w:name="_Toc296346537"/>
      <w:bookmarkStart w:id="156" w:name="_Toc337558735"/>
      <w:r>
        <w:rPr>
          <w:rFonts w:hint="eastAsia" w:ascii="宋体" w:hAnsi="宋体" w:cs="宋体"/>
          <w:b w:val="0"/>
          <w:color w:val="auto"/>
          <w:sz w:val="24"/>
          <w:szCs w:val="24"/>
          <w:highlight w:val="none"/>
        </w:rPr>
        <w:t>.9化石、文物</w:t>
      </w:r>
      <w:bookmarkEnd w:id="153"/>
    </w:p>
    <w:bookmarkEnd w:id="154"/>
    <w:bookmarkEnd w:id="155"/>
    <w:bookmarkEnd w:id="156"/>
    <w:p w14:paraId="4D76B5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5E25E2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发包人、监理人和承包人应按有关政府行政管理部门要求采取妥善的保护措施，由此增加的费用和（或）延误的工期由发包人承担。</w:t>
      </w:r>
    </w:p>
    <w:p w14:paraId="6E7BC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承包人发现文物后不及时报告或隐瞒不报，致使文物丢失或损坏的，应赔偿损失，并承担相应的法律责任。</w:t>
      </w:r>
    </w:p>
    <w:p w14:paraId="1D526582">
      <w:pPr>
        <w:pStyle w:val="8"/>
        <w:spacing w:before="120" w:after="120" w:line="312" w:lineRule="auto"/>
        <w:ind w:firstLine="480" w:firstLineChars="200"/>
        <w:rPr>
          <w:rFonts w:hint="eastAsia" w:ascii="宋体" w:hAnsi="宋体" w:cs="宋体"/>
          <w:b w:val="0"/>
          <w:color w:val="auto"/>
          <w:sz w:val="24"/>
          <w:szCs w:val="24"/>
          <w:highlight w:val="none"/>
        </w:rPr>
      </w:pPr>
      <w:bookmarkStart w:id="157" w:name="_Toc351203505"/>
      <w:r>
        <w:rPr>
          <w:rFonts w:hint="eastAsia" w:ascii="宋体" w:hAnsi="宋体" w:cs="宋体"/>
          <w:b w:val="0"/>
          <w:color w:val="auto"/>
          <w:sz w:val="24"/>
          <w:szCs w:val="24"/>
          <w:highlight w:val="none"/>
        </w:rPr>
        <w:t>1</w:t>
      </w:r>
      <w:bookmarkStart w:id="158" w:name="_Toc337558736"/>
      <w:r>
        <w:rPr>
          <w:rFonts w:hint="eastAsia" w:ascii="宋体" w:hAnsi="宋体" w:cs="宋体"/>
          <w:b w:val="0"/>
          <w:color w:val="auto"/>
          <w:sz w:val="24"/>
          <w:szCs w:val="24"/>
          <w:highlight w:val="none"/>
        </w:rPr>
        <w:t>.10交通运输</w:t>
      </w:r>
      <w:bookmarkEnd w:id="157"/>
    </w:p>
    <w:bookmarkEnd w:id="158"/>
    <w:p w14:paraId="7D0CDD9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1.10.1 出入现场的权利</w:t>
      </w:r>
    </w:p>
    <w:p w14:paraId="719E51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61B0806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4B3B34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1.10.2 场外交通</w:t>
      </w:r>
    </w:p>
    <w:p w14:paraId="395081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096F78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1.10.3场内交通</w:t>
      </w:r>
    </w:p>
    <w:p w14:paraId="1AA41B7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24BD86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15DDF5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场外交通和场内交通的边界由合同当事人在专用合同条款中约定。</w:t>
      </w:r>
    </w:p>
    <w:p w14:paraId="7F202C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1.10.4 超大件和超重件的运输</w:t>
      </w:r>
    </w:p>
    <w:p w14:paraId="104EA4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3F6DE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1.10.5 道路和桥梁的损坏责任</w:t>
      </w:r>
    </w:p>
    <w:p w14:paraId="20B860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因承包人运输造成施工场地内外公共道路和桥梁损坏的，由承包人承担修复损坏的全部费用和可能引起的赔偿。</w:t>
      </w:r>
    </w:p>
    <w:p w14:paraId="5C65F9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1.10.6 水路和航空运输</w:t>
      </w:r>
    </w:p>
    <w:p w14:paraId="4F2848F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本款前述各项的内容适用于水路运输和航空运输，其中“道路”一词的涵义包括河道、航线、船闸、机场、码头、堤防以及水路或航空运输中其他相似结构物；“车辆”一词的涵义包括船舶和飞机等。</w:t>
      </w:r>
    </w:p>
    <w:p w14:paraId="578369B8">
      <w:pPr>
        <w:pStyle w:val="8"/>
        <w:spacing w:before="120" w:after="120" w:line="312" w:lineRule="auto"/>
        <w:ind w:firstLine="480" w:firstLineChars="200"/>
        <w:rPr>
          <w:rFonts w:hint="eastAsia" w:ascii="宋体" w:hAnsi="宋体" w:cs="宋体"/>
          <w:b w:val="0"/>
          <w:color w:val="auto"/>
          <w:sz w:val="24"/>
          <w:szCs w:val="24"/>
          <w:highlight w:val="none"/>
        </w:rPr>
      </w:pPr>
      <w:bookmarkStart w:id="159" w:name="_Toc351203506"/>
      <w:r>
        <w:rPr>
          <w:rFonts w:hint="eastAsia" w:ascii="宋体" w:hAnsi="宋体" w:cs="宋体"/>
          <w:b w:val="0"/>
          <w:color w:val="auto"/>
          <w:sz w:val="24"/>
          <w:szCs w:val="24"/>
          <w:highlight w:val="none"/>
        </w:rPr>
        <w:t>1</w:t>
      </w:r>
      <w:bookmarkStart w:id="160" w:name="_Toc337558737"/>
      <w:bookmarkStart w:id="161" w:name="_Toc296503037"/>
      <w:bookmarkStart w:id="162" w:name="_Toc296346538"/>
      <w:r>
        <w:rPr>
          <w:rFonts w:hint="eastAsia" w:ascii="宋体" w:hAnsi="宋体" w:cs="宋体"/>
          <w:b w:val="0"/>
          <w:color w:val="auto"/>
          <w:sz w:val="24"/>
          <w:szCs w:val="24"/>
          <w:highlight w:val="none"/>
        </w:rPr>
        <w:t>.11知识产权</w:t>
      </w:r>
      <w:bookmarkEnd w:id="159"/>
      <w:r>
        <w:rPr>
          <w:rFonts w:hint="eastAsia" w:ascii="宋体" w:hAnsi="宋体" w:cs="宋体"/>
          <w:b w:val="0"/>
          <w:color w:val="auto"/>
          <w:sz w:val="24"/>
          <w:szCs w:val="24"/>
          <w:highlight w:val="none"/>
        </w:rPr>
        <w:t xml:space="preserve"> </w:t>
      </w:r>
      <w:bookmarkEnd w:id="160"/>
    </w:p>
    <w:bookmarkEnd w:id="161"/>
    <w:bookmarkEnd w:id="162"/>
    <w:p w14:paraId="677B90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0A6B59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365C1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01C4B963">
      <w:pPr>
        <w:spacing w:line="312" w:lineRule="auto"/>
        <w:rPr>
          <w:rFonts w:hint="eastAsia" w:ascii="宋体" w:hAnsi="宋体" w:cs="宋体"/>
          <w:color w:val="auto"/>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sz w:val="24"/>
          <w:highlight w:val="none"/>
        </w:rPr>
        <w:t>1.11.4 除专用合同条款另有约定外，承包人在合同签订前和签订时已确定采用的专利、专有技术、技术秘密的使用费已包含在签约合同价中。</w:t>
      </w:r>
    </w:p>
    <w:p w14:paraId="7308B7C5">
      <w:pPr>
        <w:pStyle w:val="8"/>
        <w:spacing w:before="120" w:after="120" w:line="312" w:lineRule="auto"/>
        <w:ind w:firstLine="480" w:firstLineChars="200"/>
        <w:rPr>
          <w:rFonts w:hint="eastAsia" w:ascii="宋体" w:hAnsi="宋体" w:cs="宋体"/>
          <w:b w:val="0"/>
          <w:color w:val="auto"/>
          <w:sz w:val="24"/>
          <w:szCs w:val="24"/>
          <w:highlight w:val="none"/>
        </w:rPr>
      </w:pPr>
      <w:bookmarkStart w:id="163" w:name="_Toc351203507"/>
      <w:r>
        <w:rPr>
          <w:rFonts w:hint="eastAsia" w:ascii="宋体" w:hAnsi="宋体" w:cs="宋体"/>
          <w:b w:val="0"/>
          <w:color w:val="auto"/>
          <w:sz w:val="24"/>
          <w:szCs w:val="24"/>
          <w:highlight w:val="none"/>
        </w:rPr>
        <w:t>1</w:t>
      </w:r>
      <w:bookmarkStart w:id="164" w:name="_Toc337558738"/>
      <w:r>
        <w:rPr>
          <w:rFonts w:hint="eastAsia" w:ascii="宋体" w:hAnsi="宋体" w:cs="宋体"/>
          <w:b w:val="0"/>
          <w:color w:val="auto"/>
          <w:sz w:val="24"/>
          <w:szCs w:val="24"/>
          <w:highlight w:val="none"/>
        </w:rPr>
        <w:t>.12保密</w:t>
      </w:r>
      <w:bookmarkEnd w:id="163"/>
    </w:p>
    <w:bookmarkEnd w:id="164"/>
    <w:p w14:paraId="307EF2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除法律规定或合同另有约定外，未经发包人同意，承包人不得将发包人提供的图纸、文件以及声明需要保密的资料信息等商业秘密泄露给第三方。</w:t>
      </w:r>
    </w:p>
    <w:p w14:paraId="111FC7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除法律规定或合同另有约定外，未经承包人同意，发包人不得将承包人提供的技术秘密及声明需要保密的资料信息等商业秘密泄露给第三方。</w:t>
      </w:r>
    </w:p>
    <w:p w14:paraId="0B2ED210">
      <w:pPr>
        <w:pStyle w:val="8"/>
        <w:spacing w:before="120" w:after="120" w:line="312" w:lineRule="auto"/>
        <w:ind w:firstLine="480" w:firstLineChars="200"/>
        <w:rPr>
          <w:rFonts w:hint="eastAsia" w:ascii="宋体" w:hAnsi="宋体" w:cs="宋体"/>
          <w:b w:val="0"/>
          <w:color w:val="auto"/>
          <w:sz w:val="24"/>
          <w:szCs w:val="24"/>
          <w:highlight w:val="none"/>
        </w:rPr>
      </w:pPr>
      <w:bookmarkStart w:id="165" w:name="_Toc351203508"/>
      <w:r>
        <w:rPr>
          <w:rFonts w:hint="eastAsia" w:ascii="宋体" w:hAnsi="宋体" w:cs="宋体"/>
          <w:b w:val="0"/>
          <w:color w:val="auto"/>
          <w:sz w:val="24"/>
          <w:szCs w:val="24"/>
          <w:highlight w:val="none"/>
        </w:rPr>
        <w:t>1.13工程量清单错误的修正</w:t>
      </w:r>
      <w:bookmarkEnd w:id="165"/>
    </w:p>
    <w:p w14:paraId="1E3D5C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除专用合同条款另有约定外，发包人提供的工程量清单，应被认为是准确的和完整的。出现下列情形之一时，发包人应予以修正，并相应调整合同价格：</w:t>
      </w:r>
    </w:p>
    <w:p w14:paraId="33142B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（1）工程量清单存在缺项、漏项的；</w:t>
      </w:r>
    </w:p>
    <w:p w14:paraId="27C9E9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（2）工程量清单偏差超出专用合同条款约定的工程量偏差范围的；</w:t>
      </w:r>
    </w:p>
    <w:p w14:paraId="081BC9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（3）未按照国家现行计量规范强制性规定计量的。</w:t>
      </w:r>
    </w:p>
    <w:p w14:paraId="2D196CE7">
      <w:pPr>
        <w:pStyle w:val="7"/>
        <w:spacing w:before="120" w:after="120" w:line="312" w:lineRule="auto"/>
        <w:rPr>
          <w:rFonts w:hint="eastAsia"/>
          <w:b w:val="0"/>
          <w:color w:val="auto"/>
          <w:sz w:val="24"/>
          <w:szCs w:val="24"/>
          <w:highlight w:val="none"/>
        </w:rPr>
      </w:pPr>
      <w:bookmarkStart w:id="166" w:name="_Toc351203509"/>
      <w:r>
        <w:rPr>
          <w:rFonts w:hint="eastAsia"/>
          <w:b w:val="0"/>
          <w:color w:val="auto"/>
          <w:sz w:val="24"/>
          <w:szCs w:val="24"/>
          <w:highlight w:val="none"/>
        </w:rPr>
        <w:t>2</w:t>
      </w:r>
      <w:bookmarkStart w:id="167" w:name="_Toc296503038"/>
      <w:bookmarkStart w:id="168" w:name="_Toc337558739"/>
      <w:bookmarkStart w:id="169" w:name="_Toc296346539"/>
      <w:bookmarkStart w:id="170" w:name="OLE_LINK1"/>
      <w:bookmarkStart w:id="171" w:name="OLE_LINK2"/>
      <w:r>
        <w:rPr>
          <w:rFonts w:hint="eastAsia"/>
          <w:b w:val="0"/>
          <w:color w:val="auto"/>
          <w:sz w:val="24"/>
          <w:szCs w:val="24"/>
          <w:highlight w:val="none"/>
        </w:rPr>
        <w:t>. 发包人</w:t>
      </w:r>
      <w:bookmarkEnd w:id="166"/>
    </w:p>
    <w:bookmarkEnd w:id="167"/>
    <w:bookmarkEnd w:id="168"/>
    <w:bookmarkEnd w:id="169"/>
    <w:p w14:paraId="4373B2EF">
      <w:pPr>
        <w:pStyle w:val="8"/>
        <w:spacing w:before="120" w:after="120" w:line="312" w:lineRule="auto"/>
        <w:ind w:firstLine="480" w:firstLineChars="200"/>
        <w:rPr>
          <w:rFonts w:hint="eastAsia" w:ascii="宋体" w:hAnsi="宋体" w:cs="宋体"/>
          <w:b w:val="0"/>
          <w:color w:val="auto"/>
          <w:sz w:val="24"/>
          <w:szCs w:val="24"/>
          <w:highlight w:val="none"/>
        </w:rPr>
      </w:pPr>
      <w:bookmarkStart w:id="172" w:name="_Toc351203510"/>
      <w:r>
        <w:rPr>
          <w:rFonts w:hint="eastAsia" w:ascii="宋体" w:hAnsi="宋体" w:cs="宋体"/>
          <w:b w:val="0"/>
          <w:color w:val="auto"/>
          <w:sz w:val="24"/>
          <w:szCs w:val="24"/>
          <w:highlight w:val="none"/>
        </w:rPr>
        <w:t>2</w:t>
      </w:r>
      <w:bookmarkStart w:id="173" w:name="_Toc296503039"/>
      <w:bookmarkStart w:id="174" w:name="_Toc296346540"/>
      <w:bookmarkStart w:id="175" w:name="_Toc337558740"/>
      <w:r>
        <w:rPr>
          <w:rFonts w:hint="eastAsia" w:ascii="宋体" w:hAnsi="宋体" w:cs="宋体"/>
          <w:b w:val="0"/>
          <w:color w:val="auto"/>
          <w:sz w:val="24"/>
          <w:szCs w:val="24"/>
          <w:highlight w:val="none"/>
        </w:rPr>
        <w:t>.1 许可或批准</w:t>
      </w:r>
      <w:bookmarkEnd w:id="172"/>
    </w:p>
    <w:p w14:paraId="48A44C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21A5D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因发包人原因未能及时办理完毕前述许可、批准或备案，由发包人承担由此增加的费用和（或）延误的工期，并支付承包人合理的利润。</w:t>
      </w:r>
    </w:p>
    <w:p w14:paraId="287DDC29">
      <w:pPr>
        <w:pStyle w:val="8"/>
        <w:spacing w:before="120" w:after="120" w:line="312" w:lineRule="auto"/>
        <w:ind w:firstLine="480" w:firstLineChars="200"/>
        <w:rPr>
          <w:rFonts w:hint="eastAsia" w:ascii="宋体" w:hAnsi="宋体" w:cs="宋体"/>
          <w:b w:val="0"/>
          <w:color w:val="auto"/>
          <w:sz w:val="24"/>
          <w:szCs w:val="24"/>
          <w:highlight w:val="none"/>
        </w:rPr>
      </w:pPr>
      <w:bookmarkStart w:id="176" w:name="_Toc351203511"/>
      <w:r>
        <w:rPr>
          <w:rFonts w:hint="eastAsia" w:ascii="宋体" w:hAnsi="宋体" w:cs="宋体"/>
          <w:b w:val="0"/>
          <w:color w:val="auto"/>
          <w:sz w:val="24"/>
          <w:szCs w:val="24"/>
          <w:highlight w:val="none"/>
        </w:rPr>
        <w:t>2.2 发包人代表</w:t>
      </w:r>
      <w:bookmarkEnd w:id="176"/>
    </w:p>
    <w:p w14:paraId="7F73DD0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1AF2F7A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发包人代表不能按照合同约定履行其职责及义务，并导致合同无法继续正常履行的，承包人可以要求发包人撤换发包人代表。</w:t>
      </w:r>
    </w:p>
    <w:p w14:paraId="7612F49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不属于法定必须监理的工程，监理人的职权可以由发包人代表或发包人指定的其他人员行使。</w:t>
      </w:r>
    </w:p>
    <w:p w14:paraId="503D3C09">
      <w:pPr>
        <w:pStyle w:val="8"/>
        <w:spacing w:before="120" w:after="120" w:line="312" w:lineRule="auto"/>
        <w:ind w:firstLine="480" w:firstLineChars="200"/>
        <w:rPr>
          <w:rFonts w:hint="eastAsia" w:ascii="宋体" w:hAnsi="宋体" w:cs="宋体"/>
          <w:b w:val="0"/>
          <w:color w:val="auto"/>
          <w:sz w:val="24"/>
          <w:szCs w:val="24"/>
          <w:highlight w:val="none"/>
        </w:rPr>
      </w:pPr>
      <w:bookmarkStart w:id="177" w:name="_Toc351203512"/>
      <w:r>
        <w:rPr>
          <w:rFonts w:hint="eastAsia" w:ascii="宋体" w:hAnsi="宋体" w:cs="宋体"/>
          <w:b w:val="0"/>
          <w:color w:val="auto"/>
          <w:sz w:val="24"/>
          <w:szCs w:val="24"/>
          <w:highlight w:val="none"/>
        </w:rPr>
        <w:t>2.3 发包人人员</w:t>
      </w:r>
      <w:bookmarkEnd w:id="177"/>
    </w:p>
    <w:p w14:paraId="58350B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发包人应要求在施工现场的发包人人员遵守法律及有关安全、质量、环境保护、文明施工等规定，并保障承包人免于承受因发包人人员未遵守上述要求给承包人造成的损失和责任。</w:t>
      </w:r>
    </w:p>
    <w:p w14:paraId="060E911F">
      <w:pPr>
        <w:spacing w:line="312" w:lineRule="auto"/>
        <w:ind w:firstLine="6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发包人人员包括发包人代表及其他由发包人派驻施工现场的人员。</w:t>
      </w:r>
      <w:bookmarkEnd w:id="173"/>
      <w:bookmarkEnd w:id="174"/>
      <w:bookmarkEnd w:id="175"/>
    </w:p>
    <w:p w14:paraId="77E2037D">
      <w:pPr>
        <w:pStyle w:val="8"/>
        <w:spacing w:before="120" w:after="120" w:line="312" w:lineRule="auto"/>
        <w:ind w:firstLine="480" w:firstLineChars="200"/>
        <w:rPr>
          <w:rFonts w:hint="eastAsia" w:ascii="宋体" w:hAnsi="宋体" w:cs="宋体"/>
          <w:b w:val="0"/>
          <w:color w:val="auto"/>
          <w:sz w:val="24"/>
          <w:szCs w:val="24"/>
          <w:highlight w:val="none"/>
        </w:rPr>
      </w:pPr>
      <w:bookmarkStart w:id="178" w:name="_Toc351203513"/>
      <w:r>
        <w:rPr>
          <w:rFonts w:hint="eastAsia" w:ascii="宋体" w:hAnsi="宋体" w:cs="宋体"/>
          <w:b w:val="0"/>
          <w:color w:val="auto"/>
          <w:sz w:val="24"/>
          <w:szCs w:val="24"/>
          <w:highlight w:val="none"/>
        </w:rPr>
        <w:t>2</w:t>
      </w:r>
      <w:bookmarkStart w:id="179" w:name="_Toc296346541"/>
      <w:bookmarkStart w:id="180" w:name="_Toc337558741"/>
      <w:bookmarkStart w:id="181" w:name="_Toc296503040"/>
      <w:r>
        <w:rPr>
          <w:rFonts w:hint="eastAsia" w:ascii="宋体" w:hAnsi="宋体" w:cs="宋体"/>
          <w:b w:val="0"/>
          <w:color w:val="auto"/>
          <w:sz w:val="24"/>
          <w:szCs w:val="24"/>
          <w:highlight w:val="none"/>
        </w:rPr>
        <w:t>.4 施工现场、施工条件和基础资料的提供</w:t>
      </w:r>
      <w:bookmarkEnd w:id="178"/>
      <w:r>
        <w:rPr>
          <w:rFonts w:hint="eastAsia" w:ascii="宋体" w:hAnsi="宋体" w:cs="宋体"/>
          <w:b w:val="0"/>
          <w:color w:val="auto"/>
          <w:sz w:val="24"/>
          <w:szCs w:val="24"/>
          <w:highlight w:val="none"/>
        </w:rPr>
        <w:t xml:space="preserve"> </w:t>
      </w:r>
      <w:bookmarkEnd w:id="179"/>
      <w:bookmarkEnd w:id="180"/>
      <w:bookmarkEnd w:id="181"/>
      <w:r>
        <w:rPr>
          <w:rFonts w:hint="eastAsia" w:ascii="宋体" w:hAnsi="宋体" w:cs="宋体"/>
          <w:b w:val="0"/>
          <w:color w:val="auto"/>
          <w:sz w:val="24"/>
          <w:szCs w:val="24"/>
          <w:highlight w:val="none"/>
        </w:rPr>
        <w:t xml:space="preserve"> </w:t>
      </w:r>
    </w:p>
    <w:p w14:paraId="34ACB9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2.4.1 提供施工现场</w:t>
      </w:r>
    </w:p>
    <w:p w14:paraId="614A2E8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w:t>
      </w:r>
      <w:bookmarkEnd w:id="170"/>
      <w:bookmarkEnd w:id="171"/>
      <w:r>
        <w:rPr>
          <w:rFonts w:hint="eastAsia" w:ascii="宋体" w:hAnsi="宋体" w:cs="宋体"/>
          <w:color w:val="auto"/>
          <w:kern w:val="0"/>
          <w:sz w:val="24"/>
          <w:highlight w:val="none"/>
        </w:rPr>
        <w:t>专用合同条款另有约定外，发包人应最迟于开工日期7天前向承包人移交施工现场。</w:t>
      </w:r>
    </w:p>
    <w:p w14:paraId="75E89A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2.4.2 提供施工条件</w:t>
      </w:r>
    </w:p>
    <w:p w14:paraId="7770CB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除专用合同条款另有约定外，发包人应负责提供施工所需要的条件，包括：</w:t>
      </w:r>
    </w:p>
    <w:p w14:paraId="3D4C39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（1）将施工用水、电力、通讯线路等施工所必需的条件接至施工现场内；</w:t>
      </w:r>
    </w:p>
    <w:p w14:paraId="305483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（2）保证向承包人提供正常施工所需要的进入施工现场的交通条件；</w:t>
      </w:r>
    </w:p>
    <w:p w14:paraId="3532FE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（3）协调处理施工现场周围地下管线和邻近建筑物、构筑物、古树名木的保护工作，并承担相关费用；</w:t>
      </w:r>
    </w:p>
    <w:p w14:paraId="006CA4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（4）按照专用合同条款约定应提供的其他设施和条件。</w:t>
      </w:r>
    </w:p>
    <w:p w14:paraId="62ED8B45">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2.4.3 提供基础资料</w:t>
      </w:r>
    </w:p>
    <w:p w14:paraId="4E04B8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2624E5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按照法律规定确需在开工后方能提供的基础资料，发包人应尽其努力及时地在相应工程施工前的合理期限内提供，合理期限应以不影响承包人的正常施工为限。</w:t>
      </w:r>
    </w:p>
    <w:p w14:paraId="708BE5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2.4.4 逾期提供的责任</w:t>
      </w:r>
    </w:p>
    <w:p w14:paraId="41FAEB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因发包人原因未能按合同约定及时向承包人提供施工现场、施工条件、基础资料的，由发包人承担由此增加的费用和（或）延误的工期。</w:t>
      </w:r>
    </w:p>
    <w:p w14:paraId="522A1A44">
      <w:pPr>
        <w:pStyle w:val="8"/>
        <w:spacing w:before="120" w:after="120" w:line="312" w:lineRule="auto"/>
        <w:ind w:firstLine="480" w:firstLineChars="200"/>
        <w:rPr>
          <w:rFonts w:hint="eastAsia" w:ascii="宋体" w:hAnsi="宋体" w:cs="宋体"/>
          <w:b w:val="0"/>
          <w:color w:val="auto"/>
          <w:sz w:val="24"/>
          <w:szCs w:val="24"/>
          <w:highlight w:val="none"/>
        </w:rPr>
      </w:pPr>
      <w:bookmarkStart w:id="182" w:name="_Toc351203514"/>
      <w:r>
        <w:rPr>
          <w:rFonts w:hint="eastAsia" w:ascii="宋体" w:hAnsi="宋体" w:cs="宋体"/>
          <w:b w:val="0"/>
          <w:color w:val="auto"/>
          <w:sz w:val="24"/>
          <w:szCs w:val="24"/>
          <w:highlight w:val="none"/>
        </w:rPr>
        <w:t>2</w:t>
      </w:r>
      <w:bookmarkStart w:id="183" w:name="_Toc337558745"/>
      <w:bookmarkStart w:id="184" w:name="_Toc296503042"/>
      <w:bookmarkStart w:id="185" w:name="_Toc296346543"/>
      <w:r>
        <w:rPr>
          <w:rFonts w:hint="eastAsia" w:ascii="宋体" w:hAnsi="宋体" w:cs="宋体"/>
          <w:b w:val="0"/>
          <w:color w:val="auto"/>
          <w:sz w:val="24"/>
          <w:szCs w:val="24"/>
          <w:highlight w:val="none"/>
        </w:rPr>
        <w:t>.5 资</w:t>
      </w:r>
      <w:bookmarkEnd w:id="183"/>
      <w:bookmarkEnd w:id="184"/>
      <w:bookmarkEnd w:id="185"/>
      <w:r>
        <w:rPr>
          <w:rFonts w:hint="eastAsia" w:ascii="宋体" w:hAnsi="宋体" w:cs="宋体"/>
          <w:b w:val="0"/>
          <w:color w:val="auto"/>
          <w:sz w:val="24"/>
          <w:szCs w:val="24"/>
          <w:highlight w:val="none"/>
        </w:rPr>
        <w:t>金来源证明及支付担保</w:t>
      </w:r>
      <w:bookmarkEnd w:id="182"/>
    </w:p>
    <w:p w14:paraId="343E91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除专用合同条款另有约定外，发包人应在收到承包人要求提供资金来源证明的书面通知后28天内，向承包人提供能够按照合同约定支付合同价款的相应资金来源证明。</w:t>
      </w:r>
    </w:p>
    <w:p w14:paraId="5F5EAE1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4E495C81">
      <w:pPr>
        <w:pStyle w:val="8"/>
        <w:spacing w:before="120" w:after="120" w:line="312" w:lineRule="auto"/>
        <w:ind w:firstLine="480" w:firstLineChars="200"/>
        <w:rPr>
          <w:rFonts w:hint="eastAsia" w:ascii="宋体" w:hAnsi="宋体" w:cs="宋体"/>
          <w:b w:val="0"/>
          <w:color w:val="auto"/>
          <w:sz w:val="24"/>
          <w:szCs w:val="24"/>
          <w:highlight w:val="none"/>
        </w:rPr>
      </w:pPr>
      <w:bookmarkStart w:id="186" w:name="_Toc351203515"/>
      <w:r>
        <w:rPr>
          <w:rFonts w:hint="eastAsia" w:ascii="宋体" w:hAnsi="宋体" w:cs="宋体"/>
          <w:b w:val="0"/>
          <w:color w:val="auto"/>
          <w:sz w:val="24"/>
          <w:szCs w:val="24"/>
          <w:highlight w:val="none"/>
        </w:rPr>
        <w:t>2.6 支付合同价款</w:t>
      </w:r>
      <w:bookmarkEnd w:id="186"/>
    </w:p>
    <w:p w14:paraId="6F6EAAE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发包人应按合同约定向承包人及时支付合同价款。</w:t>
      </w:r>
    </w:p>
    <w:p w14:paraId="039EA122">
      <w:pPr>
        <w:pStyle w:val="8"/>
        <w:spacing w:before="120" w:after="120" w:line="312" w:lineRule="auto"/>
        <w:ind w:firstLine="480" w:firstLineChars="200"/>
        <w:rPr>
          <w:rFonts w:hint="eastAsia" w:ascii="宋体" w:hAnsi="宋体" w:cs="宋体"/>
          <w:b w:val="0"/>
          <w:color w:val="auto"/>
          <w:sz w:val="24"/>
          <w:szCs w:val="24"/>
          <w:highlight w:val="none"/>
        </w:rPr>
      </w:pPr>
      <w:bookmarkStart w:id="187" w:name="_Toc351203516"/>
      <w:r>
        <w:rPr>
          <w:rFonts w:hint="eastAsia" w:ascii="宋体" w:hAnsi="宋体" w:cs="宋体"/>
          <w:b w:val="0"/>
          <w:color w:val="auto"/>
          <w:sz w:val="24"/>
          <w:szCs w:val="24"/>
          <w:highlight w:val="none"/>
        </w:rPr>
        <w:t>2.7 组织竣工验收</w:t>
      </w:r>
      <w:bookmarkEnd w:id="187"/>
    </w:p>
    <w:p w14:paraId="779840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发包人应按合同约定及时组织竣工验收。</w:t>
      </w:r>
    </w:p>
    <w:p w14:paraId="26F84CA8">
      <w:pPr>
        <w:pStyle w:val="8"/>
        <w:spacing w:before="120" w:after="120" w:line="312" w:lineRule="auto"/>
        <w:ind w:firstLine="480" w:firstLineChars="200"/>
        <w:rPr>
          <w:rFonts w:hint="eastAsia" w:ascii="宋体" w:hAnsi="宋体" w:cs="宋体"/>
          <w:b w:val="0"/>
          <w:color w:val="auto"/>
          <w:sz w:val="24"/>
          <w:szCs w:val="24"/>
          <w:highlight w:val="none"/>
        </w:rPr>
      </w:pPr>
      <w:bookmarkStart w:id="188" w:name="_Toc351203517"/>
      <w:r>
        <w:rPr>
          <w:rFonts w:hint="eastAsia" w:ascii="宋体" w:hAnsi="宋体" w:cs="宋体"/>
          <w:b w:val="0"/>
          <w:color w:val="auto"/>
          <w:sz w:val="24"/>
          <w:szCs w:val="24"/>
          <w:highlight w:val="none"/>
        </w:rPr>
        <w:t>2.8 现场统一管理协议</w:t>
      </w:r>
      <w:bookmarkEnd w:id="188"/>
    </w:p>
    <w:p w14:paraId="1EA19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发包人应与承包人、由发包人直接发包的专业工程的承包人签订施工现场统一管理协议，明确各方的权利义务。施工现场统一管理协议作为专用合同条款的附件。</w:t>
      </w:r>
    </w:p>
    <w:p w14:paraId="379C3196">
      <w:pPr>
        <w:pStyle w:val="7"/>
        <w:spacing w:before="120" w:after="120" w:line="312" w:lineRule="auto"/>
        <w:rPr>
          <w:rFonts w:hint="eastAsia"/>
          <w:b w:val="0"/>
          <w:color w:val="auto"/>
          <w:sz w:val="24"/>
          <w:szCs w:val="24"/>
          <w:highlight w:val="none"/>
        </w:rPr>
      </w:pPr>
      <w:bookmarkStart w:id="189" w:name="_Toc351203518"/>
      <w:r>
        <w:rPr>
          <w:rFonts w:hint="eastAsia"/>
          <w:b w:val="0"/>
          <w:color w:val="auto"/>
          <w:sz w:val="24"/>
          <w:szCs w:val="24"/>
          <w:highlight w:val="none"/>
        </w:rPr>
        <w:t>3</w:t>
      </w:r>
      <w:bookmarkStart w:id="190" w:name="_Toc296346546"/>
      <w:bookmarkStart w:id="191" w:name="_Toc296503045"/>
      <w:bookmarkStart w:id="192" w:name="_Toc337558746"/>
      <w:r>
        <w:rPr>
          <w:rFonts w:hint="eastAsia"/>
          <w:b w:val="0"/>
          <w:color w:val="auto"/>
          <w:sz w:val="24"/>
          <w:szCs w:val="24"/>
          <w:highlight w:val="none"/>
        </w:rPr>
        <w:t>. 承包人</w:t>
      </w:r>
      <w:bookmarkEnd w:id="189"/>
    </w:p>
    <w:bookmarkEnd w:id="190"/>
    <w:bookmarkEnd w:id="191"/>
    <w:bookmarkEnd w:id="192"/>
    <w:p w14:paraId="7E2707B4">
      <w:pPr>
        <w:pStyle w:val="8"/>
        <w:spacing w:before="120" w:after="120" w:line="312" w:lineRule="auto"/>
        <w:ind w:firstLine="480" w:firstLineChars="200"/>
        <w:rPr>
          <w:rFonts w:hint="eastAsia" w:ascii="宋体" w:hAnsi="宋体" w:cs="宋体"/>
          <w:b w:val="0"/>
          <w:color w:val="auto"/>
          <w:sz w:val="24"/>
          <w:szCs w:val="24"/>
          <w:highlight w:val="none"/>
        </w:rPr>
      </w:pPr>
      <w:bookmarkStart w:id="193" w:name="_Toc351203519"/>
      <w:r>
        <w:rPr>
          <w:rFonts w:hint="eastAsia" w:ascii="宋体" w:hAnsi="宋体" w:cs="宋体"/>
          <w:b w:val="0"/>
          <w:color w:val="auto"/>
          <w:sz w:val="24"/>
          <w:szCs w:val="24"/>
          <w:highlight w:val="none"/>
        </w:rPr>
        <w:t>3</w:t>
      </w:r>
      <w:bookmarkStart w:id="194" w:name="_Toc296503046"/>
      <w:bookmarkStart w:id="195" w:name="_Toc337558747"/>
      <w:bookmarkStart w:id="196" w:name="_Toc296346547"/>
      <w:r>
        <w:rPr>
          <w:rFonts w:hint="eastAsia" w:ascii="宋体" w:hAnsi="宋体" w:cs="宋体"/>
          <w:b w:val="0"/>
          <w:color w:val="auto"/>
          <w:sz w:val="24"/>
          <w:szCs w:val="24"/>
          <w:highlight w:val="none"/>
        </w:rPr>
        <w:t>.1 承包人的一般义务</w:t>
      </w:r>
      <w:bookmarkEnd w:id="193"/>
    </w:p>
    <w:bookmarkEnd w:id="194"/>
    <w:bookmarkEnd w:id="195"/>
    <w:bookmarkEnd w:id="196"/>
    <w:p w14:paraId="3A5F77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承包人在履行合同过程中应遵守法律和工程建设标准规范，并履行以下义务：</w:t>
      </w:r>
    </w:p>
    <w:p w14:paraId="7B830301">
      <w:pPr>
        <w:numPr>
          <w:ilvl w:val="0"/>
          <w:numId w:val="4"/>
        </w:num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办理法律规定应由承包人办理的许可和批准，并将办理结果书面报送发包人留存；</w:t>
      </w:r>
    </w:p>
    <w:p w14:paraId="6C1724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（2）按法律规定和合同约定完成工程，并在保修期内承担保修义务；</w:t>
      </w:r>
    </w:p>
    <w:p w14:paraId="4EF000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（3）按法律规定和合同约定采取施工安全和环境保护措施，办理工伤保险，确保工程及人员、材料、设备和设施的安全；</w:t>
      </w:r>
    </w:p>
    <w:p w14:paraId="683E9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（4）按合同约定的工作内容和施工进度要求，编制施工组织设计和施工措施计划，并对所有施工作业和施工方法的完备性和安全可靠性负责；</w:t>
      </w:r>
    </w:p>
    <w:p w14:paraId="44BA586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BDD2A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（6）按照第6.3款〔环境保护〕约定负责施工场地及其周边环境与生态的保护工作；</w:t>
      </w:r>
    </w:p>
    <w:p w14:paraId="2EC672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（7）按第6.1款〔安全文明施工〕约定采取施工安全措施，确保工程及其人员、材料、设备和设施的安全，防止因工程施工造成的人身伤害和财产损失；</w:t>
      </w:r>
    </w:p>
    <w:p w14:paraId="0E3545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（8）将发包人按合同约定支付的各项价款专用于合同工程，且应及时支付其雇用人员工资，并及时向分包人支付合同价款；</w:t>
      </w:r>
    </w:p>
    <w:p w14:paraId="2CC28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（9）按照法律规定和合同约定编制竣工资料，完成竣工资料立卷及归档，并按专用合同条款约定的竣工资料的套数、内容、时间等要求移交发包人；</w:t>
      </w:r>
    </w:p>
    <w:p w14:paraId="3CD49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（10）应履行的其他义务。</w:t>
      </w:r>
    </w:p>
    <w:p w14:paraId="43502C96">
      <w:pPr>
        <w:pStyle w:val="8"/>
        <w:spacing w:before="120" w:after="120" w:line="312" w:lineRule="auto"/>
        <w:ind w:firstLine="480" w:firstLineChars="200"/>
        <w:rPr>
          <w:rFonts w:hint="eastAsia" w:ascii="宋体" w:hAnsi="宋体" w:cs="宋体"/>
          <w:b w:val="0"/>
          <w:color w:val="auto"/>
          <w:sz w:val="24"/>
          <w:szCs w:val="24"/>
          <w:highlight w:val="none"/>
        </w:rPr>
      </w:pPr>
      <w:bookmarkStart w:id="197" w:name="_Toc351203520"/>
      <w:r>
        <w:rPr>
          <w:rFonts w:hint="eastAsia" w:ascii="宋体" w:hAnsi="宋体" w:cs="宋体"/>
          <w:b w:val="0"/>
          <w:color w:val="auto"/>
          <w:sz w:val="24"/>
          <w:szCs w:val="24"/>
          <w:highlight w:val="none"/>
        </w:rPr>
        <w:t>3</w:t>
      </w:r>
      <w:bookmarkStart w:id="198" w:name="_Toc296346548"/>
      <w:bookmarkStart w:id="199" w:name="_Toc337558748"/>
      <w:bookmarkStart w:id="200" w:name="_Toc296503047"/>
      <w:r>
        <w:rPr>
          <w:rFonts w:hint="eastAsia" w:ascii="宋体" w:hAnsi="宋体" w:cs="宋体"/>
          <w:b w:val="0"/>
          <w:color w:val="auto"/>
          <w:sz w:val="24"/>
          <w:szCs w:val="24"/>
          <w:highlight w:val="none"/>
        </w:rPr>
        <w:t xml:space="preserve">.2 </w:t>
      </w:r>
      <w:bookmarkEnd w:id="197"/>
      <w:r>
        <w:rPr>
          <w:rFonts w:hint="eastAsia" w:ascii="宋体" w:hAnsi="宋体" w:cs="宋体"/>
          <w:b w:val="0"/>
          <w:color w:val="auto"/>
          <w:sz w:val="24"/>
          <w:szCs w:val="24"/>
          <w:highlight w:val="none"/>
        </w:rPr>
        <w:t>项目经理</w:t>
      </w:r>
    </w:p>
    <w:bookmarkEnd w:id="198"/>
    <w:bookmarkEnd w:id="199"/>
    <w:bookmarkEnd w:id="200"/>
    <w:p w14:paraId="75CB4A0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12E429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5615A1F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承包人违反上述约定的，应按照专用合同条款的约定，承担违约责任。</w:t>
      </w:r>
    </w:p>
    <w:p w14:paraId="16F2A3F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75893FE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2D646B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008E92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3.2.5 项目经理因特殊情况授权其下属人员履行其某项工作职责的，该下属人员应具备履行相应职责的能力，并应提前7天将上述人员的姓名和授权范围书面通知监理人，并征得发包人书面同意。</w:t>
      </w:r>
    </w:p>
    <w:p w14:paraId="788FC7A6">
      <w:pPr>
        <w:pStyle w:val="8"/>
        <w:spacing w:before="120" w:after="120" w:line="312" w:lineRule="auto"/>
        <w:ind w:firstLine="480" w:firstLineChars="200"/>
        <w:rPr>
          <w:rFonts w:hint="eastAsia" w:ascii="宋体" w:hAnsi="宋体" w:cs="宋体"/>
          <w:b w:val="0"/>
          <w:color w:val="auto"/>
          <w:sz w:val="24"/>
          <w:szCs w:val="24"/>
          <w:highlight w:val="none"/>
        </w:rPr>
      </w:pPr>
      <w:bookmarkStart w:id="201" w:name="_Toc351203521"/>
      <w:r>
        <w:rPr>
          <w:rFonts w:hint="eastAsia" w:ascii="宋体" w:hAnsi="宋体" w:cs="宋体"/>
          <w:b w:val="0"/>
          <w:color w:val="auto"/>
          <w:sz w:val="24"/>
          <w:szCs w:val="24"/>
          <w:highlight w:val="none"/>
        </w:rPr>
        <w:t>3</w:t>
      </w:r>
      <w:bookmarkStart w:id="202" w:name="_Toc296503048"/>
      <w:bookmarkStart w:id="203" w:name="_Toc296346549"/>
      <w:bookmarkStart w:id="204" w:name="_Toc337558749"/>
      <w:r>
        <w:rPr>
          <w:rFonts w:hint="eastAsia" w:ascii="宋体" w:hAnsi="宋体" w:cs="宋体"/>
          <w:b w:val="0"/>
          <w:color w:val="auto"/>
          <w:sz w:val="24"/>
          <w:szCs w:val="24"/>
          <w:highlight w:val="none"/>
        </w:rPr>
        <w:t xml:space="preserve">.3 </w:t>
      </w:r>
      <w:bookmarkEnd w:id="202"/>
      <w:bookmarkEnd w:id="203"/>
      <w:r>
        <w:rPr>
          <w:rFonts w:hint="eastAsia" w:ascii="宋体" w:hAnsi="宋体" w:cs="宋体"/>
          <w:b w:val="0"/>
          <w:color w:val="auto"/>
          <w:sz w:val="24"/>
          <w:szCs w:val="24"/>
          <w:highlight w:val="none"/>
        </w:rPr>
        <w:t>承包人人员</w:t>
      </w:r>
      <w:bookmarkEnd w:id="201"/>
    </w:p>
    <w:bookmarkEnd w:id="204"/>
    <w:p w14:paraId="3EEB1B2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5C7E53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755E0F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特殊工种作业人员均应持有相应的资格证明，监理人可以随时检查。</w:t>
      </w:r>
    </w:p>
    <w:p w14:paraId="348E75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58514A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41B30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3.3.5 承包人擅自更换主要施工管理人员，或前述人员未经监理人或发包人同意擅自离开施工现场的，应按照专用合同条款约定承担违约责任。</w:t>
      </w:r>
    </w:p>
    <w:p w14:paraId="0B3332A9">
      <w:pPr>
        <w:pStyle w:val="8"/>
        <w:spacing w:before="120" w:after="120" w:line="312" w:lineRule="auto"/>
        <w:ind w:firstLine="480" w:firstLineChars="200"/>
        <w:rPr>
          <w:rFonts w:hint="eastAsia" w:ascii="宋体" w:hAnsi="宋体" w:cs="宋体"/>
          <w:b w:val="0"/>
          <w:color w:val="auto"/>
          <w:sz w:val="24"/>
          <w:szCs w:val="24"/>
          <w:highlight w:val="none"/>
        </w:rPr>
      </w:pPr>
      <w:bookmarkStart w:id="205" w:name="_Toc351203522"/>
      <w:r>
        <w:rPr>
          <w:rFonts w:hint="eastAsia" w:ascii="宋体" w:hAnsi="宋体" w:cs="宋体"/>
          <w:b w:val="0"/>
          <w:color w:val="auto"/>
          <w:sz w:val="24"/>
          <w:szCs w:val="24"/>
          <w:highlight w:val="none"/>
        </w:rPr>
        <w:t>3</w:t>
      </w:r>
      <w:bookmarkStart w:id="206" w:name="_Toc296346551"/>
      <w:bookmarkStart w:id="207" w:name="_Toc337558750"/>
      <w:bookmarkStart w:id="208" w:name="_Toc296503050"/>
      <w:r>
        <w:rPr>
          <w:rFonts w:hint="eastAsia" w:ascii="宋体" w:hAnsi="宋体" w:cs="宋体"/>
          <w:b w:val="0"/>
          <w:color w:val="auto"/>
          <w:sz w:val="24"/>
          <w:szCs w:val="24"/>
          <w:highlight w:val="none"/>
        </w:rPr>
        <w:t>.4 承包人现场查勘</w:t>
      </w:r>
      <w:bookmarkEnd w:id="205"/>
    </w:p>
    <w:bookmarkEnd w:id="206"/>
    <w:bookmarkEnd w:id="207"/>
    <w:bookmarkEnd w:id="208"/>
    <w:p w14:paraId="462B43FA">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承包人应对基于发包人按照第2.4.3项〔提供基础资料〕提交的基础资料所做出的解释和推断负责，但因基础资料存在错误、遗漏导致承包人解释或推断失实的，由发包人承担责任。</w:t>
      </w:r>
    </w:p>
    <w:p w14:paraId="04DBAB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7A570914">
      <w:pPr>
        <w:pStyle w:val="8"/>
        <w:spacing w:before="120" w:after="120" w:line="312" w:lineRule="auto"/>
        <w:ind w:firstLine="480" w:firstLineChars="200"/>
        <w:rPr>
          <w:rFonts w:hint="eastAsia" w:ascii="宋体" w:hAnsi="宋体" w:cs="宋体"/>
          <w:b w:val="0"/>
          <w:color w:val="auto"/>
          <w:sz w:val="24"/>
          <w:szCs w:val="24"/>
          <w:highlight w:val="none"/>
        </w:rPr>
      </w:pPr>
      <w:bookmarkStart w:id="209" w:name="_Toc351203523"/>
      <w:r>
        <w:rPr>
          <w:rFonts w:hint="eastAsia" w:ascii="宋体" w:hAnsi="宋体" w:cs="宋体"/>
          <w:b w:val="0"/>
          <w:color w:val="auto"/>
          <w:sz w:val="24"/>
          <w:szCs w:val="24"/>
          <w:highlight w:val="none"/>
        </w:rPr>
        <w:t>3</w:t>
      </w:r>
      <w:bookmarkStart w:id="210" w:name="_Toc337558751"/>
      <w:bookmarkStart w:id="211" w:name="_Toc296503051"/>
      <w:bookmarkStart w:id="212" w:name="_Toc296346552"/>
      <w:r>
        <w:rPr>
          <w:rFonts w:hint="eastAsia" w:ascii="宋体" w:hAnsi="宋体" w:cs="宋体"/>
          <w:b w:val="0"/>
          <w:color w:val="auto"/>
          <w:sz w:val="24"/>
          <w:szCs w:val="24"/>
          <w:highlight w:val="none"/>
        </w:rPr>
        <w:t>.5 分包</w:t>
      </w:r>
      <w:bookmarkEnd w:id="209"/>
    </w:p>
    <w:bookmarkEnd w:id="210"/>
    <w:bookmarkEnd w:id="211"/>
    <w:bookmarkEnd w:id="212"/>
    <w:p w14:paraId="78044BA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3.5.1 分包的一般约定</w:t>
      </w:r>
    </w:p>
    <w:p w14:paraId="57D774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FAD7C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承包人不得以劳务分包的名义转包或违法分包工程。</w:t>
      </w:r>
    </w:p>
    <w:p w14:paraId="3D8FAF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3.5.2 分包的确定</w:t>
      </w:r>
    </w:p>
    <w:p w14:paraId="4C3FFA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4D7376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3.5.3 分包管理</w:t>
      </w:r>
    </w:p>
    <w:p w14:paraId="619334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承包人应向监理人提交分包人的主要施工管理人员表，并对分包人的施工人员进行实名制管理，包括但不限于进出场管理、登记造册以及各种证照的办理。</w:t>
      </w:r>
    </w:p>
    <w:p w14:paraId="675F4F5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3.5.4 分包合同价款</w:t>
      </w:r>
    </w:p>
    <w:p w14:paraId="4E735C4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（1）除本项第（2）目约定的情况或专用合同条款另有约定外，分包合同价款由承包人与分包人结算，未经承包人同意，发包人不得向分包人支付分包工程价款；</w:t>
      </w:r>
    </w:p>
    <w:p w14:paraId="3AA8C9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（2）生效法律文书要求发包人向分包人支付分包合同价款的，发包人有权从应付承包人工程款中扣除该部分款项。</w:t>
      </w:r>
    </w:p>
    <w:p w14:paraId="7844DB3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3.5.5 分包合同权益的转让</w:t>
      </w:r>
    </w:p>
    <w:p w14:paraId="049B1E7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213" w:name="_Toc351203524"/>
    </w:p>
    <w:p w14:paraId="4DED296D">
      <w:pPr>
        <w:pStyle w:val="8"/>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3.6 工程照管与成品、半成品保护</w:t>
      </w:r>
      <w:bookmarkEnd w:id="213"/>
    </w:p>
    <w:p w14:paraId="1E5B25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（1）除专用合同条款另有约定外，自发包人向承包人移交施工现场之日起，承包人应负责照管工程及工程相关的材料、工程设备，直到颁发工程接收证书之日止。</w:t>
      </w:r>
    </w:p>
    <w:p w14:paraId="29ACE18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（2）在承包人负责照管期间，因承包人原因造成工程、材料、工程设备损坏的，由承包人负责修复或更换，并承担由此增加的费用和（或）延误的工期。</w:t>
      </w:r>
    </w:p>
    <w:p w14:paraId="685486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DB5FF02">
      <w:pPr>
        <w:pStyle w:val="8"/>
        <w:spacing w:before="120" w:after="120" w:line="312" w:lineRule="auto"/>
        <w:ind w:firstLine="480" w:firstLineChars="200"/>
        <w:rPr>
          <w:rFonts w:hint="eastAsia" w:ascii="宋体" w:hAnsi="宋体" w:cs="宋体"/>
          <w:b w:val="0"/>
          <w:color w:val="auto"/>
          <w:sz w:val="24"/>
          <w:szCs w:val="24"/>
          <w:highlight w:val="none"/>
        </w:rPr>
      </w:pPr>
      <w:bookmarkStart w:id="214" w:name="_Toc351203525"/>
      <w:r>
        <w:rPr>
          <w:rFonts w:hint="eastAsia" w:ascii="宋体" w:hAnsi="宋体" w:cs="宋体"/>
          <w:b w:val="0"/>
          <w:color w:val="auto"/>
          <w:sz w:val="24"/>
          <w:szCs w:val="24"/>
          <w:highlight w:val="none"/>
        </w:rPr>
        <w:t>3</w:t>
      </w:r>
      <w:bookmarkStart w:id="215" w:name="_Toc337558752"/>
      <w:bookmarkStart w:id="216" w:name="_Toc296503052"/>
      <w:bookmarkStart w:id="217" w:name="_Toc296346553"/>
      <w:r>
        <w:rPr>
          <w:rFonts w:hint="eastAsia" w:ascii="宋体" w:hAnsi="宋体" w:cs="宋体"/>
          <w:b w:val="0"/>
          <w:color w:val="auto"/>
          <w:sz w:val="24"/>
          <w:szCs w:val="24"/>
          <w:highlight w:val="none"/>
        </w:rPr>
        <w:t>.7 履约担保</w:t>
      </w:r>
      <w:bookmarkEnd w:id="214"/>
    </w:p>
    <w:bookmarkEnd w:id="215"/>
    <w:bookmarkEnd w:id="216"/>
    <w:bookmarkEnd w:id="217"/>
    <w:p w14:paraId="1A04A96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3FE468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因承包人原因导致工期延长的，继续提供履约担保所增加的费用由承包人承担；非因承包人原因导致工期延长的，继续提供履约担保所增加的费用由发包人承担。</w:t>
      </w:r>
    </w:p>
    <w:p w14:paraId="389669A1">
      <w:pPr>
        <w:pStyle w:val="8"/>
        <w:spacing w:before="120" w:after="120" w:line="312" w:lineRule="auto"/>
        <w:ind w:firstLine="480" w:firstLineChars="200"/>
        <w:rPr>
          <w:rFonts w:hint="eastAsia" w:ascii="宋体" w:hAnsi="宋体" w:cs="宋体"/>
          <w:b w:val="0"/>
          <w:color w:val="auto"/>
          <w:sz w:val="24"/>
          <w:szCs w:val="24"/>
          <w:highlight w:val="none"/>
        </w:rPr>
      </w:pPr>
      <w:bookmarkStart w:id="218" w:name="_Toc351203526"/>
      <w:r>
        <w:rPr>
          <w:rFonts w:hint="eastAsia" w:ascii="宋体" w:hAnsi="宋体" w:cs="宋体"/>
          <w:b w:val="0"/>
          <w:color w:val="auto"/>
          <w:sz w:val="24"/>
          <w:szCs w:val="24"/>
          <w:highlight w:val="none"/>
        </w:rPr>
        <w:t>3.8 联合体</w:t>
      </w:r>
      <w:bookmarkEnd w:id="218"/>
    </w:p>
    <w:p w14:paraId="7D5F0C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3.8.1 联合体各方应共同与发包人签订合同协议书。联合体各方应为履行合同向发包人承担连带责任。</w:t>
      </w:r>
    </w:p>
    <w:p w14:paraId="426D4BC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3.8.2 联合体协议经发包人确认后作为合同附件。在履行合同过程中，未经发包人同意，不得修改联合体协议。</w:t>
      </w:r>
    </w:p>
    <w:p w14:paraId="7600ED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3.8.3 联合体牵头人负责与发包人和监理人联系，并接受指示，负责组织联合体各成员全面履行合同。</w:t>
      </w:r>
    </w:p>
    <w:p w14:paraId="1CA544E3">
      <w:pPr>
        <w:pStyle w:val="7"/>
        <w:spacing w:before="120" w:after="120" w:line="312" w:lineRule="auto"/>
        <w:rPr>
          <w:rFonts w:hint="eastAsia"/>
          <w:b w:val="0"/>
          <w:color w:val="auto"/>
          <w:sz w:val="24"/>
          <w:szCs w:val="24"/>
          <w:highlight w:val="none"/>
        </w:rPr>
      </w:pPr>
      <w:bookmarkStart w:id="219" w:name="_Toc351203527"/>
      <w:r>
        <w:rPr>
          <w:rFonts w:hint="eastAsia"/>
          <w:b w:val="0"/>
          <w:color w:val="auto"/>
          <w:sz w:val="24"/>
          <w:szCs w:val="24"/>
          <w:highlight w:val="none"/>
        </w:rPr>
        <w:t>4</w:t>
      </w:r>
      <w:bookmarkStart w:id="220" w:name="_Toc296503053"/>
      <w:bookmarkStart w:id="221" w:name="_Toc296346554"/>
      <w:bookmarkStart w:id="222" w:name="_Toc337558753"/>
      <w:r>
        <w:rPr>
          <w:rFonts w:hint="eastAsia"/>
          <w:b w:val="0"/>
          <w:color w:val="auto"/>
          <w:sz w:val="24"/>
          <w:szCs w:val="24"/>
          <w:highlight w:val="none"/>
        </w:rPr>
        <w:t>. 监</w:t>
      </w:r>
      <w:bookmarkEnd w:id="220"/>
      <w:bookmarkEnd w:id="221"/>
      <w:r>
        <w:rPr>
          <w:rFonts w:hint="eastAsia"/>
          <w:b w:val="0"/>
          <w:color w:val="auto"/>
          <w:sz w:val="24"/>
          <w:szCs w:val="24"/>
          <w:highlight w:val="none"/>
        </w:rPr>
        <w:t>理人</w:t>
      </w:r>
      <w:bookmarkEnd w:id="219"/>
    </w:p>
    <w:bookmarkEnd w:id="222"/>
    <w:p w14:paraId="0B508139">
      <w:pPr>
        <w:pStyle w:val="8"/>
        <w:spacing w:before="120" w:after="120" w:line="312" w:lineRule="auto"/>
        <w:ind w:firstLine="480" w:firstLineChars="200"/>
        <w:rPr>
          <w:rFonts w:hint="eastAsia" w:ascii="宋体" w:hAnsi="宋体" w:cs="宋体"/>
          <w:b w:val="0"/>
          <w:color w:val="auto"/>
          <w:sz w:val="24"/>
          <w:szCs w:val="24"/>
          <w:highlight w:val="none"/>
        </w:rPr>
      </w:pPr>
      <w:bookmarkStart w:id="223" w:name="_Toc351203528"/>
      <w:r>
        <w:rPr>
          <w:rFonts w:hint="eastAsia" w:ascii="宋体" w:hAnsi="宋体" w:cs="宋体"/>
          <w:b w:val="0"/>
          <w:color w:val="auto"/>
          <w:sz w:val="24"/>
          <w:szCs w:val="24"/>
          <w:highlight w:val="none"/>
        </w:rPr>
        <w:t>4</w:t>
      </w:r>
      <w:bookmarkStart w:id="224" w:name="_Toc296346555"/>
      <w:bookmarkStart w:id="225" w:name="_Toc337558754"/>
      <w:bookmarkStart w:id="226" w:name="_Toc296503054"/>
      <w:r>
        <w:rPr>
          <w:rFonts w:hint="eastAsia" w:ascii="宋体" w:hAnsi="宋体" w:cs="宋体"/>
          <w:b w:val="0"/>
          <w:color w:val="auto"/>
          <w:sz w:val="24"/>
          <w:szCs w:val="24"/>
          <w:highlight w:val="none"/>
        </w:rPr>
        <w:t>.1监理人的一般规定</w:t>
      </w:r>
      <w:bookmarkEnd w:id="223"/>
    </w:p>
    <w:bookmarkEnd w:id="224"/>
    <w:bookmarkEnd w:id="225"/>
    <w:bookmarkEnd w:id="226"/>
    <w:p w14:paraId="2A7A297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2B96B30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除专用合同条款另有约定外，监理人在施工现场的办公场所、生活场所由承包人提供，所发生的费用由发包人承担。</w:t>
      </w:r>
    </w:p>
    <w:p w14:paraId="4F5F98E4">
      <w:pPr>
        <w:pStyle w:val="8"/>
        <w:spacing w:before="120" w:after="120" w:line="312" w:lineRule="auto"/>
        <w:ind w:firstLine="480" w:firstLineChars="200"/>
        <w:rPr>
          <w:rFonts w:hint="eastAsia" w:ascii="宋体" w:hAnsi="宋体" w:cs="宋体"/>
          <w:b w:val="0"/>
          <w:color w:val="auto"/>
          <w:sz w:val="24"/>
          <w:szCs w:val="24"/>
          <w:highlight w:val="none"/>
        </w:rPr>
      </w:pPr>
      <w:bookmarkStart w:id="227" w:name="_Toc351203529"/>
      <w:r>
        <w:rPr>
          <w:rFonts w:hint="eastAsia" w:ascii="宋体" w:hAnsi="宋体" w:cs="宋体"/>
          <w:b w:val="0"/>
          <w:color w:val="auto"/>
          <w:sz w:val="24"/>
          <w:szCs w:val="24"/>
          <w:highlight w:val="none"/>
        </w:rPr>
        <w:t>4</w:t>
      </w:r>
      <w:bookmarkStart w:id="228" w:name="_Toc337558755"/>
      <w:r>
        <w:rPr>
          <w:rFonts w:hint="eastAsia" w:ascii="宋体" w:hAnsi="宋体" w:cs="宋体"/>
          <w:b w:val="0"/>
          <w:color w:val="auto"/>
          <w:sz w:val="24"/>
          <w:szCs w:val="24"/>
          <w:highlight w:val="none"/>
        </w:rPr>
        <w:t>.2监理人员</w:t>
      </w:r>
      <w:bookmarkEnd w:id="227"/>
    </w:p>
    <w:bookmarkEnd w:id="228"/>
    <w:p w14:paraId="217952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4655188C">
      <w:pPr>
        <w:pStyle w:val="8"/>
        <w:spacing w:before="120" w:after="120" w:line="312" w:lineRule="auto"/>
        <w:ind w:firstLine="480" w:firstLineChars="200"/>
        <w:rPr>
          <w:rFonts w:hint="eastAsia" w:ascii="宋体" w:hAnsi="宋体" w:cs="宋体"/>
          <w:b w:val="0"/>
          <w:color w:val="auto"/>
          <w:sz w:val="24"/>
          <w:szCs w:val="24"/>
          <w:highlight w:val="none"/>
        </w:rPr>
      </w:pPr>
      <w:bookmarkStart w:id="229" w:name="_Toc351203530"/>
      <w:r>
        <w:rPr>
          <w:rFonts w:hint="eastAsia" w:ascii="宋体" w:hAnsi="宋体" w:cs="宋体"/>
          <w:b w:val="0"/>
          <w:color w:val="auto"/>
          <w:sz w:val="24"/>
          <w:szCs w:val="24"/>
          <w:highlight w:val="none"/>
        </w:rPr>
        <w:t>4</w:t>
      </w:r>
      <w:bookmarkStart w:id="230" w:name="_Toc296346556"/>
      <w:bookmarkStart w:id="231" w:name="_Toc296503055"/>
      <w:bookmarkStart w:id="232" w:name="_Toc337558756"/>
      <w:r>
        <w:rPr>
          <w:rFonts w:hint="eastAsia" w:ascii="宋体" w:hAnsi="宋体" w:cs="宋体"/>
          <w:b w:val="0"/>
          <w:color w:val="auto"/>
          <w:sz w:val="24"/>
          <w:szCs w:val="24"/>
          <w:highlight w:val="none"/>
        </w:rPr>
        <w:t>.3</w:t>
      </w:r>
      <w:bookmarkEnd w:id="230"/>
      <w:bookmarkEnd w:id="231"/>
      <w:r>
        <w:rPr>
          <w:rFonts w:hint="eastAsia" w:ascii="宋体" w:hAnsi="宋体" w:cs="宋体"/>
          <w:b w:val="0"/>
          <w:color w:val="auto"/>
          <w:sz w:val="24"/>
          <w:szCs w:val="24"/>
          <w:highlight w:val="none"/>
        </w:rPr>
        <w:t>监理人的指</w:t>
      </w:r>
      <w:bookmarkEnd w:id="232"/>
      <w:r>
        <w:rPr>
          <w:rFonts w:hint="eastAsia" w:ascii="宋体" w:hAnsi="宋体" w:cs="宋体"/>
          <w:b w:val="0"/>
          <w:color w:val="auto"/>
          <w:sz w:val="24"/>
          <w:szCs w:val="24"/>
          <w:highlight w:val="none"/>
        </w:rPr>
        <w:t>示</w:t>
      </w:r>
      <w:bookmarkEnd w:id="229"/>
    </w:p>
    <w:p w14:paraId="499B8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6FBC3D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2389ED9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承包人对监理人发出的指示有疑问的，应向监理人提出书面异议，监理人应在48小时内对该指示予以确认、更改或撤销，监理人逾期未回复的，承包人有权拒绝执行上述指示。</w:t>
      </w:r>
    </w:p>
    <w:p w14:paraId="7D6BF8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3226F14D">
      <w:pPr>
        <w:pStyle w:val="7"/>
        <w:spacing w:before="120" w:after="120" w:line="312" w:lineRule="auto"/>
        <w:ind w:firstLine="480" w:firstLineChars="200"/>
        <w:rPr>
          <w:rFonts w:hint="eastAsia"/>
          <w:b w:val="0"/>
          <w:color w:val="auto"/>
          <w:sz w:val="24"/>
          <w:szCs w:val="24"/>
          <w:highlight w:val="none"/>
        </w:rPr>
      </w:pPr>
      <w:bookmarkStart w:id="233" w:name="_Toc351203531"/>
      <w:r>
        <w:rPr>
          <w:rFonts w:hint="eastAsia"/>
          <w:b w:val="0"/>
          <w:color w:val="auto"/>
          <w:sz w:val="24"/>
          <w:szCs w:val="24"/>
          <w:highlight w:val="none"/>
        </w:rPr>
        <w:t>4</w:t>
      </w:r>
      <w:bookmarkStart w:id="234" w:name="_Toc296346558"/>
      <w:bookmarkStart w:id="235" w:name="_Toc296503057"/>
      <w:bookmarkStart w:id="236" w:name="_Toc337558757"/>
      <w:r>
        <w:rPr>
          <w:rFonts w:hint="eastAsia"/>
          <w:b w:val="0"/>
          <w:color w:val="auto"/>
          <w:sz w:val="24"/>
          <w:szCs w:val="24"/>
          <w:highlight w:val="none"/>
        </w:rPr>
        <w:t>.4 商定或确定</w:t>
      </w:r>
      <w:bookmarkEnd w:id="233"/>
    </w:p>
    <w:bookmarkEnd w:id="234"/>
    <w:bookmarkEnd w:id="235"/>
    <w:bookmarkEnd w:id="236"/>
    <w:p w14:paraId="1B03E0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合同当事人进行商定或确定时，总监理工程师应当会同合同当事人尽量通过协商达成一致，不能达成一致的，由总监理工程师按照合同约定审慎做出公正的确定。</w:t>
      </w:r>
    </w:p>
    <w:p w14:paraId="7EC1C9A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6B63303D">
      <w:pPr>
        <w:pStyle w:val="7"/>
        <w:spacing w:before="120" w:after="120" w:line="312" w:lineRule="auto"/>
        <w:rPr>
          <w:rFonts w:hint="eastAsia"/>
          <w:b w:val="0"/>
          <w:color w:val="auto"/>
          <w:sz w:val="24"/>
          <w:szCs w:val="24"/>
          <w:highlight w:val="none"/>
        </w:rPr>
      </w:pPr>
      <w:bookmarkStart w:id="237" w:name="_Toc351203532"/>
      <w:r>
        <w:rPr>
          <w:rFonts w:hint="eastAsia"/>
          <w:b w:val="0"/>
          <w:color w:val="auto"/>
          <w:sz w:val="24"/>
          <w:szCs w:val="24"/>
          <w:highlight w:val="none"/>
        </w:rPr>
        <w:t>5</w:t>
      </w:r>
      <w:bookmarkStart w:id="238" w:name="_Toc337558758"/>
      <w:r>
        <w:rPr>
          <w:rFonts w:hint="eastAsia"/>
          <w:b w:val="0"/>
          <w:color w:val="auto"/>
          <w:sz w:val="24"/>
          <w:szCs w:val="24"/>
          <w:highlight w:val="none"/>
        </w:rPr>
        <w:t>. 工程质量</w:t>
      </w:r>
      <w:bookmarkEnd w:id="237"/>
    </w:p>
    <w:bookmarkEnd w:id="238"/>
    <w:p w14:paraId="573E8321">
      <w:pPr>
        <w:pStyle w:val="8"/>
        <w:spacing w:before="120" w:after="120" w:line="312" w:lineRule="auto"/>
        <w:ind w:firstLine="480" w:firstLineChars="200"/>
        <w:rPr>
          <w:rFonts w:hint="eastAsia" w:ascii="宋体" w:hAnsi="宋体" w:cs="宋体"/>
          <w:b w:val="0"/>
          <w:color w:val="auto"/>
          <w:sz w:val="24"/>
          <w:szCs w:val="24"/>
          <w:highlight w:val="none"/>
        </w:rPr>
      </w:pPr>
      <w:bookmarkStart w:id="239" w:name="_Toc351203533"/>
      <w:r>
        <w:rPr>
          <w:rFonts w:hint="eastAsia" w:ascii="宋体" w:hAnsi="宋体" w:cs="宋体"/>
          <w:b w:val="0"/>
          <w:color w:val="auto"/>
          <w:sz w:val="24"/>
          <w:szCs w:val="24"/>
          <w:highlight w:val="none"/>
        </w:rPr>
        <w:t>5</w:t>
      </w:r>
      <w:bookmarkStart w:id="240" w:name="_Toc337558759"/>
      <w:r>
        <w:rPr>
          <w:rFonts w:hint="eastAsia" w:ascii="宋体" w:hAnsi="宋体" w:cs="宋体"/>
          <w:b w:val="0"/>
          <w:color w:val="auto"/>
          <w:sz w:val="24"/>
          <w:szCs w:val="24"/>
          <w:highlight w:val="none"/>
        </w:rPr>
        <w:t>.1质量要求</w:t>
      </w:r>
      <w:bookmarkEnd w:id="239"/>
    </w:p>
    <w:bookmarkEnd w:id="240"/>
    <w:p w14:paraId="143963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5.1.1 工程质量标准必须符合现行国家有关工程施工质量验收规范和标准的要求。有关工程质量的特殊标准或要求由合同当事人在专用合同条款中约定。</w:t>
      </w:r>
    </w:p>
    <w:p w14:paraId="78A26FE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5.1.2 因发包人原因造成工程质量未达到合同约定标准的，由发包人承担由此增加的费用和（或）延误的工期，并支付承包人合理的利润。</w:t>
      </w:r>
    </w:p>
    <w:p w14:paraId="0AAC24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5.1.3 因承包人原因造成工程质量未达到合同约定标准的，发包人有权要求承包人返工直至工程质量达到合同约定的标准为止，并由承包人承担由此增加的费用和（或）延误的工期。</w:t>
      </w:r>
    </w:p>
    <w:p w14:paraId="0907AB09">
      <w:pPr>
        <w:pStyle w:val="8"/>
        <w:spacing w:before="120" w:after="120" w:line="312" w:lineRule="auto"/>
        <w:ind w:firstLine="480" w:firstLineChars="200"/>
        <w:rPr>
          <w:rFonts w:hint="eastAsia" w:ascii="宋体" w:hAnsi="宋体" w:cs="宋体"/>
          <w:b w:val="0"/>
          <w:color w:val="auto"/>
          <w:sz w:val="24"/>
          <w:szCs w:val="24"/>
          <w:highlight w:val="none"/>
        </w:rPr>
      </w:pPr>
      <w:bookmarkStart w:id="241" w:name="_Toc351203534"/>
      <w:r>
        <w:rPr>
          <w:rFonts w:hint="eastAsia" w:ascii="宋体" w:hAnsi="宋体" w:cs="宋体"/>
          <w:b w:val="0"/>
          <w:color w:val="auto"/>
          <w:sz w:val="24"/>
          <w:szCs w:val="24"/>
          <w:highlight w:val="none"/>
        </w:rPr>
        <w:t>5</w:t>
      </w:r>
      <w:bookmarkStart w:id="242" w:name="_Toc337558760"/>
      <w:r>
        <w:rPr>
          <w:rFonts w:hint="eastAsia" w:ascii="宋体" w:hAnsi="宋体" w:cs="宋体"/>
          <w:b w:val="0"/>
          <w:color w:val="auto"/>
          <w:sz w:val="24"/>
          <w:szCs w:val="24"/>
          <w:highlight w:val="none"/>
        </w:rPr>
        <w:t>.2质量保证措施</w:t>
      </w:r>
      <w:bookmarkEnd w:id="241"/>
    </w:p>
    <w:bookmarkEnd w:id="242"/>
    <w:p w14:paraId="063935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5.2.1 发包人的质量管理</w:t>
      </w:r>
    </w:p>
    <w:p w14:paraId="5BD41E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发包人应按照法律规定及合同约定完成与工程质量有关的各项工作。</w:t>
      </w:r>
    </w:p>
    <w:p w14:paraId="73A6C0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5.2.2 承包人的质量管理</w:t>
      </w:r>
    </w:p>
    <w:p w14:paraId="5F2399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3CC718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承包人应对施工人员进行质量教育和技术培训，定期考核施工人员的劳动技能，严格执行施工规范和操作规程。</w:t>
      </w:r>
    </w:p>
    <w:p w14:paraId="052BE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7F663CC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5.2.3 监理人的质量检查和检验</w:t>
      </w:r>
    </w:p>
    <w:p w14:paraId="1036F5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277A49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1964902D">
      <w:pPr>
        <w:pStyle w:val="8"/>
        <w:spacing w:before="120" w:after="120" w:line="312" w:lineRule="auto"/>
        <w:ind w:firstLine="480" w:firstLineChars="200"/>
        <w:rPr>
          <w:rFonts w:hint="eastAsia" w:ascii="宋体" w:hAnsi="宋体" w:cs="宋体"/>
          <w:b w:val="0"/>
          <w:color w:val="auto"/>
          <w:sz w:val="24"/>
          <w:szCs w:val="24"/>
          <w:highlight w:val="none"/>
        </w:rPr>
      </w:pPr>
      <w:bookmarkStart w:id="243" w:name="_Toc351203535"/>
      <w:r>
        <w:rPr>
          <w:rFonts w:hint="eastAsia" w:ascii="宋体" w:hAnsi="宋体" w:cs="宋体"/>
          <w:b w:val="0"/>
          <w:color w:val="auto"/>
          <w:sz w:val="24"/>
          <w:szCs w:val="24"/>
          <w:highlight w:val="none"/>
        </w:rPr>
        <w:t>5</w:t>
      </w:r>
      <w:bookmarkStart w:id="244" w:name="_Toc337558761"/>
      <w:r>
        <w:rPr>
          <w:rFonts w:hint="eastAsia" w:ascii="宋体" w:hAnsi="宋体" w:cs="宋体"/>
          <w:b w:val="0"/>
          <w:color w:val="auto"/>
          <w:sz w:val="24"/>
          <w:szCs w:val="24"/>
          <w:highlight w:val="none"/>
        </w:rPr>
        <w:t>.3 隐蔽工程检查</w:t>
      </w:r>
      <w:bookmarkEnd w:id="243"/>
    </w:p>
    <w:bookmarkEnd w:id="244"/>
    <w:p w14:paraId="41FBBBA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5.3.1承包人自检</w:t>
      </w:r>
    </w:p>
    <w:p w14:paraId="715BD7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承包人应当对工程隐蔽部位进行自检，并经自检确认是否具备覆盖条件。</w:t>
      </w:r>
    </w:p>
    <w:p w14:paraId="6B7797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5.3.2检查程序</w:t>
      </w:r>
    </w:p>
    <w:p w14:paraId="65FC2C2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63754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63B734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0670934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5.3.3 重新检查</w:t>
      </w:r>
    </w:p>
    <w:p w14:paraId="27CEF49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498A30F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5.3.4 承包人私自覆盖</w:t>
      </w:r>
    </w:p>
    <w:p w14:paraId="5585C4C8">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07DAFDF5">
      <w:pPr>
        <w:pStyle w:val="8"/>
        <w:spacing w:before="120" w:after="120" w:line="312" w:lineRule="auto"/>
        <w:ind w:firstLine="480" w:firstLineChars="200"/>
        <w:rPr>
          <w:rFonts w:hint="eastAsia" w:ascii="宋体" w:hAnsi="宋体" w:cs="宋体"/>
          <w:b w:val="0"/>
          <w:color w:val="auto"/>
          <w:sz w:val="24"/>
          <w:szCs w:val="24"/>
          <w:highlight w:val="none"/>
        </w:rPr>
      </w:pPr>
      <w:bookmarkStart w:id="245" w:name="_Toc351203536"/>
      <w:r>
        <w:rPr>
          <w:rFonts w:hint="eastAsia" w:ascii="宋体" w:hAnsi="宋体" w:cs="宋体"/>
          <w:b w:val="0"/>
          <w:color w:val="auto"/>
          <w:sz w:val="24"/>
          <w:szCs w:val="24"/>
          <w:highlight w:val="none"/>
        </w:rPr>
        <w:t>5</w:t>
      </w:r>
      <w:bookmarkStart w:id="246" w:name="_Toc337558762"/>
      <w:r>
        <w:rPr>
          <w:rFonts w:hint="eastAsia" w:ascii="宋体" w:hAnsi="宋体" w:cs="宋体"/>
          <w:b w:val="0"/>
          <w:color w:val="auto"/>
          <w:sz w:val="24"/>
          <w:szCs w:val="24"/>
          <w:highlight w:val="none"/>
        </w:rPr>
        <w:t>.4不合格工程的处理</w:t>
      </w:r>
      <w:bookmarkEnd w:id="245"/>
    </w:p>
    <w:bookmarkEnd w:id="246"/>
    <w:p w14:paraId="774D568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6CFE42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5.4.2 因发包人原因造成工程不合格的，由此增加的费用和（或）延误的工期由发包人承担，并支付承包人合理的利润。</w:t>
      </w:r>
    </w:p>
    <w:p w14:paraId="7138DD0A">
      <w:pPr>
        <w:pStyle w:val="8"/>
        <w:spacing w:before="120" w:after="120" w:line="312" w:lineRule="auto"/>
        <w:ind w:firstLine="480" w:firstLineChars="200"/>
        <w:rPr>
          <w:rFonts w:hint="eastAsia" w:ascii="宋体" w:hAnsi="宋体" w:cs="宋体"/>
          <w:b w:val="0"/>
          <w:color w:val="auto"/>
          <w:sz w:val="24"/>
          <w:szCs w:val="24"/>
          <w:highlight w:val="none"/>
        </w:rPr>
      </w:pPr>
      <w:bookmarkStart w:id="247" w:name="_Toc351203537"/>
      <w:r>
        <w:rPr>
          <w:rFonts w:hint="eastAsia" w:ascii="宋体" w:hAnsi="宋体" w:cs="宋体"/>
          <w:b w:val="0"/>
          <w:color w:val="auto"/>
          <w:sz w:val="24"/>
          <w:szCs w:val="24"/>
          <w:highlight w:val="none"/>
        </w:rPr>
        <w:t>5.5 质量争议检测</w:t>
      </w:r>
      <w:bookmarkEnd w:id="247"/>
    </w:p>
    <w:p w14:paraId="2D84AD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合同当事人对工程质量有争议的，由双方协商确定的工程质量检测机构鉴定，由此产生的费用及因此造成的损失，由责任方承担。</w:t>
      </w:r>
    </w:p>
    <w:p w14:paraId="55F7BB14">
      <w:pPr>
        <w:autoSpaceDE w:val="0"/>
        <w:autoSpaceDN w:val="0"/>
        <w:adjustRightInd w:val="0"/>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合同当事人均有责任的，由双方根据其责任分别承担。合同当事人无法达成一致的，按照第4.4款〔商定或确定〕执行。</w:t>
      </w:r>
    </w:p>
    <w:p w14:paraId="1BD0E302">
      <w:pPr>
        <w:pStyle w:val="7"/>
        <w:spacing w:before="120" w:after="120" w:line="312" w:lineRule="auto"/>
        <w:rPr>
          <w:rFonts w:hint="eastAsia"/>
          <w:b w:val="0"/>
          <w:color w:val="auto"/>
          <w:sz w:val="24"/>
          <w:szCs w:val="24"/>
          <w:highlight w:val="none"/>
        </w:rPr>
      </w:pPr>
      <w:bookmarkStart w:id="248" w:name="_Toc351203538"/>
      <w:r>
        <w:rPr>
          <w:rFonts w:hint="eastAsia"/>
          <w:b w:val="0"/>
          <w:color w:val="auto"/>
          <w:sz w:val="24"/>
          <w:szCs w:val="24"/>
          <w:highlight w:val="none"/>
        </w:rPr>
        <w:t>6</w:t>
      </w:r>
      <w:bookmarkStart w:id="249" w:name="_Toc337558763"/>
      <w:r>
        <w:rPr>
          <w:rFonts w:hint="eastAsia"/>
          <w:b w:val="0"/>
          <w:color w:val="auto"/>
          <w:sz w:val="24"/>
          <w:szCs w:val="24"/>
          <w:highlight w:val="none"/>
        </w:rPr>
        <w:t>. 安全文明施工与环境保护</w:t>
      </w:r>
      <w:bookmarkEnd w:id="248"/>
    </w:p>
    <w:bookmarkEnd w:id="249"/>
    <w:p w14:paraId="37A1770E">
      <w:pPr>
        <w:pStyle w:val="8"/>
        <w:spacing w:before="120" w:after="120" w:line="312" w:lineRule="auto"/>
        <w:ind w:firstLine="480" w:firstLineChars="200"/>
        <w:rPr>
          <w:rFonts w:hint="eastAsia" w:ascii="宋体" w:hAnsi="宋体" w:cs="宋体"/>
          <w:b w:val="0"/>
          <w:color w:val="auto"/>
          <w:sz w:val="24"/>
          <w:szCs w:val="24"/>
          <w:highlight w:val="none"/>
        </w:rPr>
      </w:pPr>
      <w:bookmarkStart w:id="250" w:name="_Toc351203539"/>
      <w:r>
        <w:rPr>
          <w:rFonts w:hint="eastAsia" w:ascii="宋体" w:hAnsi="宋体" w:cs="宋体"/>
          <w:b w:val="0"/>
          <w:color w:val="auto"/>
          <w:sz w:val="24"/>
          <w:szCs w:val="24"/>
          <w:highlight w:val="none"/>
        </w:rPr>
        <w:t>6</w:t>
      </w:r>
      <w:bookmarkStart w:id="251" w:name="_Toc337558764"/>
      <w:r>
        <w:rPr>
          <w:rFonts w:hint="eastAsia" w:ascii="宋体" w:hAnsi="宋体" w:cs="宋体"/>
          <w:b w:val="0"/>
          <w:color w:val="auto"/>
          <w:sz w:val="24"/>
          <w:szCs w:val="24"/>
          <w:highlight w:val="none"/>
        </w:rPr>
        <w:t>.1安全文明施工</w:t>
      </w:r>
      <w:bookmarkEnd w:id="250"/>
    </w:p>
    <w:bookmarkEnd w:id="251"/>
    <w:p w14:paraId="486117D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6.1.1安全生产要求</w:t>
      </w:r>
    </w:p>
    <w:p w14:paraId="4FDBB4E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3AB88F3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在施工过程中，如遇到突发的地质变动、事先未知的地下施工障碍等影响施工安全的紧急情况，承包人应及时报告监理人和发包人，发包人应当及时下令停工并报</w:t>
      </w:r>
      <w:r>
        <w:rPr>
          <w:rFonts w:hint="eastAsia" w:ascii="宋体" w:hAnsi="宋体" w:cs="宋体"/>
          <w:color w:val="auto"/>
          <w:kern w:val="0"/>
          <w:sz w:val="24"/>
          <w:highlight w:val="none"/>
        </w:rPr>
        <w:t>政府有关行政管理部门</w:t>
      </w:r>
      <w:r>
        <w:rPr>
          <w:rFonts w:hint="eastAsia" w:ascii="宋体" w:hAnsi="宋体" w:cs="宋体"/>
          <w:color w:val="auto"/>
          <w:sz w:val="24"/>
          <w:highlight w:val="none"/>
        </w:rPr>
        <w:t>采取应急措施。</w:t>
      </w:r>
    </w:p>
    <w:p w14:paraId="555ADD6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因安全生产需要暂停施工的，按照第7.8款〔暂停施工〕的约定执行。</w:t>
      </w:r>
    </w:p>
    <w:p w14:paraId="19ECFA5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6.1.2 安全生产保证措施</w:t>
      </w:r>
    </w:p>
    <w:p w14:paraId="334C6C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承包人应当按照有关</w:t>
      </w:r>
      <w:r>
        <w:rPr>
          <w:rFonts w:hint="eastAsia" w:ascii="宋体" w:hAnsi="宋体" w:cs="宋体"/>
          <w:color w:val="auto"/>
          <w:kern w:val="0"/>
          <w:sz w:val="24"/>
          <w:highlight w:val="none"/>
        </w:rPr>
        <w:t>规定编制安全技术措施或者专项施工方案，</w:t>
      </w:r>
      <w:r>
        <w:rPr>
          <w:rFonts w:hint="eastAsia" w:ascii="宋体" w:hAnsi="宋体" w:cs="宋体"/>
          <w:color w:val="auto"/>
          <w:sz w:val="24"/>
          <w:highlight w:val="none"/>
        </w:rPr>
        <w:t>建立安全生产责任制度、治安保卫制度及安全生产教育培训制度，并</w:t>
      </w:r>
      <w:r>
        <w:rPr>
          <w:rFonts w:hint="eastAsia" w:ascii="宋体" w:hAnsi="宋体" w:cs="宋体"/>
          <w:color w:val="auto"/>
          <w:kern w:val="0"/>
          <w:sz w:val="24"/>
          <w:highlight w:val="none"/>
        </w:rPr>
        <w:t>按安全生产法律规定及合同约定履行安全职责，如实</w:t>
      </w:r>
      <w:r>
        <w:rPr>
          <w:rFonts w:hint="eastAsia" w:ascii="宋体" w:hAnsi="宋体" w:cs="宋体"/>
          <w:color w:val="auto"/>
          <w:sz w:val="24"/>
          <w:highlight w:val="none"/>
        </w:rPr>
        <w:t>编制工程安全生产的有关记录，</w:t>
      </w:r>
      <w:r>
        <w:rPr>
          <w:rFonts w:hint="eastAsia" w:ascii="宋体" w:hAnsi="宋体" w:cs="宋体"/>
          <w:color w:val="auto"/>
          <w:kern w:val="0"/>
          <w:sz w:val="24"/>
          <w:highlight w:val="none"/>
        </w:rPr>
        <w:t>接受发包人、监理人及政府安全监督部门的检查与监督。</w:t>
      </w:r>
    </w:p>
    <w:p w14:paraId="15D8A6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6.1.3特别安全生产事项</w:t>
      </w:r>
    </w:p>
    <w:p w14:paraId="3384D08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0940D01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承包人在动力设备、输电线路、地下管道、密封防震车间、易燃易爆地段以及临街交通要道附近施工时，施工开始前应向发包人和监理人提出安全防护措施，经发包人认可后实施。 </w:t>
      </w:r>
    </w:p>
    <w:p w14:paraId="167CD928">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实施爆破作业，在放射、毒害性环境中施工（含储存、运输、使用）及使用毒害性、腐蚀性物品施工时，承包人应在施工前7天以书面通知发包人和监理人，并报送相应的安全防护措施，经发包人认可后实施。</w:t>
      </w:r>
    </w:p>
    <w:p w14:paraId="4EA3873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需单独编制危险性较大分部分项专项工程施工方案的，及要求进行专家论证的超过一定规模的危险性较大的分部分项工程，承包人应及时编制和组织论证。</w:t>
      </w:r>
    </w:p>
    <w:p w14:paraId="7287C90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6.1.4 治安保卫</w:t>
      </w:r>
    </w:p>
    <w:p w14:paraId="5E37451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除专用合同条款另有约定外，发包人应与当地公安部门协商，在现场建立治安管理机构或联防组织，统一管理施工场地的治安保卫事项，履行合同工程的治安保卫职责。</w:t>
      </w:r>
    </w:p>
    <w:p w14:paraId="09635F4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发包人和承包人除应协助现场治安管理机构或联防组织维护施工场地的社会治安外，还应做好包括生活区在内的各自管辖区的治安保卫工作。</w:t>
      </w:r>
    </w:p>
    <w:p w14:paraId="4449DB70">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60743293">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6.1.5 文明施工</w:t>
      </w:r>
    </w:p>
    <w:p w14:paraId="64C517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7832E55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3950E1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6.1.6 安全文明施工费</w:t>
      </w:r>
    </w:p>
    <w:p w14:paraId="1849D6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安全文明施工费由发包人承担，发包人不得以任何形式扣减该部分费用。因基准日期后合同所适用的法律或政府有关规定发生变化，增加的安全文明施工费由发包人承担。</w:t>
      </w:r>
    </w:p>
    <w:p w14:paraId="63AC5B6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663BE45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22B4FB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42D123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6.1.7 紧急情况处理</w:t>
      </w:r>
    </w:p>
    <w:p w14:paraId="2021601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3B6F1E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6.1.8 事故处理</w:t>
      </w:r>
    </w:p>
    <w:p w14:paraId="30F5DD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331E7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 安全生产责任</w:t>
      </w:r>
    </w:p>
    <w:p w14:paraId="0C8BEF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6.1.9.1 发包人的安全责任</w:t>
      </w:r>
    </w:p>
    <w:p w14:paraId="6F5D8FD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发包人应负责赔偿以下各种情况造成的损失：</w:t>
      </w:r>
    </w:p>
    <w:p w14:paraId="73653DE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（1）工程或工程的任何部分对土地的占用所造成的第三者财产损失；</w:t>
      </w:r>
    </w:p>
    <w:p w14:paraId="0E054D6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（2）由于发包人原因在施工场地及其毗邻地带造成的第三者人身伤亡和财产损失；</w:t>
      </w:r>
    </w:p>
    <w:p w14:paraId="7C76DA4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（3）由于发包人原因对承包人、监理人造成的人员人身伤亡和财产损失；</w:t>
      </w:r>
    </w:p>
    <w:p w14:paraId="769FE326">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（4）由于发包人原因造成的发包人自身人员的人身伤害以及财产损失。</w:t>
      </w:r>
    </w:p>
    <w:p w14:paraId="6EDA2C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6.1.9.2 承包人的安全责任</w:t>
      </w:r>
    </w:p>
    <w:p w14:paraId="42EDFD44">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由于承包人原因在施工场地内及其毗邻地带造成的发包人、监理人以及第三者人员伤亡和财产损失，由承包人负责赔偿。</w:t>
      </w:r>
    </w:p>
    <w:p w14:paraId="3F19F424">
      <w:pPr>
        <w:pStyle w:val="8"/>
        <w:spacing w:before="120" w:after="120" w:line="312" w:lineRule="auto"/>
        <w:ind w:firstLine="480" w:firstLineChars="200"/>
        <w:rPr>
          <w:rFonts w:hint="eastAsia" w:ascii="宋体" w:hAnsi="宋体" w:cs="宋体"/>
          <w:b w:val="0"/>
          <w:color w:val="auto"/>
          <w:sz w:val="24"/>
          <w:szCs w:val="24"/>
          <w:highlight w:val="none"/>
        </w:rPr>
      </w:pPr>
      <w:bookmarkStart w:id="252" w:name="_Toc351203540"/>
      <w:r>
        <w:rPr>
          <w:rFonts w:hint="eastAsia" w:ascii="宋体" w:hAnsi="宋体" w:cs="宋体"/>
          <w:b w:val="0"/>
          <w:color w:val="auto"/>
          <w:sz w:val="24"/>
          <w:szCs w:val="24"/>
          <w:highlight w:val="none"/>
        </w:rPr>
        <w:t>6</w:t>
      </w:r>
      <w:bookmarkStart w:id="253" w:name="_Toc337558765"/>
      <w:r>
        <w:rPr>
          <w:rFonts w:hint="eastAsia" w:ascii="宋体" w:hAnsi="宋体" w:cs="宋体"/>
          <w:b w:val="0"/>
          <w:color w:val="auto"/>
          <w:sz w:val="24"/>
          <w:szCs w:val="24"/>
          <w:highlight w:val="none"/>
        </w:rPr>
        <w:t>.2 职业健康</w:t>
      </w:r>
      <w:bookmarkEnd w:id="252"/>
    </w:p>
    <w:bookmarkEnd w:id="253"/>
    <w:p w14:paraId="61B7EC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6.2.1 劳动保护</w:t>
      </w:r>
    </w:p>
    <w:p w14:paraId="67EAB3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31E716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0967CB2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6DE897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6.2.2 生活条件</w:t>
      </w:r>
    </w:p>
    <w:p w14:paraId="0F19C2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6A367444">
      <w:pPr>
        <w:pStyle w:val="8"/>
        <w:spacing w:before="120" w:after="120" w:line="312" w:lineRule="auto"/>
        <w:ind w:firstLine="480" w:firstLineChars="200"/>
        <w:rPr>
          <w:rFonts w:hint="eastAsia" w:ascii="宋体" w:hAnsi="宋体" w:cs="宋体"/>
          <w:b w:val="0"/>
          <w:color w:val="auto"/>
          <w:sz w:val="24"/>
          <w:szCs w:val="24"/>
          <w:highlight w:val="none"/>
        </w:rPr>
      </w:pPr>
      <w:bookmarkStart w:id="254" w:name="_Toc351203541"/>
      <w:r>
        <w:rPr>
          <w:rFonts w:hint="eastAsia" w:ascii="宋体" w:hAnsi="宋体" w:cs="宋体"/>
          <w:b w:val="0"/>
          <w:color w:val="auto"/>
          <w:sz w:val="24"/>
          <w:szCs w:val="24"/>
          <w:highlight w:val="none"/>
        </w:rPr>
        <w:t>6</w:t>
      </w:r>
      <w:bookmarkStart w:id="255" w:name="_Toc337558766"/>
      <w:r>
        <w:rPr>
          <w:rFonts w:hint="eastAsia" w:ascii="宋体" w:hAnsi="宋体" w:cs="宋体"/>
          <w:b w:val="0"/>
          <w:color w:val="auto"/>
          <w:sz w:val="24"/>
          <w:szCs w:val="24"/>
          <w:highlight w:val="none"/>
        </w:rPr>
        <w:t>.3 环境保护</w:t>
      </w:r>
      <w:bookmarkEnd w:id="254"/>
    </w:p>
    <w:bookmarkEnd w:id="255"/>
    <w:p w14:paraId="4617451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05C2953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承包人应当承担因其原因引起的环境污染侵权损害赔偿责任，因上述环境污染引起纠纷而导致暂停施工的，由此增加的费用和（或）延误的工期由承包人承担。</w:t>
      </w:r>
    </w:p>
    <w:p w14:paraId="14E4381A">
      <w:pPr>
        <w:pStyle w:val="7"/>
        <w:spacing w:before="120" w:after="120" w:line="312" w:lineRule="auto"/>
        <w:rPr>
          <w:rFonts w:hint="eastAsia"/>
          <w:b w:val="0"/>
          <w:color w:val="auto"/>
          <w:sz w:val="24"/>
          <w:szCs w:val="24"/>
          <w:highlight w:val="none"/>
        </w:rPr>
      </w:pPr>
      <w:bookmarkStart w:id="256" w:name="_Toc351203542"/>
      <w:r>
        <w:rPr>
          <w:rFonts w:hint="eastAsia"/>
          <w:b w:val="0"/>
          <w:color w:val="auto"/>
          <w:sz w:val="24"/>
          <w:szCs w:val="24"/>
          <w:highlight w:val="none"/>
        </w:rPr>
        <w:t>7</w:t>
      </w:r>
      <w:bookmarkStart w:id="257" w:name="_Toc337558767"/>
      <w:r>
        <w:rPr>
          <w:rFonts w:hint="eastAsia"/>
          <w:b w:val="0"/>
          <w:color w:val="auto"/>
          <w:sz w:val="24"/>
          <w:szCs w:val="24"/>
          <w:highlight w:val="none"/>
        </w:rPr>
        <w:t>. 工期和进度</w:t>
      </w:r>
      <w:bookmarkEnd w:id="256"/>
    </w:p>
    <w:bookmarkEnd w:id="257"/>
    <w:p w14:paraId="1249095A">
      <w:pPr>
        <w:pStyle w:val="8"/>
        <w:spacing w:before="120" w:after="120" w:line="312" w:lineRule="auto"/>
        <w:ind w:firstLine="480" w:firstLineChars="200"/>
        <w:rPr>
          <w:rFonts w:hint="eastAsia" w:ascii="宋体" w:hAnsi="宋体" w:cs="宋体"/>
          <w:b w:val="0"/>
          <w:color w:val="auto"/>
          <w:sz w:val="24"/>
          <w:szCs w:val="24"/>
          <w:highlight w:val="none"/>
        </w:rPr>
      </w:pPr>
      <w:bookmarkStart w:id="258" w:name="_Toc351203543"/>
      <w:r>
        <w:rPr>
          <w:rFonts w:hint="eastAsia" w:ascii="宋体" w:hAnsi="宋体" w:cs="宋体"/>
          <w:b w:val="0"/>
          <w:color w:val="auto"/>
          <w:sz w:val="24"/>
          <w:szCs w:val="24"/>
          <w:highlight w:val="none"/>
        </w:rPr>
        <w:t>7</w:t>
      </w:r>
      <w:bookmarkStart w:id="259" w:name="_Toc337558768"/>
      <w:bookmarkStart w:id="260" w:name="_Toc296503066"/>
      <w:bookmarkStart w:id="261" w:name="_Toc296346567"/>
      <w:r>
        <w:rPr>
          <w:rFonts w:hint="eastAsia" w:ascii="宋体" w:hAnsi="宋体" w:cs="宋体"/>
          <w:b w:val="0"/>
          <w:color w:val="auto"/>
          <w:sz w:val="24"/>
          <w:szCs w:val="24"/>
          <w:highlight w:val="none"/>
        </w:rPr>
        <w:t>.1施工组织设计</w:t>
      </w:r>
      <w:bookmarkEnd w:id="258"/>
    </w:p>
    <w:bookmarkEnd w:id="259"/>
    <w:p w14:paraId="16F875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7.1.1 </w:t>
      </w:r>
      <w:r>
        <w:rPr>
          <w:rFonts w:hint="eastAsia" w:ascii="宋体" w:hAnsi="宋体" w:cs="宋体"/>
          <w:color w:val="auto"/>
          <w:kern w:val="0"/>
          <w:sz w:val="24"/>
          <w:highlight w:val="none"/>
        </w:rPr>
        <w:t>施工组织设计的内容</w:t>
      </w:r>
    </w:p>
    <w:p w14:paraId="54B6CA8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施工组织设计应包含以下内容：</w:t>
      </w:r>
    </w:p>
    <w:p w14:paraId="038472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（1）施工方案； </w:t>
      </w:r>
    </w:p>
    <w:p w14:paraId="0B2235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（2）施工现场平面布置图；</w:t>
      </w:r>
    </w:p>
    <w:p w14:paraId="3A7182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（3）施工进度计划和保证措施； </w:t>
      </w:r>
    </w:p>
    <w:p w14:paraId="2FBB01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（4）劳动力及材料供应计划；</w:t>
      </w:r>
    </w:p>
    <w:p w14:paraId="343AF9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（5）施工机械设备的选用；</w:t>
      </w:r>
    </w:p>
    <w:p w14:paraId="558A0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（6）质量保证体系及措施；</w:t>
      </w:r>
    </w:p>
    <w:p w14:paraId="2BD27A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（7）安全生产、文明施工措施；</w:t>
      </w:r>
    </w:p>
    <w:p w14:paraId="44C177A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（8）环境保护、成本控制措施；</w:t>
      </w:r>
    </w:p>
    <w:p w14:paraId="4D1776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（9）合同当事人约定的其他内容。</w:t>
      </w:r>
    </w:p>
    <w:p w14:paraId="1838D8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 xml:space="preserve">7.1.2 </w:t>
      </w:r>
      <w:r>
        <w:rPr>
          <w:rFonts w:hint="eastAsia" w:ascii="宋体" w:hAnsi="宋体" w:cs="宋体"/>
          <w:color w:val="auto"/>
          <w:kern w:val="0"/>
          <w:sz w:val="24"/>
          <w:highlight w:val="none"/>
        </w:rPr>
        <w:t>施工组织设计的提交和修改</w:t>
      </w:r>
    </w:p>
    <w:p w14:paraId="57C45E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在合同签订后14天内，但至迟不得晚于第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35D07A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施工进度计划的编制和修改按照第7.2款〔施工进度计划〕执行。</w:t>
      </w:r>
    </w:p>
    <w:p w14:paraId="42FBC426">
      <w:pPr>
        <w:pStyle w:val="8"/>
        <w:spacing w:before="120" w:after="120" w:line="312" w:lineRule="auto"/>
        <w:ind w:firstLine="480" w:firstLineChars="200"/>
        <w:rPr>
          <w:rFonts w:hint="eastAsia" w:ascii="宋体" w:hAnsi="宋体" w:cs="宋体"/>
          <w:b w:val="0"/>
          <w:color w:val="auto"/>
          <w:sz w:val="24"/>
          <w:szCs w:val="24"/>
          <w:highlight w:val="none"/>
        </w:rPr>
      </w:pPr>
      <w:bookmarkStart w:id="262" w:name="_Toc351203544"/>
      <w:r>
        <w:rPr>
          <w:rFonts w:hint="eastAsia" w:ascii="宋体" w:hAnsi="宋体" w:cs="宋体"/>
          <w:b w:val="0"/>
          <w:color w:val="auto"/>
          <w:sz w:val="24"/>
          <w:szCs w:val="24"/>
          <w:highlight w:val="none"/>
        </w:rPr>
        <w:t>7</w:t>
      </w:r>
      <w:bookmarkStart w:id="263" w:name="_Toc337558769"/>
      <w:r>
        <w:rPr>
          <w:rFonts w:hint="eastAsia" w:ascii="宋体" w:hAnsi="宋体" w:cs="宋体"/>
          <w:b w:val="0"/>
          <w:color w:val="auto"/>
          <w:sz w:val="24"/>
          <w:szCs w:val="24"/>
          <w:highlight w:val="none"/>
        </w:rPr>
        <w:t>.2 施工进度计划</w:t>
      </w:r>
      <w:bookmarkEnd w:id="262"/>
    </w:p>
    <w:bookmarkEnd w:id="263"/>
    <w:p w14:paraId="4FA0B2E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7.2.1 施工进度计划的编制</w:t>
      </w:r>
    </w:p>
    <w:p w14:paraId="62FC4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02E0850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7.2.2 施工进度计划的修订</w:t>
      </w:r>
    </w:p>
    <w:p w14:paraId="7A5B9F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27FD22AE">
      <w:pPr>
        <w:pStyle w:val="8"/>
        <w:spacing w:before="120" w:after="120" w:line="312" w:lineRule="auto"/>
        <w:ind w:firstLine="480" w:firstLineChars="200"/>
        <w:rPr>
          <w:rFonts w:hint="eastAsia" w:ascii="宋体" w:hAnsi="宋体" w:cs="宋体"/>
          <w:b w:val="0"/>
          <w:color w:val="auto"/>
          <w:sz w:val="24"/>
          <w:szCs w:val="24"/>
          <w:highlight w:val="none"/>
        </w:rPr>
      </w:pPr>
      <w:bookmarkStart w:id="264" w:name="_Toc351203545"/>
      <w:r>
        <w:rPr>
          <w:rFonts w:hint="eastAsia" w:ascii="宋体" w:hAnsi="宋体" w:cs="宋体"/>
          <w:b w:val="0"/>
          <w:color w:val="auto"/>
          <w:sz w:val="24"/>
          <w:szCs w:val="24"/>
          <w:highlight w:val="none"/>
        </w:rPr>
        <w:t>7</w:t>
      </w:r>
      <w:bookmarkStart w:id="265" w:name="_Toc337558770"/>
      <w:r>
        <w:rPr>
          <w:rFonts w:hint="eastAsia" w:ascii="宋体" w:hAnsi="宋体" w:cs="宋体"/>
          <w:b w:val="0"/>
          <w:color w:val="auto"/>
          <w:sz w:val="24"/>
          <w:szCs w:val="24"/>
          <w:highlight w:val="none"/>
        </w:rPr>
        <w:t>.3 开工</w:t>
      </w:r>
      <w:bookmarkEnd w:id="264"/>
    </w:p>
    <w:p w14:paraId="352835AB">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7.3.1 开工准备</w:t>
      </w:r>
    </w:p>
    <w:p w14:paraId="629FAD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2CBF87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除专用合同条款另有约定外，合同当事人应按约定完成开工准备工作。</w:t>
      </w:r>
    </w:p>
    <w:p w14:paraId="060717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7.3.2 开工通知</w:t>
      </w:r>
    </w:p>
    <w:bookmarkEnd w:id="265"/>
    <w:p w14:paraId="59295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22FCA5B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516F64AE">
      <w:pPr>
        <w:pStyle w:val="8"/>
        <w:spacing w:before="120" w:after="120" w:line="312" w:lineRule="auto"/>
        <w:ind w:firstLine="480" w:firstLineChars="200"/>
        <w:rPr>
          <w:rFonts w:hint="eastAsia" w:ascii="宋体" w:hAnsi="宋体" w:cs="宋体"/>
          <w:b w:val="0"/>
          <w:color w:val="auto"/>
          <w:sz w:val="24"/>
          <w:szCs w:val="24"/>
          <w:highlight w:val="none"/>
        </w:rPr>
      </w:pPr>
      <w:bookmarkStart w:id="266" w:name="_Toc351203546"/>
      <w:r>
        <w:rPr>
          <w:rFonts w:hint="eastAsia" w:ascii="宋体" w:hAnsi="宋体" w:cs="宋体"/>
          <w:b w:val="0"/>
          <w:color w:val="auto"/>
          <w:sz w:val="24"/>
          <w:szCs w:val="24"/>
          <w:highlight w:val="none"/>
        </w:rPr>
        <w:t>7.4测量放线</w:t>
      </w:r>
      <w:bookmarkEnd w:id="266"/>
    </w:p>
    <w:p w14:paraId="39764E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0AA72A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4A166F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59C91CB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施工过程中对施工现场内水准点等测量标志物的保护工作由承包人负责。</w:t>
      </w:r>
      <w:bookmarkStart w:id="267" w:name="_Toc351203547"/>
    </w:p>
    <w:p w14:paraId="13608DA0">
      <w:pPr>
        <w:pStyle w:val="8"/>
        <w:spacing w:before="120" w:after="120" w:line="312"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w:t>
      </w:r>
      <w:bookmarkEnd w:id="260"/>
      <w:bookmarkEnd w:id="261"/>
      <w:bookmarkStart w:id="268" w:name="_Toc337558772"/>
      <w:bookmarkStart w:id="269" w:name="_Toc296346574"/>
      <w:bookmarkStart w:id="270" w:name="_Toc296503073"/>
      <w:r>
        <w:rPr>
          <w:rFonts w:hint="eastAsia" w:ascii="宋体" w:hAnsi="宋体" w:cs="宋体"/>
          <w:b w:val="0"/>
          <w:color w:val="auto"/>
          <w:sz w:val="24"/>
          <w:szCs w:val="24"/>
          <w:highlight w:val="none"/>
        </w:rPr>
        <w:t>.5 工期延误</w:t>
      </w:r>
      <w:bookmarkEnd w:id="267"/>
    </w:p>
    <w:bookmarkEnd w:id="268"/>
    <w:bookmarkEnd w:id="269"/>
    <w:bookmarkEnd w:id="270"/>
    <w:p w14:paraId="7A25FC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7.5.1 因发包人原因导致工期延误</w:t>
      </w:r>
    </w:p>
    <w:p w14:paraId="1E53CDD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在合同履行过程中，因下列情况导致工期延误和（或）费用增加的，由发包人承担由此延误的工期和（或）增加的费用，且发包人应支付承包人合理的利润： </w:t>
      </w:r>
    </w:p>
    <w:p w14:paraId="100D160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（1）发包人未能按合同约定提供图纸或所提供图纸不符合合同约定的；</w:t>
      </w:r>
    </w:p>
    <w:p w14:paraId="6112478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（2）发包人未能按合同约定提供施工现场、施工条件、基础资料、许可、批准等开工条件的；</w:t>
      </w:r>
    </w:p>
    <w:p w14:paraId="155003F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（3）发包人提供的测量基准点、基准线和水准点及其书面资料存在错误或疏漏的；</w:t>
      </w:r>
    </w:p>
    <w:p w14:paraId="39B47AA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（4）发包人未能在计划开工日期之日起7天内同意下达开工通知的；</w:t>
      </w:r>
    </w:p>
    <w:p w14:paraId="5BD2891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（5）发包人未能按合同约定日期支付工程预付款、进度款或竣工结算款的；</w:t>
      </w:r>
    </w:p>
    <w:p w14:paraId="36E36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（6）监理人未按合同约定发出指示、批准等文件的；</w:t>
      </w:r>
    </w:p>
    <w:p w14:paraId="4C1C58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（7）专用合同条款中约定的其他情形。</w:t>
      </w:r>
    </w:p>
    <w:p w14:paraId="767DF28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58CE5F63">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7.5.2 因承包人原因导致工期延误</w:t>
      </w:r>
    </w:p>
    <w:p w14:paraId="002E4F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bookmarkStart w:id="271" w:name="_Toc296503076"/>
      <w:bookmarkStart w:id="272" w:name="_Toc296346577"/>
      <w:r>
        <w:rPr>
          <w:rFonts w:hint="eastAsia" w:ascii="宋体" w:hAnsi="宋体" w:cs="宋体"/>
          <w:color w:val="auto"/>
          <w:kern w:val="0"/>
          <w:sz w:val="24"/>
          <w:highlight w:val="none"/>
        </w:rPr>
        <w:t>因</w:t>
      </w:r>
      <w:bookmarkEnd w:id="271"/>
      <w:bookmarkEnd w:id="272"/>
      <w:r>
        <w:rPr>
          <w:rFonts w:hint="eastAsia" w:ascii="宋体" w:hAnsi="宋体" w:cs="宋体"/>
          <w:color w:val="auto"/>
          <w:kern w:val="0"/>
          <w:sz w:val="24"/>
          <w:highlight w:val="none"/>
        </w:rPr>
        <w:t>承包人原因造成工期延误的，可以在专用合同条款中约定逾期竣工违约金的计算方法和逾期竣工违约金的上限。承包人支付逾期竣工违约金后，不免除承包人继续完成工程及修补缺陷的义务。</w:t>
      </w:r>
    </w:p>
    <w:p w14:paraId="0BA4295E">
      <w:pPr>
        <w:pStyle w:val="8"/>
        <w:spacing w:before="120" w:after="120" w:line="312" w:lineRule="auto"/>
        <w:ind w:firstLine="480" w:firstLineChars="200"/>
        <w:rPr>
          <w:rFonts w:hint="eastAsia" w:ascii="宋体" w:hAnsi="宋体" w:cs="宋体"/>
          <w:b w:val="0"/>
          <w:color w:val="auto"/>
          <w:sz w:val="24"/>
          <w:szCs w:val="24"/>
          <w:highlight w:val="none"/>
        </w:rPr>
      </w:pPr>
      <w:bookmarkStart w:id="273" w:name="_Toc351203548"/>
      <w:r>
        <w:rPr>
          <w:rFonts w:hint="eastAsia" w:ascii="宋体" w:hAnsi="宋体" w:cs="宋体"/>
          <w:b w:val="0"/>
          <w:color w:val="auto"/>
          <w:sz w:val="24"/>
          <w:szCs w:val="24"/>
          <w:highlight w:val="none"/>
        </w:rPr>
        <w:t>7</w:t>
      </w:r>
      <w:bookmarkStart w:id="274" w:name="_Toc337558773"/>
      <w:bookmarkStart w:id="275" w:name="_Toc296503074"/>
      <w:bookmarkStart w:id="276" w:name="_Toc296346575"/>
      <w:bookmarkStart w:id="277" w:name="_Toc296346578"/>
      <w:bookmarkStart w:id="278" w:name="_Toc296503077"/>
      <w:r>
        <w:rPr>
          <w:rFonts w:hint="eastAsia" w:ascii="宋体" w:hAnsi="宋体" w:cs="宋体"/>
          <w:b w:val="0"/>
          <w:color w:val="auto"/>
          <w:sz w:val="24"/>
          <w:szCs w:val="24"/>
          <w:highlight w:val="none"/>
        </w:rPr>
        <w:t>.6 不利物质条件</w:t>
      </w:r>
      <w:bookmarkEnd w:id="273"/>
    </w:p>
    <w:bookmarkEnd w:id="274"/>
    <w:bookmarkEnd w:id="275"/>
    <w:bookmarkEnd w:id="276"/>
    <w:p w14:paraId="33D3B51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5BD645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4623E64A">
      <w:pPr>
        <w:pStyle w:val="8"/>
        <w:spacing w:before="120" w:after="120" w:line="312" w:lineRule="auto"/>
        <w:ind w:firstLine="480" w:firstLineChars="200"/>
        <w:rPr>
          <w:rFonts w:hint="eastAsia" w:ascii="宋体" w:hAnsi="宋体" w:cs="宋体"/>
          <w:b w:val="0"/>
          <w:color w:val="auto"/>
          <w:sz w:val="24"/>
          <w:szCs w:val="24"/>
          <w:highlight w:val="none"/>
        </w:rPr>
      </w:pPr>
      <w:bookmarkStart w:id="279" w:name="_Toc351203549"/>
      <w:r>
        <w:rPr>
          <w:rFonts w:hint="eastAsia" w:ascii="宋体" w:hAnsi="宋体" w:cs="宋体"/>
          <w:b w:val="0"/>
          <w:color w:val="auto"/>
          <w:sz w:val="24"/>
          <w:szCs w:val="24"/>
          <w:highlight w:val="none"/>
        </w:rPr>
        <w:t>7</w:t>
      </w:r>
      <w:bookmarkStart w:id="280" w:name="_Toc296503075"/>
      <w:bookmarkStart w:id="281" w:name="_Toc337558774"/>
      <w:bookmarkStart w:id="282" w:name="_Toc296346576"/>
      <w:r>
        <w:rPr>
          <w:rFonts w:hint="eastAsia" w:ascii="宋体" w:hAnsi="宋体" w:cs="宋体"/>
          <w:b w:val="0"/>
          <w:color w:val="auto"/>
          <w:sz w:val="24"/>
          <w:szCs w:val="24"/>
          <w:highlight w:val="none"/>
        </w:rPr>
        <w:t>.7 异常恶劣的气候条件</w:t>
      </w:r>
      <w:bookmarkEnd w:id="279"/>
    </w:p>
    <w:bookmarkEnd w:id="280"/>
    <w:bookmarkEnd w:id="281"/>
    <w:bookmarkEnd w:id="282"/>
    <w:p w14:paraId="6A468FE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300A93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283" w:name="_Toc351203550"/>
    </w:p>
    <w:p w14:paraId="20C05A18">
      <w:pPr>
        <w:autoSpaceDE w:val="0"/>
        <w:autoSpaceDN w:val="0"/>
        <w:adjustRightInd w:val="0"/>
        <w:spacing w:line="312"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7</w:t>
      </w:r>
      <w:bookmarkStart w:id="284" w:name="_Toc337558775"/>
      <w:r>
        <w:rPr>
          <w:rFonts w:hint="eastAsia" w:ascii="宋体" w:hAnsi="宋体" w:cs="宋体"/>
          <w:bCs/>
          <w:color w:val="auto"/>
          <w:sz w:val="24"/>
          <w:highlight w:val="none"/>
        </w:rPr>
        <w:t>.8 暂停施工</w:t>
      </w:r>
      <w:bookmarkEnd w:id="283"/>
    </w:p>
    <w:bookmarkEnd w:id="277"/>
    <w:bookmarkEnd w:id="278"/>
    <w:bookmarkEnd w:id="284"/>
    <w:p w14:paraId="0E4CFBA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7.8.1发包人原因引起的暂停施工</w:t>
      </w:r>
    </w:p>
    <w:p w14:paraId="3A5EDA3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因发包人原因引起暂停施工的，监理人经发包人同意后，应及时下达暂停施工指示。情况紧急且监理人未及时下达暂停施工指示的，按照第7.8.4项〔紧急情况下的暂停施工〕执行。</w:t>
      </w:r>
    </w:p>
    <w:p w14:paraId="63E6FB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因发包人原因引起的暂停施工，发包人应承担由此增加的费用和（或）延误的工期，并支付承包人合理的利润。</w:t>
      </w:r>
    </w:p>
    <w:p w14:paraId="2F589B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7.8.2 承包人原因引起的暂停施工</w:t>
      </w:r>
    </w:p>
    <w:p w14:paraId="755958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7FB71E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7.8.3 指示暂停施工</w:t>
      </w:r>
    </w:p>
    <w:p w14:paraId="2F18F5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监理人认为有必要时，并经发包人批准后，可向承包人作出暂停施工的指示，承包人应按监理人指示暂停施工。</w:t>
      </w:r>
    </w:p>
    <w:p w14:paraId="6B9D7E3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7.8.4 紧急情况下的暂停施工</w:t>
      </w:r>
    </w:p>
    <w:p w14:paraId="13FF2C9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3F5F64F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7.8.5 暂停施工后的复工</w:t>
      </w:r>
    </w:p>
    <w:p w14:paraId="49B1411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301A84F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承包人无故拖延和拒绝复工的，承包人承担由此增加的费用和（或）延误的工期；因发包人原因无法按时复工的，按照第7.5.1项〔因发包人原因导致工期延误〕约定办理。</w:t>
      </w:r>
    </w:p>
    <w:p w14:paraId="046AE1E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7.8.6 暂停施工持续56天以上</w:t>
      </w:r>
    </w:p>
    <w:p w14:paraId="13681D6D">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1C3DAA47">
      <w:pPr>
        <w:spacing w:line="312" w:lineRule="auto"/>
        <w:ind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04BA2ACE">
      <w:pPr>
        <w:spacing w:line="312" w:lineRule="auto"/>
        <w:ind w:left="16" w:firstLine="468" w:firstLineChars="195"/>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7.8.7 暂停施工期间的工程照管</w:t>
      </w:r>
    </w:p>
    <w:p w14:paraId="7508DF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暂停施工期间，承包人应负责妥善照管工程并提供安全保障，由此增加的费用由责任方承担。</w:t>
      </w:r>
    </w:p>
    <w:p w14:paraId="70721F7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7.8.8 暂停施工的措施</w:t>
      </w:r>
    </w:p>
    <w:p w14:paraId="652DF17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暂停施工期间，发包人和承包人均应采取必要的措施确保工程质量及安全，防止因暂停施工扩大损失。</w:t>
      </w:r>
    </w:p>
    <w:p w14:paraId="2E956F52">
      <w:pPr>
        <w:pStyle w:val="8"/>
        <w:spacing w:before="120" w:after="120" w:line="312" w:lineRule="auto"/>
        <w:ind w:firstLine="480" w:firstLineChars="200"/>
        <w:rPr>
          <w:rFonts w:hint="eastAsia" w:ascii="宋体" w:hAnsi="宋体" w:cs="宋体"/>
          <w:b w:val="0"/>
          <w:color w:val="auto"/>
          <w:sz w:val="24"/>
          <w:szCs w:val="24"/>
          <w:highlight w:val="none"/>
        </w:rPr>
      </w:pPr>
      <w:bookmarkStart w:id="285" w:name="_Toc351203551"/>
      <w:r>
        <w:rPr>
          <w:rFonts w:hint="eastAsia" w:ascii="宋体" w:hAnsi="宋体" w:cs="宋体"/>
          <w:b w:val="0"/>
          <w:color w:val="auto"/>
          <w:sz w:val="24"/>
          <w:szCs w:val="24"/>
          <w:highlight w:val="none"/>
        </w:rPr>
        <w:t>7.9提前竣工</w:t>
      </w:r>
      <w:bookmarkEnd w:id="285"/>
    </w:p>
    <w:p w14:paraId="35DC77C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5EAEE3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7.9.2 发包人要求承包人提前竣工，或承包人提出提前竣工的建议能够给发包人带来效益的，合同当事人可以在专用合同条款中约定提前竣工的奖励。</w:t>
      </w:r>
    </w:p>
    <w:p w14:paraId="00C1C2A6">
      <w:pPr>
        <w:pStyle w:val="7"/>
        <w:spacing w:before="120" w:after="120" w:line="312" w:lineRule="auto"/>
        <w:rPr>
          <w:rFonts w:hint="eastAsia"/>
          <w:b w:val="0"/>
          <w:color w:val="auto"/>
          <w:sz w:val="24"/>
          <w:szCs w:val="24"/>
          <w:highlight w:val="none"/>
        </w:rPr>
      </w:pPr>
      <w:bookmarkStart w:id="286" w:name="_Toc351203552"/>
      <w:r>
        <w:rPr>
          <w:rFonts w:hint="eastAsia"/>
          <w:b w:val="0"/>
          <w:color w:val="auto"/>
          <w:sz w:val="24"/>
          <w:szCs w:val="24"/>
          <w:highlight w:val="none"/>
        </w:rPr>
        <w:t>8</w:t>
      </w:r>
      <w:bookmarkStart w:id="287" w:name="_Toc296346559"/>
      <w:bookmarkStart w:id="288" w:name="_Toc296503058"/>
      <w:bookmarkStart w:id="289" w:name="_Toc337558776"/>
      <w:r>
        <w:rPr>
          <w:rFonts w:hint="eastAsia"/>
          <w:b w:val="0"/>
          <w:color w:val="auto"/>
          <w:sz w:val="24"/>
          <w:szCs w:val="24"/>
          <w:highlight w:val="none"/>
        </w:rPr>
        <w:t>. 材料与设备</w:t>
      </w:r>
      <w:bookmarkEnd w:id="286"/>
    </w:p>
    <w:bookmarkEnd w:id="287"/>
    <w:bookmarkEnd w:id="288"/>
    <w:bookmarkEnd w:id="289"/>
    <w:p w14:paraId="245507CA">
      <w:pPr>
        <w:pStyle w:val="8"/>
        <w:spacing w:before="120" w:after="120" w:line="312" w:lineRule="auto"/>
        <w:ind w:firstLine="480" w:firstLineChars="200"/>
        <w:rPr>
          <w:rFonts w:hint="eastAsia" w:ascii="宋体" w:hAnsi="宋体" w:cs="宋体"/>
          <w:b w:val="0"/>
          <w:color w:val="auto"/>
          <w:sz w:val="24"/>
          <w:szCs w:val="24"/>
          <w:highlight w:val="none"/>
        </w:rPr>
      </w:pPr>
      <w:bookmarkStart w:id="290" w:name="_Toc351203553"/>
      <w:r>
        <w:rPr>
          <w:rFonts w:hint="eastAsia" w:ascii="宋体" w:hAnsi="宋体" w:cs="宋体"/>
          <w:b w:val="0"/>
          <w:color w:val="auto"/>
          <w:sz w:val="24"/>
          <w:szCs w:val="24"/>
          <w:highlight w:val="none"/>
        </w:rPr>
        <w:t>8</w:t>
      </w:r>
      <w:bookmarkStart w:id="291" w:name="_Toc337558777"/>
      <w:bookmarkStart w:id="292" w:name="_Toc296346560"/>
      <w:bookmarkStart w:id="293" w:name="_Toc296503059"/>
      <w:bookmarkStart w:id="294" w:name="_Toc468936960"/>
      <w:r>
        <w:rPr>
          <w:rFonts w:hint="eastAsia" w:ascii="宋体" w:hAnsi="宋体" w:cs="宋体"/>
          <w:b w:val="0"/>
          <w:color w:val="auto"/>
          <w:sz w:val="24"/>
          <w:szCs w:val="24"/>
          <w:highlight w:val="none"/>
        </w:rPr>
        <w:t>.1发包人供应材料与工程设备</w:t>
      </w:r>
      <w:bookmarkEnd w:id="290"/>
    </w:p>
    <w:bookmarkEnd w:id="291"/>
    <w:bookmarkEnd w:id="292"/>
    <w:bookmarkEnd w:id="293"/>
    <w:p w14:paraId="6D188D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发包人自行供应材料、工程设备的，应在签订合同时在专用合同条款的附件《发包人供应材料设备一览表》中明确材料、工程设备的品种、规格、型号、数量、单价、质量等级和送达地点。</w:t>
      </w:r>
    </w:p>
    <w:p w14:paraId="61FFF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3452EC8C">
      <w:pPr>
        <w:pStyle w:val="8"/>
        <w:spacing w:before="120" w:after="120" w:line="312" w:lineRule="auto"/>
        <w:ind w:firstLine="480" w:firstLineChars="200"/>
        <w:rPr>
          <w:rFonts w:hint="eastAsia" w:ascii="宋体" w:hAnsi="宋体" w:cs="宋体"/>
          <w:color w:val="auto"/>
          <w:sz w:val="24"/>
          <w:szCs w:val="24"/>
          <w:highlight w:val="none"/>
        </w:rPr>
      </w:pPr>
      <w:bookmarkStart w:id="295" w:name="_Toc351203554"/>
      <w:r>
        <w:rPr>
          <w:rFonts w:hint="eastAsia" w:ascii="宋体" w:hAnsi="宋体" w:cs="宋体"/>
          <w:b w:val="0"/>
          <w:color w:val="auto"/>
          <w:sz w:val="24"/>
          <w:szCs w:val="24"/>
          <w:highlight w:val="none"/>
        </w:rPr>
        <w:t>8</w:t>
      </w:r>
      <w:bookmarkStart w:id="296" w:name="_Toc296503060"/>
      <w:bookmarkStart w:id="297" w:name="_Toc337558778"/>
      <w:bookmarkStart w:id="298" w:name="_Toc296346561"/>
      <w:r>
        <w:rPr>
          <w:rFonts w:hint="eastAsia" w:ascii="宋体" w:hAnsi="宋体" w:cs="宋体"/>
          <w:b w:val="0"/>
          <w:color w:val="auto"/>
          <w:sz w:val="24"/>
          <w:szCs w:val="24"/>
          <w:highlight w:val="none"/>
        </w:rPr>
        <w:t>.2承包人采购材料与工程设备</w:t>
      </w:r>
      <w:bookmarkEnd w:id="295"/>
    </w:p>
    <w:bookmarkEnd w:id="296"/>
    <w:bookmarkEnd w:id="297"/>
    <w:bookmarkEnd w:id="298"/>
    <w:p w14:paraId="6C4987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5BDF649B">
      <w:pPr>
        <w:pStyle w:val="8"/>
        <w:spacing w:before="120" w:after="120" w:line="312" w:lineRule="auto"/>
        <w:ind w:firstLine="480" w:firstLineChars="200"/>
        <w:rPr>
          <w:rFonts w:hint="eastAsia" w:ascii="宋体" w:hAnsi="宋体" w:cs="宋体"/>
          <w:b w:val="0"/>
          <w:color w:val="auto"/>
          <w:sz w:val="24"/>
          <w:szCs w:val="24"/>
          <w:highlight w:val="none"/>
        </w:rPr>
      </w:pPr>
      <w:bookmarkStart w:id="299" w:name="_Toc351203555"/>
      <w:r>
        <w:rPr>
          <w:rFonts w:hint="eastAsia" w:ascii="宋体" w:hAnsi="宋体" w:cs="宋体"/>
          <w:b w:val="0"/>
          <w:color w:val="auto"/>
          <w:sz w:val="24"/>
          <w:szCs w:val="24"/>
          <w:highlight w:val="none"/>
        </w:rPr>
        <w:t>8</w:t>
      </w:r>
      <w:bookmarkStart w:id="300" w:name="_Toc296503061"/>
      <w:bookmarkStart w:id="301" w:name="_Toc296346562"/>
      <w:bookmarkStart w:id="302" w:name="_Toc337558779"/>
      <w:r>
        <w:rPr>
          <w:rFonts w:hint="eastAsia" w:ascii="宋体" w:hAnsi="宋体" w:cs="宋体"/>
          <w:b w:val="0"/>
          <w:color w:val="auto"/>
          <w:sz w:val="24"/>
          <w:szCs w:val="24"/>
          <w:highlight w:val="none"/>
        </w:rPr>
        <w:t>.3材料与工程设备的接收与拒收</w:t>
      </w:r>
      <w:bookmarkEnd w:id="299"/>
    </w:p>
    <w:bookmarkEnd w:id="300"/>
    <w:bookmarkEnd w:id="301"/>
    <w:bookmarkEnd w:id="302"/>
    <w:p w14:paraId="24236F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7E8A3E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发包人提供的材料和工程设备的规格、数量或质量不符合合同约定的，或因发包人原因导致交货日期延误或交货地点变更等情况的，按照第16.1款〔发包人违约〕约定办理。</w:t>
      </w:r>
    </w:p>
    <w:p w14:paraId="187A65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8.3.2 承包人采购的材料和工程设备，应保证产品质量合格，承包人应在材料和工程设备到货前24小时通知监理人检验。承</w:t>
      </w:r>
      <w:bookmarkStart w:id="303" w:name="_Toc250655469"/>
      <w:r>
        <w:rPr>
          <w:rFonts w:hint="eastAsia" w:ascii="宋体" w:hAnsi="宋体" w:cs="宋体"/>
          <w:color w:val="auto"/>
          <w:kern w:val="0"/>
          <w:sz w:val="24"/>
          <w:highlight w:val="none"/>
        </w:rPr>
        <w:t>包人进行永久设备、材料的制造和生产的，应符合相关质量标准，并向监理人提交材料的样本以及有关资料，并应在使用该材料或工程设备之前获得监理人同意。</w:t>
      </w:r>
    </w:p>
    <w:bookmarkEnd w:id="303"/>
    <w:p w14:paraId="2A8E8982">
      <w:pPr>
        <w:autoSpaceDE w:val="0"/>
        <w:autoSpaceDN w:val="0"/>
        <w:adjustRightInd w:val="0"/>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93DFDF8">
      <w:pPr>
        <w:pStyle w:val="8"/>
        <w:spacing w:before="120" w:after="120" w:line="312" w:lineRule="auto"/>
        <w:ind w:firstLine="480" w:firstLineChars="200"/>
        <w:rPr>
          <w:rFonts w:hint="eastAsia" w:ascii="宋体" w:hAnsi="宋体" w:cs="宋体"/>
          <w:b w:val="0"/>
          <w:color w:val="auto"/>
          <w:sz w:val="24"/>
          <w:szCs w:val="24"/>
          <w:highlight w:val="none"/>
        </w:rPr>
      </w:pPr>
      <w:bookmarkStart w:id="304" w:name="_Toc351203556"/>
      <w:r>
        <w:rPr>
          <w:rFonts w:hint="eastAsia" w:ascii="宋体" w:hAnsi="宋体" w:cs="宋体"/>
          <w:b w:val="0"/>
          <w:color w:val="auto"/>
          <w:sz w:val="24"/>
          <w:szCs w:val="24"/>
          <w:highlight w:val="none"/>
        </w:rPr>
        <w:t>8</w:t>
      </w:r>
      <w:bookmarkStart w:id="305" w:name="_Toc337558780"/>
      <w:bookmarkStart w:id="306" w:name="_Toc296346563"/>
      <w:bookmarkStart w:id="307" w:name="_Toc296503062"/>
      <w:r>
        <w:rPr>
          <w:rFonts w:hint="eastAsia" w:ascii="宋体" w:hAnsi="宋体" w:cs="宋体"/>
          <w:b w:val="0"/>
          <w:color w:val="auto"/>
          <w:sz w:val="24"/>
          <w:szCs w:val="24"/>
          <w:highlight w:val="none"/>
        </w:rPr>
        <w:t>.4材料与工程设备的保管与使用</w:t>
      </w:r>
      <w:bookmarkEnd w:id="304"/>
    </w:p>
    <w:bookmarkEnd w:id="305"/>
    <w:bookmarkEnd w:id="306"/>
    <w:bookmarkEnd w:id="307"/>
    <w:p w14:paraId="1A44E05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8.4.1 发包人供应</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5F5F743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6BFA89E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发包人供应的材料和工程设备使用前，由承包人负责检验，检验费用由发包人承担，不合格的不得使用。</w:t>
      </w:r>
    </w:p>
    <w:p w14:paraId="0588F23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8.4.2 承包人采购</w:t>
      </w:r>
      <w:r>
        <w:rPr>
          <w:rFonts w:hint="eastAsia" w:ascii="宋体" w:hAnsi="宋体" w:cs="宋体"/>
          <w:color w:val="auto"/>
          <w:sz w:val="24"/>
          <w:highlight w:val="none"/>
        </w:rPr>
        <w:t>材料与</w:t>
      </w:r>
      <w:r>
        <w:rPr>
          <w:rFonts w:hint="eastAsia" w:ascii="宋体" w:hAnsi="宋体" w:cs="宋体"/>
          <w:color w:val="auto"/>
          <w:kern w:val="0"/>
          <w:sz w:val="24"/>
          <w:highlight w:val="none"/>
        </w:rPr>
        <w:t>工程</w:t>
      </w:r>
      <w:r>
        <w:rPr>
          <w:rFonts w:hint="eastAsia" w:ascii="宋体" w:hAnsi="宋体" w:cs="宋体"/>
          <w:color w:val="auto"/>
          <w:sz w:val="24"/>
          <w:highlight w:val="none"/>
        </w:rPr>
        <w:t>设备的保管与使用</w:t>
      </w:r>
    </w:p>
    <w:p w14:paraId="71C090D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380E9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发包人或监理人发现承包人使用不符合设计或有关标准要求的材料和工程设备时，有权要求承包人进行修复、拆除或重新采购，由此增加的费用和（或）延误的工期，由承包人承担。</w:t>
      </w:r>
    </w:p>
    <w:p w14:paraId="039D41CA">
      <w:pPr>
        <w:pStyle w:val="8"/>
        <w:spacing w:before="120" w:after="120" w:line="312" w:lineRule="auto"/>
        <w:ind w:firstLine="480" w:firstLineChars="200"/>
        <w:rPr>
          <w:rFonts w:hint="eastAsia" w:ascii="宋体" w:hAnsi="宋体" w:cs="宋体"/>
          <w:b w:val="0"/>
          <w:color w:val="auto"/>
          <w:sz w:val="24"/>
          <w:szCs w:val="24"/>
          <w:highlight w:val="none"/>
        </w:rPr>
      </w:pPr>
      <w:bookmarkStart w:id="308" w:name="_Toc351203557"/>
      <w:r>
        <w:rPr>
          <w:rFonts w:hint="eastAsia" w:ascii="宋体" w:hAnsi="宋体" w:cs="宋体"/>
          <w:b w:val="0"/>
          <w:color w:val="auto"/>
          <w:sz w:val="24"/>
          <w:szCs w:val="24"/>
          <w:highlight w:val="none"/>
        </w:rPr>
        <w:t>8.5禁止使用不合格的材料和工程设备</w:t>
      </w:r>
      <w:bookmarkEnd w:id="308"/>
    </w:p>
    <w:p w14:paraId="42F1A2A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8.5.1 监理人有权拒绝承包人提供的不合格材料或工程设备，并要求承包人立即进行更换。监理人应在更换后再次进行检查和检验，由此增加的费用和（或）延误的工期由承包人承担。</w:t>
      </w:r>
    </w:p>
    <w:p w14:paraId="4AFA747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8.5.2 监理人发现承包人使用了不合格的材料和工程设备，承包人应按照监理人的指示立即改正，并禁止在工程中继续使用不合格的材料和工程设备。</w:t>
      </w:r>
    </w:p>
    <w:p w14:paraId="05535DE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8.5.3 发包人提供的材料或工程设备不符合合同要求的，承包人有权拒绝，并可要求发包人更换，由此增加的费用和（或）延误的工期由发包人承担，并支付承包人合理的利润。</w:t>
      </w:r>
    </w:p>
    <w:p w14:paraId="6A469B91">
      <w:pPr>
        <w:pStyle w:val="8"/>
        <w:spacing w:before="120" w:after="120" w:line="312" w:lineRule="auto"/>
        <w:ind w:firstLine="480" w:firstLineChars="200"/>
        <w:rPr>
          <w:rFonts w:hint="eastAsia" w:ascii="宋体" w:hAnsi="宋体" w:cs="宋体"/>
          <w:b w:val="0"/>
          <w:color w:val="auto"/>
          <w:sz w:val="24"/>
          <w:szCs w:val="24"/>
          <w:highlight w:val="none"/>
        </w:rPr>
      </w:pPr>
      <w:bookmarkStart w:id="309" w:name="_Toc351203558"/>
      <w:r>
        <w:rPr>
          <w:rFonts w:hint="eastAsia" w:ascii="宋体" w:hAnsi="宋体" w:cs="宋体"/>
          <w:b w:val="0"/>
          <w:color w:val="auto"/>
          <w:sz w:val="24"/>
          <w:szCs w:val="24"/>
          <w:highlight w:val="none"/>
        </w:rPr>
        <w:t>8.6 样品</w:t>
      </w:r>
      <w:bookmarkEnd w:id="309"/>
    </w:p>
    <w:p w14:paraId="31CB07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8.6.1</w:t>
      </w:r>
      <w:r>
        <w:rPr>
          <w:rFonts w:hint="eastAsia" w:ascii="宋体" w:hAnsi="宋体" w:cs="宋体"/>
          <w:color w:val="auto"/>
          <w:kern w:val="0"/>
          <w:sz w:val="24"/>
          <w:highlight w:val="none"/>
        </w:rPr>
        <w:tab/>
      </w:r>
      <w:r>
        <w:rPr>
          <w:rFonts w:hint="eastAsia" w:ascii="宋体" w:hAnsi="宋体" w:cs="宋体"/>
          <w:color w:val="auto"/>
          <w:kern w:val="0"/>
          <w:sz w:val="24"/>
          <w:highlight w:val="none"/>
        </w:rPr>
        <w:t>样品的报送与封存</w:t>
      </w:r>
    </w:p>
    <w:p w14:paraId="54E7F2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需要承包人报送样品的材料或工程设备，样品的种类、名称、规格、数量等要求均应在专用合同条款中约定。样品的报送程序如下：</w:t>
      </w:r>
    </w:p>
    <w:p w14:paraId="6155C5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3278DE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1F5233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（3）经发包人和监理人审批确认的样品应按约定的方法封样，封存的样品作为检验工程相关部分的标准之一。承包人在施工过程中不得使用与样品不符的材料或工程设备。</w:t>
      </w:r>
    </w:p>
    <w:p w14:paraId="1454B6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10E60A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8.6.2 样品的保管</w:t>
      </w:r>
    </w:p>
    <w:p w14:paraId="641F216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经批准的样品应由监理人负责封存于现场，承包人应在现场为保存样品提供适当和固定的场所并保持适当和良好的存储环境条件。</w:t>
      </w:r>
    </w:p>
    <w:p w14:paraId="1951339A">
      <w:pPr>
        <w:pStyle w:val="8"/>
        <w:spacing w:before="120" w:after="120" w:line="312" w:lineRule="auto"/>
        <w:ind w:firstLine="480" w:firstLineChars="200"/>
        <w:rPr>
          <w:rFonts w:hint="eastAsia" w:ascii="宋体" w:hAnsi="宋体" w:cs="宋体"/>
          <w:b w:val="0"/>
          <w:color w:val="auto"/>
          <w:sz w:val="24"/>
          <w:szCs w:val="24"/>
          <w:highlight w:val="none"/>
        </w:rPr>
      </w:pPr>
      <w:bookmarkStart w:id="310" w:name="_Toc351203559"/>
      <w:r>
        <w:rPr>
          <w:rFonts w:hint="eastAsia" w:ascii="宋体" w:hAnsi="宋体" w:cs="宋体"/>
          <w:b w:val="0"/>
          <w:color w:val="auto"/>
          <w:sz w:val="24"/>
          <w:szCs w:val="24"/>
          <w:highlight w:val="none"/>
        </w:rPr>
        <w:t>8.7材料与工程设备的替代</w:t>
      </w:r>
      <w:bookmarkEnd w:id="310"/>
    </w:p>
    <w:p w14:paraId="5B3563D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8.7.1 出现下列情况需要使用替代材料和工程设备的，承包人应按照第8.7.2项约定的程序执行：</w:t>
      </w:r>
    </w:p>
    <w:p w14:paraId="2A4471E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（1）基准日期后生效的法律规定禁止使用的；</w:t>
      </w:r>
    </w:p>
    <w:p w14:paraId="1ED328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（2）发包人要求使用替代品的；</w:t>
      </w:r>
    </w:p>
    <w:p w14:paraId="25C1B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（3）因其他原因必须使用替代品的。</w:t>
      </w:r>
    </w:p>
    <w:p w14:paraId="149764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8.7.2 承包人应在使用替代材料和工程设备28天前书面通知监理人，并附下列文件：</w:t>
      </w:r>
    </w:p>
    <w:p w14:paraId="0EF39E3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（1）被替代的材料和工程设备的名称、数量、规格、型号、品牌、性能、价格及其他相关资料；</w:t>
      </w:r>
    </w:p>
    <w:p w14:paraId="330A1C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（2）替代品的名称、数量、规格、型号、品牌、性能、价格及其他相关资料；</w:t>
      </w:r>
    </w:p>
    <w:p w14:paraId="260620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（3）替代品与被替代产品之间的差异以及使用替代品可能对工程产生的影响；</w:t>
      </w:r>
    </w:p>
    <w:p w14:paraId="5410F0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（4）替代品与被替代产品的价格差异；</w:t>
      </w:r>
    </w:p>
    <w:p w14:paraId="28E82F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（5）使用替代品的理由和原因说明；</w:t>
      </w:r>
    </w:p>
    <w:p w14:paraId="6E6E68E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（6）监理人要求的其他文件。</w:t>
      </w:r>
    </w:p>
    <w:p w14:paraId="1CBAC5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监理人应在收到通知后14天内向承包人发出经发包人签认的书面指示；监理人逾期发出书面指示的，视为发包人和监理人同意使用替代品。</w:t>
      </w:r>
    </w:p>
    <w:p w14:paraId="443F39F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489FC60C">
      <w:pPr>
        <w:pStyle w:val="8"/>
        <w:spacing w:before="120" w:after="120" w:line="312" w:lineRule="auto"/>
        <w:ind w:firstLine="480" w:firstLineChars="200"/>
        <w:rPr>
          <w:rFonts w:hint="eastAsia" w:ascii="宋体" w:hAnsi="宋体" w:cs="宋体"/>
          <w:b w:val="0"/>
          <w:color w:val="auto"/>
          <w:sz w:val="24"/>
          <w:szCs w:val="24"/>
          <w:highlight w:val="none"/>
        </w:rPr>
      </w:pPr>
      <w:bookmarkStart w:id="311" w:name="_Toc351203560"/>
      <w:r>
        <w:rPr>
          <w:rFonts w:hint="eastAsia" w:ascii="宋体" w:hAnsi="宋体" w:cs="宋体"/>
          <w:b w:val="0"/>
          <w:color w:val="auto"/>
          <w:sz w:val="24"/>
          <w:szCs w:val="24"/>
          <w:highlight w:val="none"/>
        </w:rPr>
        <w:t>8.8施工设备和临时设施</w:t>
      </w:r>
      <w:bookmarkEnd w:id="311"/>
    </w:p>
    <w:p w14:paraId="347D83D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8.8.1 承包人提供的施工设备和临时设施</w:t>
      </w:r>
    </w:p>
    <w:p w14:paraId="4E3896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6BEE63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除专用合同条款另有约定外，承包人应自行承担修建临时设施的费用，需要临时占地的，应由发包人办理申请手续并承担相应费用。</w:t>
      </w:r>
    </w:p>
    <w:p w14:paraId="3375AC6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8.8.2发包人提供的施工设备和临时设施</w:t>
      </w:r>
    </w:p>
    <w:p w14:paraId="44636B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发包人提供的施工设备或临时设施在专用合同条款中约定。</w:t>
      </w:r>
    </w:p>
    <w:p w14:paraId="350E625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8.8.3要求承包人增加或更换施工设备</w:t>
      </w:r>
    </w:p>
    <w:p w14:paraId="03E023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48B871C2">
      <w:pPr>
        <w:pStyle w:val="8"/>
        <w:spacing w:before="120" w:after="120" w:line="312" w:lineRule="auto"/>
        <w:ind w:firstLine="480" w:firstLineChars="200"/>
        <w:rPr>
          <w:rFonts w:hint="eastAsia" w:ascii="宋体" w:hAnsi="宋体" w:cs="宋体"/>
          <w:b w:val="0"/>
          <w:color w:val="auto"/>
          <w:sz w:val="24"/>
          <w:szCs w:val="24"/>
          <w:highlight w:val="none"/>
        </w:rPr>
      </w:pPr>
      <w:bookmarkStart w:id="312" w:name="_Toc351203561"/>
      <w:r>
        <w:rPr>
          <w:rFonts w:hint="eastAsia" w:ascii="宋体" w:hAnsi="宋体" w:cs="宋体"/>
          <w:b w:val="0"/>
          <w:color w:val="auto"/>
          <w:sz w:val="24"/>
          <w:szCs w:val="24"/>
          <w:highlight w:val="none"/>
        </w:rPr>
        <w:t>8</w:t>
      </w:r>
      <w:bookmarkStart w:id="313" w:name="_Toc296346564"/>
      <w:bookmarkStart w:id="314" w:name="_Toc337558781"/>
      <w:bookmarkStart w:id="315" w:name="_Toc296503063"/>
      <w:r>
        <w:rPr>
          <w:rFonts w:hint="eastAsia" w:ascii="宋体" w:hAnsi="宋体" w:cs="宋体"/>
          <w:b w:val="0"/>
          <w:color w:val="auto"/>
          <w:sz w:val="24"/>
          <w:szCs w:val="24"/>
          <w:highlight w:val="none"/>
        </w:rPr>
        <w:t>.9材料与设备专用</w:t>
      </w:r>
      <w:bookmarkEnd w:id="312"/>
      <w:r>
        <w:rPr>
          <w:rFonts w:hint="eastAsia" w:ascii="宋体" w:hAnsi="宋体" w:cs="宋体"/>
          <w:b w:val="0"/>
          <w:color w:val="auto"/>
          <w:sz w:val="24"/>
          <w:szCs w:val="24"/>
          <w:highlight w:val="none"/>
        </w:rPr>
        <w:t>要求</w:t>
      </w:r>
    </w:p>
    <w:bookmarkEnd w:id="313"/>
    <w:bookmarkEnd w:id="314"/>
    <w:bookmarkEnd w:id="315"/>
    <w:p w14:paraId="66F0FF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承包人运入施工现场的材料、工程设备、施工设备以及在施工场地建设的临时设施，包括备品备件、安装工具与资料，必须专用于工程。未经发包人批准，承包人不得运出施工现场或挪作他用；</w:t>
      </w:r>
      <w:bookmarkEnd w:id="294"/>
      <w:r>
        <w:rPr>
          <w:rFonts w:hint="eastAsia" w:ascii="宋体" w:hAnsi="宋体" w:cs="宋体"/>
          <w:color w:val="auto"/>
          <w:kern w:val="0"/>
          <w:sz w:val="24"/>
          <w:highlight w:val="none"/>
        </w:rPr>
        <w:t>经发包人批准，承包人可以根据施工进度计划撤走闲置的施工设备和其他物品。</w:t>
      </w:r>
    </w:p>
    <w:p w14:paraId="467F5FC0">
      <w:pPr>
        <w:pStyle w:val="7"/>
        <w:spacing w:before="120" w:after="120" w:line="312" w:lineRule="auto"/>
        <w:rPr>
          <w:rFonts w:hint="eastAsia"/>
          <w:b w:val="0"/>
          <w:color w:val="auto"/>
          <w:sz w:val="24"/>
          <w:szCs w:val="24"/>
          <w:highlight w:val="none"/>
        </w:rPr>
      </w:pPr>
      <w:bookmarkStart w:id="316" w:name="_Toc351203562"/>
      <w:r>
        <w:rPr>
          <w:rFonts w:hint="eastAsia"/>
          <w:b w:val="0"/>
          <w:color w:val="auto"/>
          <w:sz w:val="24"/>
          <w:szCs w:val="24"/>
          <w:highlight w:val="none"/>
        </w:rPr>
        <w:t>9</w:t>
      </w:r>
      <w:bookmarkStart w:id="317" w:name="_Toc337558782"/>
      <w:bookmarkStart w:id="318" w:name="_Toc296503083"/>
      <w:bookmarkStart w:id="319" w:name="_Toc296346584"/>
      <w:r>
        <w:rPr>
          <w:rFonts w:hint="eastAsia"/>
          <w:b w:val="0"/>
          <w:color w:val="auto"/>
          <w:sz w:val="24"/>
          <w:szCs w:val="24"/>
          <w:highlight w:val="none"/>
        </w:rPr>
        <w:t>. 试验与检验</w:t>
      </w:r>
      <w:bookmarkEnd w:id="316"/>
    </w:p>
    <w:bookmarkEnd w:id="317"/>
    <w:p w14:paraId="1F8931BA">
      <w:pPr>
        <w:pStyle w:val="8"/>
        <w:spacing w:before="120" w:after="120" w:line="312" w:lineRule="auto"/>
        <w:ind w:firstLine="480" w:firstLineChars="200"/>
        <w:rPr>
          <w:rFonts w:hint="eastAsia" w:ascii="宋体" w:hAnsi="宋体" w:cs="宋体"/>
          <w:b w:val="0"/>
          <w:color w:val="auto"/>
          <w:sz w:val="24"/>
          <w:szCs w:val="24"/>
          <w:highlight w:val="none"/>
        </w:rPr>
      </w:pPr>
      <w:bookmarkStart w:id="320" w:name="_Toc351203563"/>
      <w:r>
        <w:rPr>
          <w:rFonts w:hint="eastAsia" w:ascii="宋体" w:hAnsi="宋体" w:cs="宋体"/>
          <w:b w:val="0"/>
          <w:color w:val="auto"/>
          <w:sz w:val="24"/>
          <w:szCs w:val="24"/>
          <w:highlight w:val="none"/>
        </w:rPr>
        <w:t>9</w:t>
      </w:r>
      <w:bookmarkStart w:id="321" w:name="_Toc337558783"/>
      <w:r>
        <w:rPr>
          <w:rFonts w:hint="eastAsia" w:ascii="宋体" w:hAnsi="宋体" w:cs="宋体"/>
          <w:b w:val="0"/>
          <w:color w:val="auto"/>
          <w:sz w:val="24"/>
          <w:szCs w:val="24"/>
          <w:highlight w:val="none"/>
        </w:rPr>
        <w:t>.1试验设备与试验人员</w:t>
      </w:r>
      <w:bookmarkEnd w:id="320"/>
    </w:p>
    <w:bookmarkEnd w:id="321"/>
    <w:p w14:paraId="6D45726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1C42BE5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9.1.2 承包人应按专用合同条款的约定提供试验设备、取样装置、试验场所和试验条件，并向监理人提交相应进场计划表。</w:t>
      </w:r>
    </w:p>
    <w:p w14:paraId="478D29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承包人配置的试验设备要符合相应试验规程的要求并经过具有资质的检测单位检测，且在正式使用该试验设备前，需要经过监理人与承包人共同校定。</w:t>
      </w:r>
    </w:p>
    <w:p w14:paraId="0D811D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9.1.3 承包人应向监理人提交试验人员的名单及其岗位、资格等证明资料，试验人员必须能够熟练进行相应的检测试验，承包人对试验人员的试验程序和试验结果的正确性负责。</w:t>
      </w:r>
    </w:p>
    <w:p w14:paraId="2D5113CA">
      <w:pPr>
        <w:pStyle w:val="8"/>
        <w:spacing w:before="120" w:after="120" w:line="312" w:lineRule="auto"/>
        <w:ind w:firstLine="480" w:firstLineChars="200"/>
        <w:rPr>
          <w:rFonts w:hint="eastAsia" w:ascii="宋体" w:hAnsi="宋体" w:cs="宋体"/>
          <w:b w:val="0"/>
          <w:color w:val="auto"/>
          <w:sz w:val="24"/>
          <w:szCs w:val="24"/>
          <w:highlight w:val="none"/>
        </w:rPr>
      </w:pPr>
      <w:bookmarkStart w:id="322" w:name="_Toc351203564"/>
      <w:r>
        <w:rPr>
          <w:rFonts w:hint="eastAsia" w:ascii="宋体" w:hAnsi="宋体" w:cs="宋体"/>
          <w:b w:val="0"/>
          <w:color w:val="auto"/>
          <w:sz w:val="24"/>
          <w:szCs w:val="24"/>
          <w:highlight w:val="none"/>
        </w:rPr>
        <w:t>9</w:t>
      </w:r>
      <w:bookmarkStart w:id="323" w:name="_Toc337558784"/>
      <w:r>
        <w:rPr>
          <w:rFonts w:hint="eastAsia" w:ascii="宋体" w:hAnsi="宋体" w:cs="宋体"/>
          <w:b w:val="0"/>
          <w:color w:val="auto"/>
          <w:sz w:val="24"/>
          <w:szCs w:val="24"/>
          <w:highlight w:val="none"/>
        </w:rPr>
        <w:t>.2取样</w:t>
      </w:r>
      <w:bookmarkEnd w:id="322"/>
    </w:p>
    <w:bookmarkEnd w:id="323"/>
    <w:p w14:paraId="1A7108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试验属于自检性质的，承包人可以单独取样。试验属于监理人抽检性质的，可由监理人取样，也可由承包人的试验人员在监理人的监督下取样。</w:t>
      </w:r>
    </w:p>
    <w:p w14:paraId="7D5BE6A0">
      <w:pPr>
        <w:pStyle w:val="8"/>
        <w:spacing w:before="120" w:after="120" w:line="312" w:lineRule="auto"/>
        <w:ind w:firstLine="480" w:firstLineChars="200"/>
        <w:rPr>
          <w:rFonts w:hint="eastAsia" w:ascii="宋体" w:hAnsi="宋体" w:cs="宋体"/>
          <w:b w:val="0"/>
          <w:color w:val="auto"/>
          <w:sz w:val="24"/>
          <w:szCs w:val="24"/>
          <w:highlight w:val="none"/>
        </w:rPr>
      </w:pPr>
      <w:bookmarkStart w:id="324" w:name="_Toc351203565"/>
      <w:r>
        <w:rPr>
          <w:rFonts w:hint="eastAsia" w:ascii="宋体" w:hAnsi="宋体" w:cs="宋体"/>
          <w:b w:val="0"/>
          <w:color w:val="auto"/>
          <w:sz w:val="24"/>
          <w:szCs w:val="24"/>
          <w:highlight w:val="none"/>
        </w:rPr>
        <w:t>9</w:t>
      </w:r>
      <w:bookmarkStart w:id="325" w:name="_Toc337558785"/>
      <w:r>
        <w:rPr>
          <w:rFonts w:hint="eastAsia" w:ascii="宋体" w:hAnsi="宋体" w:cs="宋体"/>
          <w:b w:val="0"/>
          <w:color w:val="auto"/>
          <w:sz w:val="24"/>
          <w:szCs w:val="24"/>
          <w:highlight w:val="none"/>
        </w:rPr>
        <w:t>.3材料、工程设备和工程的试验和检验</w:t>
      </w:r>
      <w:bookmarkEnd w:id="324"/>
    </w:p>
    <w:bookmarkEnd w:id="325"/>
    <w:p w14:paraId="49AB837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3DEF8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2BF977A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1C70FBD8">
      <w:pPr>
        <w:pStyle w:val="8"/>
        <w:spacing w:before="120" w:after="120" w:line="312" w:lineRule="auto"/>
        <w:ind w:firstLine="480" w:firstLineChars="200"/>
        <w:rPr>
          <w:rFonts w:hint="eastAsia" w:ascii="宋体" w:hAnsi="宋体" w:cs="宋体"/>
          <w:b w:val="0"/>
          <w:color w:val="auto"/>
          <w:sz w:val="24"/>
          <w:szCs w:val="24"/>
          <w:highlight w:val="none"/>
        </w:rPr>
      </w:pPr>
      <w:bookmarkStart w:id="326" w:name="_Toc351203566"/>
      <w:r>
        <w:rPr>
          <w:rFonts w:hint="eastAsia" w:ascii="宋体" w:hAnsi="宋体" w:cs="宋体"/>
          <w:b w:val="0"/>
          <w:color w:val="auto"/>
          <w:sz w:val="24"/>
          <w:szCs w:val="24"/>
          <w:highlight w:val="none"/>
        </w:rPr>
        <w:t>9</w:t>
      </w:r>
      <w:bookmarkStart w:id="327" w:name="_Toc337558786"/>
      <w:r>
        <w:rPr>
          <w:rFonts w:hint="eastAsia" w:ascii="宋体" w:hAnsi="宋体" w:cs="宋体"/>
          <w:b w:val="0"/>
          <w:color w:val="auto"/>
          <w:sz w:val="24"/>
          <w:szCs w:val="24"/>
          <w:highlight w:val="none"/>
        </w:rPr>
        <w:t>.4现场工艺试验</w:t>
      </w:r>
      <w:bookmarkEnd w:id="326"/>
    </w:p>
    <w:bookmarkEnd w:id="327"/>
    <w:p w14:paraId="357A58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承包人应按合同约定或监理人指示进行现场工艺试验。对大型的现场工艺试验，监理人认为必要时，承包人应根据监理人提出的工艺试验要求，编制工艺试验措施计划，报送监理人审查。</w:t>
      </w:r>
    </w:p>
    <w:p w14:paraId="31A98C97">
      <w:pPr>
        <w:pStyle w:val="7"/>
        <w:spacing w:before="120" w:after="120" w:line="312" w:lineRule="auto"/>
        <w:rPr>
          <w:rFonts w:hint="eastAsia"/>
          <w:b w:val="0"/>
          <w:color w:val="auto"/>
          <w:sz w:val="24"/>
          <w:szCs w:val="24"/>
          <w:highlight w:val="none"/>
        </w:rPr>
      </w:pPr>
      <w:bookmarkStart w:id="328" w:name="_Toc351203567"/>
      <w:r>
        <w:rPr>
          <w:rFonts w:hint="eastAsia"/>
          <w:b w:val="0"/>
          <w:color w:val="auto"/>
          <w:sz w:val="24"/>
          <w:szCs w:val="24"/>
          <w:highlight w:val="none"/>
        </w:rPr>
        <w:t>1</w:t>
      </w:r>
      <w:bookmarkStart w:id="329" w:name="_Toc337558787"/>
      <w:r>
        <w:rPr>
          <w:rFonts w:hint="eastAsia"/>
          <w:b w:val="0"/>
          <w:color w:val="auto"/>
          <w:sz w:val="24"/>
          <w:szCs w:val="24"/>
          <w:highlight w:val="none"/>
        </w:rPr>
        <w:t>0. 变更</w:t>
      </w:r>
      <w:bookmarkEnd w:id="318"/>
      <w:bookmarkEnd w:id="319"/>
      <w:bookmarkEnd w:id="328"/>
    </w:p>
    <w:bookmarkEnd w:id="329"/>
    <w:p w14:paraId="50835439">
      <w:pPr>
        <w:pStyle w:val="8"/>
        <w:spacing w:before="120" w:after="120" w:line="312" w:lineRule="auto"/>
        <w:ind w:firstLine="480" w:firstLineChars="200"/>
        <w:rPr>
          <w:rFonts w:hint="eastAsia" w:ascii="宋体" w:hAnsi="宋体" w:cs="宋体"/>
          <w:b w:val="0"/>
          <w:color w:val="auto"/>
          <w:sz w:val="24"/>
          <w:szCs w:val="24"/>
          <w:highlight w:val="none"/>
        </w:rPr>
      </w:pPr>
      <w:bookmarkStart w:id="330" w:name="_Toc351203568"/>
      <w:r>
        <w:rPr>
          <w:rFonts w:hint="eastAsia" w:ascii="宋体" w:hAnsi="宋体" w:cs="宋体"/>
          <w:b w:val="0"/>
          <w:color w:val="auto"/>
          <w:sz w:val="24"/>
          <w:szCs w:val="24"/>
          <w:highlight w:val="none"/>
        </w:rPr>
        <w:t>1</w:t>
      </w:r>
      <w:bookmarkStart w:id="331" w:name="_Toc296346585"/>
      <w:bookmarkStart w:id="332" w:name="_Toc337558788"/>
      <w:bookmarkStart w:id="333" w:name="_Toc296503084"/>
      <w:r>
        <w:rPr>
          <w:rFonts w:hint="eastAsia" w:ascii="宋体" w:hAnsi="宋体" w:cs="宋体"/>
          <w:b w:val="0"/>
          <w:color w:val="auto"/>
          <w:sz w:val="24"/>
          <w:szCs w:val="24"/>
          <w:highlight w:val="none"/>
        </w:rPr>
        <w:t>0.1变更的范围</w:t>
      </w:r>
      <w:bookmarkEnd w:id="330"/>
    </w:p>
    <w:bookmarkEnd w:id="331"/>
    <w:bookmarkEnd w:id="332"/>
    <w:bookmarkEnd w:id="333"/>
    <w:p w14:paraId="5942E0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除专用合同条款另有约定外，合同履行过程中发生以下情形的，应按照本条约定进行变更：</w:t>
      </w:r>
    </w:p>
    <w:p w14:paraId="75AF62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（1）增加或减少合同中任何工作，或追加额外的工作；</w:t>
      </w:r>
    </w:p>
    <w:p w14:paraId="6458A66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（2）取消合同中任何工作，但转由他人实施的工作除外；</w:t>
      </w:r>
    </w:p>
    <w:p w14:paraId="37F3F0E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（3）改变合同中任何工作的质量标准或其他特性；</w:t>
      </w:r>
    </w:p>
    <w:p w14:paraId="246E2F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（4）改变工程的基线、标高、位置和尺寸；</w:t>
      </w:r>
    </w:p>
    <w:p w14:paraId="322AC4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（5）改变工程的时间安排或实施顺序。</w:t>
      </w:r>
    </w:p>
    <w:p w14:paraId="2DBE3DC0">
      <w:pPr>
        <w:pStyle w:val="8"/>
        <w:spacing w:before="120" w:after="120" w:line="312" w:lineRule="auto"/>
        <w:ind w:firstLine="480" w:firstLineChars="200"/>
        <w:rPr>
          <w:rFonts w:hint="eastAsia" w:ascii="宋体" w:hAnsi="宋体" w:cs="宋体"/>
          <w:b w:val="0"/>
          <w:color w:val="auto"/>
          <w:sz w:val="24"/>
          <w:szCs w:val="24"/>
          <w:highlight w:val="none"/>
        </w:rPr>
      </w:pPr>
      <w:bookmarkStart w:id="334" w:name="_Toc351203569"/>
      <w:r>
        <w:rPr>
          <w:rFonts w:hint="eastAsia" w:ascii="宋体" w:hAnsi="宋体" w:cs="宋体"/>
          <w:b w:val="0"/>
          <w:color w:val="auto"/>
          <w:sz w:val="24"/>
          <w:szCs w:val="24"/>
          <w:highlight w:val="none"/>
        </w:rPr>
        <w:t>1</w:t>
      </w:r>
      <w:bookmarkStart w:id="335" w:name="_Toc296346586"/>
      <w:bookmarkStart w:id="336" w:name="_Toc296503085"/>
      <w:bookmarkStart w:id="337" w:name="_Toc337558789"/>
      <w:r>
        <w:rPr>
          <w:rFonts w:hint="eastAsia" w:ascii="宋体" w:hAnsi="宋体" w:cs="宋体"/>
          <w:b w:val="0"/>
          <w:color w:val="auto"/>
          <w:sz w:val="24"/>
          <w:szCs w:val="24"/>
          <w:highlight w:val="none"/>
        </w:rPr>
        <w:t>0.2变更权</w:t>
      </w:r>
      <w:bookmarkEnd w:id="334"/>
    </w:p>
    <w:bookmarkEnd w:id="335"/>
    <w:bookmarkEnd w:id="336"/>
    <w:bookmarkEnd w:id="337"/>
    <w:p w14:paraId="7653B26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03F040D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涉及设计变更的，应由设计人提供变更后的图纸和说明。如变更超过原设计标准或批准的建设规模时，发包人应及时办理规划、设计变更等审批手续。</w:t>
      </w:r>
    </w:p>
    <w:p w14:paraId="32F316F2">
      <w:pPr>
        <w:pStyle w:val="8"/>
        <w:spacing w:before="120" w:after="120" w:line="312" w:lineRule="auto"/>
        <w:ind w:firstLine="480" w:firstLineChars="200"/>
        <w:rPr>
          <w:rFonts w:hint="eastAsia" w:ascii="宋体" w:hAnsi="宋体" w:cs="宋体"/>
          <w:b w:val="0"/>
          <w:color w:val="auto"/>
          <w:sz w:val="24"/>
          <w:szCs w:val="24"/>
          <w:highlight w:val="none"/>
        </w:rPr>
      </w:pPr>
      <w:bookmarkStart w:id="338" w:name="_Toc351203570"/>
      <w:r>
        <w:rPr>
          <w:rFonts w:hint="eastAsia" w:ascii="宋体" w:hAnsi="宋体" w:cs="宋体"/>
          <w:b w:val="0"/>
          <w:color w:val="auto"/>
          <w:sz w:val="24"/>
          <w:szCs w:val="24"/>
          <w:highlight w:val="none"/>
        </w:rPr>
        <w:t>1</w:t>
      </w:r>
      <w:bookmarkStart w:id="339" w:name="_Toc337558790"/>
      <w:bookmarkStart w:id="340" w:name="_Toc296346587"/>
      <w:bookmarkStart w:id="341" w:name="_Toc296503086"/>
      <w:r>
        <w:rPr>
          <w:rFonts w:hint="eastAsia" w:ascii="宋体" w:hAnsi="宋体" w:cs="宋体"/>
          <w:b w:val="0"/>
          <w:color w:val="auto"/>
          <w:sz w:val="24"/>
          <w:szCs w:val="24"/>
          <w:highlight w:val="none"/>
        </w:rPr>
        <w:t>0.3变更程序</w:t>
      </w:r>
      <w:bookmarkEnd w:id="338"/>
    </w:p>
    <w:bookmarkEnd w:id="339"/>
    <w:bookmarkEnd w:id="340"/>
    <w:bookmarkEnd w:id="341"/>
    <w:p w14:paraId="32C4224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.3.1 发包人提出变更</w:t>
      </w:r>
    </w:p>
    <w:p w14:paraId="2963A18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发包人提出变更的，应通过监理人向承包人发出变更指示，变更指示应说明计划变更的工程范围和变更的内容。</w:t>
      </w:r>
    </w:p>
    <w:p w14:paraId="6E38D0E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w:t>
      </w:r>
      <w:r>
        <w:rPr>
          <w:rFonts w:hint="eastAsia" w:ascii="宋体" w:hAnsi="宋体" w:cs="宋体"/>
          <w:color w:val="auto"/>
          <w:kern w:val="0"/>
          <w:sz w:val="24"/>
          <w:highlight w:val="none"/>
        </w:rPr>
        <w:t>.3.2 监理人提出变更建议</w:t>
      </w:r>
    </w:p>
    <w:p w14:paraId="14B2D00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2AE2CF7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10.3.3 变更执行</w:t>
      </w:r>
    </w:p>
    <w:p w14:paraId="5A3CFF6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711F456B">
      <w:pPr>
        <w:pStyle w:val="8"/>
        <w:spacing w:before="120" w:after="120" w:line="312" w:lineRule="auto"/>
        <w:ind w:firstLine="480" w:firstLineChars="200"/>
        <w:rPr>
          <w:rFonts w:hint="eastAsia" w:ascii="宋体" w:hAnsi="宋体" w:cs="宋体"/>
          <w:b w:val="0"/>
          <w:color w:val="auto"/>
          <w:sz w:val="24"/>
          <w:szCs w:val="24"/>
          <w:highlight w:val="none"/>
        </w:rPr>
      </w:pPr>
      <w:bookmarkStart w:id="342" w:name="_Toc351203571"/>
      <w:r>
        <w:rPr>
          <w:rFonts w:hint="eastAsia" w:ascii="宋体" w:hAnsi="宋体" w:cs="宋体"/>
          <w:b w:val="0"/>
          <w:color w:val="auto"/>
          <w:sz w:val="24"/>
          <w:szCs w:val="24"/>
          <w:highlight w:val="none"/>
        </w:rPr>
        <w:t>1</w:t>
      </w:r>
      <w:bookmarkStart w:id="343" w:name="_Toc296503087"/>
      <w:bookmarkStart w:id="344" w:name="_Toc296346588"/>
      <w:bookmarkStart w:id="345" w:name="_Toc337558791"/>
      <w:r>
        <w:rPr>
          <w:rFonts w:hint="eastAsia" w:ascii="宋体" w:hAnsi="宋体" w:cs="宋体"/>
          <w:b w:val="0"/>
          <w:color w:val="auto"/>
          <w:sz w:val="24"/>
          <w:szCs w:val="24"/>
          <w:highlight w:val="none"/>
        </w:rPr>
        <w:t>0.4变更估价</w:t>
      </w:r>
      <w:bookmarkEnd w:id="342"/>
    </w:p>
    <w:bookmarkEnd w:id="343"/>
    <w:bookmarkEnd w:id="344"/>
    <w:bookmarkEnd w:id="345"/>
    <w:p w14:paraId="57B717C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10.4.1 变更估价原则</w:t>
      </w:r>
    </w:p>
    <w:p w14:paraId="2617009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除专用合同条款另有约定外，变更估价按照本款约定处理：</w:t>
      </w:r>
    </w:p>
    <w:p w14:paraId="5B7E3A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（1）已标价工程量清单或预算书有相同项目的，按照相同项目单价认定；</w:t>
      </w:r>
    </w:p>
    <w:p w14:paraId="148ADF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（2）已标价工程量清单或预算书中无相同项目，但有类似项目的，参照类似项目的单价认定；</w:t>
      </w:r>
    </w:p>
    <w:p w14:paraId="2EB428C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508CF27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10.4.2 变更估价程序</w:t>
      </w:r>
    </w:p>
    <w:p w14:paraId="4A3FBF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0A9B3D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因变更引起的价格调整应计入最近一期的进度款中支付。</w:t>
      </w:r>
    </w:p>
    <w:p w14:paraId="008D5EA5">
      <w:pPr>
        <w:pStyle w:val="8"/>
        <w:spacing w:before="120" w:after="120" w:line="312" w:lineRule="auto"/>
        <w:ind w:firstLine="480" w:firstLineChars="200"/>
        <w:rPr>
          <w:rFonts w:hint="eastAsia" w:ascii="宋体" w:hAnsi="宋体" w:cs="宋体"/>
          <w:b w:val="0"/>
          <w:color w:val="auto"/>
          <w:sz w:val="24"/>
          <w:szCs w:val="24"/>
          <w:highlight w:val="none"/>
        </w:rPr>
      </w:pPr>
      <w:bookmarkStart w:id="346" w:name="_Toc351203572"/>
      <w:r>
        <w:rPr>
          <w:rFonts w:hint="eastAsia" w:ascii="宋体" w:hAnsi="宋体" w:cs="宋体"/>
          <w:b w:val="0"/>
          <w:color w:val="auto"/>
          <w:sz w:val="24"/>
          <w:szCs w:val="24"/>
          <w:highlight w:val="none"/>
        </w:rPr>
        <w:t>1</w:t>
      </w:r>
      <w:bookmarkStart w:id="347" w:name="_Toc337558792"/>
      <w:bookmarkStart w:id="348" w:name="_Toc296503094"/>
      <w:bookmarkStart w:id="349" w:name="_Toc296346595"/>
      <w:r>
        <w:rPr>
          <w:rFonts w:hint="eastAsia" w:ascii="宋体" w:hAnsi="宋体" w:cs="宋体"/>
          <w:b w:val="0"/>
          <w:color w:val="auto"/>
          <w:sz w:val="24"/>
          <w:szCs w:val="24"/>
          <w:highlight w:val="none"/>
        </w:rPr>
        <w:t>0.5承包人的合理化建议</w:t>
      </w:r>
      <w:bookmarkEnd w:id="346"/>
    </w:p>
    <w:bookmarkEnd w:id="347"/>
    <w:bookmarkEnd w:id="348"/>
    <w:bookmarkEnd w:id="349"/>
    <w:p w14:paraId="4A749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承包人提出合理化建议的，应向监理人提交合理化建议说明，说明建议的内容和理由，以及实施该建议对合同价格和工期的影响。</w:t>
      </w:r>
    </w:p>
    <w:p w14:paraId="758D3E7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46A143B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合理化建议降低了合同价格或者提高了工程经济效益的，发包人可对承包人给予奖励，奖励的方法和金额在专用合同条款中约定。</w:t>
      </w:r>
    </w:p>
    <w:p w14:paraId="33B005EC">
      <w:pPr>
        <w:pStyle w:val="8"/>
        <w:spacing w:before="120" w:after="120" w:line="312" w:lineRule="auto"/>
        <w:ind w:firstLine="480" w:firstLineChars="200"/>
        <w:rPr>
          <w:rFonts w:hint="eastAsia" w:ascii="宋体" w:hAnsi="宋体" w:cs="宋体"/>
          <w:color w:val="auto"/>
          <w:sz w:val="24"/>
          <w:szCs w:val="24"/>
          <w:highlight w:val="none"/>
        </w:rPr>
      </w:pPr>
      <w:bookmarkStart w:id="350" w:name="_Toc351203573"/>
      <w:r>
        <w:rPr>
          <w:rFonts w:hint="eastAsia" w:ascii="宋体" w:hAnsi="宋体" w:cs="宋体"/>
          <w:b w:val="0"/>
          <w:color w:val="auto"/>
          <w:sz w:val="24"/>
          <w:szCs w:val="24"/>
          <w:highlight w:val="none"/>
        </w:rPr>
        <w:t>1</w:t>
      </w:r>
      <w:bookmarkStart w:id="351" w:name="_Toc337558793"/>
      <w:r>
        <w:rPr>
          <w:rFonts w:hint="eastAsia" w:ascii="宋体" w:hAnsi="宋体" w:cs="宋体"/>
          <w:b w:val="0"/>
          <w:color w:val="auto"/>
          <w:sz w:val="24"/>
          <w:szCs w:val="24"/>
          <w:highlight w:val="none"/>
        </w:rPr>
        <w:t>0.6变更引起的工期调整</w:t>
      </w:r>
      <w:bookmarkEnd w:id="350"/>
      <w:r>
        <w:rPr>
          <w:rFonts w:hint="eastAsia" w:ascii="宋体" w:hAnsi="宋体" w:cs="宋体"/>
          <w:b w:val="0"/>
          <w:color w:val="auto"/>
          <w:sz w:val="24"/>
          <w:szCs w:val="24"/>
          <w:highlight w:val="none"/>
        </w:rPr>
        <w:t xml:space="preserve"> </w:t>
      </w:r>
      <w:bookmarkEnd w:id="351"/>
      <w:r>
        <w:rPr>
          <w:rFonts w:hint="eastAsia" w:ascii="宋体" w:hAnsi="宋体" w:cs="宋体"/>
          <w:b w:val="0"/>
          <w:color w:val="auto"/>
          <w:sz w:val="24"/>
          <w:szCs w:val="24"/>
          <w:highlight w:val="none"/>
        </w:rPr>
        <w:t xml:space="preserve"> </w:t>
      </w:r>
      <w:r>
        <w:rPr>
          <w:rFonts w:hint="eastAsia" w:ascii="宋体" w:hAnsi="宋体" w:cs="宋体"/>
          <w:color w:val="auto"/>
          <w:sz w:val="24"/>
          <w:szCs w:val="24"/>
          <w:highlight w:val="none"/>
        </w:rPr>
        <w:t xml:space="preserve"> </w:t>
      </w:r>
    </w:p>
    <w:p w14:paraId="02DFEFE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因变更引起工期变化的，合同当事人均可要求调整合同工期，由合同当事人按照第4.4款〔商定或确定〕并参考工程所在地的工期定额标准确定增减工期天数。</w:t>
      </w:r>
    </w:p>
    <w:p w14:paraId="64040B9F">
      <w:pPr>
        <w:pStyle w:val="8"/>
        <w:spacing w:before="120" w:after="120" w:line="312" w:lineRule="auto"/>
        <w:ind w:firstLine="480" w:firstLineChars="200"/>
        <w:rPr>
          <w:rFonts w:hint="eastAsia" w:ascii="宋体" w:hAnsi="宋体" w:cs="宋体"/>
          <w:b w:val="0"/>
          <w:color w:val="auto"/>
          <w:sz w:val="24"/>
          <w:szCs w:val="24"/>
          <w:highlight w:val="none"/>
        </w:rPr>
      </w:pPr>
      <w:bookmarkStart w:id="352" w:name="_Toc351203574"/>
      <w:r>
        <w:rPr>
          <w:rFonts w:hint="eastAsia" w:ascii="宋体" w:hAnsi="宋体" w:cs="宋体"/>
          <w:b w:val="0"/>
          <w:color w:val="auto"/>
          <w:sz w:val="24"/>
          <w:szCs w:val="24"/>
          <w:highlight w:val="none"/>
        </w:rPr>
        <w:t>10.7暂估价</w:t>
      </w:r>
      <w:bookmarkEnd w:id="352"/>
    </w:p>
    <w:p w14:paraId="0A3EB94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暂估价专业分包工程、服务、材料和工程设备的明细由合同当事人在专用合同条款中约定。</w:t>
      </w:r>
    </w:p>
    <w:p w14:paraId="235642C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10.7.1</w:t>
      </w:r>
      <w:r>
        <w:rPr>
          <w:rFonts w:hint="eastAsia" w:ascii="宋体" w:hAnsi="宋体" w:cs="宋体"/>
          <w:color w:val="auto"/>
          <w:kern w:val="0"/>
          <w:sz w:val="24"/>
          <w:highlight w:val="none"/>
        </w:rPr>
        <w:t xml:space="preserve"> 依法必须招标的暂估价项目</w:t>
      </w:r>
    </w:p>
    <w:p w14:paraId="3F4C239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对于依法必须招标的暂估价项目，采取以下第1种方式确定。合同当事人也可以在专用合同条款中选择其他招标方式。</w:t>
      </w:r>
    </w:p>
    <w:p w14:paraId="66FED9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第1种方式：对于依法必须招标的暂估价项目，由承包人招标，对该暂估价项目的确认和批准按照以下约定执行：</w:t>
      </w:r>
    </w:p>
    <w:p w14:paraId="59E38A0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0933490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0F8619AB">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2693737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01C1548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10.7.2</w:t>
      </w:r>
      <w:r>
        <w:rPr>
          <w:rFonts w:hint="eastAsia" w:ascii="宋体" w:hAnsi="宋体" w:cs="宋体"/>
          <w:color w:val="auto"/>
          <w:kern w:val="0"/>
          <w:sz w:val="24"/>
          <w:highlight w:val="none"/>
        </w:rPr>
        <w:t>不属于依法必须招标的暂估价项目</w:t>
      </w:r>
    </w:p>
    <w:p w14:paraId="70D39C2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除专用合同条款另有约定外，对于不属于依法必须招标的暂估价项目，采取以下第1种方式确定： </w:t>
      </w:r>
    </w:p>
    <w:p w14:paraId="011A3BF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第1种方式：对于不属于依法必须招标的暂估价项目，按本项约定确认和批准：</w:t>
      </w:r>
    </w:p>
    <w:p w14:paraId="667C561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4B0084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（2）发包人认为承包人确定的供应商、分包人无法满足工程质量或合同要求的，发包人可以要求承包人重新确定暂估价项目的供应商、分包人;</w:t>
      </w:r>
    </w:p>
    <w:p w14:paraId="6DE36D7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（3）承包人应当在签订暂估价合同后7天内，将暂估价合同副本报送发包人留存。</w:t>
      </w:r>
    </w:p>
    <w:p w14:paraId="48EBE54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第2种方式：承包人按照第10.7.1项〔依法必须招标的暂估价项目〕约定的第1种方式确定暂估价项目。</w:t>
      </w:r>
    </w:p>
    <w:p w14:paraId="1CC75CF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第3种方式：</w:t>
      </w:r>
      <w:r>
        <w:rPr>
          <w:rFonts w:hint="eastAsia" w:ascii="宋体" w:hAnsi="宋体" w:cs="宋体"/>
          <w:color w:val="auto"/>
          <w:kern w:val="0"/>
          <w:sz w:val="24"/>
          <w:highlight w:val="none"/>
        </w:rPr>
        <w:t>承包人直接实施的暂估价项目</w:t>
      </w:r>
    </w:p>
    <w:p w14:paraId="27461B7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承包人具备实施暂估价项目的资格和条件的，经发包人和承包人协商一致后，可由承包人自行实施暂估价项目，合同当事人可以在专用合同条款约定具体事项。</w:t>
      </w:r>
    </w:p>
    <w:p w14:paraId="479967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631AB7BF">
      <w:pPr>
        <w:pStyle w:val="8"/>
        <w:spacing w:before="120" w:after="120" w:line="312" w:lineRule="auto"/>
        <w:ind w:firstLine="480" w:firstLineChars="200"/>
        <w:rPr>
          <w:rFonts w:hint="eastAsia" w:ascii="宋体" w:hAnsi="宋体" w:cs="宋体"/>
          <w:b w:val="0"/>
          <w:color w:val="auto"/>
          <w:sz w:val="24"/>
          <w:szCs w:val="24"/>
          <w:highlight w:val="none"/>
        </w:rPr>
      </w:pPr>
      <w:bookmarkStart w:id="353" w:name="_Toc351203575"/>
      <w:r>
        <w:rPr>
          <w:rFonts w:hint="eastAsia" w:ascii="宋体" w:hAnsi="宋体" w:cs="宋体"/>
          <w:b w:val="0"/>
          <w:color w:val="auto"/>
          <w:sz w:val="24"/>
          <w:szCs w:val="24"/>
          <w:highlight w:val="none"/>
        </w:rPr>
        <w:t>1</w:t>
      </w:r>
      <w:bookmarkStart w:id="354" w:name="_Toc337558794"/>
      <w:bookmarkStart w:id="355" w:name="_Toc296346591"/>
      <w:bookmarkStart w:id="356" w:name="_Toc296503090"/>
      <w:bookmarkStart w:id="357" w:name="_Toc322522561"/>
      <w:r>
        <w:rPr>
          <w:rFonts w:hint="eastAsia" w:ascii="宋体" w:hAnsi="宋体" w:cs="宋体"/>
          <w:b w:val="0"/>
          <w:color w:val="auto"/>
          <w:sz w:val="24"/>
          <w:szCs w:val="24"/>
          <w:highlight w:val="none"/>
        </w:rPr>
        <w:t>0.8暂列金额</w:t>
      </w:r>
      <w:bookmarkEnd w:id="353"/>
    </w:p>
    <w:bookmarkEnd w:id="354"/>
    <w:p w14:paraId="13080EC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暂列金额应按照发包人的要求使用，发包人的要求应通过监理人发出。合同当事人可以在专用合同条款中协商确定有关事项。</w:t>
      </w:r>
    </w:p>
    <w:bookmarkEnd w:id="355"/>
    <w:bookmarkEnd w:id="356"/>
    <w:bookmarkEnd w:id="357"/>
    <w:p w14:paraId="372AB8F6">
      <w:pPr>
        <w:pStyle w:val="8"/>
        <w:spacing w:before="120" w:after="120" w:line="312" w:lineRule="auto"/>
        <w:ind w:firstLine="480" w:firstLineChars="200"/>
        <w:rPr>
          <w:rFonts w:hint="eastAsia" w:ascii="宋体" w:hAnsi="宋体" w:cs="宋体"/>
          <w:b w:val="0"/>
          <w:color w:val="auto"/>
          <w:sz w:val="24"/>
          <w:szCs w:val="24"/>
          <w:highlight w:val="none"/>
        </w:rPr>
      </w:pPr>
      <w:bookmarkStart w:id="358" w:name="_Toc351203576"/>
      <w:r>
        <w:rPr>
          <w:rFonts w:hint="eastAsia" w:ascii="宋体" w:hAnsi="宋体" w:cs="宋体"/>
          <w:b w:val="0"/>
          <w:color w:val="auto"/>
          <w:sz w:val="24"/>
          <w:szCs w:val="24"/>
          <w:highlight w:val="none"/>
        </w:rPr>
        <w:t>1</w:t>
      </w:r>
      <w:bookmarkStart w:id="359" w:name="_Toc296346592"/>
      <w:bookmarkStart w:id="360" w:name="_Toc296503091"/>
      <w:bookmarkStart w:id="361" w:name="_Toc337558796"/>
      <w:r>
        <w:rPr>
          <w:rFonts w:hint="eastAsia" w:ascii="宋体" w:hAnsi="宋体" w:cs="宋体"/>
          <w:b w:val="0"/>
          <w:color w:val="auto"/>
          <w:sz w:val="24"/>
          <w:szCs w:val="24"/>
          <w:highlight w:val="none"/>
        </w:rPr>
        <w:t>0.9计日工</w:t>
      </w:r>
      <w:bookmarkEnd w:id="358"/>
      <w:r>
        <w:rPr>
          <w:rFonts w:hint="eastAsia" w:ascii="宋体" w:hAnsi="宋体" w:cs="宋体"/>
          <w:b w:val="0"/>
          <w:color w:val="auto"/>
          <w:sz w:val="24"/>
          <w:szCs w:val="24"/>
          <w:highlight w:val="none"/>
        </w:rPr>
        <w:t xml:space="preserve"> </w:t>
      </w:r>
      <w:bookmarkEnd w:id="359"/>
      <w:bookmarkEnd w:id="360"/>
      <w:bookmarkEnd w:id="361"/>
    </w:p>
    <w:p w14:paraId="7D068DB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变更工作的单价。</w:t>
      </w:r>
    </w:p>
    <w:p w14:paraId="7F77388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采用计日工计价的任何一项工作，承包人应在该项工作实施过程中，每天提交以下报表和有关凭证报送监理人审查：</w:t>
      </w:r>
    </w:p>
    <w:p w14:paraId="1BBFD8D4">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（1）工作名称、内容和数量；</w:t>
      </w:r>
    </w:p>
    <w:p w14:paraId="29EDEB6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（2）投入该工作的所有人员的姓名、专业、工种、级别和耗用工时；</w:t>
      </w:r>
    </w:p>
    <w:p w14:paraId="276C6C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（3）投入该工作的材料类别和数量；</w:t>
      </w:r>
    </w:p>
    <w:p w14:paraId="0581453E">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（4）投入该工作的施工设备型号、台数和耗用台时；</w:t>
      </w:r>
    </w:p>
    <w:p w14:paraId="4B4A1046">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（5）其他有关资料和凭证。</w:t>
      </w:r>
    </w:p>
    <w:p w14:paraId="735F2278">
      <w:pPr>
        <w:spacing w:line="312" w:lineRule="auto"/>
        <w:ind w:firstLine="360" w:firstLineChars="15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计日工由承包人汇总后，列入最近一期进度付款申请单，由监理人审查并经发包人批准后列入进度付款。</w:t>
      </w:r>
      <w:bookmarkStart w:id="362" w:name="_Toc351203577"/>
    </w:p>
    <w:p w14:paraId="23BA5C04">
      <w:pPr>
        <w:numPr>
          <w:ilvl w:val="0"/>
          <w:numId w:val="5"/>
        </w:numPr>
        <w:spacing w:line="312"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价格调整</w:t>
      </w:r>
      <w:bookmarkEnd w:id="362"/>
      <w:bookmarkStart w:id="363" w:name="_Toc351203578"/>
      <w:bookmarkStart w:id="364" w:name="_Toc337558797"/>
      <w:bookmarkStart w:id="365" w:name="_Toc296346593"/>
      <w:bookmarkStart w:id="366" w:name="_Toc296503092"/>
    </w:p>
    <w:p w14:paraId="3F68DA3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11.1市场价格波动引起的调整</w:t>
      </w:r>
      <w:bookmarkEnd w:id="363"/>
    </w:p>
    <w:bookmarkEnd w:id="364"/>
    <w:bookmarkEnd w:id="365"/>
    <w:bookmarkEnd w:id="366"/>
    <w:p w14:paraId="34879AB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除专用合同条款另有约定外，市场价格波动超过合同当事人约定的范围，合同价格应当调整。合同当事人可以在专用合同条款中约定选择以下一种方式对合同价格进行调整：</w:t>
      </w:r>
    </w:p>
    <w:p w14:paraId="51471D32">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第1种方式：采用价格指数进行价格调整。</w:t>
      </w:r>
    </w:p>
    <w:p w14:paraId="3037E247">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（1）价格调整公式</w:t>
      </w:r>
    </w:p>
    <w:p w14:paraId="6AF092D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因人工、材料和设备等价格波动影响合同价格时，根据专用合同条款中约定的数据，按以下公式计算差额并调整合同价格：</w:t>
      </w:r>
    </w:p>
    <w:p w14:paraId="2A3DFBCD">
      <w:pPr>
        <w:tabs>
          <w:tab w:val="left" w:pos="0"/>
          <w:tab w:val="left" w:pos="360"/>
          <w:tab w:val="left" w:pos="540"/>
        </w:tabs>
        <w:spacing w:line="312" w:lineRule="auto"/>
        <w:ind w:firstLine="480" w:firstLineChars="200"/>
        <w:rPr>
          <w:rFonts w:hint="eastAsia" w:ascii="宋体" w:hAnsi="宋体" w:cs="宋体"/>
          <w:color w:val="auto"/>
          <w:sz w:val="24"/>
          <w:highlight w:val="none"/>
        </w:rPr>
      </w:pPr>
    </w:p>
    <w:p w14:paraId="26F1BC38">
      <w:pPr>
        <w:tabs>
          <w:tab w:val="left" w:pos="0"/>
          <w:tab w:val="left" w:pos="360"/>
          <w:tab w:val="left" w:pos="540"/>
        </w:tabs>
        <w:spacing w:line="312" w:lineRule="auto"/>
        <w:ind w:firstLine="600" w:firstLineChars="200"/>
        <w:rPr>
          <w:rFonts w:hint="eastAsia" w:ascii="宋体" w:hAnsi="宋体" w:cs="宋体"/>
          <w:color w:val="auto"/>
          <w:sz w:val="24"/>
          <w:highlight w:val="none"/>
        </w:rPr>
      </w:pPr>
      <w:r>
        <w:rPr>
          <w:rFonts w:hint="eastAsia" w:eastAsia="仿宋_GB2312"/>
          <w:color w:val="auto"/>
          <w:position w:val="-30"/>
          <w:sz w:val="30"/>
          <w:szCs w:val="32"/>
          <w:highlight w:val="none"/>
        </w:rPr>
        <w:object>
          <v:shape id="_x0000_i1025" o:spt="75" type="#_x0000_t75" style="height:45pt;width:339.75pt;" o:ole="t" filled="f" o:preferrelative="t" stroked="f" coordsize="21600,21600">
            <v:path/>
            <v:fill on="f" focussize="0,0"/>
            <v:stroke on="f" joinstyle="miter"/>
            <v:imagedata r:id="rId11" o:title=""/>
            <o:lock v:ext="edit" aspectratio="t"/>
            <w10:wrap type="none"/>
            <w10:anchorlock/>
          </v:shape>
          <o:OLEObject Type="Embed" ProgID="Equation.KSEE3" ShapeID="_x0000_i1025" DrawAspect="Content" ObjectID="_1468075725" r:id="rId10">
            <o:LockedField>false</o:LockedField>
          </o:OLEObject>
        </w:object>
      </w:r>
    </w:p>
    <w:p w14:paraId="22CE7488">
      <w:pPr>
        <w:tabs>
          <w:tab w:val="left" w:pos="0"/>
          <w:tab w:val="left" w:pos="360"/>
          <w:tab w:val="left" w:pos="540"/>
        </w:tabs>
        <w:spacing w:line="312" w:lineRule="auto"/>
        <w:ind w:firstLine="640"/>
        <w:rPr>
          <w:rFonts w:hint="eastAsia" w:ascii="宋体" w:hAnsi="宋体" w:cs="宋体"/>
          <w:color w:val="auto"/>
          <w:sz w:val="24"/>
          <w:highlight w:val="none"/>
        </w:rPr>
      </w:pPr>
      <w:r>
        <w:rPr>
          <w:rFonts w:hint="eastAsia" w:ascii="宋体" w:hAnsi="宋体" w:cs="宋体"/>
          <w:color w:val="auto"/>
          <w:sz w:val="24"/>
          <w:highlight w:val="none"/>
        </w:rPr>
        <w:t>公式中：ΔP——需调整的价格差额；</w:t>
      </w:r>
    </w:p>
    <w:p w14:paraId="6559441F">
      <w:pPr>
        <w:tabs>
          <w:tab w:val="left" w:pos="0"/>
          <w:tab w:val="left" w:pos="360"/>
          <w:tab w:val="left" w:pos="540"/>
        </w:tabs>
        <w:spacing w:line="312" w:lineRule="auto"/>
        <w:ind w:firstLine="1440" w:firstLineChars="600"/>
        <w:rPr>
          <w:rFonts w:hint="eastAsia" w:ascii="宋体" w:hAnsi="宋体" w:cs="宋体"/>
          <w:color w:val="auto"/>
          <w:sz w:val="24"/>
          <w:highlight w:val="none"/>
        </w:rPr>
      </w:pPr>
      <w:r>
        <w:rPr>
          <w:rFonts w:hint="eastAsia" w:ascii="宋体" w:hAnsi="宋体" w:cs="宋体"/>
          <w:color w:val="auto"/>
          <w:position w:val="-6"/>
          <w:sz w:val="24"/>
          <w:highlight w:val="none"/>
        </w:rPr>
        <w:object>
          <v:shape id="_x0000_i1026" o:spt="75" type="#_x0000_t75" style="height:17.65pt;width:17.65pt;" o:ole="t" filled="f" o:preferrelative="t" stroked="f" coordsize="21600,21600">
            <v:path/>
            <v:fill on="f" focussize="0,0"/>
            <v:stroke on="f" joinstyle="miter"/>
            <v:imagedata r:id="rId13" o:title=""/>
            <o:lock v:ext="edit" aspectratio="t"/>
            <w10:wrap type="none"/>
            <w10:anchorlock/>
          </v:shape>
          <o:OLEObject Type="Embed" ProgID="Equation.KSEE3" ShapeID="_x0000_i1026" DrawAspect="Content" ObjectID="_1468075726" r:id="rId12">
            <o:LockedField>false</o:LockedField>
          </o:OLEObject>
        </w:object>
      </w:r>
      <w:r>
        <w:rPr>
          <w:rFonts w:hint="eastAsia" w:ascii="宋体" w:hAnsi="宋体" w:cs="宋体"/>
          <w:color w:val="auto"/>
          <w:sz w:val="24"/>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2C973460">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A——定值权重（即不调部分的权重）；</w:t>
      </w:r>
    </w:p>
    <w:p w14:paraId="3FC11BE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7" o:spt="75" type="#_x0000_t75" style="height:21pt;width:101.25pt;" o:ole="t" filled="f" o:preferrelative="t" stroked="f" coordsize="21600,21600">
            <v:path/>
            <v:fill on="f" focussize="0,0"/>
            <v:stroke on="f" joinstyle="miter"/>
            <v:imagedata r:id="rId15" o:title=""/>
            <o:lock v:ext="edit" aspectratio="t"/>
            <w10:wrap type="none"/>
            <w10:anchorlock/>
          </v:shape>
          <o:OLEObject Type="Embed" ProgID="Equation.KSEE3" ShapeID="_x0000_i1027" DrawAspect="Content" ObjectID="_1468075727" r:id="rId14">
            <o:LockedField>false</o:LockedField>
          </o:OLEObject>
        </w:object>
      </w:r>
      <w:r>
        <w:rPr>
          <w:rFonts w:hint="eastAsia" w:ascii="宋体" w:hAnsi="宋体" w:cs="宋体"/>
          <w:color w:val="auto"/>
          <w:sz w:val="24"/>
          <w:highlight w:val="none"/>
        </w:rPr>
        <w:t>——各可调因子的变值权重（即可调部分的权重），为各可调因子在签约合同价中所占的比例；</w:t>
      </w:r>
    </w:p>
    <w:p w14:paraId="6E58E66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8" o:spt="75" type="#_x0000_t75" style="height:20.25pt;width:102pt;" o:ole="t" filled="f" o:preferrelative="t" stroked="f" coordsize="21600,21600">
            <v:path/>
            <v:fill on="f" focussize="0,0"/>
            <v:stroke on="f" joinstyle="miter"/>
            <v:imagedata r:id="rId17" o:title=""/>
            <o:lock v:ext="edit" aspectratio="t"/>
            <w10:wrap type="none"/>
            <w10:anchorlock/>
          </v:shape>
          <o:OLEObject Type="Embed" ProgID="Equation.KSEE3" ShapeID="_x0000_i1028" DrawAspect="Content" ObjectID="_1468075728" r:id="rId16">
            <o:LockedField>false</o:LockedField>
          </o:OLEObject>
        </w:object>
      </w:r>
      <w:r>
        <w:rPr>
          <w:rFonts w:hint="eastAsia" w:ascii="宋体" w:hAnsi="宋体" w:cs="宋体"/>
          <w:color w:val="auto"/>
          <w:sz w:val="24"/>
          <w:highlight w:val="none"/>
        </w:rPr>
        <w:t>——各可调因子的现行价格指数，指约定的付款证书相关周期最后一天的前42天的各可调因子的价格指数；</w:t>
      </w:r>
    </w:p>
    <w:p w14:paraId="638CDE8E">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position w:val="-10"/>
          <w:sz w:val="24"/>
          <w:highlight w:val="none"/>
        </w:rPr>
        <w:object>
          <v:shape id="_x0000_i1029" o:spt="75" type="#_x0000_t75" style="height:20.25pt;width:108pt;" o:ole="t" filled="f" o:preferrelative="t" stroked="f" coordsize="21600,21600">
            <v:path/>
            <v:fill on="f" focussize="0,0"/>
            <v:stroke on="f" joinstyle="miter"/>
            <v:imagedata r:id="rId19" o:title=""/>
            <o:lock v:ext="edit" aspectratio="t"/>
            <w10:wrap type="none"/>
            <w10:anchorlock/>
          </v:shape>
          <o:OLEObject Type="Embed" ProgID="Equation.KSEE3" ShapeID="_x0000_i1029" DrawAspect="Content" ObjectID="_1468075729" r:id="rId18">
            <o:LockedField>false</o:LockedField>
          </o:OLEObject>
        </w:object>
      </w:r>
      <w:r>
        <w:rPr>
          <w:rFonts w:hint="eastAsia" w:ascii="宋体" w:hAnsi="宋体" w:cs="宋体"/>
          <w:color w:val="auto"/>
          <w:sz w:val="24"/>
          <w:highlight w:val="none"/>
        </w:rPr>
        <w:t>——各可调因子的基本价格指数，指基准日期的各可调因子的价格指数。</w:t>
      </w:r>
    </w:p>
    <w:p w14:paraId="2E42CA4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5356AD5B">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（2）暂时确定调整差额</w:t>
      </w:r>
    </w:p>
    <w:p w14:paraId="3F45524D">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在计算调整差额时无现行价格指数的，合同当事人同意暂用前次价格指数计算。实际价格指数有调整的，合同当事人进行相应调整。</w:t>
      </w:r>
    </w:p>
    <w:p w14:paraId="6173306F">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（3）权重的调整</w:t>
      </w:r>
    </w:p>
    <w:p w14:paraId="1B15F1B6">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因变更导致合同约定的权重不合理时，按照第4.4款〔商定或确定〕执行。</w:t>
      </w:r>
    </w:p>
    <w:p w14:paraId="33E68F5C">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（4）因承包人原因工期延误后的价格调整</w:t>
      </w:r>
    </w:p>
    <w:p w14:paraId="2F1697C3">
      <w:pPr>
        <w:tabs>
          <w:tab w:val="left" w:pos="0"/>
          <w:tab w:val="left" w:pos="360"/>
          <w:tab w:val="left" w:pos="540"/>
        </w:tabs>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10C8D76E">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第2种方式：采用造价信息进行价格调整。</w:t>
      </w:r>
    </w:p>
    <w:p w14:paraId="03FD444C">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2631C6F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5EAAC3C7">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（2）材料、工程设备价格变化的价款调整按照发包人提供的基准价格，按以下风险范围规定执行：</w:t>
      </w:r>
    </w:p>
    <w:p w14:paraId="58257F2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318C27E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68E2B05D">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③承包人在已标价工程量清单或预算书中载明材料单价等于基准价格的：除专用合同条款另有约定外，合同履行期间材料单价涨跌幅以基准价格为基础超过±5%时，其超过部分据实调整。</w:t>
      </w:r>
    </w:p>
    <w:p w14:paraId="5B94C08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4AA74E5">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4A53797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（3）施工机械台班单价或施工机械使用费发生变化超过省级或行业建设主管部门或其授权的工程造价管理机构规定的范围时，按规定调整合同价格。</w:t>
      </w:r>
    </w:p>
    <w:p w14:paraId="7F66AE73">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第3种方式：专用合同条款约定的其他方式。</w:t>
      </w:r>
    </w:p>
    <w:p w14:paraId="213F8025">
      <w:pPr>
        <w:pStyle w:val="8"/>
        <w:spacing w:before="120" w:after="120" w:line="312" w:lineRule="auto"/>
        <w:ind w:firstLine="480" w:firstLineChars="200"/>
        <w:rPr>
          <w:rFonts w:hint="eastAsia" w:ascii="宋体" w:hAnsi="宋体" w:cs="宋体"/>
          <w:b w:val="0"/>
          <w:color w:val="auto"/>
          <w:sz w:val="24"/>
          <w:szCs w:val="24"/>
          <w:highlight w:val="none"/>
        </w:rPr>
      </w:pPr>
      <w:bookmarkStart w:id="367" w:name="_Toc351203579"/>
      <w:bookmarkStart w:id="368" w:name="_Toc337558798"/>
      <w:bookmarkStart w:id="369" w:name="_Toc296503093"/>
      <w:bookmarkStart w:id="370" w:name="_Toc296346594"/>
      <w:r>
        <w:rPr>
          <w:rFonts w:hint="eastAsia" w:ascii="宋体" w:hAnsi="宋体" w:cs="宋体"/>
          <w:b w:val="0"/>
          <w:color w:val="auto"/>
          <w:sz w:val="24"/>
          <w:szCs w:val="24"/>
          <w:highlight w:val="none"/>
        </w:rPr>
        <w:t>11.2法律变化引起的调整</w:t>
      </w:r>
      <w:bookmarkEnd w:id="367"/>
    </w:p>
    <w:bookmarkEnd w:id="368"/>
    <w:bookmarkEnd w:id="369"/>
    <w:bookmarkEnd w:id="370"/>
    <w:p w14:paraId="1C23C36A">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230C874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因法律变化引起的合同价格和工期调整，合同当事人无法达成一致的，由总监理工程师按第4.4款〔商定或确定〕的约定处理。</w:t>
      </w:r>
    </w:p>
    <w:p w14:paraId="32AEC3D4">
      <w:pPr>
        <w:spacing w:line="312"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因承包人原因造成工期延误，在工期延误期间出现法律变化的，由此增加的费用和（或）延误的工期由承包人承担。</w:t>
      </w:r>
    </w:p>
    <w:p w14:paraId="759B5A5A">
      <w:pPr>
        <w:pStyle w:val="7"/>
        <w:spacing w:before="120" w:after="120" w:line="312" w:lineRule="auto"/>
        <w:rPr>
          <w:rFonts w:hint="eastAsia"/>
          <w:b w:val="0"/>
          <w:color w:val="auto"/>
          <w:sz w:val="24"/>
          <w:szCs w:val="24"/>
          <w:highlight w:val="none"/>
        </w:rPr>
      </w:pPr>
      <w:bookmarkStart w:id="371" w:name="_Toc351203580"/>
      <w:bookmarkStart w:id="372" w:name="_Toc337558799"/>
      <w:bookmarkStart w:id="373" w:name="_Toc296503096"/>
      <w:bookmarkStart w:id="374" w:name="_Toc296346597"/>
      <w:r>
        <w:rPr>
          <w:rFonts w:hint="eastAsia"/>
          <w:b w:val="0"/>
          <w:color w:val="auto"/>
          <w:sz w:val="24"/>
          <w:szCs w:val="24"/>
          <w:highlight w:val="none"/>
        </w:rPr>
        <w:t>12. 合同价格、计量与支付</w:t>
      </w:r>
      <w:bookmarkEnd w:id="371"/>
    </w:p>
    <w:bookmarkEnd w:id="372"/>
    <w:p w14:paraId="63E633B1">
      <w:pPr>
        <w:pStyle w:val="8"/>
        <w:spacing w:before="120" w:after="120" w:line="312" w:lineRule="auto"/>
        <w:ind w:firstLine="480" w:firstLineChars="200"/>
        <w:rPr>
          <w:rFonts w:hint="eastAsia" w:ascii="宋体" w:hAnsi="宋体" w:cs="宋体"/>
          <w:b w:val="0"/>
          <w:color w:val="auto"/>
          <w:sz w:val="24"/>
          <w:szCs w:val="24"/>
          <w:highlight w:val="none"/>
        </w:rPr>
      </w:pPr>
      <w:bookmarkStart w:id="375" w:name="_Toc351203581"/>
      <w:bookmarkStart w:id="376" w:name="_Toc337558800"/>
      <w:r>
        <w:rPr>
          <w:rFonts w:hint="eastAsia" w:ascii="宋体" w:hAnsi="宋体" w:cs="宋体"/>
          <w:b w:val="0"/>
          <w:color w:val="auto"/>
          <w:sz w:val="24"/>
          <w:szCs w:val="24"/>
          <w:highlight w:val="none"/>
        </w:rPr>
        <w:t>12.1 合同价</w:t>
      </w:r>
      <w:bookmarkEnd w:id="373"/>
      <w:bookmarkEnd w:id="374"/>
      <w:r>
        <w:rPr>
          <w:rFonts w:hint="eastAsia" w:ascii="宋体" w:hAnsi="宋体" w:cs="宋体"/>
          <w:b w:val="0"/>
          <w:color w:val="auto"/>
          <w:sz w:val="24"/>
          <w:szCs w:val="24"/>
          <w:highlight w:val="none"/>
        </w:rPr>
        <w:t>格形式</w:t>
      </w:r>
      <w:bookmarkEnd w:id="375"/>
    </w:p>
    <w:bookmarkEnd w:id="376"/>
    <w:p w14:paraId="1159F70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发包人和承包人应在合同协议书中选择下列一种合同价格形式： </w:t>
      </w:r>
    </w:p>
    <w:p w14:paraId="4366865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w:t>
      </w:r>
    </w:p>
    <w:p w14:paraId="4F3C4CF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单价合同是指合同当事人约定以工程量清单及其综合单价进行合同价格计算、调整和确认的建设工程施工合同，</w:t>
      </w:r>
      <w:r>
        <w:rPr>
          <w:rFonts w:hint="eastAsia" w:ascii="宋体" w:hAnsi="宋体" w:cs="宋体"/>
          <w:color w:val="auto"/>
          <w:sz w:val="24"/>
          <w:highlight w:val="none"/>
        </w:rPr>
        <w:t>在约定的范围内合同单价不作调整</w:t>
      </w:r>
      <w:r>
        <w:rPr>
          <w:rFonts w:hint="eastAsia" w:ascii="宋体" w:hAnsi="宋体" w:cs="宋体"/>
          <w:color w:val="auto"/>
          <w:kern w:val="0"/>
          <w:sz w:val="24"/>
          <w:highlight w:val="none"/>
        </w:rPr>
        <w:t>。合同当事人应在专用合同条款中约定综合单价包含的风险范围和风险费用的计算方法</w:t>
      </w:r>
      <w:r>
        <w:rPr>
          <w:rFonts w:hint="eastAsia" w:ascii="宋体" w:hAnsi="宋体" w:cs="宋体"/>
          <w:color w:val="auto"/>
          <w:sz w:val="24"/>
          <w:highlight w:val="none"/>
        </w:rPr>
        <w:t>，</w:t>
      </w:r>
      <w:r>
        <w:rPr>
          <w:rFonts w:hint="eastAsia" w:ascii="宋体" w:hAnsi="宋体" w:cs="宋体"/>
          <w:color w:val="auto"/>
          <w:kern w:val="0"/>
          <w:sz w:val="24"/>
          <w:highlight w:val="none"/>
        </w:rPr>
        <w:t>并约定风险范围以外的合同价格的调整方法，其中因市场价格波动引起的调整按第11.1款〔市场价格波动引起的调整〕约定执行。</w:t>
      </w:r>
    </w:p>
    <w:p w14:paraId="57614A4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w:t>
      </w:r>
    </w:p>
    <w:p w14:paraId="4A6BD9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总价合同是指合同当事人约定以施工图、已标价工程量清单或预算书及有关条件进行合同价格计算、调整和确认的建设工程施工合同，</w:t>
      </w:r>
      <w:r>
        <w:rPr>
          <w:rFonts w:hint="eastAsia" w:ascii="宋体" w:hAnsi="宋体" w:cs="宋体"/>
          <w:color w:val="auto"/>
          <w:sz w:val="24"/>
          <w:highlight w:val="none"/>
        </w:rPr>
        <w:t>在约定的范围内合同总价不作调整</w:t>
      </w:r>
      <w:r>
        <w:rPr>
          <w:rFonts w:hint="eastAsia" w:ascii="宋体" w:hAnsi="宋体" w:cs="宋体"/>
          <w:color w:val="auto"/>
          <w:kern w:val="0"/>
          <w:sz w:val="24"/>
          <w:highlight w:val="none"/>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267CC98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3、其它价格形式</w:t>
      </w:r>
    </w:p>
    <w:p w14:paraId="1C4AFB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合同当事人可在专用合同条款中约定其他合同价格形式。</w:t>
      </w:r>
    </w:p>
    <w:p w14:paraId="039F7310">
      <w:pPr>
        <w:pStyle w:val="8"/>
        <w:spacing w:before="120" w:after="120" w:line="312" w:lineRule="auto"/>
        <w:ind w:firstLine="480" w:firstLineChars="200"/>
        <w:rPr>
          <w:rFonts w:hint="eastAsia" w:ascii="宋体" w:hAnsi="宋体" w:cs="宋体"/>
          <w:b w:val="0"/>
          <w:color w:val="auto"/>
          <w:sz w:val="24"/>
          <w:szCs w:val="24"/>
          <w:highlight w:val="none"/>
        </w:rPr>
      </w:pPr>
      <w:bookmarkStart w:id="377" w:name="_Toc296346598"/>
      <w:bookmarkStart w:id="378" w:name="_Toc296503097"/>
      <w:bookmarkStart w:id="379" w:name="_Toc351203582"/>
      <w:bookmarkStart w:id="380" w:name="_Toc337558801"/>
      <w:r>
        <w:rPr>
          <w:rFonts w:hint="eastAsia" w:ascii="宋体" w:hAnsi="宋体" w:cs="宋体"/>
          <w:b w:val="0"/>
          <w:color w:val="auto"/>
          <w:sz w:val="24"/>
          <w:szCs w:val="24"/>
          <w:highlight w:val="none"/>
        </w:rPr>
        <w:t>12.2预</w:t>
      </w:r>
      <w:bookmarkEnd w:id="377"/>
      <w:bookmarkEnd w:id="378"/>
      <w:bookmarkStart w:id="381" w:name="_Toc296503100"/>
      <w:bookmarkStart w:id="382" w:name="_Toc296346601"/>
      <w:r>
        <w:rPr>
          <w:rFonts w:hint="eastAsia" w:ascii="宋体" w:hAnsi="宋体" w:cs="宋体"/>
          <w:b w:val="0"/>
          <w:color w:val="auto"/>
          <w:sz w:val="24"/>
          <w:szCs w:val="24"/>
          <w:highlight w:val="none"/>
        </w:rPr>
        <w:t>付款</w:t>
      </w:r>
      <w:bookmarkEnd w:id="379"/>
    </w:p>
    <w:bookmarkEnd w:id="380"/>
    <w:bookmarkEnd w:id="381"/>
    <w:bookmarkEnd w:id="382"/>
    <w:p w14:paraId="170DCF3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w:t>
      </w:r>
      <w:r>
        <w:rPr>
          <w:rFonts w:hint="eastAsia" w:ascii="宋体" w:hAnsi="宋体" w:cs="宋体"/>
          <w:color w:val="auto"/>
          <w:kern w:val="0"/>
          <w:sz w:val="24"/>
          <w:highlight w:val="none"/>
        </w:rPr>
        <w:t>1预付款的支付</w:t>
      </w:r>
    </w:p>
    <w:p w14:paraId="07D2E60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预付款的支付按照专用合同条款约定执行，但至迟应在开工通知载明的开工日期7天前支付。预付款应当用于材料、工程设备、施工设备的采购及修建临时工程、组织施工队伍进场等。</w:t>
      </w:r>
    </w:p>
    <w:p w14:paraId="40CFF9E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除专用合同条款另有约定外，预付款在进度付款中同比例扣回。在颁发工程接收证书前，提前解除合同的，尚未扣完的预付款应与合同价款一并结算。</w:t>
      </w:r>
    </w:p>
    <w:p w14:paraId="05B2FED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发包人逾期支付预付款超过7天的，承包人有权向发包人发出要求预付的催告通知，发包人收到通知后7天内仍未支付的，承包人有权暂停施工，并按第16.1.1项〔发包人违约的情形〕执行。</w:t>
      </w:r>
    </w:p>
    <w:p w14:paraId="3EE660FB">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12.2.2 预付款担保</w:t>
      </w:r>
    </w:p>
    <w:p w14:paraId="27235A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1260EC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发包人在工程款中逐期扣回预付款后，预付款担保额度应相应减少，但剩余的预付款担保金额不得低于未被扣回的预付款金额。</w:t>
      </w:r>
    </w:p>
    <w:p w14:paraId="2B546703">
      <w:pPr>
        <w:pStyle w:val="8"/>
        <w:spacing w:before="120" w:after="120" w:line="312" w:lineRule="auto"/>
        <w:ind w:firstLine="480" w:firstLineChars="200"/>
        <w:rPr>
          <w:rFonts w:hint="eastAsia" w:ascii="宋体" w:hAnsi="宋体" w:cs="宋体"/>
          <w:b w:val="0"/>
          <w:color w:val="auto"/>
          <w:sz w:val="24"/>
          <w:szCs w:val="24"/>
          <w:highlight w:val="none"/>
        </w:rPr>
      </w:pPr>
      <w:bookmarkStart w:id="383" w:name="_Toc351203583"/>
      <w:bookmarkStart w:id="384" w:name="_Toc337558802"/>
      <w:r>
        <w:rPr>
          <w:rFonts w:hint="eastAsia" w:ascii="宋体" w:hAnsi="宋体" w:cs="宋体"/>
          <w:b w:val="0"/>
          <w:color w:val="auto"/>
          <w:sz w:val="24"/>
          <w:szCs w:val="24"/>
          <w:highlight w:val="none"/>
        </w:rPr>
        <w:t>12.3计量</w:t>
      </w:r>
      <w:bookmarkEnd w:id="383"/>
    </w:p>
    <w:bookmarkEnd w:id="384"/>
    <w:p w14:paraId="6000990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12.3.1 计量原则</w:t>
      </w:r>
    </w:p>
    <w:p w14:paraId="11FCAC6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工程量计量按照合同约定的工程量计算规则、图纸及变更指示等进行计量。工程量计算规则应以相关的国家标准、行业标准等为依据，由合同当事人在专用合同条款中约定。</w:t>
      </w:r>
    </w:p>
    <w:p w14:paraId="256F41C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12.3.2 计量周期</w:t>
      </w:r>
    </w:p>
    <w:p w14:paraId="383BAF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除专用合同条款另有约定外，工程量的计量按月进行。</w:t>
      </w:r>
    </w:p>
    <w:p w14:paraId="64D09D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12.3.3 单价合同的计量</w:t>
      </w:r>
    </w:p>
    <w:p w14:paraId="324956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除专用合同条款另有约定外，单价合同的计量按照本项约定执行：</w:t>
      </w:r>
    </w:p>
    <w:p w14:paraId="42971ED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3A87699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7EB6C6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（3）监理人未在收到承包人提交的工程量报表后的7天内完成审核的，承包人报送的工程量报告中的工程量视为承包人实际完成的工程量，据此计算工程价款。</w:t>
      </w:r>
    </w:p>
    <w:p w14:paraId="1DAA60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12.3.4 总价合同的计量</w:t>
      </w:r>
    </w:p>
    <w:p w14:paraId="2C32671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除专用合同条款另有约定外，按月计量支付的总价合同，按照本项约定执行：</w:t>
      </w:r>
    </w:p>
    <w:p w14:paraId="24A913C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（1）承包人应于每月25日向监理人报送上月20日至当月19日已完成的工程量报告，并附具进度付款申请单、已完成工程量报表和有关资料。</w:t>
      </w:r>
    </w:p>
    <w:p w14:paraId="056884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15BF29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（3）监理人未在收到承包人提交的工程量报表后的7天内完成复核的，承包人提交的工程量报告中的工程量视为承包人实际完成的工程量。</w:t>
      </w:r>
    </w:p>
    <w:p w14:paraId="61AB955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12.3.5 总价合同采用支付分解表计量支付的，可以按照第12.3.4项〔总价合同的计量〕约定进行计量，但合同价款按照支付分解表进行支付。</w:t>
      </w:r>
    </w:p>
    <w:p w14:paraId="0E8D24B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12.3.6 其他价格形式合同的计量</w:t>
      </w:r>
    </w:p>
    <w:p w14:paraId="57C7435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合同当事人可在专用合同条款中约定其他价格形式合同的计量方式和程序。</w:t>
      </w:r>
    </w:p>
    <w:p w14:paraId="126F7B43">
      <w:pPr>
        <w:pStyle w:val="8"/>
        <w:spacing w:before="120" w:after="120" w:line="312" w:lineRule="auto"/>
        <w:ind w:firstLine="480" w:firstLineChars="200"/>
        <w:rPr>
          <w:rFonts w:hint="eastAsia" w:ascii="宋体" w:hAnsi="宋体" w:cs="宋体"/>
          <w:b w:val="0"/>
          <w:color w:val="auto"/>
          <w:sz w:val="24"/>
          <w:szCs w:val="24"/>
          <w:highlight w:val="none"/>
        </w:rPr>
      </w:pPr>
      <w:bookmarkStart w:id="385" w:name="_Toc296503101"/>
      <w:bookmarkStart w:id="386" w:name="_Toc296346602"/>
      <w:bookmarkStart w:id="387" w:name="_Toc351203584"/>
      <w:bookmarkStart w:id="388" w:name="_Toc337558803"/>
      <w:r>
        <w:rPr>
          <w:rFonts w:hint="eastAsia" w:ascii="宋体" w:hAnsi="宋体" w:cs="宋体"/>
          <w:b w:val="0"/>
          <w:color w:val="auto"/>
          <w:sz w:val="24"/>
          <w:szCs w:val="24"/>
          <w:highlight w:val="none"/>
        </w:rPr>
        <w:t>12.4工程进度款支</w:t>
      </w:r>
      <w:bookmarkEnd w:id="385"/>
      <w:bookmarkEnd w:id="386"/>
      <w:r>
        <w:rPr>
          <w:rFonts w:hint="eastAsia" w:ascii="宋体" w:hAnsi="宋体" w:cs="宋体"/>
          <w:b w:val="0"/>
          <w:color w:val="auto"/>
          <w:sz w:val="24"/>
          <w:szCs w:val="24"/>
          <w:highlight w:val="none"/>
        </w:rPr>
        <w:t>付</w:t>
      </w:r>
      <w:bookmarkEnd w:id="387"/>
    </w:p>
    <w:bookmarkEnd w:id="388"/>
    <w:p w14:paraId="59D869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.1 付款周期</w:t>
      </w:r>
    </w:p>
    <w:p w14:paraId="5E4965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除专用合同条款另有约定外，付款周期应按照第12.3.2项〔计量周期〕的约定与计量周期保持一致。</w:t>
      </w:r>
    </w:p>
    <w:p w14:paraId="40D36F3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.2 进度付款申请单的编制</w:t>
      </w:r>
    </w:p>
    <w:p w14:paraId="0A5E99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除专用合同条款另有约定外，进度付款申请单应包括下列内容：</w:t>
      </w:r>
    </w:p>
    <w:p w14:paraId="6A44DA9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（1）截至本次付款周期已完成工作对应的金额；</w:t>
      </w:r>
    </w:p>
    <w:p w14:paraId="6E83A2F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（2）根据第10条〔变更〕应增加和扣减的变更金额；</w:t>
      </w:r>
    </w:p>
    <w:p w14:paraId="4B10713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（3）根据第12.2款〔预付款〕约定应支付的预付款和扣减的返还预付款；</w:t>
      </w:r>
    </w:p>
    <w:p w14:paraId="50D52D5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（4）根据第15.3款〔质量保证金〕约定应扣减的质量保证金；</w:t>
      </w:r>
    </w:p>
    <w:p w14:paraId="1D3855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（5）根据第19条〔索赔〕应增加和扣减的索赔金额；</w:t>
      </w:r>
    </w:p>
    <w:p w14:paraId="1532A1C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（6）对已签发的进度款支付证书中出现错误的修正，应在本次进度付款中支付或扣除的金额；</w:t>
      </w:r>
    </w:p>
    <w:p w14:paraId="5275EF7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（7）根据合同约定应增加和扣减的其他金额。</w:t>
      </w:r>
    </w:p>
    <w:p w14:paraId="117098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12.4.3 进度付款申请单的提交</w:t>
      </w:r>
    </w:p>
    <w:p w14:paraId="279ED7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（1）单价合同进度付款申请单的提交</w:t>
      </w:r>
    </w:p>
    <w:p w14:paraId="13B0E1F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03DA733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（2）总价合同进度付款申请单的提交</w:t>
      </w:r>
    </w:p>
    <w:p w14:paraId="6E81CED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总价合同按月计量支付的，承包人按照第12.3.4项〔总价合同的计量〕约定的时间按月向监理人提交进度付款申请单，并附上已完成工程量报表和有关资料。</w:t>
      </w:r>
    </w:p>
    <w:p w14:paraId="04E8856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总价合同按支付分解表支付的，承包人应按照第12.4.6项〔支付分解表〕及第12.4.2项〔进度付款申请单的编制〕的约定向监理人提交进度付款申请单。</w:t>
      </w:r>
    </w:p>
    <w:p w14:paraId="67530A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（3）其他价格形式合同的进度付款申请单的提交</w:t>
      </w:r>
    </w:p>
    <w:p w14:paraId="77CC65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合同当事人可在专用合同条款中约定其他价格形式合同的进度付款申请单的编制和提交程序。</w:t>
      </w:r>
    </w:p>
    <w:p w14:paraId="7764D8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12.4</w:t>
      </w:r>
      <w:r>
        <w:rPr>
          <w:rFonts w:hint="eastAsia" w:ascii="宋体" w:hAnsi="宋体" w:cs="宋体"/>
          <w:color w:val="auto"/>
          <w:kern w:val="0"/>
          <w:sz w:val="24"/>
          <w:highlight w:val="none"/>
        </w:rPr>
        <w:t>.4 进度款审核和支付</w:t>
      </w:r>
    </w:p>
    <w:p w14:paraId="72D9BF1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26859A0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E728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（2）除专用合同条款另有约定外，发包人应在进度款支付证书或临时进度款支付证书签发后14天内完成支付，发包人逾期支付进度款的，应按照中国人民银行发布的同期同类贷款基准利率支付违约金。</w:t>
      </w:r>
    </w:p>
    <w:p w14:paraId="3BAF3A5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（3）发包人签发进度款支付证书或临时进度款支付证书，不表明发包人已同意、批准或接受了承包人完成的相应部分的工作。</w:t>
      </w:r>
    </w:p>
    <w:p w14:paraId="4C5DFC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12.4.5 进度付款的修正</w:t>
      </w:r>
    </w:p>
    <w:p w14:paraId="4CBD5B2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在对已签发的进度款支付证书进行阶段汇总和复核中发现错误、遗漏或重复的，发包人和承包人均有权提出修正申请。经发包人和承包人同意的修正，应在下期进度付款中支付或扣除。</w:t>
      </w:r>
    </w:p>
    <w:p w14:paraId="175ECA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12.4.6 支付分解表</w:t>
      </w:r>
    </w:p>
    <w:p w14:paraId="2A896B1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1、支付分解表的编制要求</w:t>
      </w:r>
    </w:p>
    <w:p w14:paraId="74DEAFA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（1）支付分解表中所列的每期付款金额，应为第12.4.2项〔进度付款申请单的编制〕第（1）目的估算金额；</w:t>
      </w:r>
    </w:p>
    <w:p w14:paraId="1E060A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（2）实际进度与施工进度计划不一致的，合同当事人可按照第4.4款〔商定或确定〕修改支付分解表；</w:t>
      </w:r>
    </w:p>
    <w:p w14:paraId="68C1AF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（3）不采用支付分解表的，承包人应向发包人和监理人提交按季度编制的支付估算分解表，用于支付参考。</w:t>
      </w:r>
    </w:p>
    <w:p w14:paraId="6988C9C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2、总价合同支付分解表的编制与审批</w:t>
      </w:r>
    </w:p>
    <w:p w14:paraId="3FB2E8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4D955D4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（2）监理人应在收到支付分解表后7天内完成审核并报送发包人。发包人应在收到经监理人审核的支付分解表后7天内完成审批，经发包人批准的支付分解表为有约束力的支付分解表。</w:t>
      </w:r>
    </w:p>
    <w:p w14:paraId="76289FF2">
      <w:pPr>
        <w:spacing w:line="312"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（3）发包人逾期未完成支付分解表审批的，也未及时要求承包人进行修正和提供补充资料的，则承包人提交的支付分解表视为已经获得发包人批准。</w:t>
      </w:r>
    </w:p>
    <w:p w14:paraId="0F8CEC5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3、单价合同的总价项目支付分解表的编制与审批</w:t>
      </w:r>
    </w:p>
    <w:p w14:paraId="2C54A9E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47065E34">
      <w:pPr>
        <w:pStyle w:val="8"/>
        <w:spacing w:before="120" w:after="120" w:line="312" w:lineRule="auto"/>
        <w:ind w:firstLine="480" w:firstLineChars="200"/>
        <w:rPr>
          <w:rFonts w:hint="eastAsia" w:ascii="宋体" w:hAnsi="宋体" w:cs="宋体"/>
          <w:b w:val="0"/>
          <w:color w:val="auto"/>
          <w:sz w:val="24"/>
          <w:szCs w:val="24"/>
          <w:highlight w:val="none"/>
        </w:rPr>
      </w:pPr>
      <w:bookmarkStart w:id="389" w:name="_Toc351203585"/>
      <w:r>
        <w:rPr>
          <w:rFonts w:hint="eastAsia" w:ascii="宋体" w:hAnsi="宋体" w:cs="宋体"/>
          <w:b w:val="0"/>
          <w:color w:val="auto"/>
          <w:sz w:val="24"/>
          <w:szCs w:val="24"/>
          <w:highlight w:val="none"/>
        </w:rPr>
        <w:t>12.5支付账户</w:t>
      </w:r>
      <w:bookmarkEnd w:id="389"/>
    </w:p>
    <w:p w14:paraId="5A58CA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发包人应将合同价款支付至合同协议书中约定的承包人账户。</w:t>
      </w:r>
    </w:p>
    <w:p w14:paraId="1B6079DE">
      <w:pPr>
        <w:pStyle w:val="7"/>
        <w:spacing w:before="120" w:after="120" w:line="312" w:lineRule="auto"/>
        <w:rPr>
          <w:rFonts w:hint="eastAsia"/>
          <w:b w:val="0"/>
          <w:color w:val="auto"/>
          <w:sz w:val="24"/>
          <w:szCs w:val="24"/>
          <w:highlight w:val="none"/>
        </w:rPr>
      </w:pPr>
      <w:bookmarkStart w:id="390" w:name="_Toc351203586"/>
      <w:bookmarkStart w:id="391" w:name="_Toc322522574"/>
      <w:bookmarkStart w:id="392" w:name="_Toc296503106"/>
      <w:bookmarkStart w:id="393" w:name="_Toc296346607"/>
      <w:bookmarkStart w:id="394" w:name="_Toc337558804"/>
      <w:r>
        <w:rPr>
          <w:rFonts w:hint="eastAsia"/>
          <w:b w:val="0"/>
          <w:color w:val="auto"/>
          <w:sz w:val="24"/>
          <w:szCs w:val="24"/>
          <w:highlight w:val="none"/>
        </w:rPr>
        <w:t>13. 验收和工程试车</w:t>
      </w:r>
      <w:bookmarkEnd w:id="390"/>
    </w:p>
    <w:bookmarkEnd w:id="391"/>
    <w:bookmarkEnd w:id="392"/>
    <w:bookmarkEnd w:id="393"/>
    <w:bookmarkEnd w:id="394"/>
    <w:p w14:paraId="5F2FF4EA">
      <w:pPr>
        <w:pStyle w:val="8"/>
        <w:spacing w:before="120" w:after="120" w:line="312" w:lineRule="auto"/>
        <w:ind w:firstLine="480" w:firstLineChars="200"/>
        <w:rPr>
          <w:rFonts w:hint="eastAsia" w:ascii="宋体" w:hAnsi="宋体" w:cs="宋体"/>
          <w:b w:val="0"/>
          <w:color w:val="auto"/>
          <w:sz w:val="24"/>
          <w:szCs w:val="24"/>
          <w:highlight w:val="none"/>
        </w:rPr>
      </w:pPr>
      <w:bookmarkStart w:id="395" w:name="_Toc351203587"/>
      <w:bookmarkStart w:id="396" w:name="_Toc337558805"/>
      <w:bookmarkStart w:id="397" w:name="_Toc296346611"/>
      <w:bookmarkStart w:id="398" w:name="_Toc296503110"/>
      <w:r>
        <w:rPr>
          <w:rFonts w:hint="eastAsia" w:ascii="宋体" w:hAnsi="宋体" w:cs="宋体"/>
          <w:b w:val="0"/>
          <w:color w:val="auto"/>
          <w:sz w:val="24"/>
          <w:szCs w:val="24"/>
          <w:highlight w:val="none"/>
        </w:rPr>
        <w:t>13.1分部分项工程验收</w:t>
      </w:r>
      <w:bookmarkEnd w:id="395"/>
    </w:p>
    <w:bookmarkEnd w:id="396"/>
    <w:p w14:paraId="4DD3A8D9">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13.1.1 分部分项工程质量应符合国家有关工程施工验收规范、标准及合同约定，承包人应按照施工组织设计的要求完成分部分项工程施工。</w:t>
      </w:r>
    </w:p>
    <w:p w14:paraId="4C015FA1">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13.1.2 除专用合同条款另有约定外，分部分项工程经承包人自检合格并具备验收条件的，承包人应提前48小时通知监理人进行验收。</w:t>
      </w:r>
      <w:r>
        <w:rPr>
          <w:rFonts w:hint="eastAsia" w:ascii="宋体" w:hAnsi="宋体" w:cs="宋体"/>
          <w:color w:val="auto"/>
          <w:kern w:val="0"/>
          <w:sz w:val="24"/>
          <w:highlight w:val="none"/>
        </w:rPr>
        <w:t>监理人不能按时进行验收的，应在验收前24小时向承包人提交书面延期要求，但延期不能超过48小时。监理人未按时进行验收，也未提出延期要求的，承包人有权自行验收，监理人应认可验收结果。</w:t>
      </w:r>
      <w:r>
        <w:rPr>
          <w:rFonts w:hint="eastAsia" w:ascii="宋体" w:hAnsi="宋体" w:cs="宋体"/>
          <w:color w:val="auto"/>
          <w:sz w:val="24"/>
          <w:highlight w:val="none"/>
        </w:rPr>
        <w:t>分部分项工程未经验收的，不得进入下一道工序施工。</w:t>
      </w:r>
    </w:p>
    <w:p w14:paraId="6BBE724F">
      <w:pPr>
        <w:spacing w:line="312"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分部分项工程的验收资料应当作为竣工资料的组成部分。</w:t>
      </w:r>
    </w:p>
    <w:p w14:paraId="04344434">
      <w:pPr>
        <w:pStyle w:val="8"/>
        <w:spacing w:before="120" w:after="120" w:line="312" w:lineRule="auto"/>
        <w:ind w:firstLine="480" w:firstLineChars="200"/>
        <w:rPr>
          <w:rFonts w:hint="eastAsia" w:ascii="宋体" w:hAnsi="宋体" w:cs="宋体"/>
          <w:b w:val="0"/>
          <w:color w:val="auto"/>
          <w:sz w:val="24"/>
          <w:szCs w:val="24"/>
          <w:highlight w:val="none"/>
        </w:rPr>
      </w:pPr>
      <w:bookmarkStart w:id="399" w:name="_Toc351203588"/>
      <w:bookmarkStart w:id="400" w:name="_Toc337558806"/>
      <w:r>
        <w:rPr>
          <w:rFonts w:hint="eastAsia" w:ascii="宋体" w:hAnsi="宋体" w:cs="宋体"/>
          <w:b w:val="0"/>
          <w:color w:val="auto"/>
          <w:sz w:val="24"/>
          <w:szCs w:val="24"/>
          <w:highlight w:val="none"/>
        </w:rPr>
        <w:t>13.2竣工验收</w:t>
      </w:r>
      <w:bookmarkEnd w:id="399"/>
    </w:p>
    <w:bookmarkEnd w:id="397"/>
    <w:bookmarkEnd w:id="398"/>
    <w:bookmarkEnd w:id="400"/>
    <w:p w14:paraId="642929F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13.2.1竣工验收条件</w:t>
      </w:r>
    </w:p>
    <w:p w14:paraId="1A3C204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工程具备以下条件的，承包人可以申请竣工验收：</w:t>
      </w:r>
    </w:p>
    <w:p w14:paraId="0FB02AE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（1）除发包人同意的甩项工作和缺陷修补工作外，合同范围内的全部工程以及有关工作，包括合同要求的试验、试运行以及检验均已完成，并符合合同要求；</w:t>
      </w:r>
    </w:p>
    <w:p w14:paraId="746B90B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（2）已按合同约定编制了甩项工作和缺陷修补工作清单以及相应的施工计划；</w:t>
      </w:r>
    </w:p>
    <w:p w14:paraId="5D9C061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（3）已按合同约定的内容和份数备齐竣工资料。</w:t>
      </w:r>
    </w:p>
    <w:p w14:paraId="45A3589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13.2.2竣工验收程序</w:t>
      </w:r>
    </w:p>
    <w:p w14:paraId="268A220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除专用合同条款另有约定外，承包人申请竣工验收的，应当按照以下程序进行：</w:t>
      </w:r>
    </w:p>
    <w:p w14:paraId="1C4713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6DC8886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1251EB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（3）竣工验收合格的，发包人应在验收合格后14天内向承包人签发工程接收证书。发包人无正当理由逾期不颁发工程接收证书的，自验收合格后第15天起视为已颁发工程接收证书。</w:t>
      </w:r>
    </w:p>
    <w:p w14:paraId="48177FA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488A416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AFCDF2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20A560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13.2.3竣工日期</w:t>
      </w:r>
    </w:p>
    <w:p w14:paraId="7193297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401" w:name="#go14"/>
      <w:bookmarkEnd w:id="401"/>
      <w:r>
        <w:rPr>
          <w:rFonts w:hint="eastAsia" w:ascii="宋体" w:hAnsi="宋体" w:cs="宋体"/>
          <w:color w:val="auto"/>
          <w:kern w:val="0"/>
          <w:sz w:val="24"/>
          <w:highlight w:val="none"/>
        </w:rPr>
        <w:t>收申请报告的日期为实际竣工日期；工程未经竣工验收，发包人擅自使用的，以转移占有工程之日为实际竣工日期。</w:t>
      </w:r>
    </w:p>
    <w:p w14:paraId="35AB0C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13.2.4 拒绝接收全部或部分工程</w:t>
      </w:r>
    </w:p>
    <w:p w14:paraId="7E0A988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78A8F0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13.2.5 移交、接收全部与部分工程</w:t>
      </w:r>
    </w:p>
    <w:p w14:paraId="199E79B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除专用合同条款另有约定外，合同当事人应当在颁发工程接收证书后7天内完成工程的移交。</w:t>
      </w:r>
    </w:p>
    <w:p w14:paraId="6FB0C19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6AFFA2B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C11E679">
      <w:pPr>
        <w:pStyle w:val="8"/>
        <w:spacing w:before="120" w:after="120" w:line="312" w:lineRule="auto"/>
        <w:ind w:firstLine="480" w:firstLineChars="200"/>
        <w:rPr>
          <w:rFonts w:hint="eastAsia" w:ascii="宋体" w:hAnsi="宋体" w:cs="宋体"/>
          <w:b w:val="0"/>
          <w:color w:val="auto"/>
          <w:sz w:val="24"/>
          <w:szCs w:val="24"/>
          <w:highlight w:val="none"/>
        </w:rPr>
      </w:pPr>
      <w:bookmarkStart w:id="402" w:name="_Toc351203589"/>
      <w:bookmarkStart w:id="403" w:name="_Toc296346612"/>
      <w:bookmarkStart w:id="404" w:name="_Toc296503111"/>
      <w:bookmarkStart w:id="405" w:name="_Toc337558807"/>
      <w:r>
        <w:rPr>
          <w:rFonts w:hint="eastAsia" w:ascii="宋体" w:hAnsi="宋体" w:cs="宋体"/>
          <w:b w:val="0"/>
          <w:color w:val="auto"/>
          <w:sz w:val="24"/>
          <w:szCs w:val="24"/>
          <w:highlight w:val="none"/>
        </w:rPr>
        <w:t>13.3工程试车</w:t>
      </w:r>
      <w:bookmarkEnd w:id="402"/>
    </w:p>
    <w:bookmarkEnd w:id="403"/>
    <w:bookmarkEnd w:id="404"/>
    <w:bookmarkEnd w:id="405"/>
    <w:p w14:paraId="05C39F6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13.3.1试车程序</w:t>
      </w:r>
    </w:p>
    <w:p w14:paraId="3CC6039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工程需要试车的，除专用合同条款另有约定外，试车内容应与承包人承包范围相一致，试车费用由承包人承担。工程试车应按如下程序进行：</w:t>
      </w:r>
    </w:p>
    <w:p w14:paraId="13855A6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7DEAF0D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39277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3AE8734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13.3.2 试车中的责任</w:t>
      </w:r>
    </w:p>
    <w:p w14:paraId="029BAC9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937B92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9C6C0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13.3.3 投料试车</w:t>
      </w:r>
    </w:p>
    <w:p w14:paraId="38D0C30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如需进行投料试车的，发包人应在工程竣工验收后组织投料试车。发包人要求在工程竣工验收前进行或需要承包人配合时，应征得承包人同意，并在专用合同条款中约定有关事项。</w:t>
      </w:r>
    </w:p>
    <w:p w14:paraId="3BD5DA0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161AF2A7">
      <w:pPr>
        <w:pStyle w:val="8"/>
        <w:spacing w:before="120" w:after="120" w:line="312" w:lineRule="auto"/>
        <w:rPr>
          <w:rFonts w:hint="eastAsia" w:ascii="宋体" w:hAnsi="宋体" w:cs="宋体"/>
          <w:b w:val="0"/>
          <w:color w:val="auto"/>
          <w:sz w:val="24"/>
          <w:szCs w:val="24"/>
          <w:highlight w:val="none"/>
        </w:rPr>
      </w:pPr>
      <w:bookmarkStart w:id="406" w:name="_Toc337558808"/>
      <w:r>
        <w:rPr>
          <w:rFonts w:hint="eastAsia" w:ascii="宋体" w:hAnsi="宋体" w:cs="宋体"/>
          <w:b w:val="0"/>
          <w:color w:val="auto"/>
          <w:sz w:val="24"/>
          <w:szCs w:val="24"/>
          <w:highlight w:val="none"/>
        </w:rPr>
        <w:t xml:space="preserve">    </w:t>
      </w:r>
      <w:bookmarkStart w:id="407" w:name="_Toc351203590"/>
      <w:r>
        <w:rPr>
          <w:rFonts w:hint="eastAsia" w:ascii="宋体" w:hAnsi="宋体" w:cs="宋体"/>
          <w:b w:val="0"/>
          <w:color w:val="auto"/>
          <w:sz w:val="24"/>
          <w:szCs w:val="24"/>
          <w:highlight w:val="none"/>
        </w:rPr>
        <w:t>13.4提前交付单位工程的验收</w:t>
      </w:r>
      <w:bookmarkEnd w:id="407"/>
    </w:p>
    <w:bookmarkEnd w:id="406"/>
    <w:p w14:paraId="22DBA08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13.4.1 发包人需要在工程竣工前使用单位工程的，或承包人提出提前交付已经竣工的单位工程且经发包人同意的，可进行单位工程验收，验收的程序按照第13.2款〔竣工验收〕的约定进行。</w:t>
      </w:r>
    </w:p>
    <w:p w14:paraId="5EAAF75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5FDEE42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13.4.2 发包人要求在工程竣工前交付单位工程，由此导致承包人费用增加和（或）工期延误的，由发包人承担由此增加的费用和（或）延误的工期，并支付承包人合理的利润。</w:t>
      </w:r>
    </w:p>
    <w:p w14:paraId="04E44E98">
      <w:pPr>
        <w:pStyle w:val="8"/>
        <w:spacing w:before="120" w:after="120" w:line="312" w:lineRule="auto"/>
        <w:ind w:firstLine="480" w:firstLineChars="200"/>
        <w:rPr>
          <w:rFonts w:hint="eastAsia" w:ascii="宋体" w:hAnsi="宋体" w:cs="宋体"/>
          <w:b w:val="0"/>
          <w:color w:val="auto"/>
          <w:sz w:val="24"/>
          <w:szCs w:val="24"/>
          <w:highlight w:val="none"/>
        </w:rPr>
      </w:pPr>
      <w:bookmarkStart w:id="408" w:name="_Toc351203591"/>
      <w:r>
        <w:rPr>
          <w:rFonts w:hint="eastAsia" w:ascii="宋体" w:hAnsi="宋体" w:cs="宋体"/>
          <w:b w:val="0"/>
          <w:color w:val="auto"/>
          <w:sz w:val="24"/>
          <w:szCs w:val="24"/>
          <w:highlight w:val="none"/>
        </w:rPr>
        <w:t>13.5 施工期运行</w:t>
      </w:r>
      <w:bookmarkEnd w:id="408"/>
    </w:p>
    <w:p w14:paraId="45A7D23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52378BC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13.5.2 在施工期运行中发现工程或工程设备损坏或存在缺陷的，由承包人按第15.2款〔缺陷责任期〕约定进行修复。</w:t>
      </w:r>
    </w:p>
    <w:p w14:paraId="37F91872">
      <w:pPr>
        <w:pStyle w:val="8"/>
        <w:spacing w:before="120" w:after="120" w:line="312" w:lineRule="auto"/>
        <w:ind w:firstLine="480" w:firstLineChars="200"/>
        <w:rPr>
          <w:rFonts w:hint="eastAsia" w:ascii="宋体" w:hAnsi="宋体" w:cs="宋体"/>
          <w:b w:val="0"/>
          <w:color w:val="auto"/>
          <w:sz w:val="24"/>
          <w:szCs w:val="24"/>
          <w:highlight w:val="none"/>
        </w:rPr>
      </w:pPr>
      <w:bookmarkStart w:id="409" w:name="_Toc296346613"/>
      <w:bookmarkStart w:id="410" w:name="_Toc296503112"/>
      <w:bookmarkStart w:id="411" w:name="_Toc351203592"/>
      <w:bookmarkStart w:id="412" w:name="_Toc337558809"/>
      <w:r>
        <w:rPr>
          <w:rFonts w:hint="eastAsia" w:ascii="宋体" w:hAnsi="宋体" w:cs="宋体"/>
          <w:b w:val="0"/>
          <w:color w:val="auto"/>
          <w:sz w:val="24"/>
          <w:szCs w:val="24"/>
          <w:highlight w:val="none"/>
        </w:rPr>
        <w:t>13.6 竣工退</w:t>
      </w:r>
      <w:bookmarkEnd w:id="409"/>
      <w:bookmarkEnd w:id="410"/>
      <w:r>
        <w:rPr>
          <w:rFonts w:hint="eastAsia" w:ascii="宋体" w:hAnsi="宋体" w:cs="宋体"/>
          <w:b w:val="0"/>
          <w:color w:val="auto"/>
          <w:sz w:val="24"/>
          <w:szCs w:val="24"/>
          <w:highlight w:val="none"/>
        </w:rPr>
        <w:t>场</w:t>
      </w:r>
      <w:bookmarkEnd w:id="411"/>
    </w:p>
    <w:bookmarkEnd w:id="412"/>
    <w:p w14:paraId="6A2BA32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13.6.1 竣工退场</w:t>
      </w:r>
    </w:p>
    <w:p w14:paraId="271E216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颁发工程接收证书后，承包人应按以下要求对施工现场进行清理：</w:t>
      </w:r>
    </w:p>
    <w:p w14:paraId="49F41BE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（1）施工现场内残留的垃圾已全部清除出场；</w:t>
      </w:r>
    </w:p>
    <w:p w14:paraId="34E00CB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（2）临时工程已拆除，场地已进行清理、平整或复原；</w:t>
      </w:r>
    </w:p>
    <w:p w14:paraId="1254BC7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（3）按合同约定应撤离的人员、承包人施工设备和剩余的材料，包括废弃的施工设备和材料，已按计划撤离施工现场；</w:t>
      </w:r>
    </w:p>
    <w:p w14:paraId="57CF285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（4）施工现场周边及其附近道路、河道的施工堆积物，已全部清理；</w:t>
      </w:r>
    </w:p>
    <w:p w14:paraId="414AE51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（5）施工现场其他场地清理工作已全部完成。</w:t>
      </w:r>
    </w:p>
    <w:p w14:paraId="7143CDF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51416D6C">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13.6.2 地表还原</w:t>
      </w:r>
    </w:p>
    <w:p w14:paraId="560FA94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31DD7829">
      <w:pPr>
        <w:pStyle w:val="7"/>
        <w:spacing w:before="120" w:after="120" w:line="312" w:lineRule="auto"/>
        <w:rPr>
          <w:rFonts w:hint="eastAsia"/>
          <w:b w:val="0"/>
          <w:color w:val="auto"/>
          <w:sz w:val="24"/>
          <w:szCs w:val="24"/>
          <w:highlight w:val="none"/>
        </w:rPr>
      </w:pPr>
      <w:bookmarkStart w:id="413" w:name="_Toc351203593"/>
      <w:bookmarkStart w:id="414" w:name="_Toc337558810"/>
      <w:bookmarkStart w:id="415" w:name="_Toc296503113"/>
      <w:bookmarkStart w:id="416" w:name="_Toc296346614"/>
      <w:r>
        <w:rPr>
          <w:rFonts w:hint="eastAsia"/>
          <w:b w:val="0"/>
          <w:color w:val="auto"/>
          <w:sz w:val="24"/>
          <w:szCs w:val="24"/>
          <w:highlight w:val="none"/>
        </w:rPr>
        <w:t>14. 竣工结算</w:t>
      </w:r>
      <w:bookmarkEnd w:id="413"/>
    </w:p>
    <w:bookmarkEnd w:id="414"/>
    <w:p w14:paraId="18578A4C">
      <w:pPr>
        <w:pStyle w:val="8"/>
        <w:spacing w:before="120" w:after="120" w:line="312" w:lineRule="auto"/>
        <w:ind w:firstLine="480" w:firstLineChars="200"/>
        <w:rPr>
          <w:rFonts w:hint="eastAsia" w:ascii="宋体" w:hAnsi="宋体" w:cs="宋体"/>
          <w:b w:val="0"/>
          <w:color w:val="auto"/>
          <w:sz w:val="24"/>
          <w:szCs w:val="24"/>
          <w:highlight w:val="none"/>
        </w:rPr>
      </w:pPr>
      <w:bookmarkStart w:id="417" w:name="_Toc351203594"/>
      <w:bookmarkStart w:id="418" w:name="_Toc337558811"/>
      <w:r>
        <w:rPr>
          <w:rFonts w:hint="eastAsia" w:ascii="宋体" w:hAnsi="宋体" w:cs="宋体"/>
          <w:b w:val="0"/>
          <w:color w:val="auto"/>
          <w:sz w:val="24"/>
          <w:szCs w:val="24"/>
          <w:highlight w:val="none"/>
        </w:rPr>
        <w:t>14.1 竣工结算申请</w:t>
      </w:r>
      <w:bookmarkEnd w:id="417"/>
    </w:p>
    <w:bookmarkEnd w:id="418"/>
    <w:p w14:paraId="7161516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除专用合同条款另有约定外，</w:t>
      </w:r>
      <w:r>
        <w:rPr>
          <w:rFonts w:hint="eastAsia" w:ascii="宋体" w:hAnsi="宋体" w:cs="宋体"/>
          <w:color w:val="auto"/>
          <w:sz w:val="24"/>
          <w:highlight w:val="none"/>
        </w:rPr>
        <w:t>承包人应在工程竣工验收合格后28天内向发包人和监理人提交竣工结算申请单，并提交完整的结算资料，有关竣工结算申请单的资料清单和份数等要求由合同当事人在专用合同条款中约定。</w:t>
      </w:r>
    </w:p>
    <w:p w14:paraId="3D7E08A2">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除专用合同条款另有约定外，竣工结算申请单应包括以下内容：</w:t>
      </w:r>
    </w:p>
    <w:p w14:paraId="271E0BB1">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（1）竣工结算合同价格；</w:t>
      </w:r>
    </w:p>
    <w:p w14:paraId="46B33AC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（2）发包人已支付承包人的款项；</w:t>
      </w:r>
    </w:p>
    <w:p w14:paraId="64E39879">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 xml:space="preserve">（3）应扣留的质量保证金； </w:t>
      </w:r>
    </w:p>
    <w:p w14:paraId="0A5D372C">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（4）发包人应支付承包人的合同价款。</w:t>
      </w:r>
    </w:p>
    <w:p w14:paraId="351A44F6">
      <w:pPr>
        <w:pStyle w:val="8"/>
        <w:spacing w:before="120" w:after="120" w:line="312" w:lineRule="auto"/>
        <w:ind w:firstLine="480" w:firstLineChars="200"/>
        <w:rPr>
          <w:rFonts w:hint="eastAsia" w:ascii="宋体" w:hAnsi="宋体" w:cs="宋体"/>
          <w:b w:val="0"/>
          <w:color w:val="auto"/>
          <w:sz w:val="24"/>
          <w:szCs w:val="24"/>
          <w:highlight w:val="none"/>
        </w:rPr>
      </w:pPr>
      <w:bookmarkStart w:id="419" w:name="_Toc351203595"/>
      <w:bookmarkStart w:id="420" w:name="_Toc337558812"/>
      <w:r>
        <w:rPr>
          <w:rFonts w:hint="eastAsia" w:ascii="宋体" w:hAnsi="宋体" w:cs="宋体"/>
          <w:b w:val="0"/>
          <w:color w:val="auto"/>
          <w:sz w:val="24"/>
          <w:szCs w:val="24"/>
          <w:highlight w:val="none"/>
        </w:rPr>
        <w:t>14.2 竣工结算审核</w:t>
      </w:r>
      <w:bookmarkEnd w:id="419"/>
    </w:p>
    <w:bookmarkEnd w:id="420"/>
    <w:p w14:paraId="4BD4712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w:t>
      </w:r>
      <w:r>
        <w:rPr>
          <w:rFonts w:hint="eastAsia" w:ascii="宋体" w:hAnsi="宋体" w:cs="宋体"/>
          <w:color w:val="auto"/>
          <w:sz w:val="24"/>
          <w:highlight w:val="none"/>
        </w:rPr>
        <w:t>发包人对竣工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申请单有异议的，有权要求承包人进行修正和提供补充资料，承包人应提交修正后的竣工</w:t>
      </w:r>
      <w:r>
        <w:rPr>
          <w:rFonts w:hint="eastAsia" w:ascii="宋体" w:hAnsi="宋体" w:cs="宋体"/>
          <w:color w:val="auto"/>
          <w:kern w:val="0"/>
          <w:sz w:val="24"/>
          <w:highlight w:val="none"/>
        </w:rPr>
        <w:t>结算</w:t>
      </w:r>
      <w:r>
        <w:rPr>
          <w:rFonts w:hint="eastAsia" w:ascii="宋体" w:hAnsi="宋体" w:cs="宋体"/>
          <w:color w:val="auto"/>
          <w:sz w:val="24"/>
          <w:highlight w:val="none"/>
        </w:rPr>
        <w:t>申请单。</w:t>
      </w:r>
    </w:p>
    <w:p w14:paraId="3004B7B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00887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22507B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04A49E1F">
      <w:pPr>
        <w:pStyle w:val="8"/>
        <w:spacing w:before="120" w:after="120" w:line="312" w:lineRule="auto"/>
        <w:ind w:firstLine="480" w:firstLineChars="200"/>
        <w:rPr>
          <w:rFonts w:hint="eastAsia" w:ascii="宋体" w:hAnsi="宋体" w:cs="宋体"/>
          <w:b w:val="0"/>
          <w:color w:val="auto"/>
          <w:sz w:val="24"/>
          <w:szCs w:val="24"/>
          <w:highlight w:val="none"/>
        </w:rPr>
      </w:pPr>
      <w:bookmarkStart w:id="421" w:name="_Toc351203596"/>
      <w:bookmarkStart w:id="422" w:name="_Toc337558813"/>
      <w:r>
        <w:rPr>
          <w:rFonts w:hint="eastAsia" w:ascii="宋体" w:hAnsi="宋体" w:cs="宋体"/>
          <w:b w:val="0"/>
          <w:color w:val="auto"/>
          <w:sz w:val="24"/>
          <w:szCs w:val="24"/>
          <w:highlight w:val="none"/>
        </w:rPr>
        <w:t>14.3 甩项竣工协议</w:t>
      </w:r>
      <w:bookmarkEnd w:id="421"/>
    </w:p>
    <w:bookmarkEnd w:id="422"/>
    <w:p w14:paraId="3A52C6AE">
      <w:pPr>
        <w:autoSpaceDE w:val="0"/>
        <w:autoSpaceDN w:val="0"/>
        <w:adjustRightInd w:val="0"/>
        <w:spacing w:line="312" w:lineRule="auto"/>
        <w:ind w:firstLine="470" w:firstLineChars="196"/>
        <w:jc w:val="left"/>
        <w:rPr>
          <w:rFonts w:hint="eastAsia" w:ascii="宋体" w:hAnsi="宋体" w:cs="宋体"/>
          <w:color w:val="auto"/>
          <w:kern w:val="0"/>
          <w:sz w:val="24"/>
          <w:highlight w:val="none"/>
        </w:rPr>
      </w:pPr>
      <w:r>
        <w:rPr>
          <w:rFonts w:hint="eastAsia" w:ascii="宋体" w:hAnsi="宋体" w:cs="宋体"/>
          <w:color w:val="auto"/>
          <w:sz w:val="24"/>
          <w:highlight w:val="none"/>
        </w:rPr>
        <w:t>发包人要求甩项竣工的，合同当事人应签订甩项竣工协议。在甩项竣工协议中应明确，合同当事人按照第14.1款〔竣工结算申请〕及14.2款〔竣工结算审核〕的约定，对已完合格工程进行结算，并支付相应合同价款。</w:t>
      </w:r>
    </w:p>
    <w:p w14:paraId="149CDCA0">
      <w:pPr>
        <w:pStyle w:val="8"/>
        <w:spacing w:before="120" w:after="120" w:line="312" w:lineRule="auto"/>
        <w:ind w:firstLine="480" w:firstLineChars="200"/>
        <w:rPr>
          <w:rFonts w:hint="eastAsia" w:ascii="宋体" w:hAnsi="宋体" w:cs="宋体"/>
          <w:b w:val="0"/>
          <w:color w:val="auto"/>
          <w:sz w:val="24"/>
          <w:szCs w:val="24"/>
          <w:highlight w:val="none"/>
        </w:rPr>
      </w:pPr>
      <w:bookmarkStart w:id="423" w:name="_Toc351203597"/>
      <w:bookmarkStart w:id="424" w:name="_Toc337558814"/>
      <w:r>
        <w:rPr>
          <w:rFonts w:hint="eastAsia" w:ascii="宋体" w:hAnsi="宋体" w:cs="宋体"/>
          <w:b w:val="0"/>
          <w:color w:val="auto"/>
          <w:sz w:val="24"/>
          <w:szCs w:val="24"/>
          <w:highlight w:val="none"/>
        </w:rPr>
        <w:t>14.4 最终结清</w:t>
      </w:r>
      <w:bookmarkEnd w:id="423"/>
    </w:p>
    <w:bookmarkEnd w:id="424"/>
    <w:p w14:paraId="60C8B0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14.4.1 最终结清申请单</w:t>
      </w:r>
    </w:p>
    <w:p w14:paraId="0E2ED2C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（1）除专用合同条款另有约定外，承包人应在缺陷责任期终止证书颁发后7天内，按专用合同条款约定的份数向发包人提交最终结清申请单，并提供相关证明材料。</w:t>
      </w:r>
    </w:p>
    <w:p w14:paraId="35593F1D">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w:t>
      </w:r>
      <w:r>
        <w:rPr>
          <w:rFonts w:hint="eastAsia" w:ascii="宋体" w:hAnsi="宋体" w:cs="宋体"/>
          <w:color w:val="auto"/>
          <w:kern w:val="0"/>
          <w:sz w:val="24"/>
          <w:highlight w:val="none"/>
        </w:rPr>
        <w:t>最终结清申请单</w:t>
      </w:r>
      <w:r>
        <w:rPr>
          <w:rFonts w:hint="eastAsia" w:ascii="宋体" w:hAnsi="宋体" w:cs="宋体"/>
          <w:color w:val="auto"/>
          <w:sz w:val="24"/>
          <w:highlight w:val="none"/>
        </w:rPr>
        <w:t>应列明质量保证金、应扣除的质量保证金、缺陷责任期内发生的增减费用。</w:t>
      </w:r>
    </w:p>
    <w:p w14:paraId="3BD70A1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（2）发包人对最终结清申请单内容有异议的，有权要求承包人进行修正和提供补充资料，承包人应向发包人提交修正后的最终结清申请单。</w:t>
      </w:r>
    </w:p>
    <w:p w14:paraId="43A9C9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14.4.2 最终结清证书和支付</w:t>
      </w:r>
    </w:p>
    <w:p w14:paraId="6393BFC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63057D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77A759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（3）承包人对发包人颁发的最终结清证书有异议的，按第20条〔争议解决〕的约定办理。</w:t>
      </w:r>
    </w:p>
    <w:p w14:paraId="6A1BC801">
      <w:pPr>
        <w:pStyle w:val="7"/>
        <w:spacing w:before="120" w:after="120" w:line="312" w:lineRule="auto"/>
        <w:rPr>
          <w:rFonts w:hint="eastAsia"/>
          <w:b w:val="0"/>
          <w:color w:val="auto"/>
          <w:sz w:val="24"/>
          <w:szCs w:val="24"/>
          <w:highlight w:val="none"/>
        </w:rPr>
      </w:pPr>
      <w:bookmarkStart w:id="425" w:name="_Toc351203598"/>
      <w:bookmarkStart w:id="426" w:name="_Toc337558815"/>
      <w:r>
        <w:rPr>
          <w:rFonts w:hint="eastAsia"/>
          <w:b w:val="0"/>
          <w:color w:val="auto"/>
          <w:sz w:val="24"/>
          <w:szCs w:val="24"/>
          <w:highlight w:val="none"/>
        </w:rPr>
        <w:t>15. 缺陷责任与保修</w:t>
      </w:r>
      <w:bookmarkEnd w:id="425"/>
    </w:p>
    <w:bookmarkEnd w:id="415"/>
    <w:bookmarkEnd w:id="416"/>
    <w:bookmarkEnd w:id="426"/>
    <w:p w14:paraId="46D4C75F">
      <w:pPr>
        <w:pStyle w:val="8"/>
        <w:spacing w:before="120" w:after="120" w:line="312" w:lineRule="auto"/>
        <w:ind w:firstLine="480" w:firstLineChars="200"/>
        <w:rPr>
          <w:rFonts w:hint="eastAsia" w:ascii="宋体" w:hAnsi="宋体" w:cs="宋体"/>
          <w:b w:val="0"/>
          <w:color w:val="auto"/>
          <w:sz w:val="24"/>
          <w:szCs w:val="24"/>
          <w:highlight w:val="none"/>
        </w:rPr>
      </w:pPr>
      <w:bookmarkStart w:id="427" w:name="_Toc351203599"/>
      <w:bookmarkStart w:id="428" w:name="_Toc337558816"/>
      <w:bookmarkStart w:id="429" w:name="_Toc296503114"/>
      <w:bookmarkStart w:id="430" w:name="_Toc296346615"/>
      <w:r>
        <w:rPr>
          <w:rFonts w:hint="eastAsia" w:ascii="宋体" w:hAnsi="宋体" w:cs="宋体"/>
          <w:b w:val="0"/>
          <w:color w:val="auto"/>
          <w:sz w:val="24"/>
          <w:szCs w:val="24"/>
          <w:highlight w:val="none"/>
        </w:rPr>
        <w:t>15.1 工程保修的原则</w:t>
      </w:r>
      <w:bookmarkEnd w:id="427"/>
    </w:p>
    <w:bookmarkEnd w:id="428"/>
    <w:p w14:paraId="6BF16E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在工程移交发包人后，因承包人原因产生的质量缺陷，承包人应承担质量缺陷责任和保修义务。缺陷责任期届满，承包人仍应按合同约定的工程各部位保修年限承担保修义务。</w:t>
      </w:r>
    </w:p>
    <w:p w14:paraId="28331438">
      <w:pPr>
        <w:pStyle w:val="8"/>
        <w:spacing w:before="120" w:after="120" w:line="312" w:lineRule="auto"/>
        <w:ind w:firstLine="480" w:firstLineChars="200"/>
        <w:rPr>
          <w:rFonts w:hint="eastAsia" w:ascii="宋体" w:hAnsi="宋体" w:cs="宋体"/>
          <w:b w:val="0"/>
          <w:color w:val="auto"/>
          <w:sz w:val="24"/>
          <w:szCs w:val="24"/>
          <w:highlight w:val="none"/>
        </w:rPr>
      </w:pPr>
      <w:bookmarkStart w:id="431" w:name="_Toc351203600"/>
      <w:bookmarkStart w:id="432" w:name="_Toc337558817"/>
      <w:r>
        <w:rPr>
          <w:rFonts w:hint="eastAsia" w:ascii="宋体" w:hAnsi="宋体" w:cs="宋体"/>
          <w:b w:val="0"/>
          <w:color w:val="auto"/>
          <w:sz w:val="24"/>
          <w:szCs w:val="24"/>
          <w:highlight w:val="none"/>
        </w:rPr>
        <w:t>15.2 缺陷责任期</w:t>
      </w:r>
      <w:bookmarkEnd w:id="429"/>
      <w:bookmarkEnd w:id="430"/>
      <w:bookmarkEnd w:id="431"/>
    </w:p>
    <w:bookmarkEnd w:id="432"/>
    <w:p w14:paraId="4A9B790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15.2.1 缺陷责任期自实际竣工日期起计算，合同当事人应在专用合同条款约定缺陷责任期的具体期限，但该期限最长不超过24个月。</w:t>
      </w:r>
    </w:p>
    <w:p w14:paraId="497F668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单位工程先于全部工程进行验收，经验收合格并交付使用的，该单位工程缺陷责任期自单位工程验收合格之日起算。因发包人原因导致工程无法按合同约定期限进行竣工验收的，缺陷责任期自承包人提交竣工验收申请报告之日起开始计算；发包人未经竣工验收擅自使用工程的，缺陷责任期自工程转移占有之日起开始计算。</w:t>
      </w:r>
    </w:p>
    <w:p w14:paraId="378D001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15.2.2 工程竣工验收合格后，因承包人原因导致的缺陷或损坏致使工程、单位工程或某项主要设备不能按原定目的使用的，则发包人有权要求承</w:t>
      </w:r>
      <w:r>
        <w:rPr>
          <w:rFonts w:hint="eastAsia" w:ascii="宋体" w:hAnsi="宋体" w:cs="宋体"/>
          <w:bCs/>
          <w:color w:val="auto"/>
          <w:sz w:val="24"/>
          <w:highlight w:val="none"/>
        </w:rPr>
        <w:t>包人延长缺陷责任期，</w:t>
      </w:r>
      <w:r>
        <w:rPr>
          <w:rFonts w:hint="eastAsia" w:ascii="宋体" w:hAnsi="宋体" w:cs="宋体"/>
          <w:color w:val="auto"/>
          <w:kern w:val="0"/>
          <w:sz w:val="24"/>
          <w:highlight w:val="none"/>
        </w:rPr>
        <w:t>并应在原缺陷责任期届满前发出延长通知，</w:t>
      </w:r>
      <w:r>
        <w:rPr>
          <w:rFonts w:hint="eastAsia" w:ascii="宋体" w:hAnsi="宋体" w:cs="宋体"/>
          <w:bCs/>
          <w:color w:val="auto"/>
          <w:sz w:val="24"/>
          <w:highlight w:val="none"/>
        </w:rPr>
        <w:t>但缺陷责任期最长</w:t>
      </w:r>
      <w:r>
        <w:rPr>
          <w:rFonts w:hint="eastAsia" w:ascii="宋体" w:hAnsi="宋体" w:cs="宋体"/>
          <w:color w:val="auto"/>
          <w:kern w:val="0"/>
          <w:sz w:val="24"/>
          <w:highlight w:val="none"/>
        </w:rPr>
        <w:t>不能超过24个月。</w:t>
      </w:r>
    </w:p>
    <w:p w14:paraId="374A45C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15.2.3 任何一项缺陷或损坏修复后，经检查证明其影响了工程或工程设备的使用性能，承包人应重新进行合同约定的试验和试运行，试验和试运行的全部费用应由责任方承担。</w:t>
      </w:r>
    </w:p>
    <w:p w14:paraId="3763DD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0D241BEF">
      <w:pPr>
        <w:pStyle w:val="8"/>
        <w:spacing w:before="120" w:after="120" w:line="312" w:lineRule="auto"/>
        <w:ind w:firstLine="480" w:firstLineChars="200"/>
        <w:rPr>
          <w:rFonts w:hint="eastAsia" w:ascii="宋体" w:hAnsi="宋体" w:cs="宋体"/>
          <w:b w:val="0"/>
          <w:color w:val="auto"/>
          <w:sz w:val="24"/>
          <w:szCs w:val="24"/>
          <w:highlight w:val="none"/>
        </w:rPr>
      </w:pPr>
      <w:bookmarkStart w:id="433" w:name="_Toc351203601"/>
      <w:bookmarkStart w:id="434" w:name="_Toc337558818"/>
      <w:bookmarkStart w:id="435" w:name="_Toc296503115"/>
      <w:bookmarkStart w:id="436" w:name="_Toc296346616"/>
      <w:r>
        <w:rPr>
          <w:rFonts w:hint="eastAsia" w:ascii="宋体" w:hAnsi="宋体" w:cs="宋体"/>
          <w:b w:val="0"/>
          <w:color w:val="auto"/>
          <w:sz w:val="24"/>
          <w:szCs w:val="24"/>
          <w:highlight w:val="none"/>
        </w:rPr>
        <w:t>15.3 质量保证金</w:t>
      </w:r>
      <w:bookmarkEnd w:id="433"/>
    </w:p>
    <w:bookmarkEnd w:id="434"/>
    <w:p w14:paraId="3D505BF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经合同当事人协商一致扣留质量保证金的，应在专用合同条款中予以明确。</w:t>
      </w:r>
    </w:p>
    <w:p w14:paraId="4EE5F3A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15.3.1 承包人提供质量保证金的方式</w:t>
      </w:r>
    </w:p>
    <w:p w14:paraId="66C0C8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承包人提供质量保证金有以下三种方式：</w:t>
      </w:r>
    </w:p>
    <w:p w14:paraId="0CDE5BA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（1）质量保证金保函； </w:t>
      </w:r>
    </w:p>
    <w:p w14:paraId="496DE25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（2）相应比例的工程款；</w:t>
      </w:r>
    </w:p>
    <w:p w14:paraId="1791F07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（3）双方约定的其他方式。</w:t>
      </w:r>
    </w:p>
    <w:p w14:paraId="54C1CC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除专用合同条款另有约定外，质量保证金原则上采用上述第（1）种方式。</w:t>
      </w:r>
    </w:p>
    <w:p w14:paraId="29D620C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15.3.2 质量保证金的扣留</w:t>
      </w:r>
    </w:p>
    <w:p w14:paraId="16B540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质量保证金的扣留有以下三种方式：</w:t>
      </w:r>
    </w:p>
    <w:p w14:paraId="427460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（1）在支付工程进度款时逐次扣留，在此情形下，质量保证金的计算基数不包括预付款的支付、扣回以及价格调整的金额；</w:t>
      </w:r>
    </w:p>
    <w:p w14:paraId="05A3E12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（2）工</w:t>
      </w:r>
      <w:bookmarkStart w:id="437" w:name="#go6"/>
      <w:bookmarkEnd w:id="437"/>
      <w:r>
        <w:rPr>
          <w:rFonts w:hint="eastAsia" w:ascii="宋体" w:hAnsi="宋体" w:cs="宋体"/>
          <w:color w:val="auto"/>
          <w:kern w:val="0"/>
          <w:sz w:val="24"/>
          <w:highlight w:val="none"/>
        </w:rPr>
        <w:t>程竣工结算时一次性扣留质量保证金；</w:t>
      </w:r>
    </w:p>
    <w:p w14:paraId="7B009D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（3）双方约定的其他扣留方式。</w:t>
      </w:r>
    </w:p>
    <w:p w14:paraId="619EBB6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除专用合同条款另有约定外，质量保证金的扣留原则上采用上述第（1）种方式。</w:t>
      </w:r>
    </w:p>
    <w:p w14:paraId="21876B8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w:t>
      </w:r>
      <w:bookmarkStart w:id="438" w:name="#go4"/>
      <w:bookmarkEnd w:id="438"/>
      <w:r>
        <w:rPr>
          <w:rFonts w:hint="eastAsia" w:ascii="宋体" w:hAnsi="宋体" w:cs="宋体"/>
          <w:color w:val="auto"/>
          <w:kern w:val="0"/>
          <w:sz w:val="24"/>
          <w:highlight w:val="none"/>
        </w:rPr>
        <w:t>包人累计扣留的质量保证金不得超过结算合同价格的5%，如承包人在发包人签发竣工付款证书后28天内提交质量保证金保函，发包人应同时退还扣留的作为质量保证金的工程价款。</w:t>
      </w:r>
    </w:p>
    <w:p w14:paraId="6335EE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15.3.3 </w:t>
      </w:r>
      <w:r>
        <w:rPr>
          <w:rFonts w:hint="eastAsia" w:ascii="宋体" w:hAnsi="宋体" w:cs="宋体"/>
          <w:color w:val="auto"/>
          <w:sz w:val="24"/>
          <w:highlight w:val="none"/>
        </w:rPr>
        <w:t>质量保证金</w:t>
      </w:r>
      <w:r>
        <w:rPr>
          <w:rFonts w:hint="eastAsia" w:ascii="宋体" w:hAnsi="宋体" w:cs="宋体"/>
          <w:color w:val="auto"/>
          <w:kern w:val="0"/>
          <w:sz w:val="24"/>
          <w:highlight w:val="none"/>
        </w:rPr>
        <w:t>的退还</w:t>
      </w:r>
    </w:p>
    <w:p w14:paraId="271D656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发包人应按14.4款〔最终结清〕的约定退还质量保证金。</w:t>
      </w:r>
    </w:p>
    <w:p w14:paraId="2DC7FAEF">
      <w:pPr>
        <w:pStyle w:val="8"/>
        <w:spacing w:before="120" w:after="120" w:line="312" w:lineRule="auto"/>
        <w:ind w:firstLine="480" w:firstLineChars="200"/>
        <w:rPr>
          <w:rFonts w:hint="eastAsia" w:ascii="宋体" w:hAnsi="宋体" w:cs="宋体"/>
          <w:b w:val="0"/>
          <w:color w:val="auto"/>
          <w:sz w:val="24"/>
          <w:szCs w:val="24"/>
          <w:highlight w:val="none"/>
        </w:rPr>
      </w:pPr>
      <w:bookmarkStart w:id="439" w:name="_Toc351203602"/>
      <w:bookmarkStart w:id="440" w:name="_Toc337558819"/>
      <w:r>
        <w:rPr>
          <w:rFonts w:hint="eastAsia" w:ascii="宋体" w:hAnsi="宋体" w:cs="宋体"/>
          <w:b w:val="0"/>
          <w:color w:val="auto"/>
          <w:sz w:val="24"/>
          <w:szCs w:val="24"/>
          <w:highlight w:val="none"/>
        </w:rPr>
        <w:t>15.4 保修</w:t>
      </w:r>
      <w:bookmarkEnd w:id="439"/>
    </w:p>
    <w:bookmarkEnd w:id="435"/>
    <w:bookmarkEnd w:id="436"/>
    <w:bookmarkEnd w:id="440"/>
    <w:p w14:paraId="6BF2667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15.4.1保修责任</w:t>
      </w:r>
    </w:p>
    <w:p w14:paraId="4D527D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0AD80DC">
      <w:pPr>
        <w:spacing w:line="312" w:lineRule="auto"/>
        <w:ind w:firstLine="420" w:firstLineChars="200"/>
        <w:jc w:val="left"/>
        <w:rPr>
          <w:rFonts w:hint="eastAsia" w:ascii="宋体" w:hAnsi="宋体" w:cs="宋体"/>
          <w:color w:val="auto"/>
          <w:sz w:val="24"/>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1年</w:t>
      </w:r>
      <w:r>
        <w:rPr>
          <w:color w:val="auto"/>
          <w:kern w:val="0"/>
          <w:highlight w:val="none"/>
          <w:u w:val="single"/>
        </w:rPr>
        <w:t xml:space="preserve">  </w:t>
      </w:r>
      <w:r>
        <w:rPr>
          <w:rFonts w:hint="eastAsia" w:ascii="宋体" w:hAnsi="宋体" w:cs="宋体"/>
          <w:color w:val="auto"/>
          <w:sz w:val="24"/>
          <w:highlight w:val="none"/>
        </w:rPr>
        <w:t>。</w:t>
      </w:r>
    </w:p>
    <w:p w14:paraId="4B357EA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15.4.2 修复费用</w:t>
      </w:r>
    </w:p>
    <w:p w14:paraId="5E484A3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保修期内，修复的费用按照以下约定处理：</w:t>
      </w:r>
    </w:p>
    <w:p w14:paraId="16533A3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（1）保修期内，因承包人原因造成工程的缺陷、损坏，承包人应负责修复，并承担修复的费用以及因工程的缺陷、损坏造成的人身伤害和财产损失；</w:t>
      </w:r>
    </w:p>
    <w:p w14:paraId="11EDA9A6">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（2）保修期内，因发包人使用不当造成工程的缺陷、损坏，可以委托承包人修复，但发包人应承担修复的费用，并支付承包人合理利润；</w:t>
      </w:r>
    </w:p>
    <w:p w14:paraId="659212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（3）因其他原因造成工程的缺陷、损坏，可以委托承包人修复，发包人应承担修复的费用，并支付承包人合理的利润，因工程的缺陷、损坏造成的人身伤害和财产损失由责任方承担。</w:t>
      </w:r>
    </w:p>
    <w:p w14:paraId="2FD6163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15.4.3 修复通知</w:t>
      </w:r>
    </w:p>
    <w:p w14:paraId="431F969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2DE22CA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15.4.4 未能修复</w:t>
      </w:r>
    </w:p>
    <w:p w14:paraId="58D7C2C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68594541">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15.4.5 承包人出入权</w:t>
      </w:r>
    </w:p>
    <w:p w14:paraId="43C2C87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2290A498">
      <w:pPr>
        <w:pStyle w:val="7"/>
        <w:spacing w:before="120" w:after="120" w:line="312" w:lineRule="auto"/>
        <w:rPr>
          <w:rFonts w:hint="eastAsia"/>
          <w:b w:val="0"/>
          <w:color w:val="auto"/>
          <w:sz w:val="24"/>
          <w:szCs w:val="24"/>
          <w:highlight w:val="none"/>
        </w:rPr>
      </w:pPr>
      <w:bookmarkStart w:id="441" w:name="_Toc351203603"/>
      <w:bookmarkStart w:id="442" w:name="_Toc337558820"/>
      <w:r>
        <w:rPr>
          <w:rFonts w:hint="eastAsia"/>
          <w:b w:val="0"/>
          <w:color w:val="auto"/>
          <w:sz w:val="24"/>
          <w:szCs w:val="24"/>
          <w:highlight w:val="none"/>
        </w:rPr>
        <w:t>16. 违约</w:t>
      </w:r>
      <w:bookmarkEnd w:id="441"/>
    </w:p>
    <w:bookmarkEnd w:id="442"/>
    <w:p w14:paraId="22071344">
      <w:pPr>
        <w:pStyle w:val="8"/>
        <w:spacing w:before="120" w:after="120" w:line="312" w:lineRule="auto"/>
        <w:ind w:firstLine="480" w:firstLineChars="200"/>
        <w:rPr>
          <w:rFonts w:hint="eastAsia" w:ascii="宋体" w:hAnsi="宋体" w:cs="宋体"/>
          <w:b w:val="0"/>
          <w:color w:val="auto"/>
          <w:sz w:val="24"/>
          <w:szCs w:val="24"/>
          <w:highlight w:val="none"/>
        </w:rPr>
      </w:pPr>
      <w:bookmarkStart w:id="443" w:name="_Toc296346630"/>
      <w:bookmarkStart w:id="444" w:name="_Toc296503129"/>
      <w:bookmarkStart w:id="445" w:name="_Toc351203604"/>
      <w:bookmarkStart w:id="446" w:name="_Toc337558821"/>
      <w:r>
        <w:rPr>
          <w:rFonts w:hint="eastAsia" w:ascii="宋体" w:hAnsi="宋体" w:cs="宋体"/>
          <w:b w:val="0"/>
          <w:color w:val="auto"/>
          <w:sz w:val="24"/>
          <w:szCs w:val="24"/>
          <w:highlight w:val="none"/>
        </w:rPr>
        <w:t>16.1 发</w:t>
      </w:r>
      <w:bookmarkEnd w:id="443"/>
      <w:bookmarkEnd w:id="444"/>
      <w:r>
        <w:rPr>
          <w:rFonts w:hint="eastAsia" w:ascii="宋体" w:hAnsi="宋体" w:cs="宋体"/>
          <w:b w:val="0"/>
          <w:color w:val="auto"/>
          <w:sz w:val="24"/>
          <w:szCs w:val="24"/>
          <w:highlight w:val="none"/>
        </w:rPr>
        <w:t>包人违约</w:t>
      </w:r>
      <w:bookmarkEnd w:id="445"/>
    </w:p>
    <w:bookmarkEnd w:id="446"/>
    <w:p w14:paraId="047AEC7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16.1.1 发包人违约的情形</w:t>
      </w:r>
    </w:p>
    <w:p w14:paraId="7ACDBBF5">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在合同履行过程中发生的下列情形，属于发包人违约：</w:t>
      </w:r>
    </w:p>
    <w:p w14:paraId="41B0B1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（1）因发包人原因未能在计划开工日期前7天内下达开工通知的；</w:t>
      </w:r>
    </w:p>
    <w:p w14:paraId="32943D9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（2）因发包人原因未能按合同约定支付合同价款的；</w:t>
      </w:r>
    </w:p>
    <w:p w14:paraId="7C0C18F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（3）发包人违反第10.1款〔变更的范围〕第（2）项约定，自行实施被取消的工作或转由他人实施的；</w:t>
      </w:r>
    </w:p>
    <w:p w14:paraId="77264AF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（4）发包人提供的材料、工程设备的规格、数量或质量不符合合同约定，或因发包人原因导致交货日期延误或交货地点变更等情况的；</w:t>
      </w:r>
    </w:p>
    <w:p w14:paraId="1315D4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（5）因发包人违反合同约定造成暂停施工的；</w:t>
      </w:r>
    </w:p>
    <w:p w14:paraId="4789AB5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（6）发包人无正当理由没有在约定期限内发出复工指示，导致承包人无法复工的；</w:t>
      </w:r>
    </w:p>
    <w:p w14:paraId="077F77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（7）发包人明确表示或者以其行为表明不履行合同主要义务的；</w:t>
      </w:r>
    </w:p>
    <w:p w14:paraId="400EF77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（8）发包人未能按照合同约定履行其他义务的。</w:t>
      </w:r>
    </w:p>
    <w:p w14:paraId="19387DE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2743C3F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16.1.2 发包人违约的责任</w:t>
      </w:r>
    </w:p>
    <w:p w14:paraId="6DC0BC0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发包人应承担因其违约给承包人增加的费用和（或）延误的工期，并支付承包人合理的利润。此外，合同当事人可在专用合同条款中另行约定发包人违约责任的承担方式和计算方法。</w:t>
      </w:r>
    </w:p>
    <w:p w14:paraId="15FA63B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16.1.3 因发包人违约解除合同</w:t>
      </w:r>
    </w:p>
    <w:p w14:paraId="41CF164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409581BF">
      <w:pPr>
        <w:autoSpaceDE w:val="0"/>
        <w:autoSpaceDN w:val="0"/>
        <w:adjustRightInd w:val="0"/>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16.1.4 因发包人违约解除合同后的付款</w:t>
      </w:r>
    </w:p>
    <w:p w14:paraId="429F56D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承包人按照本款约定解除合同的，发包人应在解除合同后28天内支付下列款项，并解除履约担保：</w:t>
      </w:r>
    </w:p>
    <w:p w14:paraId="75D2BFB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（1）合同解除前所完成工作的价款；</w:t>
      </w:r>
    </w:p>
    <w:p w14:paraId="311161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（2）承包人为工程施工订购并已付款的材料、工程设备和其他物品的价款；</w:t>
      </w:r>
    </w:p>
    <w:p w14:paraId="02D7BC6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（3）承包人撤离施工现场以及遣散承包人人员的款项；</w:t>
      </w:r>
    </w:p>
    <w:p w14:paraId="2964A4E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（4）按照合同约定在合同解除前应支付的违约金；</w:t>
      </w:r>
    </w:p>
    <w:p w14:paraId="1515E1D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（5）按照合同约定应当支付给承包人的其他款项；</w:t>
      </w:r>
    </w:p>
    <w:p w14:paraId="0385FC5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（6）按照合同约定应退还的质量保证金；</w:t>
      </w:r>
    </w:p>
    <w:p w14:paraId="462EDD3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（7）因解除合同给承包人造成的损失。</w:t>
      </w:r>
    </w:p>
    <w:p w14:paraId="0EE95CA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合同当事人未能就解除合同后的结清达成一致的，按照第20条〔争议解决〕的约定处理。</w:t>
      </w:r>
    </w:p>
    <w:p w14:paraId="2993313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承包人应妥善做好已完工程和与工程有关的已购材料、工程设备的保护和移交工作，并将施工设备和人员撤出施工现场，发包人应为承包人撤出提供必要条件。</w:t>
      </w:r>
    </w:p>
    <w:p w14:paraId="0ED371E2">
      <w:pPr>
        <w:pStyle w:val="8"/>
        <w:spacing w:before="120" w:after="120" w:line="312" w:lineRule="auto"/>
        <w:ind w:firstLine="480" w:firstLineChars="200"/>
        <w:rPr>
          <w:rFonts w:hint="eastAsia" w:ascii="宋体" w:hAnsi="宋体" w:cs="宋体"/>
          <w:b w:val="0"/>
          <w:color w:val="auto"/>
          <w:sz w:val="24"/>
          <w:szCs w:val="24"/>
          <w:highlight w:val="none"/>
        </w:rPr>
      </w:pPr>
      <w:bookmarkStart w:id="447" w:name="_Toc351203605"/>
      <w:bookmarkStart w:id="448" w:name="_Toc296503131"/>
      <w:bookmarkStart w:id="449" w:name="_Toc296346632"/>
      <w:bookmarkStart w:id="450" w:name="_Toc337558822"/>
      <w:r>
        <w:rPr>
          <w:rFonts w:hint="eastAsia" w:ascii="宋体" w:hAnsi="宋体" w:cs="宋体"/>
          <w:b w:val="0"/>
          <w:color w:val="auto"/>
          <w:sz w:val="24"/>
          <w:szCs w:val="24"/>
          <w:highlight w:val="none"/>
        </w:rPr>
        <w:t>16.2 承包人违约</w:t>
      </w:r>
      <w:bookmarkEnd w:id="447"/>
    </w:p>
    <w:bookmarkEnd w:id="448"/>
    <w:bookmarkEnd w:id="449"/>
    <w:bookmarkEnd w:id="450"/>
    <w:p w14:paraId="60C4A45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16.2.1 承包人违约的情形</w:t>
      </w:r>
    </w:p>
    <w:p w14:paraId="72E1BB7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在合同履行过程中发生的下列情形，属于承包人违约：</w:t>
      </w:r>
    </w:p>
    <w:p w14:paraId="58E22CA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（1）承包人违反合同约定进行转包或违法分包的；</w:t>
      </w:r>
    </w:p>
    <w:p w14:paraId="77D8144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（2）承包人违反合同约定采购和使用不合格的材料和工程设备的；</w:t>
      </w:r>
    </w:p>
    <w:p w14:paraId="378DD8A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（3）因承包人原因导致工程质量不符合合同要求的； </w:t>
      </w:r>
    </w:p>
    <w:p w14:paraId="57BE67B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（4）承包人违反第8.9款〔材料与设备专用要求〕的约定，未经批准，私自将已按照合同约定进入施工现场的材料或设备撤离施工现场的；</w:t>
      </w:r>
    </w:p>
    <w:p w14:paraId="3E9EF0B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（5）承包人未能按施工进度计划及时完成合同约定的工作，造成工期延误的；</w:t>
      </w:r>
    </w:p>
    <w:p w14:paraId="7286612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（6）承包人在缺陷责任期及保修期内，未能在合理期限对工程缺陷进行修复，或拒绝按发包人要求进行修复的；</w:t>
      </w:r>
    </w:p>
    <w:p w14:paraId="2849A42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（7）承包人明确表示或者以其行为表明不履行合同主要义务的；</w:t>
      </w:r>
    </w:p>
    <w:p w14:paraId="2C2B529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（8）承包人未能按照合同约定履行其他义务的。</w:t>
      </w:r>
    </w:p>
    <w:p w14:paraId="150C76A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承包人发生除本项第（7）目约定以外的其他违约情况时，监理人可向承包人发出整改通知，要求其在指定的期限内改正。</w:t>
      </w:r>
    </w:p>
    <w:p w14:paraId="1A317C1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16.2.2 承包人违约的责任</w:t>
      </w:r>
    </w:p>
    <w:p w14:paraId="7771CBB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承包人应承担因其违约行为而增加的费用和（或）延误的工期。此外，合同当事人可在专用合同条款中另行约定承包人违约责任的承担方式和计算方法。</w:t>
      </w:r>
    </w:p>
    <w:p w14:paraId="63A09A5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16.2.3 因承包人违约解除合同</w:t>
      </w:r>
    </w:p>
    <w:p w14:paraId="234D253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6199784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16.2.4因承包人违约解除合同后的处理</w:t>
      </w:r>
    </w:p>
    <w:p w14:paraId="57A76E8A">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因承包人原因导致合同解除的，则合同当事人应在合同解除后28天内完成估价、付款和清算，并按以下约定执行：</w:t>
      </w:r>
    </w:p>
    <w:p w14:paraId="4D4899E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（1）合同解除后，按第4.4款〔商定或确定〕商定或确定承包人实际完成工作对应的合同价款，以及承包人已提供的材料、工程设备、施工设备和临时工程等的价值；</w:t>
      </w:r>
    </w:p>
    <w:p w14:paraId="7545BA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（2）合同解除后，承包人应支付的违约金；</w:t>
      </w:r>
    </w:p>
    <w:p w14:paraId="0F1F9399">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（3）合同解除后，因解除合同给发包人造成的损失；</w:t>
      </w:r>
    </w:p>
    <w:p w14:paraId="496E153F">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（4）合同解除后，承包人应按照发包人要求和监理人的指示完成现场的清理和撤离；</w:t>
      </w:r>
    </w:p>
    <w:p w14:paraId="1F31E25D">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（5）发包人和承包人应在合同解除后进行清算，出具最终结清付款证书，结清全部款项。</w:t>
      </w:r>
    </w:p>
    <w:p w14:paraId="57C5C068">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因承包人违约解除合同的，发包人有权暂停对承包人的付款，查清各项付款和已扣款项。发包人和承包人未能就合同解除后的清算和款项支付达成一致的，按照第20条〔争议解决〕的约定处理。</w:t>
      </w:r>
    </w:p>
    <w:p w14:paraId="58733F94">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16.2.5采购合同权益转让</w:t>
      </w:r>
    </w:p>
    <w:p w14:paraId="585AF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5A46E6D">
      <w:pPr>
        <w:pStyle w:val="8"/>
        <w:spacing w:before="120" w:after="120" w:line="312" w:lineRule="auto"/>
        <w:ind w:firstLine="480" w:firstLineChars="200"/>
        <w:rPr>
          <w:rFonts w:hint="eastAsia" w:ascii="宋体" w:hAnsi="宋体" w:cs="宋体"/>
          <w:b w:val="0"/>
          <w:color w:val="auto"/>
          <w:sz w:val="24"/>
          <w:szCs w:val="24"/>
          <w:highlight w:val="none"/>
        </w:rPr>
      </w:pPr>
      <w:bookmarkStart w:id="451" w:name="_Toc351203606"/>
      <w:r>
        <w:rPr>
          <w:rFonts w:hint="eastAsia" w:ascii="宋体" w:hAnsi="宋体" w:cs="宋体"/>
          <w:b w:val="0"/>
          <w:color w:val="auto"/>
          <w:sz w:val="24"/>
          <w:szCs w:val="24"/>
          <w:highlight w:val="none"/>
        </w:rPr>
        <w:t>16.3 第三人造成的违约</w:t>
      </w:r>
      <w:bookmarkEnd w:id="451"/>
    </w:p>
    <w:p w14:paraId="002D1CE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在履行合同过程中，一方当事人因第三人的原因造成违约的，应当向对方当事人承担违约责任。一方当事人和第三人之间的纠纷，依照法律规定或者按照约定解决。</w:t>
      </w:r>
    </w:p>
    <w:p w14:paraId="5DBA5A1A">
      <w:pPr>
        <w:pStyle w:val="7"/>
        <w:spacing w:before="120" w:after="120" w:line="312" w:lineRule="auto"/>
        <w:rPr>
          <w:rFonts w:hint="eastAsia"/>
          <w:b w:val="0"/>
          <w:color w:val="auto"/>
          <w:sz w:val="24"/>
          <w:szCs w:val="24"/>
          <w:highlight w:val="none"/>
        </w:rPr>
      </w:pPr>
      <w:bookmarkStart w:id="452" w:name="_Toc351203607"/>
      <w:bookmarkStart w:id="453" w:name="_Toc296503116"/>
      <w:bookmarkStart w:id="454" w:name="_Toc296346617"/>
      <w:bookmarkStart w:id="455" w:name="_Toc337558823"/>
      <w:r>
        <w:rPr>
          <w:rFonts w:hint="eastAsia"/>
          <w:b w:val="0"/>
          <w:color w:val="auto"/>
          <w:sz w:val="24"/>
          <w:szCs w:val="24"/>
          <w:highlight w:val="none"/>
        </w:rPr>
        <w:t>17. 不可抗力</w:t>
      </w:r>
      <w:bookmarkEnd w:id="452"/>
      <w:r>
        <w:rPr>
          <w:rFonts w:hint="eastAsia"/>
          <w:b w:val="0"/>
          <w:color w:val="auto"/>
          <w:sz w:val="24"/>
          <w:szCs w:val="24"/>
          <w:highlight w:val="none"/>
        </w:rPr>
        <w:t xml:space="preserve"> </w:t>
      </w:r>
      <w:bookmarkEnd w:id="453"/>
      <w:bookmarkEnd w:id="454"/>
      <w:bookmarkEnd w:id="455"/>
    </w:p>
    <w:p w14:paraId="511F7A47">
      <w:pPr>
        <w:pStyle w:val="8"/>
        <w:spacing w:before="120" w:after="120" w:line="312" w:lineRule="auto"/>
        <w:ind w:firstLine="480" w:firstLineChars="200"/>
        <w:rPr>
          <w:rFonts w:hint="eastAsia" w:ascii="宋体" w:hAnsi="宋体" w:cs="宋体"/>
          <w:b w:val="0"/>
          <w:color w:val="auto"/>
          <w:sz w:val="24"/>
          <w:szCs w:val="24"/>
          <w:highlight w:val="none"/>
        </w:rPr>
      </w:pPr>
      <w:bookmarkStart w:id="456" w:name="_Toc351203608"/>
      <w:bookmarkStart w:id="457" w:name="_Toc337558824"/>
      <w:bookmarkStart w:id="458" w:name="_Toc296346618"/>
      <w:bookmarkStart w:id="459" w:name="_Toc296503117"/>
      <w:r>
        <w:rPr>
          <w:rFonts w:hint="eastAsia" w:ascii="宋体" w:hAnsi="宋体" w:cs="宋体"/>
          <w:b w:val="0"/>
          <w:color w:val="auto"/>
          <w:sz w:val="24"/>
          <w:szCs w:val="24"/>
          <w:highlight w:val="none"/>
        </w:rPr>
        <w:t>17.1 不可抗力的确认</w:t>
      </w:r>
      <w:bookmarkEnd w:id="456"/>
    </w:p>
    <w:bookmarkEnd w:id="457"/>
    <w:bookmarkEnd w:id="458"/>
    <w:bookmarkEnd w:id="459"/>
    <w:p w14:paraId="3FA2CE0F">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63C7EE3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080B7D5E">
      <w:pPr>
        <w:pStyle w:val="8"/>
        <w:spacing w:before="120" w:after="120" w:line="312" w:lineRule="auto"/>
        <w:ind w:firstLine="480" w:firstLineChars="200"/>
        <w:rPr>
          <w:rFonts w:hint="eastAsia" w:ascii="宋体" w:hAnsi="宋体" w:cs="宋体"/>
          <w:b w:val="0"/>
          <w:color w:val="auto"/>
          <w:sz w:val="24"/>
          <w:szCs w:val="24"/>
          <w:highlight w:val="none"/>
        </w:rPr>
      </w:pPr>
      <w:bookmarkStart w:id="460" w:name="_Toc351203609"/>
      <w:bookmarkStart w:id="461" w:name="_Toc296346619"/>
      <w:bookmarkStart w:id="462" w:name="_Toc296503118"/>
      <w:bookmarkStart w:id="463" w:name="_Toc337558825"/>
      <w:r>
        <w:rPr>
          <w:rFonts w:hint="eastAsia" w:ascii="宋体" w:hAnsi="宋体" w:cs="宋体"/>
          <w:b w:val="0"/>
          <w:color w:val="auto"/>
          <w:sz w:val="24"/>
          <w:szCs w:val="24"/>
          <w:highlight w:val="none"/>
        </w:rPr>
        <w:t>17.2 不可抗力的通知</w:t>
      </w:r>
      <w:bookmarkEnd w:id="460"/>
    </w:p>
    <w:bookmarkEnd w:id="461"/>
    <w:bookmarkEnd w:id="462"/>
    <w:bookmarkEnd w:id="463"/>
    <w:p w14:paraId="3BD5458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合同一方当事人遇到不可抗力事件，使其履行合同义务受到阻碍时，应立即通知合同另一方当事人和监理人，书面说明不可抗力和受阻碍的详细情况，并提供必要的证明。</w:t>
      </w:r>
    </w:p>
    <w:p w14:paraId="7FD855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不可抗力持续发生的，合同一方当事人应及时向合同另一方当事人和监理人提交中间报告，说明不可抗力和履行合同受阻的情况，并于不可抗力事件结束后28天内提交最终报告及有关资料。</w:t>
      </w:r>
    </w:p>
    <w:p w14:paraId="2949A8F3">
      <w:pPr>
        <w:pStyle w:val="8"/>
        <w:spacing w:before="120" w:after="120" w:line="312" w:lineRule="auto"/>
        <w:ind w:firstLine="480" w:firstLineChars="200"/>
        <w:rPr>
          <w:rFonts w:hint="eastAsia" w:ascii="宋体" w:hAnsi="宋体" w:cs="宋体"/>
          <w:b w:val="0"/>
          <w:color w:val="auto"/>
          <w:sz w:val="24"/>
          <w:szCs w:val="24"/>
          <w:highlight w:val="none"/>
        </w:rPr>
      </w:pPr>
      <w:bookmarkStart w:id="464" w:name="_Toc351203610"/>
      <w:bookmarkStart w:id="465" w:name="_Toc296503119"/>
      <w:bookmarkStart w:id="466" w:name="_Toc296346620"/>
      <w:bookmarkStart w:id="467" w:name="_Toc337558826"/>
      <w:r>
        <w:rPr>
          <w:rFonts w:hint="eastAsia" w:ascii="宋体" w:hAnsi="宋体" w:cs="宋体"/>
          <w:b w:val="0"/>
          <w:color w:val="auto"/>
          <w:sz w:val="24"/>
          <w:szCs w:val="24"/>
          <w:highlight w:val="none"/>
        </w:rPr>
        <w:t>17.3 不可抗力后果的承担</w:t>
      </w:r>
      <w:bookmarkEnd w:id="464"/>
    </w:p>
    <w:bookmarkEnd w:id="465"/>
    <w:bookmarkEnd w:id="466"/>
    <w:bookmarkEnd w:id="467"/>
    <w:p w14:paraId="09E32B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17.3.1 不可抗力引起的后果及造成的损失由合同当事人按照法律规定及合同约定各自承担。不可抗力发生前已完成的工程应当按照合同约定进行计量支付。</w:t>
      </w:r>
    </w:p>
    <w:p w14:paraId="6B17E42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17.3.2 不可抗力导致的人员伤亡、财产损失、费用增加和（或）工期延误等后果，由合同当事人按以下原则承担：</w:t>
      </w:r>
    </w:p>
    <w:p w14:paraId="0E9999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（1）永久工程、已运至施工现场的材料和工程设备的损坏，以及因工程损坏造成的第三人人员伤亡和财产损失由发包人承担；</w:t>
      </w:r>
    </w:p>
    <w:p w14:paraId="35A0711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（2）承包人施工设备的损坏由承包人承担；</w:t>
      </w:r>
    </w:p>
    <w:p w14:paraId="671EA46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（3）发包人和承包人承担各自人员伤亡和财产的损失；</w:t>
      </w:r>
    </w:p>
    <w:p w14:paraId="1D957CE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（4）因不可抗力影响承包人履行合同约定的义务，已经引起或将引起工期延误的，应当顺延工期，由此导致承包人停工的费用损失由发包人和承包人合理分担，停工期间必须支付的工人工资由发包人承担；</w:t>
      </w:r>
    </w:p>
    <w:p w14:paraId="0AE564F7">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（5）因不可抗力引起或将引起工期延误，发包人要求赶工的，由此增加的赶工费用由发包人承担；</w:t>
      </w:r>
    </w:p>
    <w:p w14:paraId="1D5F104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（6）承包人在停工期间按照发包人要求照管、清理和修复工程的费用由发包人承担。</w:t>
      </w:r>
    </w:p>
    <w:p w14:paraId="6301392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不可抗力发生后，合同当事人均应采取措施尽量避免和减少损失的扩大，任何一方当事人没有采取有效措施导致损失扩大的，应对扩大的损失承担责任。</w:t>
      </w:r>
    </w:p>
    <w:p w14:paraId="40F99B0D">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因合同一方迟延履行合同义务，在迟延履行期间遭遇不可抗力的，不免除其违约责任。</w:t>
      </w:r>
    </w:p>
    <w:p w14:paraId="42BE296C">
      <w:pPr>
        <w:pStyle w:val="8"/>
        <w:spacing w:before="120" w:after="120" w:line="312" w:lineRule="auto"/>
        <w:ind w:firstLine="480" w:firstLineChars="200"/>
        <w:rPr>
          <w:rFonts w:hint="eastAsia" w:ascii="宋体" w:hAnsi="宋体" w:cs="宋体"/>
          <w:b w:val="0"/>
          <w:color w:val="auto"/>
          <w:sz w:val="24"/>
          <w:szCs w:val="24"/>
          <w:highlight w:val="none"/>
        </w:rPr>
      </w:pPr>
      <w:bookmarkStart w:id="468" w:name="_Toc351203611"/>
      <w:bookmarkStart w:id="469" w:name="_Toc337558827"/>
      <w:r>
        <w:rPr>
          <w:rFonts w:hint="eastAsia" w:ascii="宋体" w:hAnsi="宋体" w:cs="宋体"/>
          <w:b w:val="0"/>
          <w:color w:val="auto"/>
          <w:sz w:val="24"/>
          <w:szCs w:val="24"/>
          <w:highlight w:val="none"/>
        </w:rPr>
        <w:t>17.4 因不可抗力解除合同</w:t>
      </w:r>
      <w:bookmarkEnd w:id="468"/>
    </w:p>
    <w:bookmarkEnd w:id="469"/>
    <w:p w14:paraId="1447FD1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因不可抗力导致合同无法履行连续超过84天或累计超过140天的，发包人和承包人均有权解除合同。合同解除后，由双方当事人按照第4.4款〔商定或确定〕商定或确定发包人应支付的款项，该款项包括：</w:t>
      </w:r>
    </w:p>
    <w:p w14:paraId="28C406B6">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（1）合同解除前承包人已完成工作的价款；</w:t>
      </w:r>
    </w:p>
    <w:p w14:paraId="03423AEE">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（2）承包人为工程订购的并已交付给承包人，或承包人有责任接受交付的材料、工程设备和其他物品的价款；</w:t>
      </w:r>
    </w:p>
    <w:p w14:paraId="1EDB6287">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（3）发包人要求承包人退货或解除订货合同而产生的费用，或因不能退货或解除合同而产生的损失；</w:t>
      </w:r>
    </w:p>
    <w:p w14:paraId="615F9302">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（4）承包人撤离施工现场以及遣散承包人人员的费用；</w:t>
      </w:r>
    </w:p>
    <w:p w14:paraId="2A97ACE3">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（5）按照合同约定在合同解除前应支付给承包人的其他款项；</w:t>
      </w:r>
    </w:p>
    <w:p w14:paraId="17D04F4B">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（6）扣减承包人按照合同约定应向发包人支付的款项；</w:t>
      </w:r>
    </w:p>
    <w:p w14:paraId="2D7EA705">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（7）双方商定或确定的其他款项。</w:t>
      </w:r>
    </w:p>
    <w:p w14:paraId="6EDA3C30">
      <w:pPr>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除专用合同条款另有约定外，合同解除后，发包人应在商定或确定上述款项后28天内完成上述款项的支付。</w:t>
      </w:r>
    </w:p>
    <w:p w14:paraId="4543E151">
      <w:pPr>
        <w:pStyle w:val="7"/>
        <w:spacing w:before="120" w:after="120" w:line="312" w:lineRule="auto"/>
        <w:rPr>
          <w:rFonts w:hint="eastAsia"/>
          <w:b w:val="0"/>
          <w:color w:val="auto"/>
          <w:sz w:val="24"/>
          <w:szCs w:val="24"/>
          <w:highlight w:val="none"/>
        </w:rPr>
      </w:pPr>
      <w:bookmarkStart w:id="470" w:name="_Toc351203612"/>
      <w:bookmarkStart w:id="471" w:name="_Toc296346621"/>
      <w:bookmarkStart w:id="472" w:name="_Toc337558828"/>
      <w:bookmarkStart w:id="473" w:name="_Toc296503120"/>
      <w:r>
        <w:rPr>
          <w:rFonts w:hint="eastAsia"/>
          <w:b w:val="0"/>
          <w:color w:val="auto"/>
          <w:sz w:val="24"/>
          <w:szCs w:val="24"/>
          <w:highlight w:val="none"/>
        </w:rPr>
        <w:t>18. 保险</w:t>
      </w:r>
      <w:bookmarkEnd w:id="470"/>
    </w:p>
    <w:bookmarkEnd w:id="471"/>
    <w:bookmarkEnd w:id="472"/>
    <w:bookmarkEnd w:id="473"/>
    <w:p w14:paraId="5827BF35">
      <w:pPr>
        <w:pStyle w:val="8"/>
        <w:spacing w:before="120" w:after="120" w:line="312" w:lineRule="auto"/>
        <w:ind w:firstLine="480" w:firstLineChars="200"/>
        <w:rPr>
          <w:rFonts w:hint="eastAsia" w:ascii="宋体" w:hAnsi="宋体" w:cs="宋体"/>
          <w:b w:val="0"/>
          <w:color w:val="auto"/>
          <w:sz w:val="24"/>
          <w:szCs w:val="24"/>
          <w:highlight w:val="none"/>
        </w:rPr>
      </w:pPr>
      <w:bookmarkStart w:id="474" w:name="_Toc351203613"/>
      <w:bookmarkStart w:id="475" w:name="_Toc337558829"/>
      <w:bookmarkStart w:id="476" w:name="_Toc296503121"/>
      <w:bookmarkStart w:id="477" w:name="_Toc296346622"/>
      <w:r>
        <w:rPr>
          <w:rFonts w:hint="eastAsia" w:ascii="宋体" w:hAnsi="宋体" w:cs="宋体"/>
          <w:b w:val="0"/>
          <w:color w:val="auto"/>
          <w:sz w:val="24"/>
          <w:szCs w:val="24"/>
          <w:highlight w:val="none"/>
        </w:rPr>
        <w:t>18.1 工程保险</w:t>
      </w:r>
      <w:bookmarkEnd w:id="474"/>
    </w:p>
    <w:bookmarkEnd w:id="475"/>
    <w:bookmarkEnd w:id="476"/>
    <w:bookmarkEnd w:id="477"/>
    <w:p w14:paraId="07DF4BD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除专用合同条款另有约定外，发包人应投保建筑工程一切险或安装工程一切险；发包人委托承包人投保的，因投保产生的保险费和其他相关费用由发包人承担。</w:t>
      </w:r>
    </w:p>
    <w:p w14:paraId="1C6D4D0D">
      <w:pPr>
        <w:pStyle w:val="8"/>
        <w:spacing w:before="120" w:after="120" w:line="312" w:lineRule="auto"/>
        <w:ind w:firstLine="480" w:firstLineChars="200"/>
        <w:rPr>
          <w:rFonts w:hint="eastAsia" w:ascii="宋体" w:hAnsi="宋体" w:cs="宋体"/>
          <w:b w:val="0"/>
          <w:color w:val="auto"/>
          <w:sz w:val="24"/>
          <w:szCs w:val="24"/>
          <w:highlight w:val="none"/>
        </w:rPr>
      </w:pPr>
      <w:bookmarkStart w:id="478" w:name="_Toc351203614"/>
      <w:bookmarkStart w:id="479" w:name="_Toc337558830"/>
      <w:bookmarkStart w:id="480" w:name="_Toc296503122"/>
      <w:bookmarkStart w:id="481" w:name="_Toc296346623"/>
      <w:r>
        <w:rPr>
          <w:rFonts w:hint="eastAsia" w:ascii="宋体" w:hAnsi="宋体" w:cs="宋体"/>
          <w:b w:val="0"/>
          <w:color w:val="auto"/>
          <w:sz w:val="24"/>
          <w:szCs w:val="24"/>
          <w:highlight w:val="none"/>
        </w:rPr>
        <w:t>18.2 工伤保险</w:t>
      </w:r>
      <w:bookmarkEnd w:id="478"/>
    </w:p>
    <w:bookmarkEnd w:id="479"/>
    <w:bookmarkEnd w:id="480"/>
    <w:bookmarkEnd w:id="481"/>
    <w:p w14:paraId="2831AC50">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18.2.1 发包人应依照法律规定参加工伤保险。</w:t>
      </w:r>
    </w:p>
    <w:p w14:paraId="14AC429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18.2.2 承包人应依照法律规定参加工伤保险，并为其履行合同的全部员工办理工伤保险，缴纳工伤保险费，并要求分包人及由承包人为履行合同聘请的第三方依法参加工伤保险。</w:t>
      </w:r>
    </w:p>
    <w:p w14:paraId="2F8295C9">
      <w:pPr>
        <w:pStyle w:val="8"/>
        <w:spacing w:before="120" w:after="120" w:line="312" w:lineRule="auto"/>
        <w:ind w:firstLine="480" w:firstLineChars="200"/>
        <w:rPr>
          <w:rFonts w:hint="eastAsia" w:ascii="宋体" w:hAnsi="宋体" w:cs="宋体"/>
          <w:b w:val="0"/>
          <w:color w:val="auto"/>
          <w:sz w:val="24"/>
          <w:szCs w:val="24"/>
          <w:highlight w:val="none"/>
        </w:rPr>
      </w:pPr>
      <w:bookmarkStart w:id="482" w:name="_Toc351203615"/>
      <w:bookmarkStart w:id="483" w:name="_Toc296503125"/>
      <w:bookmarkStart w:id="484" w:name="_Toc296346626"/>
      <w:bookmarkStart w:id="485" w:name="_Toc337558831"/>
      <w:r>
        <w:rPr>
          <w:rFonts w:hint="eastAsia" w:ascii="宋体" w:hAnsi="宋体" w:cs="宋体"/>
          <w:b w:val="0"/>
          <w:color w:val="auto"/>
          <w:sz w:val="24"/>
          <w:szCs w:val="24"/>
          <w:highlight w:val="none"/>
        </w:rPr>
        <w:t>18.3其他保险</w:t>
      </w:r>
      <w:bookmarkEnd w:id="482"/>
    </w:p>
    <w:bookmarkEnd w:id="483"/>
    <w:bookmarkEnd w:id="484"/>
    <w:bookmarkEnd w:id="485"/>
    <w:p w14:paraId="3FB90315">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发包人和承包人可以为其施工现场的全部人员办理意外伤害保险并支付保险费，包括其员工及为履行合同聘请的第三方的人员，具体事项由合同当事人在专用合同条款约定。</w:t>
      </w:r>
    </w:p>
    <w:p w14:paraId="37B805E9">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除专用合同条款另有约定外，承包人应为其施工设备等办理财产保险。</w:t>
      </w:r>
    </w:p>
    <w:p w14:paraId="29C787D9">
      <w:pPr>
        <w:pStyle w:val="8"/>
        <w:spacing w:before="120" w:after="120" w:line="312" w:lineRule="auto"/>
        <w:ind w:firstLine="480" w:firstLineChars="200"/>
        <w:rPr>
          <w:rFonts w:hint="eastAsia" w:ascii="宋体" w:hAnsi="宋体" w:cs="宋体"/>
          <w:b w:val="0"/>
          <w:color w:val="auto"/>
          <w:sz w:val="24"/>
          <w:szCs w:val="24"/>
          <w:highlight w:val="none"/>
        </w:rPr>
      </w:pPr>
      <w:bookmarkStart w:id="486" w:name="_Toc351203616"/>
      <w:r>
        <w:rPr>
          <w:rFonts w:hint="eastAsia" w:ascii="宋体" w:hAnsi="宋体" w:cs="宋体"/>
          <w:b w:val="0"/>
          <w:color w:val="auto"/>
          <w:sz w:val="24"/>
          <w:szCs w:val="24"/>
          <w:highlight w:val="none"/>
        </w:rPr>
        <w:t>18.4持续保险</w:t>
      </w:r>
      <w:bookmarkEnd w:id="486"/>
    </w:p>
    <w:p w14:paraId="66B35F41">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合同当事人应与保险人保持联系，使保险人能够随时了解工程实施中的变动，并确保按保险合同条款要求持续保险。</w:t>
      </w:r>
    </w:p>
    <w:p w14:paraId="0A5A2F23">
      <w:pPr>
        <w:pStyle w:val="8"/>
        <w:spacing w:before="120" w:after="120" w:line="312" w:lineRule="auto"/>
        <w:ind w:firstLine="480" w:firstLineChars="200"/>
        <w:rPr>
          <w:rFonts w:hint="eastAsia" w:ascii="宋体" w:hAnsi="宋体" w:cs="宋体"/>
          <w:b w:val="0"/>
          <w:color w:val="auto"/>
          <w:sz w:val="24"/>
          <w:szCs w:val="24"/>
          <w:highlight w:val="none"/>
        </w:rPr>
      </w:pPr>
      <w:bookmarkStart w:id="487" w:name="_Toc351203617"/>
      <w:bookmarkStart w:id="488" w:name="_Toc296503126"/>
      <w:bookmarkStart w:id="489" w:name="_Toc296346627"/>
      <w:bookmarkStart w:id="490" w:name="_Toc337558832"/>
      <w:r>
        <w:rPr>
          <w:rFonts w:hint="eastAsia" w:ascii="宋体" w:hAnsi="宋体" w:cs="宋体"/>
          <w:b w:val="0"/>
          <w:color w:val="auto"/>
          <w:sz w:val="24"/>
          <w:szCs w:val="24"/>
          <w:highlight w:val="none"/>
        </w:rPr>
        <w:t>18.5 保险凭证</w:t>
      </w:r>
      <w:bookmarkEnd w:id="487"/>
    </w:p>
    <w:bookmarkEnd w:id="488"/>
    <w:bookmarkEnd w:id="489"/>
    <w:bookmarkEnd w:id="490"/>
    <w:p w14:paraId="40CF021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合同当事人应及时向另一方当事人提交其已投保的各项保险的凭证和保险单复印件。</w:t>
      </w:r>
    </w:p>
    <w:p w14:paraId="60911FC6">
      <w:pPr>
        <w:pStyle w:val="8"/>
        <w:spacing w:before="120" w:after="120" w:line="312" w:lineRule="auto"/>
        <w:ind w:firstLine="480" w:firstLineChars="200"/>
        <w:rPr>
          <w:rFonts w:hint="eastAsia" w:ascii="宋体" w:hAnsi="宋体" w:cs="宋体"/>
          <w:b w:val="0"/>
          <w:color w:val="auto"/>
          <w:sz w:val="24"/>
          <w:szCs w:val="24"/>
          <w:highlight w:val="none"/>
        </w:rPr>
      </w:pPr>
      <w:bookmarkStart w:id="491" w:name="_Toc351203618"/>
      <w:bookmarkStart w:id="492" w:name="_Toc296503127"/>
      <w:bookmarkStart w:id="493" w:name="_Toc296346628"/>
      <w:bookmarkStart w:id="494" w:name="_Toc337558833"/>
      <w:r>
        <w:rPr>
          <w:rFonts w:hint="eastAsia" w:ascii="宋体" w:hAnsi="宋体" w:cs="宋体"/>
          <w:b w:val="0"/>
          <w:color w:val="auto"/>
          <w:sz w:val="24"/>
          <w:szCs w:val="24"/>
          <w:highlight w:val="none"/>
        </w:rPr>
        <w:t>18.6 未按约定投保的补救</w:t>
      </w:r>
      <w:bookmarkEnd w:id="491"/>
    </w:p>
    <w:bookmarkEnd w:id="492"/>
    <w:bookmarkEnd w:id="493"/>
    <w:bookmarkEnd w:id="494"/>
    <w:p w14:paraId="3A7CD7D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18.6.1发包人未按合同约定办理保险，或未能使保险持续有效的，则承包人可代为办理，所需费用由发包人承担。发包人未按合同约定办理保险，导致未能得到足额赔偿的，由发包人负责补足。</w:t>
      </w:r>
    </w:p>
    <w:p w14:paraId="6270C53E">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18.6.2承包人未按合同约定办理保险，或未能使保险持续有效的，则发包人可代为办理，所需费用由承包人承担。承包人未按合同约定办理保险，导致未能得到足额赔偿的，由承包人负责补足。</w:t>
      </w:r>
    </w:p>
    <w:p w14:paraId="1B4BC493">
      <w:pPr>
        <w:pStyle w:val="8"/>
        <w:spacing w:before="120" w:after="120" w:line="312" w:lineRule="auto"/>
        <w:ind w:firstLine="480" w:firstLineChars="200"/>
        <w:rPr>
          <w:rFonts w:hint="eastAsia" w:ascii="宋体" w:hAnsi="宋体" w:cs="宋体"/>
          <w:b w:val="0"/>
          <w:color w:val="auto"/>
          <w:sz w:val="24"/>
          <w:szCs w:val="24"/>
          <w:highlight w:val="none"/>
        </w:rPr>
      </w:pPr>
      <w:bookmarkStart w:id="495" w:name="_Toc351203619"/>
      <w:bookmarkStart w:id="496" w:name="_Toc337558834"/>
      <w:r>
        <w:rPr>
          <w:rFonts w:hint="eastAsia" w:ascii="宋体" w:hAnsi="宋体" w:cs="宋体"/>
          <w:b w:val="0"/>
          <w:color w:val="auto"/>
          <w:sz w:val="24"/>
          <w:szCs w:val="24"/>
          <w:highlight w:val="none"/>
        </w:rPr>
        <w:t>18.7 通知义务</w:t>
      </w:r>
      <w:bookmarkEnd w:id="495"/>
    </w:p>
    <w:bookmarkEnd w:id="496"/>
    <w:p w14:paraId="44C10834">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3C6493B3">
      <w:pPr>
        <w:spacing w:line="312"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保险事故发生时，投保人应按照保险合同规定的条件和期限及时向保险人报告。发包人和承包人应当在知道保险事故发生后及时通知对方。</w:t>
      </w:r>
    </w:p>
    <w:p w14:paraId="79830793">
      <w:pPr>
        <w:pStyle w:val="7"/>
        <w:spacing w:before="120" w:after="120" w:line="312" w:lineRule="auto"/>
        <w:rPr>
          <w:rFonts w:hint="eastAsia"/>
          <w:b w:val="0"/>
          <w:color w:val="auto"/>
          <w:sz w:val="24"/>
          <w:szCs w:val="24"/>
          <w:highlight w:val="none"/>
        </w:rPr>
      </w:pPr>
      <w:bookmarkStart w:id="497" w:name="_Toc351203620"/>
      <w:bookmarkStart w:id="498" w:name="_Toc296503140"/>
      <w:bookmarkStart w:id="499" w:name="_Toc337558835"/>
      <w:bookmarkStart w:id="500" w:name="_Toc296346641"/>
      <w:r>
        <w:rPr>
          <w:rFonts w:hint="eastAsia"/>
          <w:b w:val="0"/>
          <w:color w:val="auto"/>
          <w:sz w:val="24"/>
          <w:szCs w:val="24"/>
          <w:highlight w:val="none"/>
        </w:rPr>
        <w:t>19. 索赔</w:t>
      </w:r>
      <w:bookmarkEnd w:id="497"/>
    </w:p>
    <w:bookmarkEnd w:id="498"/>
    <w:bookmarkEnd w:id="499"/>
    <w:bookmarkEnd w:id="500"/>
    <w:p w14:paraId="32C69288">
      <w:pPr>
        <w:pStyle w:val="8"/>
        <w:spacing w:before="120" w:after="120" w:line="312" w:lineRule="auto"/>
        <w:ind w:firstLine="480" w:firstLineChars="200"/>
        <w:rPr>
          <w:rFonts w:hint="eastAsia" w:ascii="宋体" w:hAnsi="宋体" w:cs="宋体"/>
          <w:b w:val="0"/>
          <w:color w:val="auto"/>
          <w:sz w:val="24"/>
          <w:szCs w:val="24"/>
          <w:highlight w:val="none"/>
        </w:rPr>
      </w:pPr>
      <w:bookmarkStart w:id="501" w:name="_Toc351203621"/>
      <w:bookmarkStart w:id="502" w:name="_Toc337558836"/>
      <w:bookmarkStart w:id="503" w:name="_Toc296503141"/>
      <w:bookmarkStart w:id="504" w:name="_Toc296346642"/>
      <w:r>
        <w:rPr>
          <w:rFonts w:hint="eastAsia" w:ascii="宋体" w:hAnsi="宋体" w:cs="宋体"/>
          <w:b w:val="0"/>
          <w:color w:val="auto"/>
          <w:sz w:val="24"/>
          <w:szCs w:val="24"/>
          <w:highlight w:val="none"/>
        </w:rPr>
        <w:t>19.1承包人的索赔</w:t>
      </w:r>
      <w:bookmarkEnd w:id="501"/>
    </w:p>
    <w:bookmarkEnd w:id="502"/>
    <w:bookmarkEnd w:id="503"/>
    <w:bookmarkEnd w:id="504"/>
    <w:p w14:paraId="06F0364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根据合同约定，承包人认为有权得到追加付款和（或）延长工期的，应按以下程序向发包人提出索赔：</w:t>
      </w:r>
    </w:p>
    <w:p w14:paraId="485E6D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998B43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（2）承包人应在发出索赔意向通知书后28天内，向监理人正式递交索赔报告；索赔报告应详细说明索赔理由以及要求追加的付款金额和（或）延长的工期，并附必要的记录和证明材料；</w:t>
      </w:r>
    </w:p>
    <w:p w14:paraId="22462548">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（3）索赔事件具有持续影响的，承包人应按合理时间间隔继续递交延续索赔通知，说明持续影响的实际情况和记录，列出累计的追加付款金额和（或）工期延长天数；</w:t>
      </w:r>
    </w:p>
    <w:p w14:paraId="7810EE5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（4）在索赔事件影响结束后28天内，承包人应向监理人递交最终索赔报告，说明最终要求索赔的追加付款金额和（或）延长的工期，并附必要的记录和证明材料。</w:t>
      </w:r>
    </w:p>
    <w:p w14:paraId="3C940F0B">
      <w:pPr>
        <w:pStyle w:val="8"/>
        <w:spacing w:before="120" w:after="120" w:line="312" w:lineRule="auto"/>
        <w:ind w:firstLine="480" w:firstLineChars="200"/>
        <w:rPr>
          <w:rFonts w:hint="eastAsia" w:ascii="宋体" w:hAnsi="宋体" w:cs="宋体"/>
          <w:b w:val="0"/>
          <w:color w:val="auto"/>
          <w:sz w:val="24"/>
          <w:szCs w:val="24"/>
          <w:highlight w:val="none"/>
        </w:rPr>
      </w:pPr>
      <w:bookmarkStart w:id="505" w:name="_Toc351203622"/>
      <w:bookmarkStart w:id="506" w:name="_Toc296503142"/>
      <w:bookmarkStart w:id="507" w:name="_Toc296346643"/>
      <w:bookmarkStart w:id="508" w:name="_Toc337558837"/>
      <w:r>
        <w:rPr>
          <w:rFonts w:hint="eastAsia" w:ascii="宋体" w:hAnsi="宋体" w:cs="宋体"/>
          <w:b w:val="0"/>
          <w:color w:val="auto"/>
          <w:sz w:val="24"/>
          <w:szCs w:val="24"/>
          <w:highlight w:val="none"/>
        </w:rPr>
        <w:t>19.2 对承包人索赔的处理</w:t>
      </w:r>
      <w:bookmarkEnd w:id="505"/>
    </w:p>
    <w:bookmarkEnd w:id="506"/>
    <w:bookmarkEnd w:id="507"/>
    <w:bookmarkEnd w:id="508"/>
    <w:p w14:paraId="1711DCA9">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对承包人索赔的处理如下：</w:t>
      </w:r>
    </w:p>
    <w:p w14:paraId="234AF3B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（1）监理人应在收到索赔报告后14天内完成审查并报送发包人。监理人对索赔报告存在异议的，有权要求承包人提交全部原始记录副本；</w:t>
      </w:r>
    </w:p>
    <w:p w14:paraId="0D73C544">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（2）发包人应在监理人收到索赔报告或有关索赔的进一步证明材料后的28天内，由监理人向承包人出具经发包人签认的索赔处理结果。发包人逾期答复的，则视为认可承包人的索赔要求；</w:t>
      </w:r>
    </w:p>
    <w:p w14:paraId="2D636DC3">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（3）承包人接受索赔处理结果的，索赔款项在当期进度款中进行支付；承包人不接受索赔处理结果的，按照第20条〔争议解决〕约定处理。</w:t>
      </w:r>
    </w:p>
    <w:p w14:paraId="5A76A42F">
      <w:pPr>
        <w:pStyle w:val="8"/>
        <w:spacing w:before="120" w:after="120" w:line="312" w:lineRule="auto"/>
        <w:ind w:firstLine="480" w:firstLineChars="200"/>
        <w:rPr>
          <w:rFonts w:hint="eastAsia" w:ascii="宋体" w:hAnsi="宋体" w:cs="宋体"/>
          <w:b w:val="0"/>
          <w:color w:val="auto"/>
          <w:sz w:val="24"/>
          <w:szCs w:val="24"/>
          <w:highlight w:val="none"/>
        </w:rPr>
      </w:pPr>
      <w:bookmarkStart w:id="509" w:name="_Toc351203623"/>
      <w:bookmarkStart w:id="510" w:name="_Toc296346644"/>
      <w:bookmarkStart w:id="511" w:name="_Toc296503143"/>
      <w:bookmarkStart w:id="512" w:name="_Toc337558838"/>
      <w:r>
        <w:rPr>
          <w:rFonts w:hint="eastAsia" w:ascii="宋体" w:hAnsi="宋体" w:cs="宋体"/>
          <w:b w:val="0"/>
          <w:color w:val="auto"/>
          <w:sz w:val="24"/>
          <w:szCs w:val="24"/>
          <w:highlight w:val="none"/>
        </w:rPr>
        <w:t>19.3发包人的索赔</w:t>
      </w:r>
      <w:bookmarkEnd w:id="509"/>
    </w:p>
    <w:bookmarkEnd w:id="510"/>
    <w:bookmarkEnd w:id="511"/>
    <w:bookmarkEnd w:id="512"/>
    <w:p w14:paraId="148590D1">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根据合同约定，发包人认为有权得到赔付金额和（或）延长缺陷责任期的，监理人应向承包人发出通知并附有详细的证明。</w:t>
      </w:r>
    </w:p>
    <w:p w14:paraId="6311716C">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F3931B9">
      <w:pPr>
        <w:pStyle w:val="8"/>
        <w:spacing w:before="120" w:after="120" w:line="312" w:lineRule="auto"/>
        <w:ind w:firstLine="480" w:firstLineChars="200"/>
        <w:rPr>
          <w:rFonts w:hint="eastAsia" w:ascii="宋体" w:hAnsi="宋体" w:cs="宋体"/>
          <w:b w:val="0"/>
          <w:color w:val="auto"/>
          <w:sz w:val="24"/>
          <w:szCs w:val="24"/>
          <w:highlight w:val="none"/>
        </w:rPr>
      </w:pPr>
      <w:bookmarkStart w:id="513" w:name="_Toc351203624"/>
      <w:bookmarkStart w:id="514" w:name="_Toc296503144"/>
      <w:bookmarkStart w:id="515" w:name="_Toc296346645"/>
      <w:bookmarkStart w:id="516" w:name="_Toc337558839"/>
      <w:r>
        <w:rPr>
          <w:rFonts w:hint="eastAsia" w:ascii="宋体" w:hAnsi="宋体" w:cs="宋体"/>
          <w:b w:val="0"/>
          <w:color w:val="auto"/>
          <w:sz w:val="24"/>
          <w:szCs w:val="24"/>
          <w:highlight w:val="none"/>
        </w:rPr>
        <w:t>19.4 对发包人索赔的处理</w:t>
      </w:r>
      <w:bookmarkEnd w:id="513"/>
    </w:p>
    <w:bookmarkEnd w:id="514"/>
    <w:bookmarkEnd w:id="515"/>
    <w:bookmarkEnd w:id="516"/>
    <w:p w14:paraId="403558DA">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对发包人索赔的处理如下：</w:t>
      </w:r>
    </w:p>
    <w:p w14:paraId="599E8A72">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（1）承包人收到发包人提交的索赔报告后，应及时审查索赔报告的内容、查验发包人证明材料；</w:t>
      </w:r>
    </w:p>
    <w:p w14:paraId="32321CCB">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（2）承包人应在收到索赔报告或有关索赔的进一步证明材料后28天内，将索赔处理结果答复发包人。如果承包人未在上述期限内作出答复的，则视为对发包人索赔要求的认可；</w:t>
      </w:r>
    </w:p>
    <w:p w14:paraId="4787685E">
      <w:pPr>
        <w:autoSpaceDE w:val="0"/>
        <w:autoSpaceDN w:val="0"/>
        <w:adjustRightInd w:val="0"/>
        <w:spacing w:line="312"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（3）承包人接受索赔处理结果的，发包人可从应支付给承包人的合同价款中扣除赔付的金额或延长缺陷责任期；发包人不接受索赔处理结果的，按第20条〔争议解决〕约定处理。</w:t>
      </w:r>
    </w:p>
    <w:p w14:paraId="30BBC913">
      <w:pPr>
        <w:pStyle w:val="8"/>
        <w:spacing w:before="120" w:after="120" w:line="312" w:lineRule="auto"/>
        <w:ind w:firstLine="480" w:firstLineChars="200"/>
        <w:rPr>
          <w:rFonts w:hint="eastAsia" w:ascii="宋体" w:hAnsi="宋体" w:cs="宋体"/>
          <w:b w:val="0"/>
          <w:color w:val="auto"/>
          <w:sz w:val="24"/>
          <w:szCs w:val="24"/>
          <w:highlight w:val="none"/>
        </w:rPr>
      </w:pPr>
      <w:bookmarkStart w:id="517" w:name="_Toc351203625"/>
      <w:r>
        <w:rPr>
          <w:rFonts w:hint="eastAsia" w:ascii="宋体" w:hAnsi="宋体" w:cs="宋体"/>
          <w:b w:val="0"/>
          <w:color w:val="auto"/>
          <w:sz w:val="24"/>
          <w:szCs w:val="24"/>
          <w:highlight w:val="none"/>
        </w:rPr>
        <w:t>19.5 提出索赔的期限</w:t>
      </w:r>
      <w:bookmarkEnd w:id="517"/>
    </w:p>
    <w:p w14:paraId="2F1D9919">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（1）承包人按第14.2款〔竣工结算审核〕约定接收竣工付款证书后，应被视为已无权再提出在工程接收证书颁发前所发生的任何索赔。</w:t>
      </w:r>
    </w:p>
    <w:p w14:paraId="1D871A98">
      <w:pPr>
        <w:spacing w:line="312"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（2）承包人按第14.4款〔最终结清〕提交的最终结清申请单中，只限于提出工程接收证书颁发后发生的索赔。提出索赔的期限自接受最终结清证书时终止。</w:t>
      </w:r>
    </w:p>
    <w:p w14:paraId="6313E9C5">
      <w:pPr>
        <w:pStyle w:val="7"/>
        <w:spacing w:before="120" w:after="120" w:line="288" w:lineRule="auto"/>
        <w:rPr>
          <w:rFonts w:hint="eastAsia"/>
          <w:b w:val="0"/>
          <w:color w:val="auto"/>
          <w:sz w:val="24"/>
          <w:szCs w:val="24"/>
          <w:highlight w:val="none"/>
        </w:rPr>
      </w:pPr>
      <w:bookmarkStart w:id="518" w:name="_Toc351203626"/>
      <w:r>
        <w:rPr>
          <w:rFonts w:hint="eastAsia"/>
          <w:b w:val="0"/>
          <w:color w:val="auto"/>
          <w:sz w:val="24"/>
          <w:szCs w:val="24"/>
          <w:highlight w:val="none"/>
        </w:rPr>
        <w:t>20</w:t>
      </w:r>
      <w:bookmarkStart w:id="519" w:name="_Toc337558840"/>
      <w:bookmarkStart w:id="520" w:name="_Toc296346647"/>
      <w:bookmarkStart w:id="521" w:name="_Toc296503146"/>
      <w:r>
        <w:rPr>
          <w:rFonts w:hint="eastAsia"/>
          <w:b w:val="0"/>
          <w:color w:val="auto"/>
          <w:sz w:val="24"/>
          <w:szCs w:val="24"/>
          <w:highlight w:val="none"/>
        </w:rPr>
        <w:t>. 争议解决</w:t>
      </w:r>
      <w:bookmarkEnd w:id="518"/>
    </w:p>
    <w:bookmarkEnd w:id="519"/>
    <w:bookmarkEnd w:id="520"/>
    <w:bookmarkEnd w:id="521"/>
    <w:p w14:paraId="0DFC1F62">
      <w:pPr>
        <w:pStyle w:val="8"/>
        <w:spacing w:before="120" w:after="120" w:line="288" w:lineRule="auto"/>
        <w:ind w:firstLine="480" w:firstLineChars="200"/>
        <w:rPr>
          <w:rFonts w:hint="eastAsia" w:ascii="宋体" w:hAnsi="宋体" w:cs="宋体"/>
          <w:b w:val="0"/>
          <w:color w:val="auto"/>
          <w:sz w:val="24"/>
          <w:szCs w:val="24"/>
          <w:highlight w:val="none"/>
        </w:rPr>
      </w:pPr>
      <w:bookmarkStart w:id="522" w:name="_Toc351203627"/>
      <w:bookmarkStart w:id="523" w:name="_Toc296503147"/>
      <w:bookmarkStart w:id="524" w:name="_Toc337558841"/>
      <w:bookmarkStart w:id="525" w:name="_Toc296346648"/>
      <w:r>
        <w:rPr>
          <w:rFonts w:hint="eastAsia" w:ascii="宋体" w:hAnsi="宋体" w:cs="宋体"/>
          <w:b w:val="0"/>
          <w:color w:val="auto"/>
          <w:sz w:val="24"/>
          <w:szCs w:val="24"/>
          <w:highlight w:val="none"/>
        </w:rPr>
        <w:t>20.1和解</w:t>
      </w:r>
      <w:bookmarkEnd w:id="522"/>
    </w:p>
    <w:bookmarkEnd w:id="523"/>
    <w:bookmarkEnd w:id="524"/>
    <w:bookmarkEnd w:id="525"/>
    <w:p w14:paraId="1C4CACE6">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合同当事人可以就争议自行和解，自行和解达成协议的经双方签字并盖章后作为合同补充文件，双方均应遵照执行。</w:t>
      </w:r>
    </w:p>
    <w:p w14:paraId="4491B32B">
      <w:pPr>
        <w:pStyle w:val="8"/>
        <w:spacing w:before="120" w:after="120" w:line="288" w:lineRule="auto"/>
        <w:ind w:firstLine="480" w:firstLineChars="200"/>
        <w:rPr>
          <w:rFonts w:hint="eastAsia" w:ascii="宋体" w:hAnsi="宋体" w:cs="宋体"/>
          <w:b w:val="0"/>
          <w:color w:val="auto"/>
          <w:sz w:val="24"/>
          <w:szCs w:val="24"/>
          <w:highlight w:val="none"/>
        </w:rPr>
      </w:pPr>
      <w:bookmarkStart w:id="526" w:name="_Toc351203628"/>
      <w:r>
        <w:rPr>
          <w:rFonts w:hint="eastAsia" w:ascii="宋体" w:hAnsi="宋体" w:cs="宋体"/>
          <w:b w:val="0"/>
          <w:color w:val="auto"/>
          <w:sz w:val="24"/>
          <w:szCs w:val="24"/>
          <w:highlight w:val="none"/>
        </w:rPr>
        <w:t>20</w:t>
      </w:r>
      <w:bookmarkStart w:id="527" w:name="_Toc296503148"/>
      <w:bookmarkStart w:id="528" w:name="_Toc296346649"/>
      <w:bookmarkStart w:id="529" w:name="_Toc337558842"/>
      <w:r>
        <w:rPr>
          <w:rFonts w:hint="eastAsia" w:ascii="宋体" w:hAnsi="宋体" w:cs="宋体"/>
          <w:b w:val="0"/>
          <w:color w:val="auto"/>
          <w:sz w:val="24"/>
          <w:szCs w:val="24"/>
          <w:highlight w:val="none"/>
        </w:rPr>
        <w:t>.2调解</w:t>
      </w:r>
      <w:bookmarkEnd w:id="526"/>
    </w:p>
    <w:bookmarkEnd w:id="527"/>
    <w:bookmarkEnd w:id="528"/>
    <w:bookmarkEnd w:id="529"/>
    <w:p w14:paraId="24935AA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合同当事人可以就争议请求建设行政主管部门、行业协会或其他第三方进行调解，调解达成协议的，经双方签字并盖章后作为合同补充文件，双方均应遵照执行。</w:t>
      </w:r>
    </w:p>
    <w:p w14:paraId="44089C71">
      <w:pPr>
        <w:pStyle w:val="8"/>
        <w:spacing w:before="120" w:after="120" w:line="288" w:lineRule="auto"/>
        <w:ind w:firstLine="480" w:firstLineChars="200"/>
        <w:rPr>
          <w:rFonts w:hint="eastAsia" w:ascii="宋体" w:hAnsi="宋体" w:cs="宋体"/>
          <w:b w:val="0"/>
          <w:color w:val="auto"/>
          <w:sz w:val="24"/>
          <w:szCs w:val="24"/>
          <w:highlight w:val="none"/>
        </w:rPr>
      </w:pPr>
      <w:bookmarkStart w:id="530" w:name="_Toc351203629"/>
      <w:bookmarkStart w:id="531" w:name="_Toc296346650"/>
      <w:bookmarkStart w:id="532" w:name="_Toc337558843"/>
      <w:bookmarkStart w:id="533" w:name="_Toc296503149"/>
      <w:r>
        <w:rPr>
          <w:rFonts w:hint="eastAsia" w:ascii="宋体" w:hAnsi="宋体" w:cs="宋体"/>
          <w:b w:val="0"/>
          <w:color w:val="auto"/>
          <w:sz w:val="24"/>
          <w:szCs w:val="24"/>
          <w:highlight w:val="none"/>
        </w:rPr>
        <w:t>20.3争议评审</w:t>
      </w:r>
      <w:bookmarkEnd w:id="530"/>
    </w:p>
    <w:bookmarkEnd w:id="531"/>
    <w:bookmarkEnd w:id="532"/>
    <w:bookmarkEnd w:id="533"/>
    <w:p w14:paraId="19667F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合同当事人在专用合同条款中约定采取争议评审方式解决争议以及评审规则，并按下列约定执行： </w:t>
      </w:r>
    </w:p>
    <w:p w14:paraId="0C3A2E0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20.3.1 争议评审小组的确定</w:t>
      </w:r>
    </w:p>
    <w:p w14:paraId="2F03CE41">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合同当事人可以共同选择一名或三名争议评审员，组成争议评审小组。除专用合同条款另有约定外，合同当事人应当自合同签订后28天内，或者争议发生后14天内，选定争议评审员。</w:t>
      </w:r>
    </w:p>
    <w:p w14:paraId="400C710D">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3859C69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除专用合同条款另有约定外，评审员报酬由发包人和承包人各承担一半。</w:t>
      </w:r>
    </w:p>
    <w:p w14:paraId="6724FBB4">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20.3.2 争议评审小组的决定</w:t>
      </w:r>
    </w:p>
    <w:p w14:paraId="10D9089A">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712BB81C">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20.3.3 争议评审小组决定的效力</w:t>
      </w:r>
    </w:p>
    <w:p w14:paraId="354304E8">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争议评审小组作出的书面决定经合同当事人签字确认后，对双方具有约束力，双方应遵照执行。</w:t>
      </w:r>
    </w:p>
    <w:p w14:paraId="6720002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任何一方当事人不接受争议评审小组决定或不履行争议评审小组决定的，双方可选择采用其他争议解决方式。</w:t>
      </w:r>
    </w:p>
    <w:p w14:paraId="51B21FF9">
      <w:pPr>
        <w:pStyle w:val="8"/>
        <w:spacing w:before="120" w:after="120" w:line="288" w:lineRule="auto"/>
        <w:ind w:firstLine="480" w:firstLineChars="200"/>
        <w:rPr>
          <w:rFonts w:hint="eastAsia" w:ascii="宋体" w:hAnsi="宋体" w:cs="宋体"/>
          <w:b w:val="0"/>
          <w:color w:val="auto"/>
          <w:sz w:val="24"/>
          <w:szCs w:val="24"/>
          <w:highlight w:val="none"/>
        </w:rPr>
      </w:pPr>
      <w:bookmarkStart w:id="534" w:name="_Toc351203630"/>
      <w:bookmarkStart w:id="535" w:name="_Toc296503150"/>
      <w:bookmarkStart w:id="536" w:name="_Toc337558844"/>
      <w:bookmarkStart w:id="537" w:name="_Toc296346651"/>
      <w:r>
        <w:rPr>
          <w:rFonts w:hint="eastAsia" w:ascii="宋体" w:hAnsi="宋体" w:cs="宋体"/>
          <w:b w:val="0"/>
          <w:color w:val="auto"/>
          <w:sz w:val="24"/>
          <w:szCs w:val="24"/>
          <w:highlight w:val="none"/>
        </w:rPr>
        <w:t>20.4仲裁或诉讼</w:t>
      </w:r>
      <w:bookmarkEnd w:id="534"/>
    </w:p>
    <w:bookmarkEnd w:id="535"/>
    <w:bookmarkEnd w:id="536"/>
    <w:bookmarkEnd w:id="537"/>
    <w:p w14:paraId="39816475">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因合同及合同有关事项产生的争议，合同当事人可以在专用合同条款中约定以下一种方式解决争议：</w:t>
      </w:r>
    </w:p>
    <w:p w14:paraId="33F79D8B">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（1）向约定的仲裁委员会申请仲裁；</w:t>
      </w:r>
    </w:p>
    <w:p w14:paraId="3D63AA73">
      <w:pPr>
        <w:autoSpaceDE w:val="0"/>
        <w:autoSpaceDN w:val="0"/>
        <w:adjustRightInd w:val="0"/>
        <w:spacing w:line="288"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（2）向有管辖权的人民法院起诉。</w:t>
      </w:r>
    </w:p>
    <w:p w14:paraId="338EC629">
      <w:pPr>
        <w:pStyle w:val="8"/>
        <w:spacing w:before="120" w:after="120" w:line="288" w:lineRule="auto"/>
        <w:ind w:firstLine="480" w:firstLineChars="200"/>
        <w:rPr>
          <w:rFonts w:hint="eastAsia" w:ascii="宋体" w:hAnsi="宋体" w:cs="宋体"/>
          <w:b w:val="0"/>
          <w:color w:val="auto"/>
          <w:sz w:val="24"/>
          <w:szCs w:val="24"/>
          <w:highlight w:val="none"/>
        </w:rPr>
      </w:pPr>
      <w:bookmarkStart w:id="538" w:name="_Toc351203631"/>
      <w:bookmarkStart w:id="539" w:name="_Toc337558845"/>
      <w:bookmarkStart w:id="540" w:name="_Toc296346653"/>
      <w:bookmarkStart w:id="541" w:name="_Toc296503152"/>
      <w:r>
        <w:rPr>
          <w:rFonts w:hint="eastAsia" w:ascii="宋体" w:hAnsi="宋体" w:cs="宋体"/>
          <w:b w:val="0"/>
          <w:color w:val="auto"/>
          <w:sz w:val="24"/>
          <w:szCs w:val="24"/>
          <w:highlight w:val="none"/>
        </w:rPr>
        <w:t>20.5争议解决条款效力</w:t>
      </w:r>
      <w:bookmarkEnd w:id="538"/>
    </w:p>
    <w:bookmarkEnd w:id="539"/>
    <w:bookmarkEnd w:id="540"/>
    <w:bookmarkEnd w:id="541"/>
    <w:p w14:paraId="0754D835">
      <w:pPr>
        <w:autoSpaceDE w:val="0"/>
        <w:autoSpaceDN w:val="0"/>
        <w:adjustRightInd w:val="0"/>
        <w:spacing w:line="288" w:lineRule="auto"/>
        <w:ind w:firstLine="480" w:firstLineChars="200"/>
        <w:jc w:val="left"/>
        <w:rPr>
          <w:color w:val="auto"/>
          <w:highlight w:val="none"/>
        </w:rPr>
      </w:pPr>
      <w:r>
        <w:rPr>
          <w:rFonts w:hint="eastAsia" w:ascii="宋体" w:hAnsi="宋体" w:cs="宋体"/>
          <w:color w:val="auto"/>
          <w:kern w:val="0"/>
          <w:sz w:val="24"/>
          <w:highlight w:val="none"/>
        </w:rPr>
        <w:t xml:space="preserve">合同有关争议解决的条款独立存在，合同的变更、解除、终止、无效或者被撤销均不影响其效力。 </w:t>
      </w:r>
    </w:p>
    <w:p w14:paraId="5CF71D67">
      <w:pP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br w:type="page"/>
      </w:r>
    </w:p>
    <w:p w14:paraId="0F2FE272">
      <w:pPr>
        <w:pStyle w:val="4"/>
        <w:keepNext w:val="0"/>
        <w:keepLines w:val="0"/>
        <w:spacing w:line="312" w:lineRule="auto"/>
        <w:jc w:val="center"/>
        <w:rPr>
          <w:rFonts w:hint="eastAsia" w:ascii="宋体" w:hAnsi="宋体" w:cs="宋体"/>
          <w:color w:val="auto"/>
          <w:spacing w:val="20"/>
          <w:sz w:val="30"/>
          <w:szCs w:val="30"/>
          <w:highlight w:val="none"/>
        </w:rPr>
      </w:pPr>
      <w:r>
        <w:rPr>
          <w:rFonts w:hint="eastAsia" w:ascii="宋体" w:hAnsi="宋体" w:cs="宋体"/>
          <w:color w:val="auto"/>
          <w:spacing w:val="20"/>
          <w:sz w:val="30"/>
          <w:szCs w:val="30"/>
          <w:highlight w:val="none"/>
        </w:rPr>
        <w:t>第三部分 专用合同条款</w:t>
      </w:r>
    </w:p>
    <w:p w14:paraId="3B0EE3B7">
      <w:pPr>
        <w:rPr>
          <w:color w:val="auto"/>
          <w:highlight w:val="none"/>
        </w:rPr>
      </w:pPr>
    </w:p>
    <w:p w14:paraId="4542B514">
      <w:pPr>
        <w:pStyle w:val="5"/>
        <w:adjustRightInd w:val="0"/>
        <w:snapToGrid w:val="0"/>
        <w:spacing w:line="356" w:lineRule="auto"/>
        <w:ind w:firstLine="562" w:firstLineChars="200"/>
        <w:rPr>
          <w:rFonts w:hint="eastAsia" w:ascii="宋体" w:hAnsi="宋体" w:eastAsia="宋体" w:cs="宋体"/>
          <w:color w:val="auto"/>
          <w:sz w:val="28"/>
          <w:szCs w:val="44"/>
          <w:highlight w:val="none"/>
        </w:rPr>
      </w:pPr>
      <w:bookmarkStart w:id="542" w:name="_Toc461982826"/>
      <w:bookmarkStart w:id="543" w:name="_Toc14791"/>
      <w:bookmarkStart w:id="544" w:name="_Toc14784"/>
      <w:bookmarkStart w:id="545" w:name="_Toc389065258"/>
      <w:bookmarkStart w:id="546" w:name="_Toc351203633"/>
      <w:bookmarkStart w:id="547" w:name="_Toc373227692"/>
      <w:bookmarkStart w:id="548" w:name="_Toc373478339"/>
      <w:bookmarkStart w:id="549" w:name="_Toc439779031"/>
      <w:bookmarkStart w:id="550" w:name="_Toc292559866"/>
      <w:bookmarkStart w:id="551" w:name="_Toc297120456"/>
      <w:bookmarkStart w:id="552" w:name="_Toc296347155"/>
      <w:bookmarkStart w:id="553" w:name="_Toc296944495"/>
      <w:bookmarkStart w:id="554" w:name="_Toc296890984"/>
      <w:bookmarkStart w:id="555" w:name="_Toc296891196"/>
      <w:bookmarkStart w:id="556" w:name="_Toc296503156"/>
      <w:bookmarkStart w:id="557" w:name="_Toc296346657"/>
      <w:bookmarkStart w:id="558" w:name="_Toc292559361"/>
      <w:bookmarkStart w:id="559" w:name="_Toc297048342"/>
      <w:r>
        <w:rPr>
          <w:rFonts w:hint="eastAsia" w:ascii="宋体" w:hAnsi="宋体" w:eastAsia="宋体" w:cs="宋体"/>
          <w:color w:val="auto"/>
          <w:sz w:val="28"/>
          <w:szCs w:val="44"/>
          <w:highlight w:val="none"/>
        </w:rPr>
        <w:t>一、一般约定</w:t>
      </w:r>
      <w:bookmarkEnd w:id="542"/>
      <w:bookmarkEnd w:id="543"/>
      <w:bookmarkEnd w:id="544"/>
      <w:bookmarkEnd w:id="545"/>
      <w:bookmarkEnd w:id="546"/>
      <w:bookmarkEnd w:id="547"/>
      <w:bookmarkEnd w:id="548"/>
      <w:bookmarkEnd w:id="549"/>
    </w:p>
    <w:bookmarkEnd w:id="550"/>
    <w:bookmarkEnd w:id="551"/>
    <w:bookmarkEnd w:id="552"/>
    <w:bookmarkEnd w:id="553"/>
    <w:bookmarkEnd w:id="554"/>
    <w:bookmarkEnd w:id="555"/>
    <w:bookmarkEnd w:id="556"/>
    <w:bookmarkEnd w:id="557"/>
    <w:bookmarkEnd w:id="558"/>
    <w:bookmarkEnd w:id="559"/>
    <w:p w14:paraId="2B2992B0">
      <w:pPr>
        <w:pStyle w:val="6"/>
        <w:adjustRightInd w:val="0"/>
        <w:snapToGrid w:val="0"/>
        <w:spacing w:before="0" w:after="0" w:line="356" w:lineRule="auto"/>
        <w:ind w:firstLine="482" w:firstLineChars="200"/>
        <w:rPr>
          <w:rFonts w:hint="eastAsia" w:cs="宋体"/>
          <w:color w:val="auto"/>
          <w:szCs w:val="40"/>
          <w:highlight w:val="none"/>
        </w:rPr>
      </w:pPr>
      <w:bookmarkStart w:id="560" w:name="_Toc373478340"/>
      <w:bookmarkStart w:id="561" w:name="_Toc373227693"/>
      <w:bookmarkStart w:id="562" w:name="_Toc439779032"/>
      <w:bookmarkStart w:id="563" w:name="_Toc389065259"/>
      <w:bookmarkStart w:id="564" w:name="_Toc16308"/>
      <w:bookmarkStart w:id="565" w:name="_Toc20097"/>
      <w:bookmarkStart w:id="566" w:name="_Toc461982827"/>
      <w:r>
        <w:rPr>
          <w:rFonts w:hint="eastAsia" w:cs="宋体"/>
          <w:color w:val="auto"/>
          <w:szCs w:val="40"/>
          <w:highlight w:val="none"/>
        </w:rPr>
        <w:t>1.1 词语定义</w:t>
      </w:r>
      <w:bookmarkEnd w:id="560"/>
      <w:bookmarkEnd w:id="561"/>
      <w:bookmarkEnd w:id="562"/>
      <w:bookmarkEnd w:id="563"/>
      <w:bookmarkEnd w:id="564"/>
      <w:bookmarkEnd w:id="565"/>
      <w:bookmarkEnd w:id="566"/>
    </w:p>
    <w:p w14:paraId="74ED3C48">
      <w:pPr>
        <w:adjustRightInd w:val="0"/>
        <w:snapToGrid w:val="0"/>
        <w:spacing w:line="356" w:lineRule="auto"/>
        <w:ind w:firstLine="480" w:firstLineChars="200"/>
        <w:outlineLvl w:val="0"/>
        <w:rPr>
          <w:rFonts w:hint="eastAsia" w:ascii="宋体" w:hAnsi="宋体" w:cs="宋体"/>
          <w:color w:val="auto"/>
          <w:kern w:val="0"/>
          <w:sz w:val="24"/>
          <w:highlight w:val="none"/>
        </w:rPr>
      </w:pPr>
      <w:r>
        <w:rPr>
          <w:rFonts w:hint="eastAsia" w:ascii="宋体" w:hAnsi="宋体" w:cs="宋体"/>
          <w:color w:val="auto"/>
          <w:kern w:val="0"/>
          <w:sz w:val="24"/>
          <w:highlight w:val="none"/>
        </w:rPr>
        <w:t>1.1.1 合同</w:t>
      </w:r>
    </w:p>
    <w:p w14:paraId="4C2E87E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1.1.1.10 其他合同文件包括：</w:t>
      </w:r>
      <w:r>
        <w:rPr>
          <w:rFonts w:hint="eastAsia" w:ascii="宋体" w:hAnsi="宋体" w:cs="宋体"/>
          <w:color w:val="auto"/>
          <w:sz w:val="24"/>
          <w:highlight w:val="none"/>
          <w:u w:val="single"/>
        </w:rPr>
        <w:t>投标（响应）文件及其附件，招标（磋商）文件（含补充通知和答疑），履约保证金缴纳证明</w:t>
      </w:r>
      <w:r>
        <w:rPr>
          <w:rFonts w:hint="eastAsia" w:ascii="宋体" w:hAnsi="宋体" w:cs="宋体"/>
          <w:color w:val="auto"/>
          <w:sz w:val="24"/>
          <w:highlight w:val="none"/>
          <w:u w:val="single"/>
          <w:lang w:eastAsia="zh-CN"/>
        </w:rPr>
        <w:t>（如有）</w:t>
      </w:r>
      <w:r>
        <w:rPr>
          <w:rFonts w:hint="eastAsia" w:ascii="宋体" w:hAnsi="宋体" w:cs="宋体"/>
          <w:color w:val="auto"/>
          <w:sz w:val="24"/>
          <w:highlight w:val="none"/>
          <w:u w:val="single"/>
        </w:rPr>
        <w:t xml:space="preserve">，履约过程中双方法定代表人（或双方工地代表人）书面确认的对合同内容有实质性影响的会议纪要、签证、设计变更等资料 </w:t>
      </w:r>
      <w:r>
        <w:rPr>
          <w:rFonts w:hint="eastAsia" w:ascii="宋体" w:hAnsi="宋体" w:cs="宋体"/>
          <w:color w:val="auto"/>
          <w:sz w:val="24"/>
          <w:highlight w:val="none"/>
        </w:rPr>
        <w:t>。</w:t>
      </w:r>
    </w:p>
    <w:p w14:paraId="30205234">
      <w:pPr>
        <w:adjustRightInd w:val="0"/>
        <w:snapToGrid w:val="0"/>
        <w:spacing w:line="356" w:lineRule="auto"/>
        <w:ind w:firstLine="480" w:firstLineChars="200"/>
        <w:rPr>
          <w:rFonts w:hint="eastAsia" w:ascii="宋体" w:hAnsi="宋体" w:cs="宋体"/>
          <w:color w:val="auto"/>
          <w:sz w:val="24"/>
          <w:szCs w:val="32"/>
          <w:highlight w:val="none"/>
        </w:rPr>
      </w:pPr>
      <w:bookmarkStart w:id="567" w:name="_Toc373478343"/>
      <w:bookmarkStart w:id="568" w:name="_Toc25240"/>
      <w:bookmarkStart w:id="569" w:name="_Toc461982830"/>
      <w:bookmarkStart w:id="570" w:name="_Toc26377"/>
      <w:bookmarkStart w:id="571" w:name="_Toc373227696"/>
      <w:bookmarkStart w:id="572" w:name="_Toc389065262"/>
      <w:bookmarkStart w:id="573" w:name="_Toc439779035"/>
      <w:r>
        <w:rPr>
          <w:rFonts w:hint="eastAsia" w:ascii="宋体" w:hAnsi="宋体" w:cs="宋体"/>
          <w:color w:val="auto"/>
          <w:sz w:val="24"/>
          <w:szCs w:val="32"/>
          <w:highlight w:val="none"/>
        </w:rPr>
        <w:t>1.2本合同除使用汉语外，还使用</w:t>
      </w:r>
      <w:r>
        <w:rPr>
          <w:rFonts w:hint="eastAsia" w:ascii="宋体" w:hAnsi="宋体" w:cs="宋体"/>
          <w:color w:val="auto"/>
          <w:sz w:val="24"/>
          <w:szCs w:val="32"/>
          <w:highlight w:val="none"/>
          <w:u w:val="single"/>
        </w:rPr>
        <w:t xml:space="preserve"> 无其他 </w:t>
      </w:r>
      <w:r>
        <w:rPr>
          <w:rFonts w:hint="eastAsia" w:ascii="宋体" w:hAnsi="宋体" w:cs="宋体"/>
          <w:color w:val="auto"/>
          <w:sz w:val="24"/>
          <w:szCs w:val="32"/>
          <w:highlight w:val="none"/>
        </w:rPr>
        <w:t>语言文字</w:t>
      </w:r>
    </w:p>
    <w:p w14:paraId="62FE71F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1.3法律和法规</w:t>
      </w:r>
    </w:p>
    <w:p w14:paraId="5666680B">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需要明示的法律、行政法规：</w:t>
      </w:r>
      <w:r>
        <w:rPr>
          <w:rFonts w:hint="eastAsia" w:ascii="宋体" w:hAnsi="宋体" w:cs="宋体"/>
          <w:color w:val="auto"/>
          <w:sz w:val="24"/>
          <w:szCs w:val="32"/>
          <w:highlight w:val="none"/>
          <w:u w:val="single"/>
        </w:rPr>
        <w:t xml:space="preserve"> 按合同签订时国家现行法律、行政法规及工程所在地政府的有关法规和规章。</w:t>
      </w:r>
    </w:p>
    <w:p w14:paraId="31B255F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1.4发包人提供标准、规范时间：</w:t>
      </w:r>
      <w:r>
        <w:rPr>
          <w:rFonts w:hint="eastAsia" w:ascii="宋体" w:hAnsi="宋体" w:cs="宋体"/>
          <w:color w:val="auto"/>
          <w:sz w:val="24"/>
          <w:szCs w:val="32"/>
          <w:highlight w:val="none"/>
          <w:u w:val="single"/>
        </w:rPr>
        <w:t xml:space="preserve"> 无 。</w:t>
      </w:r>
    </w:p>
    <w:p w14:paraId="2199F5F9">
      <w:pPr>
        <w:pStyle w:val="6"/>
        <w:adjustRightInd w:val="0"/>
        <w:snapToGrid w:val="0"/>
        <w:spacing w:before="0" w:after="0" w:line="356" w:lineRule="auto"/>
        <w:ind w:firstLine="480" w:firstLineChars="200"/>
        <w:rPr>
          <w:rFonts w:hint="eastAsia" w:cs="宋体"/>
          <w:b w:val="0"/>
          <w:bCs w:val="0"/>
          <w:color w:val="auto"/>
          <w:szCs w:val="40"/>
          <w:highlight w:val="none"/>
        </w:rPr>
      </w:pPr>
      <w:r>
        <w:rPr>
          <w:rFonts w:hint="eastAsia" w:cs="宋体"/>
          <w:b w:val="0"/>
          <w:bCs w:val="0"/>
          <w:color w:val="auto"/>
          <w:highlight w:val="none"/>
        </w:rPr>
        <w:t>国内没有相应的标准、规范时的约定：</w:t>
      </w:r>
      <w:r>
        <w:rPr>
          <w:rFonts w:hint="eastAsia" w:cs="宋体"/>
          <w:b w:val="0"/>
          <w:bCs w:val="0"/>
          <w:color w:val="auto"/>
          <w:highlight w:val="none"/>
          <w:u w:val="single"/>
        </w:rPr>
        <w:t xml:space="preserve"> 无。</w:t>
      </w:r>
    </w:p>
    <w:p w14:paraId="2A7E1F3C">
      <w:pPr>
        <w:pStyle w:val="6"/>
        <w:adjustRightInd w:val="0"/>
        <w:snapToGrid w:val="0"/>
        <w:spacing w:before="0" w:after="0" w:line="356" w:lineRule="auto"/>
        <w:ind w:firstLine="482" w:firstLineChars="200"/>
        <w:rPr>
          <w:rFonts w:hint="eastAsia" w:cs="宋体"/>
          <w:color w:val="auto"/>
          <w:szCs w:val="40"/>
          <w:highlight w:val="none"/>
        </w:rPr>
      </w:pPr>
      <w:r>
        <w:rPr>
          <w:rFonts w:hint="eastAsia" w:cs="宋体"/>
          <w:color w:val="auto"/>
          <w:szCs w:val="40"/>
          <w:highlight w:val="none"/>
        </w:rPr>
        <w:t>1.5合同文件的优先顺序</w:t>
      </w:r>
      <w:bookmarkEnd w:id="567"/>
      <w:bookmarkEnd w:id="568"/>
      <w:bookmarkEnd w:id="569"/>
      <w:bookmarkEnd w:id="570"/>
      <w:bookmarkEnd w:id="571"/>
      <w:bookmarkEnd w:id="572"/>
      <w:bookmarkEnd w:id="573"/>
    </w:p>
    <w:p w14:paraId="4381091A">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合同文件组成及优先顺序为：</w:t>
      </w:r>
    </w:p>
    <w:p w14:paraId="48470F26">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（1）中标（成交）通知书；</w:t>
      </w:r>
    </w:p>
    <w:p w14:paraId="691D0370">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（2）投标（磋商）函及其附录；</w:t>
      </w:r>
    </w:p>
    <w:p w14:paraId="1919C957">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（3）专用合同条款及其附件；</w:t>
      </w:r>
    </w:p>
    <w:p w14:paraId="0D4DC66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（4）通用合同条款；</w:t>
      </w:r>
    </w:p>
    <w:p w14:paraId="7BC229CC">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w:t>
      </w:r>
      <w:r>
        <w:rPr>
          <w:rFonts w:hint="eastAsia" w:ascii="宋体" w:hAnsi="宋体" w:cs="宋体"/>
          <w:color w:val="auto"/>
          <w:kern w:val="0"/>
          <w:sz w:val="24"/>
          <w:highlight w:val="none"/>
          <w:u w:val="single"/>
        </w:rPr>
        <w:t xml:space="preserve"> 技术标准和要求</w:t>
      </w:r>
      <w:r>
        <w:rPr>
          <w:rFonts w:hint="eastAsia" w:ascii="宋体" w:hAnsi="宋体" w:cs="宋体"/>
          <w:color w:val="auto"/>
          <w:kern w:val="0"/>
          <w:sz w:val="24"/>
          <w:highlight w:val="none"/>
        </w:rPr>
        <w:t>；</w:t>
      </w:r>
    </w:p>
    <w:p w14:paraId="62CA6E05">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w:t>
      </w:r>
      <w:r>
        <w:rPr>
          <w:rFonts w:hint="eastAsia" w:ascii="宋体" w:hAnsi="宋体" w:cs="宋体"/>
          <w:color w:val="auto"/>
          <w:kern w:val="0"/>
          <w:sz w:val="24"/>
          <w:highlight w:val="none"/>
          <w:u w:val="single"/>
        </w:rPr>
        <w:t xml:space="preserve"> 施工图纸</w:t>
      </w:r>
      <w:r>
        <w:rPr>
          <w:rFonts w:hint="eastAsia" w:ascii="宋体" w:hAnsi="宋体" w:cs="宋体"/>
          <w:color w:val="auto"/>
          <w:kern w:val="0"/>
          <w:sz w:val="24"/>
          <w:highlight w:val="none"/>
        </w:rPr>
        <w:t>；</w:t>
      </w:r>
    </w:p>
    <w:p w14:paraId="0AEB99D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（7）</w:t>
      </w:r>
      <w:r>
        <w:rPr>
          <w:rFonts w:hint="eastAsia" w:ascii="宋体" w:hAnsi="宋体" w:cs="宋体"/>
          <w:color w:val="auto"/>
          <w:kern w:val="0"/>
          <w:sz w:val="24"/>
          <w:highlight w:val="none"/>
          <w:u w:val="single"/>
        </w:rPr>
        <w:t xml:space="preserve"> 已标价的工程量清单[投标（响应）文件]</w:t>
      </w:r>
      <w:r>
        <w:rPr>
          <w:rFonts w:hint="eastAsia" w:ascii="宋体" w:hAnsi="宋体" w:cs="宋体"/>
          <w:color w:val="auto"/>
          <w:kern w:val="0"/>
          <w:sz w:val="24"/>
          <w:highlight w:val="none"/>
        </w:rPr>
        <w:t>；</w:t>
      </w:r>
    </w:p>
    <w:p w14:paraId="0B79E01E">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（8）</w:t>
      </w:r>
      <w:r>
        <w:rPr>
          <w:rFonts w:hint="eastAsia" w:ascii="宋体" w:hAnsi="宋体" w:cs="宋体"/>
          <w:color w:val="auto"/>
          <w:kern w:val="0"/>
          <w:sz w:val="24"/>
          <w:highlight w:val="none"/>
          <w:u w:val="single"/>
        </w:rPr>
        <w:t xml:space="preserve"> 其他合同文件、设计变更等文件  </w:t>
      </w:r>
      <w:r>
        <w:rPr>
          <w:rFonts w:hint="eastAsia" w:ascii="宋体" w:hAnsi="宋体" w:cs="宋体"/>
          <w:color w:val="auto"/>
          <w:kern w:val="0"/>
          <w:sz w:val="24"/>
          <w:highlight w:val="none"/>
        </w:rPr>
        <w:t>。</w:t>
      </w:r>
    </w:p>
    <w:p w14:paraId="5D97A0E9">
      <w:pPr>
        <w:adjustRightInd w:val="0"/>
        <w:snapToGrid w:val="0"/>
        <w:spacing w:line="356"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（9）《建设工程工程量清单计价规范（GB5050-2013）》及其广西实施细则、《建设工程工程量清单计算规范（GB5854~50862-2013）》及其广西实施细则。</w:t>
      </w:r>
    </w:p>
    <w:p w14:paraId="1D04E576">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说明：（6）、（7）、（8）填空内容分别限于技术标准和要求、图纸、已标价工程量清单或预算书、其他合同文件四者之一，其优先顺序可根据采取的不同合同方式由双方约定。</w:t>
      </w:r>
    </w:p>
    <w:p w14:paraId="5FE3990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1.6图纸</w:t>
      </w:r>
    </w:p>
    <w:p w14:paraId="3972DED0">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1.6.1发包人向承包人提供图纸日期和套数：</w:t>
      </w:r>
      <w:r>
        <w:rPr>
          <w:rFonts w:hint="eastAsia" w:ascii="宋体" w:hAnsi="宋体" w:cs="宋体"/>
          <w:color w:val="auto"/>
          <w:sz w:val="24"/>
          <w:szCs w:val="32"/>
          <w:highlight w:val="none"/>
          <w:u w:val="single"/>
        </w:rPr>
        <w:t xml:space="preserve"> 签订合同起5个工作日内提供一式肆份设计图纸。</w:t>
      </w:r>
    </w:p>
    <w:p w14:paraId="06DAA4A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1.12发包人对图纸的保密要求：</w:t>
      </w:r>
      <w:r>
        <w:rPr>
          <w:rFonts w:hint="eastAsia" w:ascii="宋体" w:hAnsi="宋体" w:cs="宋体"/>
          <w:color w:val="auto"/>
          <w:sz w:val="24"/>
          <w:szCs w:val="32"/>
          <w:highlight w:val="none"/>
          <w:u w:val="single"/>
        </w:rPr>
        <w:t>未经发包人同意，承包人不得将图纸转借给第三人。</w:t>
      </w:r>
    </w:p>
    <w:p w14:paraId="0CEBABBC">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二、双方一般权利和义务</w:t>
      </w:r>
    </w:p>
    <w:p w14:paraId="4827F19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2、发包人派驻的工程师</w:t>
      </w:r>
    </w:p>
    <w:p w14:paraId="3F6BDA5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27A4F794">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职权：</w:t>
      </w:r>
      <w:r>
        <w:rPr>
          <w:rFonts w:hint="eastAsia" w:ascii="宋体" w:hAnsi="宋体" w:cs="宋体"/>
          <w:color w:val="auto"/>
          <w:sz w:val="24"/>
          <w:szCs w:val="32"/>
          <w:highlight w:val="none"/>
          <w:u w:val="single"/>
        </w:rPr>
        <w:t xml:space="preserve"> 负责工程施工的协调工作，负责施工工程有关验收、签证、结算、工程资料审查等工作。</w:t>
      </w:r>
    </w:p>
    <w:p w14:paraId="7EBAC1C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不实行监理的，工程师的职权：</w:t>
      </w:r>
      <w:r>
        <w:rPr>
          <w:rFonts w:hint="eastAsia" w:ascii="宋体" w:hAnsi="宋体" w:cs="宋体"/>
          <w:color w:val="auto"/>
          <w:sz w:val="24"/>
          <w:szCs w:val="32"/>
          <w:highlight w:val="none"/>
          <w:u w:val="single"/>
        </w:rPr>
        <w:t xml:space="preserve">  无 </w:t>
      </w:r>
      <w:r>
        <w:rPr>
          <w:rFonts w:hint="eastAsia" w:ascii="宋体" w:hAnsi="宋体" w:cs="宋体"/>
          <w:color w:val="auto"/>
          <w:sz w:val="24"/>
          <w:szCs w:val="32"/>
          <w:highlight w:val="none"/>
        </w:rPr>
        <w:t xml:space="preserve"> 。</w:t>
      </w:r>
    </w:p>
    <w:p w14:paraId="5DA8E767">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2.4发包人工作</w:t>
      </w:r>
    </w:p>
    <w:p w14:paraId="33C23AD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发包人应按约定的时间和要求完成以下工作：</w:t>
      </w:r>
    </w:p>
    <w:p w14:paraId="3D588E45">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施工场地具备施工条件的要求及完成的时间：</w:t>
      </w:r>
      <w:r>
        <w:rPr>
          <w:rFonts w:hint="eastAsia" w:ascii="宋体" w:hAnsi="宋体" w:cs="宋体"/>
          <w:color w:val="auto"/>
          <w:sz w:val="24"/>
          <w:szCs w:val="32"/>
          <w:highlight w:val="none"/>
          <w:u w:val="single"/>
        </w:rPr>
        <w:t xml:space="preserve"> 开工前7日，发包人移交施工工地等工作。</w:t>
      </w:r>
    </w:p>
    <w:p w14:paraId="0956B513">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将施工所需的水、电、电讯线路接至施工场地的时间、地点和供应要求：</w:t>
      </w:r>
      <w:r>
        <w:rPr>
          <w:rFonts w:hint="eastAsia" w:ascii="宋体" w:hAnsi="宋体" w:cs="宋体"/>
          <w:color w:val="auto"/>
          <w:sz w:val="24"/>
          <w:szCs w:val="32"/>
          <w:highlight w:val="none"/>
          <w:u w:val="single"/>
        </w:rPr>
        <w:t>协调提供水、电接口；电讯线路由承包人自行处理。水、电、通讯费用由承包人支付。</w:t>
      </w:r>
    </w:p>
    <w:p w14:paraId="5E6D62BB">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施工场地与公共道路的通道开通时间和要求：</w:t>
      </w:r>
      <w:r>
        <w:rPr>
          <w:rFonts w:hint="eastAsia" w:ascii="宋体" w:hAnsi="宋体" w:cs="宋体"/>
          <w:color w:val="auto"/>
          <w:sz w:val="24"/>
          <w:szCs w:val="32"/>
          <w:highlight w:val="none"/>
          <w:u w:val="single"/>
        </w:rPr>
        <w:t xml:space="preserve"> 开工前7天做到施工现场周围道路畅通，并满足施工运输需要。</w:t>
      </w:r>
    </w:p>
    <w:p w14:paraId="25718F0E">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工程地质和地下管线资料的提供时间：</w:t>
      </w:r>
      <w:r>
        <w:rPr>
          <w:rFonts w:hint="eastAsia" w:ascii="宋体" w:hAnsi="宋体" w:cs="宋体"/>
          <w:color w:val="auto"/>
          <w:sz w:val="24"/>
          <w:szCs w:val="32"/>
          <w:highlight w:val="none"/>
          <w:u w:val="single"/>
        </w:rPr>
        <w:t>发包方无相关完整资料的不需提供，在遇到需要工程地质和地下管线问题时，须由发包方和承包方根据现场实际情况协商解决后才可进行施工作业，否则因施工产生的一切后果由承包方负责</w:t>
      </w:r>
      <w:r>
        <w:rPr>
          <w:rFonts w:hint="eastAsia" w:ascii="宋体" w:hAnsi="宋体" w:cs="宋体"/>
          <w:color w:val="auto"/>
          <w:sz w:val="24"/>
          <w:szCs w:val="32"/>
          <w:highlight w:val="none"/>
        </w:rPr>
        <w:t>。</w:t>
      </w:r>
    </w:p>
    <w:p w14:paraId="1089CDE0">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由发包人办理的施工所需证件、批件的名称和完成时间：</w:t>
      </w:r>
      <w:r>
        <w:rPr>
          <w:rFonts w:hint="eastAsia" w:ascii="宋体" w:hAnsi="宋体" w:cs="宋体"/>
          <w:color w:val="auto"/>
          <w:sz w:val="24"/>
          <w:szCs w:val="32"/>
          <w:highlight w:val="none"/>
          <w:u w:val="single"/>
        </w:rPr>
        <w:t>开工7日前负责协调办理好施工许可证和临时用地证等开工所需的全部证件和批件。</w:t>
      </w:r>
    </w:p>
    <w:p w14:paraId="11ABD049">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水准点与坐标控制点交验要求：</w:t>
      </w:r>
      <w:r>
        <w:rPr>
          <w:rFonts w:hint="eastAsia" w:ascii="宋体" w:hAnsi="宋体" w:cs="宋体"/>
          <w:color w:val="auto"/>
          <w:sz w:val="24"/>
          <w:szCs w:val="32"/>
          <w:highlight w:val="none"/>
          <w:u w:val="single"/>
        </w:rPr>
        <w:t xml:space="preserve"> 发包人在开工前以书面形式交给承包人，并双方在现场进行交验。</w:t>
      </w:r>
    </w:p>
    <w:p w14:paraId="0762460F">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图纸会审和设计交底时间：</w:t>
      </w:r>
      <w:r>
        <w:rPr>
          <w:rFonts w:hint="eastAsia" w:ascii="宋体" w:hAnsi="宋体" w:cs="宋体"/>
          <w:color w:val="auto"/>
          <w:sz w:val="24"/>
          <w:szCs w:val="32"/>
          <w:highlight w:val="none"/>
          <w:u w:val="single"/>
        </w:rPr>
        <w:t>开工前7天，组织承包人、设计、地质勘探、监理等相关单位进行图纸会审和设计交底。</w:t>
      </w:r>
    </w:p>
    <w:p w14:paraId="60265024">
      <w:pPr>
        <w:numPr>
          <w:ilvl w:val="0"/>
          <w:numId w:val="6"/>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协调处理施工场地周围地下管线和邻近建筑物、构筑物（含文物保护建筑）、古树名木的保护工作：</w:t>
      </w:r>
      <w:r>
        <w:rPr>
          <w:rFonts w:hint="eastAsia" w:ascii="宋体" w:hAnsi="宋体" w:cs="宋体"/>
          <w:color w:val="auto"/>
          <w:sz w:val="24"/>
          <w:szCs w:val="32"/>
          <w:highlight w:val="none"/>
          <w:u w:val="single"/>
        </w:rPr>
        <w:t>由发包人负责协调，承包人负责保护，费用由发包人承担。</w:t>
      </w:r>
    </w:p>
    <w:p w14:paraId="38DD52BD">
      <w:pPr>
        <w:numPr>
          <w:ilvl w:val="0"/>
          <w:numId w:val="6"/>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 xml:space="preserve">双方约定发包人应做的其他工作： </w:t>
      </w:r>
      <w:r>
        <w:rPr>
          <w:rFonts w:hint="eastAsia" w:ascii="宋体" w:hAnsi="宋体" w:cs="宋体"/>
          <w:color w:val="auto"/>
          <w:sz w:val="24"/>
          <w:szCs w:val="32"/>
          <w:highlight w:val="none"/>
          <w:u w:val="single"/>
        </w:rPr>
        <w:t>无 。</w:t>
      </w:r>
    </w:p>
    <w:p w14:paraId="1DBBF87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发包人委托承包人办理的工作：</w:t>
      </w:r>
      <w:r>
        <w:rPr>
          <w:rFonts w:hint="eastAsia" w:ascii="宋体" w:hAnsi="宋体" w:cs="宋体"/>
          <w:color w:val="auto"/>
          <w:sz w:val="24"/>
          <w:szCs w:val="32"/>
          <w:highlight w:val="none"/>
          <w:u w:val="single"/>
        </w:rPr>
        <w:t xml:space="preserve"> 无 。</w:t>
      </w:r>
    </w:p>
    <w:p w14:paraId="4F371ACF">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2.5担保</w:t>
      </w:r>
    </w:p>
    <w:p w14:paraId="100C588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本工程双方约定担保内容如下：</w:t>
      </w:r>
    </w:p>
    <w:p w14:paraId="44AD315F">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（1）发包人向承包人提供支付担保，担保方式为：</w:t>
      </w:r>
      <w:r>
        <w:rPr>
          <w:rFonts w:hint="eastAsia" w:ascii="宋体" w:hAnsi="宋体" w:cs="宋体"/>
          <w:color w:val="auto"/>
          <w:sz w:val="24"/>
          <w:highlight w:val="none"/>
          <w:u w:val="single"/>
        </w:rPr>
        <w:t xml:space="preserve"> 无 。</w:t>
      </w:r>
    </w:p>
    <w:p w14:paraId="434BECCB">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（2）承包人向发包人提供履约担保，担保方式为：</w:t>
      </w:r>
      <w:r>
        <w:rPr>
          <w:rFonts w:hint="eastAsia" w:ascii="宋体" w:hAnsi="宋体" w:cs="宋体"/>
          <w:color w:val="auto"/>
          <w:sz w:val="24"/>
          <w:highlight w:val="none"/>
          <w:u w:val="single"/>
        </w:rPr>
        <w:t xml:space="preserve"> 在签订合同时向财政部门交中标价的</w:t>
      </w:r>
      <w:r>
        <w:rPr>
          <w:rFonts w:hint="eastAsia" w:ascii="宋体" w:hAnsi="宋体" w:cs="宋体"/>
          <w:color w:val="auto"/>
          <w:sz w:val="24"/>
          <w:highlight w:val="none"/>
          <w:u w:val="single"/>
          <w:lang w:val="en-US" w:eastAsia="zh-CN"/>
        </w:rPr>
        <w:t>2</w:t>
      </w:r>
      <w:r>
        <w:rPr>
          <w:rFonts w:hint="eastAsia" w:ascii="宋体" w:hAnsi="宋体" w:cs="宋体"/>
          <w:color w:val="auto"/>
          <w:sz w:val="24"/>
          <w:highlight w:val="none"/>
          <w:u w:val="single"/>
        </w:rPr>
        <w:t>%履约保证金。履约保证金提交方式：银行转账、支票、汇票、本票或者银行、保险机构出具的保函、保险单等非现金方式，竣工验收合格后无息返回。</w:t>
      </w:r>
    </w:p>
    <w:p w14:paraId="2143A1E6">
      <w:pPr>
        <w:adjustRightInd w:val="0"/>
        <w:snapToGrid w:val="0"/>
        <w:spacing w:line="356" w:lineRule="auto"/>
        <w:ind w:firstLine="480" w:firstLineChars="200"/>
        <w:rPr>
          <w:rFonts w:hint="eastAsia" w:ascii="宋体" w:hAnsi="宋体" w:eastAsia="宋体" w:cs="宋体"/>
          <w:color w:val="auto"/>
          <w:sz w:val="24"/>
          <w:szCs w:val="32"/>
          <w:highlight w:val="none"/>
          <w:lang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3</w:t>
      </w:r>
      <w:r>
        <w:rPr>
          <w:rFonts w:hint="eastAsia" w:ascii="宋体" w:hAnsi="宋体" w:cs="宋体"/>
          <w:color w:val="auto"/>
          <w:sz w:val="24"/>
          <w:szCs w:val="32"/>
          <w:highlight w:val="none"/>
          <w:lang w:eastAsia="zh-CN"/>
        </w:rPr>
        <w:t>）如投标人提供虚假材料造成流标、废标的，扣除投标保证金，提交了履约保证金的一并扣除，造成其他损失的由投标人承担。</w:t>
      </w:r>
    </w:p>
    <w:p w14:paraId="5864ED26">
      <w:pPr>
        <w:adjustRightInd w:val="0"/>
        <w:snapToGrid w:val="0"/>
        <w:spacing w:line="356" w:lineRule="auto"/>
        <w:ind w:firstLine="480" w:firstLineChars="200"/>
        <w:rPr>
          <w:rFonts w:hint="eastAsia" w:ascii="宋体" w:hAnsi="宋体" w:eastAsia="宋体" w:cs="宋体"/>
          <w:color w:val="auto"/>
          <w:sz w:val="24"/>
          <w:szCs w:val="32"/>
          <w:highlight w:val="none"/>
          <w:lang w:val="en-US" w:eastAsia="zh-CN"/>
        </w:rPr>
      </w:pPr>
      <w:r>
        <w:rPr>
          <w:rFonts w:hint="eastAsia" w:ascii="宋体" w:hAnsi="宋体" w:cs="宋体"/>
          <w:color w:val="auto"/>
          <w:sz w:val="24"/>
          <w:szCs w:val="32"/>
          <w:highlight w:val="none"/>
          <w:lang w:val="en-US" w:eastAsia="zh-CN"/>
        </w:rPr>
        <w:t>（4）承包人根据广西壮族自治区解决企业拖欠工资问题联席会议关于印发《广西壮族自治区工程建设领域工人工资支付专用账户管理办法》的通知（桂薪联发〔2016〕1号）的规定，农民工工资按支付款的比例支付30%。</w:t>
      </w:r>
    </w:p>
    <w:p w14:paraId="52C7F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3、承包人</w:t>
      </w:r>
    </w:p>
    <w:p w14:paraId="5C119EC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项目经理</w:t>
      </w:r>
    </w:p>
    <w:p w14:paraId="2B0475E8">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 </w:t>
      </w:r>
      <w:r>
        <w:rPr>
          <w:rFonts w:hint="eastAsia" w:ascii="宋体" w:hAnsi="宋体" w:cs="宋体"/>
          <w:color w:val="auto"/>
          <w:sz w:val="24"/>
          <w:szCs w:val="32"/>
          <w:highlight w:val="none"/>
          <w:u w:val="single"/>
        </w:rPr>
        <w:t xml:space="preserve">  项目经理    </w:t>
      </w:r>
    </w:p>
    <w:p w14:paraId="652C21AA">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3.1承包人工作</w:t>
      </w:r>
    </w:p>
    <w:p w14:paraId="6914758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承包人应按约定时间和要求，完成以下工作：</w:t>
      </w:r>
    </w:p>
    <w:p w14:paraId="50EDEF7F">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需由设计资质等级和业务范围允许的承包人完成的设计文件提交时间：</w:t>
      </w:r>
      <w:r>
        <w:rPr>
          <w:rFonts w:hint="eastAsia" w:ascii="宋体" w:hAnsi="宋体" w:cs="宋体"/>
          <w:color w:val="auto"/>
          <w:sz w:val="24"/>
          <w:szCs w:val="32"/>
          <w:highlight w:val="none"/>
          <w:u w:val="single"/>
        </w:rPr>
        <w:t xml:space="preserve"> 无。</w:t>
      </w:r>
    </w:p>
    <w:p w14:paraId="5309B619">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应提供计划、报表的名称及完成时间：</w:t>
      </w:r>
      <w:r>
        <w:rPr>
          <w:rFonts w:hint="eastAsia" w:ascii="宋体" w:hAnsi="宋体" w:cs="宋体"/>
          <w:color w:val="auto"/>
          <w:sz w:val="24"/>
          <w:szCs w:val="32"/>
          <w:highlight w:val="none"/>
          <w:u w:val="single"/>
        </w:rPr>
        <w:t>每月25日提供当月完成工程量报表、次月计划完成工程量报表各两份。</w:t>
      </w:r>
    </w:p>
    <w:p w14:paraId="369BCA8E">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承担施工安全保卫工作及非夜间施工照明的责任和要求：</w:t>
      </w:r>
      <w:r>
        <w:rPr>
          <w:rFonts w:hint="eastAsia" w:ascii="宋体" w:hAnsi="宋体" w:cs="宋体"/>
          <w:color w:val="auto"/>
          <w:sz w:val="24"/>
          <w:szCs w:val="32"/>
          <w:highlight w:val="none"/>
          <w:u w:val="single"/>
        </w:rPr>
        <w:t>提供和维修非夜间施工使用的照明、围栏设施，并负责安全保卫。</w:t>
      </w:r>
    </w:p>
    <w:p w14:paraId="11B66B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已完工程品保护的特殊要求及费用承担：</w:t>
      </w:r>
      <w:r>
        <w:rPr>
          <w:rFonts w:hint="eastAsia" w:ascii="宋体" w:hAnsi="宋体" w:cs="宋体"/>
          <w:color w:val="auto"/>
          <w:sz w:val="24"/>
          <w:szCs w:val="32"/>
          <w:highlight w:val="none"/>
          <w:u w:val="single"/>
        </w:rPr>
        <w:t>在竣工验收移交全部工程前，由承包人负责采取保护措施，并承担费用。</w:t>
      </w:r>
    </w:p>
    <w:p w14:paraId="1E47C787">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施工场地设置地下管线和邻近建筑物、构筑物（含文物保护建筑）、古树名木的保护要求及费用承担：</w:t>
      </w:r>
      <w:r>
        <w:rPr>
          <w:rFonts w:hint="eastAsia" w:ascii="宋体" w:hAnsi="宋体" w:cs="宋体"/>
          <w:color w:val="auto"/>
          <w:sz w:val="24"/>
          <w:szCs w:val="32"/>
          <w:highlight w:val="none"/>
          <w:u w:val="single"/>
        </w:rPr>
        <w:t>由发包人负责协调，相关费用由发包人承担，承包人负责保护，施工时如因承包人原因损坏地下管线，邻近建筑物、构筑物，所发生的费用由承包人负责承担。</w:t>
      </w:r>
    </w:p>
    <w:p w14:paraId="42BE4356">
      <w:pPr>
        <w:numPr>
          <w:ilvl w:val="0"/>
          <w:numId w:val="7"/>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施工场地清洁卫生的要求：</w:t>
      </w:r>
      <w:r>
        <w:rPr>
          <w:rFonts w:hint="eastAsia" w:ascii="宋体" w:hAnsi="宋体" w:cs="宋体"/>
          <w:color w:val="auto"/>
          <w:sz w:val="24"/>
          <w:szCs w:val="32"/>
          <w:highlight w:val="none"/>
          <w:u w:val="single"/>
        </w:rPr>
        <w:t>承包人保证施工场地清洁符合环境卫生管理的有关规定，交工前清理现场做到工完场清，并承担因自身原因违反有关规定造成损失和罚款。</w:t>
      </w:r>
    </w:p>
    <w:p w14:paraId="182A040D">
      <w:pPr>
        <w:pStyle w:val="17"/>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双方约定承包人应做的其他工作：</w:t>
      </w:r>
      <w:r>
        <w:rPr>
          <w:rFonts w:hint="eastAsia" w:ascii="宋体" w:hAnsi="宋体" w:cs="宋体"/>
          <w:color w:val="auto"/>
          <w:sz w:val="24"/>
          <w:szCs w:val="32"/>
          <w:highlight w:val="none"/>
          <w:u w:val="single"/>
        </w:rPr>
        <w:t>无。</w:t>
      </w:r>
    </w:p>
    <w:p w14:paraId="1EEA16F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3.5工程分包</w:t>
      </w:r>
    </w:p>
    <w:p w14:paraId="15804DC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3.5.2本工程发包人同意承包人分包的工程：</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7633FC9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分包施工单位为</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36F1DE1">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4.1监理单位：</w:t>
      </w:r>
      <w:r>
        <w:rPr>
          <w:rFonts w:hint="eastAsia" w:ascii="宋体" w:hAnsi="宋体" w:cs="宋体"/>
          <w:color w:val="auto"/>
          <w:sz w:val="24"/>
          <w:szCs w:val="32"/>
          <w:highlight w:val="none"/>
          <w:u w:val="single"/>
        </w:rPr>
        <w:t xml:space="preserve">                 </w:t>
      </w:r>
    </w:p>
    <w:p w14:paraId="18DA0A8C">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委派的工程师姓名：</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职务：</w:t>
      </w:r>
      <w:r>
        <w:rPr>
          <w:rFonts w:hint="eastAsia" w:ascii="宋体" w:hAnsi="宋体" w:cs="宋体"/>
          <w:color w:val="auto"/>
          <w:sz w:val="24"/>
          <w:szCs w:val="32"/>
          <w:highlight w:val="none"/>
          <w:u w:val="single"/>
        </w:rPr>
        <w:t xml:space="preserve">       </w:t>
      </w:r>
      <w:r>
        <w:rPr>
          <w:rFonts w:hint="eastAsia" w:ascii="宋体" w:hAnsi="宋体" w:cs="宋体"/>
          <w:color w:val="auto"/>
          <w:sz w:val="24"/>
          <w:szCs w:val="32"/>
          <w:highlight w:val="none"/>
        </w:rPr>
        <w:t xml:space="preserve"> 电话：</w:t>
      </w:r>
      <w:r>
        <w:rPr>
          <w:rFonts w:hint="eastAsia" w:ascii="宋体" w:hAnsi="宋体" w:cs="宋体"/>
          <w:color w:val="auto"/>
          <w:sz w:val="24"/>
          <w:szCs w:val="32"/>
          <w:highlight w:val="none"/>
          <w:u w:val="single"/>
        </w:rPr>
        <w:t xml:space="preserve">       </w:t>
      </w:r>
    </w:p>
    <w:p w14:paraId="7FD34D1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发包人委托的职权：</w:t>
      </w:r>
      <w:r>
        <w:rPr>
          <w:rFonts w:hint="eastAsia" w:ascii="宋体" w:hAnsi="宋体" w:cs="宋体"/>
          <w:color w:val="auto"/>
          <w:sz w:val="24"/>
          <w:szCs w:val="32"/>
          <w:highlight w:val="none"/>
          <w:u w:val="single"/>
        </w:rPr>
        <w:t xml:space="preserve"> 按本工程委托监理合同 </w:t>
      </w:r>
    </w:p>
    <w:p w14:paraId="68422A79">
      <w:pPr>
        <w:pStyle w:val="17"/>
        <w:spacing w:after="0" w:line="356" w:lineRule="auto"/>
        <w:ind w:left="0" w:leftChars="0"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需要取得发包人批准才能行使的职权：</w:t>
      </w:r>
      <w:r>
        <w:rPr>
          <w:rFonts w:hint="eastAsia" w:ascii="宋体" w:hAnsi="宋体" w:cs="宋体"/>
          <w:color w:val="auto"/>
          <w:sz w:val="24"/>
          <w:szCs w:val="32"/>
          <w:highlight w:val="none"/>
          <w:u w:val="single"/>
        </w:rPr>
        <w:t xml:space="preserve">  按本合同委托监理合同 。</w:t>
      </w:r>
    </w:p>
    <w:p w14:paraId="4D64552C">
      <w:pPr>
        <w:pStyle w:val="17"/>
        <w:spacing w:after="0" w:line="356" w:lineRule="auto"/>
        <w:ind w:left="0" w:leftChars="0"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三、施工组织设计个工期</w:t>
      </w:r>
    </w:p>
    <w:p w14:paraId="1D24646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7、进度计划</w:t>
      </w:r>
    </w:p>
    <w:p w14:paraId="182DBBE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7.1.2承包人提供施工组织设计（施工方案）和进度计划的时间：</w:t>
      </w:r>
      <w:r>
        <w:rPr>
          <w:rFonts w:hint="eastAsia" w:ascii="宋体" w:hAnsi="宋体" w:cs="宋体"/>
          <w:color w:val="auto"/>
          <w:sz w:val="24"/>
          <w:szCs w:val="32"/>
          <w:highlight w:val="none"/>
          <w:u w:val="single"/>
        </w:rPr>
        <w:t>合同签订之日起15日内，并全面动工建设。</w:t>
      </w:r>
    </w:p>
    <w:p w14:paraId="2D8F8FD9">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工程师确认的时间：</w:t>
      </w:r>
      <w:r>
        <w:rPr>
          <w:rFonts w:hint="eastAsia" w:ascii="宋体" w:hAnsi="宋体" w:cs="宋体"/>
          <w:color w:val="auto"/>
          <w:sz w:val="24"/>
          <w:szCs w:val="32"/>
          <w:highlight w:val="none"/>
          <w:u w:val="single"/>
        </w:rPr>
        <w:t>于收到之日起5日内批复。</w:t>
      </w:r>
    </w:p>
    <w:p w14:paraId="778E515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群体工程中有关进度计划的要求：</w:t>
      </w:r>
      <w:r>
        <w:rPr>
          <w:rFonts w:hint="eastAsia" w:ascii="宋体" w:hAnsi="宋体" w:cs="宋体"/>
          <w:color w:val="auto"/>
          <w:sz w:val="24"/>
          <w:szCs w:val="32"/>
          <w:highlight w:val="none"/>
          <w:u w:val="single"/>
        </w:rPr>
        <w:t>按投标（响应）文件计划。</w:t>
      </w:r>
    </w:p>
    <w:p w14:paraId="29D485AD">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7.5工期延误</w:t>
      </w:r>
    </w:p>
    <w:p w14:paraId="591901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7.5.1双方约定工期顺延的其他情况：</w:t>
      </w:r>
      <w:r>
        <w:rPr>
          <w:rFonts w:hint="eastAsia" w:ascii="宋体" w:hAnsi="宋体" w:cs="宋体"/>
          <w:color w:val="auto"/>
          <w:sz w:val="24"/>
          <w:szCs w:val="32"/>
          <w:highlight w:val="none"/>
          <w:u w:val="single"/>
        </w:rPr>
        <w:t>因工程行政主管部门指令性（除因施工方责任外）停工；发包人不能按时支付工程进度款给承包人；非承包人责任而造成的工期延误及发包人同意顺延工期的其他情况。</w:t>
      </w:r>
    </w:p>
    <w:p w14:paraId="2F5BB2E4">
      <w:pPr>
        <w:pStyle w:val="5"/>
        <w:adjustRightInd w:val="0"/>
        <w:snapToGrid w:val="0"/>
        <w:spacing w:line="356" w:lineRule="auto"/>
        <w:ind w:firstLine="562"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四、材料设备供应</w:t>
      </w:r>
    </w:p>
    <w:p w14:paraId="6BEAA66C">
      <w:pPr>
        <w:pStyle w:val="5"/>
        <w:adjustRightInd w:val="0"/>
        <w:snapToGrid w:val="0"/>
        <w:spacing w:line="356"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8.1发包人供应材料设备：</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u w:val="single"/>
        </w:rPr>
        <w:t xml:space="preserve"> 无  </w:t>
      </w:r>
      <w:r>
        <w:rPr>
          <w:rFonts w:hint="eastAsia" w:ascii="宋体" w:hAnsi="宋体" w:eastAsia="宋体" w:cs="宋体"/>
          <w:b w:val="0"/>
          <w:bCs w:val="0"/>
          <w:color w:val="auto"/>
          <w:sz w:val="24"/>
          <w:szCs w:val="24"/>
          <w:highlight w:val="none"/>
        </w:rPr>
        <w:t xml:space="preserve"> 。</w:t>
      </w:r>
    </w:p>
    <w:p w14:paraId="23FF7605">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8.3.1发包人供应的材料设备与一览表不符时，双方约定发包人承担责任如下：</w:t>
      </w:r>
    </w:p>
    <w:p w14:paraId="1A5F702A">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材料设备单价与一览表不符：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5A5EC6A2">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材料设备的品种、规格、型号、质量等级与一览表不符：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0F72AB8">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承包人可代为调剂串换的材料：</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252E7D9B">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到货地点与一览表不符：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39575F6">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供应数量与一览表不符：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7DB0465">
      <w:pPr>
        <w:numPr>
          <w:ilvl w:val="0"/>
          <w:numId w:val="8"/>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到货时间与一览表不符：</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4844645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发包人供应材料设备的</w:t>
      </w:r>
      <w:r>
        <w:rPr>
          <w:rFonts w:hint="eastAsia" w:ascii="宋体" w:hAnsi="宋体" w:cs="宋体"/>
          <w:bCs/>
          <w:color w:val="auto"/>
          <w:sz w:val="24"/>
          <w:highlight w:val="none"/>
        </w:rPr>
        <w:t>结算方法：</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2CAC819">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8.2</w:t>
      </w: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w:t>
      </w:r>
    </w:p>
    <w:p w14:paraId="386B1863">
      <w:pPr>
        <w:adjustRightInd w:val="0"/>
        <w:snapToGrid w:val="0"/>
        <w:spacing w:line="356" w:lineRule="auto"/>
        <w:ind w:firstLine="480" w:firstLineChars="200"/>
        <w:rPr>
          <w:rFonts w:hint="eastAsia" w:ascii="宋体" w:hAnsi="宋体" w:cs="宋体"/>
          <w:color w:val="auto"/>
          <w:highlight w:val="none"/>
        </w:rPr>
      </w:pPr>
      <w:r>
        <w:rPr>
          <w:rFonts w:hint="eastAsia" w:ascii="宋体" w:hAnsi="宋体" w:cs="宋体"/>
          <w:color w:val="auto"/>
          <w:kern w:val="0"/>
          <w:sz w:val="24"/>
          <w:highlight w:val="none"/>
        </w:rPr>
        <w:t>承包人采购</w:t>
      </w:r>
      <w:r>
        <w:rPr>
          <w:rFonts w:hint="eastAsia" w:ascii="宋体" w:hAnsi="宋体" w:cs="宋体"/>
          <w:color w:val="auto"/>
          <w:sz w:val="24"/>
          <w:highlight w:val="none"/>
        </w:rPr>
        <w:t>材料设备的约定：</w:t>
      </w:r>
      <w:r>
        <w:rPr>
          <w:rFonts w:hint="eastAsia" w:ascii="宋体" w:hAnsi="宋体" w:cs="宋体"/>
          <w:color w:val="auto"/>
          <w:sz w:val="24"/>
          <w:highlight w:val="none"/>
          <w:u w:val="single"/>
        </w:rPr>
        <w:t xml:space="preserve">本合同工程实行承包人包工包料方式，由承包人自购。所购材料必须有产品合格证，试验或检验报告，并由监理工程师和发包人工地代表验证后才能进场及投入施工。  </w:t>
      </w:r>
    </w:p>
    <w:p w14:paraId="7F93555F">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五、变更</w:t>
      </w:r>
    </w:p>
    <w:p w14:paraId="523F125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按《通用条款》10.1、10.2、10.3、10.4款执行。</w:t>
      </w:r>
    </w:p>
    <w:p w14:paraId="58AEDAE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10.4.1变更的估价原则</w:t>
      </w:r>
    </w:p>
    <w:p w14:paraId="470FFD0C">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因变更引起的价格调整按照本款约定处理。</w:t>
      </w:r>
    </w:p>
    <w:p w14:paraId="4B6B933F">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（1）已标价工程量清单中有使用于变更工作的子目的，采用该子目的单价。</w:t>
      </w:r>
    </w:p>
    <w:p w14:paraId="78FCA23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（2）已标价工程量清单中无适用于变更工作的子目的，但有类似子目的，可在合理范围内参照类似子目的单价。</w:t>
      </w:r>
    </w:p>
    <w:p w14:paraId="0EE7F904">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（3）已标价工程量清单中无适用或类似子目的单价，</w:t>
      </w:r>
      <w:r>
        <w:rPr>
          <w:rFonts w:hint="eastAsia" w:ascii="宋体" w:hAnsi="宋体" w:cs="宋体"/>
          <w:color w:val="auto"/>
          <w:sz w:val="24"/>
          <w:szCs w:val="32"/>
          <w:highlight w:val="none"/>
          <w:u w:val="single"/>
        </w:rPr>
        <w:t>①有定额的套定额计算其综合单价（其中材料价格有信息价的按施工期间浦北县的信息价，无信息价的由发包人、承包人、监理人市场询价），并乘以中标价除以招标控制价得出的系数确定新的综合价。②新增项目无定额可套的，由发包人、承包人、监理人市场询价并乘以中标价除以招标控制价得出的系数确定新的综合价。</w:t>
      </w:r>
    </w:p>
    <w:p w14:paraId="7448CA9E">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11、价格调整</w:t>
      </w:r>
    </w:p>
    <w:p w14:paraId="27920A2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11.1物价波动引起价格调整：</w:t>
      </w:r>
      <w:r>
        <w:rPr>
          <w:rFonts w:hint="eastAsia" w:ascii="宋体" w:hAnsi="宋体" w:cs="宋体"/>
          <w:color w:val="auto"/>
          <w:sz w:val="24"/>
          <w:szCs w:val="32"/>
          <w:highlight w:val="none"/>
          <w:u w:val="single"/>
        </w:rPr>
        <w:t xml:space="preserve"> 无。</w:t>
      </w:r>
    </w:p>
    <w:p w14:paraId="289B8236">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11.1.1采用价格指数调整价格差额：</w:t>
      </w:r>
      <w:r>
        <w:rPr>
          <w:rFonts w:hint="eastAsia" w:ascii="宋体" w:hAnsi="宋体" w:cs="宋体"/>
          <w:color w:val="auto"/>
          <w:sz w:val="24"/>
          <w:szCs w:val="32"/>
          <w:highlight w:val="none"/>
          <w:u w:val="single"/>
        </w:rPr>
        <w:t>无。</w:t>
      </w:r>
    </w:p>
    <w:p w14:paraId="70DF0C82">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11.1.2采用造价信息调整价格差额：</w:t>
      </w:r>
      <w:r>
        <w:rPr>
          <w:rFonts w:hint="eastAsia" w:ascii="宋体" w:hAnsi="宋体" w:cs="宋体"/>
          <w:color w:val="auto"/>
          <w:sz w:val="24"/>
          <w:szCs w:val="32"/>
          <w:highlight w:val="none"/>
          <w:u w:val="single"/>
        </w:rPr>
        <w:t>无。</w:t>
      </w:r>
    </w:p>
    <w:p w14:paraId="37EFCE97">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双方约定合同价款的其他调整因素：</w:t>
      </w:r>
      <w:r>
        <w:rPr>
          <w:rFonts w:hint="eastAsia" w:ascii="宋体" w:hAnsi="宋体" w:cs="宋体"/>
          <w:color w:val="auto"/>
          <w:sz w:val="24"/>
          <w:szCs w:val="32"/>
          <w:highlight w:val="none"/>
          <w:u w:val="single"/>
        </w:rPr>
        <w:t>无。</w:t>
      </w:r>
    </w:p>
    <w:p w14:paraId="05D537F9">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六、合同价款与支付</w:t>
      </w:r>
    </w:p>
    <w:p w14:paraId="5FD0F90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12、合同价款及调整</w:t>
      </w:r>
    </w:p>
    <w:p w14:paraId="6EEDD2B6">
      <w:pPr>
        <w:pStyle w:val="8"/>
        <w:spacing w:line="356"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12.2预付款</w:t>
      </w:r>
    </w:p>
    <w:p w14:paraId="34B97C2A">
      <w:pPr>
        <w:spacing w:line="356"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12.2.1</w:t>
      </w:r>
      <w:r>
        <w:rPr>
          <w:rFonts w:hint="eastAsia" w:ascii="宋体" w:hAnsi="宋体" w:cs="宋体"/>
          <w:color w:val="auto"/>
          <w:kern w:val="0"/>
          <w:sz w:val="24"/>
          <w:highlight w:val="none"/>
        </w:rPr>
        <w:t>预付款的支付</w:t>
      </w:r>
    </w:p>
    <w:p w14:paraId="4ADD2E66">
      <w:pPr>
        <w:spacing w:line="356" w:lineRule="auto"/>
        <w:ind w:firstLine="480" w:firstLineChars="200"/>
        <w:jc w:val="left"/>
        <w:rPr>
          <w:rFonts w:hint="eastAsia" w:ascii="宋体" w:hAnsi="宋体" w:cs="宋体"/>
          <w:color w:val="auto"/>
          <w:sz w:val="24"/>
          <w:szCs w:val="32"/>
          <w:highlight w:val="none"/>
        </w:rPr>
      </w:pPr>
      <w:r>
        <w:rPr>
          <w:rFonts w:hint="eastAsia" w:ascii="宋体" w:hAnsi="宋体" w:cs="宋体"/>
          <w:color w:val="auto"/>
          <w:kern w:val="0"/>
          <w:sz w:val="24"/>
          <w:highlight w:val="none"/>
        </w:rPr>
        <w:t>项目实质性开工7天后，可以向财政部门申请不高于合同价30%项目预付款，同时提供合同价30%的预付款保函（必须为无条件的预付款保函且有效期至少12个月）。预付款应当用于材料、工程设备、施工设备的采购及修建临时工程、组织施工队伍进场等。预付款在第一次进度付款中扣回。</w:t>
      </w:r>
    </w:p>
    <w:p w14:paraId="2249E269">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12.1</w:t>
      </w:r>
      <w:r>
        <w:rPr>
          <w:rFonts w:hint="eastAsia" w:ascii="宋体" w:hAnsi="宋体" w:cs="宋体"/>
          <w:color w:val="auto"/>
          <w:sz w:val="24"/>
          <w:szCs w:val="32"/>
          <w:highlight w:val="none"/>
        </w:rPr>
        <w:t>本合同价款采用</w:t>
      </w:r>
      <w:r>
        <w:rPr>
          <w:rFonts w:hint="eastAsia" w:ascii="宋体" w:hAnsi="宋体" w:cs="宋体"/>
          <w:color w:val="auto"/>
          <w:sz w:val="24"/>
          <w:szCs w:val="32"/>
          <w:highlight w:val="none"/>
          <w:u w:val="single"/>
        </w:rPr>
        <w:t xml:space="preserve"> 固定综合单价（指工程量清单所包含的内容）</w:t>
      </w:r>
      <w:r>
        <w:rPr>
          <w:rFonts w:hint="eastAsia" w:ascii="宋体" w:hAnsi="宋体" w:cs="宋体"/>
          <w:color w:val="auto"/>
          <w:sz w:val="24"/>
          <w:szCs w:val="32"/>
          <w:highlight w:val="none"/>
        </w:rPr>
        <w:t>合同方式确定。</w:t>
      </w:r>
    </w:p>
    <w:p w14:paraId="077FAA71">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风险费用的计算方式：</w:t>
      </w:r>
      <w:r>
        <w:rPr>
          <w:rFonts w:hint="eastAsia" w:ascii="宋体" w:hAnsi="宋体" w:cs="宋体"/>
          <w:color w:val="auto"/>
          <w:sz w:val="24"/>
          <w:szCs w:val="32"/>
          <w:highlight w:val="none"/>
          <w:u w:val="single"/>
        </w:rPr>
        <w:t>无。</w:t>
      </w:r>
    </w:p>
    <w:p w14:paraId="47BA71CA">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采用可调价格合同，合同价款调整方式：</w:t>
      </w:r>
      <w:r>
        <w:rPr>
          <w:rFonts w:hint="eastAsia" w:ascii="宋体" w:hAnsi="宋体" w:cs="宋体"/>
          <w:color w:val="auto"/>
          <w:sz w:val="24"/>
          <w:szCs w:val="32"/>
          <w:highlight w:val="none"/>
          <w:u w:val="single"/>
        </w:rPr>
        <w:t>无。</w:t>
      </w:r>
    </w:p>
    <w:p w14:paraId="56AC29D3">
      <w:pPr>
        <w:numPr>
          <w:ilvl w:val="0"/>
          <w:numId w:val="9"/>
        </w:num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采用成本加酬金合同，有关成本和酬金的约定：</w:t>
      </w:r>
      <w:r>
        <w:rPr>
          <w:rFonts w:hint="eastAsia" w:ascii="宋体" w:hAnsi="宋体" w:cs="宋体"/>
          <w:color w:val="auto"/>
          <w:sz w:val="24"/>
          <w:szCs w:val="32"/>
          <w:highlight w:val="none"/>
          <w:u w:val="single"/>
        </w:rPr>
        <w:t>无。</w:t>
      </w:r>
    </w:p>
    <w:p w14:paraId="25CD5C85">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1.双方约定合同价款及其他调整因素：</w:t>
      </w:r>
      <w:r>
        <w:rPr>
          <w:rFonts w:hint="eastAsia" w:ascii="宋体" w:hAnsi="宋体" w:cs="宋体"/>
          <w:color w:val="auto"/>
          <w:sz w:val="24"/>
          <w:szCs w:val="32"/>
          <w:highlight w:val="none"/>
          <w:u w:val="single"/>
        </w:rPr>
        <w:t>工程量清单所包含的内容以外部分。</w:t>
      </w:r>
    </w:p>
    <w:p w14:paraId="52631E20">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12.2.1</w:t>
      </w:r>
      <w:r>
        <w:rPr>
          <w:rFonts w:hint="eastAsia" w:ascii="宋体" w:hAnsi="宋体" w:cs="宋体"/>
          <w:color w:val="auto"/>
          <w:sz w:val="24"/>
          <w:szCs w:val="32"/>
          <w:highlight w:val="none"/>
        </w:rPr>
        <w:t>工程款付款</w:t>
      </w:r>
    </w:p>
    <w:p w14:paraId="3F879A3A">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发包人向承包人预付工程款的时间和金额或占合同价款总额的比例：</w:t>
      </w:r>
      <w:r>
        <w:rPr>
          <w:rFonts w:hint="eastAsia" w:ascii="宋体" w:hAnsi="宋体" w:cs="宋体"/>
          <w:color w:val="auto"/>
          <w:sz w:val="24"/>
          <w:szCs w:val="32"/>
          <w:highlight w:val="none"/>
          <w:u w:val="single"/>
        </w:rPr>
        <w:t>本工程工人进场7日后，可申请合同价30%的预付款。</w:t>
      </w:r>
    </w:p>
    <w:p w14:paraId="50346C6D">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扣回工程款的时间、比例：</w:t>
      </w:r>
      <w:r>
        <w:rPr>
          <w:rFonts w:hint="eastAsia" w:ascii="宋体" w:hAnsi="宋体" w:cs="宋体"/>
          <w:color w:val="auto"/>
          <w:sz w:val="24"/>
          <w:szCs w:val="32"/>
          <w:highlight w:val="none"/>
          <w:u w:val="single"/>
          <w:lang w:val="en-US" w:eastAsia="zh-CN"/>
        </w:rPr>
        <w:t>无</w:t>
      </w:r>
      <w:r>
        <w:rPr>
          <w:rFonts w:hint="eastAsia" w:ascii="宋体" w:hAnsi="宋体" w:cs="宋体"/>
          <w:color w:val="auto"/>
          <w:sz w:val="24"/>
          <w:szCs w:val="32"/>
          <w:highlight w:val="none"/>
          <w:u w:val="single"/>
        </w:rPr>
        <w:t>。</w:t>
      </w:r>
    </w:p>
    <w:p w14:paraId="063064C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highlight w:val="none"/>
        </w:rPr>
        <w:t>12.3</w:t>
      </w:r>
      <w:r>
        <w:rPr>
          <w:rFonts w:hint="eastAsia" w:ascii="宋体" w:hAnsi="宋体" w:cs="宋体"/>
          <w:color w:val="auto"/>
          <w:sz w:val="24"/>
          <w:szCs w:val="32"/>
          <w:highlight w:val="none"/>
        </w:rPr>
        <w:t>工程量确认</w:t>
      </w:r>
    </w:p>
    <w:p w14:paraId="0996A4DF">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highlight w:val="none"/>
        </w:rPr>
        <w:t>12.3.3</w:t>
      </w:r>
      <w:r>
        <w:rPr>
          <w:rFonts w:hint="eastAsia" w:ascii="宋体" w:hAnsi="宋体" w:cs="宋体"/>
          <w:color w:val="auto"/>
          <w:sz w:val="24"/>
          <w:szCs w:val="32"/>
          <w:highlight w:val="none"/>
        </w:rPr>
        <w:t>承包人向工程师提交已完工程量报告的时间：</w:t>
      </w:r>
      <w:r>
        <w:rPr>
          <w:rFonts w:hint="eastAsia" w:ascii="宋体" w:hAnsi="宋体" w:cs="宋体"/>
          <w:color w:val="auto"/>
          <w:sz w:val="24"/>
          <w:szCs w:val="32"/>
          <w:highlight w:val="none"/>
          <w:u w:val="single"/>
        </w:rPr>
        <w:t>每月25日。</w:t>
      </w:r>
    </w:p>
    <w:p w14:paraId="733FC78A">
      <w:pPr>
        <w:pStyle w:val="6"/>
        <w:adjustRightInd w:val="0"/>
        <w:snapToGrid w:val="0"/>
        <w:spacing w:before="0" w:after="0" w:line="356" w:lineRule="auto"/>
        <w:ind w:firstLine="480" w:firstLineChars="200"/>
        <w:rPr>
          <w:rFonts w:hint="eastAsia" w:cs="宋体"/>
          <w:b w:val="0"/>
          <w:bCs w:val="0"/>
          <w:color w:val="auto"/>
          <w:szCs w:val="24"/>
          <w:highlight w:val="none"/>
        </w:rPr>
      </w:pPr>
      <w:r>
        <w:rPr>
          <w:rFonts w:hint="eastAsia" w:cs="宋体"/>
          <w:b w:val="0"/>
          <w:bCs w:val="0"/>
          <w:color w:val="auto"/>
          <w:kern w:val="2"/>
          <w:szCs w:val="24"/>
          <w:highlight w:val="none"/>
        </w:rPr>
        <w:t>12.4</w:t>
      </w:r>
      <w:r>
        <w:rPr>
          <w:rFonts w:hint="eastAsia" w:cs="宋体"/>
          <w:b w:val="0"/>
          <w:bCs w:val="0"/>
          <w:color w:val="auto"/>
          <w:szCs w:val="24"/>
          <w:highlight w:val="none"/>
        </w:rPr>
        <w:t>工程款（进度款）支付</w:t>
      </w:r>
    </w:p>
    <w:p w14:paraId="21EB4B6D">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双方约定的工程款（进度款）的支付方式和时间：</w:t>
      </w:r>
    </w:p>
    <w:p w14:paraId="7F57D1C3">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(1)预付款:工程预付款的总金额为签约合同价的30%(需按要求缴纳农民工保证金和开具相应的履约保函以及意外险、工伤险方可支付预付款)。</w:t>
      </w:r>
    </w:p>
    <w:p w14:paraId="383345E8">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每个付款周期按实际完成工程量的90%，依据监理报告支付工程进度款。工程完工验收达到质量要求，结算经浦北县有资质审计机构审定后，工程款支付至结算总价的97%(不得低于97%)。发包人按工程价款结算总额的3%，预留工程质量保证金。质量保证金待工程质量保修期满且无质量问题后按规定无息返还。</w:t>
      </w:r>
    </w:p>
    <w:p w14:paraId="416D2798">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(3)农民工工资按支付款的比例支付30%。</w:t>
      </w:r>
    </w:p>
    <w:p w14:paraId="012B3560">
      <w:pPr>
        <w:adjustRightInd w:val="0"/>
        <w:snapToGrid w:val="0"/>
        <w:spacing w:line="356" w:lineRule="auto"/>
        <w:ind w:firstLine="562" w:firstLineChars="200"/>
        <w:rPr>
          <w:rFonts w:hint="eastAsia" w:ascii="宋体" w:hAnsi="宋体" w:cs="宋体"/>
          <w:b/>
          <w:bCs/>
          <w:color w:val="auto"/>
          <w:sz w:val="28"/>
          <w:szCs w:val="36"/>
          <w:highlight w:val="none"/>
        </w:rPr>
      </w:pPr>
      <w:r>
        <w:rPr>
          <w:rFonts w:hint="eastAsia" w:ascii="宋体" w:hAnsi="宋体" w:cs="宋体"/>
          <w:b/>
          <w:bCs/>
          <w:color w:val="auto"/>
          <w:sz w:val="28"/>
          <w:szCs w:val="36"/>
          <w:highlight w:val="none"/>
        </w:rPr>
        <w:t>七、质量与验收</w:t>
      </w:r>
    </w:p>
    <w:p w14:paraId="71AB48F6">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13.1隐蔽工程和中间验收</w:t>
      </w:r>
    </w:p>
    <w:p w14:paraId="531B0233">
      <w:pPr>
        <w:adjustRightInd w:val="0"/>
        <w:snapToGrid w:val="0"/>
        <w:spacing w:line="356" w:lineRule="auto"/>
        <w:ind w:firstLine="480" w:firstLineChars="200"/>
        <w:rPr>
          <w:rFonts w:hint="eastAsia" w:ascii="宋体" w:hAnsi="宋体" w:cs="宋体"/>
          <w:color w:val="auto"/>
          <w:sz w:val="24"/>
          <w:szCs w:val="32"/>
          <w:highlight w:val="none"/>
          <w:u w:val="single"/>
        </w:rPr>
      </w:pPr>
      <w:r>
        <w:rPr>
          <w:rFonts w:hint="eastAsia" w:ascii="宋体" w:hAnsi="宋体" w:cs="宋体"/>
          <w:color w:val="auto"/>
          <w:sz w:val="24"/>
          <w:szCs w:val="32"/>
          <w:highlight w:val="none"/>
        </w:rPr>
        <w:t>13.1.1双方约定中间验收部位：</w:t>
      </w:r>
      <w:r>
        <w:rPr>
          <w:rFonts w:hint="eastAsia" w:ascii="宋体" w:hAnsi="宋体" w:cs="宋体"/>
          <w:color w:val="auto"/>
          <w:sz w:val="24"/>
          <w:szCs w:val="32"/>
          <w:highlight w:val="none"/>
          <w:u w:val="single"/>
        </w:rPr>
        <w:t xml:space="preserve">     /    。</w:t>
      </w:r>
    </w:p>
    <w:p w14:paraId="4E303512">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13.3工程试车</w:t>
      </w:r>
    </w:p>
    <w:p w14:paraId="2A70C583">
      <w:pPr>
        <w:adjustRightInd w:val="0"/>
        <w:snapToGrid w:val="0"/>
        <w:spacing w:line="356" w:lineRule="auto"/>
        <w:ind w:firstLine="480" w:firstLineChars="200"/>
        <w:rPr>
          <w:rFonts w:hint="eastAsia" w:ascii="宋体" w:hAnsi="宋体" w:cs="宋体"/>
          <w:color w:val="auto"/>
          <w:sz w:val="24"/>
          <w:szCs w:val="32"/>
          <w:highlight w:val="none"/>
        </w:rPr>
      </w:pPr>
      <w:r>
        <w:rPr>
          <w:rFonts w:hint="eastAsia" w:ascii="宋体" w:hAnsi="宋体" w:cs="宋体"/>
          <w:color w:val="auto"/>
          <w:sz w:val="24"/>
          <w:szCs w:val="32"/>
          <w:highlight w:val="none"/>
        </w:rPr>
        <w:t>13.3.1试车费用的承担：</w:t>
      </w:r>
      <w:r>
        <w:rPr>
          <w:rFonts w:hint="eastAsia" w:ascii="宋体" w:hAnsi="宋体" w:cs="宋体"/>
          <w:color w:val="auto"/>
          <w:sz w:val="24"/>
          <w:szCs w:val="32"/>
          <w:highlight w:val="none"/>
          <w:u w:val="single"/>
        </w:rPr>
        <w:t>无。</w:t>
      </w:r>
    </w:p>
    <w:p w14:paraId="4356017D">
      <w:p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八、竣工验收与结算</w:t>
      </w:r>
    </w:p>
    <w:p w14:paraId="5583FC8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13.2竣工验收</w:t>
      </w:r>
    </w:p>
    <w:p w14:paraId="437B2134">
      <w:pPr>
        <w:tabs>
          <w:tab w:val="left" w:pos="463"/>
        </w:tabs>
        <w:adjustRightInd w:val="0"/>
        <w:snapToGrid w:val="0"/>
        <w:spacing w:line="356" w:lineRule="auto"/>
        <w:ind w:firstLine="480" w:firstLineChars="200"/>
        <w:rPr>
          <w:rFonts w:hint="eastAsia" w:ascii="宋体" w:hAnsi="宋体" w:cs="宋体"/>
          <w:bCs/>
          <w:color w:val="auto"/>
          <w:sz w:val="24"/>
          <w:highlight w:val="none"/>
          <w:u w:val="single"/>
        </w:rPr>
      </w:pPr>
      <w:r>
        <w:rPr>
          <w:rFonts w:hint="eastAsia" w:ascii="宋体" w:hAnsi="宋体" w:cs="宋体"/>
          <w:color w:val="auto"/>
          <w:sz w:val="24"/>
          <w:highlight w:val="none"/>
        </w:rPr>
        <w:t>13.2.2承包人</w:t>
      </w:r>
      <w:r>
        <w:rPr>
          <w:rFonts w:hint="eastAsia" w:ascii="宋体" w:hAnsi="宋体" w:cs="宋体"/>
          <w:bCs/>
          <w:color w:val="auto"/>
          <w:sz w:val="24"/>
          <w:highlight w:val="none"/>
        </w:rPr>
        <w:t>提供竣工图的约定：</w:t>
      </w:r>
      <w:r>
        <w:rPr>
          <w:rFonts w:hint="eastAsia" w:ascii="宋体" w:hAnsi="宋体" w:cs="宋体"/>
          <w:bCs/>
          <w:color w:val="auto"/>
          <w:sz w:val="24"/>
          <w:highlight w:val="none"/>
          <w:u w:val="single"/>
        </w:rPr>
        <w:t>项目完工后，承包人按工程竣工验收有关规定要先进行自验，并在合同期后6个月内向发包人提交完整竣工资料、自验报告和申请初验。</w:t>
      </w:r>
    </w:p>
    <w:p w14:paraId="65B5AC25">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bCs/>
          <w:color w:val="auto"/>
          <w:sz w:val="24"/>
          <w:highlight w:val="none"/>
        </w:rPr>
        <w:t>中间交工工程的范围和竣工时间：</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599E2A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14、竣工结算</w:t>
      </w:r>
    </w:p>
    <w:p w14:paraId="7B98167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工程款97%在工程竣工验收合格并结算审计后可向财政部门申请支付（无息）。</w:t>
      </w:r>
    </w:p>
    <w:p w14:paraId="14A40871">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15、质量保修</w:t>
      </w:r>
    </w:p>
    <w:p w14:paraId="73E485B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质量保修书的主要内容包括：</w:t>
      </w:r>
    </w:p>
    <w:p w14:paraId="20EB36FE">
      <w:pPr>
        <w:numPr>
          <w:ilvl w:val="0"/>
          <w:numId w:val="10"/>
        </w:num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质量保证金的支付方法：</w:t>
      </w:r>
    </w:p>
    <w:p w14:paraId="7AA9830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在工程保修期在内，发包人可以根据国家有关规定和合同规定的金额，在支付承包人的工程款内预留质量保证金。质量保证金为：</w:t>
      </w:r>
      <w:r>
        <w:rPr>
          <w:rFonts w:hint="eastAsia" w:ascii="宋体" w:hAnsi="宋体" w:cs="宋体"/>
          <w:color w:val="auto"/>
          <w:sz w:val="24"/>
          <w:highlight w:val="none"/>
          <w:u w:val="single"/>
        </w:rPr>
        <w:t>结算总价款的3％</w:t>
      </w:r>
      <w:r>
        <w:rPr>
          <w:rFonts w:hint="eastAsia" w:ascii="宋体" w:hAnsi="宋体" w:cs="宋体"/>
          <w:color w:val="auto"/>
          <w:sz w:val="24"/>
          <w:highlight w:val="none"/>
        </w:rPr>
        <w:t>。发包人在工程质量保修</w:t>
      </w:r>
      <w:r>
        <w:rPr>
          <w:rFonts w:hint="eastAsia" w:ascii="宋体" w:hAnsi="宋体" w:cs="宋体"/>
          <w:color w:val="auto"/>
          <w:sz w:val="24"/>
          <w:highlight w:val="none"/>
          <w:u w:val="single"/>
        </w:rPr>
        <w:t>满壹年之日起后可向财政部门申请全部退回质量保证金</w:t>
      </w:r>
      <w:r>
        <w:rPr>
          <w:rFonts w:hint="eastAsia" w:ascii="宋体" w:hAnsi="宋体" w:cs="宋体"/>
          <w:color w:val="auto"/>
          <w:sz w:val="24"/>
          <w:highlight w:val="none"/>
        </w:rPr>
        <w:t>给承包人（无息）。</w:t>
      </w:r>
    </w:p>
    <w:p w14:paraId="54141B00">
      <w:pPr>
        <w:numPr>
          <w:ilvl w:val="0"/>
          <w:numId w:val="11"/>
        </w:numPr>
        <w:tabs>
          <w:tab w:val="left" w:pos="463"/>
        </w:tabs>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违约和索赔</w:t>
      </w:r>
    </w:p>
    <w:p w14:paraId="225CB43B">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16、违约</w:t>
      </w:r>
    </w:p>
    <w:p w14:paraId="597AFE1E">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16.1.2本合同中关于发包人违约的具体责任如下：</w:t>
      </w:r>
    </w:p>
    <w:p w14:paraId="5E73B810">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本合同通用条款第16.1.2条约定发包人违约应承担的违约责任：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18691E9F">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本合同通用条款第16.1.3款约定发包人违约应承担的违约责任：</w:t>
      </w:r>
      <w:r>
        <w:rPr>
          <w:rFonts w:hint="eastAsia" w:ascii="宋体" w:hAnsi="宋体" w:cs="宋体"/>
          <w:color w:val="auto"/>
          <w:sz w:val="24"/>
          <w:highlight w:val="none"/>
          <w:u w:val="single"/>
        </w:rPr>
        <w:t>按通用条款第16.1.3款执行。</w:t>
      </w:r>
    </w:p>
    <w:p w14:paraId="13C88751">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本合同通用条款第16.1.4款约定发包人违约应承担的违约责任：</w:t>
      </w:r>
      <w:r>
        <w:rPr>
          <w:rFonts w:hint="eastAsia" w:ascii="宋体" w:hAnsi="宋体" w:cs="宋体"/>
          <w:color w:val="auto"/>
          <w:sz w:val="24"/>
          <w:highlight w:val="none"/>
          <w:u w:val="single"/>
        </w:rPr>
        <w:t xml:space="preserve">  无  </w:t>
      </w:r>
      <w:r>
        <w:rPr>
          <w:rFonts w:hint="eastAsia" w:ascii="宋体" w:hAnsi="宋体" w:cs="宋体"/>
          <w:color w:val="auto"/>
          <w:sz w:val="24"/>
          <w:highlight w:val="none"/>
        </w:rPr>
        <w:t xml:space="preserve"> 。</w:t>
      </w:r>
    </w:p>
    <w:p w14:paraId="0EFBE1D4">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双方约定的发包人其他违约责任：</w:t>
      </w:r>
      <w:r>
        <w:rPr>
          <w:rFonts w:hint="eastAsia" w:ascii="宋体" w:hAnsi="宋体" w:cs="宋体"/>
          <w:color w:val="auto"/>
          <w:sz w:val="24"/>
          <w:highlight w:val="none"/>
          <w:u w:val="single"/>
        </w:rPr>
        <w:t>按通用条款执行。</w:t>
      </w:r>
    </w:p>
    <w:p w14:paraId="70134CB7">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承包人违约</w:t>
      </w:r>
    </w:p>
    <w:p w14:paraId="2F730C5B">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16.2.1 承包人违约的情形</w:t>
      </w:r>
    </w:p>
    <w:p w14:paraId="6BADCCE8">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承包人违约的其他情形： </w:t>
      </w:r>
    </w:p>
    <w:p w14:paraId="059AD5EC">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 28 天内仍未提交。</w:t>
      </w:r>
    </w:p>
    <w:p w14:paraId="200D791B">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16.2.2承包人违约的责任</w:t>
      </w:r>
    </w:p>
    <w:p w14:paraId="3FEBC76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承包人违约责任的承担方式和计算方法： </w:t>
      </w:r>
    </w:p>
    <w:p w14:paraId="534D2536">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（1）承包人违反合同约定进行转包或违法分包的，监理人可向承包人发出整改通知，要求其在指定的期限内改正，并且承包人应按合同价款20%向发包人支付违约金；</w:t>
      </w:r>
    </w:p>
    <w:p w14:paraId="5199794F">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（2）承包人违反合同约定采购和使用不合格的材料和工程设备的，承包人应将不合格的材料和工程设备的限期清理出施工场地，并负责承担返工及造成损失的费用；</w:t>
      </w:r>
    </w:p>
    <w:p w14:paraId="07CFACBC">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（3）因承包人原因导致工程质量不符合合同要求的，承包人应负责返工或修整，并负责由此产生的费用和损失； </w:t>
      </w:r>
    </w:p>
    <w:p w14:paraId="45226464">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（4）承包人违反通用合同条款第8.9款〔材料与设备专用要求〕的约定，未经批准，私自将已按照合同约定进入施工现场的材料或设备撤离施工现场的，承包人应负责承担由此产生的费用和损失；</w:t>
      </w:r>
    </w:p>
    <w:p w14:paraId="53721DBA">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（5）承包人未能按施工进度计划及时完成合同约定的工作，造成工期延误的，承包人应进行施工进度计划调整并按时完成合同约定的工作，并承担赶工所产生的费用；</w:t>
      </w:r>
    </w:p>
    <w:p w14:paraId="5BEB5AC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承包人在缺陷责任期及保修期内，未能在合理期限对工程缺陷进行修复，或拒绝按发包人要求进行修复的。发包人可以委托他人修理，修理费用从质量保证金中扣减，不足部分承包人另行支付，承包人还应承担发包人由此造成的损失；</w:t>
      </w:r>
    </w:p>
    <w:p w14:paraId="6F05BDC8">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（7）承包人明确表示或者以其行为表明不履行合同主要义务的，发包人有权解除合同，并承担发包人不能按期投入使用所造成全部的损失。</w:t>
      </w:r>
    </w:p>
    <w:p w14:paraId="4A4EA4C8">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承包人未在约定的时间内提供完整的工程竣工结算资料，经发包人书面催促后28天内仍未提交，则发包人有权将已有资料送浦北县审计部门或有资质的造价咨询机构进行结算审计，由此产生的责任由承包人自负；除此之外，承包人还应就延迟提交工程竣工结算资料向发包人支付违约金，违约金额为签约合同价的2%，发包人有权在审定的工程结算价中优先扣除该违约金；</w:t>
      </w:r>
    </w:p>
    <w:p w14:paraId="461461B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（9）承包人的其他违约见本合同其他条款的约定。</w:t>
      </w:r>
    </w:p>
    <w:p w14:paraId="16F4F017">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16.2.2本合同中关于承包人违约的具体责任如下：</w:t>
      </w:r>
    </w:p>
    <w:p w14:paraId="4DAB5096">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双方约定的承包人其他违约责任：</w:t>
      </w:r>
      <w:r>
        <w:rPr>
          <w:rFonts w:hint="eastAsia" w:ascii="宋体" w:hAnsi="宋体" w:cs="宋体"/>
          <w:color w:val="auto"/>
          <w:sz w:val="24"/>
          <w:highlight w:val="none"/>
          <w:u w:val="single"/>
        </w:rPr>
        <w:t>按通用条款执行。</w:t>
      </w:r>
    </w:p>
    <w:p w14:paraId="403F671B">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承包人在工程项目实施过程中不得无故更换投标（响应）文件中承诺的项目经理、施工员、材料员、质检员、安全员、预算员等主要施工管理人员。因不可抗拒的原因需要更换的，应事前征得建设单位及行政主管部门书面同意，并及时报质量、安全、招投标监督机构备案，否则建设单位有权终止施工合同，并依法追究相关责任。</w:t>
      </w:r>
    </w:p>
    <w:p w14:paraId="5B633DC4">
      <w:pPr>
        <w:numPr>
          <w:ilvl w:val="0"/>
          <w:numId w:val="11"/>
        </w:numPr>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不可抗力、保险及争议</w:t>
      </w:r>
    </w:p>
    <w:p w14:paraId="09456292">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17、不可抗力</w:t>
      </w:r>
    </w:p>
    <w:p w14:paraId="45E330C3">
      <w:pPr>
        <w:tabs>
          <w:tab w:val="left" w:pos="463"/>
        </w:tabs>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17.1双方关于不可抗力的约定：按《通用条款》第17款执行。</w:t>
      </w:r>
    </w:p>
    <w:p w14:paraId="37D28BBF">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18、保险</w:t>
      </w:r>
    </w:p>
    <w:p w14:paraId="2347EF3D">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18.1本工程双方约定投保内容如下：</w:t>
      </w:r>
    </w:p>
    <w:p w14:paraId="19B1AA44">
      <w:pPr>
        <w:numPr>
          <w:ilvl w:val="0"/>
          <w:numId w:val="12"/>
        </w:num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发包人投保内容：</w:t>
      </w:r>
      <w:r>
        <w:rPr>
          <w:rFonts w:hint="eastAsia" w:ascii="宋体" w:hAnsi="宋体" w:cs="宋体"/>
          <w:color w:val="auto"/>
          <w:sz w:val="24"/>
          <w:highlight w:val="none"/>
          <w:u w:val="single"/>
        </w:rPr>
        <w:t>按国家政策自行办理。</w:t>
      </w:r>
    </w:p>
    <w:p w14:paraId="4FDDA188">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发包人委托承包人办理的保险事项：</w:t>
      </w:r>
      <w:r>
        <w:rPr>
          <w:rFonts w:hint="eastAsia" w:ascii="宋体" w:hAnsi="宋体" w:cs="宋体"/>
          <w:color w:val="auto"/>
          <w:sz w:val="24"/>
          <w:highlight w:val="none"/>
          <w:u w:val="single"/>
        </w:rPr>
        <w:t xml:space="preserve"> 无 。</w:t>
      </w:r>
    </w:p>
    <w:p w14:paraId="048ACC68">
      <w:pPr>
        <w:numPr>
          <w:ilvl w:val="0"/>
          <w:numId w:val="12"/>
        </w:num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承包人投保内容：</w:t>
      </w:r>
      <w:r>
        <w:rPr>
          <w:rFonts w:hint="eastAsia" w:ascii="宋体" w:hAnsi="宋体" w:cs="宋体"/>
          <w:color w:val="auto"/>
          <w:sz w:val="24"/>
          <w:highlight w:val="none"/>
          <w:u w:val="single"/>
        </w:rPr>
        <w:t>承包人应按有关规定自行投保施工人员的人身事故保险，该保险应不属于储蓄险等。承包人应于签订全同之日起10日内按有关规定自行办理。</w:t>
      </w:r>
    </w:p>
    <w:p w14:paraId="5BD057C5">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20、争议</w:t>
      </w:r>
    </w:p>
    <w:p w14:paraId="62C3FDED">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20.4本合同在履行过程中发生的争议，由双方当事人协商解决，协商不成的按下列</w:t>
      </w:r>
      <w:r>
        <w:rPr>
          <w:rFonts w:hint="eastAsia" w:ascii="宋体" w:hAnsi="宋体" w:cs="宋体"/>
          <w:color w:val="auto"/>
          <w:sz w:val="24"/>
          <w:highlight w:val="none"/>
          <w:u w:val="single"/>
        </w:rPr>
        <w:t>第（二）</w:t>
      </w:r>
      <w:r>
        <w:rPr>
          <w:rFonts w:hint="eastAsia" w:ascii="宋体" w:hAnsi="宋体" w:cs="宋体"/>
          <w:color w:val="auto"/>
          <w:sz w:val="24"/>
          <w:highlight w:val="none"/>
        </w:rPr>
        <w:t>种方式解决：</w:t>
      </w:r>
    </w:p>
    <w:p w14:paraId="13F15361">
      <w:pPr>
        <w:numPr>
          <w:ilvl w:val="0"/>
          <w:numId w:val="13"/>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向</w:t>
      </w:r>
      <w:r>
        <w:rPr>
          <w:rFonts w:hint="eastAsia" w:ascii="宋体" w:hAnsi="宋体" w:cs="宋体"/>
          <w:color w:val="auto"/>
          <w:sz w:val="24"/>
          <w:highlight w:val="none"/>
          <w:u w:val="single"/>
        </w:rPr>
        <w:t>约定的</w:t>
      </w:r>
      <w:r>
        <w:rPr>
          <w:rFonts w:hint="eastAsia" w:ascii="宋体" w:hAnsi="宋体" w:cs="宋体"/>
          <w:color w:val="auto"/>
          <w:sz w:val="24"/>
          <w:highlight w:val="none"/>
        </w:rPr>
        <w:t>仲裁委员会申请仲裁：</w:t>
      </w:r>
    </w:p>
    <w:p w14:paraId="2C186165">
      <w:pPr>
        <w:numPr>
          <w:ilvl w:val="0"/>
          <w:numId w:val="13"/>
        </w:num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依法向发包人所在地人民法院起诉。</w:t>
      </w:r>
    </w:p>
    <w:p w14:paraId="3E5D1929">
      <w:pPr>
        <w:adjustRightInd w:val="0"/>
        <w:snapToGrid w:val="0"/>
        <w:spacing w:line="356" w:lineRule="auto"/>
        <w:ind w:firstLine="562" w:firstLineChars="20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十一、其他</w:t>
      </w:r>
    </w:p>
    <w:p w14:paraId="149B1FF3">
      <w:pPr>
        <w:adjustRightInd w:val="0"/>
        <w:snapToGrid w:val="0"/>
        <w:spacing w:line="356"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21、合同份数</w:t>
      </w:r>
    </w:p>
    <w:p w14:paraId="1E256FE4">
      <w:pPr>
        <w:adjustRightInd w:val="0"/>
        <w:snapToGrid w:val="0"/>
        <w:spacing w:line="356"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21.1双方约定合同份数：</w:t>
      </w:r>
      <w:r>
        <w:rPr>
          <w:rFonts w:hint="eastAsia" w:ascii="宋体" w:hAnsi="宋体" w:cs="宋体"/>
          <w:color w:val="auto"/>
          <w:sz w:val="24"/>
          <w:highlight w:val="none"/>
          <w:u w:val="single"/>
        </w:rPr>
        <w:t>正本贰份，副本陆份，双方各执壹份正本，叁份副本。</w:t>
      </w:r>
    </w:p>
    <w:p w14:paraId="2BF880B4">
      <w:pPr>
        <w:spacing w:before="156" w:beforeLines="50" w:after="156" w:afterLines="50" w:line="360" w:lineRule="auto"/>
        <w:rPr>
          <w:rFonts w:hint="eastAsia" w:ascii="宋体" w:hAnsi="宋体" w:cs="宋体"/>
          <w:color w:val="auto"/>
          <w:spacing w:val="20"/>
          <w:sz w:val="24"/>
          <w:highlight w:val="none"/>
        </w:rPr>
      </w:pPr>
    </w:p>
    <w:p w14:paraId="0A14FE86">
      <w:pPr>
        <w:spacing w:before="156" w:beforeLines="50" w:after="156" w:afterLines="50" w:line="360" w:lineRule="auto"/>
        <w:rPr>
          <w:rFonts w:hint="eastAsia" w:ascii="宋体" w:hAnsi="宋体" w:cs="宋体"/>
          <w:color w:val="auto"/>
          <w:spacing w:val="20"/>
          <w:sz w:val="24"/>
          <w:highlight w:val="none"/>
        </w:rPr>
      </w:pPr>
    </w:p>
    <w:p w14:paraId="24659A4A">
      <w:pPr>
        <w:spacing w:before="156" w:beforeLines="50" w:after="156" w:afterLines="50" w:line="360" w:lineRule="auto"/>
        <w:rPr>
          <w:rFonts w:hint="eastAsia" w:ascii="宋体" w:hAnsi="宋体" w:cs="宋体"/>
          <w:color w:val="auto"/>
          <w:spacing w:val="20"/>
          <w:sz w:val="24"/>
          <w:highlight w:val="none"/>
        </w:rPr>
      </w:pPr>
    </w:p>
    <w:p w14:paraId="6A1E7FA4">
      <w:pPr>
        <w:spacing w:before="156" w:beforeLines="50" w:after="156" w:afterLines="50" w:line="360" w:lineRule="auto"/>
        <w:rPr>
          <w:rFonts w:hint="eastAsia" w:ascii="宋体" w:hAnsi="宋体" w:cs="宋体"/>
          <w:color w:val="auto"/>
          <w:spacing w:val="20"/>
          <w:sz w:val="24"/>
          <w:highlight w:val="none"/>
        </w:rPr>
      </w:pPr>
    </w:p>
    <w:p w14:paraId="20118A75">
      <w:pPr>
        <w:spacing w:before="156" w:beforeLines="50" w:after="156" w:afterLines="50" w:line="360" w:lineRule="auto"/>
        <w:rPr>
          <w:rFonts w:hint="eastAsia" w:ascii="宋体" w:hAnsi="宋体" w:cs="宋体"/>
          <w:color w:val="auto"/>
          <w:spacing w:val="20"/>
          <w:sz w:val="24"/>
          <w:highlight w:val="none"/>
        </w:rPr>
      </w:pPr>
    </w:p>
    <w:p w14:paraId="52ACBBE2">
      <w:pPr>
        <w:spacing w:before="156" w:beforeLines="50" w:after="156" w:afterLines="50" w:line="360" w:lineRule="auto"/>
        <w:rPr>
          <w:rFonts w:hint="eastAsia" w:ascii="宋体" w:hAnsi="宋体" w:cs="宋体"/>
          <w:color w:val="auto"/>
          <w:spacing w:val="20"/>
          <w:sz w:val="24"/>
          <w:highlight w:val="none"/>
        </w:rPr>
      </w:pPr>
    </w:p>
    <w:p w14:paraId="167BED1F">
      <w:pPr>
        <w:spacing w:before="156" w:beforeLines="50" w:after="156" w:afterLines="50" w:line="360" w:lineRule="auto"/>
        <w:rPr>
          <w:rFonts w:hint="eastAsia" w:ascii="宋体" w:hAnsi="宋体" w:cs="宋体"/>
          <w:color w:val="auto"/>
          <w:spacing w:val="20"/>
          <w:sz w:val="24"/>
          <w:highlight w:val="none"/>
        </w:rPr>
      </w:pPr>
    </w:p>
    <w:p w14:paraId="3F4CCF8F">
      <w:pPr>
        <w:spacing w:before="156" w:beforeLines="50" w:after="156" w:afterLines="50" w:line="360" w:lineRule="auto"/>
        <w:rPr>
          <w:rFonts w:hint="eastAsia" w:ascii="宋体" w:hAnsi="宋体" w:cs="宋体"/>
          <w:color w:val="auto"/>
          <w:spacing w:val="20"/>
          <w:sz w:val="24"/>
          <w:highlight w:val="none"/>
        </w:rPr>
      </w:pPr>
    </w:p>
    <w:p w14:paraId="4E7DFC2F">
      <w:pPr>
        <w:spacing w:before="156" w:beforeLines="50" w:after="156" w:afterLines="50" w:line="360" w:lineRule="auto"/>
        <w:rPr>
          <w:rFonts w:hint="eastAsia" w:ascii="宋体" w:hAnsi="宋体" w:cs="宋体"/>
          <w:color w:val="auto"/>
          <w:spacing w:val="20"/>
          <w:sz w:val="24"/>
          <w:highlight w:val="none"/>
        </w:rPr>
      </w:pPr>
    </w:p>
    <w:p w14:paraId="54A61296">
      <w:pPr>
        <w:spacing w:before="156" w:beforeLines="50" w:after="156" w:afterLines="50" w:line="360" w:lineRule="auto"/>
        <w:rPr>
          <w:rFonts w:hint="eastAsia" w:ascii="宋体" w:hAnsi="宋体" w:cs="宋体"/>
          <w:color w:val="auto"/>
          <w:spacing w:val="20"/>
          <w:sz w:val="24"/>
          <w:highlight w:val="none"/>
        </w:rPr>
      </w:pPr>
    </w:p>
    <w:p w14:paraId="7296FCDE">
      <w:pPr>
        <w:spacing w:before="156" w:beforeLines="50" w:after="156" w:afterLines="50" w:line="360" w:lineRule="auto"/>
        <w:rPr>
          <w:rFonts w:hint="eastAsia" w:ascii="宋体" w:hAnsi="宋体" w:cs="宋体"/>
          <w:color w:val="auto"/>
          <w:spacing w:val="20"/>
          <w:sz w:val="24"/>
          <w:highlight w:val="none"/>
        </w:rPr>
      </w:pPr>
    </w:p>
    <w:p w14:paraId="2C76A412">
      <w:pPr>
        <w:spacing w:before="156" w:beforeLines="50" w:after="156" w:afterLines="50" w:line="360" w:lineRule="auto"/>
        <w:rPr>
          <w:rFonts w:hint="eastAsia" w:ascii="宋体" w:hAnsi="宋体" w:cs="宋体"/>
          <w:color w:val="auto"/>
          <w:spacing w:val="20"/>
          <w:sz w:val="24"/>
          <w:highlight w:val="none"/>
        </w:rPr>
      </w:pPr>
    </w:p>
    <w:p w14:paraId="4E8E05FF">
      <w:pPr>
        <w:spacing w:before="156" w:beforeLines="50" w:after="156" w:afterLines="50" w:line="360" w:lineRule="auto"/>
        <w:rPr>
          <w:rFonts w:hint="eastAsia" w:ascii="宋体" w:hAnsi="宋体" w:cs="宋体"/>
          <w:color w:val="auto"/>
          <w:spacing w:val="20"/>
          <w:sz w:val="24"/>
          <w:highlight w:val="none"/>
        </w:rPr>
      </w:pPr>
    </w:p>
    <w:p w14:paraId="39B44D38">
      <w:pPr>
        <w:spacing w:before="156" w:beforeLines="50" w:after="156" w:afterLines="50" w:line="360" w:lineRule="auto"/>
        <w:rPr>
          <w:rFonts w:hint="eastAsia" w:ascii="宋体" w:hAnsi="宋体" w:cs="宋体"/>
          <w:color w:val="auto"/>
          <w:spacing w:val="20"/>
          <w:sz w:val="24"/>
          <w:highlight w:val="none"/>
        </w:rPr>
      </w:pPr>
    </w:p>
    <w:p w14:paraId="4CDFFB8D">
      <w:pPr>
        <w:spacing w:before="156" w:beforeLines="50" w:after="156" w:afterLines="50" w:line="360" w:lineRule="auto"/>
        <w:rPr>
          <w:rFonts w:hint="eastAsia" w:ascii="宋体" w:hAnsi="宋体" w:cs="宋体"/>
          <w:color w:val="auto"/>
          <w:spacing w:val="20"/>
          <w:sz w:val="24"/>
          <w:highlight w:val="none"/>
        </w:rPr>
      </w:pPr>
    </w:p>
    <w:p w14:paraId="51CB4170">
      <w:pPr>
        <w:spacing w:before="156" w:beforeLines="50" w:after="156" w:afterLines="50" w:line="360" w:lineRule="auto"/>
        <w:rPr>
          <w:rFonts w:hint="eastAsia" w:ascii="宋体" w:hAnsi="宋体" w:cs="宋体"/>
          <w:color w:val="auto"/>
          <w:spacing w:val="20"/>
          <w:sz w:val="24"/>
          <w:highlight w:val="none"/>
        </w:rPr>
      </w:pPr>
    </w:p>
    <w:p w14:paraId="5DD0E81C">
      <w:pPr>
        <w:spacing w:before="156" w:beforeLines="50" w:after="156" w:afterLines="50" w:line="360" w:lineRule="auto"/>
        <w:rPr>
          <w:rFonts w:hint="eastAsia" w:ascii="宋体" w:hAnsi="宋体" w:cs="宋体"/>
          <w:color w:val="auto"/>
          <w:spacing w:val="20"/>
          <w:sz w:val="24"/>
          <w:highlight w:val="none"/>
        </w:rPr>
      </w:pPr>
    </w:p>
    <w:p w14:paraId="122A8F53">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附件1</w:t>
      </w:r>
    </w:p>
    <w:p w14:paraId="05C93055">
      <w:pPr>
        <w:spacing w:before="156" w:beforeLines="50" w:after="156" w:afterLines="50" w:line="360" w:lineRule="auto"/>
        <w:jc w:val="center"/>
        <w:rPr>
          <w:rFonts w:hint="eastAsia" w:ascii="宋体" w:hAnsi="宋体" w:cs="宋体"/>
          <w:b/>
          <w:bCs/>
          <w:color w:val="auto"/>
          <w:spacing w:val="20"/>
          <w:sz w:val="36"/>
          <w:szCs w:val="36"/>
          <w:highlight w:val="none"/>
        </w:rPr>
      </w:pPr>
      <w:r>
        <w:rPr>
          <w:rFonts w:hint="eastAsia" w:ascii="宋体" w:hAnsi="宋体" w:cs="宋体"/>
          <w:b/>
          <w:bCs/>
          <w:color w:val="auto"/>
          <w:spacing w:val="20"/>
          <w:sz w:val="40"/>
          <w:szCs w:val="40"/>
          <w:highlight w:val="none"/>
        </w:rPr>
        <w:t>工程质量保修书</w:t>
      </w:r>
    </w:p>
    <w:p w14:paraId="124FE3CE">
      <w:pPr>
        <w:spacing w:before="156" w:beforeLines="50" w:after="156" w:afterLines="50" w:line="360" w:lineRule="auto"/>
        <w:jc w:val="center"/>
        <w:rPr>
          <w:rFonts w:hint="eastAsia" w:ascii="宋体" w:hAnsi="宋体" w:cs="宋体"/>
          <w:b/>
          <w:bCs/>
          <w:color w:val="auto"/>
          <w:spacing w:val="20"/>
          <w:sz w:val="36"/>
          <w:szCs w:val="36"/>
          <w:highlight w:val="none"/>
        </w:rPr>
      </w:pPr>
    </w:p>
    <w:p w14:paraId="1DE30EC9">
      <w:pPr>
        <w:adjustRightInd w:val="0"/>
        <w:snapToGrid w:val="0"/>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浦北县龙门镇人民政府</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2ABAEA4C">
      <w:pPr>
        <w:adjustRightInd w:val="0"/>
        <w:snapToGrid w:val="0"/>
        <w:spacing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承包人（全称）：</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w:t>
      </w:r>
    </w:p>
    <w:p w14:paraId="5FBB1EB4">
      <w:pPr>
        <w:adjustRightInd w:val="0"/>
        <w:snapToGrid w:val="0"/>
        <w:spacing w:line="360" w:lineRule="auto"/>
        <w:ind w:firstLine="42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发包人和承包人根据《中华人民共和国建筑法》、《建设工程质量管理条例》和《房屋建筑工程质量保修办法》，经协商一致，对</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eastAsia="zh-CN"/>
        </w:rPr>
        <w:t>2026年龙门镇日新村委长岭岗岭、大平坡大红柑产业道路硬化工程</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签订工程质量保修书。</w:t>
      </w:r>
    </w:p>
    <w:p w14:paraId="2895C8F7">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1、工程质量保修范围和内容</w:t>
      </w:r>
    </w:p>
    <w:p w14:paraId="154B82F3">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承包人在质量保修期内，按照有关法律、法规、规章的管理规定和双方约定，承担工程质量保修责任。</w:t>
      </w:r>
    </w:p>
    <w:p w14:paraId="0CEB683E">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3E0ABC55">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u w:val="single"/>
        </w:rPr>
        <w:t xml:space="preserve"> 质量保修范围包括  工程等承包人施工的项目  </w:t>
      </w:r>
      <w:r>
        <w:rPr>
          <w:rFonts w:hint="eastAsia" w:ascii="宋体" w:hAnsi="宋体" w:cs="宋体"/>
          <w:color w:val="auto"/>
          <w:spacing w:val="20"/>
          <w:sz w:val="24"/>
          <w:highlight w:val="none"/>
        </w:rPr>
        <w:t>。</w:t>
      </w:r>
    </w:p>
    <w:p w14:paraId="3CE7F05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非承包人施工的项目或非承包人购买的材料、设备，不在保修范围内；因承包人之外的原因造成该部分材料、设备返修的经济支出，不由承包人承担。 </w:t>
      </w:r>
    </w:p>
    <w:p w14:paraId="28FCA6FB">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因使用不当或者第三方造成质量缺陷的，承包人不负担责任 。 </w:t>
      </w:r>
    </w:p>
    <w:p w14:paraId="7F9EAF71">
      <w:pPr>
        <w:adjustRightInd w:val="0"/>
        <w:snapToGrid w:val="0"/>
        <w:spacing w:line="360" w:lineRule="auto"/>
        <w:ind w:firstLine="560" w:firstLineChars="200"/>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rPr>
        <w:t xml:space="preserve">因不可抗力造成质量缺陷的，承包人不负担责任 。 </w:t>
      </w:r>
    </w:p>
    <w:p w14:paraId="05BD6E1A">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2、质量保修期</w:t>
      </w:r>
    </w:p>
    <w:p w14:paraId="4F358C3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根据《建设工程质量管理条例》及有关规定，约定本工程的质量保修期如下：</w:t>
      </w:r>
    </w:p>
    <w:p w14:paraId="54514A10">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主本工程为设计文件规定的该工程合理使用年限。</w:t>
      </w:r>
    </w:p>
    <w:p w14:paraId="4D931C1B">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其他工程项目保修期</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年。</w:t>
      </w:r>
    </w:p>
    <w:p w14:paraId="1FAA1EEA">
      <w:pPr>
        <w:numPr>
          <w:ilvl w:val="0"/>
          <w:numId w:val="14"/>
        </w:numPr>
        <w:adjustRightInd w:val="0"/>
        <w:snapToGrid w:val="0"/>
        <w:spacing w:line="360" w:lineRule="auto"/>
        <w:ind w:firstLine="560" w:firstLineChars="200"/>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质量保修期自工程竣工验收合格之日起计算器。</w:t>
      </w:r>
    </w:p>
    <w:p w14:paraId="5C70A816">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3、质量保修责任</w:t>
      </w:r>
    </w:p>
    <w:p w14:paraId="68ED2CD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1．属于保修范围、内容的项目，承包人应当在接到保修通知之日起</w:t>
      </w:r>
      <w:r>
        <w:rPr>
          <w:rFonts w:hint="eastAsia" w:ascii="宋体" w:hAnsi="宋体" w:cs="宋体"/>
          <w:color w:val="auto"/>
          <w:spacing w:val="20"/>
          <w:sz w:val="24"/>
          <w:highlight w:val="none"/>
          <w:u w:val="single"/>
        </w:rPr>
        <w:t xml:space="preserve">  7    </w:t>
      </w:r>
      <w:r>
        <w:rPr>
          <w:rFonts w:hint="eastAsia" w:ascii="宋体" w:hAnsi="宋体" w:cs="宋体"/>
          <w:color w:val="auto"/>
          <w:spacing w:val="20"/>
          <w:sz w:val="24"/>
          <w:highlight w:val="none"/>
        </w:rPr>
        <w:t>天内派人保修。承包人不在约定期限内派人保修的，发包人可以委托他人修理，发生费用由承包人承担。</w:t>
      </w:r>
    </w:p>
    <w:p w14:paraId="6DDEB7BB">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2．发生须紧急抢修事故的，承包人在接到事故通知后，应当立即到达事故现场抢修。</w:t>
      </w:r>
    </w:p>
    <w:p w14:paraId="143B6989">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464C7620">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4．质量保修完成后，由发包人组织验收。</w:t>
      </w:r>
    </w:p>
    <w:p w14:paraId="7E5C7CCB">
      <w:pPr>
        <w:adjustRightInd w:val="0"/>
        <w:snapToGrid w:val="0"/>
        <w:spacing w:line="360" w:lineRule="auto"/>
        <w:outlineLvl w:val="0"/>
        <w:rPr>
          <w:rFonts w:hint="eastAsia" w:ascii="宋体" w:hAnsi="宋体" w:cs="宋体"/>
          <w:color w:val="auto"/>
          <w:spacing w:val="20"/>
          <w:sz w:val="24"/>
          <w:highlight w:val="none"/>
        </w:rPr>
      </w:pPr>
      <w:r>
        <w:rPr>
          <w:rFonts w:hint="eastAsia" w:ascii="宋体" w:hAnsi="宋体" w:cs="宋体"/>
          <w:color w:val="auto"/>
          <w:spacing w:val="20"/>
          <w:sz w:val="24"/>
          <w:highlight w:val="none"/>
        </w:rPr>
        <w:t>4、保修费用</w:t>
      </w:r>
    </w:p>
    <w:p w14:paraId="3D2C696A">
      <w:pPr>
        <w:adjustRightInd w:val="0"/>
        <w:snapToGrid w:val="0"/>
        <w:spacing w:line="360" w:lineRule="auto"/>
        <w:ind w:firstLine="560" w:firstLineChars="200"/>
        <w:rPr>
          <w:rFonts w:hint="eastAsia" w:ascii="宋体" w:hAnsi="宋体" w:cs="宋体"/>
          <w:color w:val="auto"/>
          <w:spacing w:val="20"/>
          <w:sz w:val="24"/>
          <w:highlight w:val="none"/>
        </w:rPr>
      </w:pPr>
      <w:r>
        <w:rPr>
          <w:rFonts w:hint="eastAsia" w:ascii="宋体" w:hAnsi="宋体" w:cs="宋体"/>
          <w:color w:val="auto"/>
          <w:spacing w:val="20"/>
          <w:sz w:val="24"/>
          <w:highlight w:val="none"/>
        </w:rPr>
        <w:t>保修费用由造成质量缺陷的责任方承担。</w:t>
      </w:r>
    </w:p>
    <w:p w14:paraId="6BD4D01C">
      <w:pPr>
        <w:numPr>
          <w:ilvl w:val="0"/>
          <w:numId w:val="15"/>
        </w:num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其他</w:t>
      </w:r>
    </w:p>
    <w:p w14:paraId="5E40C2BF">
      <w:pPr>
        <w:adjustRightInd w:val="0"/>
        <w:snapToGrid w:val="0"/>
        <w:spacing w:line="360" w:lineRule="auto"/>
        <w:jc w:val="left"/>
        <w:rPr>
          <w:rFonts w:hint="eastAsia" w:ascii="宋体" w:hAnsi="宋体" w:cs="宋体"/>
          <w:color w:val="auto"/>
          <w:spacing w:val="20"/>
          <w:sz w:val="24"/>
          <w:highlight w:val="none"/>
        </w:rPr>
      </w:pPr>
      <w:r>
        <w:rPr>
          <w:rFonts w:hint="eastAsia" w:ascii="宋体" w:hAnsi="宋体" w:cs="宋体"/>
          <w:color w:val="auto"/>
          <w:spacing w:val="20"/>
          <w:sz w:val="24"/>
          <w:highlight w:val="none"/>
        </w:rPr>
        <w:t>双方约定的其他工程质量保修事项：</w:t>
      </w:r>
      <w:r>
        <w:rPr>
          <w:rFonts w:hint="eastAsia" w:ascii="宋体" w:hAnsi="宋体" w:cs="宋体"/>
          <w:color w:val="auto"/>
          <w:spacing w:val="20"/>
          <w:sz w:val="24"/>
          <w:highlight w:val="none"/>
          <w:u w:val="single"/>
        </w:rPr>
        <w:t xml:space="preserve"> 在工程保修期内，发包人根据合同规定的金额，在支付承包人的工程款内预留质量保证金。质量保证金为：结算总价款的3%，质量保证金银行利率为：0。发包人在工程质量保修期满壹年之日起可向财政部门申请返还（无息）</w:t>
      </w:r>
      <w:r>
        <w:rPr>
          <w:rFonts w:hint="eastAsia" w:ascii="宋体" w:hAnsi="宋体" w:cs="宋体"/>
          <w:color w:val="auto"/>
          <w:spacing w:val="20"/>
          <w:sz w:val="24"/>
          <w:highlight w:val="none"/>
        </w:rPr>
        <w:t>。</w:t>
      </w:r>
    </w:p>
    <w:p w14:paraId="757C0DE6">
      <w:pPr>
        <w:adjustRightInd w:val="0"/>
        <w:snapToGrid w:val="0"/>
        <w:spacing w:line="360" w:lineRule="auto"/>
        <w:ind w:firstLine="532" w:firstLineChars="190"/>
        <w:rPr>
          <w:rFonts w:hint="eastAsia" w:ascii="宋体" w:hAnsi="宋体" w:cs="宋体"/>
          <w:color w:val="auto"/>
          <w:spacing w:val="20"/>
          <w:sz w:val="24"/>
          <w:highlight w:val="none"/>
        </w:rPr>
      </w:pPr>
      <w:r>
        <w:rPr>
          <w:rFonts w:hint="eastAsia" w:ascii="宋体" w:hAnsi="宋体" w:cs="宋体"/>
          <w:color w:val="auto"/>
          <w:spacing w:val="20"/>
          <w:sz w:val="24"/>
          <w:highlight w:val="none"/>
        </w:rPr>
        <w:t>本工程质量保修书，由施工合同发包人、承包人双方在竣工验收前共同签署，作为施工合同附件，其有效期限至保修期满。</w:t>
      </w:r>
    </w:p>
    <w:p w14:paraId="332E1BB4">
      <w:pPr>
        <w:adjustRightInd w:val="0"/>
        <w:snapToGrid w:val="0"/>
        <w:spacing w:line="360" w:lineRule="auto"/>
        <w:rPr>
          <w:rFonts w:hint="eastAsia" w:ascii="宋体" w:hAnsi="宋体" w:cs="宋体"/>
          <w:color w:val="auto"/>
          <w:spacing w:val="20"/>
          <w:sz w:val="24"/>
          <w:highlight w:val="none"/>
        </w:rPr>
      </w:pPr>
    </w:p>
    <w:p w14:paraId="0AE998A4">
      <w:pPr>
        <w:adjustRightInd w:val="0"/>
        <w:snapToGrid w:val="0"/>
        <w:spacing w:line="360" w:lineRule="auto"/>
        <w:rPr>
          <w:rFonts w:hint="eastAsia" w:ascii="宋体" w:hAnsi="宋体" w:cs="宋体"/>
          <w:color w:val="auto"/>
          <w:spacing w:val="20"/>
          <w:sz w:val="24"/>
          <w:highlight w:val="none"/>
        </w:rPr>
      </w:pPr>
    </w:p>
    <w:p w14:paraId="3E9193A9">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71DA8A31">
      <w:pPr>
        <w:adjustRightInd w:val="0"/>
        <w:snapToGrid w:val="0"/>
        <w:spacing w:line="360" w:lineRule="auto"/>
        <w:rPr>
          <w:rFonts w:hint="eastAsia" w:ascii="宋体" w:hAnsi="宋体" w:cs="宋体"/>
          <w:color w:val="auto"/>
          <w:spacing w:val="20"/>
          <w:sz w:val="24"/>
          <w:highlight w:val="none"/>
          <w:u w:val="single"/>
        </w:rPr>
      </w:pPr>
    </w:p>
    <w:p w14:paraId="67F464CC">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浦北县龙门镇人民政府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25CBCEA3">
      <w:pPr>
        <w:adjustRightInd w:val="0"/>
        <w:snapToGrid w:val="0"/>
        <w:spacing w:line="360" w:lineRule="auto"/>
        <w:rPr>
          <w:rFonts w:hint="eastAsia" w:ascii="宋体" w:hAnsi="宋体" w:cs="宋体"/>
          <w:color w:val="auto"/>
          <w:spacing w:val="20"/>
          <w:sz w:val="24"/>
          <w:highlight w:val="none"/>
          <w:u w:val="single"/>
        </w:rPr>
      </w:pPr>
    </w:p>
    <w:p w14:paraId="16C3059B">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52BABC3C">
      <w:pPr>
        <w:adjustRightInd w:val="0"/>
        <w:snapToGrid w:val="0"/>
        <w:spacing w:line="360" w:lineRule="auto"/>
        <w:rPr>
          <w:rFonts w:hint="eastAsia" w:ascii="宋体" w:hAnsi="宋体" w:cs="宋体"/>
          <w:color w:val="auto"/>
          <w:spacing w:val="20"/>
          <w:sz w:val="24"/>
          <w:highlight w:val="none"/>
          <w:u w:val="single"/>
        </w:rPr>
      </w:pPr>
    </w:p>
    <w:p w14:paraId="60D43B16">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u w:val="single"/>
          <w:lang w:val="en-US" w:eastAsia="zh-CN"/>
        </w:rPr>
        <w:t xml:space="preserve">        </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p>
    <w:p w14:paraId="4CF2C873">
      <w:pPr>
        <w:spacing w:before="156" w:beforeLines="50" w:after="156" w:afterLines="50" w:line="360" w:lineRule="auto"/>
        <w:rPr>
          <w:rFonts w:hint="eastAsia" w:ascii="宋体" w:hAnsi="宋体" w:cs="宋体"/>
          <w:color w:val="auto"/>
          <w:spacing w:val="20"/>
          <w:sz w:val="24"/>
          <w:highlight w:val="none"/>
        </w:rPr>
      </w:pPr>
    </w:p>
    <w:p w14:paraId="48EBAD68">
      <w:pPr>
        <w:spacing w:before="156" w:beforeLines="50" w:after="156" w:afterLines="50" w:line="360" w:lineRule="auto"/>
        <w:rPr>
          <w:rFonts w:hint="eastAsia" w:ascii="宋体" w:hAnsi="宋体" w:cs="宋体"/>
          <w:color w:val="auto"/>
          <w:spacing w:val="20"/>
          <w:sz w:val="24"/>
          <w:highlight w:val="none"/>
        </w:rPr>
      </w:pPr>
      <w:r>
        <w:rPr>
          <w:rFonts w:hint="eastAsia" w:ascii="宋体" w:hAnsi="宋体" w:cs="宋体"/>
          <w:color w:val="auto"/>
          <w:spacing w:val="20"/>
          <w:sz w:val="24"/>
          <w:highlight w:val="none"/>
        </w:rPr>
        <w:t>附件2</w:t>
      </w:r>
    </w:p>
    <w:p w14:paraId="146856A3">
      <w:pPr>
        <w:spacing w:line="480" w:lineRule="auto"/>
        <w:jc w:val="center"/>
        <w:outlineLvl w:val="3"/>
        <w:rPr>
          <w:rFonts w:hint="eastAsia" w:ascii="宋体" w:hAnsi="宋体" w:cs="宋体"/>
          <w:b/>
          <w:bCs/>
          <w:color w:val="auto"/>
          <w:kern w:val="1"/>
          <w:sz w:val="24"/>
          <w:highlight w:val="none"/>
        </w:rPr>
      </w:pPr>
      <w:r>
        <w:rPr>
          <w:rFonts w:hint="eastAsia" w:ascii="宋体" w:hAnsi="宋体" w:cs="宋体"/>
          <w:b/>
          <w:bCs/>
          <w:color w:val="auto"/>
          <w:sz w:val="24"/>
          <w:highlight w:val="none"/>
        </w:rPr>
        <w:t>安全生产合同</w:t>
      </w:r>
    </w:p>
    <w:p w14:paraId="01D05541">
      <w:pPr>
        <w:rPr>
          <w:rFonts w:hint="eastAsia" w:ascii="宋体" w:hAnsi="宋体" w:cs="宋体"/>
          <w:color w:val="auto"/>
          <w:kern w:val="1"/>
          <w:sz w:val="24"/>
          <w:highlight w:val="none"/>
        </w:rPr>
      </w:pPr>
    </w:p>
    <w:p w14:paraId="30634E4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为在</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eastAsia="zh-CN"/>
        </w:rPr>
        <w:t>2026年龙门镇日新村委长岭岗岭、大平坡大红柑产业道路硬化工程</w:t>
      </w:r>
      <w:r>
        <w:rPr>
          <w:rFonts w:hint="eastAsia" w:ascii="宋体" w:hAnsi="宋体" w:cs="宋体"/>
          <w:b/>
          <w:color w:val="auto"/>
          <w:sz w:val="24"/>
          <w:highlight w:val="none"/>
          <w:u w:val="single"/>
        </w:rPr>
        <w:t xml:space="preserve">  </w:t>
      </w:r>
      <w:r>
        <w:rPr>
          <w:rFonts w:hint="eastAsia" w:ascii="宋体" w:hAnsi="宋体" w:cs="宋体"/>
          <w:color w:val="auto"/>
          <w:kern w:val="1"/>
          <w:sz w:val="24"/>
          <w:highlight w:val="none"/>
        </w:rPr>
        <w:t>的实施过程中创造安全、高效的施工环境，切实搞好本项目的安全管理工作，本项目业主</w:t>
      </w:r>
      <w:r>
        <w:rPr>
          <w:rFonts w:hint="eastAsia" w:ascii="宋体" w:hAnsi="宋体" w:cs="宋体"/>
          <w:color w:val="auto"/>
          <w:kern w:val="1"/>
          <w:sz w:val="24"/>
          <w:highlight w:val="none"/>
          <w:u w:val="single"/>
        </w:rPr>
        <w:t xml:space="preserve"> </w:t>
      </w:r>
      <w:r>
        <w:rPr>
          <w:rFonts w:hint="eastAsia" w:ascii="宋体" w:hAnsi="宋体" w:cs="宋体"/>
          <w:color w:val="auto"/>
          <w:spacing w:val="20"/>
          <w:sz w:val="24"/>
          <w:highlight w:val="none"/>
          <w:u w:val="single"/>
          <w:lang w:eastAsia="zh-CN"/>
        </w:rPr>
        <w:t>浦北县龙门镇人民政府</w:t>
      </w:r>
      <w:r>
        <w:rPr>
          <w:rFonts w:hint="eastAsia" w:ascii="宋体" w:hAnsi="宋体" w:cs="宋体"/>
          <w:color w:val="auto"/>
          <w:kern w:val="1"/>
          <w:sz w:val="24"/>
          <w:highlight w:val="none"/>
          <w:u w:val="single"/>
        </w:rPr>
        <w:t xml:space="preserve"> </w:t>
      </w:r>
      <w:r>
        <w:rPr>
          <w:rFonts w:hint="eastAsia" w:ascii="宋体" w:hAnsi="宋体" w:cs="宋体"/>
          <w:color w:val="auto"/>
          <w:kern w:val="1"/>
          <w:sz w:val="24"/>
          <w:highlight w:val="none"/>
        </w:rPr>
        <w:t>（以下简称“甲方”）与承包人</w:t>
      </w:r>
      <w:r>
        <w:rPr>
          <w:rFonts w:hint="eastAsia" w:ascii="宋体" w:hAnsi="宋体" w:cs="宋体"/>
          <w:b/>
          <w:bCs/>
          <w:color w:val="auto"/>
          <w:kern w:val="1"/>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kern w:val="1"/>
          <w:sz w:val="24"/>
          <w:highlight w:val="none"/>
        </w:rPr>
        <w:t>（以下简称“乙方”）特此签订安全生产合同：</w:t>
      </w:r>
    </w:p>
    <w:p w14:paraId="6CBE749F">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一、甲方职责</w:t>
      </w:r>
    </w:p>
    <w:p w14:paraId="618CFA83">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严格遵守国家有关安全生产的法律法规，认真执行工程承包合同中的有关安全要求。</w:t>
      </w:r>
    </w:p>
    <w:p w14:paraId="78734C1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按照“安全第一、预防为主”和坚持“管生产必须管安全”的原则进行安全生产管理，做到生产与安全工作同时计划、布置、检查、总结和评比。</w:t>
      </w:r>
    </w:p>
    <w:p w14:paraId="7A3A88F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重要的安全设施必须坚持与主体工程“三同时”的原则，即：同时设计、审批，同时施工，同时验收，投入使用。</w:t>
      </w:r>
    </w:p>
    <w:p w14:paraId="32A51C36">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定期召开安全生产调度会，及时传达中央及地方有关安全生产的精神。</w:t>
      </w:r>
    </w:p>
    <w:p w14:paraId="03380B2E">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组织对乙方施工现场安全生产检查，监督乙方及时处理发现的各种安全隐患。</w:t>
      </w:r>
    </w:p>
    <w:p w14:paraId="181182BC">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二、乙方职责</w:t>
      </w:r>
    </w:p>
    <w:p w14:paraId="72D1216A">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 严格遵守国家有关安全生产的法律法规、农业农村部、水利部颁发的有关安全生产的规定，认真执行工程承包合同中的有关安全要求。</w:t>
      </w:r>
    </w:p>
    <w:p w14:paraId="5BFBDC69">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2. 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6843A08D">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3. 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5733D75">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4. 乙方在任何时候都应采取各种合理的预防措施，防止其员工发生任何违法、违禁、暴力或妨碍治安的行为。</w:t>
      </w:r>
    </w:p>
    <w:p w14:paraId="31096B2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5. 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项目经理必须承担管理责任。</w:t>
      </w:r>
    </w:p>
    <w:p w14:paraId="515F784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6. 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14:paraId="56950FFB">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7. 操作人员上岗，必须按规定穿戴防护用品。施工负责人和安全检查员应随时检查劳动防护用品的穿戴情况，不按规定穿戴防护用品的人员不得上岗。</w:t>
      </w:r>
    </w:p>
    <w:p w14:paraId="2F92FD21">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8. 所有施工机具设备和高空作业的设备均应定期检查，并有安全员的签字记录，保证其经常处于完好状态；不合格的机具、设备和劳动保护用品严禁使用。</w:t>
      </w:r>
    </w:p>
    <w:p w14:paraId="3505B8E0">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9. 施工中采用新技术、新工艺、新设备、新材料时，必须制定相应的安全技术措施，施工现场必须具有相关的安全标志牌。</w:t>
      </w:r>
    </w:p>
    <w:p w14:paraId="379233B4">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10. 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7ED6616B">
      <w:pPr>
        <w:spacing w:line="360" w:lineRule="auto"/>
        <w:rPr>
          <w:rFonts w:hint="eastAsia" w:ascii="宋体" w:hAnsi="宋体" w:cs="宋体"/>
          <w:b/>
          <w:color w:val="auto"/>
          <w:kern w:val="1"/>
          <w:sz w:val="24"/>
          <w:highlight w:val="none"/>
        </w:rPr>
      </w:pPr>
      <w:r>
        <w:rPr>
          <w:rFonts w:hint="eastAsia" w:ascii="宋体" w:hAnsi="宋体" w:cs="宋体"/>
          <w:color w:val="auto"/>
          <w:kern w:val="1"/>
          <w:sz w:val="24"/>
          <w:highlight w:val="none"/>
        </w:rPr>
        <w:t xml:space="preserve">    </w:t>
      </w:r>
      <w:r>
        <w:rPr>
          <w:rFonts w:hint="eastAsia" w:ascii="宋体" w:hAnsi="宋体" w:cs="宋体"/>
          <w:b/>
          <w:color w:val="auto"/>
          <w:kern w:val="1"/>
          <w:sz w:val="24"/>
          <w:highlight w:val="none"/>
        </w:rPr>
        <w:t>三、违约责任</w:t>
      </w:r>
    </w:p>
    <w:p w14:paraId="01644EB2">
      <w:pPr>
        <w:spacing w:line="360" w:lineRule="auto"/>
        <w:rPr>
          <w:rFonts w:hint="eastAsia" w:ascii="宋体" w:hAnsi="宋体" w:cs="宋体"/>
          <w:color w:val="auto"/>
          <w:kern w:val="1"/>
          <w:sz w:val="24"/>
          <w:highlight w:val="none"/>
        </w:rPr>
      </w:pPr>
      <w:r>
        <w:rPr>
          <w:rFonts w:hint="eastAsia" w:ascii="宋体" w:hAnsi="宋体" w:cs="宋体"/>
          <w:color w:val="auto"/>
          <w:kern w:val="1"/>
          <w:sz w:val="24"/>
          <w:highlight w:val="none"/>
        </w:rPr>
        <w:t xml:space="preserve">    如因甲方或乙方违约造成安全事故，将依法追究责任。</w:t>
      </w:r>
    </w:p>
    <w:p w14:paraId="002BA9DB">
      <w:pPr>
        <w:adjustRightInd w:val="0"/>
        <w:snapToGrid w:val="0"/>
        <w:spacing w:line="360" w:lineRule="auto"/>
        <w:ind w:firstLine="840" w:firstLineChars="300"/>
        <w:rPr>
          <w:rFonts w:hint="eastAsia" w:ascii="宋体" w:hAnsi="宋体" w:cs="宋体"/>
          <w:color w:val="auto"/>
          <w:spacing w:val="20"/>
          <w:sz w:val="24"/>
          <w:highlight w:val="none"/>
        </w:rPr>
      </w:pPr>
    </w:p>
    <w:p w14:paraId="261FE9F6">
      <w:pPr>
        <w:adjustRightInd w:val="0"/>
        <w:snapToGrid w:val="0"/>
        <w:spacing w:line="360" w:lineRule="auto"/>
        <w:ind w:firstLine="840" w:firstLineChars="300"/>
        <w:rPr>
          <w:rFonts w:hint="eastAsia" w:ascii="宋体" w:hAnsi="宋体" w:cs="宋体"/>
          <w:color w:val="auto"/>
          <w:spacing w:val="20"/>
          <w:sz w:val="24"/>
          <w:highlight w:val="none"/>
        </w:rPr>
      </w:pPr>
      <w:r>
        <w:rPr>
          <w:rFonts w:hint="eastAsia" w:ascii="宋体" w:hAnsi="宋体" w:cs="宋体"/>
          <w:color w:val="auto"/>
          <w:spacing w:val="20"/>
          <w:sz w:val="24"/>
          <w:highlight w:val="none"/>
        </w:rPr>
        <w:t>发包人（公章）                        承包人（公章）</w:t>
      </w:r>
    </w:p>
    <w:p w14:paraId="315F5892">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u w:val="single"/>
          <w:lang w:eastAsia="zh-CN"/>
        </w:rPr>
        <w:t>浦北县龙门镇人民政府</w:t>
      </w:r>
      <w:r>
        <w:rPr>
          <w:rFonts w:hint="eastAsia" w:ascii="宋体" w:hAnsi="宋体" w:cs="宋体"/>
          <w:color w:val="auto"/>
          <w:spacing w:val="20"/>
          <w:sz w:val="24"/>
          <w:highlight w:val="none"/>
        </w:rPr>
        <w:t xml:space="preserve">              </w:t>
      </w:r>
      <w:r>
        <w:rPr>
          <w:rFonts w:hint="eastAsia" w:ascii="宋体" w:hAnsi="宋体" w:cs="宋体"/>
          <w:color w:val="auto"/>
          <w:spacing w:val="20"/>
          <w:sz w:val="24"/>
          <w:highlight w:val="none"/>
          <w:u w:val="single"/>
        </w:rPr>
        <w:t xml:space="preserve">                                                       </w:t>
      </w:r>
    </w:p>
    <w:p w14:paraId="31D5B115">
      <w:pPr>
        <w:adjustRightInd w:val="0"/>
        <w:snapToGrid w:val="0"/>
        <w:spacing w:line="360" w:lineRule="auto"/>
        <w:rPr>
          <w:rFonts w:hint="eastAsia" w:ascii="宋体" w:hAnsi="宋体" w:cs="宋体"/>
          <w:color w:val="auto"/>
          <w:spacing w:val="20"/>
          <w:sz w:val="24"/>
          <w:highlight w:val="none"/>
          <w:u w:val="single"/>
        </w:rPr>
      </w:pPr>
      <w:r>
        <w:rPr>
          <w:rFonts w:hint="eastAsia" w:ascii="宋体" w:hAnsi="宋体" w:cs="宋体"/>
          <w:color w:val="auto"/>
          <w:spacing w:val="20"/>
          <w:sz w:val="24"/>
          <w:highlight w:val="none"/>
        </w:rPr>
        <w:t>法定代表人：</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法定代表人：</w:t>
      </w:r>
      <w:r>
        <w:rPr>
          <w:rFonts w:hint="eastAsia" w:ascii="宋体" w:hAnsi="宋体" w:cs="宋体"/>
          <w:color w:val="auto"/>
          <w:spacing w:val="20"/>
          <w:sz w:val="24"/>
          <w:highlight w:val="none"/>
          <w:u w:val="single"/>
        </w:rPr>
        <w:t xml:space="preserve">           </w:t>
      </w:r>
    </w:p>
    <w:p w14:paraId="6DF73683">
      <w:pPr>
        <w:spacing w:line="360" w:lineRule="auto"/>
        <w:rPr>
          <w:color w:val="auto"/>
          <w:szCs w:val="21"/>
          <w:highlight w:val="none"/>
        </w:rPr>
      </w:pPr>
      <w:r>
        <w:rPr>
          <w:rFonts w:hint="eastAsia" w:ascii="宋体" w:hAnsi="宋体" w:cs="宋体"/>
          <w:color w:val="auto"/>
          <w:spacing w:val="20"/>
          <w:sz w:val="24"/>
          <w:highlight w:val="none"/>
        </w:rPr>
        <w:t>电  话：</w:t>
      </w:r>
      <w:r>
        <w:rPr>
          <w:rFonts w:hint="eastAsia" w:ascii="宋体" w:hAnsi="宋体" w:cs="宋体"/>
          <w:color w:val="auto"/>
          <w:spacing w:val="20"/>
          <w:sz w:val="24"/>
          <w:highlight w:val="none"/>
          <w:u w:val="single"/>
        </w:rPr>
        <w:t xml:space="preserve">                </w:t>
      </w:r>
      <w:r>
        <w:rPr>
          <w:rFonts w:hint="eastAsia" w:ascii="宋体" w:hAnsi="宋体" w:cs="宋体"/>
          <w:color w:val="auto"/>
          <w:spacing w:val="20"/>
          <w:sz w:val="24"/>
          <w:highlight w:val="none"/>
        </w:rPr>
        <w:t xml:space="preserve">             电  话：</w:t>
      </w:r>
      <w:r>
        <w:rPr>
          <w:rFonts w:hint="eastAsia" w:ascii="宋体" w:hAnsi="宋体" w:cs="宋体"/>
          <w:color w:val="auto"/>
          <w:spacing w:val="20"/>
          <w:sz w:val="24"/>
          <w:highlight w:val="none"/>
          <w:u w:val="single"/>
        </w:rPr>
        <w:t xml:space="preserve">              </w:t>
      </w:r>
      <w:bookmarkEnd w:id="105"/>
      <w:bookmarkEnd w:id="106"/>
      <w:bookmarkEnd w:id="107"/>
      <w:bookmarkEnd w:id="109"/>
      <w:bookmarkEnd w:id="110"/>
      <w:bookmarkEnd w:id="111"/>
      <w:bookmarkEnd w:id="112"/>
      <w:bookmarkEnd w:id="113"/>
      <w:bookmarkEnd w:id="114"/>
    </w:p>
    <w:sectPr>
      <w:headerReference r:id="rId7" w:type="default"/>
      <w:footerReference r:id="rId8" w:type="default"/>
      <w:pgSz w:w="11906" w:h="16838"/>
      <w:pgMar w:top="1440" w:right="1080" w:bottom="1440" w:left="1080" w:header="567" w:footer="567" w:gutter="567"/>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F245FC7-96D3-436D-8EE1-4BDE3B7C6AD9}"/>
  </w:font>
  <w:font w:name="黑体">
    <w:panose1 w:val="02010609060101010101"/>
    <w:charset w:val="86"/>
    <w:family w:val="auto"/>
    <w:pitch w:val="default"/>
    <w:sig w:usb0="800002BF" w:usb1="38CF7CFA" w:usb2="00000016" w:usb3="00000000" w:csb0="00040001" w:csb1="00000000"/>
    <w:embedRegular r:id="rId2" w:fontKey="{AF772AC6-5C59-4D83-94FC-8CD4579608FA}"/>
  </w:font>
  <w:font w:name="Courier New">
    <w:panose1 w:val="02070309020205020404"/>
    <w:charset w:val="01"/>
    <w:family w:val="modern"/>
    <w:pitch w:val="default"/>
    <w:sig w:usb0="E0002AFF" w:usb1="C0007843" w:usb2="00000009" w:usb3="00000000" w:csb0="400001FF" w:csb1="FFFF0000"/>
    <w:embedRegular r:id="rId3" w:fontKey="{EF78B516-6B39-40C4-A55C-9E79403B038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16FB8BDC-6BA8-4018-B3EF-43F66785534D}"/>
  </w:font>
  <w:font w:name="Cambria">
    <w:panose1 w:val="02040503050406030204"/>
    <w:charset w:val="00"/>
    <w:family w:val="roman"/>
    <w:pitch w:val="default"/>
    <w:sig w:usb0="E00002FF" w:usb1="400004FF" w:usb2="00000000" w:usb3="00000000" w:csb0="2000019F" w:csb1="00000000"/>
    <w:embedRegular r:id="rId5" w:fontKey="{A3E44B41-F90C-4736-AC51-5EFEB0A5711B}"/>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
    <w:altName w:val="宋体"/>
    <w:panose1 w:val="00000000000000000000"/>
    <w:charset w:val="86"/>
    <w:family w:val="roman"/>
    <w:pitch w:val="default"/>
    <w:sig w:usb0="00000000" w:usb1="00000000" w:usb2="00000010" w:usb3="00000000" w:csb0="00040000" w:csb1="00000000"/>
  </w:font>
  <w:font w:name="汉仪中宋简">
    <w:altName w:val="宋体"/>
    <w:panose1 w:val="00000000000000000000"/>
    <w:charset w:val="86"/>
    <w:family w:val="modern"/>
    <w:pitch w:val="default"/>
    <w:sig w:usb0="00000000" w:usb1="00000000" w:usb2="00000012" w:usb3="00000000" w:csb0="00040000" w:csb1="00000000"/>
  </w:font>
  <w:font w:name="汉仪字典宋简">
    <w:altName w:val="宋体"/>
    <w:panose1 w:val="00000000000000000000"/>
    <w:charset w:val="86"/>
    <w:family w:val="modern"/>
    <w:pitch w:val="default"/>
    <w:sig w:usb0="00000000" w:usb1="00000000" w:usb2="00000012" w:usb3="00000000" w:csb0="00040000" w:csb1="00000000"/>
  </w:font>
  <w:font w:name="方正小标宋简体">
    <w:panose1 w:val="02000000000000000000"/>
    <w:charset w:val="86"/>
    <w:family w:val="auto"/>
    <w:pitch w:val="default"/>
    <w:sig w:usb0="00000001" w:usb1="08000000" w:usb2="00000000" w:usb3="00000000" w:csb0="00040000" w:csb1="00000000"/>
    <w:embedRegular r:id="rId6" w:fontKey="{ABEDFF78-01BA-48B7-A1E6-A7751F424BBE}"/>
  </w:font>
  <w:font w:name="Helvetica">
    <w:panose1 w:val="020B0604020202020204"/>
    <w:charset w:val="00"/>
    <w:family w:val="swiss"/>
    <w:pitch w:val="default"/>
    <w:sig w:usb0="00000000" w:usb1="00000000" w:usb2="00000000" w:usb3="00000000" w:csb0="00000000" w:csb1="00000000"/>
    <w:embedRegular r:id="rId7" w:fontKey="{949D2488-6557-474C-945B-7EF151F1C07C}"/>
  </w:font>
  <w:font w:name="Tahoma">
    <w:panose1 w:val="020B0604030504040204"/>
    <w:charset w:val="00"/>
    <w:family w:val="swiss"/>
    <w:pitch w:val="default"/>
    <w:sig w:usb0="E1002EFF" w:usb1="C000605B" w:usb2="00000029" w:usb3="00000000" w:csb0="200101FF" w:csb1="20280000"/>
    <w:embedRegular r:id="rId8" w:fontKey="{0F62FB09-5892-4B66-8E5D-3E668E7486EB}"/>
  </w:font>
  <w:font w:name="仿宋">
    <w:panose1 w:val="02010609060101010101"/>
    <w:charset w:val="86"/>
    <w:family w:val="modern"/>
    <w:pitch w:val="default"/>
    <w:sig w:usb0="800002BF" w:usb1="38CF7CFA" w:usb2="00000016" w:usb3="00000000" w:csb0="00040001" w:csb1="00000000"/>
    <w:embedRegular r:id="rId9" w:fontKey="{C9741190-4B8D-4F04-ACC9-D97D885E81A2}"/>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492A8">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A618B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0A618B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FC3F6">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4148B">
                          <w:pPr>
                            <w:pStyle w:val="1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544148B">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6F504">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2AD5DD">
                          <w:pPr>
                            <w:pStyle w:val="1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82AD5DD">
                    <w:pPr>
                      <w:pStyle w:val="1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0AB58">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2D09E">
    <w:pPr>
      <w:spacing w:line="4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0E26">
    <w:pPr>
      <w:spacing w:line="4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EA84D"/>
    <w:multiLevelType w:val="singleLevel"/>
    <w:tmpl w:val="872EA84D"/>
    <w:lvl w:ilvl="0" w:tentative="0">
      <w:start w:val="6"/>
      <w:numFmt w:val="chineseCounting"/>
      <w:suff w:val="space"/>
      <w:lvlText w:val="第%1章"/>
      <w:lvlJc w:val="left"/>
      <w:rPr>
        <w:rFonts w:hint="eastAsia"/>
      </w:rPr>
    </w:lvl>
  </w:abstractNum>
  <w:abstractNum w:abstractNumId="1">
    <w:nsid w:val="8EBFE40C"/>
    <w:multiLevelType w:val="singleLevel"/>
    <w:tmpl w:val="8EBFE40C"/>
    <w:lvl w:ilvl="0" w:tentative="0">
      <w:start w:val="1"/>
      <w:numFmt w:val="decimal"/>
      <w:suff w:val="nothing"/>
      <w:lvlText w:val="（%1）"/>
      <w:lvlJc w:val="left"/>
    </w:lvl>
  </w:abstractNum>
  <w:abstractNum w:abstractNumId="2">
    <w:nsid w:val="A8BB11CC"/>
    <w:multiLevelType w:val="singleLevel"/>
    <w:tmpl w:val="A8BB11CC"/>
    <w:lvl w:ilvl="0" w:tentative="0">
      <w:start w:val="5"/>
      <w:numFmt w:val="decimal"/>
      <w:suff w:val="nothing"/>
      <w:lvlText w:val="%1、"/>
      <w:lvlJc w:val="left"/>
    </w:lvl>
  </w:abstractNum>
  <w:abstractNum w:abstractNumId="3">
    <w:nsid w:val="D370C4B2"/>
    <w:multiLevelType w:val="singleLevel"/>
    <w:tmpl w:val="D370C4B2"/>
    <w:lvl w:ilvl="0" w:tentative="0">
      <w:start w:val="1"/>
      <w:numFmt w:val="decimal"/>
      <w:suff w:val="nothing"/>
      <w:lvlText w:val="（%1）"/>
      <w:lvlJc w:val="left"/>
    </w:lvl>
  </w:abstractNum>
  <w:abstractNum w:abstractNumId="4">
    <w:nsid w:val="EDA70614"/>
    <w:multiLevelType w:val="singleLevel"/>
    <w:tmpl w:val="EDA70614"/>
    <w:lvl w:ilvl="0" w:tentative="0">
      <w:start w:val="1"/>
      <w:numFmt w:val="chineseCounting"/>
      <w:suff w:val="space"/>
      <w:lvlText w:val="第%1部分"/>
      <w:lvlJc w:val="left"/>
      <w:rPr>
        <w:rFonts w:hint="eastAsia"/>
        <w:sz w:val="40"/>
        <w:szCs w:val="40"/>
      </w:rPr>
    </w:lvl>
  </w:abstractNum>
  <w:abstractNum w:abstractNumId="5">
    <w:nsid w:val="F8BDD49A"/>
    <w:multiLevelType w:val="singleLevel"/>
    <w:tmpl w:val="F8BDD49A"/>
    <w:lvl w:ilvl="0" w:tentative="0">
      <w:start w:val="4"/>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A8D7890"/>
    <w:multiLevelType w:val="singleLevel"/>
    <w:tmpl w:val="0A8D7890"/>
    <w:lvl w:ilvl="0" w:tentative="0">
      <w:start w:val="1"/>
      <w:numFmt w:val="decimal"/>
      <w:lvlText w:val="%1."/>
      <w:lvlJc w:val="left"/>
      <w:pPr>
        <w:tabs>
          <w:tab w:val="left" w:pos="312"/>
        </w:tabs>
      </w:pPr>
    </w:lvl>
  </w:abstractNum>
  <w:abstractNum w:abstractNumId="8">
    <w:nsid w:val="21A205B0"/>
    <w:multiLevelType w:val="singleLevel"/>
    <w:tmpl w:val="21A205B0"/>
    <w:lvl w:ilvl="0" w:tentative="0">
      <w:start w:val="2"/>
      <w:numFmt w:val="chineseCounting"/>
      <w:suff w:val="space"/>
      <w:lvlText w:val="第%1章"/>
      <w:lvlJc w:val="left"/>
      <w:rPr>
        <w:rFonts w:hint="eastAsia"/>
      </w:rPr>
    </w:lvl>
  </w:abstractNum>
  <w:abstractNum w:abstractNumId="9">
    <w:nsid w:val="27E2D8D2"/>
    <w:multiLevelType w:val="singleLevel"/>
    <w:tmpl w:val="27E2D8D2"/>
    <w:lvl w:ilvl="0" w:tentative="0">
      <w:start w:val="1"/>
      <w:numFmt w:val="decimal"/>
      <w:suff w:val="nothing"/>
      <w:lvlText w:val="（%1）"/>
      <w:lvlJc w:val="left"/>
    </w:lvl>
  </w:abstractNum>
  <w:abstractNum w:abstractNumId="10">
    <w:nsid w:val="3B3D739F"/>
    <w:multiLevelType w:val="singleLevel"/>
    <w:tmpl w:val="3B3D739F"/>
    <w:lvl w:ilvl="0" w:tentative="0">
      <w:start w:val="1"/>
      <w:numFmt w:val="decimal"/>
      <w:suff w:val="nothing"/>
      <w:lvlText w:val="（%1）"/>
      <w:lvlJc w:val="left"/>
    </w:lvl>
  </w:abstractNum>
  <w:abstractNum w:abstractNumId="11">
    <w:nsid w:val="4FC6D619"/>
    <w:multiLevelType w:val="singleLevel"/>
    <w:tmpl w:val="4FC6D619"/>
    <w:lvl w:ilvl="0" w:tentative="0">
      <w:start w:val="1"/>
      <w:numFmt w:val="chineseCounting"/>
      <w:suff w:val="nothing"/>
      <w:lvlText w:val="（%1）"/>
      <w:lvlJc w:val="left"/>
      <w:rPr>
        <w:rFonts w:hint="eastAsia"/>
      </w:rPr>
    </w:lvl>
  </w:abstractNum>
  <w:abstractNum w:abstractNumId="12">
    <w:nsid w:val="595F8F47"/>
    <w:multiLevelType w:val="singleLevel"/>
    <w:tmpl w:val="595F8F47"/>
    <w:lvl w:ilvl="0" w:tentative="0">
      <w:start w:val="9"/>
      <w:numFmt w:val="chineseCounting"/>
      <w:suff w:val="nothing"/>
      <w:lvlText w:val="%1、"/>
      <w:lvlJc w:val="left"/>
      <w:rPr>
        <w:rFonts w:hint="eastAsia"/>
      </w:rPr>
    </w:lvl>
  </w:abstractNum>
  <w:abstractNum w:abstractNumId="13">
    <w:nsid w:val="6A53F4EB"/>
    <w:multiLevelType w:val="singleLevel"/>
    <w:tmpl w:val="6A53F4EB"/>
    <w:lvl w:ilvl="0" w:tentative="0">
      <w:start w:val="11"/>
      <w:numFmt w:val="decimal"/>
      <w:suff w:val="space"/>
      <w:lvlText w:val="%1."/>
      <w:lvlJc w:val="left"/>
    </w:lvl>
  </w:abstractNum>
  <w:abstractNum w:abstractNumId="14">
    <w:nsid w:val="6C688773"/>
    <w:multiLevelType w:val="singleLevel"/>
    <w:tmpl w:val="6C688773"/>
    <w:lvl w:ilvl="0" w:tentative="0">
      <w:start w:val="1"/>
      <w:numFmt w:val="decimal"/>
      <w:suff w:val="nothing"/>
      <w:lvlText w:val="（%1）"/>
      <w:lvlJc w:val="left"/>
    </w:lvl>
  </w:abstractNum>
  <w:num w:numId="1">
    <w:abstractNumId w:val="8"/>
  </w:num>
  <w:num w:numId="2">
    <w:abstractNumId w:val="0"/>
  </w:num>
  <w:num w:numId="3">
    <w:abstractNumId w:val="4"/>
  </w:num>
  <w:num w:numId="4">
    <w:abstractNumId w:val="6"/>
  </w:num>
  <w:num w:numId="5">
    <w:abstractNumId w:val="13"/>
  </w:num>
  <w:num w:numId="6">
    <w:abstractNumId w:val="1"/>
  </w:num>
  <w:num w:numId="7">
    <w:abstractNumId w:val="9"/>
  </w:num>
  <w:num w:numId="8">
    <w:abstractNumId w:val="10"/>
  </w:num>
  <w:num w:numId="9">
    <w:abstractNumId w:val="14"/>
  </w:num>
  <w:num w:numId="10">
    <w:abstractNumId w:val="5"/>
  </w:num>
  <w:num w:numId="11">
    <w:abstractNumId w:val="12"/>
  </w:num>
  <w:num w:numId="12">
    <w:abstractNumId w:val="3"/>
  </w:num>
  <w:num w:numId="13">
    <w:abstractNumId w:val="11"/>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jNDUyNTkxNGZhMjRiNGE5MTEzODI0NmJmZDdlMzAifQ=="/>
    <w:docVar w:name="KSO_WPS_MARK_KEY" w:val="0f36c477-a813-4eb2-9910-36f309e25514"/>
  </w:docVars>
  <w:rsids>
    <w:rsidRoot w:val="556F068E"/>
    <w:rsid w:val="00022272"/>
    <w:rsid w:val="00046300"/>
    <w:rsid w:val="00092EAF"/>
    <w:rsid w:val="000A365B"/>
    <w:rsid w:val="000C199D"/>
    <w:rsid w:val="000E03F8"/>
    <w:rsid w:val="001029D1"/>
    <w:rsid w:val="00146E03"/>
    <w:rsid w:val="001A5BFD"/>
    <w:rsid w:val="001C657D"/>
    <w:rsid w:val="002203C2"/>
    <w:rsid w:val="00222EAA"/>
    <w:rsid w:val="00227480"/>
    <w:rsid w:val="0028721A"/>
    <w:rsid w:val="00294619"/>
    <w:rsid w:val="002C2E79"/>
    <w:rsid w:val="00341A32"/>
    <w:rsid w:val="00344260"/>
    <w:rsid w:val="003479CE"/>
    <w:rsid w:val="00350E8A"/>
    <w:rsid w:val="003566F1"/>
    <w:rsid w:val="00396966"/>
    <w:rsid w:val="003B5B92"/>
    <w:rsid w:val="00402132"/>
    <w:rsid w:val="004302EE"/>
    <w:rsid w:val="00430665"/>
    <w:rsid w:val="00446559"/>
    <w:rsid w:val="00461B46"/>
    <w:rsid w:val="004B25EB"/>
    <w:rsid w:val="00511007"/>
    <w:rsid w:val="0055311E"/>
    <w:rsid w:val="005F1692"/>
    <w:rsid w:val="005F3F1A"/>
    <w:rsid w:val="00613155"/>
    <w:rsid w:val="0067547C"/>
    <w:rsid w:val="006C03D0"/>
    <w:rsid w:val="006E49D4"/>
    <w:rsid w:val="006F4DB7"/>
    <w:rsid w:val="007051D0"/>
    <w:rsid w:val="0073092E"/>
    <w:rsid w:val="00740C23"/>
    <w:rsid w:val="00753155"/>
    <w:rsid w:val="00762457"/>
    <w:rsid w:val="0079775D"/>
    <w:rsid w:val="007B713C"/>
    <w:rsid w:val="007C0349"/>
    <w:rsid w:val="00822614"/>
    <w:rsid w:val="0086498E"/>
    <w:rsid w:val="00877FA4"/>
    <w:rsid w:val="008A64A8"/>
    <w:rsid w:val="008D11E2"/>
    <w:rsid w:val="008D54D8"/>
    <w:rsid w:val="008E648C"/>
    <w:rsid w:val="008F1808"/>
    <w:rsid w:val="008F25AF"/>
    <w:rsid w:val="00922F24"/>
    <w:rsid w:val="00946919"/>
    <w:rsid w:val="009564A4"/>
    <w:rsid w:val="00985A95"/>
    <w:rsid w:val="009942A1"/>
    <w:rsid w:val="009A2CCA"/>
    <w:rsid w:val="009B2168"/>
    <w:rsid w:val="009D2098"/>
    <w:rsid w:val="009E6A77"/>
    <w:rsid w:val="00A360B5"/>
    <w:rsid w:val="00A461D0"/>
    <w:rsid w:val="00A51D4B"/>
    <w:rsid w:val="00A60097"/>
    <w:rsid w:val="00A74461"/>
    <w:rsid w:val="00A806A3"/>
    <w:rsid w:val="00A92C61"/>
    <w:rsid w:val="00A974A6"/>
    <w:rsid w:val="00AA6128"/>
    <w:rsid w:val="00AD1077"/>
    <w:rsid w:val="00AD4031"/>
    <w:rsid w:val="00AF24A3"/>
    <w:rsid w:val="00AF5C8F"/>
    <w:rsid w:val="00B27491"/>
    <w:rsid w:val="00B3531B"/>
    <w:rsid w:val="00B57815"/>
    <w:rsid w:val="00B94E97"/>
    <w:rsid w:val="00BA74DD"/>
    <w:rsid w:val="00BC04D1"/>
    <w:rsid w:val="00BC2F65"/>
    <w:rsid w:val="00C720D9"/>
    <w:rsid w:val="00CD32AF"/>
    <w:rsid w:val="00CE6497"/>
    <w:rsid w:val="00D077EC"/>
    <w:rsid w:val="00D12F80"/>
    <w:rsid w:val="00D17065"/>
    <w:rsid w:val="00D676B2"/>
    <w:rsid w:val="00D7037D"/>
    <w:rsid w:val="00DA25AA"/>
    <w:rsid w:val="00DC35A4"/>
    <w:rsid w:val="00DD6B5C"/>
    <w:rsid w:val="00E828D2"/>
    <w:rsid w:val="00E85F78"/>
    <w:rsid w:val="00F447E0"/>
    <w:rsid w:val="00F5573C"/>
    <w:rsid w:val="00FA5913"/>
    <w:rsid w:val="00FF0247"/>
    <w:rsid w:val="00FF6368"/>
    <w:rsid w:val="01003FCC"/>
    <w:rsid w:val="01104A24"/>
    <w:rsid w:val="013730A5"/>
    <w:rsid w:val="01457570"/>
    <w:rsid w:val="014C3BDB"/>
    <w:rsid w:val="016D676E"/>
    <w:rsid w:val="01813E16"/>
    <w:rsid w:val="0190392E"/>
    <w:rsid w:val="01A340D1"/>
    <w:rsid w:val="01D152A8"/>
    <w:rsid w:val="01D16F05"/>
    <w:rsid w:val="01D9471B"/>
    <w:rsid w:val="01E112F3"/>
    <w:rsid w:val="01E5765B"/>
    <w:rsid w:val="01E8610D"/>
    <w:rsid w:val="0217360F"/>
    <w:rsid w:val="02365E7D"/>
    <w:rsid w:val="02756169"/>
    <w:rsid w:val="027827AD"/>
    <w:rsid w:val="02806C74"/>
    <w:rsid w:val="02932757"/>
    <w:rsid w:val="02A37D35"/>
    <w:rsid w:val="02B62811"/>
    <w:rsid w:val="02C47A2B"/>
    <w:rsid w:val="02DC227F"/>
    <w:rsid w:val="02E80E6A"/>
    <w:rsid w:val="02E93C7C"/>
    <w:rsid w:val="02F76F90"/>
    <w:rsid w:val="032075CD"/>
    <w:rsid w:val="03244D3B"/>
    <w:rsid w:val="03361F3B"/>
    <w:rsid w:val="03A41F96"/>
    <w:rsid w:val="03BE5C4F"/>
    <w:rsid w:val="03C57F1D"/>
    <w:rsid w:val="03D3354B"/>
    <w:rsid w:val="043C2B7C"/>
    <w:rsid w:val="04415B0D"/>
    <w:rsid w:val="0446309B"/>
    <w:rsid w:val="045D6149"/>
    <w:rsid w:val="04631E56"/>
    <w:rsid w:val="047553ED"/>
    <w:rsid w:val="04832496"/>
    <w:rsid w:val="048838BB"/>
    <w:rsid w:val="04903C37"/>
    <w:rsid w:val="04924FE3"/>
    <w:rsid w:val="04A24CDA"/>
    <w:rsid w:val="04AF1326"/>
    <w:rsid w:val="04FD0E31"/>
    <w:rsid w:val="050637A5"/>
    <w:rsid w:val="050B287F"/>
    <w:rsid w:val="05230D78"/>
    <w:rsid w:val="052D7632"/>
    <w:rsid w:val="054769B3"/>
    <w:rsid w:val="05480B39"/>
    <w:rsid w:val="05571F68"/>
    <w:rsid w:val="05A0262C"/>
    <w:rsid w:val="05F46366"/>
    <w:rsid w:val="06021BFE"/>
    <w:rsid w:val="061631B2"/>
    <w:rsid w:val="06191E33"/>
    <w:rsid w:val="061C3D5B"/>
    <w:rsid w:val="06352C8D"/>
    <w:rsid w:val="06376F97"/>
    <w:rsid w:val="065A3ABE"/>
    <w:rsid w:val="068154EF"/>
    <w:rsid w:val="06836237"/>
    <w:rsid w:val="06A7419D"/>
    <w:rsid w:val="06E35353"/>
    <w:rsid w:val="06EC222A"/>
    <w:rsid w:val="07245A59"/>
    <w:rsid w:val="0745028B"/>
    <w:rsid w:val="075A22F1"/>
    <w:rsid w:val="07994CCC"/>
    <w:rsid w:val="07AD2721"/>
    <w:rsid w:val="07AF6F49"/>
    <w:rsid w:val="07BB664B"/>
    <w:rsid w:val="07F82E00"/>
    <w:rsid w:val="082006F3"/>
    <w:rsid w:val="083C3003"/>
    <w:rsid w:val="08406DEA"/>
    <w:rsid w:val="086871CD"/>
    <w:rsid w:val="086E336F"/>
    <w:rsid w:val="087B43C8"/>
    <w:rsid w:val="0882554E"/>
    <w:rsid w:val="08AD7237"/>
    <w:rsid w:val="08B531C4"/>
    <w:rsid w:val="08B74801"/>
    <w:rsid w:val="08E06F07"/>
    <w:rsid w:val="0903492F"/>
    <w:rsid w:val="090A71E9"/>
    <w:rsid w:val="0916122C"/>
    <w:rsid w:val="094B34E5"/>
    <w:rsid w:val="0950282C"/>
    <w:rsid w:val="099D12AF"/>
    <w:rsid w:val="09AD5E3C"/>
    <w:rsid w:val="09B12057"/>
    <w:rsid w:val="09C735AB"/>
    <w:rsid w:val="09C81D53"/>
    <w:rsid w:val="09D41DD9"/>
    <w:rsid w:val="09FB0360"/>
    <w:rsid w:val="0A312D88"/>
    <w:rsid w:val="0A443EE4"/>
    <w:rsid w:val="0A6842D0"/>
    <w:rsid w:val="0A9C7D1B"/>
    <w:rsid w:val="0ADB0DD6"/>
    <w:rsid w:val="0AF95B2E"/>
    <w:rsid w:val="0AFA3F41"/>
    <w:rsid w:val="0B163B89"/>
    <w:rsid w:val="0B1A6F5A"/>
    <w:rsid w:val="0B311F83"/>
    <w:rsid w:val="0B392AEB"/>
    <w:rsid w:val="0B5374D4"/>
    <w:rsid w:val="0B5934C2"/>
    <w:rsid w:val="0B667091"/>
    <w:rsid w:val="0B7023F3"/>
    <w:rsid w:val="0B903ADE"/>
    <w:rsid w:val="0B9665C6"/>
    <w:rsid w:val="0BBC48D3"/>
    <w:rsid w:val="0BC2585F"/>
    <w:rsid w:val="0BC4602F"/>
    <w:rsid w:val="0BC50665"/>
    <w:rsid w:val="0BE0389B"/>
    <w:rsid w:val="0C03028C"/>
    <w:rsid w:val="0C272694"/>
    <w:rsid w:val="0C5636E2"/>
    <w:rsid w:val="0C770701"/>
    <w:rsid w:val="0C78199D"/>
    <w:rsid w:val="0C816B43"/>
    <w:rsid w:val="0CB060DE"/>
    <w:rsid w:val="0CB43D56"/>
    <w:rsid w:val="0CBA47E6"/>
    <w:rsid w:val="0CBF41E0"/>
    <w:rsid w:val="0CCC6BCF"/>
    <w:rsid w:val="0D001946"/>
    <w:rsid w:val="0D006A41"/>
    <w:rsid w:val="0D16253A"/>
    <w:rsid w:val="0D1A6DAB"/>
    <w:rsid w:val="0D236286"/>
    <w:rsid w:val="0D4357F1"/>
    <w:rsid w:val="0D470B14"/>
    <w:rsid w:val="0D896A37"/>
    <w:rsid w:val="0D98311E"/>
    <w:rsid w:val="0DB22432"/>
    <w:rsid w:val="0DB92613"/>
    <w:rsid w:val="0DC3449B"/>
    <w:rsid w:val="0DF13383"/>
    <w:rsid w:val="0E1D31AF"/>
    <w:rsid w:val="0E2E5189"/>
    <w:rsid w:val="0E3B3FA0"/>
    <w:rsid w:val="0E4531F0"/>
    <w:rsid w:val="0E5114F5"/>
    <w:rsid w:val="0E8A703D"/>
    <w:rsid w:val="0EB12B04"/>
    <w:rsid w:val="0EB8284C"/>
    <w:rsid w:val="0EBF4D9D"/>
    <w:rsid w:val="0EC853E9"/>
    <w:rsid w:val="0EDA48F5"/>
    <w:rsid w:val="0F37609A"/>
    <w:rsid w:val="0F5E7FAF"/>
    <w:rsid w:val="0F666CCA"/>
    <w:rsid w:val="0F801C32"/>
    <w:rsid w:val="0FC73BE9"/>
    <w:rsid w:val="0FDA0B8C"/>
    <w:rsid w:val="0FDD010F"/>
    <w:rsid w:val="0FEC00EE"/>
    <w:rsid w:val="0FEE6836"/>
    <w:rsid w:val="101A1FFE"/>
    <w:rsid w:val="10574280"/>
    <w:rsid w:val="108A2DF9"/>
    <w:rsid w:val="109218D9"/>
    <w:rsid w:val="109501C0"/>
    <w:rsid w:val="10A1515D"/>
    <w:rsid w:val="10AB7642"/>
    <w:rsid w:val="10B637C0"/>
    <w:rsid w:val="10D013C8"/>
    <w:rsid w:val="10E66141"/>
    <w:rsid w:val="10EB474A"/>
    <w:rsid w:val="11170ED8"/>
    <w:rsid w:val="11347157"/>
    <w:rsid w:val="11467149"/>
    <w:rsid w:val="114E2AEE"/>
    <w:rsid w:val="115B567E"/>
    <w:rsid w:val="11633F2C"/>
    <w:rsid w:val="11A823B3"/>
    <w:rsid w:val="11AD4D9B"/>
    <w:rsid w:val="11BF6701"/>
    <w:rsid w:val="11C436DA"/>
    <w:rsid w:val="11CC3E60"/>
    <w:rsid w:val="11DC229F"/>
    <w:rsid w:val="121E0907"/>
    <w:rsid w:val="12417917"/>
    <w:rsid w:val="12423A2C"/>
    <w:rsid w:val="125C359D"/>
    <w:rsid w:val="12972A6D"/>
    <w:rsid w:val="12A03046"/>
    <w:rsid w:val="12F16C1F"/>
    <w:rsid w:val="132A0CBC"/>
    <w:rsid w:val="137F578F"/>
    <w:rsid w:val="138A5D40"/>
    <w:rsid w:val="138C7281"/>
    <w:rsid w:val="13B33EEB"/>
    <w:rsid w:val="13BA2D8D"/>
    <w:rsid w:val="13BC12BF"/>
    <w:rsid w:val="13BF768D"/>
    <w:rsid w:val="13CF3AB0"/>
    <w:rsid w:val="14034BB8"/>
    <w:rsid w:val="14236617"/>
    <w:rsid w:val="14405D22"/>
    <w:rsid w:val="1444201F"/>
    <w:rsid w:val="14990D44"/>
    <w:rsid w:val="149E3AC3"/>
    <w:rsid w:val="14BE5716"/>
    <w:rsid w:val="14C34F24"/>
    <w:rsid w:val="14EB19FB"/>
    <w:rsid w:val="14F670A8"/>
    <w:rsid w:val="151F00E8"/>
    <w:rsid w:val="153170A0"/>
    <w:rsid w:val="153C1486"/>
    <w:rsid w:val="1574696E"/>
    <w:rsid w:val="15907FBE"/>
    <w:rsid w:val="15BD2C4B"/>
    <w:rsid w:val="15C15585"/>
    <w:rsid w:val="15C6474A"/>
    <w:rsid w:val="15D762E2"/>
    <w:rsid w:val="15F46539"/>
    <w:rsid w:val="15F815D5"/>
    <w:rsid w:val="16326427"/>
    <w:rsid w:val="16433642"/>
    <w:rsid w:val="16441BC9"/>
    <w:rsid w:val="164A3658"/>
    <w:rsid w:val="164E4553"/>
    <w:rsid w:val="16621C8D"/>
    <w:rsid w:val="1665243A"/>
    <w:rsid w:val="167E64D5"/>
    <w:rsid w:val="16950C3B"/>
    <w:rsid w:val="16A13E1C"/>
    <w:rsid w:val="16E77B3D"/>
    <w:rsid w:val="16F23CD8"/>
    <w:rsid w:val="16FA4E2C"/>
    <w:rsid w:val="171C17FB"/>
    <w:rsid w:val="171D46C2"/>
    <w:rsid w:val="171F74F7"/>
    <w:rsid w:val="174119F0"/>
    <w:rsid w:val="17580A4C"/>
    <w:rsid w:val="17593127"/>
    <w:rsid w:val="17607065"/>
    <w:rsid w:val="176F2E6E"/>
    <w:rsid w:val="17716EB9"/>
    <w:rsid w:val="17863661"/>
    <w:rsid w:val="17A941B6"/>
    <w:rsid w:val="17E2165E"/>
    <w:rsid w:val="180C7126"/>
    <w:rsid w:val="181C7503"/>
    <w:rsid w:val="18236833"/>
    <w:rsid w:val="18333BE2"/>
    <w:rsid w:val="183A374F"/>
    <w:rsid w:val="18664E5B"/>
    <w:rsid w:val="18776039"/>
    <w:rsid w:val="188305B7"/>
    <w:rsid w:val="18B2001B"/>
    <w:rsid w:val="191C7213"/>
    <w:rsid w:val="196D36B1"/>
    <w:rsid w:val="19813A83"/>
    <w:rsid w:val="19845EE9"/>
    <w:rsid w:val="199D157A"/>
    <w:rsid w:val="199D5C40"/>
    <w:rsid w:val="19A940E1"/>
    <w:rsid w:val="19BA6784"/>
    <w:rsid w:val="19E80221"/>
    <w:rsid w:val="1A0B3DC0"/>
    <w:rsid w:val="1A2F6BB8"/>
    <w:rsid w:val="1A397664"/>
    <w:rsid w:val="1A700B7C"/>
    <w:rsid w:val="1A9C70C5"/>
    <w:rsid w:val="1AB8269D"/>
    <w:rsid w:val="1AE41258"/>
    <w:rsid w:val="1AEB00AB"/>
    <w:rsid w:val="1B070751"/>
    <w:rsid w:val="1B090479"/>
    <w:rsid w:val="1B093739"/>
    <w:rsid w:val="1B093B1D"/>
    <w:rsid w:val="1B305F40"/>
    <w:rsid w:val="1B356C3A"/>
    <w:rsid w:val="1B3A401D"/>
    <w:rsid w:val="1B644C78"/>
    <w:rsid w:val="1B7156B8"/>
    <w:rsid w:val="1B757C39"/>
    <w:rsid w:val="1B770817"/>
    <w:rsid w:val="1B7B7487"/>
    <w:rsid w:val="1B7E7F14"/>
    <w:rsid w:val="1BC04FD1"/>
    <w:rsid w:val="1BD27D58"/>
    <w:rsid w:val="1BE54582"/>
    <w:rsid w:val="1BF84AF8"/>
    <w:rsid w:val="1BFB09A3"/>
    <w:rsid w:val="1BFD6C7E"/>
    <w:rsid w:val="1C0B3C6C"/>
    <w:rsid w:val="1C164185"/>
    <w:rsid w:val="1C262354"/>
    <w:rsid w:val="1C267F82"/>
    <w:rsid w:val="1C4D58A1"/>
    <w:rsid w:val="1C75643E"/>
    <w:rsid w:val="1C93342E"/>
    <w:rsid w:val="1C986933"/>
    <w:rsid w:val="1CBD2679"/>
    <w:rsid w:val="1CC31008"/>
    <w:rsid w:val="1CCC3CBC"/>
    <w:rsid w:val="1CD566D8"/>
    <w:rsid w:val="1CD974FA"/>
    <w:rsid w:val="1CDF3B2A"/>
    <w:rsid w:val="1CE4752C"/>
    <w:rsid w:val="1CE83302"/>
    <w:rsid w:val="1CEE68B6"/>
    <w:rsid w:val="1D123295"/>
    <w:rsid w:val="1D167EEA"/>
    <w:rsid w:val="1D2F2D17"/>
    <w:rsid w:val="1D495FAC"/>
    <w:rsid w:val="1D4C4A30"/>
    <w:rsid w:val="1D503E27"/>
    <w:rsid w:val="1D6D0123"/>
    <w:rsid w:val="1D7A639C"/>
    <w:rsid w:val="1D8206B5"/>
    <w:rsid w:val="1D8D58DE"/>
    <w:rsid w:val="1DB2375B"/>
    <w:rsid w:val="1DC05A19"/>
    <w:rsid w:val="1DDB47E2"/>
    <w:rsid w:val="1DF71A39"/>
    <w:rsid w:val="1DFB4A45"/>
    <w:rsid w:val="1DFC6FA3"/>
    <w:rsid w:val="1E005F9D"/>
    <w:rsid w:val="1E096100"/>
    <w:rsid w:val="1E1D673B"/>
    <w:rsid w:val="1E231AEA"/>
    <w:rsid w:val="1E3824DF"/>
    <w:rsid w:val="1E5C7AA3"/>
    <w:rsid w:val="1E6426A0"/>
    <w:rsid w:val="1E8500B7"/>
    <w:rsid w:val="1E8D2FC4"/>
    <w:rsid w:val="1EAF7CA6"/>
    <w:rsid w:val="1ECA5910"/>
    <w:rsid w:val="1F5E1AA4"/>
    <w:rsid w:val="1F655403"/>
    <w:rsid w:val="1F7171A3"/>
    <w:rsid w:val="1F807C45"/>
    <w:rsid w:val="1F86142A"/>
    <w:rsid w:val="1F8D47B9"/>
    <w:rsid w:val="1F8E2E26"/>
    <w:rsid w:val="1F9E53C0"/>
    <w:rsid w:val="1FAB4F33"/>
    <w:rsid w:val="1FE67D3D"/>
    <w:rsid w:val="1FE80522"/>
    <w:rsid w:val="1FE9475C"/>
    <w:rsid w:val="1FFC7D8E"/>
    <w:rsid w:val="20254C0F"/>
    <w:rsid w:val="204E5A2F"/>
    <w:rsid w:val="20664963"/>
    <w:rsid w:val="207659D2"/>
    <w:rsid w:val="20A420AE"/>
    <w:rsid w:val="20A9754C"/>
    <w:rsid w:val="20BA111E"/>
    <w:rsid w:val="20C454B5"/>
    <w:rsid w:val="20FE67E9"/>
    <w:rsid w:val="211713ED"/>
    <w:rsid w:val="21241618"/>
    <w:rsid w:val="21460B4D"/>
    <w:rsid w:val="218B0B78"/>
    <w:rsid w:val="219B7DE7"/>
    <w:rsid w:val="21BA18CA"/>
    <w:rsid w:val="21BC3427"/>
    <w:rsid w:val="21C4457A"/>
    <w:rsid w:val="21C97397"/>
    <w:rsid w:val="21EC3353"/>
    <w:rsid w:val="21F05D61"/>
    <w:rsid w:val="21F3425F"/>
    <w:rsid w:val="21F44361"/>
    <w:rsid w:val="22001A09"/>
    <w:rsid w:val="22096FE7"/>
    <w:rsid w:val="221E50FA"/>
    <w:rsid w:val="222D1D02"/>
    <w:rsid w:val="227B4DAD"/>
    <w:rsid w:val="22AD31A5"/>
    <w:rsid w:val="22B4097F"/>
    <w:rsid w:val="22B64134"/>
    <w:rsid w:val="22D15291"/>
    <w:rsid w:val="22DC7EF0"/>
    <w:rsid w:val="22F22FF9"/>
    <w:rsid w:val="2302130E"/>
    <w:rsid w:val="230F42A2"/>
    <w:rsid w:val="23141D1B"/>
    <w:rsid w:val="231470B2"/>
    <w:rsid w:val="23260413"/>
    <w:rsid w:val="232E5C5F"/>
    <w:rsid w:val="236B31BC"/>
    <w:rsid w:val="236D4D88"/>
    <w:rsid w:val="237B3D5E"/>
    <w:rsid w:val="237D3953"/>
    <w:rsid w:val="23856F77"/>
    <w:rsid w:val="239177CA"/>
    <w:rsid w:val="23CB3857"/>
    <w:rsid w:val="23F35D0C"/>
    <w:rsid w:val="23FA7E69"/>
    <w:rsid w:val="241412F8"/>
    <w:rsid w:val="24315C04"/>
    <w:rsid w:val="244627A5"/>
    <w:rsid w:val="24485286"/>
    <w:rsid w:val="245323A6"/>
    <w:rsid w:val="2460107D"/>
    <w:rsid w:val="24756BA6"/>
    <w:rsid w:val="24B060A4"/>
    <w:rsid w:val="24B43F14"/>
    <w:rsid w:val="24E309A7"/>
    <w:rsid w:val="24E449CE"/>
    <w:rsid w:val="25116E92"/>
    <w:rsid w:val="2532575D"/>
    <w:rsid w:val="25555D52"/>
    <w:rsid w:val="255D2553"/>
    <w:rsid w:val="25927C62"/>
    <w:rsid w:val="259A0584"/>
    <w:rsid w:val="25A247E7"/>
    <w:rsid w:val="25A87042"/>
    <w:rsid w:val="25B03EE3"/>
    <w:rsid w:val="25B111B0"/>
    <w:rsid w:val="25B92E0A"/>
    <w:rsid w:val="25BA7C53"/>
    <w:rsid w:val="25BE204F"/>
    <w:rsid w:val="26153106"/>
    <w:rsid w:val="261673CB"/>
    <w:rsid w:val="26220DC8"/>
    <w:rsid w:val="262D2DD3"/>
    <w:rsid w:val="26322B7B"/>
    <w:rsid w:val="26361BCE"/>
    <w:rsid w:val="264A53DE"/>
    <w:rsid w:val="26501172"/>
    <w:rsid w:val="265509DB"/>
    <w:rsid w:val="26616E22"/>
    <w:rsid w:val="266A787E"/>
    <w:rsid w:val="266B1340"/>
    <w:rsid w:val="266B71CA"/>
    <w:rsid w:val="267257B3"/>
    <w:rsid w:val="267A636E"/>
    <w:rsid w:val="268D7140"/>
    <w:rsid w:val="269711B9"/>
    <w:rsid w:val="26B26A7B"/>
    <w:rsid w:val="26BD6D0E"/>
    <w:rsid w:val="26D121AE"/>
    <w:rsid w:val="26E873DA"/>
    <w:rsid w:val="270933F2"/>
    <w:rsid w:val="27187560"/>
    <w:rsid w:val="272A0C68"/>
    <w:rsid w:val="273D765A"/>
    <w:rsid w:val="27433C4E"/>
    <w:rsid w:val="27665E21"/>
    <w:rsid w:val="27736981"/>
    <w:rsid w:val="277C2603"/>
    <w:rsid w:val="277D2688"/>
    <w:rsid w:val="278230B3"/>
    <w:rsid w:val="279961FC"/>
    <w:rsid w:val="27AE44D5"/>
    <w:rsid w:val="27D80610"/>
    <w:rsid w:val="27F52732"/>
    <w:rsid w:val="280944AF"/>
    <w:rsid w:val="282646EC"/>
    <w:rsid w:val="282C6E8B"/>
    <w:rsid w:val="283C2BCC"/>
    <w:rsid w:val="28662581"/>
    <w:rsid w:val="28687751"/>
    <w:rsid w:val="286B4291"/>
    <w:rsid w:val="289A528E"/>
    <w:rsid w:val="28A8460E"/>
    <w:rsid w:val="28C130D1"/>
    <w:rsid w:val="28C24CA3"/>
    <w:rsid w:val="28F63507"/>
    <w:rsid w:val="28FC1E02"/>
    <w:rsid w:val="290E23D9"/>
    <w:rsid w:val="29157609"/>
    <w:rsid w:val="291D6FAC"/>
    <w:rsid w:val="29267D5D"/>
    <w:rsid w:val="292C56FA"/>
    <w:rsid w:val="29311834"/>
    <w:rsid w:val="29347D47"/>
    <w:rsid w:val="29611F8B"/>
    <w:rsid w:val="296C7C2C"/>
    <w:rsid w:val="299F4685"/>
    <w:rsid w:val="29AD67F7"/>
    <w:rsid w:val="29DC62F2"/>
    <w:rsid w:val="2A021B3E"/>
    <w:rsid w:val="2A290BDC"/>
    <w:rsid w:val="2A351F7B"/>
    <w:rsid w:val="2A3E35AD"/>
    <w:rsid w:val="2A4D76CB"/>
    <w:rsid w:val="2A652BD4"/>
    <w:rsid w:val="2A6C420C"/>
    <w:rsid w:val="2A9A3781"/>
    <w:rsid w:val="2AB26607"/>
    <w:rsid w:val="2ACE4FC6"/>
    <w:rsid w:val="2AD94755"/>
    <w:rsid w:val="2AF77367"/>
    <w:rsid w:val="2B0A0BD5"/>
    <w:rsid w:val="2B0A326E"/>
    <w:rsid w:val="2B381D70"/>
    <w:rsid w:val="2B411857"/>
    <w:rsid w:val="2B54148E"/>
    <w:rsid w:val="2B5C73EB"/>
    <w:rsid w:val="2B5E61B8"/>
    <w:rsid w:val="2B7118BF"/>
    <w:rsid w:val="2B724E22"/>
    <w:rsid w:val="2B8818D0"/>
    <w:rsid w:val="2B8A1EA0"/>
    <w:rsid w:val="2B9C27E4"/>
    <w:rsid w:val="2BE13188"/>
    <w:rsid w:val="2BE713FE"/>
    <w:rsid w:val="2C053476"/>
    <w:rsid w:val="2C113654"/>
    <w:rsid w:val="2C1B212D"/>
    <w:rsid w:val="2C3E2C44"/>
    <w:rsid w:val="2C44674C"/>
    <w:rsid w:val="2C920372"/>
    <w:rsid w:val="2CC01D55"/>
    <w:rsid w:val="2CDD2828"/>
    <w:rsid w:val="2D1D294F"/>
    <w:rsid w:val="2D28535E"/>
    <w:rsid w:val="2D735A67"/>
    <w:rsid w:val="2D8070AF"/>
    <w:rsid w:val="2DB94CBF"/>
    <w:rsid w:val="2DBA131A"/>
    <w:rsid w:val="2DBA5AC8"/>
    <w:rsid w:val="2DCB735A"/>
    <w:rsid w:val="2DD462C2"/>
    <w:rsid w:val="2DDD2134"/>
    <w:rsid w:val="2DDD4E5F"/>
    <w:rsid w:val="2DE16C77"/>
    <w:rsid w:val="2DE60BE9"/>
    <w:rsid w:val="2E2668E4"/>
    <w:rsid w:val="2E3615D0"/>
    <w:rsid w:val="2E3B5ECD"/>
    <w:rsid w:val="2E451A7C"/>
    <w:rsid w:val="2E4C1EBA"/>
    <w:rsid w:val="2EAE301C"/>
    <w:rsid w:val="2ED36202"/>
    <w:rsid w:val="2EE13B2F"/>
    <w:rsid w:val="2EE15691"/>
    <w:rsid w:val="2F1F4FB0"/>
    <w:rsid w:val="2F4A5657"/>
    <w:rsid w:val="2F4D6B27"/>
    <w:rsid w:val="2F543A38"/>
    <w:rsid w:val="2F553B82"/>
    <w:rsid w:val="2F7B59FE"/>
    <w:rsid w:val="2F9C2E37"/>
    <w:rsid w:val="2FA774C5"/>
    <w:rsid w:val="2FB000FC"/>
    <w:rsid w:val="2FC93316"/>
    <w:rsid w:val="2FCC5583"/>
    <w:rsid w:val="2FD61001"/>
    <w:rsid w:val="30030473"/>
    <w:rsid w:val="300852DE"/>
    <w:rsid w:val="301220FC"/>
    <w:rsid w:val="30464020"/>
    <w:rsid w:val="30497A4F"/>
    <w:rsid w:val="306B512F"/>
    <w:rsid w:val="306D5C41"/>
    <w:rsid w:val="30A83EC2"/>
    <w:rsid w:val="30B80D4C"/>
    <w:rsid w:val="30BD2B5F"/>
    <w:rsid w:val="30E1509C"/>
    <w:rsid w:val="30F84E6F"/>
    <w:rsid w:val="31127E0D"/>
    <w:rsid w:val="3129025F"/>
    <w:rsid w:val="31320998"/>
    <w:rsid w:val="31453C7B"/>
    <w:rsid w:val="314D312F"/>
    <w:rsid w:val="31542597"/>
    <w:rsid w:val="31615C49"/>
    <w:rsid w:val="316D7D22"/>
    <w:rsid w:val="31843543"/>
    <w:rsid w:val="31857990"/>
    <w:rsid w:val="318B126D"/>
    <w:rsid w:val="31A1157A"/>
    <w:rsid w:val="31C25309"/>
    <w:rsid w:val="31CB6D6E"/>
    <w:rsid w:val="31D67B45"/>
    <w:rsid w:val="31E35430"/>
    <w:rsid w:val="3210510A"/>
    <w:rsid w:val="321B1AA4"/>
    <w:rsid w:val="322055D3"/>
    <w:rsid w:val="322C2A8A"/>
    <w:rsid w:val="322E1180"/>
    <w:rsid w:val="324D07E6"/>
    <w:rsid w:val="32757B61"/>
    <w:rsid w:val="32822213"/>
    <w:rsid w:val="32867567"/>
    <w:rsid w:val="328F2B5E"/>
    <w:rsid w:val="32981347"/>
    <w:rsid w:val="329F7A2B"/>
    <w:rsid w:val="32D75F52"/>
    <w:rsid w:val="3311647A"/>
    <w:rsid w:val="332854D5"/>
    <w:rsid w:val="3329346A"/>
    <w:rsid w:val="333659DA"/>
    <w:rsid w:val="335553C6"/>
    <w:rsid w:val="3357102E"/>
    <w:rsid w:val="33572FB0"/>
    <w:rsid w:val="33633EB8"/>
    <w:rsid w:val="336D250C"/>
    <w:rsid w:val="338D2239"/>
    <w:rsid w:val="33AE5BBA"/>
    <w:rsid w:val="33B30672"/>
    <w:rsid w:val="33D579CF"/>
    <w:rsid w:val="33E836FB"/>
    <w:rsid w:val="33F205F7"/>
    <w:rsid w:val="33FF2179"/>
    <w:rsid w:val="345E13BA"/>
    <w:rsid w:val="345E3292"/>
    <w:rsid w:val="34664A0B"/>
    <w:rsid w:val="346E2D0F"/>
    <w:rsid w:val="34AE1E6A"/>
    <w:rsid w:val="34F85D6A"/>
    <w:rsid w:val="350E3B42"/>
    <w:rsid w:val="35125628"/>
    <w:rsid w:val="352100FF"/>
    <w:rsid w:val="352167CF"/>
    <w:rsid w:val="35660444"/>
    <w:rsid w:val="3566212E"/>
    <w:rsid w:val="356B276A"/>
    <w:rsid w:val="358E654C"/>
    <w:rsid w:val="35965B9C"/>
    <w:rsid w:val="359F0A1F"/>
    <w:rsid w:val="35C43240"/>
    <w:rsid w:val="35D42CBE"/>
    <w:rsid w:val="360D03D3"/>
    <w:rsid w:val="361B3EDC"/>
    <w:rsid w:val="361F6493"/>
    <w:rsid w:val="365C025C"/>
    <w:rsid w:val="36626692"/>
    <w:rsid w:val="367242E0"/>
    <w:rsid w:val="36897340"/>
    <w:rsid w:val="36A63BA7"/>
    <w:rsid w:val="36D05609"/>
    <w:rsid w:val="36E35E9F"/>
    <w:rsid w:val="36EC24B8"/>
    <w:rsid w:val="36FF2B34"/>
    <w:rsid w:val="3712448B"/>
    <w:rsid w:val="37734130"/>
    <w:rsid w:val="378E76E4"/>
    <w:rsid w:val="37936580"/>
    <w:rsid w:val="37A34A15"/>
    <w:rsid w:val="37A52ECC"/>
    <w:rsid w:val="37C64260"/>
    <w:rsid w:val="37FB2265"/>
    <w:rsid w:val="38282D9D"/>
    <w:rsid w:val="38473444"/>
    <w:rsid w:val="38496EE5"/>
    <w:rsid w:val="385308AB"/>
    <w:rsid w:val="387C591A"/>
    <w:rsid w:val="38854458"/>
    <w:rsid w:val="38910EBC"/>
    <w:rsid w:val="389A51EB"/>
    <w:rsid w:val="38A22B6B"/>
    <w:rsid w:val="38D563EE"/>
    <w:rsid w:val="38EA10A6"/>
    <w:rsid w:val="390441CE"/>
    <w:rsid w:val="390B5D7B"/>
    <w:rsid w:val="39166111"/>
    <w:rsid w:val="39255B75"/>
    <w:rsid w:val="395370EE"/>
    <w:rsid w:val="39545D8E"/>
    <w:rsid w:val="3985179C"/>
    <w:rsid w:val="39BF1CE5"/>
    <w:rsid w:val="3A0B1954"/>
    <w:rsid w:val="3A151FA0"/>
    <w:rsid w:val="3A2B232A"/>
    <w:rsid w:val="3A793A8F"/>
    <w:rsid w:val="3ABF2507"/>
    <w:rsid w:val="3AC32E01"/>
    <w:rsid w:val="3AC9498B"/>
    <w:rsid w:val="3B256DAF"/>
    <w:rsid w:val="3B3616FD"/>
    <w:rsid w:val="3B533D48"/>
    <w:rsid w:val="3B5A1A2F"/>
    <w:rsid w:val="3B5B5758"/>
    <w:rsid w:val="3B8D3791"/>
    <w:rsid w:val="3BA27B10"/>
    <w:rsid w:val="3BA92E72"/>
    <w:rsid w:val="3BAA04FF"/>
    <w:rsid w:val="3BAD1686"/>
    <w:rsid w:val="3BAF6081"/>
    <w:rsid w:val="3BBD016F"/>
    <w:rsid w:val="3BE0479C"/>
    <w:rsid w:val="3BEE3761"/>
    <w:rsid w:val="3C0E5061"/>
    <w:rsid w:val="3C1F49BF"/>
    <w:rsid w:val="3C6D55F2"/>
    <w:rsid w:val="3C8051A6"/>
    <w:rsid w:val="3C9A335A"/>
    <w:rsid w:val="3CBB635D"/>
    <w:rsid w:val="3CC05722"/>
    <w:rsid w:val="3CDC396E"/>
    <w:rsid w:val="3CF248ED"/>
    <w:rsid w:val="3D0D4A0D"/>
    <w:rsid w:val="3D312940"/>
    <w:rsid w:val="3D681D5A"/>
    <w:rsid w:val="3D6A1C0B"/>
    <w:rsid w:val="3D8D6ED1"/>
    <w:rsid w:val="3D8F3E21"/>
    <w:rsid w:val="3DC31ADA"/>
    <w:rsid w:val="3DFD7731"/>
    <w:rsid w:val="3E0C733A"/>
    <w:rsid w:val="3E874902"/>
    <w:rsid w:val="3E921361"/>
    <w:rsid w:val="3EA96219"/>
    <w:rsid w:val="3EB06A0E"/>
    <w:rsid w:val="3EB31640"/>
    <w:rsid w:val="3EB54AE2"/>
    <w:rsid w:val="3EB92D62"/>
    <w:rsid w:val="3EF16D0C"/>
    <w:rsid w:val="3F15023A"/>
    <w:rsid w:val="3F2476CE"/>
    <w:rsid w:val="3F273217"/>
    <w:rsid w:val="3F2A77CA"/>
    <w:rsid w:val="3F5C67E0"/>
    <w:rsid w:val="3F6046C3"/>
    <w:rsid w:val="3F816C8A"/>
    <w:rsid w:val="3FA93691"/>
    <w:rsid w:val="3FC568AC"/>
    <w:rsid w:val="3FD0385B"/>
    <w:rsid w:val="3FD16045"/>
    <w:rsid w:val="3FE6347C"/>
    <w:rsid w:val="402F6781"/>
    <w:rsid w:val="40394958"/>
    <w:rsid w:val="403A1C8F"/>
    <w:rsid w:val="404D5299"/>
    <w:rsid w:val="404E76D3"/>
    <w:rsid w:val="408560B2"/>
    <w:rsid w:val="408F3C3B"/>
    <w:rsid w:val="40AD0BEA"/>
    <w:rsid w:val="40B45FA1"/>
    <w:rsid w:val="40C50789"/>
    <w:rsid w:val="40E2404A"/>
    <w:rsid w:val="40F7192E"/>
    <w:rsid w:val="40FA0619"/>
    <w:rsid w:val="41141D46"/>
    <w:rsid w:val="41262582"/>
    <w:rsid w:val="41277321"/>
    <w:rsid w:val="415C5513"/>
    <w:rsid w:val="41661CEC"/>
    <w:rsid w:val="417304D2"/>
    <w:rsid w:val="41756B51"/>
    <w:rsid w:val="41B67760"/>
    <w:rsid w:val="4200486D"/>
    <w:rsid w:val="42084854"/>
    <w:rsid w:val="420A4AA8"/>
    <w:rsid w:val="42204EB5"/>
    <w:rsid w:val="42341E3D"/>
    <w:rsid w:val="423C231C"/>
    <w:rsid w:val="424E5D3B"/>
    <w:rsid w:val="42894103"/>
    <w:rsid w:val="42DA35EB"/>
    <w:rsid w:val="42DC1373"/>
    <w:rsid w:val="42EB5F3F"/>
    <w:rsid w:val="42EE4ACA"/>
    <w:rsid w:val="433B4FAD"/>
    <w:rsid w:val="43494E83"/>
    <w:rsid w:val="434A1ED7"/>
    <w:rsid w:val="434B5F61"/>
    <w:rsid w:val="437769C4"/>
    <w:rsid w:val="439452CD"/>
    <w:rsid w:val="43987C3E"/>
    <w:rsid w:val="43DF168F"/>
    <w:rsid w:val="43EE52AD"/>
    <w:rsid w:val="43F70347"/>
    <w:rsid w:val="440D2A75"/>
    <w:rsid w:val="44151500"/>
    <w:rsid w:val="44225771"/>
    <w:rsid w:val="442E2C0A"/>
    <w:rsid w:val="443415E8"/>
    <w:rsid w:val="44471AAC"/>
    <w:rsid w:val="445911DE"/>
    <w:rsid w:val="4491321B"/>
    <w:rsid w:val="449604FB"/>
    <w:rsid w:val="449A2A3E"/>
    <w:rsid w:val="44C0114A"/>
    <w:rsid w:val="44CA2639"/>
    <w:rsid w:val="44D50E68"/>
    <w:rsid w:val="44E25F72"/>
    <w:rsid w:val="44E32866"/>
    <w:rsid w:val="44EB189F"/>
    <w:rsid w:val="44FD7B3F"/>
    <w:rsid w:val="451136F6"/>
    <w:rsid w:val="45127E77"/>
    <w:rsid w:val="451417BD"/>
    <w:rsid w:val="45355F69"/>
    <w:rsid w:val="45387544"/>
    <w:rsid w:val="453975C8"/>
    <w:rsid w:val="453B0148"/>
    <w:rsid w:val="453B36EE"/>
    <w:rsid w:val="4552145A"/>
    <w:rsid w:val="45681A93"/>
    <w:rsid w:val="456F0597"/>
    <w:rsid w:val="458047D3"/>
    <w:rsid w:val="459020E6"/>
    <w:rsid w:val="45BF7797"/>
    <w:rsid w:val="45EB5B41"/>
    <w:rsid w:val="45FC5122"/>
    <w:rsid w:val="4608625E"/>
    <w:rsid w:val="460E37F4"/>
    <w:rsid w:val="462E28FA"/>
    <w:rsid w:val="463D21F4"/>
    <w:rsid w:val="4674757D"/>
    <w:rsid w:val="46E17C2E"/>
    <w:rsid w:val="46E66176"/>
    <w:rsid w:val="46F618BC"/>
    <w:rsid w:val="47172FCE"/>
    <w:rsid w:val="472D20DA"/>
    <w:rsid w:val="47322751"/>
    <w:rsid w:val="473E0204"/>
    <w:rsid w:val="473E1081"/>
    <w:rsid w:val="475075B1"/>
    <w:rsid w:val="477301BF"/>
    <w:rsid w:val="47770F2B"/>
    <w:rsid w:val="47935022"/>
    <w:rsid w:val="47B42327"/>
    <w:rsid w:val="47D9109A"/>
    <w:rsid w:val="47DF1EDE"/>
    <w:rsid w:val="47E32A44"/>
    <w:rsid w:val="48001EB1"/>
    <w:rsid w:val="48321F62"/>
    <w:rsid w:val="485F067A"/>
    <w:rsid w:val="48A46FB5"/>
    <w:rsid w:val="48C60564"/>
    <w:rsid w:val="48C63978"/>
    <w:rsid w:val="48D931CF"/>
    <w:rsid w:val="48DB1A95"/>
    <w:rsid w:val="48DE4B3F"/>
    <w:rsid w:val="49095468"/>
    <w:rsid w:val="492B4F94"/>
    <w:rsid w:val="492E6967"/>
    <w:rsid w:val="49A25D9E"/>
    <w:rsid w:val="49A96B07"/>
    <w:rsid w:val="49B316CE"/>
    <w:rsid w:val="49C51CAF"/>
    <w:rsid w:val="49F53957"/>
    <w:rsid w:val="4A2057D5"/>
    <w:rsid w:val="4A2A06C4"/>
    <w:rsid w:val="4A38723F"/>
    <w:rsid w:val="4A6819DC"/>
    <w:rsid w:val="4A8A479E"/>
    <w:rsid w:val="4A8F0E29"/>
    <w:rsid w:val="4A902D26"/>
    <w:rsid w:val="4AC17322"/>
    <w:rsid w:val="4AEB7F8C"/>
    <w:rsid w:val="4B1506E1"/>
    <w:rsid w:val="4B182BCD"/>
    <w:rsid w:val="4B2E3F72"/>
    <w:rsid w:val="4B341A2A"/>
    <w:rsid w:val="4B375FBE"/>
    <w:rsid w:val="4B3B7B1E"/>
    <w:rsid w:val="4B414BEA"/>
    <w:rsid w:val="4B587F93"/>
    <w:rsid w:val="4B7103C2"/>
    <w:rsid w:val="4B812B8E"/>
    <w:rsid w:val="4B85737C"/>
    <w:rsid w:val="4B9F74CF"/>
    <w:rsid w:val="4BA34B8C"/>
    <w:rsid w:val="4BD22165"/>
    <w:rsid w:val="4C073223"/>
    <w:rsid w:val="4C1A464A"/>
    <w:rsid w:val="4C274913"/>
    <w:rsid w:val="4C941131"/>
    <w:rsid w:val="4CA14D01"/>
    <w:rsid w:val="4CAC3D23"/>
    <w:rsid w:val="4CBB0999"/>
    <w:rsid w:val="4CBE4C6F"/>
    <w:rsid w:val="4CCF792C"/>
    <w:rsid w:val="4CD923F3"/>
    <w:rsid w:val="4CED7708"/>
    <w:rsid w:val="4CFB7F38"/>
    <w:rsid w:val="4CFE7AD0"/>
    <w:rsid w:val="4D033455"/>
    <w:rsid w:val="4D10719D"/>
    <w:rsid w:val="4D2211D8"/>
    <w:rsid w:val="4D583F97"/>
    <w:rsid w:val="4D725764"/>
    <w:rsid w:val="4DC002E1"/>
    <w:rsid w:val="4DC07059"/>
    <w:rsid w:val="4DC332C4"/>
    <w:rsid w:val="4DD44A19"/>
    <w:rsid w:val="4DE75FC1"/>
    <w:rsid w:val="4E23527B"/>
    <w:rsid w:val="4E6E58E7"/>
    <w:rsid w:val="4E9B5FEF"/>
    <w:rsid w:val="4EA551CE"/>
    <w:rsid w:val="4EA57992"/>
    <w:rsid w:val="4EC86811"/>
    <w:rsid w:val="4F112BD8"/>
    <w:rsid w:val="4F2359D6"/>
    <w:rsid w:val="4F27534F"/>
    <w:rsid w:val="4F3A6B04"/>
    <w:rsid w:val="4F6621C1"/>
    <w:rsid w:val="4F69181E"/>
    <w:rsid w:val="4F9A2167"/>
    <w:rsid w:val="4FD0029E"/>
    <w:rsid w:val="4FD96283"/>
    <w:rsid w:val="4FEA6A82"/>
    <w:rsid w:val="502B1AD6"/>
    <w:rsid w:val="503112E9"/>
    <w:rsid w:val="50596932"/>
    <w:rsid w:val="50833C49"/>
    <w:rsid w:val="50880633"/>
    <w:rsid w:val="508F5958"/>
    <w:rsid w:val="509F4C2A"/>
    <w:rsid w:val="50A32944"/>
    <w:rsid w:val="50A32F39"/>
    <w:rsid w:val="50DD469C"/>
    <w:rsid w:val="50E26118"/>
    <w:rsid w:val="50E41AF7"/>
    <w:rsid w:val="50EC3EA9"/>
    <w:rsid w:val="50ED0E10"/>
    <w:rsid w:val="51053BF3"/>
    <w:rsid w:val="513B0119"/>
    <w:rsid w:val="513C7D41"/>
    <w:rsid w:val="515A0C65"/>
    <w:rsid w:val="515E27BB"/>
    <w:rsid w:val="51766187"/>
    <w:rsid w:val="518B5EA5"/>
    <w:rsid w:val="51A1085C"/>
    <w:rsid w:val="51A45F6D"/>
    <w:rsid w:val="51B907B6"/>
    <w:rsid w:val="51DF0CDF"/>
    <w:rsid w:val="51E30B98"/>
    <w:rsid w:val="51E97071"/>
    <w:rsid w:val="51FD61FC"/>
    <w:rsid w:val="52203D61"/>
    <w:rsid w:val="52386D39"/>
    <w:rsid w:val="523C3645"/>
    <w:rsid w:val="5242431B"/>
    <w:rsid w:val="5245699D"/>
    <w:rsid w:val="524877D4"/>
    <w:rsid w:val="524F0DF4"/>
    <w:rsid w:val="525A4087"/>
    <w:rsid w:val="52605AD9"/>
    <w:rsid w:val="52A00B52"/>
    <w:rsid w:val="52A651A9"/>
    <w:rsid w:val="52C04276"/>
    <w:rsid w:val="52CB4CC5"/>
    <w:rsid w:val="52D0584F"/>
    <w:rsid w:val="52E23DAC"/>
    <w:rsid w:val="52EB770C"/>
    <w:rsid w:val="52F6441F"/>
    <w:rsid w:val="5309719A"/>
    <w:rsid w:val="53140C09"/>
    <w:rsid w:val="531E1115"/>
    <w:rsid w:val="53311A2E"/>
    <w:rsid w:val="535D78A6"/>
    <w:rsid w:val="5366484D"/>
    <w:rsid w:val="53731EF1"/>
    <w:rsid w:val="53733493"/>
    <w:rsid w:val="53912B90"/>
    <w:rsid w:val="53AC07DC"/>
    <w:rsid w:val="53C41B44"/>
    <w:rsid w:val="53E75832"/>
    <w:rsid w:val="53F969C4"/>
    <w:rsid w:val="5404740A"/>
    <w:rsid w:val="54050B1A"/>
    <w:rsid w:val="542362A5"/>
    <w:rsid w:val="54280325"/>
    <w:rsid w:val="546D41B1"/>
    <w:rsid w:val="547701CD"/>
    <w:rsid w:val="549501D8"/>
    <w:rsid w:val="54A65B3A"/>
    <w:rsid w:val="54CD01EC"/>
    <w:rsid w:val="54F558F9"/>
    <w:rsid w:val="54FA6EB3"/>
    <w:rsid w:val="550348EE"/>
    <w:rsid w:val="550E3200"/>
    <w:rsid w:val="55135050"/>
    <w:rsid w:val="551E35E3"/>
    <w:rsid w:val="5520072C"/>
    <w:rsid w:val="55373ACE"/>
    <w:rsid w:val="556A2277"/>
    <w:rsid w:val="556F068E"/>
    <w:rsid w:val="558D4430"/>
    <w:rsid w:val="559427CA"/>
    <w:rsid w:val="55C8191C"/>
    <w:rsid w:val="55C8432B"/>
    <w:rsid w:val="55D33DE7"/>
    <w:rsid w:val="55DB3175"/>
    <w:rsid w:val="56223544"/>
    <w:rsid w:val="562B0309"/>
    <w:rsid w:val="56320F1A"/>
    <w:rsid w:val="564D41A9"/>
    <w:rsid w:val="565E4274"/>
    <w:rsid w:val="5666031A"/>
    <w:rsid w:val="566A27F8"/>
    <w:rsid w:val="56803FF0"/>
    <w:rsid w:val="568F750C"/>
    <w:rsid w:val="569014CB"/>
    <w:rsid w:val="56925ED7"/>
    <w:rsid w:val="56B55995"/>
    <w:rsid w:val="56BC7408"/>
    <w:rsid w:val="56C91168"/>
    <w:rsid w:val="56D119CA"/>
    <w:rsid w:val="56E15BAE"/>
    <w:rsid w:val="56FA0DF2"/>
    <w:rsid w:val="56FF0F11"/>
    <w:rsid w:val="5714339A"/>
    <w:rsid w:val="5717042A"/>
    <w:rsid w:val="571A1A7B"/>
    <w:rsid w:val="572E4DA3"/>
    <w:rsid w:val="572E781C"/>
    <w:rsid w:val="575952E3"/>
    <w:rsid w:val="575F7462"/>
    <w:rsid w:val="5771432A"/>
    <w:rsid w:val="57842375"/>
    <w:rsid w:val="57866CAC"/>
    <w:rsid w:val="579B36BD"/>
    <w:rsid w:val="57B2220D"/>
    <w:rsid w:val="57C01362"/>
    <w:rsid w:val="57C76DE6"/>
    <w:rsid w:val="57D165DD"/>
    <w:rsid w:val="57D80574"/>
    <w:rsid w:val="580A0E63"/>
    <w:rsid w:val="580E3A4B"/>
    <w:rsid w:val="5814779C"/>
    <w:rsid w:val="584357AA"/>
    <w:rsid w:val="58764BA4"/>
    <w:rsid w:val="588221AB"/>
    <w:rsid w:val="58870496"/>
    <w:rsid w:val="588A1876"/>
    <w:rsid w:val="588D71B2"/>
    <w:rsid w:val="589F66DB"/>
    <w:rsid w:val="58AC68EF"/>
    <w:rsid w:val="58B959EF"/>
    <w:rsid w:val="58BE53CF"/>
    <w:rsid w:val="58C007C6"/>
    <w:rsid w:val="58C41915"/>
    <w:rsid w:val="58E407EA"/>
    <w:rsid w:val="58FC4F44"/>
    <w:rsid w:val="590649AC"/>
    <w:rsid w:val="59102C82"/>
    <w:rsid w:val="591B616B"/>
    <w:rsid w:val="591E7F23"/>
    <w:rsid w:val="59260BAB"/>
    <w:rsid w:val="592D1F6B"/>
    <w:rsid w:val="59304CE8"/>
    <w:rsid w:val="59370159"/>
    <w:rsid w:val="59532C2C"/>
    <w:rsid w:val="5981656F"/>
    <w:rsid w:val="59A06B52"/>
    <w:rsid w:val="59A26243"/>
    <w:rsid w:val="59C76055"/>
    <w:rsid w:val="59E75FD1"/>
    <w:rsid w:val="5A065F4B"/>
    <w:rsid w:val="5A0B1C28"/>
    <w:rsid w:val="5A2255E6"/>
    <w:rsid w:val="5A317807"/>
    <w:rsid w:val="5A851E01"/>
    <w:rsid w:val="5A8F2EB6"/>
    <w:rsid w:val="5AA15ABA"/>
    <w:rsid w:val="5AB06C76"/>
    <w:rsid w:val="5AF63E2E"/>
    <w:rsid w:val="5B070568"/>
    <w:rsid w:val="5B1128EC"/>
    <w:rsid w:val="5B29025F"/>
    <w:rsid w:val="5B3143F9"/>
    <w:rsid w:val="5B503CBD"/>
    <w:rsid w:val="5BA069F2"/>
    <w:rsid w:val="5BF21181"/>
    <w:rsid w:val="5BFA46DF"/>
    <w:rsid w:val="5BFD0432"/>
    <w:rsid w:val="5C1974E5"/>
    <w:rsid w:val="5C1C7E80"/>
    <w:rsid w:val="5C4828EE"/>
    <w:rsid w:val="5C856CEB"/>
    <w:rsid w:val="5CA72002"/>
    <w:rsid w:val="5CBD3C20"/>
    <w:rsid w:val="5CBF734C"/>
    <w:rsid w:val="5CE075FF"/>
    <w:rsid w:val="5CE9518C"/>
    <w:rsid w:val="5D2166D8"/>
    <w:rsid w:val="5D272680"/>
    <w:rsid w:val="5D45468E"/>
    <w:rsid w:val="5D6B04DF"/>
    <w:rsid w:val="5D707B84"/>
    <w:rsid w:val="5D8F09AD"/>
    <w:rsid w:val="5D9B1497"/>
    <w:rsid w:val="5DA43D6D"/>
    <w:rsid w:val="5DDC51F6"/>
    <w:rsid w:val="5DE3422A"/>
    <w:rsid w:val="5E05130E"/>
    <w:rsid w:val="5E135B29"/>
    <w:rsid w:val="5E466F37"/>
    <w:rsid w:val="5E4E0751"/>
    <w:rsid w:val="5E5C3995"/>
    <w:rsid w:val="5E6A0CC2"/>
    <w:rsid w:val="5E845B3F"/>
    <w:rsid w:val="5E8D1899"/>
    <w:rsid w:val="5E9B47BF"/>
    <w:rsid w:val="5ED063E1"/>
    <w:rsid w:val="5EF4213A"/>
    <w:rsid w:val="5EF778DD"/>
    <w:rsid w:val="5F012051"/>
    <w:rsid w:val="5F150F5D"/>
    <w:rsid w:val="5F151A68"/>
    <w:rsid w:val="5F1E594E"/>
    <w:rsid w:val="5F2306D2"/>
    <w:rsid w:val="5F364291"/>
    <w:rsid w:val="5F720D05"/>
    <w:rsid w:val="5FB038A7"/>
    <w:rsid w:val="5FBB2542"/>
    <w:rsid w:val="5FFB489D"/>
    <w:rsid w:val="600D3A6B"/>
    <w:rsid w:val="6014637F"/>
    <w:rsid w:val="60304923"/>
    <w:rsid w:val="60340051"/>
    <w:rsid w:val="60350C06"/>
    <w:rsid w:val="603B74D8"/>
    <w:rsid w:val="60687CAA"/>
    <w:rsid w:val="6074197E"/>
    <w:rsid w:val="608508AD"/>
    <w:rsid w:val="60A26D69"/>
    <w:rsid w:val="60A7279D"/>
    <w:rsid w:val="60B817C2"/>
    <w:rsid w:val="60C625CB"/>
    <w:rsid w:val="60C71D15"/>
    <w:rsid w:val="61036CD9"/>
    <w:rsid w:val="61097F16"/>
    <w:rsid w:val="612451AE"/>
    <w:rsid w:val="613E3C59"/>
    <w:rsid w:val="61481242"/>
    <w:rsid w:val="61717233"/>
    <w:rsid w:val="61734481"/>
    <w:rsid w:val="61842912"/>
    <w:rsid w:val="619513BF"/>
    <w:rsid w:val="61A55E2E"/>
    <w:rsid w:val="61B90EE2"/>
    <w:rsid w:val="61C34C9F"/>
    <w:rsid w:val="61CF1FDD"/>
    <w:rsid w:val="61FA205F"/>
    <w:rsid w:val="620D15FF"/>
    <w:rsid w:val="62350545"/>
    <w:rsid w:val="624F2F20"/>
    <w:rsid w:val="626C2C39"/>
    <w:rsid w:val="627A61C5"/>
    <w:rsid w:val="62841CE0"/>
    <w:rsid w:val="62B524F7"/>
    <w:rsid w:val="62E513AE"/>
    <w:rsid w:val="62EF4D57"/>
    <w:rsid w:val="62F1602A"/>
    <w:rsid w:val="630860C9"/>
    <w:rsid w:val="63203A10"/>
    <w:rsid w:val="6321699F"/>
    <w:rsid w:val="63360CF0"/>
    <w:rsid w:val="63554E4D"/>
    <w:rsid w:val="63652DBD"/>
    <w:rsid w:val="63687E84"/>
    <w:rsid w:val="637257E9"/>
    <w:rsid w:val="638C5AAE"/>
    <w:rsid w:val="63951967"/>
    <w:rsid w:val="63B50F8C"/>
    <w:rsid w:val="63D22FCA"/>
    <w:rsid w:val="63E27F79"/>
    <w:rsid w:val="63F4777B"/>
    <w:rsid w:val="640E61DB"/>
    <w:rsid w:val="641206A9"/>
    <w:rsid w:val="643D1673"/>
    <w:rsid w:val="64545838"/>
    <w:rsid w:val="64575064"/>
    <w:rsid w:val="645F02B5"/>
    <w:rsid w:val="64681B01"/>
    <w:rsid w:val="64867FEE"/>
    <w:rsid w:val="649007B3"/>
    <w:rsid w:val="64906A84"/>
    <w:rsid w:val="64A01F00"/>
    <w:rsid w:val="64AE06FA"/>
    <w:rsid w:val="64D401A5"/>
    <w:rsid w:val="64D92F75"/>
    <w:rsid w:val="65024685"/>
    <w:rsid w:val="652A7FEB"/>
    <w:rsid w:val="652B00E3"/>
    <w:rsid w:val="65535A5A"/>
    <w:rsid w:val="656424CF"/>
    <w:rsid w:val="659361E9"/>
    <w:rsid w:val="659D0DEE"/>
    <w:rsid w:val="65A6262A"/>
    <w:rsid w:val="65D219C2"/>
    <w:rsid w:val="65D21E1C"/>
    <w:rsid w:val="65DA54B3"/>
    <w:rsid w:val="65EE37D1"/>
    <w:rsid w:val="65F549BD"/>
    <w:rsid w:val="65FB4D18"/>
    <w:rsid w:val="660A7073"/>
    <w:rsid w:val="660E3C9E"/>
    <w:rsid w:val="66164CE6"/>
    <w:rsid w:val="66425F55"/>
    <w:rsid w:val="664E5D65"/>
    <w:rsid w:val="665C5C0C"/>
    <w:rsid w:val="66BF254A"/>
    <w:rsid w:val="66E10ADE"/>
    <w:rsid w:val="66EE49DE"/>
    <w:rsid w:val="676F09D5"/>
    <w:rsid w:val="67790849"/>
    <w:rsid w:val="67AA7DCF"/>
    <w:rsid w:val="67B34464"/>
    <w:rsid w:val="67BD22B9"/>
    <w:rsid w:val="67FE1162"/>
    <w:rsid w:val="681B0E12"/>
    <w:rsid w:val="688F28E2"/>
    <w:rsid w:val="68A11DD7"/>
    <w:rsid w:val="68A51FB8"/>
    <w:rsid w:val="68B731E7"/>
    <w:rsid w:val="68DB53E7"/>
    <w:rsid w:val="68EA3016"/>
    <w:rsid w:val="68EB7ABC"/>
    <w:rsid w:val="69062705"/>
    <w:rsid w:val="691B0B6B"/>
    <w:rsid w:val="692E16A7"/>
    <w:rsid w:val="693C3BC4"/>
    <w:rsid w:val="69782CD3"/>
    <w:rsid w:val="697F5EFC"/>
    <w:rsid w:val="698A7439"/>
    <w:rsid w:val="69936875"/>
    <w:rsid w:val="69964E32"/>
    <w:rsid w:val="69AE114D"/>
    <w:rsid w:val="69DC7E67"/>
    <w:rsid w:val="69E80350"/>
    <w:rsid w:val="69EF047B"/>
    <w:rsid w:val="69FB1963"/>
    <w:rsid w:val="6A087387"/>
    <w:rsid w:val="6A1D56B2"/>
    <w:rsid w:val="6A2B6FC3"/>
    <w:rsid w:val="6A2E3D63"/>
    <w:rsid w:val="6A3A339B"/>
    <w:rsid w:val="6A3A5E65"/>
    <w:rsid w:val="6A6F1C4C"/>
    <w:rsid w:val="6A7202DC"/>
    <w:rsid w:val="6AA45DD3"/>
    <w:rsid w:val="6AA74E35"/>
    <w:rsid w:val="6AC6225B"/>
    <w:rsid w:val="6B505BBB"/>
    <w:rsid w:val="6B560E7C"/>
    <w:rsid w:val="6B6333A7"/>
    <w:rsid w:val="6BCA5C39"/>
    <w:rsid w:val="6BE02E3B"/>
    <w:rsid w:val="6BE27CF9"/>
    <w:rsid w:val="6C2B32C6"/>
    <w:rsid w:val="6C2D1409"/>
    <w:rsid w:val="6C2D7D63"/>
    <w:rsid w:val="6C3206C8"/>
    <w:rsid w:val="6C357AB5"/>
    <w:rsid w:val="6C3628E8"/>
    <w:rsid w:val="6C3934B6"/>
    <w:rsid w:val="6C615C61"/>
    <w:rsid w:val="6C6367AC"/>
    <w:rsid w:val="6C80536B"/>
    <w:rsid w:val="6C862345"/>
    <w:rsid w:val="6C8B724B"/>
    <w:rsid w:val="6C9048E4"/>
    <w:rsid w:val="6C9E2A18"/>
    <w:rsid w:val="6CA35456"/>
    <w:rsid w:val="6CB017D7"/>
    <w:rsid w:val="6CB32B41"/>
    <w:rsid w:val="6CBC68B9"/>
    <w:rsid w:val="6CD66EDA"/>
    <w:rsid w:val="6D0F3EEF"/>
    <w:rsid w:val="6D146CD3"/>
    <w:rsid w:val="6D1566D6"/>
    <w:rsid w:val="6D1C589C"/>
    <w:rsid w:val="6D3F4DC5"/>
    <w:rsid w:val="6D5502AA"/>
    <w:rsid w:val="6DA31776"/>
    <w:rsid w:val="6DA45FD5"/>
    <w:rsid w:val="6DA65016"/>
    <w:rsid w:val="6DB921CC"/>
    <w:rsid w:val="6DCB15BA"/>
    <w:rsid w:val="6DEF5697"/>
    <w:rsid w:val="6E290AC9"/>
    <w:rsid w:val="6E2E4332"/>
    <w:rsid w:val="6E366026"/>
    <w:rsid w:val="6E3C157B"/>
    <w:rsid w:val="6E4628B1"/>
    <w:rsid w:val="6E6903A5"/>
    <w:rsid w:val="6E9905B2"/>
    <w:rsid w:val="6EB87125"/>
    <w:rsid w:val="6EBB6069"/>
    <w:rsid w:val="6EBB7EF6"/>
    <w:rsid w:val="6EC11D71"/>
    <w:rsid w:val="6EC407F2"/>
    <w:rsid w:val="6EC647CC"/>
    <w:rsid w:val="6EEB4982"/>
    <w:rsid w:val="6F1222C5"/>
    <w:rsid w:val="6F161214"/>
    <w:rsid w:val="6F317DD0"/>
    <w:rsid w:val="6F322D6E"/>
    <w:rsid w:val="6F3A0D2D"/>
    <w:rsid w:val="6F3E040D"/>
    <w:rsid w:val="6F710F7D"/>
    <w:rsid w:val="6F757BA3"/>
    <w:rsid w:val="6F794E16"/>
    <w:rsid w:val="6F8E0F7C"/>
    <w:rsid w:val="6FA813AA"/>
    <w:rsid w:val="6FAF019B"/>
    <w:rsid w:val="6FB202FC"/>
    <w:rsid w:val="6FBA5851"/>
    <w:rsid w:val="6FD431BC"/>
    <w:rsid w:val="6FD64D8A"/>
    <w:rsid w:val="706531EB"/>
    <w:rsid w:val="70934920"/>
    <w:rsid w:val="709649ED"/>
    <w:rsid w:val="70A84AD3"/>
    <w:rsid w:val="70AE3508"/>
    <w:rsid w:val="70B351A6"/>
    <w:rsid w:val="70BF773C"/>
    <w:rsid w:val="70C41831"/>
    <w:rsid w:val="70CF7DE8"/>
    <w:rsid w:val="70E94F37"/>
    <w:rsid w:val="7117334E"/>
    <w:rsid w:val="711F7F62"/>
    <w:rsid w:val="712719C8"/>
    <w:rsid w:val="71336359"/>
    <w:rsid w:val="71492755"/>
    <w:rsid w:val="714B63FF"/>
    <w:rsid w:val="716F0EE9"/>
    <w:rsid w:val="716F4DBF"/>
    <w:rsid w:val="717A4EBB"/>
    <w:rsid w:val="71A121E2"/>
    <w:rsid w:val="71AA47BF"/>
    <w:rsid w:val="71CD5454"/>
    <w:rsid w:val="71D5629F"/>
    <w:rsid w:val="71D7672A"/>
    <w:rsid w:val="71EB57C6"/>
    <w:rsid w:val="71F46524"/>
    <w:rsid w:val="71FB06B4"/>
    <w:rsid w:val="720D5D43"/>
    <w:rsid w:val="72112D0B"/>
    <w:rsid w:val="72144DE3"/>
    <w:rsid w:val="72196118"/>
    <w:rsid w:val="723C3D7F"/>
    <w:rsid w:val="72736E18"/>
    <w:rsid w:val="728D1118"/>
    <w:rsid w:val="72B03A9F"/>
    <w:rsid w:val="72B25F6B"/>
    <w:rsid w:val="72B81190"/>
    <w:rsid w:val="72EF7206"/>
    <w:rsid w:val="72F45F1B"/>
    <w:rsid w:val="7303055F"/>
    <w:rsid w:val="73032A0D"/>
    <w:rsid w:val="731F3B82"/>
    <w:rsid w:val="733D0DD5"/>
    <w:rsid w:val="734D21A1"/>
    <w:rsid w:val="73836ECE"/>
    <w:rsid w:val="73C67500"/>
    <w:rsid w:val="73C864B5"/>
    <w:rsid w:val="73DE7E71"/>
    <w:rsid w:val="74087657"/>
    <w:rsid w:val="744D411F"/>
    <w:rsid w:val="745C2CF4"/>
    <w:rsid w:val="74641182"/>
    <w:rsid w:val="74744A68"/>
    <w:rsid w:val="749D4770"/>
    <w:rsid w:val="74A622B2"/>
    <w:rsid w:val="74B50C75"/>
    <w:rsid w:val="74D43FCD"/>
    <w:rsid w:val="74D736BD"/>
    <w:rsid w:val="74E403D4"/>
    <w:rsid w:val="74EA6DE6"/>
    <w:rsid w:val="74FC6F38"/>
    <w:rsid w:val="74FE3413"/>
    <w:rsid w:val="751029AE"/>
    <w:rsid w:val="751111C4"/>
    <w:rsid w:val="753649D0"/>
    <w:rsid w:val="756A1040"/>
    <w:rsid w:val="75921044"/>
    <w:rsid w:val="75970512"/>
    <w:rsid w:val="759944E1"/>
    <w:rsid w:val="759B5199"/>
    <w:rsid w:val="76053BCA"/>
    <w:rsid w:val="761A6BC1"/>
    <w:rsid w:val="763E74B8"/>
    <w:rsid w:val="765C476B"/>
    <w:rsid w:val="765D6FD0"/>
    <w:rsid w:val="76764904"/>
    <w:rsid w:val="76952171"/>
    <w:rsid w:val="76BA690C"/>
    <w:rsid w:val="76EF17B7"/>
    <w:rsid w:val="76F275B7"/>
    <w:rsid w:val="77057570"/>
    <w:rsid w:val="773118FC"/>
    <w:rsid w:val="77313A2D"/>
    <w:rsid w:val="774A6DC8"/>
    <w:rsid w:val="77503EB2"/>
    <w:rsid w:val="77752D13"/>
    <w:rsid w:val="77953B9B"/>
    <w:rsid w:val="77CD4DD9"/>
    <w:rsid w:val="77EB51F5"/>
    <w:rsid w:val="77F2017E"/>
    <w:rsid w:val="77FA423A"/>
    <w:rsid w:val="78005019"/>
    <w:rsid w:val="78092CC0"/>
    <w:rsid w:val="780C2435"/>
    <w:rsid w:val="7825164E"/>
    <w:rsid w:val="782A0B51"/>
    <w:rsid w:val="78353363"/>
    <w:rsid w:val="783A31FE"/>
    <w:rsid w:val="78486CF0"/>
    <w:rsid w:val="78534919"/>
    <w:rsid w:val="785663DA"/>
    <w:rsid w:val="78584462"/>
    <w:rsid w:val="78770683"/>
    <w:rsid w:val="7895462E"/>
    <w:rsid w:val="78D631FC"/>
    <w:rsid w:val="78FC2FBF"/>
    <w:rsid w:val="78FD5501"/>
    <w:rsid w:val="791467F0"/>
    <w:rsid w:val="79430114"/>
    <w:rsid w:val="79430A37"/>
    <w:rsid w:val="795E7C16"/>
    <w:rsid w:val="795F01E3"/>
    <w:rsid w:val="79A81D28"/>
    <w:rsid w:val="79AD6C40"/>
    <w:rsid w:val="79B10333"/>
    <w:rsid w:val="79C95ADF"/>
    <w:rsid w:val="79EF0BCC"/>
    <w:rsid w:val="79FF02D1"/>
    <w:rsid w:val="7A0612C2"/>
    <w:rsid w:val="7A1833CE"/>
    <w:rsid w:val="7A1F3257"/>
    <w:rsid w:val="7A3C1967"/>
    <w:rsid w:val="7A60132A"/>
    <w:rsid w:val="7A6E2CF1"/>
    <w:rsid w:val="7A817696"/>
    <w:rsid w:val="7A8316B7"/>
    <w:rsid w:val="7AA05017"/>
    <w:rsid w:val="7AA86BBE"/>
    <w:rsid w:val="7AC51B7A"/>
    <w:rsid w:val="7AC94AC1"/>
    <w:rsid w:val="7AC977F9"/>
    <w:rsid w:val="7ACA7597"/>
    <w:rsid w:val="7AE11572"/>
    <w:rsid w:val="7AE31524"/>
    <w:rsid w:val="7AE70BEB"/>
    <w:rsid w:val="7B057C25"/>
    <w:rsid w:val="7B4C6C66"/>
    <w:rsid w:val="7B5C332E"/>
    <w:rsid w:val="7B904C22"/>
    <w:rsid w:val="7B9E18EF"/>
    <w:rsid w:val="7BB9672E"/>
    <w:rsid w:val="7BE45955"/>
    <w:rsid w:val="7C0968F5"/>
    <w:rsid w:val="7C1235AA"/>
    <w:rsid w:val="7C160893"/>
    <w:rsid w:val="7C5622FF"/>
    <w:rsid w:val="7C571497"/>
    <w:rsid w:val="7C585051"/>
    <w:rsid w:val="7C906CC6"/>
    <w:rsid w:val="7C920181"/>
    <w:rsid w:val="7CA9346E"/>
    <w:rsid w:val="7CB95588"/>
    <w:rsid w:val="7CBA56FF"/>
    <w:rsid w:val="7CE64D15"/>
    <w:rsid w:val="7CF732D1"/>
    <w:rsid w:val="7D131D7B"/>
    <w:rsid w:val="7D1E10B2"/>
    <w:rsid w:val="7D3D5EFF"/>
    <w:rsid w:val="7D435739"/>
    <w:rsid w:val="7D4B1C96"/>
    <w:rsid w:val="7D586CD5"/>
    <w:rsid w:val="7D93221A"/>
    <w:rsid w:val="7DA977AA"/>
    <w:rsid w:val="7DAC0454"/>
    <w:rsid w:val="7DED2A89"/>
    <w:rsid w:val="7DFA3D48"/>
    <w:rsid w:val="7E4D4360"/>
    <w:rsid w:val="7E63789F"/>
    <w:rsid w:val="7E980733"/>
    <w:rsid w:val="7E9B4DC3"/>
    <w:rsid w:val="7EC57197"/>
    <w:rsid w:val="7EFB4248"/>
    <w:rsid w:val="7EFD7DC7"/>
    <w:rsid w:val="7F274E2A"/>
    <w:rsid w:val="7F2C2F55"/>
    <w:rsid w:val="7F45439F"/>
    <w:rsid w:val="7F4A4D43"/>
    <w:rsid w:val="7F545830"/>
    <w:rsid w:val="7F590F20"/>
    <w:rsid w:val="7F5D047E"/>
    <w:rsid w:val="7F8F3F40"/>
    <w:rsid w:val="7FA62478"/>
    <w:rsid w:val="7FB2257F"/>
    <w:rsid w:val="7FE92E70"/>
    <w:rsid w:val="7FF25596"/>
    <w:rsid w:val="7FF400FF"/>
    <w:rsid w:val="7FF67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nhideWhenUsed="0" w:uiPriority="0" w:semiHidden="0" w:name="heading 5"/>
    <w:lsdException w:qFormat="1" w:uiPriority="0" w:name="heading 6"/>
    <w:lsdException w:qFormat="1" w:uiPriority="0" w:semiHidden="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spacing w:before="340" w:after="330" w:line="360" w:lineRule="auto"/>
      <w:outlineLvl w:val="0"/>
    </w:pPr>
    <w:rPr>
      <w:b/>
      <w:bCs/>
      <w:kern w:val="44"/>
      <w:sz w:val="28"/>
      <w:szCs w:val="44"/>
    </w:rPr>
  </w:style>
  <w:style w:type="paragraph" w:styleId="5">
    <w:name w:val="heading 2"/>
    <w:basedOn w:val="1"/>
    <w:next w:val="1"/>
    <w:autoRedefine/>
    <w:qFormat/>
    <w:uiPriority w:val="0"/>
    <w:pPr>
      <w:keepNext/>
      <w:keepLines/>
      <w:spacing w:line="413"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24" w:lineRule="auto"/>
      <w:outlineLvl w:val="2"/>
    </w:pPr>
    <w:rPr>
      <w:rFonts w:ascii="宋体" w:hAnsi="宋体"/>
      <w:b/>
      <w:bCs/>
      <w:kern w:val="0"/>
      <w:sz w:val="24"/>
      <w:szCs w:val="32"/>
    </w:rPr>
  </w:style>
  <w:style w:type="paragraph" w:styleId="7">
    <w:name w:val="heading 4"/>
    <w:basedOn w:val="1"/>
    <w:next w:val="1"/>
    <w:autoRedefine/>
    <w:unhideWhenUsed/>
    <w:qFormat/>
    <w:uiPriority w:val="0"/>
    <w:pPr>
      <w:spacing w:before="35"/>
      <w:ind w:left="142"/>
      <w:jc w:val="center"/>
      <w:outlineLvl w:val="3"/>
    </w:pPr>
    <w:rPr>
      <w:rFonts w:ascii="宋体" w:hAnsi="宋体" w:cs="宋体"/>
      <w:b/>
      <w:bCs/>
      <w:sz w:val="32"/>
      <w:szCs w:val="32"/>
      <w:lang w:val="zh-CN" w:bidi="zh-CN"/>
    </w:rPr>
  </w:style>
  <w:style w:type="paragraph" w:styleId="8">
    <w:name w:val="heading 5"/>
    <w:basedOn w:val="1"/>
    <w:next w:val="1"/>
    <w:autoRedefine/>
    <w:qFormat/>
    <w:uiPriority w:val="0"/>
    <w:pPr>
      <w:keepNext/>
      <w:keepLines/>
      <w:spacing w:line="372" w:lineRule="auto"/>
      <w:outlineLvl w:val="4"/>
    </w:pPr>
    <w:rPr>
      <w:b/>
      <w:bCs/>
      <w:sz w:val="28"/>
      <w:szCs w:val="28"/>
    </w:rPr>
  </w:style>
  <w:style w:type="paragraph" w:styleId="9">
    <w:name w:val="heading 7"/>
    <w:basedOn w:val="1"/>
    <w:next w:val="1"/>
    <w:autoRedefine/>
    <w:unhideWhenUsed/>
    <w:qFormat/>
    <w:uiPriority w:val="0"/>
    <w:pPr>
      <w:ind w:left="448"/>
      <w:outlineLvl w:val="6"/>
    </w:pPr>
    <w:rPr>
      <w:rFonts w:ascii="宋体" w:hAnsi="宋体" w:cs="宋体"/>
      <w:sz w:val="24"/>
      <w:lang w:val="zh-CN" w:bidi="zh-CN"/>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autoSpaceDE w:val="0"/>
      <w:autoSpaceDN w:val="0"/>
      <w:adjustRightInd w:val="0"/>
      <w:spacing w:after="120"/>
      <w:jc w:val="left"/>
    </w:pPr>
    <w:rPr>
      <w:rFonts w:ascii="宋体"/>
      <w:kern w:val="0"/>
      <w:sz w:val="34"/>
      <w:szCs w:val="20"/>
    </w:rPr>
  </w:style>
  <w:style w:type="paragraph" w:customStyle="1" w:styleId="3">
    <w:name w:val="Default"/>
    <w:autoRedefine/>
    <w:qFormat/>
    <w:uiPriority w:val="0"/>
    <w:pPr>
      <w:widowControl w:val="0"/>
      <w:autoSpaceDE w:val="0"/>
      <w:autoSpaceDN w:val="0"/>
      <w:adjustRightInd w:val="0"/>
    </w:pPr>
    <w:rPr>
      <w:rFonts w:ascii="......." w:hAnsi="......." w:eastAsia="......." w:cs="......."/>
      <w:color w:val="000000"/>
      <w:sz w:val="21"/>
      <w:szCs w:val="24"/>
      <w:lang w:val="en-US" w:eastAsia="zh-CN" w:bidi="ar-SA"/>
    </w:rPr>
  </w:style>
  <w:style w:type="paragraph" w:styleId="10">
    <w:name w:val="Normal Indent"/>
    <w:basedOn w:val="1"/>
    <w:autoRedefine/>
    <w:unhideWhenUsed/>
    <w:qFormat/>
    <w:uiPriority w:val="0"/>
    <w:pPr>
      <w:ind w:firstLine="420" w:firstLineChars="200"/>
    </w:pPr>
  </w:style>
  <w:style w:type="paragraph" w:styleId="11">
    <w:name w:val="annotation text"/>
    <w:basedOn w:val="1"/>
    <w:link w:val="51"/>
    <w:autoRedefine/>
    <w:qFormat/>
    <w:uiPriority w:val="0"/>
    <w:pPr>
      <w:jc w:val="left"/>
    </w:pPr>
  </w:style>
  <w:style w:type="paragraph" w:styleId="12">
    <w:name w:val="Body Text Indent"/>
    <w:basedOn w:val="1"/>
    <w:next w:val="13"/>
    <w:autoRedefine/>
    <w:qFormat/>
    <w:uiPriority w:val="0"/>
    <w:pPr>
      <w:ind w:firstLine="830" w:firstLineChars="352"/>
    </w:pPr>
    <w:rPr>
      <w:rFonts w:ascii="仿宋_GB2312" w:eastAsia="仿宋_GB2312"/>
      <w:sz w:val="32"/>
      <w:szCs w:val="20"/>
    </w:rPr>
  </w:style>
  <w:style w:type="paragraph" w:styleId="13">
    <w:name w:val="envelope return"/>
    <w:basedOn w:val="1"/>
    <w:autoRedefine/>
    <w:unhideWhenUsed/>
    <w:qFormat/>
    <w:uiPriority w:val="0"/>
    <w:pPr>
      <w:snapToGrid w:val="0"/>
    </w:pPr>
    <w:rPr>
      <w:rFonts w:ascii="Arial" w:hAnsi="Arial"/>
    </w:rPr>
  </w:style>
  <w:style w:type="paragraph" w:styleId="14">
    <w:name w:val="List 2"/>
    <w:basedOn w:val="1"/>
    <w:autoRedefine/>
    <w:unhideWhenUsed/>
    <w:qFormat/>
    <w:uiPriority w:val="99"/>
    <w:pPr>
      <w:ind w:left="100" w:leftChars="200" w:hanging="200" w:hangingChars="200"/>
      <w:contextualSpacing/>
    </w:pPr>
  </w:style>
  <w:style w:type="paragraph" w:styleId="15">
    <w:name w:val="Plain Text"/>
    <w:basedOn w:val="1"/>
    <w:autoRedefine/>
    <w:qFormat/>
    <w:uiPriority w:val="0"/>
    <w:rPr>
      <w:rFonts w:ascii="宋体" w:hAnsi="Courier New" w:cs="Courier New"/>
      <w:szCs w:val="21"/>
    </w:rPr>
  </w:style>
  <w:style w:type="paragraph" w:styleId="16">
    <w:name w:val="Date"/>
    <w:basedOn w:val="1"/>
    <w:next w:val="1"/>
    <w:autoRedefine/>
    <w:qFormat/>
    <w:uiPriority w:val="0"/>
    <w:pPr>
      <w:ind w:left="100" w:leftChars="2500"/>
    </w:pPr>
    <w:rPr>
      <w:rFonts w:ascii="宋体" w:hAnsi="Courier New"/>
      <w:bCs/>
      <w:sz w:val="24"/>
    </w:rPr>
  </w:style>
  <w:style w:type="paragraph" w:styleId="17">
    <w:name w:val="Body Text Indent 2"/>
    <w:basedOn w:val="1"/>
    <w:autoRedefine/>
    <w:qFormat/>
    <w:uiPriority w:val="0"/>
    <w:pPr>
      <w:spacing w:after="120" w:line="480" w:lineRule="auto"/>
      <w:ind w:left="200" w:leftChars="200"/>
    </w:pPr>
  </w:style>
  <w:style w:type="paragraph" w:styleId="18">
    <w:name w:val="Balloon Text"/>
    <w:basedOn w:val="1"/>
    <w:link w:val="53"/>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style>
  <w:style w:type="paragraph" w:styleId="22">
    <w:name w:val="Body Text Indent 3"/>
    <w:basedOn w:val="1"/>
    <w:autoRedefine/>
    <w:qFormat/>
    <w:uiPriority w:val="0"/>
    <w:pPr>
      <w:spacing w:after="120"/>
      <w:ind w:left="420" w:leftChars="200"/>
    </w:pPr>
    <w:rPr>
      <w:sz w:val="16"/>
      <w:szCs w:val="16"/>
    </w:rPr>
  </w:style>
  <w:style w:type="paragraph" w:styleId="23">
    <w:name w:val="toc 9"/>
    <w:basedOn w:val="1"/>
    <w:next w:val="1"/>
    <w:autoRedefine/>
    <w:qFormat/>
    <w:uiPriority w:val="0"/>
    <w:pPr>
      <w:tabs>
        <w:tab w:val="right" w:leader="dot" w:pos="9185"/>
      </w:tabs>
      <w:adjustRightInd w:val="0"/>
      <w:spacing w:line="312" w:lineRule="atLeast"/>
      <w:ind w:left="3360"/>
      <w:textAlignment w:val="baseline"/>
    </w:pPr>
    <w:rPr>
      <w:kern w:val="0"/>
      <w:szCs w:val="20"/>
    </w:rPr>
  </w:style>
  <w:style w:type="paragraph" w:styleId="24">
    <w:name w:val="HTML Preformatted"/>
    <w:basedOn w:val="1"/>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25">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26">
    <w:name w:val="index 1"/>
    <w:basedOn w:val="1"/>
    <w:next w:val="1"/>
    <w:autoRedefine/>
    <w:qFormat/>
    <w:uiPriority w:val="0"/>
    <w:rPr>
      <w:lang w:eastAsia="en-US"/>
    </w:rPr>
  </w:style>
  <w:style w:type="paragraph" w:styleId="27">
    <w:name w:val="Title"/>
    <w:basedOn w:val="1"/>
    <w:next w:val="1"/>
    <w:autoRedefine/>
    <w:qFormat/>
    <w:uiPriority w:val="0"/>
    <w:pPr>
      <w:spacing w:before="240" w:after="60"/>
      <w:jc w:val="center"/>
      <w:outlineLvl w:val="0"/>
    </w:pPr>
    <w:rPr>
      <w:rFonts w:ascii="Cambria" w:hAnsi="Cambria"/>
      <w:b/>
      <w:bCs/>
      <w:sz w:val="32"/>
      <w:szCs w:val="32"/>
    </w:rPr>
  </w:style>
  <w:style w:type="paragraph" w:styleId="28">
    <w:name w:val="annotation subject"/>
    <w:basedOn w:val="11"/>
    <w:next w:val="11"/>
    <w:link w:val="52"/>
    <w:autoRedefine/>
    <w:qFormat/>
    <w:uiPriority w:val="0"/>
    <w:rPr>
      <w:b/>
      <w:bCs/>
    </w:rPr>
  </w:style>
  <w:style w:type="paragraph" w:styleId="29">
    <w:name w:val="Body Text First Indent"/>
    <w:basedOn w:val="2"/>
    <w:next w:val="1"/>
    <w:autoRedefine/>
    <w:qFormat/>
    <w:uiPriority w:val="0"/>
    <w:pPr>
      <w:ind w:firstLine="420" w:firstLineChars="100"/>
    </w:pPr>
    <w:rPr>
      <w:rFonts w:ascii="Times New Roman"/>
      <w:sz w:val="21"/>
      <w:szCs w:val="24"/>
    </w:rPr>
  </w:style>
  <w:style w:type="paragraph" w:styleId="30">
    <w:name w:val="Body Text First Indent 2"/>
    <w:basedOn w:val="12"/>
    <w:next w:val="1"/>
    <w:autoRedefine/>
    <w:qFormat/>
    <w:uiPriority w:val="0"/>
    <w:pPr>
      <w:spacing w:line="360" w:lineRule="auto"/>
      <w:ind w:firstLine="420" w:firstLineChars="200"/>
    </w:pPr>
    <w:rPr>
      <w:sz w:val="24"/>
      <w:szCs w:val="24"/>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rPr>
  </w:style>
  <w:style w:type="character" w:styleId="35">
    <w:name w:val="page number"/>
    <w:basedOn w:val="33"/>
    <w:autoRedefine/>
    <w:qFormat/>
    <w:uiPriority w:val="0"/>
  </w:style>
  <w:style w:type="character" w:styleId="36">
    <w:name w:val="FollowedHyperlink"/>
    <w:basedOn w:val="33"/>
    <w:qFormat/>
    <w:uiPriority w:val="0"/>
    <w:rPr>
      <w:color w:val="800080"/>
      <w:u w:val="none"/>
    </w:rPr>
  </w:style>
  <w:style w:type="character" w:styleId="37">
    <w:name w:val="HTML Definition"/>
    <w:basedOn w:val="33"/>
    <w:qFormat/>
    <w:uiPriority w:val="0"/>
  </w:style>
  <w:style w:type="character" w:styleId="38">
    <w:name w:val="HTML Typewriter"/>
    <w:basedOn w:val="33"/>
    <w:qFormat/>
    <w:uiPriority w:val="0"/>
    <w:rPr>
      <w:rFonts w:ascii="monospace" w:hAnsi="monospace" w:eastAsia="monospace" w:cs="monospace"/>
      <w:sz w:val="20"/>
    </w:rPr>
  </w:style>
  <w:style w:type="character" w:styleId="39">
    <w:name w:val="HTML Acronym"/>
    <w:basedOn w:val="33"/>
    <w:qFormat/>
    <w:uiPriority w:val="0"/>
  </w:style>
  <w:style w:type="character" w:styleId="40">
    <w:name w:val="HTML Variable"/>
    <w:basedOn w:val="33"/>
    <w:qFormat/>
    <w:uiPriority w:val="0"/>
  </w:style>
  <w:style w:type="character" w:styleId="41">
    <w:name w:val="Hyperlink"/>
    <w:basedOn w:val="33"/>
    <w:autoRedefine/>
    <w:unhideWhenUsed/>
    <w:qFormat/>
    <w:uiPriority w:val="99"/>
    <w:rPr>
      <w:color w:val="0000FF"/>
      <w:u w:val="single"/>
    </w:rPr>
  </w:style>
  <w:style w:type="character" w:styleId="42">
    <w:name w:val="HTML Code"/>
    <w:basedOn w:val="33"/>
    <w:qFormat/>
    <w:uiPriority w:val="0"/>
    <w:rPr>
      <w:rFonts w:hint="default" w:ascii="monospace" w:hAnsi="monospace" w:eastAsia="monospace" w:cs="monospace"/>
      <w:sz w:val="20"/>
    </w:rPr>
  </w:style>
  <w:style w:type="character" w:styleId="43">
    <w:name w:val="annotation reference"/>
    <w:autoRedefine/>
    <w:qFormat/>
    <w:uiPriority w:val="0"/>
    <w:rPr>
      <w:sz w:val="21"/>
      <w:szCs w:val="21"/>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autoRedefine/>
    <w:qFormat/>
    <w:uiPriority w:val="0"/>
    <w:rPr>
      <w:rFonts w:hint="default" w:ascii="monospace" w:hAnsi="monospace" w:eastAsia="monospace" w:cs="monospace"/>
    </w:rPr>
  </w:style>
  <w:style w:type="paragraph" w:customStyle="1" w:styleId="47">
    <w:name w:val="表格文字"/>
    <w:basedOn w:val="12"/>
    <w:next w:val="2"/>
    <w:autoRedefine/>
    <w:qFormat/>
    <w:uiPriority w:val="99"/>
    <w:pPr>
      <w:spacing w:before="25" w:after="25"/>
      <w:jc w:val="left"/>
    </w:pPr>
    <w:rPr>
      <w:bCs/>
      <w:spacing w:val="10"/>
      <w:kern w:val="0"/>
      <w:sz w:val="24"/>
    </w:rPr>
  </w:style>
  <w:style w:type="paragraph" w:styleId="48">
    <w:name w:val="List Paragraph"/>
    <w:basedOn w:val="1"/>
    <w:autoRedefine/>
    <w:qFormat/>
    <w:uiPriority w:val="34"/>
    <w:pPr>
      <w:ind w:firstLine="420" w:firstLineChars="200"/>
    </w:pPr>
  </w:style>
  <w:style w:type="paragraph" w:customStyle="1" w:styleId="49">
    <w:name w:val="Plain Text1"/>
    <w:basedOn w:val="1"/>
    <w:autoRedefine/>
    <w:qFormat/>
    <w:uiPriority w:val="0"/>
    <w:rPr>
      <w:rFonts w:ascii="宋体" w:hAnsi="Courier New" w:cs="Courier New"/>
      <w:szCs w:val="21"/>
    </w:rPr>
  </w:style>
  <w:style w:type="paragraph" w:customStyle="1" w:styleId="50">
    <w:name w:val="Table Paragraph"/>
    <w:basedOn w:val="1"/>
    <w:autoRedefine/>
    <w:qFormat/>
    <w:uiPriority w:val="1"/>
    <w:rPr>
      <w:rFonts w:ascii="宋体" w:hAnsi="宋体" w:cs="宋体"/>
      <w:lang w:val="zh-CN" w:bidi="zh-CN"/>
    </w:rPr>
  </w:style>
  <w:style w:type="character" w:customStyle="1" w:styleId="51">
    <w:name w:val="批注文字 字符"/>
    <w:basedOn w:val="33"/>
    <w:link w:val="11"/>
    <w:autoRedefine/>
    <w:qFormat/>
    <w:uiPriority w:val="0"/>
    <w:rPr>
      <w:kern w:val="2"/>
      <w:sz w:val="21"/>
      <w:szCs w:val="24"/>
    </w:rPr>
  </w:style>
  <w:style w:type="character" w:customStyle="1" w:styleId="52">
    <w:name w:val="批注主题 字符"/>
    <w:basedOn w:val="51"/>
    <w:link w:val="28"/>
    <w:autoRedefine/>
    <w:qFormat/>
    <w:uiPriority w:val="0"/>
    <w:rPr>
      <w:b/>
      <w:bCs/>
      <w:kern w:val="2"/>
      <w:sz w:val="21"/>
      <w:szCs w:val="24"/>
    </w:rPr>
  </w:style>
  <w:style w:type="character" w:customStyle="1" w:styleId="53">
    <w:name w:val="批注框文本 字符"/>
    <w:basedOn w:val="33"/>
    <w:link w:val="18"/>
    <w:autoRedefine/>
    <w:qFormat/>
    <w:uiPriority w:val="0"/>
    <w:rPr>
      <w:kern w:val="2"/>
      <w:sz w:val="18"/>
      <w:szCs w:val="18"/>
    </w:rPr>
  </w:style>
  <w:style w:type="paragraph" w:customStyle="1" w:styleId="54">
    <w:name w:val="纯文本1"/>
    <w:basedOn w:val="1"/>
    <w:autoRedefine/>
    <w:qFormat/>
    <w:uiPriority w:val="0"/>
    <w:pPr>
      <w:suppressAutoHyphens/>
    </w:pPr>
    <w:rPr>
      <w:rFonts w:ascii="宋体" w:hAnsi="宋体" w:cs="Courier New"/>
      <w:szCs w:val="21"/>
      <w:lang w:eastAsia="ar-SA"/>
    </w:rPr>
  </w:style>
  <w:style w:type="paragraph" w:customStyle="1" w:styleId="55">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Theme="minorEastAsia" w:cstheme="minorBidi"/>
      <w:kern w:val="0"/>
      <w:szCs w:val="21"/>
    </w:rPr>
  </w:style>
  <w:style w:type="character" w:customStyle="1" w:styleId="56">
    <w:name w:val="textcontents"/>
    <w:basedOn w:val="33"/>
    <w:autoRedefine/>
    <w:qFormat/>
    <w:uiPriority w:val="0"/>
  </w:style>
  <w:style w:type="paragraph" w:customStyle="1" w:styleId="5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table" w:customStyle="1" w:styleId="59">
    <w:name w:val="Table Normal"/>
    <w:autoRedefine/>
    <w:semiHidden/>
    <w:unhideWhenUsed/>
    <w:qFormat/>
    <w:uiPriority w:val="0"/>
    <w:tblPr>
      <w:tblCellMar>
        <w:top w:w="0" w:type="dxa"/>
        <w:left w:w="0" w:type="dxa"/>
        <w:bottom w:w="0" w:type="dxa"/>
        <w:right w:w="0" w:type="dxa"/>
      </w:tblCellMar>
    </w:tblPr>
  </w:style>
  <w:style w:type="paragraph" w:customStyle="1" w:styleId="6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0"/>
    <w:basedOn w:val="60"/>
    <w:autoRedefine/>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62">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63">
    <w:name w:val="Body text|1_2"/>
    <w:basedOn w:val="60"/>
    <w:autoRedefine/>
    <w:qFormat/>
    <w:uiPriority w:val="0"/>
    <w:pPr>
      <w:spacing w:line="360" w:lineRule="auto"/>
      <w:ind w:firstLine="400"/>
    </w:pPr>
    <w:rPr>
      <w:rFonts w:ascii="宋体" w:hAnsi="宋体" w:cs="宋体"/>
      <w:sz w:val="20"/>
      <w:szCs w:val="20"/>
      <w:lang w:val="zh-CN" w:bidi="zh-CN"/>
    </w:rPr>
  </w:style>
  <w:style w:type="paragraph" w:customStyle="1" w:styleId="64">
    <w:name w:val="Other|1_2"/>
    <w:basedOn w:val="60"/>
    <w:autoRedefine/>
    <w:qFormat/>
    <w:uiPriority w:val="0"/>
    <w:pPr>
      <w:spacing w:line="360" w:lineRule="auto"/>
      <w:ind w:firstLine="400"/>
    </w:pPr>
    <w:rPr>
      <w:rFonts w:ascii="宋体" w:hAnsi="宋体" w:cs="宋体"/>
      <w:sz w:val="20"/>
      <w:szCs w:val="20"/>
      <w:lang w:val="zh-CN" w:bidi="zh-CN"/>
    </w:rPr>
  </w:style>
  <w:style w:type="paragraph" w:customStyle="1" w:styleId="65">
    <w:name w:val="标题 2_1"/>
    <w:basedOn w:val="60"/>
    <w:next w:val="60"/>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6">
    <w:name w:val="标题 3_2"/>
    <w:basedOn w:val="60"/>
    <w:next w:val="60"/>
    <w:autoRedefine/>
    <w:qFormat/>
    <w:uiPriority w:val="0"/>
    <w:pPr>
      <w:keepNext/>
      <w:keepLines/>
      <w:spacing w:before="240" w:after="120"/>
      <w:outlineLvl w:val="2"/>
    </w:pPr>
    <w:rPr>
      <w:rFonts w:ascii="Times New Roman" w:hAnsi="Times New Roman"/>
      <w:b/>
      <w:sz w:val="32"/>
      <w:szCs w:val="20"/>
    </w:rPr>
  </w:style>
  <w:style w:type="paragraph" w:customStyle="1" w:styleId="67">
    <w:name w:val="标题 2_0"/>
    <w:basedOn w:val="68"/>
    <w:next w:val="68"/>
    <w:autoRedefine/>
    <w:qFormat/>
    <w:uiPriority w:val="0"/>
    <w:pPr>
      <w:keepLines/>
      <w:spacing w:before="240" w:after="120" w:line="416" w:lineRule="auto"/>
      <w:jc w:val="center"/>
      <w:outlineLvl w:val="1"/>
    </w:pPr>
    <w:rPr>
      <w:rFonts w:ascii="宋体" w:hAnsi="宋体" w:eastAsia="黑体" w:cs="宋体"/>
      <w:b/>
      <w:bCs/>
      <w:sz w:val="36"/>
      <w:szCs w:val="21"/>
    </w:rPr>
  </w:style>
  <w:style w:type="paragraph" w:customStyle="1" w:styleId="68">
    <w:name w:val="正文_2"/>
    <w:basedOn w:val="69"/>
    <w:autoRedefine/>
    <w:qFormat/>
    <w:uiPriority w:val="0"/>
    <w:rPr>
      <w:rFonts w:ascii="Times New Roman" w:hAnsi="Times New Roman" w:eastAsia="Times New Roman"/>
      <w:color w:val="000000"/>
      <w:sz w:val="24"/>
      <w:szCs w:val="24"/>
      <w:lang w:eastAsia="en-US" w:bidi="en-US"/>
    </w:rPr>
  </w:style>
  <w:style w:type="paragraph" w:customStyle="1" w:styleId="69">
    <w:name w:val="正文_3"/>
    <w:basedOn w:val="60"/>
    <w:autoRedefine/>
    <w:qFormat/>
    <w:uiPriority w:val="0"/>
  </w:style>
  <w:style w:type="paragraph" w:customStyle="1" w:styleId="70">
    <w:name w:val="标题 3_1"/>
    <w:basedOn w:val="68"/>
    <w:next w:val="68"/>
    <w:autoRedefine/>
    <w:qFormat/>
    <w:uiPriority w:val="0"/>
    <w:pPr>
      <w:keepNext/>
      <w:keepLines/>
      <w:spacing w:before="240" w:after="120"/>
      <w:outlineLvl w:val="2"/>
    </w:pPr>
    <w:rPr>
      <w:rFonts w:eastAsia="宋体"/>
      <w:b/>
      <w:color w:val="auto"/>
      <w:sz w:val="32"/>
      <w:szCs w:val="20"/>
      <w:lang w:bidi="ar-SA"/>
    </w:rPr>
  </w:style>
  <w:style w:type="paragraph" w:customStyle="1" w:styleId="71">
    <w:name w:val="Body text|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2">
    <w:name w:val="Body text|2_0"/>
    <w:basedOn w:val="68"/>
    <w:autoRedefine/>
    <w:qFormat/>
    <w:uiPriority w:val="0"/>
    <w:pPr>
      <w:spacing w:after="30"/>
      <w:ind w:firstLine="420"/>
    </w:pPr>
    <w:rPr>
      <w:rFonts w:eastAsia="宋体"/>
      <w:color w:val="auto"/>
      <w:sz w:val="20"/>
      <w:szCs w:val="20"/>
      <w:lang w:bidi="ar-SA"/>
    </w:rPr>
  </w:style>
  <w:style w:type="paragraph" w:customStyle="1" w:styleId="73">
    <w:name w:val="Other|1_1"/>
    <w:basedOn w:val="68"/>
    <w:autoRedefine/>
    <w:qFormat/>
    <w:uiPriority w:val="0"/>
    <w:pPr>
      <w:spacing w:line="360" w:lineRule="auto"/>
      <w:ind w:firstLine="400"/>
    </w:pPr>
    <w:rPr>
      <w:rFonts w:ascii="宋体" w:hAnsi="宋体" w:eastAsia="宋体" w:cs="宋体"/>
      <w:color w:val="auto"/>
      <w:sz w:val="20"/>
      <w:szCs w:val="20"/>
      <w:lang w:val="zh-CN" w:eastAsia="zh-CN" w:bidi="zh-CN"/>
    </w:rPr>
  </w:style>
  <w:style w:type="paragraph" w:customStyle="1" w:styleId="74">
    <w:name w:val="正文_2_0"/>
    <w:basedOn w:val="68"/>
    <w:autoRedefine/>
    <w:qFormat/>
    <w:uiPriority w:val="0"/>
    <w:rPr>
      <w:rFonts w:eastAsia="宋体"/>
      <w:lang w:eastAsia="zh-CN" w:bidi="ar-SA"/>
    </w:rPr>
  </w:style>
  <w:style w:type="character" w:customStyle="1" w:styleId="75">
    <w:name w:val="10"/>
    <w:autoRedefine/>
    <w:qFormat/>
    <w:uiPriority w:val="0"/>
    <w:rPr>
      <w:rFonts w:hint="default" w:ascii="Times New Roman" w:hAnsi="Times New Roman" w:eastAsia="Times New Roman" w:cs="Times New Roman"/>
      <w:lang w:eastAsia="en-US" w:bidi="en-US"/>
    </w:rPr>
  </w:style>
  <w:style w:type="paragraph" w:customStyle="1" w:styleId="76">
    <w:name w:val="样式 样式16 + 首行缩进:  2 字符"/>
    <w:basedOn w:val="1"/>
    <w:autoRedefine/>
    <w:qFormat/>
    <w:uiPriority w:val="0"/>
    <w:pPr>
      <w:spacing w:line="400" w:lineRule="exact"/>
      <w:ind w:firstLine="200" w:firstLineChars="200"/>
    </w:pPr>
    <w:rPr>
      <w:rFonts w:ascii="汉仪中宋简" w:hAnsi="宋体" w:eastAsia="汉仪字典宋简"/>
      <w:b/>
      <w:bCs/>
      <w:spacing w:val="2"/>
      <w:sz w:val="24"/>
      <w:szCs w:val="20"/>
    </w:rPr>
  </w:style>
  <w:style w:type="paragraph" w:customStyle="1" w:styleId="77">
    <w:name w:val="样式 正文首行缩进 + 首行缩进:  1 字符1"/>
    <w:basedOn w:val="1"/>
    <w:next w:val="1"/>
    <w:autoRedefine/>
    <w:qFormat/>
    <w:uiPriority w:val="0"/>
    <w:pPr>
      <w:spacing w:line="360" w:lineRule="auto"/>
      <w:ind w:firstLine="480" w:firstLineChars="200"/>
      <w:jc w:val="left"/>
    </w:pPr>
    <w:rPr>
      <w:rFonts w:hint="eastAsia" w:ascii="宋体" w:hAnsi="宋体" w:cs="宋体"/>
      <w:szCs w:val="20"/>
    </w:rPr>
  </w:style>
  <w:style w:type="paragraph" w:customStyle="1" w:styleId="78">
    <w:name w:val="Other|1"/>
    <w:basedOn w:val="1"/>
    <w:autoRedefine/>
    <w:qFormat/>
    <w:uiPriority w:val="0"/>
    <w:pPr>
      <w:spacing w:line="360" w:lineRule="auto"/>
      <w:ind w:firstLine="400"/>
      <w:jc w:val="left"/>
    </w:pPr>
    <w:rPr>
      <w:rFonts w:ascii="宋体" w:hAnsi="宋体" w:cs="宋体"/>
      <w:kern w:val="0"/>
      <w:sz w:val="20"/>
      <w:szCs w:val="20"/>
      <w:lang w:val="zh-CN" w:bidi="zh-CN"/>
    </w:rPr>
  </w:style>
  <w:style w:type="paragraph" w:customStyle="1" w:styleId="79">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0">
    <w:name w:val="标题 3_0"/>
    <w:basedOn w:val="1"/>
    <w:next w:val="68"/>
    <w:autoRedefine/>
    <w:qFormat/>
    <w:uiPriority w:val="99"/>
    <w:rPr>
      <w:szCs w:val="20"/>
    </w:rPr>
  </w:style>
  <w:style w:type="paragraph" w:customStyle="1" w:styleId="81">
    <w:name w:val="纯文本_0"/>
    <w:basedOn w:val="1"/>
    <w:autoRedefine/>
    <w:qFormat/>
    <w:uiPriority w:val="99"/>
    <w:rPr>
      <w:szCs w:val="20"/>
    </w:rPr>
  </w:style>
  <w:style w:type="paragraph" w:customStyle="1" w:styleId="82">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83">
    <w:name w:val="正文_5"/>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84">
    <w:name w:val="Unresolved Mention"/>
    <w:basedOn w:val="33"/>
    <w:semiHidden/>
    <w:unhideWhenUsed/>
    <w:qFormat/>
    <w:uiPriority w:val="99"/>
    <w:rPr>
      <w:color w:val="605E5C"/>
      <w:shd w:val="clear" w:color="auto" w:fill="E1DFDD"/>
    </w:rPr>
  </w:style>
  <w:style w:type="character" w:customStyle="1" w:styleId="85">
    <w:name w:val="layui-layer-tabnow"/>
    <w:basedOn w:val="33"/>
    <w:qFormat/>
    <w:uiPriority w:val="0"/>
    <w:rPr>
      <w:bdr w:val="single" w:color="CCCCCC" w:sz="6" w:space="0"/>
      <w:shd w:val="clear" w:fill="FFFFFF"/>
    </w:rPr>
  </w:style>
  <w:style w:type="character" w:customStyle="1" w:styleId="86">
    <w:name w:val="first-child"/>
    <w:basedOn w:val="33"/>
    <w:qFormat/>
    <w:uiPriority w:val="0"/>
  </w:style>
  <w:style w:type="paragraph" w:customStyle="1" w:styleId="87">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137</Pages>
  <Words>883</Words>
  <Characters>1051</Characters>
  <Lines>729</Lines>
  <Paragraphs>205</Paragraphs>
  <TotalTime>0</TotalTime>
  <ScaleCrop>false</ScaleCrop>
  <LinksUpToDate>false</LinksUpToDate>
  <CharactersWithSpaces>1125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2018-08-29T07:43:00Z</dcterms:created>
  <dc:creator>Administrator</dc:creator>
  <cp:lastModifiedBy>雨过天晴</cp:lastModifiedBy>
  <cp:lastPrinted>2023-12-28T08:32:00Z</cp:lastPrinted>
  <dcterms:modified xsi:type="dcterms:W3CDTF">2026-04-13T08:17:07Z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E6AB09F59C884238B242AF5139D73B7D_13</vt:lpwstr>
  </property>
  <property fmtid="{D5CDD505-2E9C-101B-9397-08002B2CF9AE}" pid="4" name="KSOTemplateDocerSaveRecord">
    <vt:lpwstr>eyJoZGlkIjoiN2NiMTI3MDRiZWJlZDRkZTA3NmY0MjY1ZjJiMjJkMzMiLCJ1c2VySWQiOiI3MDAxMTU0MTgifQ==</vt:lpwstr>
  </property>
</Properties>
</file>