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ind w:left="-2" w:leftChars="-1"/>
        <w:rPr>
          <w:rFonts w:ascii="Times New Roman" w:hAnsi="Times New Roman" w:eastAsia="宋体" w:cs="Times New Roman"/>
          <w:color w:val="auto"/>
          <w:szCs w:val="24"/>
          <w:highlight w:val="none"/>
        </w:rPr>
      </w:pPr>
    </w:p>
    <w:p>
      <w:pPr>
        <w:spacing w:before="156" w:beforeLines="50" w:line="1600" w:lineRule="exact"/>
        <w:ind w:left="634" w:leftChars="-64" w:hanging="768" w:hangingChars="64"/>
        <w:jc w:val="center"/>
        <w:rPr>
          <w:rFonts w:hint="eastAsia" w:ascii="方正小标宋_GBK" w:hAnsi="宋体" w:eastAsia="方正小标宋_GBK" w:cs="Times New Roman"/>
          <w:color w:val="auto"/>
          <w:sz w:val="120"/>
          <w:szCs w:val="120"/>
          <w:highlight w:val="none"/>
        </w:rPr>
      </w:pPr>
      <w:r>
        <w:rPr>
          <w:rFonts w:hint="eastAsia" w:ascii="方正小标宋_GBK" w:hAnsi="宋体" w:eastAsia="方正小标宋_GBK" w:cs="Times New Roman"/>
          <w:color w:val="auto"/>
          <w:sz w:val="120"/>
          <w:szCs w:val="120"/>
          <w:highlight w:val="none"/>
        </w:rPr>
        <w:t>招标文件</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napToGrid w:val="0"/>
        <w:spacing w:before="156" w:beforeLines="50" w:line="320" w:lineRule="exact"/>
        <w:rPr>
          <w:rFonts w:hint="eastAsia" w:ascii="方正小标宋_GBK" w:hAnsi="宋体" w:eastAsia="方正小标宋_GBK" w:cs="Times New Roman"/>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项目名称</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rPr>
        <w:t xml:space="preserve"> </w:t>
      </w:r>
      <w:bookmarkStart w:id="0" w:name="OLE_LINK1"/>
      <w:r>
        <w:rPr>
          <w:rFonts w:hint="eastAsia" w:ascii="方正小标宋_GBK" w:hAnsi="宋体" w:eastAsia="方正小标宋_GBK" w:cs="Times New Roman"/>
          <w:bCs/>
          <w:color w:val="auto"/>
          <w:sz w:val="30"/>
          <w:szCs w:val="30"/>
          <w:highlight w:val="none"/>
          <w:lang w:eastAsia="zh-CN"/>
        </w:rPr>
        <w:t>钦州市行政信息中心物业服务</w:t>
      </w:r>
      <w:bookmarkEnd w:id="0"/>
    </w:p>
    <w:p>
      <w:pPr>
        <w:snapToGrid w:val="0"/>
        <w:spacing w:before="156" w:beforeLines="50" w:line="400" w:lineRule="exact"/>
        <w:rPr>
          <w:rFonts w:hint="eastAsia" w:ascii="方正小标宋_GBK" w:hAnsi="宋体" w:eastAsia="方正小标宋_GBK" w:cs="Times New Roman"/>
          <w:b/>
          <w:bCs/>
          <w:color w:val="auto"/>
          <w:sz w:val="30"/>
          <w:szCs w:val="30"/>
          <w:highlight w:val="none"/>
          <w:lang w:eastAsia="zh-CN"/>
        </w:rPr>
      </w:pPr>
      <w:r>
        <w:rPr>
          <w:rFonts w:hint="eastAsia" w:ascii="方正小标宋_GBK" w:hAnsi="宋体" w:eastAsia="方正小标宋_GBK" w:cs="Times New Roman"/>
          <w:color w:val="auto"/>
          <w:spacing w:val="6"/>
          <w:sz w:val="30"/>
          <w:szCs w:val="72"/>
          <w:highlight w:val="none"/>
        </w:rPr>
        <w:t xml:space="preserve">          项目编号</w:t>
      </w:r>
      <w:r>
        <w:rPr>
          <w:rFonts w:hint="eastAsia" w:ascii="方正小标宋_GBK" w:hAnsi="宋体" w:eastAsia="方正小标宋_GBK" w:cs="Times New Roman"/>
          <w:color w:val="auto"/>
          <w:sz w:val="30"/>
          <w:szCs w:val="72"/>
          <w:highlight w:val="none"/>
        </w:rPr>
        <w:t>:</w:t>
      </w:r>
      <w:r>
        <w:rPr>
          <w:rFonts w:hint="eastAsia" w:ascii="方正小标宋_GBK" w:hAnsi="宋体" w:eastAsia="方正小标宋_GBK" w:cs="Times New Roman"/>
          <w:bCs/>
          <w:color w:val="auto"/>
          <w:sz w:val="30"/>
          <w:szCs w:val="30"/>
          <w:highlight w:val="none"/>
          <w:lang w:eastAsia="zh-CN"/>
        </w:rPr>
        <w:t>QZZC2026-G3-990075-QZSZ</w:t>
      </w: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400" w:lineRule="exact"/>
        <w:ind w:left="-2" w:leftChars="-1"/>
        <w:rPr>
          <w:rFonts w:ascii="Times New Roman" w:hAnsi="Times New Roman" w:eastAsia="宋体" w:cs="Times New Roman"/>
          <w:color w:val="auto"/>
          <w:szCs w:val="24"/>
          <w:highlight w:val="none"/>
        </w:rPr>
      </w:pPr>
    </w:p>
    <w:p>
      <w:pPr>
        <w:spacing w:line="360" w:lineRule="exact"/>
        <w:jc w:val="center"/>
        <w:rPr>
          <w:rFonts w:hint="eastAsia" w:ascii="方正小标宋_GBK" w:hAnsi="微软雅黑" w:eastAsia="方正小标宋_GBK" w:cs="Times New Roman"/>
          <w:color w:val="auto"/>
          <w:sz w:val="32"/>
          <w:szCs w:val="32"/>
          <w:highlight w:val="none"/>
        </w:rPr>
      </w:pPr>
      <w:r>
        <w:rPr>
          <w:rFonts w:hint="eastAsia" w:ascii="方正小标宋_GBK" w:hAnsi="微软雅黑" w:eastAsia="方正小标宋_GBK" w:cs="Times New Roman"/>
          <w:color w:val="auto"/>
          <w:sz w:val="32"/>
          <w:szCs w:val="32"/>
          <w:highlight w:val="none"/>
        </w:rPr>
        <w:t>钦州市政府采购中心</w:t>
      </w:r>
    </w:p>
    <w:p>
      <w:pPr>
        <w:snapToGrid w:val="0"/>
        <w:spacing w:before="156" w:beforeLines="50" w:line="360" w:lineRule="exact"/>
        <w:jc w:val="center"/>
        <w:rPr>
          <w:rFonts w:hint="eastAsia" w:ascii="方正小标宋_GBK" w:hAnsi="宋体" w:eastAsia="方正小标宋_GBK" w:cs="Times New Roman"/>
          <w:color w:val="auto"/>
          <w:sz w:val="30"/>
          <w:szCs w:val="72"/>
          <w:highlight w:val="none"/>
        </w:rPr>
      </w:pPr>
      <w:r>
        <w:rPr>
          <w:rFonts w:hint="eastAsia" w:ascii="方正小标宋_GBK" w:hAnsi="微软雅黑" w:eastAsia="方正小标宋_GBK" w:cs="Times New Roman"/>
          <w:color w:val="auto"/>
          <w:sz w:val="32"/>
          <w:szCs w:val="32"/>
          <w:highlight w:val="none"/>
          <w:lang w:eastAsia="zh-CN"/>
        </w:rPr>
        <w:t>2026年</w:t>
      </w:r>
      <w:r>
        <w:rPr>
          <w:rFonts w:hint="eastAsia" w:ascii="方正小标宋_GBK" w:hAnsi="微软雅黑" w:eastAsia="方正小标宋_GBK" w:cs="Times New Roman"/>
          <w:color w:val="auto"/>
          <w:sz w:val="32"/>
          <w:szCs w:val="32"/>
          <w:highlight w:val="none"/>
          <w:lang w:val="en-US" w:eastAsia="zh-CN"/>
        </w:rPr>
        <w:t>4</w:t>
      </w:r>
      <w:r>
        <w:rPr>
          <w:rFonts w:hint="eastAsia" w:ascii="方正小标宋_GBK" w:hAnsi="微软雅黑" w:eastAsia="方正小标宋_GBK" w:cs="Times New Roman"/>
          <w:color w:val="auto"/>
          <w:sz w:val="32"/>
          <w:szCs w:val="32"/>
          <w:highlight w:val="none"/>
        </w:rPr>
        <w:t>月</w:t>
      </w:r>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rPr>
          <w:rFonts w:ascii="Times New Roman" w:hAnsi="Times New Roman" w:eastAsia="宋体" w:cs="Times New Roman"/>
          <w:color w:val="auto"/>
          <w:szCs w:val="24"/>
          <w:highlight w:val="none"/>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隶书" w:hAnsi="Courier New" w:eastAsia="隶书" w:cs="Courier New"/>
          <w:b/>
          <w:color w:val="auto"/>
          <w:sz w:val="44"/>
          <w:szCs w:val="21"/>
          <w:highlight w:val="none"/>
        </w:rPr>
      </w:pPr>
      <w:r>
        <w:rPr>
          <w:rFonts w:hint="eastAsia" w:ascii="隶书" w:hAnsi="Courier New" w:eastAsia="隶书" w:cs="Courier New"/>
          <w:b/>
          <w:color w:val="auto"/>
          <w:sz w:val="44"/>
          <w:szCs w:val="21"/>
          <w:highlight w:val="none"/>
        </w:rPr>
        <w:t>目   录</w:t>
      </w:r>
    </w:p>
    <w:p>
      <w:pPr>
        <w:spacing w:line="400" w:lineRule="exact"/>
        <w:rPr>
          <w:rFonts w:ascii="Times New Roman" w:hAnsi="Times New Roman" w:eastAsia="宋体" w:cs="Times New Roman"/>
          <w:color w:val="auto"/>
          <w:szCs w:val="24"/>
          <w:highlight w:val="none"/>
        </w:rPr>
      </w:pP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rFonts w:hint="eastAsia" w:ascii="方正小标宋_GBK" w:hAnsi="宋体" w:eastAsia="方正小标宋_GBK" w:cs="Times New Roman"/>
          <w:b/>
          <w:color w:val="auto"/>
          <w:sz w:val="28"/>
          <w:szCs w:val="28"/>
          <w:highlight w:val="none"/>
        </w:rPr>
        <w:fldChar w:fldCharType="begin"/>
      </w:r>
      <w:r>
        <w:rPr>
          <w:rFonts w:hint="eastAsia" w:ascii="方正小标宋_GBK" w:hAnsi="宋体" w:eastAsia="方正小标宋_GBK" w:cs="Times New Roman"/>
          <w:b/>
          <w:color w:val="auto"/>
          <w:sz w:val="28"/>
          <w:szCs w:val="28"/>
          <w:highlight w:val="none"/>
        </w:rPr>
        <w:instrText xml:space="preserve"> TOC \o "1-1" \h \z \u </w:instrText>
      </w:r>
      <w:r>
        <w:rPr>
          <w:rFonts w:hint="eastAsia" w:ascii="方正小标宋_GBK" w:hAnsi="宋体" w:eastAsia="方正小标宋_GBK" w:cs="Times New Roman"/>
          <w:b/>
          <w:color w:val="auto"/>
          <w:sz w:val="28"/>
          <w:szCs w:val="28"/>
          <w:highlight w:val="none"/>
        </w:rPr>
        <w:fldChar w:fldCharType="separate"/>
      </w:r>
      <w:r>
        <w:rPr>
          <w:color w:val="auto"/>
          <w:highlight w:val="none"/>
        </w:rPr>
        <w:fldChar w:fldCharType="begin"/>
      </w:r>
      <w:r>
        <w:rPr>
          <w:color w:val="auto"/>
          <w:highlight w:val="none"/>
        </w:rPr>
        <w:instrText xml:space="preserve"> HYPERLINK \l "_Toc173764938"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第一章  公 告</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_Toc173764938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1</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"_Toc173764939"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第二章  项目需求</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_Toc173764939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5</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"_Toc173764940"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第三章  投标人须知及前附表</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_Toc173764940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29</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"_Toc173764941"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第四章  评定标准及推荐原则</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_Toc173764941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41</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"_Toc173764942"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第五章  政府采购合同主要条款</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_Toc173764942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45</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pStyle w:val="34"/>
        <w:tabs>
          <w:tab w:val="right" w:leader="dot" w:pos="9710"/>
        </w:tabs>
        <w:spacing w:line="1000" w:lineRule="exact"/>
        <w:rPr>
          <w:rFonts w:hint="eastAsia" w:ascii="方正小标宋_GBK" w:hAnsi="宋体" w:eastAsia="方正小标宋_GBK"/>
          <w:color w:val="auto"/>
          <w:sz w:val="28"/>
          <w:szCs w:val="28"/>
          <w:highlight w:val="none"/>
          <w14:ligatures w14:val="standardContextual"/>
        </w:rPr>
      </w:pPr>
      <w:r>
        <w:rPr>
          <w:color w:val="auto"/>
          <w:highlight w:val="none"/>
        </w:rPr>
        <w:fldChar w:fldCharType="begin"/>
      </w:r>
      <w:r>
        <w:rPr>
          <w:color w:val="auto"/>
          <w:highlight w:val="none"/>
        </w:rPr>
        <w:instrText xml:space="preserve"> HYPERLINK \l "_Toc173764943" </w:instrText>
      </w:r>
      <w:r>
        <w:rPr>
          <w:color w:val="auto"/>
          <w:highlight w:val="none"/>
        </w:rPr>
        <w:fldChar w:fldCharType="separate"/>
      </w:r>
      <w:r>
        <w:rPr>
          <w:rStyle w:val="56"/>
          <w:rFonts w:hint="eastAsia" w:ascii="方正小标宋_GBK" w:hAnsi="宋体" w:eastAsia="方正小标宋_GBK" w:cs="Times New Roman"/>
          <w:b/>
          <w:bCs/>
          <w:color w:val="auto"/>
          <w:kern w:val="0"/>
          <w:sz w:val="28"/>
          <w:szCs w:val="28"/>
          <w:highlight w:val="none"/>
        </w:rPr>
        <w:t>第六章　投标文件格式</w:t>
      </w:r>
      <w:r>
        <w:rPr>
          <w:rFonts w:hint="eastAsia" w:ascii="方正小标宋_GBK" w:hAnsi="宋体" w:eastAsia="方正小标宋_GBK"/>
          <w:color w:val="auto"/>
          <w:sz w:val="28"/>
          <w:szCs w:val="28"/>
          <w:highlight w:val="none"/>
        </w:rPr>
        <w:tab/>
      </w:r>
      <w:r>
        <w:rPr>
          <w:rFonts w:hint="eastAsia" w:ascii="方正小标宋_GBK" w:hAnsi="宋体" w:eastAsia="方正小标宋_GBK"/>
          <w:color w:val="auto"/>
          <w:sz w:val="28"/>
          <w:szCs w:val="28"/>
          <w:highlight w:val="none"/>
        </w:rPr>
        <w:fldChar w:fldCharType="begin"/>
      </w:r>
      <w:r>
        <w:rPr>
          <w:rFonts w:hint="eastAsia" w:ascii="方正小标宋_GBK" w:hAnsi="宋体" w:eastAsia="方正小标宋_GBK"/>
          <w:color w:val="auto"/>
          <w:sz w:val="28"/>
          <w:szCs w:val="28"/>
          <w:highlight w:val="none"/>
        </w:rPr>
        <w:instrText xml:space="preserve"> PAGEREF _Toc173764943 \h </w:instrText>
      </w:r>
      <w:r>
        <w:rPr>
          <w:rFonts w:hint="eastAsia" w:ascii="方正小标宋_GBK" w:hAnsi="宋体" w:eastAsia="方正小标宋_GBK"/>
          <w:color w:val="auto"/>
          <w:sz w:val="28"/>
          <w:szCs w:val="28"/>
          <w:highlight w:val="none"/>
        </w:rPr>
        <w:fldChar w:fldCharType="separate"/>
      </w:r>
      <w:r>
        <w:rPr>
          <w:rFonts w:hint="eastAsia" w:ascii="方正小标宋_GBK" w:hAnsi="宋体" w:eastAsia="方正小标宋_GBK"/>
          <w:color w:val="auto"/>
          <w:sz w:val="28"/>
          <w:szCs w:val="28"/>
          <w:highlight w:val="none"/>
        </w:rPr>
        <w:t>59</w:t>
      </w:r>
      <w:r>
        <w:rPr>
          <w:rFonts w:hint="eastAsia" w:ascii="方正小标宋_GBK" w:hAnsi="宋体" w:eastAsia="方正小标宋_GBK"/>
          <w:color w:val="auto"/>
          <w:sz w:val="28"/>
          <w:szCs w:val="28"/>
          <w:highlight w:val="none"/>
        </w:rPr>
        <w:fldChar w:fldCharType="end"/>
      </w:r>
      <w:r>
        <w:rPr>
          <w:rFonts w:hint="eastAsia" w:ascii="方正小标宋_GBK" w:hAnsi="宋体" w:eastAsia="方正小标宋_GBK"/>
          <w:color w:val="auto"/>
          <w:sz w:val="28"/>
          <w:szCs w:val="28"/>
          <w:highlight w:val="none"/>
        </w:rPr>
        <w:fldChar w:fldCharType="end"/>
      </w:r>
    </w:p>
    <w:p>
      <w:pPr>
        <w:spacing w:line="1000" w:lineRule="exact"/>
        <w:ind w:left="-2" w:leftChars="-1"/>
        <w:rPr>
          <w:rFonts w:ascii="Times New Roman" w:hAnsi="Times New Roman" w:eastAsia="宋体" w:cs="Times New Roman"/>
          <w:color w:val="auto"/>
          <w:szCs w:val="24"/>
          <w:highlight w:val="none"/>
        </w:rPr>
      </w:pPr>
      <w:r>
        <w:rPr>
          <w:rFonts w:hint="eastAsia" w:ascii="方正小标宋_GBK" w:hAnsi="宋体" w:eastAsia="方正小标宋_GBK" w:cs="Times New Roman"/>
          <w:color w:val="auto"/>
          <w:sz w:val="28"/>
          <w:szCs w:val="28"/>
          <w:highlight w:val="none"/>
        </w:rPr>
        <w:fldChar w:fldCharType="end"/>
      </w:r>
    </w:p>
    <w:p>
      <w:pPr>
        <w:widowControl/>
        <w:jc w:val="left"/>
        <w:rPr>
          <w:rFonts w:ascii="Times New Roman" w:hAnsi="Times New Roman" w:eastAsia="宋体" w:cs="Times New Roman"/>
          <w:color w:val="auto"/>
          <w:szCs w:val="24"/>
          <w:highlight w:val="none"/>
        </w:rPr>
        <w:sectPr>
          <w:pgSz w:w="11906" w:h="16838"/>
          <w:pgMar w:top="1246" w:right="1106" w:bottom="1091" w:left="1080" w:header="851" w:footer="992" w:gutter="0"/>
          <w:cols w:space="720" w:num="1"/>
          <w:docGrid w:type="lines" w:linePitch="312" w:charSpace="0"/>
        </w:sectPr>
      </w:pPr>
    </w:p>
    <w:p>
      <w:pPr>
        <w:spacing w:line="400" w:lineRule="exact"/>
        <w:ind w:left="-2" w:leftChars="-1"/>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方正小标宋_GBK" w:hAnsi="Cambria" w:eastAsia="方正小标宋_GBK" w:cs="Times New Roman"/>
          <w:b/>
          <w:bCs/>
          <w:color w:val="auto"/>
          <w:kern w:val="0"/>
          <w:sz w:val="44"/>
          <w:szCs w:val="44"/>
          <w:highlight w:val="none"/>
        </w:rPr>
      </w:pPr>
      <w:bookmarkStart w:id="1" w:name="_Toc173764938"/>
      <w:r>
        <w:rPr>
          <w:rFonts w:hint="eastAsia" w:ascii="方正小标宋_GBK" w:hAnsi="Cambria" w:eastAsia="方正小标宋_GBK" w:cs="Times New Roman"/>
          <w:b/>
          <w:bCs/>
          <w:color w:val="auto"/>
          <w:kern w:val="0"/>
          <w:sz w:val="44"/>
          <w:szCs w:val="44"/>
          <w:highlight w:val="none"/>
        </w:rPr>
        <w:t>第一章  公 告</w:t>
      </w:r>
      <w:bookmarkEnd w:id="1"/>
    </w:p>
    <w:p>
      <w:pPr>
        <w:spacing w:line="44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ascii="方正小标宋_GBK" w:hAnsi="Times New Roman" w:eastAsia="方正小标宋_GBK" w:cs="Times New Roman"/>
          <w:b/>
          <w:bCs/>
          <w:color w:val="auto"/>
          <w:sz w:val="36"/>
          <w:szCs w:val="36"/>
          <w:highlight w:val="none"/>
        </w:rPr>
      </w:pPr>
      <w:r>
        <w:rPr>
          <w:rFonts w:hint="eastAsia" w:ascii="方正小标宋_GBK" w:hAnsi="Times New Roman" w:eastAsia="方正小标宋_GBK" w:cs="Times New Roman"/>
          <w:b/>
          <w:bCs/>
          <w:color w:val="auto"/>
          <w:sz w:val="36"/>
          <w:szCs w:val="36"/>
          <w:highlight w:val="none"/>
        </w:rPr>
        <w:t>钦州市政府采购中心关于</w:t>
      </w:r>
      <w:r>
        <w:rPr>
          <w:rFonts w:hint="eastAsia" w:ascii="方正小标宋_GBK" w:hAnsi="Times New Roman" w:eastAsia="方正小标宋_GBK" w:cs="Times New Roman"/>
          <w:b/>
          <w:bCs/>
          <w:color w:val="auto"/>
          <w:sz w:val="36"/>
          <w:szCs w:val="36"/>
          <w:highlight w:val="none"/>
          <w:lang w:eastAsia="zh-CN"/>
        </w:rPr>
        <w:t>钦州市行政信息中心物业服务</w:t>
      </w:r>
      <w:r>
        <w:rPr>
          <w:rFonts w:hint="eastAsia" w:ascii="方正小标宋_GBK" w:hAnsi="Times New Roman" w:eastAsia="方正小标宋_GBK" w:cs="Times New Roman"/>
          <w:b/>
          <w:bCs/>
          <w:color w:val="auto"/>
          <w:sz w:val="36"/>
          <w:szCs w:val="36"/>
          <w:highlight w:val="none"/>
        </w:rPr>
        <w:t>(</w:t>
      </w:r>
      <w:r>
        <w:rPr>
          <w:rFonts w:hint="eastAsia" w:ascii="方正小标宋_GBK" w:hAnsi="Times New Roman" w:eastAsia="方正小标宋_GBK" w:cs="Times New Roman"/>
          <w:b/>
          <w:bCs/>
          <w:color w:val="auto"/>
          <w:sz w:val="36"/>
          <w:szCs w:val="36"/>
          <w:highlight w:val="none"/>
          <w:lang w:eastAsia="zh-CN"/>
        </w:rPr>
        <w:t>QZZC2026-G3-990075-QZSZ</w:t>
      </w:r>
      <w:r>
        <w:rPr>
          <w:rFonts w:hint="eastAsia" w:ascii="方正小标宋_GBK" w:hAnsi="Times New Roman" w:eastAsia="方正小标宋_GBK" w:cs="Times New Roman"/>
          <w:b/>
          <w:bCs/>
          <w:color w:val="auto"/>
          <w:sz w:val="36"/>
          <w:szCs w:val="36"/>
          <w:highlight w:val="none"/>
        </w:rPr>
        <w:t>)的招标公告</w:t>
      </w:r>
    </w:p>
    <w:p>
      <w:pPr>
        <w:spacing w:line="240" w:lineRule="exact"/>
        <w:ind w:firstLine="200"/>
        <w:jc w:val="center"/>
        <w:rPr>
          <w:rFonts w:ascii="方正小标宋_GBK" w:hAnsi="Times New Roman" w:eastAsia="方正小标宋_GBK" w:cs="Times New Roman"/>
          <w:b/>
          <w:color w:val="auto"/>
          <w:sz w:val="44"/>
          <w:szCs w:val="44"/>
          <w:highlight w:val="none"/>
        </w:rPr>
      </w:pP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项目概况</w:t>
      </w:r>
    </w:p>
    <w:p>
      <w:pPr>
        <w:pBdr>
          <w:top w:val="single" w:color="auto" w:sz="4" w:space="0"/>
          <w:left w:val="single" w:color="auto" w:sz="4" w:space="4"/>
          <w:bottom w:val="single" w:color="auto" w:sz="4" w:space="1"/>
          <w:right w:val="single" w:color="auto" w:sz="4" w:space="4"/>
        </w:pBd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lang w:eastAsia="zh-CN"/>
        </w:rPr>
        <w:t>钦州市行政信息中心物业服务</w:t>
      </w:r>
      <w:r>
        <w:rPr>
          <w:rFonts w:hint="eastAsia" w:ascii="宋体" w:hAnsi="宋体" w:eastAsia="宋体" w:cs="Times New Roman"/>
          <w:bCs/>
          <w:color w:val="auto"/>
          <w:szCs w:val="21"/>
          <w:highlight w:val="none"/>
        </w:rPr>
        <w:t>招标</w:t>
      </w:r>
      <w:r>
        <w:rPr>
          <w:rFonts w:hint="eastAsia" w:ascii="宋体" w:hAnsi="宋体" w:eastAsia="宋体" w:cs="Times New Roman"/>
          <w:color w:val="auto"/>
          <w:szCs w:val="21"/>
          <w:highlight w:val="none"/>
        </w:rPr>
        <w:t>项目的潜在投标人应在</w:t>
      </w:r>
      <w:bookmarkStart w:id="2" w:name="_Hlk164066481"/>
      <w:r>
        <w:rPr>
          <w:rFonts w:hint="eastAsia" w:ascii="宋体" w:hAnsi="宋体" w:eastAsia="宋体" w:cs="Times New Roman"/>
          <w:color w:val="auto"/>
          <w:szCs w:val="21"/>
          <w:highlight w:val="none"/>
        </w:rPr>
        <w:t>广西政府采购云平台（https://www.gcy.zfcg.gxzf.gov.cn/）</w:t>
      </w:r>
      <w:bookmarkEnd w:id="2"/>
      <w:r>
        <w:rPr>
          <w:rFonts w:hint="eastAsia" w:ascii="宋体" w:hAnsi="宋体" w:eastAsia="宋体" w:cs="Times New Roman"/>
          <w:color w:val="auto"/>
          <w:szCs w:val="21"/>
          <w:highlight w:val="none"/>
        </w:rPr>
        <w:t>获取招标文件，并于</w:t>
      </w:r>
      <w:r>
        <w:rPr>
          <w:rFonts w:hint="eastAsia" w:ascii="宋体" w:hAnsi="宋体" w:eastAsia="宋体" w:cs="Times New Roman"/>
          <w:color w:val="auto"/>
          <w:szCs w:val="21"/>
          <w:highlight w:val="none"/>
          <w:lang w:eastAsia="zh-CN"/>
        </w:rPr>
        <w:t>2026年</w:t>
      </w:r>
      <w:r>
        <w:rPr>
          <w:rFonts w:hint="eastAsia" w:ascii="宋体" w:hAnsi="宋体" w:eastAsia="宋体" w:cs="Times New Roman"/>
          <w:color w:val="auto"/>
          <w:szCs w:val="21"/>
          <w:highlight w:val="none"/>
          <w:lang w:val="en-US" w:eastAsia="zh-CN"/>
        </w:rPr>
        <w:t>5</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lang w:val="en-US" w:eastAsia="zh-CN"/>
        </w:rPr>
        <w:t>14</w:t>
      </w:r>
      <w:r>
        <w:rPr>
          <w:rFonts w:hint="eastAsia" w:ascii="宋体" w:hAnsi="宋体" w:eastAsia="宋体" w:cs="Times New Roman"/>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Times New Roman"/>
          <w:color w:val="auto"/>
          <w:szCs w:val="21"/>
          <w:highlight w:val="none"/>
        </w:rPr>
        <w:t>（北京时间）前提交投标文件。</w:t>
      </w:r>
    </w:p>
    <w:p>
      <w:pPr>
        <w:spacing w:line="400" w:lineRule="exact"/>
        <w:rPr>
          <w:rFonts w:ascii="Times New Roman" w:hAnsi="Times New Roman" w:eastAsia="宋体" w:cs="Times New Roman"/>
          <w:b/>
          <w:color w:val="auto"/>
          <w:szCs w:val="24"/>
          <w:highlight w:val="none"/>
        </w:rPr>
      </w:pPr>
      <w:bookmarkStart w:id="3" w:name="_Toc28359002"/>
      <w:bookmarkStart w:id="4" w:name="_Toc28359079"/>
      <w:bookmarkStart w:id="5" w:name="_Toc35393790"/>
      <w:bookmarkStart w:id="6" w:name="_Toc35393621"/>
      <w:bookmarkStart w:id="7" w:name="_Hlk24379207"/>
      <w:bookmarkStart w:id="8" w:name="_Hlk92355554"/>
      <w:r>
        <w:rPr>
          <w:rFonts w:hint="eastAsia" w:ascii="Times New Roman" w:hAnsi="Times New Roman" w:eastAsia="宋体" w:cs="Times New Roman"/>
          <w:b/>
          <w:color w:val="auto"/>
          <w:szCs w:val="24"/>
          <w:highlight w:val="none"/>
        </w:rPr>
        <w:t>一、项目基本情况</w:t>
      </w:r>
      <w:bookmarkEnd w:id="3"/>
      <w:bookmarkEnd w:id="4"/>
      <w:bookmarkEnd w:id="5"/>
      <w:bookmarkEnd w:id="6"/>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项目编号：</w:t>
      </w:r>
      <w:r>
        <w:rPr>
          <w:rFonts w:hint="eastAsia" w:ascii="宋体" w:hAnsi="宋体" w:eastAsia="宋体" w:cs="Times New Roman"/>
          <w:bCs/>
          <w:color w:val="auto"/>
          <w:szCs w:val="24"/>
          <w:highlight w:val="none"/>
          <w:lang w:eastAsia="zh-CN"/>
        </w:rPr>
        <w:t>QZZC2026-G3-990075-QZSZ</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项目名称：</w:t>
      </w:r>
      <w:bookmarkStart w:id="9" w:name="OLE_LINK2"/>
      <w:r>
        <w:rPr>
          <w:rFonts w:hint="eastAsia" w:ascii="Times New Roman" w:hAnsi="Times New Roman" w:eastAsia="宋体" w:cs="Times New Roman"/>
          <w:color w:val="auto"/>
          <w:szCs w:val="24"/>
          <w:highlight w:val="none"/>
          <w:lang w:eastAsia="zh-CN"/>
        </w:rPr>
        <w:t>钦州市行政信息中心物业服务</w:t>
      </w:r>
      <w:bookmarkEnd w:id="9"/>
    </w:p>
    <w:bookmarkEnd w:id="7"/>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预算总金额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5,720,939.00</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采购需求：</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标项名称：</w:t>
      </w:r>
      <w:r>
        <w:rPr>
          <w:rFonts w:hint="eastAsia" w:ascii="Times New Roman" w:hAnsi="Times New Roman" w:eastAsia="宋体" w:cs="Times New Roman"/>
          <w:color w:val="auto"/>
          <w:szCs w:val="24"/>
          <w:highlight w:val="none"/>
          <w:lang w:eastAsia="zh-CN"/>
        </w:rPr>
        <w:t>钦州市行政信息中心物业服务</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数量：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预算金额</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5,720,939.00</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简要规格描述或项目基本概况介绍、用途：</w:t>
      </w:r>
      <w:r>
        <w:rPr>
          <w:rFonts w:hint="eastAsia" w:ascii="Times New Roman" w:hAnsi="Times New Roman" w:eastAsia="宋体" w:cs="Times New Roman"/>
          <w:color w:val="auto"/>
          <w:szCs w:val="24"/>
          <w:highlight w:val="none"/>
          <w:lang w:eastAsia="zh-CN"/>
        </w:rPr>
        <w:t>行政中心物业服务（含市档案馆、公寓楼物业服务）的安全保卫、车辆管理、公共秩序管理服务；保洁、绿化、水电管理、设备设施管理维护；办公楼等公共会议室的会务服务。详见采购文件第二章《项目需求》。</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最高限价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如有</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 xml:space="preserve"> </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合同履行期限：合同签订之日起</w:t>
      </w:r>
      <w:r>
        <w:rPr>
          <w:rFonts w:hint="eastAsia" w:ascii="Times New Roman" w:hAnsi="Times New Roman" w:eastAsia="宋体" w:cs="Times New Roman"/>
          <w:color w:val="auto"/>
          <w:szCs w:val="24"/>
          <w:highlight w:val="none"/>
          <w:u w:val="none"/>
          <w:lang w:val="en-US" w:eastAsia="zh-CN"/>
        </w:rPr>
        <w:t>1</w:t>
      </w:r>
      <w:r>
        <w:rPr>
          <w:rFonts w:hint="eastAsia" w:ascii="Times New Roman" w:hAnsi="Times New Roman" w:eastAsia="宋体" w:cs="Times New Roman"/>
          <w:color w:val="auto"/>
          <w:szCs w:val="24"/>
          <w:highlight w:val="none"/>
          <w:u w:val="none"/>
          <w:lang w:eastAsia="zh-CN"/>
        </w:rPr>
        <w:t>年</w:t>
      </w:r>
      <w:r>
        <w:rPr>
          <w:rFonts w:hint="eastAsia" w:ascii="Times New Roman" w:hAnsi="Times New Roman" w:eastAsia="宋体" w:cs="Times New Roman"/>
          <w:color w:val="auto"/>
          <w:szCs w:val="24"/>
          <w:highlight w:val="none"/>
        </w:rPr>
        <w:t>内。</w:t>
      </w:r>
      <w:r>
        <w:rPr>
          <w:rFonts w:hint="eastAsia" w:ascii="Times New Roman" w:hAnsi="Times New Roman" w:eastAsia="宋体" w:cs="Times New Roman"/>
          <w:color w:val="auto"/>
          <w:szCs w:val="24"/>
          <w:highlight w:val="none"/>
          <w:lang w:val="en-US" w:eastAsia="zh-CN"/>
        </w:rPr>
        <w:t>本项目为一采多年项目，采用一次招标，沿用3年，合同一年一签的方式。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本标项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否</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接受联合体投标。</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备注：</w:t>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b/>
          <w:color w:val="auto"/>
          <w:szCs w:val="24"/>
          <w:highlight w:val="none"/>
        </w:rPr>
      </w:pPr>
      <w:bookmarkStart w:id="10" w:name="_Toc35393622"/>
      <w:bookmarkStart w:id="11" w:name="_Toc28359003"/>
      <w:bookmarkStart w:id="12" w:name="_Toc28359080"/>
      <w:bookmarkStart w:id="13" w:name="_Toc35393791"/>
      <w:r>
        <w:rPr>
          <w:rFonts w:hint="eastAsia" w:ascii="Times New Roman" w:hAnsi="Times New Roman" w:eastAsia="宋体" w:cs="Times New Roman"/>
          <w:b/>
          <w:color w:val="auto"/>
          <w:szCs w:val="24"/>
          <w:highlight w:val="none"/>
        </w:rPr>
        <w:t>二、申请人的资格要求：</w:t>
      </w:r>
      <w:bookmarkEnd w:id="10"/>
      <w:bookmarkEnd w:id="11"/>
      <w:bookmarkEnd w:id="12"/>
      <w:bookmarkEnd w:id="13"/>
      <w:bookmarkStart w:id="14" w:name="_Toc35393792"/>
      <w:bookmarkStart w:id="15" w:name="_Toc28359004"/>
      <w:bookmarkStart w:id="16" w:name="_Toc28359081"/>
      <w:bookmarkStart w:id="17" w:name="_Toc35393623"/>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满足《中华人民共和国政府采购法》第二十二条规定；</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落实政府采购政策需满足的资格要求</w:t>
      </w:r>
      <w:r>
        <w:rPr>
          <w:rFonts w:hint="eastAsia" w:ascii="宋体" w:hAnsi="宋体" w:eastAsia="宋体" w:cs="宋体"/>
          <w:color w:val="auto"/>
          <w:szCs w:val="24"/>
          <w:highlight w:val="none"/>
        </w:rPr>
        <w:t>：</w:t>
      </w:r>
      <w:r>
        <w:rPr>
          <w:rFonts w:hint="eastAsia" w:ascii="宋体" w:hAnsi="宋体" w:eastAsia="宋体" w:cs="宋体"/>
          <w:color w:val="auto"/>
          <w:highlight w:val="none"/>
          <w:lang w:val="en-US" w:eastAsia="zh-CN"/>
        </w:rPr>
        <w:t>服务全部由符合政策要求的中小企业承接</w:t>
      </w:r>
    </w:p>
    <w:p>
      <w:pPr>
        <w:spacing w:line="400" w:lineRule="exact"/>
        <w:ind w:firstLine="435"/>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本项目的特定资格要求：无</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三、获取招标文件</w:t>
      </w:r>
      <w:bookmarkEnd w:id="14"/>
      <w:bookmarkEnd w:id="15"/>
      <w:bookmarkEnd w:id="16"/>
      <w:bookmarkEnd w:id="17"/>
    </w:p>
    <w:p>
      <w:pPr>
        <w:spacing w:line="400" w:lineRule="exact"/>
        <w:ind w:firstLine="420" w:firstLineChars="200"/>
        <w:jc w:val="left"/>
        <w:rPr>
          <w:rFonts w:ascii="Times New Roman" w:hAnsi="Times New Roman" w:eastAsia="宋体" w:cs="Times New Roman"/>
          <w:color w:val="auto"/>
          <w:szCs w:val="24"/>
          <w:highlight w:val="none"/>
        </w:rPr>
      </w:pPr>
      <w:bookmarkStart w:id="18" w:name="_Toc38370141"/>
      <w:r>
        <w:rPr>
          <w:rFonts w:hint="eastAsia" w:ascii="Times New Roman" w:hAnsi="Times New Roman" w:eastAsia="宋体" w:cs="Times New Roman"/>
          <w:color w:val="auto"/>
          <w:szCs w:val="24"/>
          <w:highlight w:val="none"/>
        </w:rPr>
        <w:t>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4</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22</w:t>
      </w:r>
      <w:r>
        <w:rPr>
          <w:rFonts w:hint="eastAsia" w:ascii="Times New Roman" w:hAnsi="Times New Roman" w:eastAsia="宋体" w:cs="Times New Roman"/>
          <w:color w:val="auto"/>
          <w:szCs w:val="24"/>
          <w:highlight w:val="none"/>
        </w:rPr>
        <w:t>日至</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4</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29</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，每天上午</w:t>
      </w:r>
      <w:r>
        <w:rPr>
          <w:rFonts w:ascii="Times New Roman" w:hAnsi="Times New Roman" w:eastAsia="宋体" w:cs="Times New Roman"/>
          <w:color w:val="auto"/>
          <w:szCs w:val="24"/>
          <w:highlight w:val="none"/>
        </w:rPr>
        <w:t>00:00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，下午</w:t>
      </w:r>
      <w:r>
        <w:rPr>
          <w:rFonts w:ascii="Times New Roman" w:hAnsi="Times New Roman" w:eastAsia="宋体" w:cs="Times New Roman"/>
          <w:color w:val="auto"/>
          <w:szCs w:val="24"/>
          <w:highlight w:val="none"/>
        </w:rPr>
        <w:t>12:00</w:t>
      </w:r>
      <w:r>
        <w:rPr>
          <w:rFonts w:hint="eastAsia" w:ascii="Times New Roman" w:hAnsi="Times New Roman" w:eastAsia="宋体" w:cs="Times New Roman"/>
          <w:color w:val="auto"/>
          <w:szCs w:val="24"/>
          <w:highlight w:val="none"/>
        </w:rPr>
        <w:t>至</w:t>
      </w:r>
      <w:r>
        <w:rPr>
          <w:rFonts w:ascii="Times New Roman" w:hAnsi="Times New Roman" w:eastAsia="宋体" w:cs="Times New Roman"/>
          <w:color w:val="auto"/>
          <w:szCs w:val="24"/>
          <w:highlight w:val="none"/>
        </w:rPr>
        <w:t>23:59</w:t>
      </w:r>
      <w:r>
        <w:rPr>
          <w:rFonts w:hint="eastAsia" w:ascii="Times New Roman" w:hAnsi="Times New Roman" w:eastAsia="宋体" w:cs="Times New Roman"/>
          <w:color w:val="auto"/>
          <w:szCs w:val="24"/>
          <w:highlight w:val="none"/>
        </w:rPr>
        <w:t>（北京时间，法定节假日除外）</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hint="eastAsia" w:ascii="宋体" w:hAnsi="宋体" w:eastAsia="宋体" w:cs="Times New Roman"/>
          <w:color w:val="auto"/>
          <w:szCs w:val="21"/>
          <w:highlight w:val="none"/>
        </w:rPr>
        <w:t>广西政府采购云平台（https://www.gcy.zfcg.gxzf.gov.cn/）</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方式：供应商登录广西政府采购云平台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以下称“政采云平台”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在线获取招标文件（进入“项目采购”应用选择项目，获取招标文件）</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售价</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 xml:space="preserve">0 </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bCs/>
          <w:color w:val="auto"/>
          <w:szCs w:val="24"/>
          <w:highlight w:val="none"/>
        </w:rPr>
        <w:t>四、</w:t>
      </w:r>
      <w:bookmarkEnd w:id="18"/>
      <w:bookmarkStart w:id="19" w:name="_Toc28359005"/>
      <w:bookmarkStart w:id="20" w:name="_Toc28359082"/>
      <w:bookmarkStart w:id="21" w:name="_Toc35393793"/>
      <w:bookmarkStart w:id="22" w:name="_Toc35393624"/>
      <w:r>
        <w:rPr>
          <w:rFonts w:hint="eastAsia" w:ascii="Times New Roman" w:hAnsi="Times New Roman" w:eastAsia="宋体" w:cs="Times New Roman"/>
          <w:b/>
          <w:color w:val="auto"/>
          <w:szCs w:val="24"/>
          <w:highlight w:val="none"/>
        </w:rPr>
        <w:t>投标文件</w:t>
      </w:r>
      <w:bookmarkEnd w:id="19"/>
      <w:bookmarkEnd w:id="20"/>
      <w:r>
        <w:rPr>
          <w:rFonts w:hint="eastAsia" w:ascii="Times New Roman" w:hAnsi="Times New Roman" w:eastAsia="宋体" w:cs="Times New Roman"/>
          <w:b/>
          <w:color w:val="auto"/>
          <w:szCs w:val="24"/>
          <w:highlight w:val="none"/>
        </w:rPr>
        <w:t>提交截止时间、开标时间和</w:t>
      </w:r>
      <w:bookmarkEnd w:id="21"/>
      <w:bookmarkEnd w:id="22"/>
      <w:r>
        <w:rPr>
          <w:rFonts w:hint="eastAsia" w:ascii="Times New Roman" w:hAnsi="Times New Roman" w:eastAsia="宋体" w:cs="Times New Roman"/>
          <w:b/>
          <w:color w:val="auto"/>
          <w:szCs w:val="24"/>
          <w:highlight w:val="none"/>
        </w:rPr>
        <w:t>地点</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提交投标文件截止时间：</w:t>
      </w:r>
      <w:r>
        <w:rPr>
          <w:rFonts w:hint="eastAsia" w:ascii="Times New Roman" w:hAnsi="Times New Roman" w:eastAsia="宋体" w:cs="Times New Roman"/>
          <w:color w:val="auto"/>
          <w:szCs w:val="24"/>
          <w:highlight w:val="none"/>
          <w:lang w:eastAsia="zh-CN"/>
        </w:rPr>
        <w:t>2026年</w:t>
      </w:r>
      <w:r>
        <w:rPr>
          <w:rFonts w:hint="eastAsia" w:ascii="Times New Roman" w:hAnsi="Times New Roman" w:eastAsia="宋体" w:cs="Times New Roman"/>
          <w:color w:val="auto"/>
          <w:szCs w:val="24"/>
          <w:highlight w:val="none"/>
          <w:lang w:val="en-US" w:eastAsia="zh-CN"/>
        </w:rPr>
        <w:t>5</w:t>
      </w:r>
      <w:r>
        <w:rPr>
          <w:rFonts w:hint="eastAsia" w:ascii="Times New Roman" w:hAnsi="Times New Roman" w:eastAsia="宋体" w:cs="Times New Roman"/>
          <w:color w:val="auto"/>
          <w:szCs w:val="24"/>
          <w:highlight w:val="none"/>
        </w:rPr>
        <w:t>月</w:t>
      </w:r>
      <w:r>
        <w:rPr>
          <w:rFonts w:hint="eastAsia" w:ascii="Times New Roman" w:hAnsi="Times New Roman" w:eastAsia="宋体" w:cs="Times New Roman"/>
          <w:color w:val="auto"/>
          <w:szCs w:val="24"/>
          <w:highlight w:val="none"/>
          <w:lang w:val="en-US" w:eastAsia="zh-CN"/>
        </w:rPr>
        <w:t>14</w:t>
      </w:r>
      <w:r>
        <w:rPr>
          <w:rFonts w:hint="eastAsia" w:ascii="Times New Roman" w:hAnsi="Times New Roman" w:eastAsia="宋体" w:cs="Times New Roman"/>
          <w:color w:val="auto"/>
          <w:szCs w:val="24"/>
          <w:highlight w:val="none"/>
        </w:rPr>
        <w:t>日</w:t>
      </w:r>
      <w:r>
        <w:rPr>
          <w:rFonts w:ascii="Times New Roman" w:hAnsi="Times New Roman" w:eastAsia="宋体" w:cs="Times New Roman"/>
          <w:color w:val="auto"/>
          <w:szCs w:val="24"/>
          <w:highlight w:val="none"/>
        </w:rPr>
        <w:t>09:30</w:t>
      </w:r>
      <w:r>
        <w:rPr>
          <w:rFonts w:hint="eastAsia" w:ascii="Times New Roman" w:hAnsi="Times New Roman" w:eastAsia="宋体" w:cs="Times New Roman"/>
          <w:color w:val="auto"/>
          <w:szCs w:val="24"/>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Times New Roman" w:hAnsi="Times New Roman" w:eastAsia="宋体" w:cs="Times New Roman"/>
          <w:color w:val="auto"/>
          <w:szCs w:val="24"/>
          <w:highlight w:val="none"/>
        </w:rPr>
        <w:t>投标地点</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网址）：</w:t>
      </w:r>
      <w:r>
        <w:rPr>
          <w:rFonts w:hint="eastAsia" w:ascii="宋体" w:hAnsi="宋体" w:eastAsia="宋体" w:cs="Courier New"/>
          <w:color w:val="auto"/>
          <w:szCs w:val="21"/>
          <w:highlight w:val="none"/>
        </w:rPr>
        <w:t>政府采购云平台（https://www.gcy.zfcg.gxzf.gov.cn/）</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开标时间：</w:t>
      </w:r>
      <w:r>
        <w:rPr>
          <w:rFonts w:hint="eastAsia" w:ascii="宋体" w:hAnsi="宋体" w:eastAsia="宋体" w:cs="Courier New"/>
          <w:color w:val="auto"/>
          <w:szCs w:val="21"/>
          <w:highlight w:val="none"/>
          <w:lang w:eastAsia="zh-CN"/>
        </w:rPr>
        <w:t>2026年</w:t>
      </w:r>
      <w:r>
        <w:rPr>
          <w:rFonts w:hint="eastAsia" w:ascii="宋体" w:hAnsi="宋体" w:eastAsia="宋体" w:cs="Courier New"/>
          <w:color w:val="auto"/>
          <w:szCs w:val="21"/>
          <w:highlight w:val="none"/>
          <w:lang w:val="en-US" w:eastAsia="zh-CN"/>
        </w:rPr>
        <w:t>5</w:t>
      </w:r>
      <w:r>
        <w:rPr>
          <w:rFonts w:hint="eastAsia" w:ascii="宋体" w:hAnsi="宋体" w:eastAsia="宋体" w:cs="Courier New"/>
          <w:color w:val="auto"/>
          <w:szCs w:val="21"/>
          <w:highlight w:val="none"/>
        </w:rPr>
        <w:t>月</w:t>
      </w:r>
      <w:r>
        <w:rPr>
          <w:rFonts w:hint="eastAsia" w:ascii="宋体" w:hAnsi="宋体" w:eastAsia="宋体" w:cs="Courier New"/>
          <w:color w:val="auto"/>
          <w:szCs w:val="21"/>
          <w:highlight w:val="none"/>
          <w:lang w:val="en-US" w:eastAsia="zh-CN"/>
        </w:rPr>
        <w:t>14</w:t>
      </w:r>
      <w:r>
        <w:rPr>
          <w:rFonts w:hint="eastAsia" w:ascii="宋体" w:hAnsi="宋体" w:eastAsia="宋体" w:cs="Courier New"/>
          <w:color w:val="auto"/>
          <w:szCs w:val="21"/>
          <w:highlight w:val="none"/>
        </w:rPr>
        <w:t>日</w:t>
      </w:r>
      <w:r>
        <w:rPr>
          <w:rFonts w:ascii="Times New Roman" w:hAnsi="Times New Roman" w:eastAsia="宋体" w:cs="Times New Roman"/>
          <w:color w:val="auto"/>
          <w:szCs w:val="24"/>
          <w:highlight w:val="none"/>
        </w:rPr>
        <w:t>09:30</w:t>
      </w:r>
      <w:r>
        <w:rPr>
          <w:rFonts w:hint="eastAsia" w:ascii="宋体" w:hAnsi="宋体" w:eastAsia="宋体" w:cs="Courier New"/>
          <w:color w:val="auto"/>
          <w:szCs w:val="21"/>
          <w:highlight w:val="none"/>
        </w:rPr>
        <w:t>（北京时间）</w:t>
      </w:r>
    </w:p>
    <w:p>
      <w:pPr>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开标地点：</w:t>
      </w:r>
      <w:bookmarkStart w:id="23" w:name="_Toc28359007"/>
      <w:bookmarkStart w:id="24" w:name="_Toc28359084"/>
      <w:bookmarkStart w:id="25" w:name="_Toc35393625"/>
      <w:bookmarkStart w:id="26" w:name="_Toc35393794"/>
      <w:r>
        <w:rPr>
          <w:rFonts w:hint="eastAsia" w:ascii="宋体" w:hAnsi="宋体" w:eastAsia="宋体" w:cs="Courier New"/>
          <w:color w:val="auto"/>
          <w:szCs w:val="21"/>
          <w:highlight w:val="none"/>
        </w:rPr>
        <w:t>广西钦州市金海湾东大街8号市政务服务中心三楼开标室</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五、公告期限</w:t>
      </w:r>
      <w:bookmarkEnd w:id="23"/>
      <w:bookmarkEnd w:id="24"/>
      <w:bookmarkEnd w:id="25"/>
      <w:bookmarkEnd w:id="26"/>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自本公告发布之日起</w:t>
      </w: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个工作日。</w:t>
      </w:r>
    </w:p>
    <w:p>
      <w:pPr>
        <w:spacing w:line="400" w:lineRule="exact"/>
        <w:rPr>
          <w:rFonts w:ascii="Times New Roman" w:hAnsi="Times New Roman" w:eastAsia="宋体" w:cs="Times New Roman"/>
          <w:b/>
          <w:color w:val="auto"/>
          <w:szCs w:val="24"/>
          <w:highlight w:val="none"/>
        </w:rPr>
      </w:pPr>
      <w:bookmarkStart w:id="27" w:name="_Toc28359008"/>
      <w:bookmarkStart w:id="28" w:name="_Toc28359085"/>
      <w:bookmarkStart w:id="29" w:name="_Toc35393796"/>
      <w:bookmarkStart w:id="30" w:name="_Toc35393627"/>
      <w:r>
        <w:rPr>
          <w:rFonts w:hint="eastAsia" w:ascii="Times New Roman" w:hAnsi="Times New Roman" w:eastAsia="宋体" w:cs="Times New Roman"/>
          <w:b/>
          <w:color w:val="auto"/>
          <w:szCs w:val="24"/>
          <w:highlight w:val="none"/>
        </w:rPr>
        <w:t>六、其他补充事宜</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bCs/>
          <w:color w:val="auto"/>
          <w:szCs w:val="24"/>
          <w:highlight w:val="none"/>
        </w:rPr>
        <w:t>本项目需落实的政府采购政策</w:t>
      </w:r>
      <w:r>
        <w:rPr>
          <w:rFonts w:hint="eastAsia" w:ascii="Times New Roman" w:hAnsi="Times New Roman" w:eastAsia="宋体" w:cs="Times New Roman"/>
          <w:b/>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工业和信息化部关于印发《政府采购促进中小企业发展管理办法》的通知</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2020</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46</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司法部关于政府采购支持监狱企业发展有关问题的通知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2014</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68</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财政部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民政部</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中国残疾人联合会关于促进残疾人就业政府采购政策的通知</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财库﹝</w:t>
      </w:r>
      <w:r>
        <w:rPr>
          <w:rFonts w:ascii="Times New Roman" w:hAnsi="Times New Roman" w:eastAsia="宋体" w:cs="Times New Roman"/>
          <w:color w:val="auto"/>
          <w:szCs w:val="24"/>
          <w:highlight w:val="none"/>
        </w:rPr>
        <w:t>2017</w:t>
      </w:r>
      <w:r>
        <w:rPr>
          <w:rFonts w:hint="eastAsia" w:ascii="Times New Roman" w:hAnsi="Times New Roman" w:eastAsia="宋体" w:cs="Times New Roman"/>
          <w:color w:val="auto"/>
          <w:szCs w:val="24"/>
          <w:highlight w:val="none"/>
        </w:rPr>
        <w:t>﹞</w:t>
      </w:r>
      <w:r>
        <w:rPr>
          <w:rFonts w:ascii="Times New Roman" w:hAnsi="Times New Roman" w:eastAsia="宋体" w:cs="Times New Roman"/>
          <w:color w:val="auto"/>
          <w:szCs w:val="24"/>
          <w:highlight w:val="none"/>
        </w:rPr>
        <w:t>141</w:t>
      </w:r>
      <w:r>
        <w:rPr>
          <w:rFonts w:hint="eastAsia" w:ascii="Times New Roman" w:hAnsi="Times New Roman" w:eastAsia="宋体" w:cs="Times New Roman"/>
          <w:color w:val="auto"/>
          <w:szCs w:val="24"/>
          <w:highlight w:val="none"/>
        </w:rPr>
        <w:t>号</w:t>
      </w:r>
      <w:r>
        <w:rPr>
          <w:rFonts w:ascii="Times New Roman" w:hAnsi="Times New Roman" w:eastAsia="宋体" w:cs="Times New Roman"/>
          <w:color w:val="auto"/>
          <w:szCs w:val="24"/>
          <w:highlight w:val="none"/>
        </w:rPr>
        <w:t>)</w:t>
      </w:r>
    </w:p>
    <w:p>
      <w:pPr>
        <w:spacing w:line="400" w:lineRule="exact"/>
        <w:ind w:firstLine="420" w:firstLineChars="200"/>
        <w:rPr>
          <w:rFonts w:hint="default" w:ascii="Times New Roman" w:hAnsi="Times New Roman" w:eastAsia="宋体" w:cs="Times New Roman"/>
          <w:b/>
          <w:color w:val="auto"/>
          <w:szCs w:val="24"/>
          <w:highlight w:val="none"/>
          <w:lang w:val="en-US" w:eastAsia="zh-CN"/>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投标保证金：</w:t>
      </w:r>
      <w:r>
        <w:rPr>
          <w:rFonts w:hint="eastAsia" w:ascii="宋体" w:hAnsi="宋体" w:eastAsia="宋体" w:cs="宋体"/>
          <w:b/>
          <w:bCs/>
          <w:color w:val="auto"/>
          <w:highlight w:val="none"/>
          <w:lang w:val="en-US" w:eastAsia="zh-CN"/>
        </w:rPr>
        <w:t>伍万柒仟元整(￥57,000.00)</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提交形式</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以支票、汇票、本票、网上银行支付或者金融机构、担保机构出具的保函等非现金形式提交。</w:t>
      </w:r>
    </w:p>
    <w:p>
      <w:pPr>
        <w:spacing w:line="400" w:lineRule="exact"/>
        <w:ind w:firstLine="420" w:firstLineChars="200"/>
        <w:rPr>
          <w:rFonts w:ascii="Times New Roman" w:hAnsi="Times New Roman" w:eastAsia="宋体" w:cs="Times New Roman"/>
          <w:b/>
          <w:color w:val="auto"/>
          <w:szCs w:val="24"/>
          <w:highlight w:val="none"/>
        </w:rPr>
      </w:pPr>
      <w:bookmarkStart w:id="31" w:name="_Hlk91771226"/>
      <w:r>
        <w:rPr>
          <w:rFonts w:hint="eastAsia" w:ascii="Times New Roman" w:hAnsi="Times New Roman" w:eastAsia="宋体" w:cs="Times New Roman"/>
          <w:color w:val="auto"/>
          <w:szCs w:val="24"/>
          <w:highlight w:val="none"/>
        </w:rPr>
        <w:t>以支票、汇票、本票、保函等形式提交保证金的，投标人必须将票据、保函等原件于投标文件提交截止时间前递交至本中心财务室（</w:t>
      </w:r>
      <w:r>
        <w:rPr>
          <w:rFonts w:hint="eastAsia" w:ascii="宋体" w:hAnsi="宋体" w:eastAsia="宋体" w:cs="宋体"/>
          <w:bCs/>
          <w:color w:val="auto"/>
          <w:kern w:val="0"/>
          <w:szCs w:val="21"/>
          <w:highlight w:val="none"/>
        </w:rPr>
        <w:t>地址:广西钦州市钦南区水东街区金海湾东大街8号市政务服务中心二楼市采购中心财务室，</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:0777-2886026</w:t>
      </w:r>
      <w:r>
        <w:rPr>
          <w:rFonts w:hint="eastAsia" w:ascii="Times New Roman" w:hAnsi="Times New Roman" w:eastAsia="宋体" w:cs="Times New Roman"/>
          <w:color w:val="auto"/>
          <w:szCs w:val="24"/>
          <w:highlight w:val="none"/>
        </w:rPr>
        <w:t>）。</w:t>
      </w:r>
    </w:p>
    <w:bookmarkEnd w:id="31"/>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网上银行支付形式提交的，投标人必须于投标文件递交截止时间前从投标人账户缴存至本中心银行账户（以到账时间为准）。</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本中心银行账户：</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开户名称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钦州市政府采购中心</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开户银行</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中国工商银行股份有限公司钦州市永福东支行</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银行账号</w:t>
      </w:r>
      <w:r>
        <w:rPr>
          <w:rFonts w:ascii="Times New Roman" w:hAnsi="Times New Roman" w:eastAsia="宋体" w:cs="Times New Roman"/>
          <w:color w:val="auto"/>
          <w:szCs w:val="24"/>
          <w:highlight w:val="none"/>
        </w:rPr>
        <w:t>:2115591229100078724</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注：投标人无法选择以上开户银行的，请选择“中国工商银行股份有限公司钦州分行”进行缴存。</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bookmarkStart w:id="32" w:name="_Hlk91598380"/>
      <w:r>
        <w:rPr>
          <w:rFonts w:hint="eastAsia" w:ascii="Times New Roman" w:hAnsi="Times New Roman" w:eastAsia="宋体" w:cs="Times New Roman"/>
          <w:color w:val="auto"/>
          <w:szCs w:val="24"/>
          <w:highlight w:val="none"/>
        </w:rPr>
        <w:t>全流程电子化</w:t>
      </w:r>
      <w:bookmarkEnd w:id="32"/>
      <w:r>
        <w:rPr>
          <w:rFonts w:hint="eastAsia" w:ascii="Times New Roman" w:hAnsi="Times New Roman" w:eastAsia="宋体" w:cs="Times New Roman"/>
          <w:color w:val="auto"/>
          <w:szCs w:val="24"/>
          <w:highlight w:val="none"/>
        </w:rPr>
        <w:t>要求：</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本项目为全流程电子化项目，潜在投标人应做好参与全流程电子化交易的充分准备，熟悉掌握电子化采购项目操作指南</w:t>
      </w:r>
      <w:bookmarkStart w:id="33" w:name="_Hlk154044590"/>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操作指南：政采云电子卖场首页右上角—服务中心—帮助文档—项目采购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，及时完成</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申领和绑定</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操作指南：政采云电子卖场首页右上角—帮助文档—入驻与配置—</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证书申领路径：政采云平台—我的工作台右上角—</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管理—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证书申领</w:t>
      </w:r>
      <w:r>
        <w:rPr>
          <w:rFonts w:ascii="Times New Roman" w:hAnsi="Times New Roman" w:eastAsia="宋体" w:cs="Times New Roman"/>
          <w:color w:val="auto"/>
          <w:szCs w:val="24"/>
          <w:highlight w:val="none"/>
        </w:rPr>
        <w:t>)</w:t>
      </w:r>
      <w:bookmarkEnd w:id="33"/>
      <w:r>
        <w:rPr>
          <w:rFonts w:hint="eastAsia" w:ascii="Times New Roman" w:hAnsi="Times New Roman" w:eastAsia="宋体" w:cs="Times New Roman"/>
          <w:color w:val="auto"/>
          <w:szCs w:val="24"/>
          <w:highlight w:val="none"/>
        </w:rPr>
        <w:t>。因未注册入库、未办理</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数字证书、</w:t>
      </w:r>
      <w:r>
        <w:rPr>
          <w:rFonts w:ascii="Times New Roman" w:hAnsi="Times New Roman" w:eastAsia="宋体" w:cs="Times New Roman"/>
          <w:color w:val="auto"/>
          <w:szCs w:val="24"/>
          <w:highlight w:val="none"/>
        </w:rPr>
        <w:t>CA</w:t>
      </w:r>
      <w:r>
        <w:rPr>
          <w:rFonts w:hint="eastAsia" w:ascii="Times New Roman" w:hAnsi="Times New Roman" w:eastAsia="宋体" w:cs="Times New Roman"/>
          <w:color w:val="auto"/>
          <w:szCs w:val="24"/>
          <w:highlight w:val="none"/>
        </w:rPr>
        <w:t>证书故障、操作不当等原因造成投标失败等后果由投标人承担。</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依法获取招标文件：投标人须在获取招标文件时间内登录</w:t>
      </w:r>
      <w:r>
        <w:rPr>
          <w:color w:val="auto"/>
          <w:highlight w:val="none"/>
        </w:rPr>
        <w:fldChar w:fldCharType="begin"/>
      </w:r>
      <w:r>
        <w:rPr>
          <w:color w:val="auto"/>
          <w:highlight w:val="none"/>
        </w:rPr>
        <w:instrText xml:space="preserve"> HYPERLINK "https://www.zcygov.cn/" </w:instrText>
      </w:r>
      <w:r>
        <w:rPr>
          <w:color w:val="auto"/>
          <w:highlight w:val="none"/>
        </w:rPr>
        <w:fldChar w:fldCharType="separate"/>
      </w:r>
      <w:r>
        <w:rPr>
          <w:rFonts w:hint="eastAsia" w:ascii="Times New Roman" w:hAnsi="Times New Roman" w:eastAsia="宋体" w:cs="Times New Roman"/>
          <w:color w:val="auto"/>
          <w:szCs w:val="24"/>
          <w:highlight w:val="none"/>
          <w:u w:val="single"/>
        </w:rPr>
        <w:t>政府采购云平台</w:t>
      </w:r>
      <w:r>
        <w:rPr>
          <w:rFonts w:hint="eastAsia" w:ascii="Times New Roman" w:hAnsi="Times New Roman" w:eastAsia="宋体" w:cs="Times New Roman"/>
          <w:color w:val="auto"/>
          <w:szCs w:val="24"/>
          <w:highlight w:val="none"/>
          <w:u w:val="single"/>
        </w:rPr>
        <w:fldChar w:fldCharType="end"/>
      </w:r>
      <w:r>
        <w:rPr>
          <w:rFonts w:hint="eastAsia" w:ascii="Times New Roman" w:hAnsi="Times New Roman" w:eastAsia="宋体" w:cs="Times New Roman"/>
          <w:color w:val="auto"/>
          <w:szCs w:val="24"/>
          <w:highlight w:val="none"/>
        </w:rPr>
        <w:t>申请下载招标文件才视作依法获取招标文件。</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投标人应通过广西政府采购云平台客户端制作投标文件，供应商自行前往下载安装</w:t>
      </w:r>
      <w:bookmarkStart w:id="34" w:name="_Hlk154044625"/>
      <w:r>
        <w:rPr>
          <w:rFonts w:hint="eastAsia" w:ascii="Times New Roman" w:hAnsi="Times New Roman" w:eastAsia="宋体" w:cs="Times New Roman"/>
          <w:color w:val="auto"/>
          <w:szCs w:val="24"/>
          <w:highlight w:val="none"/>
        </w:rPr>
        <w:t>（</w:t>
      </w:r>
      <w:bookmarkStart w:id="35" w:name="_Hlk152682913"/>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"https://sitecdn.zcycdn.com/zcy-client/bidding-client-new/official/guangxi/GuangXiSetup.exe"</w:instrText>
      </w:r>
      <w:r>
        <w:rPr>
          <w:rFonts w:ascii="Times New Roman" w:hAnsi="Times New Roman" w:eastAsia="宋体" w:cs="Times New Roman"/>
          <w:color w:val="auto"/>
          <w:szCs w:val="24"/>
          <w:highlight w:val="none"/>
        </w:rPr>
        <w:fldChar w:fldCharType="separate"/>
      </w:r>
      <w:r>
        <w:rPr>
          <w:rFonts w:hint="eastAsia" w:ascii="Times New Roman" w:hAnsi="Times New Roman" w:eastAsia="宋体" w:cs="Times New Roman"/>
          <w:color w:val="auto"/>
          <w:szCs w:val="24"/>
          <w:highlight w:val="none"/>
          <w:u w:val="single"/>
        </w:rPr>
        <w:t>客户端下载</w:t>
      </w:r>
      <w:r>
        <w:rPr>
          <w:rFonts w:ascii="Times New Roman" w:hAnsi="Times New Roman" w:eastAsia="宋体" w:cs="Times New Roman"/>
          <w:color w:val="auto"/>
          <w:szCs w:val="24"/>
          <w:highlight w:val="none"/>
        </w:rPr>
        <w:fldChar w:fldCharType="end"/>
      </w:r>
      <w:bookmarkEnd w:id="35"/>
      <w:r>
        <w:rPr>
          <w:rFonts w:hint="eastAsia" w:ascii="Times New Roman" w:hAnsi="Times New Roman" w:eastAsia="宋体" w:cs="Times New Roman"/>
          <w:color w:val="auto"/>
          <w:szCs w:val="24"/>
          <w:highlight w:val="none"/>
        </w:rPr>
        <w:t>）</w:t>
      </w:r>
      <w:bookmarkEnd w:id="34"/>
      <w:r>
        <w:rPr>
          <w:rFonts w:hint="eastAsia" w:ascii="Times New Roman" w:hAnsi="Times New Roman" w:eastAsia="宋体" w:cs="Times New Roman"/>
          <w:color w:val="auto"/>
          <w:szCs w:val="24"/>
          <w:highlight w:val="none"/>
        </w:rPr>
        <w:t>。</w:t>
      </w:r>
    </w:p>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投标人须按照招标文件和政府采购云平台的要求进行编制、上传、加密、提交、解密投标文件，投标文件在线提交截止时间后，政府采购云平台自动提取全部投标文件，各投标人须在提交截止时间后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上传政府采购云平台的投标文件进行解密，参与本项目的全部投标人在规定的解密时限内解密完成或解密时限结束后，我中心开启投标文件；投标人在解密时限内未完成解密的，政府采购云平台默认为投标人放弃参与投标。</w:t>
      </w:r>
    </w:p>
    <w:p>
      <w:pPr>
        <w:spacing w:line="400" w:lineRule="exact"/>
        <w:ind w:firstLine="420" w:firstLineChars="200"/>
        <w:rPr>
          <w:rFonts w:ascii="Times New Roman" w:hAnsi="Times New Roman" w:eastAsia="宋体" w:cs="Times New Roman"/>
          <w:b/>
          <w:color w:val="auto"/>
          <w:szCs w:val="24"/>
          <w:highlight w:val="none"/>
        </w:rPr>
      </w:pPr>
      <w:r>
        <w:rPr>
          <w:rFonts w:ascii="Times New Roman" w:hAnsi="Times New Roman" w:eastAsia="宋体" w:cs="Times New Roman"/>
          <w:color w:val="auto"/>
          <w:szCs w:val="24"/>
          <w:highlight w:val="none"/>
        </w:rPr>
        <w:t>(4)</w:t>
      </w:r>
      <w:r>
        <w:rPr>
          <w:rFonts w:ascii="Times New Roman" w:hAnsi="Times New Roman" w:eastAsia="宋体" w:cs="Times New Roman"/>
          <w:b/>
          <w:color w:val="auto"/>
          <w:szCs w:val="24"/>
          <w:highlight w:val="none"/>
        </w:rPr>
        <w:t xml:space="preserve"> </w:t>
      </w:r>
      <w:r>
        <w:rPr>
          <w:rFonts w:hint="eastAsia" w:ascii="Times New Roman" w:hAnsi="Times New Roman" w:eastAsia="宋体" w:cs="Times New Roman"/>
          <w:color w:val="auto"/>
          <w:szCs w:val="24"/>
          <w:highlight w:val="none"/>
        </w:rPr>
        <w:t>投标人法定代表人或委托代理人须按时登录</w:t>
      </w:r>
      <w:bookmarkStart w:id="36" w:name="_Hlk90367388"/>
      <w:r>
        <w:rPr>
          <w:rFonts w:hint="eastAsia" w:ascii="宋体" w:hAnsi="宋体" w:eastAsia="宋体" w:cs="Courier New"/>
          <w:color w:val="auto"/>
          <w:szCs w:val="21"/>
          <w:highlight w:val="none"/>
        </w:rPr>
        <w:t>政采云远程开标大厅</w:t>
      </w:r>
      <w:bookmarkEnd w:id="36"/>
      <w:r>
        <w:rPr>
          <w:rFonts w:hint="eastAsia" w:ascii="Times New Roman" w:hAnsi="Times New Roman" w:eastAsia="宋体" w:cs="Times New Roman"/>
          <w:color w:val="auto"/>
          <w:szCs w:val="24"/>
          <w:highlight w:val="none"/>
        </w:rPr>
        <w:t>，保持全程在线并关注开标评标进度，评标期间评标委员会提出澄清等要求时，投标人须在规定时间内进行应答，否则按招标文件或政采云平台的相关规定执行。</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Times New Roman" w:eastAsia="宋体" w:cs="Times New Roman"/>
          <w:color w:val="auto"/>
          <w:szCs w:val="24"/>
          <w:highlight w:val="none"/>
        </w:rPr>
        <w:t>(5)</w:t>
      </w:r>
      <w:r>
        <w:rPr>
          <w:rFonts w:hint="eastAsia" w:ascii="Times New Roman" w:hAnsi="Times New Roman" w:eastAsia="宋体" w:cs="Times New Roman"/>
          <w:color w:val="auto"/>
          <w:szCs w:val="24"/>
          <w:highlight w:val="none"/>
        </w:rPr>
        <w:t>投标人参与投标过程中涉及政府采购云平台的问题，请咨询政采云</w:t>
      </w:r>
      <w:r>
        <w:rPr>
          <w:rFonts w:hint="eastAsia" w:ascii="Times New Roman" w:hAnsi="宋体" w:eastAsia="宋体" w:cs="Times New Roman"/>
          <w:color w:val="auto"/>
          <w:szCs w:val="24"/>
          <w:highlight w:val="none"/>
        </w:rPr>
        <w:t>技术支持热线：</w:t>
      </w:r>
      <w:r>
        <w:rPr>
          <w:rFonts w:ascii="Times New Roman" w:hAnsi="宋体" w:eastAsia="宋体" w:cs="Times New Roman"/>
          <w:color w:val="auto"/>
          <w:szCs w:val="24"/>
          <w:highlight w:val="none"/>
        </w:rPr>
        <w:t>95763</w:t>
      </w:r>
      <w:r>
        <w:rPr>
          <w:rFonts w:hint="eastAsia" w:ascii="Times New Roman" w:hAnsi="宋体" w:eastAsia="宋体" w:cs="Times New Roman"/>
          <w:color w:val="auto"/>
          <w:szCs w:val="24"/>
          <w:highlight w:val="none"/>
        </w:rPr>
        <w:t>。</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4.</w:t>
      </w:r>
      <w:r>
        <w:rPr>
          <w:rFonts w:hint="eastAsia" w:ascii="Times New Roman" w:hAnsi="宋体" w:eastAsia="宋体" w:cs="Times New Roman"/>
          <w:color w:val="auto"/>
          <w:szCs w:val="24"/>
          <w:highlight w:val="none"/>
        </w:rPr>
        <w:t>查询媒体：</w:t>
      </w:r>
      <w:bookmarkStart w:id="37" w:name="_Hlk97804124"/>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"http://www.ccgp.gov.cn/"</w:instrText>
      </w:r>
      <w:r>
        <w:rPr>
          <w:rFonts w:ascii="Times New Roman" w:hAnsi="Times New Roman" w:eastAsia="宋体" w:cs="Times New Roman"/>
          <w:color w:val="auto"/>
          <w:szCs w:val="24"/>
          <w:highlight w:val="none"/>
        </w:rPr>
        <w:fldChar w:fldCharType="separate"/>
      </w:r>
      <w:r>
        <w:rPr>
          <w:rFonts w:hint="eastAsia" w:ascii="Times New Roman" w:hAnsi="宋体" w:eastAsia="宋体" w:cs="Times New Roman"/>
          <w:color w:val="auto"/>
          <w:szCs w:val="24"/>
          <w:highlight w:val="none"/>
          <w:u w:val="single"/>
        </w:rPr>
        <w:t>中国政府采购网</w:t>
      </w:r>
      <w:r>
        <w:rPr>
          <w:rFonts w:ascii="Times New Roman" w:hAnsi="Times New Roman"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u w:val="single"/>
        </w:rPr>
        <w:t>广西政府采购网</w:t>
      </w:r>
      <w:r>
        <w:rPr>
          <w:rFonts w:hint="eastAsia" w:ascii="Times New Roman" w:hAnsi="宋体" w:eastAsia="宋体" w:cs="Times New Roman"/>
          <w:color w:val="auto"/>
          <w:szCs w:val="24"/>
          <w:highlight w:val="none"/>
          <w:u w:val="single"/>
        </w:rPr>
        <w:fldChar w:fldCharType="end"/>
      </w:r>
      <w:r>
        <w:rPr>
          <w:rFonts w:hint="eastAsia" w:ascii="Times New Roman" w:hAnsi="宋体" w:eastAsia="宋体" w:cs="Times New Roman"/>
          <w:color w:val="auto"/>
          <w:szCs w:val="24"/>
          <w:highlight w:val="none"/>
        </w:rPr>
        <w:t>。</w:t>
      </w:r>
      <w:bookmarkEnd w:id="37"/>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5.</w:t>
      </w:r>
      <w:r>
        <w:rPr>
          <w:rFonts w:hint="eastAsia" w:ascii="Times New Roman" w:hAnsi="宋体" w:eastAsia="宋体" w:cs="Times New Roman"/>
          <w:color w:val="auto"/>
          <w:szCs w:val="24"/>
          <w:highlight w:val="none"/>
        </w:rPr>
        <w:t>钦州市政府采购中心联系方式：</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采购部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招标文件</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w:t>
      </w:r>
      <w:r>
        <w:rPr>
          <w:rFonts w:hint="eastAsia" w:ascii="Times New Roman" w:hAnsi="宋体" w:eastAsia="宋体" w:cs="Times New Roman"/>
          <w:color w:val="auto"/>
          <w:szCs w:val="24"/>
          <w:highlight w:val="none"/>
          <w:lang w:val="en-US" w:eastAsia="zh-CN"/>
        </w:rPr>
        <w:t>黄忠秀</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0777-2886022</w:t>
      </w:r>
    </w:p>
    <w:p>
      <w:pPr>
        <w:spacing w:line="400" w:lineRule="exact"/>
        <w:ind w:firstLine="420" w:firstLineChars="200"/>
        <w:jc w:val="left"/>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综合二部</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保证金、开评标、中标及合同管理</w:t>
      </w:r>
      <w:r>
        <w:rPr>
          <w:rFonts w:ascii="Times New Roman" w:hAnsi="宋体" w:eastAsia="宋体" w:cs="Times New Roman"/>
          <w:color w:val="auto"/>
          <w:szCs w:val="24"/>
          <w:highlight w:val="none"/>
        </w:rPr>
        <w:t>)</w:t>
      </w:r>
    </w:p>
    <w:p>
      <w:pPr>
        <w:spacing w:line="400" w:lineRule="exact"/>
        <w:ind w:firstLine="420" w:firstLineChars="200"/>
        <w:jc w:val="left"/>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联系人：陈侃</w:t>
      </w:r>
      <w:r>
        <w:rPr>
          <w:rFonts w:hint="eastAsia" w:ascii="Times New Roman" w:hAnsi="宋体" w:eastAsia="宋体" w:cs="Times New Roman"/>
          <w:color w:val="auto"/>
          <w:szCs w:val="24"/>
          <w:highlight w:val="none"/>
          <w:lang w:eastAsia="zh-CN"/>
        </w:rPr>
        <w:t>、陈启梅</w:t>
      </w:r>
      <w:r>
        <w:rPr>
          <w:rFonts w:ascii="Times New Roman" w:hAnsi="宋体" w:eastAsia="宋体" w:cs="Times New Roman"/>
          <w:color w:val="auto"/>
          <w:szCs w:val="24"/>
          <w:highlight w:val="none"/>
        </w:rPr>
        <w:t xml:space="preserve">  </w:t>
      </w:r>
      <w:r>
        <w:rPr>
          <w:rFonts w:hint="eastAsia" w:ascii="Times New Roman" w:hAnsi="宋体" w:eastAsia="宋体" w:cs="Times New Roman"/>
          <w:color w:val="auto"/>
          <w:szCs w:val="24"/>
          <w:highlight w:val="none"/>
        </w:rPr>
        <w:t>联系方式：</w:t>
      </w:r>
      <w:r>
        <w:rPr>
          <w:rFonts w:ascii="Times New Roman" w:hAnsi="宋体" w:eastAsia="宋体" w:cs="Times New Roman"/>
          <w:color w:val="auto"/>
          <w:szCs w:val="24"/>
          <w:highlight w:val="none"/>
        </w:rPr>
        <w:t xml:space="preserve"> 0777-2886006</w:t>
      </w:r>
    </w:p>
    <w:p>
      <w:pPr>
        <w:spacing w:line="400" w:lineRule="exact"/>
        <w:rPr>
          <w:rFonts w:ascii="Times New Roman" w:hAnsi="Times New Roman" w:eastAsia="宋体" w:cs="Times New Roman"/>
          <w:b/>
          <w:color w:val="auto"/>
          <w:szCs w:val="24"/>
          <w:highlight w:val="none"/>
        </w:rPr>
      </w:pPr>
      <w:r>
        <w:rPr>
          <w:rFonts w:hint="eastAsia" w:ascii="Times New Roman" w:hAnsi="Times New Roman" w:eastAsia="宋体" w:cs="Times New Roman"/>
          <w:b/>
          <w:color w:val="auto"/>
          <w:szCs w:val="24"/>
          <w:highlight w:val="none"/>
        </w:rPr>
        <w:t>七、对本次招标提出询问，请按以下方式联系</w:t>
      </w:r>
      <w:bookmarkEnd w:id="27"/>
      <w:bookmarkEnd w:id="28"/>
      <w:bookmarkEnd w:id="29"/>
      <w:bookmarkEnd w:id="30"/>
    </w:p>
    <w:bookmarkEnd w:id="8"/>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采购人信息</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名称：</w:t>
      </w:r>
      <w:r>
        <w:rPr>
          <w:rFonts w:hint="eastAsia" w:ascii="Times New Roman" w:hAnsi="Times New Roman" w:eastAsia="宋体" w:cs="Times New Roman"/>
          <w:color w:val="auto"/>
          <w:szCs w:val="24"/>
          <w:highlight w:val="none"/>
          <w:lang w:eastAsia="zh-CN"/>
        </w:rPr>
        <w:t>钦州市直属机关服务中心</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hint="eastAsia" w:ascii="Times New Roman" w:hAnsi="Times New Roman" w:eastAsia="宋体" w:cs="Times New Roman"/>
          <w:color w:val="auto"/>
          <w:szCs w:val="24"/>
          <w:highlight w:val="none"/>
        </w:rPr>
        <w:t>地址：</w:t>
      </w:r>
      <w:r>
        <w:rPr>
          <w:rFonts w:hint="eastAsia" w:ascii="Times New Roman" w:hAnsi="Times New Roman" w:eastAsia="宋体" w:cs="Times New Roman"/>
          <w:color w:val="auto"/>
          <w:szCs w:val="24"/>
          <w:highlight w:val="none"/>
          <w:lang w:eastAsia="zh-CN"/>
        </w:rPr>
        <w:t>钦州市永福东大街11号市行政信息中心</w:t>
      </w:r>
    </w:p>
    <w:p>
      <w:pPr>
        <w:spacing w:line="400" w:lineRule="exact"/>
        <w:ind w:firstLine="420" w:firstLineChars="200"/>
        <w:rPr>
          <w:rFonts w:hint="eastAsia"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w:t>
      </w:r>
      <w:r>
        <w:rPr>
          <w:rFonts w:hint="eastAsia" w:ascii="Times New Roman" w:hAnsi="Times New Roman" w:eastAsia="宋体" w:cs="Times New Roman"/>
          <w:color w:val="auto"/>
          <w:szCs w:val="24"/>
          <w:highlight w:val="none"/>
          <w:lang w:val="en-US" w:eastAsia="zh-CN"/>
        </w:rPr>
        <w:t>周昌</w:t>
      </w:r>
      <w:bookmarkStart w:id="238" w:name="_GoBack"/>
      <w:bookmarkEnd w:id="238"/>
      <w:r>
        <w:rPr>
          <w:rFonts w:hint="eastAsia" w:ascii="Times New Roman" w:hAnsi="Times New Roman" w:eastAsia="宋体" w:cs="Times New Roman"/>
          <w:color w:val="auto"/>
          <w:szCs w:val="24"/>
          <w:highlight w:val="none"/>
          <w:lang w:val="en-US" w:eastAsia="zh-CN"/>
        </w:rPr>
        <w:t>俸</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项目联系方式</w:t>
      </w:r>
      <w:bookmarkStart w:id="38" w:name="_Toc28359009"/>
      <w:bookmarkStart w:id="39" w:name="_Toc28359086"/>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0777-2825425</w:t>
      </w:r>
    </w:p>
    <w:p>
      <w:pPr>
        <w:spacing w:line="400" w:lineRule="exact"/>
        <w:ind w:firstLine="420" w:firstLineChars="200"/>
        <w:rPr>
          <w:rFonts w:ascii="Times New Roman" w:hAnsi="Times New Roman" w:eastAsia="宋体" w:cs="Times New Roman"/>
          <w:color w:val="auto"/>
          <w:szCs w:val="24"/>
          <w:highlight w:val="none"/>
        </w:rPr>
      </w:pPr>
      <w:bookmarkStart w:id="40" w:name="_Hlk92356946"/>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采购代理机构信息</w:t>
      </w:r>
      <w:bookmarkEnd w:id="38"/>
      <w:bookmarkEnd w:id="39"/>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名称：钦州市政府采购中心</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地址：钦州市金海湾东大街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p>
      <w:pPr>
        <w:spacing w:line="400" w:lineRule="exact"/>
        <w:ind w:firstLine="420" w:firstLineChars="200"/>
        <w:rPr>
          <w:rFonts w:hint="default" w:ascii="Times New Roman" w:hAnsi="Times New Roman" w:eastAsia="宋体" w:cs="Times New Roman"/>
          <w:color w:val="auto"/>
          <w:szCs w:val="24"/>
          <w:highlight w:val="none"/>
          <w:lang w:val="en-US" w:eastAsia="zh-CN"/>
        </w:rPr>
      </w:pPr>
      <w:r>
        <w:rPr>
          <w:rFonts w:hint="eastAsia" w:ascii="Times New Roman" w:hAnsi="Times New Roman" w:eastAsia="宋体" w:cs="Times New Roman"/>
          <w:color w:val="auto"/>
          <w:szCs w:val="24"/>
          <w:highlight w:val="none"/>
        </w:rPr>
        <w:t>项目联系人：</w:t>
      </w:r>
      <w:r>
        <w:rPr>
          <w:rFonts w:hint="eastAsia" w:ascii="Times New Roman" w:hAnsi="Times New Roman" w:eastAsia="宋体" w:cs="Times New Roman"/>
          <w:color w:val="auto"/>
          <w:szCs w:val="24"/>
          <w:highlight w:val="none"/>
          <w:lang w:val="en-US" w:eastAsia="zh-CN"/>
        </w:rPr>
        <w:t>黄忠秀、陈侃、陈启梅</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项目联系方式：</w:t>
      </w:r>
      <w:bookmarkStart w:id="41" w:name="_Toc28359010"/>
      <w:bookmarkStart w:id="42" w:name="_Toc28359087"/>
      <w:r>
        <w:rPr>
          <w:rFonts w:hint="eastAsia" w:ascii="Times New Roman" w:hAnsi="Times New Roman" w:eastAsia="宋体" w:cs="Times New Roman"/>
          <w:color w:val="auto"/>
          <w:szCs w:val="24"/>
          <w:highlight w:val="none"/>
        </w:rPr>
        <w:t>0777-2886022</w:t>
      </w:r>
      <w:bookmarkEnd w:id="40"/>
      <w:bookmarkEnd w:id="41"/>
      <w:bookmarkEnd w:id="42"/>
      <w:r>
        <w:rPr>
          <w:rFonts w:hint="eastAsia" w:ascii="Times New Roman" w:hAnsi="Times New Roman" w:eastAsia="宋体" w:cs="Times New Roman"/>
          <w:color w:val="auto"/>
          <w:szCs w:val="24"/>
          <w:highlight w:val="none"/>
          <w:lang w:eastAsia="zh-CN"/>
        </w:rPr>
        <w:t>、</w:t>
      </w:r>
      <w:r>
        <w:rPr>
          <w:rFonts w:hint="eastAsia" w:ascii="Times New Roman" w:hAnsi="Times New Roman" w:eastAsia="宋体" w:cs="Times New Roman"/>
          <w:color w:val="auto"/>
          <w:szCs w:val="24"/>
          <w:highlight w:val="none"/>
          <w:lang w:val="en-US" w:eastAsia="zh-CN"/>
        </w:rPr>
        <w:t>2886006</w:t>
      </w:r>
      <w:r>
        <w:rPr>
          <w:rFonts w:ascii="Times New Roman" w:hAnsi="Times New Roman" w:eastAsia="宋体" w:cs="Times New Roman"/>
          <w:color w:val="auto"/>
          <w:szCs w:val="24"/>
          <w:highlight w:val="none"/>
        </w:rPr>
        <w:br w:type="page"/>
      </w: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400" w:lineRule="exact"/>
        <w:jc w:val="lef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43" w:name="_Toc352700402"/>
      <w:bookmarkStart w:id="44" w:name="_Toc173764939"/>
      <w:r>
        <w:rPr>
          <w:rFonts w:hint="eastAsia" w:ascii="Cambria" w:hAnsi="Cambria" w:eastAsia="方正小标宋_GBK" w:cs="Times New Roman"/>
          <w:b/>
          <w:bCs/>
          <w:color w:val="auto"/>
          <w:kern w:val="0"/>
          <w:sz w:val="44"/>
          <w:szCs w:val="32"/>
          <w:highlight w:val="none"/>
        </w:rPr>
        <w:t>第二章</w:t>
      </w:r>
      <w:r>
        <w:rPr>
          <w:rFonts w:ascii="Cambria" w:hAnsi="Cambria" w:eastAsia="方正小标宋_GBK" w:cs="Times New Roman"/>
          <w:b/>
          <w:bCs/>
          <w:color w:val="auto"/>
          <w:kern w:val="0"/>
          <w:sz w:val="44"/>
          <w:szCs w:val="32"/>
          <w:highlight w:val="none"/>
        </w:rPr>
        <w:t xml:space="preserve">  </w:t>
      </w:r>
      <w:bookmarkEnd w:id="43"/>
      <w:r>
        <w:rPr>
          <w:rFonts w:hint="eastAsia" w:ascii="Cambria" w:hAnsi="Cambria" w:eastAsia="方正小标宋_GBK" w:cs="Times New Roman"/>
          <w:b/>
          <w:bCs/>
          <w:color w:val="auto"/>
          <w:kern w:val="0"/>
          <w:sz w:val="44"/>
          <w:szCs w:val="32"/>
          <w:highlight w:val="none"/>
        </w:rPr>
        <w:t>项目需求</w:t>
      </w:r>
      <w:bookmarkEnd w:id="44"/>
      <w:bookmarkStart w:id="45" w:name="_Toc352700403"/>
    </w:p>
    <w:p>
      <w:pPr>
        <w:spacing w:line="800" w:lineRule="exact"/>
        <w:ind w:left="-291" w:leftChars="-202" w:hanging="133" w:hangingChars="30"/>
        <w:jc w:val="center"/>
        <w:rPr>
          <w:rFonts w:ascii="Times New Roman" w:hAnsi="Times New Roman" w:eastAsia="宋体" w:cs="Times New Roman"/>
          <w:b/>
          <w:color w:val="auto"/>
          <w:szCs w:val="24"/>
          <w:highlight w:val="none"/>
        </w:rPr>
      </w:pPr>
      <w:r>
        <w:rPr>
          <w:rFonts w:hint="eastAsia" w:ascii="方正小标宋_GBK" w:hAnsi="Times New Roman" w:eastAsia="方正小标宋_GBK" w:cs="Times New Roman"/>
          <w:b/>
          <w:color w:val="auto"/>
          <w:sz w:val="44"/>
          <w:szCs w:val="44"/>
          <w:highlight w:val="none"/>
        </w:rPr>
        <w:br w:type="page"/>
      </w:r>
      <w:r>
        <w:rPr>
          <w:rFonts w:hint="eastAsia" w:ascii="方正小标宋_GBK" w:hAnsi="Times New Roman" w:eastAsia="方正小标宋_GBK" w:cs="Times New Roman"/>
          <w:b/>
          <w:color w:val="auto"/>
          <w:sz w:val="44"/>
          <w:szCs w:val="44"/>
          <w:highlight w:val="none"/>
        </w:rPr>
        <w:t>项目需求</w:t>
      </w:r>
    </w:p>
    <w:p>
      <w:pPr>
        <w:rPr>
          <w:rFonts w:hint="eastAsia" w:ascii="黑体" w:hAnsi="黑体" w:eastAsia="黑体" w:cs="黑体"/>
          <w:bCs/>
          <w:color w:val="auto"/>
          <w:sz w:val="28"/>
          <w:szCs w:val="28"/>
          <w:highlight w:val="none"/>
          <w:lang w:eastAsia="zh-CN"/>
        </w:rPr>
      </w:pPr>
    </w:p>
    <w:p>
      <w:pPr>
        <w:spacing w:line="360" w:lineRule="auto"/>
        <w:jc w:val="left"/>
        <w:outlineLvl w:val="0"/>
        <w:rPr>
          <w:rFonts w:hint="eastAsia" w:ascii="宋体" w:hAnsi="宋体" w:eastAsia="宋体" w:cs="宋体"/>
          <w:color w:val="auto"/>
          <w:kern w:val="0"/>
          <w:sz w:val="21"/>
          <w:szCs w:val="21"/>
          <w:highlight w:val="none"/>
        </w:rPr>
      </w:pPr>
      <w:r>
        <w:rPr>
          <w:rFonts w:hint="eastAsia" w:ascii="宋体" w:hAnsi="宋体" w:eastAsia="宋体" w:cs="宋体"/>
          <w:b/>
          <w:bCs/>
          <w:color w:val="auto"/>
          <w:sz w:val="21"/>
          <w:szCs w:val="21"/>
          <w:highlight w:val="none"/>
          <w:lang w:eastAsia="zh-CN"/>
        </w:rPr>
        <w:t>一、</w:t>
      </w:r>
      <w:r>
        <w:rPr>
          <w:rFonts w:hint="eastAsia" w:ascii="宋体" w:hAnsi="宋体" w:eastAsia="宋体" w:cs="宋体"/>
          <w:b/>
          <w:bCs/>
          <w:color w:val="auto"/>
          <w:spacing w:val="-1"/>
          <w:kern w:val="0"/>
          <w:sz w:val="21"/>
          <w:szCs w:val="21"/>
          <w:highlight w:val="none"/>
          <w:lang w:eastAsia="en-US"/>
        </w:rPr>
        <w:t>项目基本情况</w:t>
      </w:r>
    </w:p>
    <w:p>
      <w:pPr>
        <w:rPr>
          <w:rFonts w:hint="eastAsia" w:ascii="宋体" w:hAnsi="宋体" w:eastAsia="宋体" w:cs="宋体"/>
          <w:color w:val="auto"/>
        </w:rPr>
      </w:pPr>
      <w:r>
        <w:rPr>
          <w:rFonts w:hint="eastAsia" w:ascii="宋体" w:hAnsi="宋体" w:eastAsia="宋体" w:cs="宋体"/>
          <w:color w:val="auto"/>
          <w:lang w:eastAsia="en-US"/>
        </w:rPr>
        <w:t>1</w:t>
      </w:r>
      <w:r>
        <w:rPr>
          <w:rFonts w:hint="eastAsia" w:ascii="宋体" w:hAnsi="宋体" w:eastAsia="宋体" w:cs="宋体"/>
          <w:color w:val="auto"/>
          <w:lang w:val="en-US" w:eastAsia="zh-CN"/>
        </w:rPr>
        <w:t>.1</w:t>
      </w:r>
      <w:r>
        <w:rPr>
          <w:rFonts w:hint="eastAsia" w:ascii="宋体" w:hAnsi="宋体" w:eastAsia="宋体" w:cs="宋体"/>
          <w:color w:val="auto"/>
          <w:lang w:eastAsia="en-US"/>
        </w:rPr>
        <w:t>物业情况</w:t>
      </w:r>
    </w:p>
    <w:tbl>
      <w:tblPr>
        <w:tblStyle w:val="48"/>
        <w:tblW w:w="8851" w:type="dxa"/>
        <w:tblInd w:w="-92" w:type="dxa"/>
        <w:tblLayout w:type="fixed"/>
        <w:tblCellMar>
          <w:top w:w="0" w:type="dxa"/>
          <w:left w:w="0" w:type="dxa"/>
          <w:bottom w:w="0" w:type="dxa"/>
          <w:right w:w="0" w:type="dxa"/>
        </w:tblCellMar>
      </w:tblPr>
      <w:tblGrid>
        <w:gridCol w:w="4675"/>
        <w:gridCol w:w="4176"/>
      </w:tblGrid>
      <w:tr>
        <w:tblPrEx>
          <w:tblCellMar>
            <w:top w:w="0" w:type="dxa"/>
            <w:left w:w="0" w:type="dxa"/>
            <w:bottom w:w="0" w:type="dxa"/>
            <w:right w:w="0" w:type="dxa"/>
          </w:tblCellMar>
        </w:tblPrEx>
        <w:trPr>
          <w:trHeight w:val="47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spacing w:before="25" w:line="360" w:lineRule="auto"/>
              <w:ind w:left="102"/>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物业名称</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25" w:line="360" w:lineRule="auto"/>
              <w:ind w:left="99"/>
              <w:jc w:val="center"/>
              <w:rPr>
                <w:rFonts w:hint="eastAsia" w:ascii="宋体" w:hAnsi="宋体" w:eastAsia="宋体" w:cs="宋体"/>
                <w:color w:val="auto"/>
                <w:kern w:val="0"/>
                <w:sz w:val="21"/>
                <w:szCs w:val="21"/>
                <w:highlight w:val="none"/>
                <w:lang w:eastAsia="en-US"/>
              </w:rPr>
            </w:pPr>
            <w:r>
              <w:rPr>
                <w:rFonts w:hint="eastAsia" w:ascii="宋体" w:hAnsi="宋体" w:eastAsia="宋体" w:cs="宋体"/>
                <w:color w:val="auto"/>
                <w:spacing w:val="-1"/>
                <w:kern w:val="0"/>
                <w:sz w:val="21"/>
                <w:szCs w:val="21"/>
                <w:highlight w:val="none"/>
                <w:lang w:eastAsia="en-US"/>
              </w:rPr>
              <w:t>物业地址</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leftChars="0" w:firstLine="0" w:firstLineChars="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市行政信息中心办公区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钦州市永福东大街11号</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pStyle w:val="44"/>
              <w:keepNext w:val="0"/>
              <w:keepLines w:val="0"/>
              <w:widowControl/>
              <w:suppressLineNumbers w:val="0"/>
              <w:pBdr>
                <w:top w:val="none" w:color="auto" w:sz="0" w:space="0"/>
                <w:left w:val="none" w:color="auto" w:sz="0" w:space="0"/>
                <w:bottom w:val="none" w:color="auto" w:sz="0" w:space="0"/>
                <w:right w:val="none" w:color="auto" w:sz="0" w:space="0"/>
              </w:pBdr>
              <w:spacing w:line="360" w:lineRule="auto"/>
              <w:ind w:left="0" w:leftChars="0" w:firstLine="0" w:firstLineChars="0"/>
              <w:jc w:val="left"/>
              <w:textAlignment w:val="baseline"/>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市档案馆办公区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红日街33号</w:t>
            </w:r>
          </w:p>
        </w:tc>
      </w:tr>
      <w:tr>
        <w:tblPrEx>
          <w:tblCellMar>
            <w:top w:w="0" w:type="dxa"/>
            <w:left w:w="0" w:type="dxa"/>
            <w:bottom w:w="0" w:type="dxa"/>
            <w:right w:w="0" w:type="dxa"/>
          </w:tblCellMar>
        </w:tblPrEx>
        <w:trPr>
          <w:trHeight w:val="1069" w:hRule="exact"/>
        </w:trPr>
        <w:tc>
          <w:tcPr>
            <w:tcW w:w="4675" w:type="dxa"/>
            <w:tcBorders>
              <w:top w:val="single" w:color="000000" w:sz="4" w:space="0"/>
              <w:left w:val="single" w:color="000000" w:sz="4" w:space="0"/>
              <w:bottom w:val="single" w:color="000000" w:sz="4" w:space="0"/>
              <w:right w:val="single" w:color="000000" w:sz="4" w:space="0"/>
            </w:tcBorders>
            <w:noWrap w:val="0"/>
            <w:vAlign w:val="center"/>
          </w:tcPr>
          <w:p>
            <w:pPr>
              <w:snapToGrid w:val="0"/>
              <w:spacing w:line="360" w:lineRule="auto"/>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市行政信息中心公寓小区</w:t>
            </w:r>
          </w:p>
        </w:tc>
        <w:tc>
          <w:tcPr>
            <w:tcW w:w="4176" w:type="dxa"/>
            <w:tcBorders>
              <w:top w:val="single" w:color="000000" w:sz="4" w:space="0"/>
              <w:left w:val="single" w:color="000000" w:sz="4" w:space="0"/>
              <w:bottom w:val="single" w:color="000000" w:sz="4" w:space="0"/>
              <w:right w:val="single" w:color="000000" w:sz="4" w:space="0"/>
            </w:tcBorders>
            <w:noWrap w:val="0"/>
            <w:vAlign w:val="center"/>
          </w:tcPr>
          <w:p>
            <w:pPr>
              <w:spacing w:before="138" w:line="360" w:lineRule="auto"/>
              <w:jc w:val="both"/>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红日街33号</w:t>
            </w:r>
          </w:p>
        </w:tc>
      </w:tr>
    </w:tbl>
    <w:p>
      <w:pPr>
        <w:pStyle w:val="4"/>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1.2采购人提供的供供应商使用的场地、设施、设备、材料等（与供应商提供的设备、相关费用说明统筹考虑）</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(1)采购人提供：办公室 1 间，40 平方米。</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(2)提供物业管理服务设备。</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(3)提供安保服务使用的警、防暴装备之类。</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(4)采购人提供维修材料。</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(5)采购人提供低值易耗品。</w:t>
      </w:r>
    </w:p>
    <w:p>
      <w:pPr>
        <w:spacing w:line="360" w:lineRule="auto"/>
        <w:ind w:firstLine="420" w:firstLineChars="200"/>
        <w:outlineLvl w:val="9"/>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(6)采购人提供客耗品，如厕纸、洗手液、擦手纸等。</w:t>
      </w:r>
    </w:p>
    <w:p>
      <w:p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供应商应承担除以上所列</w:t>
      </w:r>
      <w:r>
        <w:rPr>
          <w:rFonts w:hint="eastAsia" w:ascii="宋体" w:hAnsi="宋体" w:eastAsia="宋体" w:cs="宋体"/>
          <w:color w:val="auto"/>
          <w:kern w:val="2"/>
          <w:sz w:val="21"/>
          <w:szCs w:val="21"/>
          <w:highlight w:val="none"/>
          <w:u w:val="none"/>
          <w:lang w:val="en-US" w:eastAsia="zh-CN" w:bidi="ar-SA"/>
        </w:rPr>
        <w:t>场地、设施、设备、材料</w:t>
      </w:r>
      <w:r>
        <w:rPr>
          <w:rFonts w:hint="eastAsia" w:ascii="宋体" w:hAnsi="宋体" w:eastAsia="宋体" w:cs="宋体"/>
          <w:color w:val="auto"/>
          <w:sz w:val="21"/>
          <w:szCs w:val="21"/>
          <w:highlight w:val="none"/>
          <w:lang w:val="en-US" w:eastAsia="zh-CN"/>
        </w:rPr>
        <w:t>外，与物业管理服务有关的其他</w:t>
      </w:r>
      <w:r>
        <w:rPr>
          <w:rFonts w:hint="eastAsia" w:ascii="宋体" w:hAnsi="宋体" w:eastAsia="宋体" w:cs="宋体"/>
          <w:color w:val="auto"/>
          <w:kern w:val="2"/>
          <w:sz w:val="21"/>
          <w:szCs w:val="21"/>
          <w:highlight w:val="none"/>
          <w:u w:val="none"/>
          <w:lang w:val="en-US" w:eastAsia="zh-CN" w:bidi="ar-SA"/>
        </w:rPr>
        <w:t>场地、设施、设备、材料</w:t>
      </w:r>
      <w:r>
        <w:rPr>
          <w:rFonts w:hint="eastAsia" w:ascii="宋体" w:hAnsi="宋体" w:eastAsia="宋体" w:cs="宋体"/>
          <w:color w:val="auto"/>
          <w:sz w:val="21"/>
          <w:szCs w:val="21"/>
          <w:highlight w:val="none"/>
          <w:lang w:val="en-US" w:eastAsia="zh-CN"/>
        </w:rPr>
        <w:t>。</w:t>
      </w:r>
    </w:p>
    <w:p>
      <w:pPr>
        <w:numPr>
          <w:ilvl w:val="0"/>
          <w:numId w:val="1"/>
        </w:num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物业服务范围</w:t>
      </w:r>
    </w:p>
    <w:p>
      <w:pPr>
        <w:numPr>
          <w:ilvl w:val="0"/>
          <w:numId w:val="0"/>
        </w:numPr>
        <w:spacing w:line="360" w:lineRule="auto"/>
        <w:ind w:firstLine="420" w:firstLineChars="200"/>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2.1市行政信息中心办公区</w:t>
      </w:r>
    </w:p>
    <w:p>
      <w:pPr>
        <w:pStyle w:val="4"/>
        <w:numPr>
          <w:ilvl w:val="0"/>
          <w:numId w:val="2"/>
        </w:numPr>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物业管理（建筑物）</w:t>
      </w:r>
    </w:p>
    <w:tbl>
      <w:tblPr>
        <w:tblStyle w:val="48"/>
        <w:tblW w:w="963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271"/>
        <w:gridCol w:w="1796"/>
        <w:gridCol w:w="4299"/>
        <w:gridCol w:w="226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3067" w:type="dxa"/>
            <w:gridSpan w:val="2"/>
            <w:shd w:val="clear" w:color="auto" w:fill="auto"/>
            <w:vAlign w:val="center"/>
          </w:tcPr>
          <w:p>
            <w:pPr>
              <w:widowControl/>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名称</w:t>
            </w:r>
          </w:p>
        </w:tc>
        <w:tc>
          <w:tcPr>
            <w:tcW w:w="4299" w:type="dxa"/>
            <w:shd w:val="clear" w:color="auto" w:fill="auto"/>
            <w:vAlign w:val="center"/>
          </w:tcPr>
          <w:p>
            <w:pPr>
              <w:widowControl/>
              <w:spacing w:line="430" w:lineRule="exact"/>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明细</w:t>
            </w:r>
          </w:p>
        </w:tc>
        <w:tc>
          <w:tcPr>
            <w:tcW w:w="2268" w:type="dxa"/>
            <w:shd w:val="clear" w:color="auto" w:fill="auto"/>
            <w:vAlign w:val="center"/>
          </w:tcPr>
          <w:p>
            <w:pPr>
              <w:widowControl/>
              <w:spacing w:line="430" w:lineRule="exact"/>
              <w:jc w:val="left"/>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服务内容及标准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3067" w:type="dxa"/>
            <w:gridSpan w:val="2"/>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rPr>
              <w:t>市行政信息中心办公区</w:t>
            </w:r>
            <w:r>
              <w:rPr>
                <w:rFonts w:hint="eastAsia" w:ascii="宋体" w:hAnsi="宋体" w:eastAsia="宋体" w:cs="宋体"/>
                <w:color w:val="auto"/>
                <w:sz w:val="21"/>
                <w:szCs w:val="21"/>
                <w:lang w:eastAsia="zh-CN"/>
              </w:rPr>
              <w:t>、档案馆办公区、公寓楼小区</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总占地面积</w:t>
            </w:r>
            <w:r>
              <w:rPr>
                <w:rFonts w:hint="eastAsia" w:ascii="宋体" w:hAnsi="宋体" w:eastAsia="宋体" w:cs="宋体"/>
                <w:color w:val="auto"/>
                <w:kern w:val="0"/>
                <w:sz w:val="21"/>
                <w:szCs w:val="21"/>
                <w:highlight w:val="none"/>
                <w:lang w:val="en-US" w:eastAsia="zh-CN"/>
              </w:rPr>
              <w:t>167亩，其中，</w:t>
            </w:r>
            <w:r>
              <w:rPr>
                <w:rFonts w:hint="eastAsia" w:ascii="宋体" w:hAnsi="宋体" w:eastAsia="宋体" w:cs="宋体"/>
                <w:color w:val="auto"/>
                <w:kern w:val="0"/>
                <w:sz w:val="21"/>
                <w:szCs w:val="21"/>
                <w:highlight w:val="none"/>
                <w:lang w:eastAsia="zh-CN"/>
              </w:rPr>
              <w:t>行政中心办公区占地</w:t>
            </w:r>
            <w:r>
              <w:rPr>
                <w:rFonts w:hint="eastAsia" w:ascii="宋体" w:hAnsi="宋体" w:eastAsia="宋体" w:cs="宋体"/>
                <w:color w:val="auto"/>
                <w:kern w:val="0"/>
                <w:sz w:val="21"/>
                <w:szCs w:val="21"/>
                <w:highlight w:val="none"/>
                <w:lang w:val="en-US" w:eastAsia="zh-CN"/>
              </w:rPr>
              <w:t>142亩，13</w:t>
            </w:r>
            <w:r>
              <w:rPr>
                <w:rFonts w:hint="eastAsia" w:ascii="宋体" w:hAnsi="宋体" w:eastAsia="宋体" w:cs="宋体"/>
                <w:color w:val="auto"/>
                <w:kern w:val="0"/>
                <w:sz w:val="21"/>
                <w:szCs w:val="21"/>
                <w:highlight w:val="none"/>
              </w:rPr>
              <w:t>层，建筑面积为</w:t>
            </w:r>
            <w:r>
              <w:rPr>
                <w:rFonts w:hint="eastAsia" w:ascii="宋体" w:hAnsi="宋体" w:eastAsia="宋体" w:cs="宋体"/>
                <w:color w:val="auto"/>
                <w:kern w:val="0"/>
                <w:sz w:val="21"/>
                <w:szCs w:val="21"/>
                <w:highlight w:val="none"/>
                <w:lang w:val="en-US" w:eastAsia="zh-CN"/>
              </w:rPr>
              <w:t>59798</w:t>
            </w:r>
            <w:r>
              <w:rPr>
                <w:rFonts w:hint="eastAsia" w:ascii="宋体" w:hAnsi="宋体" w:eastAsia="宋体" w:cs="宋体"/>
                <w:color w:val="auto"/>
                <w:kern w:val="0"/>
                <w:sz w:val="21"/>
                <w:szCs w:val="21"/>
                <w:highlight w:val="none"/>
              </w:rPr>
              <w:t>平方米；</w:t>
            </w:r>
            <w:r>
              <w:rPr>
                <w:rFonts w:hint="eastAsia" w:ascii="宋体" w:hAnsi="宋体" w:eastAsia="宋体" w:cs="宋体"/>
                <w:color w:val="auto"/>
                <w:kern w:val="0"/>
                <w:sz w:val="21"/>
                <w:szCs w:val="21"/>
                <w:highlight w:val="none"/>
                <w:lang w:eastAsia="zh-CN"/>
              </w:rPr>
              <w:t>档案馆办公占地</w:t>
            </w:r>
            <w:r>
              <w:rPr>
                <w:rFonts w:hint="eastAsia" w:ascii="宋体" w:hAnsi="宋体" w:eastAsia="宋体" w:cs="宋体"/>
                <w:color w:val="auto"/>
                <w:kern w:val="0"/>
                <w:sz w:val="21"/>
                <w:szCs w:val="21"/>
                <w:highlight w:val="none"/>
                <w:lang w:val="en-US" w:eastAsia="zh-CN"/>
              </w:rPr>
              <w:t>10亩，建筑面积6450平方米；公寓小区占地面积15亩，建筑面积6433平方米。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8" w:hRule="atLeast"/>
          <w:jc w:val="center"/>
        </w:trPr>
        <w:tc>
          <w:tcPr>
            <w:tcW w:w="1271" w:type="dxa"/>
            <w:vMerge w:val="restart"/>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总面积</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建筑面积(㎡)</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default" w:ascii="宋体" w:hAnsi="宋体" w:eastAsia="宋体" w:cs="宋体"/>
                <w:color w:val="auto"/>
                <w:kern w:val="0"/>
                <w:sz w:val="21"/>
                <w:szCs w:val="21"/>
                <w:highlight w:val="none"/>
                <w:lang w:val="en" w:eastAsia="zh-CN"/>
              </w:rPr>
              <w:t>72681</w:t>
            </w:r>
            <w:r>
              <w:rPr>
                <w:rFonts w:hint="eastAsia" w:ascii="宋体" w:hAnsi="宋体" w:eastAsia="宋体" w:cs="宋体"/>
                <w:color w:val="auto"/>
                <w:kern w:val="0"/>
                <w:sz w:val="21"/>
                <w:szCs w:val="21"/>
                <w:highlight w:val="none"/>
              </w:rPr>
              <w:t>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6</w:t>
            </w:r>
            <w:r>
              <w:rPr>
                <w:rFonts w:hint="eastAsia" w:ascii="宋体" w:hAnsi="宋体" w:eastAsia="宋体" w:cs="宋体"/>
                <w:color w:val="auto"/>
                <w:kern w:val="0"/>
                <w:sz w:val="21"/>
                <w:szCs w:val="21"/>
                <w:highlight w:val="none"/>
              </w:rPr>
              <w:t>保安服务”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jc w:val="center"/>
        </w:trPr>
        <w:tc>
          <w:tcPr>
            <w:tcW w:w="1271" w:type="dxa"/>
            <w:vMerge w:val="continue"/>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需保洁面积(㎡)</w:t>
            </w:r>
          </w:p>
        </w:tc>
        <w:tc>
          <w:tcPr>
            <w:tcW w:w="4299"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地面面积</w:t>
            </w:r>
            <w:r>
              <w:rPr>
                <w:rFonts w:hint="eastAsia" w:ascii="宋体" w:hAnsi="宋体" w:eastAsia="宋体" w:cs="宋体"/>
                <w:color w:val="auto"/>
                <w:kern w:val="0"/>
                <w:sz w:val="21"/>
                <w:szCs w:val="21"/>
                <w:highlight w:val="none"/>
                <w:lang w:val="en-US" w:eastAsia="zh-CN"/>
              </w:rPr>
              <w:t>111333.</w:t>
            </w:r>
            <w:r>
              <w:rPr>
                <w:rFonts w:hint="default" w:ascii="宋体" w:hAnsi="宋体" w:eastAsia="宋体" w:cs="宋体"/>
                <w:color w:val="auto"/>
                <w:kern w:val="0"/>
                <w:sz w:val="21"/>
                <w:szCs w:val="21"/>
                <w:highlight w:val="none"/>
                <w:lang w:val="en" w:eastAsia="zh-CN"/>
              </w:rPr>
              <w:t>33</w:t>
            </w:r>
            <w:r>
              <w:rPr>
                <w:rFonts w:hint="eastAsia" w:ascii="宋体" w:hAnsi="宋体" w:eastAsia="宋体" w:cs="宋体"/>
                <w:color w:val="auto"/>
                <w:kern w:val="0"/>
                <w:sz w:val="21"/>
                <w:szCs w:val="21"/>
                <w:highlight w:val="none"/>
              </w:rPr>
              <w:t>平方米，建筑面积约</w:t>
            </w:r>
            <w:r>
              <w:rPr>
                <w:rFonts w:hint="default" w:ascii="宋体" w:hAnsi="宋体" w:eastAsia="宋体" w:cs="宋体"/>
                <w:color w:val="auto"/>
                <w:kern w:val="0"/>
                <w:sz w:val="21"/>
                <w:szCs w:val="21"/>
                <w:highlight w:val="none"/>
                <w:lang w:val="en"/>
              </w:rPr>
              <w:t>72681</w:t>
            </w:r>
            <w:r>
              <w:rPr>
                <w:rFonts w:hint="eastAsia" w:ascii="宋体" w:hAnsi="宋体" w:eastAsia="宋体" w:cs="宋体"/>
                <w:color w:val="auto"/>
                <w:kern w:val="0"/>
                <w:sz w:val="21"/>
                <w:szCs w:val="21"/>
                <w:highlight w:val="none"/>
              </w:rPr>
              <w:t>平方米。</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4</w:t>
            </w:r>
            <w:r>
              <w:rPr>
                <w:rFonts w:hint="eastAsia" w:ascii="宋体" w:hAnsi="宋体" w:eastAsia="宋体" w:cs="宋体"/>
                <w:color w:val="auto"/>
                <w:kern w:val="0"/>
                <w:sz w:val="21"/>
                <w:szCs w:val="21"/>
                <w:highlight w:val="none"/>
              </w:rPr>
              <w:t>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卫生间</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卫生间数量(个)及总面积(㎡)</w:t>
            </w:r>
          </w:p>
        </w:tc>
        <w:tc>
          <w:tcPr>
            <w:tcW w:w="4299" w:type="dxa"/>
            <w:shd w:val="clear" w:color="auto" w:fill="auto"/>
            <w:vAlign w:val="center"/>
          </w:tcPr>
          <w:p>
            <w:pPr>
              <w:widowControl/>
              <w:numPr>
                <w:ilvl w:val="0"/>
                <w:numId w:val="3"/>
              </w:numPr>
              <w:spacing w:line="43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卫生间数</w:t>
            </w:r>
            <w:r>
              <w:rPr>
                <w:rFonts w:hint="eastAsia" w:ascii="宋体" w:hAnsi="宋体" w:eastAsia="宋体" w:cs="宋体"/>
                <w:color w:val="auto"/>
                <w:kern w:val="0"/>
                <w:sz w:val="21"/>
                <w:szCs w:val="21"/>
                <w:highlight w:val="none"/>
                <w:lang w:val="en-US" w:eastAsia="zh-CN"/>
              </w:rPr>
              <w:t>量135间</w:t>
            </w:r>
            <w:r>
              <w:rPr>
                <w:rFonts w:hint="eastAsia" w:ascii="宋体" w:hAnsi="宋体" w:eastAsia="宋体" w:cs="宋体"/>
                <w:color w:val="auto"/>
                <w:kern w:val="0"/>
                <w:sz w:val="21"/>
                <w:szCs w:val="21"/>
                <w:highlight w:val="none"/>
                <w:lang w:eastAsia="zh-CN"/>
              </w:rPr>
              <w:t>；</w:t>
            </w:r>
          </w:p>
          <w:p>
            <w:pPr>
              <w:widowControl/>
              <w:numPr>
                <w:ilvl w:val="0"/>
                <w:numId w:val="3"/>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卫生间数量</w:t>
            </w:r>
            <w:r>
              <w:rPr>
                <w:rFonts w:hint="eastAsia" w:ascii="宋体" w:hAnsi="宋体" w:eastAsia="宋体" w:cs="宋体"/>
                <w:color w:val="auto"/>
                <w:kern w:val="0"/>
                <w:sz w:val="21"/>
                <w:szCs w:val="21"/>
                <w:highlight w:val="none"/>
                <w:lang w:val="en-US" w:eastAsia="zh-CN"/>
              </w:rPr>
              <w:t>20间</w:t>
            </w:r>
            <w:r>
              <w:rPr>
                <w:rFonts w:hint="eastAsia" w:ascii="宋体" w:hAnsi="宋体" w:eastAsia="宋体" w:cs="宋体"/>
                <w:color w:val="auto"/>
                <w:kern w:val="0"/>
                <w:sz w:val="21"/>
                <w:szCs w:val="21"/>
                <w:highlight w:val="none"/>
                <w:lang w:eastAsia="zh-CN"/>
              </w:rPr>
              <w:t>；</w:t>
            </w:r>
          </w:p>
          <w:p>
            <w:pPr>
              <w:widowControl/>
              <w:spacing w:line="430" w:lineRule="exac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卫生间数量</w:t>
            </w:r>
            <w:r>
              <w:rPr>
                <w:rFonts w:hint="eastAsia" w:ascii="宋体" w:hAnsi="宋体" w:eastAsia="宋体" w:cs="宋体"/>
                <w:color w:val="auto"/>
                <w:kern w:val="0"/>
                <w:sz w:val="21"/>
                <w:szCs w:val="21"/>
                <w:highlight w:val="none"/>
                <w:lang w:val="en-US" w:eastAsia="zh-CN"/>
              </w:rPr>
              <w:t>27间</w:t>
            </w:r>
            <w:r>
              <w:rPr>
                <w:rFonts w:hint="eastAsia" w:ascii="宋体" w:hAnsi="宋体" w:eastAsia="宋体" w:cs="宋体"/>
                <w:color w:val="auto"/>
                <w:kern w:val="0"/>
                <w:sz w:val="21"/>
                <w:szCs w:val="21"/>
                <w:highlight w:val="none"/>
              </w:rPr>
              <w:t>。</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4</w:t>
            </w:r>
            <w:r>
              <w:rPr>
                <w:rFonts w:hint="eastAsia" w:ascii="宋体" w:hAnsi="宋体" w:eastAsia="宋体" w:cs="宋体"/>
                <w:color w:val="auto"/>
                <w:kern w:val="0"/>
                <w:sz w:val="21"/>
                <w:szCs w:val="21"/>
                <w:highlight w:val="none"/>
              </w:rPr>
              <w:t>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9"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垃圾存放点</w:t>
            </w:r>
          </w:p>
        </w:tc>
        <w:tc>
          <w:tcPr>
            <w:tcW w:w="1796" w:type="dxa"/>
            <w:shd w:val="clear" w:color="auto" w:fill="auto"/>
            <w:vAlign w:val="center"/>
          </w:tcPr>
          <w:p>
            <w:pPr>
              <w:widowControl/>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各垃圾存放点位置、面积(㎡)及数量(个)</w:t>
            </w:r>
          </w:p>
        </w:tc>
        <w:tc>
          <w:tcPr>
            <w:tcW w:w="4299" w:type="dxa"/>
            <w:shd w:val="clear" w:color="auto" w:fill="auto"/>
            <w:vAlign w:val="center"/>
          </w:tcPr>
          <w:p>
            <w:pPr>
              <w:widowControl/>
              <w:numPr>
                <w:ilvl w:val="0"/>
                <w:numId w:val="4"/>
              </w:numPr>
              <w:spacing w:line="430" w:lineRule="exact"/>
              <w:ind w:left="420" w:hanging="420" w:hangingChars="200"/>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lang w:val="en-US" w:eastAsia="zh-CN"/>
              </w:rPr>
              <w:t>135</w:t>
            </w:r>
            <w:r>
              <w:rPr>
                <w:rFonts w:hint="eastAsia" w:ascii="宋体" w:hAnsi="宋体" w:eastAsia="宋体" w:cs="宋体"/>
                <w:color w:val="auto"/>
                <w:kern w:val="0"/>
                <w:sz w:val="21"/>
                <w:szCs w:val="21"/>
                <w:highlight w:val="none"/>
              </w:rPr>
              <w:t>个</w:t>
            </w:r>
          </w:p>
          <w:p>
            <w:pPr>
              <w:widowControl/>
              <w:numPr>
                <w:ilvl w:val="0"/>
                <w:numId w:val="4"/>
              </w:numPr>
              <w:spacing w:line="430" w:lineRule="exact"/>
              <w:ind w:left="420" w:hanging="420" w:hangingChars="200"/>
              <w:rPr>
                <w:rFonts w:hint="eastAsia" w:ascii="宋体" w:hAnsi="宋体" w:eastAsia="宋体" w:cs="宋体"/>
                <w:color w:val="auto"/>
                <w:sz w:val="21"/>
                <w:szCs w:val="21"/>
                <w:lang w:eastAsia="zh-CN"/>
              </w:rPr>
            </w:pPr>
            <w:r>
              <w:rPr>
                <w:rFonts w:hint="eastAsia" w:ascii="宋体" w:hAnsi="宋体" w:eastAsia="宋体" w:cs="宋体"/>
                <w:color w:val="auto"/>
                <w:kern w:val="0"/>
                <w:sz w:val="21"/>
                <w:szCs w:val="21"/>
                <w:highlight w:val="none"/>
                <w:lang w:val="en-US" w:eastAsia="zh-CN"/>
              </w:rPr>
              <w:t>档案馆：17个</w:t>
            </w:r>
          </w:p>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lang w:val="en-US" w:eastAsia="zh-CN"/>
              </w:rPr>
              <w:t xml:space="preserve"> 3 </w:t>
            </w:r>
            <w:r>
              <w:rPr>
                <w:rFonts w:hint="eastAsia" w:ascii="宋体" w:hAnsi="宋体" w:eastAsia="宋体" w:cs="宋体"/>
                <w:color w:val="auto"/>
                <w:kern w:val="0"/>
                <w:sz w:val="21"/>
                <w:szCs w:val="21"/>
                <w:highlight w:val="none"/>
              </w:rPr>
              <w:t>个</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4</w:t>
            </w:r>
            <w:r>
              <w:rPr>
                <w:rFonts w:hint="eastAsia" w:ascii="宋体" w:hAnsi="宋体" w:eastAsia="宋体" w:cs="宋体"/>
                <w:color w:val="auto"/>
                <w:kern w:val="0"/>
                <w:sz w:val="21"/>
                <w:szCs w:val="21"/>
                <w:highlight w:val="none"/>
              </w:rPr>
              <w:t>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2" w:hRule="atLeast"/>
          <w:jc w:val="center"/>
        </w:trPr>
        <w:tc>
          <w:tcPr>
            <w:tcW w:w="1271"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车位数</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地面车位数</w:t>
            </w:r>
          </w:p>
        </w:tc>
        <w:tc>
          <w:tcPr>
            <w:tcW w:w="4299" w:type="dxa"/>
            <w:shd w:val="clear" w:color="auto" w:fill="auto"/>
            <w:vAlign w:val="center"/>
          </w:tcPr>
          <w:p>
            <w:pPr>
              <w:widowControl/>
              <w:numPr>
                <w:ilvl w:val="0"/>
                <w:numId w:val="5"/>
              </w:numPr>
              <w:spacing w:line="430" w:lineRule="exact"/>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地面车位</w:t>
            </w:r>
            <w:r>
              <w:rPr>
                <w:rFonts w:hint="eastAsia" w:ascii="仿宋_GB2312" w:hAnsi="仿宋_GB2312" w:eastAsia="仿宋_GB2312" w:cs="仿宋_GB2312"/>
                <w:color w:val="auto"/>
                <w:kern w:val="0"/>
                <w:sz w:val="21"/>
                <w:szCs w:val="21"/>
                <w:highlight w:val="none"/>
                <w:lang w:val="en"/>
              </w:rPr>
              <w:t>693</w:t>
            </w:r>
            <w:r>
              <w:rPr>
                <w:rFonts w:hint="eastAsia" w:ascii="宋体" w:hAnsi="宋体" w:eastAsia="宋体" w:cs="宋体"/>
                <w:color w:val="auto"/>
                <w:kern w:val="0"/>
                <w:sz w:val="21"/>
                <w:szCs w:val="21"/>
                <w:highlight w:val="none"/>
                <w:lang w:val="en-US" w:eastAsia="zh-CN"/>
              </w:rPr>
              <w:t xml:space="preserve"> </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eastAsia="zh-CN"/>
              </w:rPr>
              <w:t>；</w:t>
            </w:r>
          </w:p>
          <w:p>
            <w:pPr>
              <w:widowControl/>
              <w:numPr>
                <w:ilvl w:val="0"/>
                <w:numId w:val="5"/>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地面车位</w:t>
            </w:r>
            <w:r>
              <w:rPr>
                <w:rFonts w:hint="eastAsia" w:ascii="宋体" w:hAnsi="宋体" w:eastAsia="宋体" w:cs="宋体"/>
                <w:color w:val="auto"/>
                <w:kern w:val="0"/>
                <w:sz w:val="21"/>
                <w:szCs w:val="21"/>
                <w:highlight w:val="none"/>
                <w:lang w:val="en-US" w:eastAsia="zh-CN"/>
              </w:rPr>
              <w:t>40</w:t>
            </w:r>
            <w:r>
              <w:rPr>
                <w:rFonts w:hint="eastAsia" w:ascii="宋体" w:hAnsi="宋体" w:eastAsia="宋体" w:cs="宋体"/>
                <w:color w:val="auto"/>
                <w:kern w:val="0"/>
                <w:sz w:val="21"/>
                <w:szCs w:val="21"/>
                <w:highlight w:val="none"/>
              </w:rPr>
              <w:t>个</w:t>
            </w:r>
            <w:r>
              <w:rPr>
                <w:rFonts w:hint="eastAsia" w:ascii="宋体" w:hAnsi="宋体" w:eastAsia="宋体" w:cs="宋体"/>
                <w:color w:val="auto"/>
                <w:kern w:val="0"/>
                <w:sz w:val="21"/>
                <w:szCs w:val="21"/>
                <w:highlight w:val="none"/>
                <w:lang w:eastAsia="zh-CN"/>
              </w:rPr>
              <w:t>；</w:t>
            </w:r>
          </w:p>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地面车位</w:t>
            </w:r>
            <w:r>
              <w:rPr>
                <w:rFonts w:hint="eastAsia" w:ascii="宋体" w:hAnsi="宋体" w:eastAsia="宋体" w:cs="宋体"/>
                <w:color w:val="auto"/>
                <w:kern w:val="0"/>
                <w:sz w:val="21"/>
                <w:szCs w:val="21"/>
                <w:highlight w:val="none"/>
                <w:lang w:val="en-US" w:eastAsia="zh-CN"/>
              </w:rPr>
              <w:t xml:space="preserve"> 30</w:t>
            </w:r>
            <w:r>
              <w:rPr>
                <w:rFonts w:hint="eastAsia" w:ascii="宋体" w:hAnsi="宋体" w:eastAsia="宋体" w:cs="宋体"/>
                <w:color w:val="auto"/>
                <w:kern w:val="0"/>
                <w:sz w:val="21"/>
                <w:szCs w:val="21"/>
                <w:highlight w:val="none"/>
              </w:rPr>
              <w:t>个。</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6</w:t>
            </w:r>
            <w:r>
              <w:rPr>
                <w:rFonts w:hint="eastAsia" w:ascii="宋体" w:hAnsi="宋体" w:eastAsia="宋体" w:cs="宋体"/>
                <w:color w:val="auto"/>
                <w:kern w:val="0"/>
                <w:sz w:val="21"/>
                <w:szCs w:val="21"/>
                <w:highlight w:val="none"/>
              </w:rPr>
              <w:t>保安服务” 见“3.</w:t>
            </w:r>
            <w:r>
              <w:rPr>
                <w:rFonts w:hint="default" w:ascii="宋体" w:hAnsi="宋体" w:eastAsia="宋体" w:cs="宋体"/>
                <w:color w:val="auto"/>
                <w:kern w:val="0"/>
                <w:sz w:val="21"/>
                <w:szCs w:val="21"/>
                <w:highlight w:val="none"/>
                <w:lang w:val="en"/>
              </w:rPr>
              <w:t>4</w:t>
            </w:r>
            <w:r>
              <w:rPr>
                <w:rFonts w:hint="eastAsia" w:ascii="宋体" w:hAnsi="宋体" w:eastAsia="宋体" w:cs="宋体"/>
                <w:color w:val="auto"/>
                <w:kern w:val="0"/>
                <w:sz w:val="21"/>
                <w:szCs w:val="21"/>
                <w:highlight w:val="none"/>
              </w:rPr>
              <w:t>保洁服务”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9" w:hRule="atLeast"/>
          <w:jc w:val="center"/>
        </w:trPr>
        <w:tc>
          <w:tcPr>
            <w:tcW w:w="1271" w:type="dxa"/>
            <w:vMerge w:val="restart"/>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设施设备</w:t>
            </w: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电梯系统</w:t>
            </w:r>
          </w:p>
        </w:tc>
        <w:tc>
          <w:tcPr>
            <w:tcW w:w="4299" w:type="dxa"/>
            <w:shd w:val="clear" w:color="auto" w:fill="auto"/>
            <w:vAlign w:val="center"/>
          </w:tcPr>
          <w:p>
            <w:pPr>
              <w:widowControl/>
              <w:numPr>
                <w:ilvl w:val="0"/>
                <w:numId w:val="0"/>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）行政中心：</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6 </w:t>
            </w:r>
            <w:r>
              <w:rPr>
                <w:rFonts w:hint="eastAsia" w:ascii="宋体" w:hAnsi="宋体" w:eastAsia="宋体" w:cs="宋体"/>
                <w:color w:val="auto"/>
                <w:kern w:val="0"/>
                <w:sz w:val="21"/>
                <w:szCs w:val="21"/>
                <w:highlight w:val="none"/>
              </w:rPr>
              <w:t>台</w:t>
            </w:r>
            <w:r>
              <w:rPr>
                <w:rFonts w:hint="eastAsia" w:ascii="宋体" w:hAnsi="宋体" w:eastAsia="宋体" w:cs="宋体"/>
                <w:color w:val="auto"/>
                <w:sz w:val="21"/>
                <w:szCs w:val="21"/>
                <w:lang w:eastAsia="zh-CN"/>
              </w:rPr>
              <w:t>；</w:t>
            </w:r>
          </w:p>
          <w:p>
            <w:pPr>
              <w:widowControl/>
              <w:numPr>
                <w:ilvl w:val="0"/>
                <w:numId w:val="0"/>
              </w:numPr>
              <w:spacing w:line="430" w:lineRule="exact"/>
              <w:rPr>
                <w:rFonts w:hint="eastAsia" w:ascii="宋体" w:hAnsi="宋体" w:eastAsia="宋体" w:cs="宋体"/>
                <w:color w:val="auto"/>
                <w:sz w:val="21"/>
                <w:szCs w:val="21"/>
                <w:lang w:eastAsia="zh-CN"/>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2  </w:t>
            </w:r>
            <w:r>
              <w:rPr>
                <w:rFonts w:hint="eastAsia" w:ascii="宋体" w:hAnsi="宋体" w:eastAsia="宋体" w:cs="宋体"/>
                <w:color w:val="auto"/>
                <w:kern w:val="0"/>
                <w:sz w:val="21"/>
                <w:szCs w:val="21"/>
                <w:highlight w:val="none"/>
              </w:rPr>
              <w:t>台</w:t>
            </w:r>
            <w:r>
              <w:rPr>
                <w:rFonts w:hint="eastAsia" w:ascii="宋体" w:hAnsi="宋体" w:eastAsia="宋体" w:cs="宋体"/>
                <w:color w:val="auto"/>
                <w:sz w:val="21"/>
                <w:szCs w:val="21"/>
                <w:lang w:eastAsia="zh-CN"/>
              </w:rPr>
              <w:t>；</w:t>
            </w:r>
          </w:p>
          <w:p>
            <w:pPr>
              <w:widowControl/>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w:t>
            </w:r>
            <w:r>
              <w:rPr>
                <w:rFonts w:hint="eastAsia" w:ascii="宋体" w:hAnsi="宋体" w:eastAsia="宋体" w:cs="宋体"/>
                <w:color w:val="auto"/>
                <w:kern w:val="0"/>
                <w:sz w:val="21"/>
                <w:szCs w:val="21"/>
                <w:highlight w:val="none"/>
              </w:rPr>
              <w:t>客梯</w:t>
            </w:r>
            <w:r>
              <w:rPr>
                <w:rFonts w:hint="eastAsia" w:ascii="宋体" w:hAnsi="宋体" w:eastAsia="宋体" w:cs="宋体"/>
                <w:color w:val="auto"/>
                <w:kern w:val="0"/>
                <w:sz w:val="21"/>
                <w:szCs w:val="21"/>
                <w:highlight w:val="none"/>
                <w:lang w:val="en-US" w:eastAsia="zh-CN"/>
              </w:rPr>
              <w:t xml:space="preserve">  2 </w:t>
            </w:r>
            <w:r>
              <w:rPr>
                <w:rFonts w:hint="eastAsia" w:ascii="宋体" w:hAnsi="宋体" w:eastAsia="宋体" w:cs="宋体"/>
                <w:color w:val="auto"/>
                <w:kern w:val="0"/>
                <w:sz w:val="21"/>
                <w:szCs w:val="21"/>
                <w:highlight w:val="none"/>
              </w:rPr>
              <w:t>台</w:t>
            </w:r>
            <w:r>
              <w:rPr>
                <w:rFonts w:hint="eastAsia" w:ascii="宋体" w:hAnsi="宋体" w:eastAsia="宋体" w:cs="宋体"/>
                <w:color w:val="auto"/>
                <w:kern w:val="0"/>
                <w:sz w:val="21"/>
                <w:szCs w:val="21"/>
                <w:highlight w:val="none"/>
                <w:lang w:eastAsia="zh-CN"/>
              </w:rPr>
              <w:t>。</w:t>
            </w: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见“3.</w:t>
            </w:r>
            <w:r>
              <w:rPr>
                <w:rFonts w:hint="default" w:ascii="宋体" w:hAnsi="宋体" w:eastAsia="宋体" w:cs="宋体"/>
                <w:color w:val="auto"/>
                <w:kern w:val="0"/>
                <w:sz w:val="21"/>
                <w:szCs w:val="21"/>
                <w:highlight w:val="none"/>
                <w:lang w:val="en"/>
              </w:rPr>
              <w:t>4</w:t>
            </w:r>
            <w:r>
              <w:rPr>
                <w:rFonts w:hint="eastAsia" w:ascii="宋体" w:hAnsi="宋体" w:eastAsia="宋体" w:cs="宋体"/>
                <w:color w:val="auto"/>
                <w:kern w:val="0"/>
                <w:sz w:val="21"/>
                <w:szCs w:val="21"/>
                <w:highlight w:val="none"/>
              </w:rPr>
              <w:t>保洁服务”</w:t>
            </w:r>
          </w:p>
          <w:p>
            <w:pPr>
              <w:widowControl/>
              <w:spacing w:line="430" w:lineRule="exact"/>
              <w:jc w:val="left"/>
              <w:rPr>
                <w:rFonts w:hint="eastAsia" w:ascii="宋体" w:hAnsi="宋体" w:eastAsia="宋体" w:cs="宋体"/>
                <w:color w:val="auto"/>
                <w:kern w:val="0"/>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7" w:hRule="atLeast"/>
          <w:jc w:val="center"/>
        </w:trPr>
        <w:tc>
          <w:tcPr>
            <w:tcW w:w="1271" w:type="dxa"/>
            <w:vMerge w:val="continue"/>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tc>
        <w:tc>
          <w:tcPr>
            <w:tcW w:w="1796"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rPr>
              <w:t>空调系统</w:t>
            </w:r>
          </w:p>
        </w:tc>
        <w:tc>
          <w:tcPr>
            <w:tcW w:w="4299" w:type="dxa"/>
            <w:shd w:val="clear" w:color="auto" w:fill="auto"/>
            <w:vAlign w:val="center"/>
          </w:tcPr>
          <w:p>
            <w:pPr>
              <w:widowControl/>
              <w:rPr>
                <w:rFonts w:hint="eastAsia" w:ascii="宋体" w:hAnsi="宋体" w:eastAsia="宋体" w:cs="宋体"/>
                <w:color w:val="auto"/>
                <w:sz w:val="21"/>
                <w:szCs w:val="21"/>
                <w:highlight w:val="none"/>
                <w:lang w:eastAsia="zh-CN"/>
              </w:rPr>
            </w:pPr>
            <w:r>
              <w:rPr>
                <w:rFonts w:hint="eastAsia" w:ascii="宋体" w:hAnsi="宋体" w:eastAsia="宋体" w:cs="宋体"/>
                <w:strike w:val="0"/>
                <w:dstrike w:val="0"/>
                <w:color w:val="auto"/>
                <w:sz w:val="21"/>
                <w:szCs w:val="21"/>
                <w:lang w:eastAsia="zh-CN"/>
              </w:rPr>
              <w:t>（</w:t>
            </w:r>
            <w:r>
              <w:rPr>
                <w:rFonts w:hint="eastAsia" w:ascii="宋体" w:hAnsi="宋体" w:eastAsia="宋体" w:cs="宋体"/>
                <w:strike w:val="0"/>
                <w:dstrike w:val="0"/>
                <w:color w:val="auto"/>
                <w:sz w:val="21"/>
                <w:szCs w:val="21"/>
                <w:lang w:val="en-US" w:eastAsia="zh-CN"/>
              </w:rPr>
              <w:t>1</w:t>
            </w:r>
            <w:r>
              <w:rPr>
                <w:rFonts w:hint="eastAsia" w:ascii="宋体" w:hAnsi="宋体" w:eastAsia="宋体" w:cs="宋体"/>
                <w:strike w:val="0"/>
                <w:dstrike w:val="0"/>
                <w:color w:val="auto"/>
                <w:sz w:val="21"/>
                <w:szCs w:val="21"/>
                <w:lang w:eastAsia="zh-CN"/>
              </w:rPr>
              <w:t>）</w:t>
            </w:r>
            <w:r>
              <w:rPr>
                <w:rFonts w:hint="eastAsia" w:ascii="宋体" w:hAnsi="宋体" w:eastAsia="宋体" w:cs="宋体"/>
                <w:color w:val="auto"/>
                <w:sz w:val="21"/>
                <w:szCs w:val="21"/>
                <w:lang w:eastAsia="zh-CN"/>
              </w:rPr>
              <w:t>行政中心：</w:t>
            </w:r>
            <w:r>
              <w:rPr>
                <w:rFonts w:hint="eastAsia" w:ascii="宋体" w:hAnsi="宋体" w:eastAsia="宋体" w:cs="宋体"/>
                <w:color w:val="auto"/>
                <w:sz w:val="21"/>
                <w:szCs w:val="21"/>
                <w:highlight w:val="none"/>
              </w:rPr>
              <w:t>中央空调</w:t>
            </w:r>
            <w:r>
              <w:rPr>
                <w:rFonts w:hint="eastAsia" w:ascii="宋体" w:hAnsi="宋体" w:eastAsia="宋体" w:cs="宋体"/>
                <w:color w:val="auto"/>
                <w:sz w:val="21"/>
                <w:szCs w:val="21"/>
                <w:highlight w:val="none"/>
                <w:lang w:eastAsia="zh-CN"/>
              </w:rPr>
              <w:t>，分体空调</w:t>
            </w:r>
          </w:p>
          <w:p>
            <w:pPr>
              <w:widowControl/>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档案馆</w:t>
            </w:r>
            <w:r>
              <w:rPr>
                <w:rFonts w:hint="eastAsia" w:ascii="宋体" w:hAnsi="宋体" w:eastAsia="宋体" w:cs="宋体"/>
                <w:color w:val="auto"/>
                <w:sz w:val="21"/>
                <w:szCs w:val="21"/>
              </w:rPr>
              <w:t>：</w:t>
            </w:r>
            <w:r>
              <w:rPr>
                <w:rFonts w:hint="eastAsia" w:ascii="宋体" w:hAnsi="宋体" w:eastAsia="宋体" w:cs="宋体"/>
                <w:color w:val="auto"/>
                <w:sz w:val="21"/>
                <w:szCs w:val="21"/>
                <w:lang w:eastAsia="zh-CN"/>
              </w:rPr>
              <w:t>分体</w:t>
            </w:r>
            <w:r>
              <w:rPr>
                <w:rFonts w:hint="eastAsia" w:ascii="宋体" w:hAnsi="宋体" w:eastAsia="宋体" w:cs="宋体"/>
                <w:color w:val="auto"/>
                <w:sz w:val="21"/>
                <w:szCs w:val="21"/>
                <w:highlight w:val="none"/>
              </w:rPr>
              <w:t>空调；</w:t>
            </w:r>
          </w:p>
          <w:p>
            <w:pPr>
              <w:widowControl/>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3</w:t>
            </w:r>
            <w:r>
              <w:rPr>
                <w:rFonts w:hint="eastAsia" w:ascii="宋体" w:hAnsi="宋体" w:eastAsia="宋体" w:cs="宋体"/>
                <w:color w:val="auto"/>
                <w:kern w:val="0"/>
                <w:sz w:val="21"/>
                <w:szCs w:val="21"/>
                <w:highlight w:val="none"/>
                <w:lang w:eastAsia="zh-CN"/>
              </w:rPr>
              <w:t>）公寓小区：分体</w:t>
            </w:r>
            <w:r>
              <w:rPr>
                <w:rFonts w:hint="eastAsia" w:ascii="宋体" w:hAnsi="宋体" w:eastAsia="宋体" w:cs="宋体"/>
                <w:color w:val="auto"/>
                <w:sz w:val="21"/>
                <w:szCs w:val="21"/>
                <w:highlight w:val="none"/>
              </w:rPr>
              <w:t>空调</w:t>
            </w:r>
            <w:r>
              <w:rPr>
                <w:rFonts w:hint="eastAsia" w:ascii="宋体" w:hAnsi="宋体" w:eastAsia="宋体" w:cs="宋体"/>
                <w:color w:val="auto"/>
                <w:sz w:val="21"/>
                <w:szCs w:val="21"/>
                <w:highlight w:val="none"/>
                <w:lang w:eastAsia="zh-CN"/>
              </w:rPr>
              <w:t>。</w:t>
            </w:r>
          </w:p>
          <w:p>
            <w:pPr>
              <w:widowControl/>
              <w:rPr>
                <w:rFonts w:hint="eastAsia" w:ascii="宋体" w:hAnsi="宋体" w:eastAsia="宋体" w:cs="宋体"/>
                <w:color w:val="auto"/>
                <w:kern w:val="0"/>
                <w:sz w:val="21"/>
                <w:szCs w:val="21"/>
                <w:highlight w:val="none"/>
              </w:rPr>
            </w:pPr>
          </w:p>
        </w:tc>
        <w:tc>
          <w:tcPr>
            <w:tcW w:w="2268" w:type="dxa"/>
            <w:shd w:val="clear" w:color="auto" w:fill="auto"/>
            <w:vAlign w:val="center"/>
          </w:tcPr>
          <w:p>
            <w:pPr>
              <w:widowControl/>
              <w:spacing w:line="430" w:lineRule="exact"/>
              <w:jc w:val="left"/>
              <w:rPr>
                <w:rFonts w:hint="eastAsia" w:ascii="宋体" w:hAnsi="宋体" w:eastAsia="宋体" w:cs="宋体"/>
                <w:color w:val="auto"/>
                <w:kern w:val="0"/>
                <w:sz w:val="21"/>
                <w:szCs w:val="21"/>
                <w:highlight w:val="none"/>
              </w:rPr>
            </w:pPr>
          </w:p>
          <w:p>
            <w:pPr>
              <w:widowControl/>
              <w:spacing w:line="430" w:lineRule="exact"/>
              <w:jc w:val="left"/>
              <w:rPr>
                <w:rFonts w:hint="eastAsia" w:ascii="宋体" w:hAnsi="宋体" w:eastAsia="宋体" w:cs="宋体"/>
                <w:color w:val="auto"/>
                <w:kern w:val="0"/>
                <w:sz w:val="21"/>
                <w:szCs w:val="21"/>
                <w:highlight w:val="none"/>
              </w:rPr>
            </w:pPr>
          </w:p>
        </w:tc>
      </w:tr>
    </w:tbl>
    <w:p>
      <w:pPr>
        <w:numPr>
          <w:ilvl w:val="0"/>
          <w:numId w:val="0"/>
        </w:numPr>
        <w:rPr>
          <w:rFonts w:hint="eastAsia" w:ascii="宋体" w:hAnsi="宋体" w:eastAsia="宋体" w:cs="宋体"/>
          <w:color w:val="auto"/>
          <w:sz w:val="21"/>
          <w:szCs w:val="21"/>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（2）物业管理（室外）</w:t>
      </w:r>
    </w:p>
    <w:tbl>
      <w:tblPr>
        <w:tblStyle w:val="49"/>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3487"/>
        <w:gridCol w:w="45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lang w:val="en-US" w:eastAsia="zh-CN"/>
              </w:rPr>
              <w:t>名称</w:t>
            </w:r>
          </w:p>
        </w:tc>
        <w:tc>
          <w:tcPr>
            <w:tcW w:w="3488"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sz w:val="21"/>
                <w:szCs w:val="21"/>
                <w:highlight w:val="none"/>
              </w:rPr>
              <w:t>明细</w:t>
            </w:r>
          </w:p>
        </w:tc>
        <w:tc>
          <w:tcPr>
            <w:tcW w:w="4505" w:type="dxa"/>
            <w:noWrap w:val="0"/>
            <w:vAlign w:val="center"/>
          </w:tcPr>
          <w:p>
            <w:pPr>
              <w:pageBreakBefore w:val="0"/>
              <w:kinsoku/>
              <w:wordWrap/>
              <w:overflowPunct/>
              <w:topLinePunct w:val="0"/>
              <w:bidi w:val="0"/>
              <w:snapToGrid w:val="0"/>
              <w:spacing w:line="300" w:lineRule="auto"/>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服务内容及标准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路灯</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120座</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消防栓</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default" w:ascii="宋体" w:hAnsi="宋体" w:eastAsia="宋体" w:cs="宋体"/>
                <w:color w:val="auto"/>
                <w:sz w:val="21"/>
                <w:szCs w:val="21"/>
                <w:highlight w:val="none"/>
                <w:lang w:val="en" w:eastAsia="zh-CN"/>
              </w:rPr>
              <w:t>9</w:t>
            </w:r>
            <w:r>
              <w:rPr>
                <w:rFonts w:hint="eastAsia" w:ascii="宋体" w:hAnsi="宋体" w:eastAsia="宋体" w:cs="宋体"/>
                <w:color w:val="auto"/>
                <w:sz w:val="21"/>
                <w:szCs w:val="21"/>
                <w:highlight w:val="none"/>
                <w:lang w:val="en-US" w:eastAsia="zh-CN"/>
              </w:rPr>
              <w:t>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垃圾箱</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30个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室外配电箱</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10个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监控</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165个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854"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指示牌、显示屏</w:t>
            </w:r>
          </w:p>
        </w:tc>
        <w:tc>
          <w:tcPr>
            <w:tcW w:w="348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lang w:val="en-US" w:eastAsia="zh-CN"/>
              </w:rPr>
              <w:t>指示牌12个、显示屏6个</w:t>
            </w:r>
          </w:p>
        </w:tc>
        <w:tc>
          <w:tcPr>
            <w:tcW w:w="4505"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见“3.4保洁服务”</w:t>
            </w:r>
            <w:r>
              <w:rPr>
                <w:rFonts w:hint="eastAsia" w:ascii="宋体" w:hAnsi="宋体" w:eastAsia="宋体" w:cs="宋体"/>
                <w:color w:val="auto"/>
                <w:sz w:val="21"/>
                <w:szCs w:val="21"/>
                <w:highlight w:val="none"/>
                <w:lang w:val="en-US" w:eastAsia="zh-CN"/>
              </w:rPr>
              <w:t>“3.3共用设施设备维护服务”</w:t>
            </w:r>
          </w:p>
        </w:tc>
      </w:tr>
    </w:tbl>
    <w:p>
      <w:pPr>
        <w:pageBreakBefore w:val="0"/>
        <w:widowControl/>
        <w:kinsoku/>
        <w:wordWrap/>
        <w:overflowPunct/>
        <w:topLinePunct w:val="0"/>
        <w:bidi w:val="0"/>
        <w:snapToGrid w:val="0"/>
        <w:spacing w:line="300" w:lineRule="auto"/>
        <w:jc w:val="left"/>
        <w:rPr>
          <w:rFonts w:hint="eastAsia" w:ascii="宋体" w:hAnsi="宋体" w:eastAsia="宋体" w:cs="宋体"/>
          <w:color w:val="auto"/>
          <w:kern w:val="2"/>
          <w:sz w:val="21"/>
          <w:szCs w:val="21"/>
          <w:highlight w:val="none"/>
          <w:u w:val="none"/>
          <w:lang w:val="en-US" w:eastAsia="zh-CN" w:bidi="ar-SA"/>
        </w:rPr>
      </w:pPr>
    </w:p>
    <w:p>
      <w:pPr>
        <w:pageBreakBefore w:val="0"/>
        <w:widowControl/>
        <w:kinsoku/>
        <w:wordWrap/>
        <w:overflowPunct/>
        <w:topLinePunct w:val="0"/>
        <w:bidi w:val="0"/>
        <w:snapToGrid w:val="0"/>
        <w:spacing w:line="300" w:lineRule="auto"/>
        <w:ind w:left="0" w:firstLine="420" w:firstLineChars="200"/>
        <w:jc w:val="left"/>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kern w:val="2"/>
          <w:sz w:val="21"/>
          <w:szCs w:val="21"/>
          <w:highlight w:val="none"/>
          <w:u w:val="none"/>
          <w:lang w:val="en-US" w:eastAsia="zh-CN" w:bidi="ar-SA"/>
        </w:rPr>
        <w:t>注：以上内容体现需要供应商进行物业管理的物业的情况、边界、范围。指标的设置要充分考虑可能影响供应商报价和项目实施风险的因素。</w:t>
      </w:r>
    </w:p>
    <w:p>
      <w:pPr>
        <w:pStyle w:val="2"/>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3.物业管理服务内容及标准</w:t>
      </w:r>
    </w:p>
    <w:p>
      <w:pPr>
        <w:rPr>
          <w:rFonts w:hint="eastAsia"/>
          <w:color w:val="auto"/>
          <w:lang w:val="en-US" w:eastAsia="zh-CN"/>
        </w:rPr>
      </w:pPr>
      <w:r>
        <w:rPr>
          <w:rFonts w:hint="eastAsia"/>
          <w:color w:val="auto"/>
          <w:lang w:val="en-US" w:eastAsia="zh-CN"/>
        </w:rPr>
        <w:t>物业管理服务包括公共区域的安全保卫、车辆管理、公共秩序管理服务；保洁、绿化、水电管理、设备设施管理维护；公共会议室的会务服务、办公室水电维修服务等。</w:t>
      </w:r>
    </w:p>
    <w:p>
      <w:pPr>
        <w:pStyle w:val="4"/>
        <w:rPr>
          <w:rFonts w:hint="eastAsia" w:eastAsia="宋体" w:cs="Times New Roman"/>
          <w:color w:val="auto"/>
          <w:kern w:val="2"/>
          <w:szCs w:val="20"/>
          <w:highlight w:val="none"/>
          <w:lang w:val="en-US" w:eastAsia="zh-CN" w:bidi="ar"/>
        </w:rPr>
      </w:pPr>
      <w:r>
        <w:rPr>
          <w:rFonts w:hint="eastAsia"/>
          <w:color w:val="auto"/>
          <w:highlight w:val="none"/>
          <w:lang w:val="en-US" w:eastAsia="zh-CN"/>
        </w:rPr>
        <w:t>3.</w:t>
      </w:r>
      <w:r>
        <w:rPr>
          <w:rFonts w:hint="eastAsia" w:cs="Times New Roman"/>
          <w:color w:val="auto"/>
          <w:kern w:val="2"/>
          <w:szCs w:val="20"/>
          <w:highlight w:val="none"/>
          <w:lang w:val="en-US" w:eastAsia="zh-CN" w:bidi="ar"/>
        </w:rPr>
        <w:t>1</w:t>
      </w:r>
      <w:r>
        <w:rPr>
          <w:rFonts w:hint="eastAsia" w:eastAsia="宋体" w:cs="Times New Roman"/>
          <w:color w:val="auto"/>
          <w:kern w:val="2"/>
          <w:szCs w:val="20"/>
          <w:highlight w:val="none"/>
          <w:lang w:val="en-US" w:eastAsia="zh-CN" w:bidi="ar"/>
        </w:rPr>
        <w:t>基本服务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2"/>
        <w:gridCol w:w="2231"/>
        <w:gridCol w:w="67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bookmarkStart w:id="46" w:name="_Toc26417"/>
            <w:bookmarkStart w:id="47" w:name="_Toc12052"/>
            <w:bookmarkStart w:id="48" w:name="_Toc27983"/>
            <w:r>
              <w:rPr>
                <w:rFonts w:hint="eastAsia" w:ascii="宋体" w:hAnsi="宋体" w:eastAsia="宋体" w:cs="宋体"/>
                <w:b/>
                <w:bCs/>
                <w:color w:val="auto"/>
                <w:kern w:val="0"/>
                <w:sz w:val="21"/>
                <w:szCs w:val="21"/>
                <w:highlight w:val="none"/>
                <w:lang w:val="en-US" w:eastAsia="zh-CN"/>
              </w:rPr>
              <w:t>序号</w:t>
            </w:r>
          </w:p>
        </w:tc>
        <w:tc>
          <w:tcPr>
            <w:tcW w:w="2231"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31" w:type="dxa"/>
            <w:vMerge w:val="restart"/>
            <w:tcBorders>
              <w:top w:val="single" w:color="000000" w:sz="8" w:space="0"/>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目标与责任</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（1）结合采购人要求及物业服务实际情况，制定年度管理目标，明确责任分工，并制定配套实施方案。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left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rPr>
              <w:t>协助做好服务区域内的维稳工作和社会治安综合治理，负责服务区域内安全保卫、安全生产、治安处置。突发事件和消防安全等工作，维护服务区域安全秩序。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rPr>
              <w:t>服务标准：协助处理突发事件果断及时；门卫值班按章办事、把关严格、准确无误；监控、巡逻责任心强，发现问题及时上报处置；参与重大安保事务无差错；安全生产、车辆秩序维护井然有序。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服务人员要求</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（1）每季度至少开展1次岗位技能、职业素质、服务知识、客户文化、绿色节能环保等教育培训，并进行适当形式的考核。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（2）根据采购人要求对服务人员进行从业资格审查，审查结果向采购人报备。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Cs/>
                <w:color w:val="auto"/>
                <w:sz w:val="21"/>
                <w:szCs w:val="21"/>
                <w:highlight w:val="none"/>
                <w:lang w:val="en-US" w:eastAsia="zh-CN"/>
              </w:rPr>
              <w:t>服务人员的年龄、学历、工作经验及资格条件须与所在岗位能力要求相匹配，到岗前须经过必要的岗前培训以达到岗位能力要求，国家、行业规定应取得职业资格证书或特种作业证书的，应按规定持证上岗。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bCs/>
                <w:color w:val="auto"/>
                <w:sz w:val="21"/>
                <w:szCs w:val="21"/>
                <w:highlight w:val="none"/>
                <w:lang w:val="en-US" w:eastAsia="zh-CN"/>
              </w:rPr>
              <w:t>如采购人认为服务人员不适应岗位要求或存在其他影响工作的，可要求供应商进行调换。如因供应商原因对服务人员进行调换，须经采购人同意，更换比例不得超过本项目服务人员总数的20%。本项目服务人员不得在其他项目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（5）着装分类统一，佩戴标识。仪容整洁、姿态端正、举止文明。用语文明礼貌，态度温和耐心。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（6）协助做好维稳工作，报告、调解、制止群体上访事件，参与采购人单位重大节日及重大活动的维稳工作。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（7）负责服务区内安全保卫和社会治安综合治理管理工作。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（8）负责办公区门卫登记及24小时值班，办公区24小时巡逻。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（9）负责办公大院安防、消防、监控24小时值班。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（10）负责来访人员的登记核查、大件物品进出审批放行、车辆出入检查工作。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（11）负责维持车辆停放、维护行驶秩序，在大型活动及重要会议召开期间，上下班高峰期等时段设专人指挥车辆行驶。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（12）参与采购人单位组织的安全、消防检查活动，并要求安保人员能正确熟练掌握各种消防、物防、技防等设备的使用方法。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（13）协助做好安防设施、电器设备的安全运行、维护保养及电梯故障处理工作。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（14）积极配合采购人单位完成临时性安保任务（如升国旗仪式、大门横幅悬挂等）。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（15）协助辖区公安处理治安案件。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保密和思想政治教育</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（1）建立保密管理制度。制度内容应包括但不限于：①明确重点要害岗位保密职责。②对涉密工作岗位的保密要求。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（2）根据采购人要求与涉密工作岗位的服务人员签订保密协议。保密协议应向采购人报备。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季度至少开展1次对服务人员进行保密、思想政治教育的培训，提高服务人员保密意识和思想政治意识。新入职员工应接受保密、思想政治教育培训，进行必要的人员经历审查，合格后签订保密协议方可上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bidi w:val="0"/>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（4）发现服务人员违法违规或重大过失，及时报告采购人，并采取必要补救措施。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档案管理</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（1）建立物业信息，准确、及时地对文件资料和服务记录进行归档保存，并确保其物理安全。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档案和记录齐全，包括但不限于：①采购人建议与投诉等。教育培训和考核记录。保密、思想政治教育培训记录。②房屋维护服务：房屋装修、维保记录等。③共用设施设备维护服务：设备台账、设备卡、使用说明、维保记录、巡查记录、</w:t>
            </w:r>
            <w:r>
              <w:rPr>
                <w:rFonts w:hint="eastAsia" w:ascii="宋体" w:hAnsi="宋体" w:eastAsia="宋体" w:cs="宋体"/>
                <w:color w:val="auto"/>
                <w:kern w:val="0"/>
                <w:sz w:val="21"/>
                <w:szCs w:val="21"/>
                <w:highlight w:val="none"/>
              </w:rPr>
              <w:t>设施设备安全运行、设施设备定期巡检、维护保养、维修档案</w:t>
            </w:r>
            <w:r>
              <w:rPr>
                <w:rFonts w:hint="eastAsia" w:ascii="宋体" w:hAnsi="宋体" w:eastAsia="宋体" w:cs="宋体"/>
                <w:b w:val="0"/>
                <w:bCs w:val="0"/>
                <w:color w:val="auto"/>
                <w:kern w:val="0"/>
                <w:sz w:val="21"/>
                <w:szCs w:val="21"/>
                <w:highlight w:val="none"/>
                <w:lang w:val="en-US" w:eastAsia="zh-CN"/>
              </w:rPr>
              <w:t>等。④保安服务：监控记录、突发事件演习与处置记录等。⑤保洁服务：工作日志、清洁检查表、用品清单、客户反馈表等。⑥绿化服务：清洁整改记录、消杀记录等。⑦其他：客户信息、合同协议、信报信息登记、大件物品进出登记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（3）遵守采购人的信息、档案资料保密要求，未经许可，不得将建筑物平面图等资料转作其他用途或向其他单位、个人提供。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（4）履约结束后，相关资料交还采购人，采购人按政府采购相关规定存档。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服务改进</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（1）明确负责人，定期对物业服务过程进行自查，结合反馈意见与评价结果采取改进措施，持续提升管理与服务水平。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（2）对不合格服务进行控制，对不合格服务的原因进行识别和分析，及时采取纠正措施，消除不合格的原因，防止不合格再发生。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（3）需整改问题及时整改完成。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重大活动后勤保障</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（1）制订流程。配合采购人制订重大活动后勤保障工作流程，需对任务进行详细了解，并根据工作安排制定详细的后勤保障计划。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实施保障。按计划在关键区域和重点部位进行部署，确保任务顺利进行，对活动区域进行全面安全检查，发现并排除安全隐患，对车辆进行有序引导和管理，确保交通安全畅通，以礼貌、专业的态度对待来宾，展现良好形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（3）收尾工作。对现场进行检查，做好清理工作。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rPr>
              <w:t>应急保障预案</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u w:val="none"/>
                <w:lang w:val="en-US" w:eastAsia="zh-CN"/>
              </w:rPr>
              <w:t>重点区域及安全隐患排查。结合项目的实际情况，对重点部位及危险隐患进行排查，并建立清单/台账；应对危险隐患进行风险分析，制定相应措施进行控制或整改并定期监控；随着设施设备、服务内容的变化，及时更新清单/台账，使风险隐患始终处于受控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应急预案的建立。根据办公楼隐患排查的结果和实际情况，制定专项预案，包括但不限于：火情火警紧急处理应急预案、紧急疏散应急预案、停水停电应急预案、有限空间救援应急预案、高空作业救援应急预案、恶劣天气应对应急预案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u w:val="none"/>
                <w:lang w:val="en-US" w:eastAsia="zh-CN"/>
              </w:rPr>
              <w:t>应急预案的培训和演练。应急预案定期培训和演练，组织相关岗位每半年至少开展一次专项应急预案演练；留存培训及演练记录和影像资料，并对预案进行评价，确保与实际情况相结合。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kern w:val="0"/>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u w:val="none"/>
                <w:lang w:val="en-US" w:eastAsia="zh-CN"/>
              </w:rPr>
              <w:t>应急物资的管理。根据专项预案中的应对需要、必要的应急物资，建立清单或台账，并由专人定期对应急物资进行检查，如有应急物资不足，及时通知采购人购置齐全，确保能够随时正常使用。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服务方案及工作制度</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Cs/>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（1）制定工作制度，</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人员录用制度、</w:t>
            </w:r>
            <w:r>
              <w:rPr>
                <w:rFonts w:hint="eastAsia" w:ascii="宋体" w:hAnsi="宋体" w:eastAsia="宋体" w:cs="宋体"/>
                <w:b w:val="0"/>
                <w:bCs w:val="0"/>
                <w:color w:val="auto"/>
                <w:kern w:val="0"/>
                <w:sz w:val="21"/>
                <w:szCs w:val="21"/>
                <w:highlight w:val="none"/>
                <w:lang w:val="en-US" w:eastAsia="zh-CN"/>
              </w:rPr>
              <w:t>档案管理制度、</w:t>
            </w:r>
            <w:r>
              <w:rPr>
                <w:rFonts w:hint="eastAsia" w:ascii="宋体" w:hAnsi="宋体" w:eastAsia="宋体" w:cs="宋体"/>
                <w:bCs/>
                <w:color w:val="auto"/>
                <w:sz w:val="21"/>
                <w:szCs w:val="21"/>
                <w:highlight w:val="none"/>
              </w:rPr>
              <w:t>物业服务管理制度</w:t>
            </w:r>
            <w:r>
              <w:rPr>
                <w:rFonts w:hint="eastAsia" w:ascii="宋体" w:hAnsi="宋体" w:eastAsia="宋体" w:cs="宋体"/>
                <w:bCs/>
                <w:color w:val="auto"/>
                <w:sz w:val="21"/>
                <w:szCs w:val="21"/>
                <w:highlight w:val="none"/>
                <w:lang w:eastAsia="zh-CN"/>
              </w:rPr>
              <w:t>、</w:t>
            </w:r>
            <w:r>
              <w:rPr>
                <w:rFonts w:hint="eastAsia" w:ascii="宋体" w:hAnsi="宋体" w:eastAsia="宋体" w:cs="宋体"/>
                <w:b w:val="0"/>
                <w:bCs w:val="0"/>
                <w:color w:val="auto"/>
                <w:kern w:val="0"/>
                <w:sz w:val="21"/>
                <w:szCs w:val="21"/>
                <w:highlight w:val="none"/>
                <w:lang w:val="en-US" w:eastAsia="zh-CN"/>
              </w:rPr>
              <w:t>共用设施设备相关管理制度等</w:t>
            </w:r>
            <w:r>
              <w:rPr>
                <w:rFonts w:hint="eastAsia" w:ascii="宋体" w:hAnsi="宋体" w:eastAsia="宋体" w:cs="宋体"/>
                <w:bCs/>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w:t>
            </w:r>
            <w:r>
              <w:rPr>
                <w:rFonts w:hint="eastAsia" w:ascii="宋体" w:hAnsi="宋体" w:eastAsia="宋体" w:cs="宋体"/>
                <w:bCs/>
                <w:color w:val="auto"/>
                <w:sz w:val="21"/>
                <w:szCs w:val="21"/>
                <w:highlight w:val="none"/>
              </w:rPr>
              <w:t>项目实施方案</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交接</w:t>
            </w:r>
            <w:r>
              <w:rPr>
                <w:rFonts w:hint="eastAsia" w:ascii="宋体" w:hAnsi="宋体" w:eastAsia="宋体" w:cs="宋体"/>
                <w:bCs/>
                <w:color w:val="auto"/>
                <w:sz w:val="21"/>
                <w:szCs w:val="21"/>
                <w:highlight w:val="none"/>
              </w:rPr>
              <w:t>方案、人员培训方案、人员稳定性方案、保密方案</w:t>
            </w:r>
            <w:r>
              <w:rPr>
                <w:rFonts w:hint="eastAsia" w:ascii="宋体" w:hAnsi="宋体" w:eastAsia="宋体" w:cs="宋体"/>
                <w:bCs/>
                <w:color w:val="auto"/>
                <w:sz w:val="21"/>
                <w:szCs w:val="21"/>
                <w:highlight w:val="none"/>
                <w:lang w:eastAsia="zh-CN"/>
              </w:rPr>
              <w:t>等</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（3）制定</w:t>
            </w:r>
            <w:r>
              <w:rPr>
                <w:rFonts w:hint="eastAsia" w:ascii="宋体" w:hAnsi="宋体" w:eastAsia="宋体" w:cs="宋体"/>
                <w:bCs/>
                <w:color w:val="auto"/>
                <w:sz w:val="21"/>
                <w:szCs w:val="21"/>
                <w:highlight w:val="none"/>
              </w:rPr>
              <w:t>物业服务方案</w:t>
            </w:r>
            <w:r>
              <w:rPr>
                <w:rFonts w:hint="eastAsia" w:ascii="宋体" w:hAnsi="宋体" w:eastAsia="宋体" w:cs="宋体"/>
                <w:bCs/>
                <w:color w:val="auto"/>
                <w:sz w:val="21"/>
                <w:szCs w:val="21"/>
                <w:highlight w:val="none"/>
                <w:lang w:eastAsia="zh-CN"/>
              </w:rPr>
              <w:t>，主要</w:t>
            </w:r>
            <w:r>
              <w:rPr>
                <w:rFonts w:hint="eastAsia" w:ascii="宋体" w:hAnsi="宋体" w:eastAsia="宋体" w:cs="宋体"/>
                <w:bCs/>
                <w:color w:val="auto"/>
                <w:sz w:val="21"/>
                <w:szCs w:val="21"/>
                <w:highlight w:val="none"/>
              </w:rPr>
              <w:t>包括：</w:t>
            </w:r>
            <w:r>
              <w:rPr>
                <w:rFonts w:hint="eastAsia" w:ascii="宋体" w:hAnsi="宋体" w:eastAsia="宋体" w:cs="宋体"/>
                <w:bCs/>
                <w:color w:val="auto"/>
                <w:sz w:val="21"/>
                <w:szCs w:val="21"/>
                <w:highlight w:val="none"/>
                <w:lang w:val="en-US" w:eastAsia="zh-CN"/>
              </w:rPr>
              <w:t>房屋维护服务方案、共用设施设备维护服务方案、</w:t>
            </w:r>
            <w:r>
              <w:rPr>
                <w:rFonts w:hint="eastAsia" w:ascii="宋体" w:hAnsi="宋体" w:eastAsia="宋体" w:cs="宋体"/>
                <w:bCs/>
                <w:color w:val="auto"/>
                <w:sz w:val="21"/>
                <w:szCs w:val="21"/>
                <w:highlight w:val="none"/>
              </w:rPr>
              <w:t>绿化</w:t>
            </w:r>
            <w:r>
              <w:rPr>
                <w:rFonts w:hint="eastAsia" w:ascii="宋体" w:hAnsi="宋体" w:eastAsia="宋体" w:cs="宋体"/>
                <w:bCs/>
                <w:color w:val="auto"/>
                <w:sz w:val="21"/>
                <w:szCs w:val="21"/>
                <w:highlight w:val="none"/>
                <w:lang w:val="en-US" w:eastAsia="zh-CN"/>
              </w:rPr>
              <w:t>服务</w:t>
            </w:r>
            <w:r>
              <w:rPr>
                <w:rFonts w:hint="eastAsia" w:ascii="宋体" w:hAnsi="宋体" w:eastAsia="宋体" w:cs="宋体"/>
                <w:bCs/>
                <w:color w:val="auto"/>
                <w:sz w:val="21"/>
                <w:szCs w:val="21"/>
                <w:highlight w:val="none"/>
              </w:rPr>
              <w:t>方案</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保洁服务方案、</w:t>
            </w:r>
            <w:r>
              <w:rPr>
                <w:rFonts w:hint="eastAsia" w:ascii="宋体" w:hAnsi="宋体" w:eastAsia="宋体" w:cs="宋体"/>
                <w:bCs/>
                <w:color w:val="auto"/>
                <w:sz w:val="21"/>
                <w:szCs w:val="21"/>
                <w:highlight w:val="none"/>
                <w:lang w:val="en-US" w:eastAsia="zh-CN"/>
              </w:rPr>
              <w:t>保安</w:t>
            </w:r>
            <w:r>
              <w:rPr>
                <w:rFonts w:hint="eastAsia" w:ascii="宋体" w:hAnsi="宋体" w:eastAsia="宋体" w:cs="宋体"/>
                <w:bCs/>
                <w:color w:val="auto"/>
                <w:sz w:val="21"/>
                <w:szCs w:val="21"/>
                <w:highlight w:val="none"/>
              </w:rPr>
              <w:t>服务方案、会议服务方案</w:t>
            </w:r>
            <w:r>
              <w:rPr>
                <w:rFonts w:hint="eastAsia" w:ascii="宋体" w:hAnsi="宋体" w:eastAsia="宋体" w:cs="宋体"/>
                <w:bCs/>
                <w:color w:val="auto"/>
                <w:sz w:val="21"/>
                <w:szCs w:val="21"/>
                <w:highlight w:val="none"/>
                <w:lang w:val="en-US" w:eastAsia="zh-CN"/>
              </w:rPr>
              <w:t>等</w:t>
            </w:r>
            <w:r>
              <w:rPr>
                <w:rFonts w:hint="eastAsia" w:ascii="宋体" w:hAnsi="宋体" w:eastAsia="宋体" w:cs="宋体"/>
                <w:bCs/>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信报服务</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（1）对大件物品出入进行安全检查。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（2）及时通知收件人领取。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bidi="ar-SA"/>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u w:val="none"/>
              </w:rPr>
              <w:t>大件物品出入</w:t>
            </w:r>
            <w:r>
              <w:rPr>
                <w:rFonts w:hint="eastAsia" w:ascii="宋体" w:hAnsi="宋体" w:eastAsia="宋体" w:cs="宋体"/>
                <w:color w:val="auto"/>
                <w:sz w:val="21"/>
                <w:szCs w:val="21"/>
                <w:highlight w:val="none"/>
                <w:u w:val="none"/>
                <w:lang w:val="en-US" w:eastAsia="zh-CN"/>
              </w:rPr>
              <w:t>向采购人报告，待采购人确认无误后放行</w:t>
            </w:r>
            <w:r>
              <w:rPr>
                <w:rFonts w:hint="eastAsia" w:ascii="宋体" w:hAnsi="宋体" w:eastAsia="宋体" w:cs="宋体"/>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31" w:type="dxa"/>
            <w:vMerge w:val="restart"/>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服务热线及紧急维修</w:t>
            </w: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（1）设置24小时报修服务热线。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2"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2231" w:type="dxa"/>
            <w:vMerge w:val="continue"/>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jc w:val="both"/>
              <w:textAlignment w:val="auto"/>
              <w:rPr>
                <w:rFonts w:hint="eastAsia" w:ascii="宋体" w:hAnsi="宋体" w:eastAsia="宋体" w:cs="宋体"/>
                <w:color w:val="auto"/>
                <w:sz w:val="21"/>
                <w:szCs w:val="21"/>
                <w:highlight w:val="none"/>
                <w:lang w:val="en-US" w:eastAsia="zh-CN"/>
              </w:rPr>
            </w:pPr>
          </w:p>
        </w:tc>
        <w:tc>
          <w:tcPr>
            <w:tcW w:w="6757" w:type="dxa"/>
            <w:tcBorders>
              <w:top w:val="single" w:color="000000" w:sz="8" w:space="0"/>
              <w:left w:val="single" w:color="000000" w:sz="8" w:space="0"/>
              <w:bottom w:val="single" w:color="000000" w:sz="8" w:space="0"/>
              <w:right w:val="single" w:color="000000" w:sz="8" w:space="0"/>
            </w:tcBorders>
            <w:shd w:val="clear" w:color="auto" w:fill="FFFFFF"/>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紧急维修须15分钟内到达现场，不间断维修直至修复。</w:t>
            </w:r>
          </w:p>
        </w:tc>
      </w:tr>
    </w:tbl>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3.2房屋维护服务</w:t>
      </w:r>
    </w:p>
    <w:tbl>
      <w:tblPr>
        <w:tblStyle w:val="4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2246"/>
        <w:gridCol w:w="67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46"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6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建筑部件、房屋</w:t>
            </w:r>
            <w:r>
              <w:rPr>
                <w:rFonts w:hint="eastAsia" w:ascii="宋体" w:hAnsi="宋体" w:eastAsia="宋体" w:cs="宋体"/>
                <w:color w:val="auto"/>
                <w:sz w:val="21"/>
                <w:szCs w:val="21"/>
                <w:highlight w:val="none"/>
              </w:rPr>
              <w:t>结构</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（1）每季度至少开展1次房屋结构安全巡视，发现外观有变形、开裂等现象，及时建议采购人申请房屋安全鉴定，并采取必要的避险和防护措施。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（2）每季度至少开展1次外墙贴饰面、幕墙玻璃、雨篷、散水、空调室外机支撑构件等检查，发现破损，及时向采购人报告。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（3）每月至少开展1次公用部位的门、窗、楼梯、通风道、室内地面、墙面、吊顶和室外屋面等巡查，发现破损，及时向采购人报告。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（4）每年强降雨天气前后、雨季节检查屋面防水和雨落管等，发现破损，及时向采购人报告。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4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附属设施</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（1）每月至少开展1次大门、围墙、道路、场地、管井、沟渠等巡查，每半月至少检查1次雨污水管井、化粪池等巡查，发现破损，及时向采购人报告。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u w:val="none"/>
                <w:lang w:val="en-US" w:eastAsia="zh-CN"/>
              </w:rPr>
              <w:t>路面状态良好，地漏通畅不堵塞。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46" w:type="dxa"/>
            <w:vMerge w:val="continue"/>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（3）接到采购人家具报修服务后，及时通知家具供货商对保修期内及保修期外的家具进行维修。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4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装饰装修</w:t>
            </w:r>
            <w:r>
              <w:rPr>
                <w:rFonts w:hint="eastAsia" w:ascii="宋体" w:hAnsi="宋体" w:eastAsia="宋体" w:cs="宋体"/>
                <w:color w:val="auto"/>
                <w:sz w:val="21"/>
                <w:szCs w:val="21"/>
                <w:highlight w:val="none"/>
                <w:lang w:val="en-US" w:eastAsia="zh-CN"/>
              </w:rPr>
              <w:t>监督</w:t>
            </w:r>
            <w:r>
              <w:rPr>
                <w:rFonts w:hint="eastAsia" w:ascii="宋体" w:hAnsi="宋体" w:eastAsia="宋体" w:cs="宋体"/>
                <w:color w:val="auto"/>
                <w:sz w:val="21"/>
                <w:szCs w:val="21"/>
                <w:highlight w:val="none"/>
              </w:rPr>
              <w:t>管理</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受</w:t>
            </w:r>
            <w:r>
              <w:rPr>
                <w:rFonts w:hint="eastAsia" w:ascii="宋体" w:hAnsi="宋体" w:eastAsia="宋体" w:cs="宋体"/>
                <w:b w:val="0"/>
                <w:bCs w:val="0"/>
                <w:color w:val="auto"/>
                <w:kern w:val="0"/>
                <w:sz w:val="21"/>
                <w:szCs w:val="21"/>
                <w:highlight w:val="none"/>
                <w:lang w:val="en-US" w:eastAsia="zh-CN"/>
              </w:rPr>
              <w:t>采购人</w:t>
            </w:r>
            <w:r>
              <w:rPr>
                <w:rFonts w:hint="eastAsia" w:ascii="宋体" w:hAnsi="宋体" w:eastAsia="宋体" w:cs="宋体"/>
                <w:color w:val="auto"/>
                <w:sz w:val="21"/>
                <w:szCs w:val="21"/>
                <w:highlight w:val="none"/>
                <w:u w:val="none"/>
                <w:lang w:val="en-US" w:eastAsia="zh-CN"/>
              </w:rPr>
              <w:t>委托对房屋内装修进行严格的监督管理，发现问题及时上报，确保不因装修而危及大楼结构安全、人身安全和影响正常办公秩序。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0"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46"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标识标牌</w:t>
            </w:r>
          </w:p>
        </w:tc>
        <w:tc>
          <w:tcPr>
            <w:tcW w:w="6769"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b w:val="0"/>
                <w:bCs w:val="0"/>
                <w:color w:val="auto"/>
                <w:kern w:val="0"/>
                <w:sz w:val="21"/>
                <w:szCs w:val="21"/>
                <w:highlight w:val="none"/>
                <w:lang w:val="en-US" w:eastAsia="zh-CN"/>
              </w:rPr>
              <w:t xml:space="preserve"> 每月至少检查1次标识标牌和消防与安全标识。应规范清晰、路线指引正确、安装稳固。</w:t>
            </w:r>
          </w:p>
        </w:tc>
      </w:tr>
    </w:tbl>
    <w:p>
      <w:pPr>
        <w:pStyle w:val="4"/>
        <w:bidi w:val="0"/>
        <w:ind w:left="0" w:leftChars="0" w:firstLine="0" w:firstLineChars="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3.3共用设施设备维护服务</w:t>
      </w:r>
    </w:p>
    <w:tbl>
      <w:tblPr>
        <w:tblStyle w:val="49"/>
        <w:tblW w:w="501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1"/>
        <w:gridCol w:w="2266"/>
        <w:gridCol w:w="67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66"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8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基本要求</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（1）重大节假日及恶劣天气前后，组织系统巡检1次。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（2）具备设施设备安全、稳定运行的环境和场所（含有限空间），温湿度、照度、粉尘和烟雾浓度等符合相关安全规范。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设备机房</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设备机房门口有机房类别及安全标志。落实各类机房责任人、督查人，且设备系统图、应急预案流程图、管理制度、特种作业人员资格证书等上墙文件或证书符合各设备机房国家标准规范要求，机房巡视及外来人员记录清晰完整，标识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（2）设备机房门窗、锁具应完好、有效。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（3）每半月至少开展1次清洁，整洁有序、无杂物、无积尘、无鼠、无虫害，温湿度符合设备运行要求。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（4）按各设备机房国家标准规范规定维护/保管消防、通风、应急照明、防止小动物进入等附属设施。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（5）安全防护用具配置齐全，检验合格。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（6）应急设施设备用品应齐全、完备，可随时启用。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给排水系统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（1）生活饮用水卫生符合《</w:t>
            </w:r>
            <w:r>
              <w:rPr>
                <w:rFonts w:hint="eastAsia" w:ascii="宋体" w:hAnsi="宋体" w:eastAsia="宋体" w:cs="宋体"/>
                <w:color w:val="auto"/>
                <w:kern w:val="0"/>
                <w:sz w:val="21"/>
                <w:szCs w:val="21"/>
                <w:highlight w:val="none"/>
              </w:rPr>
              <w:t>生活饮用水卫生标准</w:t>
            </w:r>
            <w:r>
              <w:rPr>
                <w:rFonts w:hint="eastAsia" w:ascii="宋体" w:hAnsi="宋体" w:eastAsia="宋体" w:cs="宋体"/>
                <w:b w:val="0"/>
                <w:bCs w:val="0"/>
                <w:color w:val="auto"/>
                <w:kern w:val="0"/>
                <w:sz w:val="21"/>
                <w:szCs w:val="21"/>
                <w:highlight w:val="none"/>
                <w:lang w:val="en-US" w:eastAsia="zh-CN"/>
              </w:rPr>
              <w:t>》（GB5749）的相关要求。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（2）二次供水卫生符合《二次供水设施卫生规范》（GB17051）的相关要求。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（3）设施设备、阀门、管道等运行正常，无跑、冒、滴、漏现象。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（4）有水泵房、水箱间的，每日至少巡视1次。每年至少养护1次水泵。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（5）遇供水单位限水、停水，按规定时间通知采购人。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（6）每季度至少开展1次对排水管进行疏通、清污，保证室内外排水系统通畅。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电梯系统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（1）电梯运行平稳、无异响、平层、开关正常。每周至少开展1次电梯的安全状况检查。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（2）电梯准用证、年检合格证等证件齐全。相关证件、紧急救援电话和乘客注意事项置于轿厢醒目位置。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（3）有电梯突发事件或事故的应急措施与救援预案，每年至少开展演练1次。电梯出现故障，物业服务人员10分钟内到场应急处理，维保专业人员30分钟内到场应急处理。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（4）到场进行救助和排除故障。电梯紧急电话保持畅通。。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（5）电梯维修、保养时在现场设置提示标识和防护围栏。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（6）根据采购人需求，合理设置电梯开启的数量、时间。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空调</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（1）空调通风系统运行管理符合《空调通风系统运行管理标准》（GB50365）的相关要求。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（2）办公楼内温湿度、空气质量等符合《室内空气质量标准》（GB/T18883）的相关要求。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（3）负责日常维保并做好记录，保证空调设施设备处于良好状态。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（4）空调运行前对冷水机组、循环水泵、冷却塔、风机等设施设备进行日常检查，运行期间每日至少开展1次运行情况巡查。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（5）每半年至少开展1次管道、阀门检查并除锈。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（6）日常开展维修养护，检查压力容器、仪表及冷却塔噪声。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（7）日常检查新风机、空气处理机滤网等清洗消毒；每2年至少开展1次风管清洗消毒。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（8）每季度至少开展1次挂机和室外支架稳固性巡查。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（9）制冷系统温度设定及启用时间符合节能要求。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color w:val="auto"/>
                <w:sz w:val="21"/>
                <w:szCs w:val="21"/>
                <w:highlight w:val="none"/>
                <w:u w:val="none"/>
                <w:lang w:val="en-US" w:eastAsia="zh-CN"/>
              </w:rPr>
              <w:t>发现故障或损坏应在30分钟内到场，紧急维修须15分钟内到达现场，12小时内维修完毕。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消防</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（1）消防设施平面图、火警疏散示意图、防火分区图等按幢设置在楼层醒目位置。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（2）消防系统各设施设备使用说明清晰，宜图文结合。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（3）自动喷水灭火系统启动正常。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（4）消火栓箱、防火门、灭火器、消防水泵、红外线报警器、应急照明、安全疏散等系统运行正常。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（5）消防监控系统运行良好，自动和手动报警设施启动正常。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（6）正压送风、防排烟系统运行正常。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w:t>
            </w:r>
            <w:r>
              <w:rPr>
                <w:rFonts w:hint="eastAsia" w:ascii="宋体" w:hAnsi="宋体" w:eastAsia="宋体" w:cs="宋体"/>
                <w:color w:val="auto"/>
                <w:sz w:val="21"/>
                <w:szCs w:val="21"/>
                <w:highlight w:val="none"/>
                <w:lang w:val="en-US" w:eastAsia="zh-CN"/>
              </w:rPr>
              <w:t>配电</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（1）建立24小时运行值班监控制度。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（2）对供电范围内的电气设备定期巡视维护，加强高低压配电柜、配电箱、控制柜及线路等重点部位监测。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（3）公共使用的照明、指示灯具线路、开关、接地等保持完好，确保用电安全。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（4）核心部位用电建立高可控用电保障和配备应急发电设备，定期维护应急发电设备。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（5）非计划性停电应在事件发生后及时通知采购人，快速恢复或启用应急电源，并做好应急事件上报及处理工作。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（6）复杂故障涉及供电部门维修处置的及时与供电部门联系，并向采购人报告。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弱电系统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（1）安全防范系统维护保养符合《安全防范系统维护保养规范》（</w:t>
            </w:r>
            <w:r>
              <w:rPr>
                <w:rFonts w:hint="eastAsia" w:ascii="宋体" w:hAnsi="宋体" w:eastAsia="宋体" w:cs="宋体"/>
                <w:color w:val="auto"/>
                <w:kern w:val="0"/>
                <w:sz w:val="21"/>
                <w:szCs w:val="21"/>
                <w:highlight w:val="none"/>
              </w:rPr>
              <w:t>GA/T 1081</w:t>
            </w:r>
            <w:r>
              <w:rPr>
                <w:rFonts w:hint="eastAsia" w:ascii="宋体" w:hAnsi="宋体" w:eastAsia="宋体" w:cs="宋体"/>
                <w:b w:val="0"/>
                <w:bCs w:val="0"/>
                <w:color w:val="auto"/>
                <w:kern w:val="0"/>
                <w:sz w:val="21"/>
                <w:szCs w:val="21"/>
                <w:highlight w:val="none"/>
                <w:lang w:val="en-US" w:eastAsia="zh-CN"/>
              </w:rPr>
              <w:t>）的相关要求。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（2）保持监控系统、门禁系统、安全防范系统等运行正常，有故障及时排除。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照明</w:t>
            </w:r>
            <w:r>
              <w:rPr>
                <w:rFonts w:hint="eastAsia" w:ascii="宋体" w:hAnsi="宋体" w:eastAsia="宋体" w:cs="宋体"/>
                <w:color w:val="auto"/>
                <w:sz w:val="21"/>
                <w:szCs w:val="21"/>
                <w:highlight w:val="none"/>
              </w:rPr>
              <w:t>系统</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（1）外观整洁无缺损、无松落。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（2）更换的照明灯具应选用节能环保产品，亮度与更换前保持一致。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（3）每周至少开展1次公共区域照明设备巡视。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rPr>
              <w:t>负责公共区域内（包括：道路、广场、活动场所、停车场、绿地、公共楼道、走廊、地下室、机房、庭院等区域）照明设施的维修更换。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rPr>
              <w:t>负责办公室照明及电器维修。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办公区水电维修保养服务</w:t>
            </w: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水电保障、水电维修、水电设备设施保养工作经常巡视检查，及时发现问题，迅速上报处理，维修快速及时，突发性重大故障维修须半小时内赶到现场，确保提供的维修更换物品质量上乘。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负责公共区域水电设备、设施维护保障。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负责公共会议室音响设备的操作</w:t>
            </w:r>
            <w:r>
              <w:rPr>
                <w:rFonts w:hint="eastAsia" w:ascii="宋体" w:hAnsi="宋体" w:eastAsia="宋体" w:cs="宋体"/>
                <w:color w:val="auto"/>
                <w:sz w:val="21"/>
                <w:szCs w:val="21"/>
                <w:lang w:eastAsia="zh-CN"/>
              </w:rPr>
              <w:t>，日常</w:t>
            </w:r>
            <w:r>
              <w:rPr>
                <w:rFonts w:hint="eastAsia" w:ascii="宋体" w:hAnsi="宋体" w:eastAsia="宋体" w:cs="宋体"/>
                <w:color w:val="auto"/>
                <w:sz w:val="21"/>
                <w:szCs w:val="21"/>
              </w:rPr>
              <w:t>维护、维修。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负责公共卫生间的排气扇、照明、各种阀门、水管、龙头、开关等维修更换。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负责空调、电梯操作，高低压配电操作管理及24小时值班。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8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在单位提供材料的前提下，为服务范围内各单位提供水电维修服务。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2266"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红日街公寓楼水电维修服务</w:t>
            </w: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小区内公共配套服务设施完好，标志、标识齐全、规范，不随意改变用途，共用设施设备按照项目配套建设管理责任分工运转正常，日常的管理和维修养护情况良好（依法应由专业部门负责的除外）。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pStyle w:val="96"/>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共用设施设备运行维修养护制度健全，每年1次编制共用设施设备运行维修养护计划，建立的共用设施设备档案（设备台帐）、运行、检查、维修、保养记录齐全。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pStyle w:val="96"/>
              <w:spacing w:line="360" w:lineRule="auto"/>
              <w:ind w:left="0" w:leftChars="0"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维修养护制度健全并在工作场所明示，水、电、监控等工作标准及岗位责任制明确，操作维护人员严格执行设施设备操作规程及保养规范；设施设备运行正常，无事故隐患。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对共用设施设备定期组织巡查，做好巡查记录，需要维修，及时编制维修计划、更新改造计划向市机关服务中心提出报告与建议。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小区道路平整，主要道路及停车场交通标志齐全、规范；小区内公共娱乐设施、水池等部位，设置有明显的安全警示标志。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每天至少1次检查路灯、楼道灯、景观灯等公共照明设备完好率95%以上，按约定时间定时开关。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设备用房整洁、通风，无跑、冒、滴、漏和鼠害现象，危及人身安全隐患处有明显标志和防范措施。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8</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对可能发生的各种设备故障及重大或突发性事件有应急方案和现场处理措施、处理记录。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9</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消防设施设备完好，可随时启用，消防通道通畅；有健全的消防管理制度，建立消防责任制及火灾消防预案。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雨水井每月检查1次，根据需要定期清理疏通，保持通畅，无堵塞外溢。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1"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66"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82" w:type="dxa"/>
            <w:noWrap w:val="0"/>
            <w:vAlign w:val="center"/>
          </w:tcPr>
          <w:p>
            <w:pPr>
              <w:spacing w:line="360" w:lineRule="auto"/>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接到相关部门停水、停电通知，应在小区醒目处提前通知</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w:t>
            </w:r>
          </w:p>
        </w:tc>
      </w:tr>
    </w:tbl>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3.4保洁服务</w:t>
      </w:r>
    </w:p>
    <w:tbl>
      <w:tblPr>
        <w:tblStyle w:val="49"/>
        <w:tblW w:w="500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2282"/>
        <w:gridCol w:w="67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8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54"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基本要求</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（1）建立保洁服务的工作制度及工作计划，并按照执行。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（2）做好保洁服务工作记录，记录填写规范、保存完好。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（3）作业时采取安全防护措施，防止对作业人员或他人造成伤害。相关耗材的环保、安全性等应符合国家相关规定要求。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（4）进入保密区域时，有采购人相关人员在场。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办公用房区域保洁</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（1）大厅、楼内公共通道：</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①公共通道保持干净，无异味、无杂物、无积水，每日至少开展1次清洁作业。（</w:t>
            </w:r>
            <w:r>
              <w:rPr>
                <w:rFonts w:hint="eastAsia" w:ascii="宋体" w:hAnsi="宋体" w:eastAsia="宋体" w:cs="宋体"/>
                <w:color w:val="auto"/>
                <w:sz w:val="21"/>
                <w:szCs w:val="21"/>
              </w:rPr>
              <w:t>办公区公共通道、走廊、公共楼梯每日清扫2次，每周拖洗1次，楼梯扶手每日擦洗1次。楼宇大厅每日拖洗1次，大厅玻璃每周清洁1次。</w:t>
            </w:r>
            <w:r>
              <w:rPr>
                <w:rFonts w:hint="eastAsia" w:ascii="宋体" w:hAnsi="宋体" w:eastAsia="宋体" w:cs="宋体"/>
                <w:b w:val="0"/>
                <w:bCs w:val="0"/>
                <w:color w:val="auto"/>
                <w:kern w:val="0"/>
                <w:sz w:val="21"/>
                <w:szCs w:val="21"/>
                <w:highlight w:val="none"/>
                <w:lang w:val="en-US" w:eastAsia="zh-CN"/>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②门窗玻璃干净无尘，透光性好，每月至少开展1次清洁作业。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③指示牌干净，无污渍，每日至少开展1次清洁作业。</w:t>
            </w:r>
          </w:p>
          <w:p>
            <w:pPr>
              <w:pStyle w:val="96"/>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服务区域公共场所地面无纸屑、油渍、痰迹、口香糖、果皮、烟头、白色垃圾等。玻璃门（窗、墙）光亮、清洁、无污迹、水迹、灰尘及明显手印。各楼层大厅、室内吊顶、吸音墙上无灰尘、天花板无蜘蛛网。</w:t>
            </w:r>
          </w:p>
          <w:p>
            <w:pPr>
              <w:pStyle w:val="96"/>
              <w:spacing w:line="36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rPr>
              <w:t>公共场所、卫生间、各垃圾收集点无堆积物，垃圾箱外表干净</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无积垢</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无异味。大理石、瓷砖地面光亮、不锈钢（如电梯间、扶手、门把等）全面保养擦拭，上不锈钢油。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（2）电器、消防等设施设备：</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①配电箱、设备机房、会议室音视频设备、消防栓及开关插座等保持表面干净，无尘无污迹，每月至少开展1次清洁作业。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②监控摄像头、门禁系统等表面光亮，无尘、无斑点，每月至少开展1次清洁作业。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路灯、走廊灯每月清洁1次。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（3）楼梯及楼梯间保持干净、无异味、无杂物、无积水，每日至少开展1次清洁作业。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（4）开水间保持干净、无异味、无杂物、无积水，每日至少开展1次清洁作业。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（5）作业工具间：</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①保持干净，无异味、无杂物、无积水，每日至少开展1次清洁作业。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②作业工具摆放整齐有序，表面干净无渍。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（6）公共卫生间：</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①保持干净，无异味，垃圾无溢出，每日至少开展1次清洁作业。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②及时补充厕纸等必要用品。</w:t>
            </w:r>
          </w:p>
          <w:p>
            <w:pPr>
              <w:pStyle w:val="96"/>
              <w:spacing w:line="360" w:lineRule="auto"/>
              <w:rPr>
                <w:rFonts w:hint="eastAsia" w:ascii="宋体" w:hAnsi="宋体" w:eastAsia="宋体" w:cs="宋体"/>
                <w:color w:val="auto"/>
                <w:sz w:val="21"/>
                <w:szCs w:val="21"/>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各办公楼公共卫生间每日清洁3次以上，并</w:t>
            </w:r>
            <w:r>
              <w:rPr>
                <w:rFonts w:hint="eastAsia" w:ascii="宋体" w:hAnsi="宋体" w:eastAsia="宋体" w:cs="宋体"/>
                <w:color w:val="auto"/>
                <w:sz w:val="21"/>
                <w:szCs w:val="21"/>
                <w:lang w:val="en-US" w:eastAsia="zh-CN"/>
              </w:rPr>
              <w:t>及时补充</w:t>
            </w:r>
            <w:r>
              <w:rPr>
                <w:rFonts w:hint="eastAsia" w:ascii="宋体" w:hAnsi="宋体" w:eastAsia="宋体" w:cs="宋体"/>
                <w:color w:val="auto"/>
                <w:sz w:val="21"/>
                <w:szCs w:val="21"/>
              </w:rPr>
              <w:t>擦手纸、厕纸、洗手液、檀香等物品。</w:t>
            </w:r>
          </w:p>
          <w:p>
            <w:pPr>
              <w:pStyle w:val="96"/>
              <w:spacing w:line="360" w:lineRule="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rPr>
              <w:t>卫生间保持清洁、干净，洗手盆上无杂物、无纸屑、无积水；及时清理脚印、水渍；镜子每日全面擦拭清洁；大小便池内外无污垢；墙面、水管、隔断、</w:t>
            </w:r>
            <w:r>
              <w:rPr>
                <w:rFonts w:hint="eastAsia" w:ascii="宋体" w:hAnsi="宋体" w:eastAsia="宋体" w:cs="宋体"/>
                <w:color w:val="auto"/>
                <w:sz w:val="21"/>
                <w:szCs w:val="21"/>
                <w:lang w:eastAsia="zh-CN"/>
              </w:rPr>
              <w:t>门槛</w:t>
            </w:r>
            <w:r>
              <w:rPr>
                <w:rFonts w:hint="eastAsia" w:ascii="宋体" w:hAnsi="宋体" w:eastAsia="宋体" w:cs="宋体"/>
                <w:color w:val="auto"/>
                <w:sz w:val="21"/>
                <w:szCs w:val="21"/>
              </w:rPr>
              <w:t>、窗台无灰尘，厕所内无异味。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（7）电梯轿厢：</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①保持干净，无污渍、无粘贴物、无异味，每日至少开展1次清洁作业。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②灯具、操作指示板明亮。</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315" w:firstLine="0" w:firstLineChars="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③</w:t>
            </w:r>
            <w:r>
              <w:rPr>
                <w:rFonts w:hint="eastAsia" w:ascii="宋体" w:hAnsi="宋体" w:eastAsia="宋体" w:cs="宋体"/>
                <w:color w:val="auto"/>
                <w:sz w:val="21"/>
                <w:szCs w:val="21"/>
              </w:rPr>
              <w:t>电梯轿厢内地毯每</w:t>
            </w:r>
            <w:r>
              <w:rPr>
                <w:rFonts w:hint="eastAsia" w:ascii="宋体" w:hAnsi="宋体" w:eastAsia="宋体" w:cs="宋体"/>
                <w:color w:val="auto"/>
                <w:sz w:val="21"/>
                <w:szCs w:val="21"/>
                <w:lang w:val="en-US" w:eastAsia="zh-CN"/>
              </w:rPr>
              <w:t>周</w:t>
            </w:r>
            <w:r>
              <w:rPr>
                <w:rFonts w:hint="eastAsia" w:ascii="宋体" w:hAnsi="宋体" w:eastAsia="宋体" w:cs="宋体"/>
                <w:color w:val="auto"/>
                <w:sz w:val="21"/>
                <w:szCs w:val="21"/>
              </w:rPr>
              <w:t>更换1次。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（8）平台、屋顶、天沟保持干净，有杂物及时清扫，每月至少开展1次清洁作业。</w:t>
            </w:r>
            <w:r>
              <w:rPr>
                <w:rFonts w:hint="eastAsia" w:ascii="宋体" w:hAnsi="宋体" w:eastAsia="宋体" w:cs="宋体"/>
                <w:color w:val="auto"/>
                <w:sz w:val="21"/>
                <w:szCs w:val="21"/>
                <w:lang w:val="en-US" w:eastAsia="zh-CN"/>
              </w:rPr>
              <w:t>负责办公大楼大厅、通道、地板、立柱的抛光打腊，每季保养1次。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color w:val="auto"/>
                <w:sz w:val="21"/>
                <w:szCs w:val="21"/>
                <w:highlight w:val="none"/>
                <w:u w:val="none"/>
                <w:lang w:val="en-US" w:eastAsia="zh-CN"/>
              </w:rPr>
              <w:t>石材地面、内墙做好养护工作</w:t>
            </w:r>
            <w:r>
              <w:rPr>
                <w:rFonts w:hint="eastAsia" w:ascii="宋体" w:hAnsi="宋体" w:eastAsia="宋体" w:cs="宋体"/>
                <w:b w:val="0"/>
                <w:bCs w:val="0"/>
                <w:color w:val="auto"/>
                <w:kern w:val="0"/>
                <w:sz w:val="21"/>
                <w:szCs w:val="21"/>
                <w:highlight w:val="none"/>
                <w:lang w:val="en-US" w:eastAsia="zh-CN"/>
              </w:rPr>
              <w:t>，每3月开展1次清洁作业。（各类材质地面、内墙服务管理标准详见3.4.1）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（10）</w:t>
            </w:r>
            <w:r>
              <w:rPr>
                <w:rFonts w:hint="eastAsia" w:ascii="宋体" w:hAnsi="宋体" w:eastAsia="宋体" w:cs="宋体"/>
                <w:color w:val="auto"/>
                <w:sz w:val="21"/>
                <w:szCs w:val="21"/>
                <w:highlight w:val="none"/>
                <w:u w:val="none"/>
                <w:lang w:val="en-US" w:eastAsia="zh-CN"/>
              </w:rPr>
              <w:t>地毯干净、无油渍、无污渍、无褪色</w:t>
            </w:r>
            <w:r>
              <w:rPr>
                <w:rFonts w:hint="eastAsia" w:ascii="宋体" w:hAnsi="宋体" w:eastAsia="宋体" w:cs="宋体"/>
                <w:b w:val="0"/>
                <w:bCs w:val="0"/>
                <w:color w:val="auto"/>
                <w:kern w:val="0"/>
                <w:sz w:val="21"/>
                <w:szCs w:val="21"/>
                <w:highlight w:val="none"/>
                <w:lang w:val="en-US" w:eastAsia="zh-CN"/>
              </w:rPr>
              <w:t>，每月至少开展1次清洁作业。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 xml:space="preserve"> （11）</w:t>
            </w:r>
            <w:r>
              <w:rPr>
                <w:rFonts w:hint="eastAsia" w:ascii="宋体" w:hAnsi="宋体" w:eastAsia="宋体" w:cs="宋体"/>
                <w:color w:val="auto"/>
                <w:sz w:val="21"/>
                <w:szCs w:val="21"/>
                <w:lang w:val="en-US" w:eastAsia="zh-CN"/>
              </w:rPr>
              <w:t>负责办公楼大厅灯具保洁保养，每季保养1次。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（12）</w:t>
            </w:r>
            <w:r>
              <w:rPr>
                <w:rFonts w:hint="eastAsia" w:ascii="宋体" w:hAnsi="宋体" w:eastAsia="宋体" w:cs="宋体"/>
                <w:color w:val="auto"/>
                <w:sz w:val="21"/>
                <w:szCs w:val="21"/>
                <w:lang w:val="en-US" w:eastAsia="zh-CN"/>
              </w:rPr>
              <w:t>负责办公大院室外及地下室部分的清洁。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（13）</w:t>
            </w:r>
            <w:r>
              <w:rPr>
                <w:rFonts w:hint="eastAsia" w:ascii="宋体" w:hAnsi="宋体" w:eastAsia="宋体" w:cs="宋体"/>
                <w:color w:val="auto"/>
                <w:sz w:val="21"/>
                <w:szCs w:val="21"/>
                <w:lang w:val="en-US" w:eastAsia="zh-CN"/>
              </w:rPr>
              <w:t>负责管道、下水道、水池、清理疏通和杂物打捞。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（14）配合采购人检查</w:t>
            </w:r>
            <w:r>
              <w:rPr>
                <w:rFonts w:hint="eastAsia" w:ascii="宋体" w:hAnsi="宋体" w:eastAsia="宋体" w:cs="宋体"/>
                <w:color w:val="auto"/>
                <w:sz w:val="21"/>
                <w:szCs w:val="21"/>
                <w:lang w:val="en-US" w:eastAsia="zh-CN"/>
              </w:rPr>
              <w:t>服务范围内每年的除“四害”工作、</w:t>
            </w:r>
            <w:r>
              <w:rPr>
                <w:rFonts w:hint="eastAsia" w:ascii="宋体" w:hAnsi="宋体" w:eastAsia="宋体" w:cs="宋体"/>
                <w:color w:val="auto"/>
                <w:spacing w:val="-6"/>
                <w:sz w:val="21"/>
                <w:szCs w:val="21"/>
              </w:rPr>
              <w:t>化粪池、下水道无溢流</w:t>
            </w:r>
            <w:r>
              <w:rPr>
                <w:rFonts w:hint="eastAsia" w:ascii="宋体" w:hAnsi="宋体" w:eastAsia="宋体" w:cs="宋体"/>
                <w:color w:val="auto"/>
                <w:spacing w:val="-6"/>
                <w:sz w:val="21"/>
                <w:szCs w:val="21"/>
                <w:lang w:eastAsia="zh-CN"/>
              </w:rPr>
              <w:t>，</w:t>
            </w:r>
            <w:r>
              <w:rPr>
                <w:rFonts w:hint="eastAsia" w:ascii="宋体" w:hAnsi="宋体" w:eastAsia="宋体" w:cs="宋体"/>
                <w:color w:val="auto"/>
                <w:spacing w:val="-6"/>
                <w:sz w:val="21"/>
                <w:szCs w:val="21"/>
              </w:rPr>
              <w:t>道路地面无“四害”粪便痕迹。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25"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（15）</w:t>
            </w:r>
            <w:r>
              <w:rPr>
                <w:rFonts w:hint="eastAsia" w:ascii="宋体" w:hAnsi="宋体" w:eastAsia="宋体" w:cs="宋体"/>
                <w:color w:val="auto"/>
                <w:sz w:val="21"/>
                <w:szCs w:val="21"/>
              </w:rPr>
              <w:t>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单位完成保洁临时性任务。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公共场地区域保洁</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（1）每日清扫道路地面、停车场等公共区域2次，保持干净、无杂物、无积水。（</w:t>
            </w:r>
            <w:r>
              <w:rPr>
                <w:rFonts w:hint="eastAsia" w:ascii="宋体" w:hAnsi="宋体" w:eastAsia="宋体" w:cs="宋体"/>
                <w:color w:val="auto"/>
                <w:sz w:val="21"/>
                <w:szCs w:val="21"/>
              </w:rPr>
              <w:t>道路、广场、活动场所、停车场、绿地每日清扫1次。</w:t>
            </w:r>
            <w:r>
              <w:rPr>
                <w:rFonts w:hint="eastAsia" w:ascii="宋体" w:hAnsi="宋体" w:eastAsia="宋体" w:cs="宋体"/>
                <w:b w:val="0"/>
                <w:bCs w:val="0"/>
                <w:color w:val="auto"/>
                <w:kern w:val="0"/>
                <w:sz w:val="21"/>
                <w:szCs w:val="21"/>
                <w:highlight w:val="none"/>
                <w:lang w:val="en-US" w:eastAsia="zh-CN"/>
              </w:rPr>
              <w:t>）</w:t>
            </w:r>
            <w:r>
              <w:rPr>
                <w:rFonts w:hint="eastAsia" w:ascii="宋体" w:hAnsi="宋体" w:eastAsia="宋体" w:cs="宋体"/>
                <w:color w:val="auto"/>
                <w:sz w:val="21"/>
                <w:szCs w:val="21"/>
              </w:rPr>
              <w:t>公共区域各种设施的清洁，符合卫生标准。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（2）暴雨、台风等恶劣天气时及时清扫积水，并采取安全防护措施。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（3）各种路标、宣传栏等保持干净，每月至少开展1次清洁作业。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（4）清洁室外照明设备，每月至少开展1次清洁作业。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（5）绿地内无杂物、无改变用途和破坏、践踏、占用现象，每天至少开展1次巡查。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垃圾处理</w:t>
            </w:r>
          </w:p>
        </w:tc>
        <w:tc>
          <w:tcPr>
            <w:tcW w:w="6754" w:type="dxa"/>
            <w:noWrap w:val="0"/>
            <w:vAlign w:val="center"/>
          </w:tcPr>
          <w:p>
            <w:pPr>
              <w:pStyle w:val="96"/>
              <w:spacing w:line="36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（1）在指定位置摆放分类垃圾桶，并在显著处张贴垃圾分类标识。分类垃圾桶和垃圾分类标识根据所在城市的要求设置。</w:t>
            </w:r>
            <w:r>
              <w:rPr>
                <w:rFonts w:hint="eastAsia" w:ascii="宋体" w:hAnsi="宋体" w:eastAsia="宋体" w:cs="宋体"/>
                <w:color w:val="auto"/>
                <w:sz w:val="21"/>
                <w:szCs w:val="21"/>
              </w:rPr>
              <w:t>各办公楼按楼层设置垃圾桶，垃圾处理须装袋，每日清运2次。负责服务区域内生活垃圾、绿化垃圾及废弃物品的收集和清运。户外合理设置果壳箱或垃圾桶，每日清运2次。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（2）桶身表面干净无污渍，每日开展至少1次清洁作业。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（3）垃圾中转房保持整洁，无明显异味，每日至少开展1次清洁作业。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（4）巡查化粪池溢满的情况，无明显异味。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u w:val="none"/>
                <w:lang w:val="en-US" w:eastAsia="zh-CN"/>
              </w:rPr>
              <w:t>每个工作日内要对楼层产生的垃圾，进行清理分类，并运至垃圾集中堆放点。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（6）垃圾装袋，日产日清。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（7）建立垃圾清运台账，交由规范的渠道回收处理。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b w:val="0"/>
                <w:bCs w:val="0"/>
                <w:color w:val="auto"/>
                <w:kern w:val="0"/>
                <w:sz w:val="21"/>
                <w:szCs w:val="21"/>
                <w:highlight w:val="none"/>
                <w:lang w:val="en-US" w:eastAsia="zh-CN"/>
              </w:rPr>
              <w:t>（8）</w:t>
            </w:r>
            <w:r>
              <w:rPr>
                <w:rFonts w:hint="eastAsia" w:ascii="宋体" w:hAnsi="宋体" w:eastAsia="宋体" w:cs="宋体"/>
                <w:color w:val="auto"/>
                <w:sz w:val="21"/>
                <w:szCs w:val="21"/>
                <w:highlight w:val="none"/>
                <w:u w:val="none"/>
                <w:lang w:val="en-US" w:eastAsia="zh-CN"/>
              </w:rPr>
              <w:t>做好垃圾分类管理的宣传工作，督促并引导全员参与垃圾分类投放。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w:t>
            </w:r>
            <w:r>
              <w:rPr>
                <w:rFonts w:hint="eastAsia" w:ascii="宋体" w:hAnsi="宋体" w:eastAsia="宋体" w:cs="宋体"/>
                <w:color w:val="auto"/>
                <w:sz w:val="21"/>
                <w:szCs w:val="21"/>
                <w:highlight w:val="none"/>
                <w:u w:val="none"/>
                <w:lang w:val="en-US" w:eastAsia="zh-CN"/>
              </w:rPr>
              <w:t>垃圾分类投放管理工作的执行标准，按</w:t>
            </w:r>
            <w:r>
              <w:rPr>
                <w:rFonts w:hint="eastAsia" w:ascii="宋体" w:hAnsi="宋体" w:eastAsia="宋体" w:cs="宋体"/>
                <w:b w:val="0"/>
                <w:bCs w:val="0"/>
                <w:color w:val="auto"/>
                <w:kern w:val="0"/>
                <w:sz w:val="21"/>
                <w:szCs w:val="21"/>
                <w:highlight w:val="none"/>
                <w:lang w:val="en-US" w:eastAsia="zh-CN"/>
              </w:rPr>
              <w:t>所在城市</w:t>
            </w:r>
            <w:r>
              <w:rPr>
                <w:rFonts w:hint="eastAsia" w:ascii="宋体" w:hAnsi="宋体" w:eastAsia="宋体" w:cs="宋体"/>
                <w:color w:val="auto"/>
                <w:sz w:val="21"/>
                <w:szCs w:val="21"/>
                <w:highlight w:val="none"/>
                <w:u w:val="none"/>
                <w:lang w:val="en-US" w:eastAsia="zh-CN"/>
              </w:rPr>
              <w:t>的要求执行。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卫生消毒</w:t>
            </w: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（1）办公用房区域、公共场所区域和周围环境预防性卫生消毒，</w:t>
            </w:r>
            <w:r>
              <w:rPr>
                <w:rFonts w:hint="eastAsia" w:ascii="宋体" w:hAnsi="宋体" w:eastAsia="宋体" w:cs="宋体"/>
                <w:color w:val="auto"/>
                <w:sz w:val="21"/>
                <w:szCs w:val="21"/>
                <w:highlight w:val="none"/>
                <w:u w:val="none"/>
                <w:lang w:val="en-US" w:eastAsia="zh-CN"/>
              </w:rPr>
              <w:t>消毒后及时通风，每周</w:t>
            </w:r>
            <w:r>
              <w:rPr>
                <w:rFonts w:hint="eastAsia" w:ascii="宋体" w:hAnsi="宋体" w:eastAsia="宋体" w:cs="宋体"/>
                <w:b w:val="0"/>
                <w:bCs w:val="0"/>
                <w:color w:val="auto"/>
                <w:kern w:val="0"/>
                <w:sz w:val="21"/>
                <w:szCs w:val="21"/>
                <w:highlight w:val="none"/>
                <w:lang w:val="en-US" w:eastAsia="zh-CN"/>
              </w:rPr>
              <w:t>至少开展</w:t>
            </w:r>
            <w:r>
              <w:rPr>
                <w:rFonts w:hint="eastAsia" w:ascii="宋体" w:hAnsi="宋体" w:eastAsia="宋体" w:cs="宋体"/>
                <w:color w:val="auto"/>
                <w:sz w:val="21"/>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（2）配合采购人检查采取综合措施消灭老鼠、蟑螂，控制室内外蚊虫孳生，达到基本无蝇</w:t>
            </w:r>
            <w:r>
              <w:rPr>
                <w:rFonts w:hint="eastAsia" w:ascii="宋体" w:hAnsi="宋体" w:eastAsia="宋体" w:cs="宋体"/>
                <w:color w:val="auto"/>
                <w:sz w:val="21"/>
                <w:szCs w:val="21"/>
                <w:highlight w:val="none"/>
                <w:u w:val="none"/>
                <w:lang w:val="en-US" w:eastAsia="zh-CN"/>
              </w:rPr>
              <w:t>，每季度</w:t>
            </w:r>
            <w:r>
              <w:rPr>
                <w:rFonts w:hint="eastAsia" w:ascii="宋体" w:hAnsi="宋体" w:eastAsia="宋体" w:cs="宋体"/>
                <w:b w:val="0"/>
                <w:bCs w:val="0"/>
                <w:color w:val="auto"/>
                <w:kern w:val="0"/>
                <w:sz w:val="21"/>
                <w:szCs w:val="21"/>
                <w:highlight w:val="none"/>
                <w:lang w:val="en-US" w:eastAsia="zh-CN"/>
              </w:rPr>
              <w:t>开展</w:t>
            </w:r>
            <w:r>
              <w:rPr>
                <w:rFonts w:hint="eastAsia" w:ascii="宋体" w:hAnsi="宋体" w:eastAsia="宋体" w:cs="宋体"/>
                <w:color w:val="auto"/>
                <w:sz w:val="21"/>
                <w:szCs w:val="21"/>
                <w:highlight w:val="none"/>
                <w:u w:val="none"/>
                <w:lang w:val="en-US" w:eastAsia="zh-CN"/>
              </w:rPr>
              <w:t>1次作业。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（3）发生公共卫生事件时，配合采购人邀请专业单位开展消毒、检测等工作。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办公区</w:t>
            </w:r>
            <w:r>
              <w:rPr>
                <w:rFonts w:hint="eastAsia" w:ascii="宋体" w:hAnsi="宋体" w:eastAsia="宋体" w:cs="宋体"/>
                <w:color w:val="auto"/>
                <w:sz w:val="21"/>
                <w:szCs w:val="21"/>
                <w:lang w:eastAsia="zh-CN"/>
              </w:rPr>
              <w:t>重点</w:t>
            </w:r>
            <w:r>
              <w:rPr>
                <w:rFonts w:hint="eastAsia" w:ascii="宋体" w:hAnsi="宋体" w:eastAsia="宋体" w:cs="宋体"/>
                <w:color w:val="auto"/>
                <w:sz w:val="21"/>
                <w:szCs w:val="21"/>
              </w:rPr>
              <w:t>办公室卫生保洁服务</w:t>
            </w: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rPr>
              <w:t>服务要求和标准：保持地面、天面、墙面、玻璃、桌椅、门窗、灯具、天花板洁净光亮，无灰尘、无手印、无污渍；真皮沙发每季保养1次，饮水机每季清洗1次，定期清洗卧具；卫生间清洁无污渍、无异味。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keepNext w:val="0"/>
              <w:keepLines w:val="0"/>
              <w:pageBreakBefore w:val="0"/>
              <w:widowControl/>
              <w:kinsoku/>
              <w:wordWrap/>
              <w:overflowPunct/>
              <w:topLinePunct w:val="0"/>
              <w:autoSpaceDE/>
              <w:autoSpaceDN/>
              <w:bidi w:val="0"/>
              <w:adjustRightInd/>
              <w:snapToGrid w:val="0"/>
              <w:spacing w:line="36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rPr>
              <w:t>要求在不干扰领导工作的前提下完成保洁工作，每天</w:t>
            </w:r>
            <w:r>
              <w:rPr>
                <w:rFonts w:hint="eastAsia" w:ascii="宋体" w:hAnsi="宋体" w:eastAsia="宋体" w:cs="宋体"/>
                <w:color w:val="auto"/>
                <w:sz w:val="21"/>
                <w:szCs w:val="21"/>
                <w:lang w:eastAsia="zh-CN"/>
              </w:rPr>
              <w:t>至少保洁1次</w:t>
            </w:r>
            <w:r>
              <w:rPr>
                <w:rFonts w:hint="eastAsia" w:ascii="宋体" w:hAnsi="宋体" w:eastAsia="宋体" w:cs="宋体"/>
                <w:color w:val="auto"/>
                <w:sz w:val="21"/>
                <w:szCs w:val="21"/>
              </w:rPr>
              <w:t>，发现水电设施等故障及时报修，完成领导交办的其他任务。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82"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rPr>
              <w:t>红日街公寓楼保洁服务</w:t>
            </w: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小区实际情况合理布设果皮箱或垃圾桶，垃圾袋装化。垃圾清运日产日清，每天早晚定时清运2次，无垃圾桶、果皮箱满溢现象，每周至少清洗1次，保持垃圾设施清洁、无异味；垃圾收集点周围地面无散落垃圾、无污迹、无异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健全的保洁制度，小区道路、广场、停车场、绿地等公共区域设专人保洁，每天清扫2次；楼道、一层共用大厅每日清扫1次，拖洗1次；楼梯扶手每日擦洗1次；共用部位玻璃每周清洁1次；室外标识、宣传栏.信报箱等共用部位设施设备每周擦拭2次；路灯、楼道灯每月清洁1次；设施设备用房每天清扫1次；休闲、娱乐、健身设施每天清洁一次，每月刷洗消毒1次</w:t>
            </w:r>
            <w:r>
              <w:rPr>
                <w:rFonts w:hint="eastAsia" w:ascii="宋体" w:hAnsi="宋体" w:eastAsia="宋体" w:cs="宋体"/>
                <w:color w:val="auto"/>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雨水、污水管道每年疏通1次；雨水井、化粪井、污水井每月检查1次，视检查情况及时清掏，保持通畅，无堵塞外溢；化粪池每月检查1次，</w:t>
            </w:r>
            <w:r>
              <w:rPr>
                <w:rFonts w:hint="eastAsia" w:ascii="宋体" w:hAnsi="宋体" w:eastAsia="宋体" w:cs="宋体"/>
                <w:color w:val="auto"/>
                <w:sz w:val="21"/>
                <w:szCs w:val="21"/>
                <w:lang w:eastAsia="zh-CN"/>
              </w:rPr>
              <w:t>无溢满，无明显异味</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二次供水水箱按规定清洗，定时巡查，水质符合卫生要求。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进行保洁巡查，楼道内无乱悬挂、乱贴乱画、乱堆放，无明显暴露垃圾、卫生死角等现象，保证小区内干净整洁。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825"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2"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54" w:type="dxa"/>
            <w:noWrap w:val="0"/>
            <w:vAlign w:val="center"/>
          </w:tcPr>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建立消杀</w:t>
            </w:r>
            <w:r>
              <w:rPr>
                <w:rFonts w:hint="eastAsia" w:ascii="宋体" w:hAnsi="宋体" w:eastAsia="宋体" w:cs="宋体"/>
                <w:color w:val="auto"/>
                <w:sz w:val="21"/>
                <w:szCs w:val="21"/>
                <w:lang w:eastAsia="zh-CN"/>
              </w:rPr>
              <w:t>检查</w:t>
            </w:r>
            <w:r>
              <w:rPr>
                <w:rFonts w:hint="eastAsia" w:ascii="宋体" w:hAnsi="宋体" w:eastAsia="宋体" w:cs="宋体"/>
                <w:color w:val="auto"/>
                <w:sz w:val="21"/>
                <w:szCs w:val="21"/>
              </w:rPr>
              <w:t>工作管理制度，根据小区实际情况开展消毒和灭虫除害工作，适时投放消杀药物，有效控制鼠、蟑、蚊、蝇等害虫孳生。</w:t>
            </w:r>
          </w:p>
        </w:tc>
      </w:tr>
    </w:tbl>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3.4.1具体清洁要求</w:t>
      </w:r>
    </w:p>
    <w:tbl>
      <w:tblPr>
        <w:tblStyle w:val="49"/>
        <w:tblW w:w="498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0"/>
        <w:gridCol w:w="2198"/>
        <w:gridCol w:w="6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符号</w:t>
            </w:r>
          </w:p>
        </w:tc>
        <w:tc>
          <w:tcPr>
            <w:tcW w:w="2198"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材质</w:t>
            </w:r>
          </w:p>
        </w:tc>
        <w:tc>
          <w:tcPr>
            <w:tcW w:w="6728" w:type="dxa"/>
            <w:noWrap w:val="0"/>
            <w:vAlign w:val="center"/>
          </w:tcPr>
          <w:p>
            <w:pPr>
              <w:jc w:val="center"/>
              <w:rPr>
                <w:rFonts w:hint="eastAsia" w:ascii="宋体" w:hAnsi="宋体" w:eastAsia="宋体" w:cs="宋体"/>
                <w:b/>
                <w:bCs/>
                <w:color w:val="auto"/>
                <w:sz w:val="21"/>
                <w:szCs w:val="21"/>
                <w:highlight w:val="none"/>
                <w:vertAlign w:val="baseline"/>
                <w:lang w:val="en-US" w:eastAsia="zh-CN"/>
              </w:rPr>
            </w:pPr>
            <w:r>
              <w:rPr>
                <w:rFonts w:hint="eastAsia" w:ascii="宋体" w:hAnsi="宋体" w:eastAsia="宋体" w:cs="宋体"/>
                <w:b/>
                <w:bCs/>
                <w:color w:val="auto"/>
                <w:sz w:val="21"/>
                <w:szCs w:val="21"/>
                <w:highlight w:val="none"/>
                <w:vertAlign w:val="baseline"/>
                <w:lang w:val="en-US" w:eastAsia="zh-CN"/>
              </w:rPr>
              <w:t>清洗要求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环氧地坪地面</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清理垃圾：清理地面上的垃圾和杂物。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清洗地面：用专业的清洁剂或去污剂清洗地面。清洁剂和去污剂的选取要根据污垢的性质而定。环氧地坪一般使用弱酸性或弱碱性的清洁剂，避免使用酸性或碱性强的清洁剂。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color w:val="auto"/>
                <w:sz w:val="21"/>
                <w:szCs w:val="21"/>
                <w:highlight w:val="none"/>
                <w:vertAlign w:val="baseline"/>
                <w:lang w:val="en-US" w:eastAsia="zh-CN"/>
              </w:rPr>
              <w:t>滚刷或颗粒机进行深层清洗：对于顽固沉积物，需要使用滚刷或颗粒机进行深层清洗。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vertAlign w:val="baseline"/>
                <w:lang w:val="en-US" w:eastAsia="zh-CN"/>
              </w:rPr>
              <w:t>浸泡：将清洁剂或去污剂浸泡在环氧地坪上，加强去除污渍的效果。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vertAlign w:val="baseline"/>
                <w:lang w:val="en-US" w:eastAsia="zh-CN"/>
              </w:rPr>
              <w:t>冲洗：用清水将地面冲洗干净，以去除残留的清洁剂或去污剂。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耐磨漆地面</w:t>
            </w:r>
          </w:p>
        </w:tc>
        <w:tc>
          <w:tcPr>
            <w:tcW w:w="6728" w:type="dxa"/>
            <w:noWrap w:val="0"/>
            <w:vAlign w:val="center"/>
          </w:tcPr>
          <w:p>
            <w:pPr>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日常清洁：使用软质拖把或地板清洁机，配合清水和中性清洁剂进行清洁。避免使用酸性或碱性清洁剂，以免损坏地面表面。定期清理地面上的污渍和杂物，保持地面干净整洁。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rPr>
              <w:t>打蜡：为了增加耐磨地面的光亮度和耐磨性，可以进行打蜡处理。使用适合聚氨酯地面的蜡进行均匀涂抹，待蜡干燥后使用抛光机或拖把清理地面，使其变得光滑而有光泽。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瓷砖地面</w:t>
            </w:r>
          </w:p>
        </w:tc>
        <w:tc>
          <w:tcPr>
            <w:tcW w:w="6728"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w:t>
            </w:r>
            <w:r>
              <w:rPr>
                <w:rFonts w:hint="eastAsia" w:ascii="宋体" w:hAnsi="宋体" w:eastAsia="宋体" w:cs="宋体"/>
                <w:color w:val="auto"/>
                <w:sz w:val="21"/>
                <w:szCs w:val="21"/>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石材地面</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根据各区域的人流量及大理石的实际磨损程度制定大理石的晶面保养计划。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（2）启动晶面机，使用中性清洁剂清洁，避免使用强酸或强碱清洁剂，定期进行基础维护。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水磨石地面</w:t>
            </w:r>
          </w:p>
        </w:tc>
        <w:tc>
          <w:tcPr>
            <w:tcW w:w="6728" w:type="dxa"/>
            <w:noWrap w:val="0"/>
            <w:vAlign w:val="center"/>
          </w:tcPr>
          <w:p>
            <w:pPr>
              <w:jc w:val="both"/>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rPr>
              <w:t>日常清洁：</w:t>
            </w:r>
            <w:r>
              <w:rPr>
                <w:rFonts w:hint="eastAsia" w:ascii="宋体" w:hAnsi="宋体" w:eastAsia="宋体" w:cs="宋体"/>
                <w:color w:val="auto"/>
                <w:sz w:val="21"/>
                <w:szCs w:val="21"/>
                <w:highlight w:val="none"/>
                <w:lang w:val="en-US" w:eastAsia="zh-CN"/>
              </w:rPr>
              <w:t>推尘，保持地面干净无杂物。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lang w:val="en-US" w:eastAsia="zh-CN"/>
              </w:rPr>
              <w:t>深度清洁：使用洗洁精或肥皂水清理。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地胶板地面</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日常维护。使用湿润的拖把清洁，污染严重时局部清洁，每月对地胶板地面进行打蜡处理。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地板地面</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定期保养。使用中性清洁剂清洁，避免使用强酸或强碱清洁剂，定期进行基础维护。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日常维护。使用湿润的拖把清洁，污染严重时局部清洁，每月对地板进行打蜡处理。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198" w:type="dxa"/>
            <w:vMerge w:val="restart"/>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地毯地面</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vertAlign w:val="baseline"/>
                <w:lang w:val="en-US" w:eastAsia="zh-CN"/>
              </w:rPr>
              <w:t>日常用吸尘机除尘，局部脏污用湿布配中性清洁液重点清洁。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2198" w:type="dxa"/>
            <w:vMerge w:val="continue"/>
            <w:noWrap w:val="0"/>
            <w:vAlign w:val="center"/>
          </w:tcPr>
          <w:p>
            <w:pPr>
              <w:jc w:val="both"/>
              <w:rPr>
                <w:rFonts w:hint="eastAsia" w:ascii="宋体" w:hAnsi="宋体" w:eastAsia="宋体" w:cs="宋体"/>
                <w:color w:val="auto"/>
                <w:sz w:val="21"/>
                <w:szCs w:val="21"/>
                <w:highlight w:val="none"/>
                <w:vertAlign w:val="baseline"/>
                <w:lang w:val="en-US" w:eastAsia="zh-CN"/>
              </w:rPr>
            </w:pP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color w:val="auto"/>
                <w:sz w:val="21"/>
                <w:szCs w:val="21"/>
                <w:highlight w:val="none"/>
                <w:vertAlign w:val="baseline"/>
                <w:lang w:val="en-US" w:eastAsia="zh-CN"/>
              </w:rPr>
              <w:t>用地毯清洗机进行整体清洗，除螨。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乳胶漆内墙</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墙纸内墙</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木饰面内墙</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有污渍时用中性清洁剂、半干布擦拭。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石材内墙</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01"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19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金属板内墙</w:t>
            </w:r>
          </w:p>
        </w:tc>
        <w:tc>
          <w:tcPr>
            <w:tcW w:w="6728" w:type="dxa"/>
            <w:noWrap w:val="0"/>
            <w:vAlign w:val="center"/>
          </w:tcPr>
          <w:p>
            <w:pPr>
              <w:jc w:val="both"/>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有污渍时用半干布擦拭。</w:t>
            </w:r>
          </w:p>
        </w:tc>
      </w:tr>
    </w:tbl>
    <w:p>
      <w:pPr>
        <w:keepNext w:val="0"/>
        <w:keepLines w:val="0"/>
        <w:pageBreakBefore w:val="0"/>
        <w:widowControl w:val="0"/>
        <w:kinsoku/>
        <w:wordWrap/>
        <w:overflowPunct/>
        <w:topLinePunct w:val="0"/>
        <w:autoSpaceDE/>
        <w:autoSpaceDN/>
        <w:bidi w:val="0"/>
        <w:adjustRightInd/>
        <w:snapToGrid w:val="0"/>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注：根据物业用材情况选择清洁要求</w:t>
      </w:r>
    </w:p>
    <w:p>
      <w:pPr>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3.5绿化服务</w:t>
      </w:r>
    </w:p>
    <w:tbl>
      <w:tblPr>
        <w:tblStyle w:val="49"/>
        <w:tblW w:w="498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280"/>
        <w:gridCol w:w="67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8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71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基本要求</w:t>
            </w: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（1）制定绿化服务的工作制度及工作计划，并按照执行。</w:t>
            </w:r>
            <w:r>
              <w:rPr>
                <w:rFonts w:hint="eastAsia" w:ascii="宋体" w:hAnsi="宋体" w:eastAsia="宋体" w:cs="宋体"/>
                <w:color w:val="auto"/>
                <w:sz w:val="21"/>
                <w:szCs w:val="21"/>
              </w:rPr>
              <w:t>负责对服务区域公用绿地、花草、树木养护、修剪、补种，负责室内花草布置、养护。负责阳台、楼顶绿色植物和花卉的养护。</w:t>
            </w:r>
            <w:r>
              <w:rPr>
                <w:rFonts w:hint="eastAsia" w:ascii="宋体" w:hAnsi="宋体" w:eastAsia="宋体" w:cs="宋体"/>
                <w:color w:val="auto"/>
                <w:spacing w:val="-6"/>
                <w:sz w:val="21"/>
                <w:szCs w:val="21"/>
              </w:rPr>
              <w:t>负责服务范围内各种花卉植物的修剪、养护、补种、浇灌、施肥、松土、防涝、防冻工作。定期喷洒药物，预防病虫害。</w:t>
            </w:r>
            <w:r>
              <w:rPr>
                <w:rFonts w:hint="eastAsia" w:ascii="宋体" w:hAnsi="宋体" w:eastAsia="宋体" w:cs="宋体"/>
                <w:color w:val="auto"/>
                <w:sz w:val="21"/>
                <w:szCs w:val="21"/>
              </w:rPr>
              <w:t>做好草坪树木修剪、补种，保持无杂草、枯枝，清运修剪余下的杂草、枯枝等废弃物。配合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完成领导办公室、办公楼大厅、公共走廊荫生植物及盆景的摆放。配合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单位完成绿化临时性工作任务。服务标准：绿地无破坏、践踏，花草树木长势良好，无病虫害，无杂草，无枯死。配合</w:t>
            </w:r>
            <w:r>
              <w:rPr>
                <w:rFonts w:hint="eastAsia" w:ascii="宋体" w:hAnsi="宋体" w:eastAsia="宋体" w:cs="宋体"/>
                <w:color w:val="auto"/>
                <w:sz w:val="21"/>
                <w:szCs w:val="21"/>
                <w:lang w:eastAsia="zh-CN"/>
              </w:rPr>
              <w:t>采购人</w:t>
            </w:r>
            <w:r>
              <w:rPr>
                <w:rFonts w:hint="eastAsia" w:ascii="宋体" w:hAnsi="宋体" w:eastAsia="宋体" w:cs="宋体"/>
                <w:color w:val="auto"/>
                <w:sz w:val="21"/>
                <w:szCs w:val="21"/>
              </w:rPr>
              <w:t>及时更换各类荫生植物，保持地面无枯枝、枯叶、无绿化</w:t>
            </w:r>
            <w:r>
              <w:rPr>
                <w:rFonts w:hint="eastAsia" w:ascii="宋体" w:hAnsi="宋体" w:eastAsia="宋体" w:cs="宋体"/>
                <w:color w:val="auto"/>
                <w:sz w:val="21"/>
                <w:szCs w:val="21"/>
                <w:lang w:eastAsia="zh-CN"/>
              </w:rPr>
              <w:t>废弃物</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（2）做好绿化服务工作记录，填写规范。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（3）作业时采取安全防护措施，防止对作业人员或他人造成伤害。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（4）相关耗材的环保、安全性应符合规定要求。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lang w:val="en-US" w:eastAsia="zh-CN"/>
              </w:rPr>
              <w:t>室外绿化养护</w:t>
            </w: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w:t>
            </w:r>
            <w:r>
              <w:rPr>
                <w:rFonts w:hint="eastAsia" w:ascii="宋体" w:hAnsi="宋体" w:eastAsia="宋体" w:cs="宋体"/>
                <w:color w:val="auto"/>
                <w:sz w:val="21"/>
                <w:szCs w:val="21"/>
                <w:highlight w:val="none"/>
                <w:u w:val="none"/>
                <w:lang w:val="en-US" w:eastAsia="zh-CN"/>
              </w:rPr>
              <w:t>根据生长环境、植物特性进行除草、灌溉、施肥、整形修剪、防治病虫害等。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（2）根据生长情况修剪绿地，绿地内无枯草、无杂物，</w:t>
            </w:r>
            <w:r>
              <w:rPr>
                <w:rFonts w:hint="eastAsia" w:ascii="宋体" w:hAnsi="宋体" w:eastAsia="宋体" w:cs="宋体"/>
                <w:color w:val="auto"/>
                <w:sz w:val="21"/>
                <w:szCs w:val="21"/>
                <w:highlight w:val="none"/>
                <w:u w:val="none"/>
                <w:lang w:val="en-US" w:eastAsia="zh-CN"/>
              </w:rPr>
              <w:t>无干枯坏死和病虫侵害，基本无裸露土地。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（3）定期修剪树木、花卉等，</w:t>
            </w:r>
            <w:r>
              <w:rPr>
                <w:rFonts w:hint="eastAsia" w:ascii="宋体" w:hAnsi="宋体" w:eastAsia="宋体" w:cs="宋体"/>
                <w:color w:val="auto"/>
                <w:sz w:val="21"/>
                <w:szCs w:val="21"/>
                <w:highlight w:val="none"/>
                <w:u w:val="none"/>
                <w:lang w:val="en-US" w:eastAsia="zh-CN"/>
              </w:rPr>
              <w:t>灌乔木生长正常、造型美观自然、花枝新鲜，无枯叶、无病虫、无死树缺株。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w:t>
            </w:r>
            <w:r>
              <w:rPr>
                <w:rFonts w:hint="eastAsia" w:ascii="宋体" w:hAnsi="宋体" w:eastAsia="宋体" w:cs="宋体"/>
                <w:color w:val="auto"/>
                <w:sz w:val="21"/>
                <w:szCs w:val="21"/>
                <w:highlight w:val="none"/>
                <w:u w:val="none"/>
                <w:lang w:val="en-US" w:eastAsia="zh-CN"/>
              </w:rPr>
              <w:t>绿篱生长造型正常，颜色正常，修剪及时，基本无死株和干死株，有虫株率在10%以下。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highlight w:val="none"/>
                <w:u w:val="none"/>
                <w:lang w:val="en-US" w:eastAsia="zh-CN"/>
              </w:rPr>
              <w:t>清除花坛和花景的花蒂、黄叶、杂草、垃圾，做好病虫害防治。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color w:val="auto"/>
                <w:sz w:val="21"/>
                <w:szCs w:val="21"/>
                <w:highlight w:val="none"/>
                <w:u w:val="none"/>
                <w:lang w:val="en-US" w:eastAsia="zh-CN"/>
              </w:rPr>
              <w:t>水池水面定期清理，无枯枝落叶、水质清洁。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（7）根据病虫害发生规律实施综合治理，通常在病虫率高时，以药剂杀死病虫，以确保植物良好生长。产生垃圾的主要区域和路段做到日产日清。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（8）暴雨、台风等恶劣天气来临前，专人巡查，对绿植做好预防措施，排除安全隐患。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p>
        </w:tc>
        <w:tc>
          <w:tcPr>
            <w:tcW w:w="671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（9）恶劣天气后，及时清除倒树断枝，疏通道路，尽快恢复原状。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80"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rPr>
              <w:t>红日街公寓楼绿化养护服务</w:t>
            </w: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有专业人员实施绿化养护管理。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2</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根据气候状况和季节，适时组织浇灌、松土，花草树木生长良好，无枯死、无树挂，适时修剪、疏密得当，有良好的观赏效果；树形符合自然特征，整形植物保持一定形状。发现枯树在一周内清除，并适时补种。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3</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草坪生长整齐，高度不应超过8公分，超过时应在一周内及时进行修剪，每年清除杂草4次以上，有效控制杂草孳生；无垃圾、无烟头纸屑。</w:t>
            </w:r>
          </w:p>
          <w:p>
            <w:pPr>
              <w:spacing w:line="360" w:lineRule="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4</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绿篱枝叶较茂密，适时进行修剪，绿篱根部无枯枝枯叶及杂物，当天清除修剪废弃物。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5</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按植物品种、生长状况、土壤条件适时施肥，每年施肥1次，并视树木情况进行追肥1次。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适时组织防冻保暖，定期喷洒药物，预防病虫害，病虫害无明显迹象。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3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80"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rPr>
            </w:pPr>
          </w:p>
        </w:tc>
        <w:tc>
          <w:tcPr>
            <w:tcW w:w="671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7</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园林建筑和辅助设施完好，整洁无损。</w:t>
            </w:r>
          </w:p>
        </w:tc>
      </w:tr>
    </w:tbl>
    <w:p>
      <w:pPr>
        <w:pStyle w:val="4"/>
        <w:rPr>
          <w:rFonts w:hint="eastAsia" w:ascii="宋体" w:hAnsi="宋体" w:eastAsia="宋体" w:cs="宋体"/>
          <w:color w:val="auto"/>
          <w:sz w:val="21"/>
          <w:szCs w:val="21"/>
          <w:highlight w:val="none"/>
        </w:rPr>
      </w:pPr>
    </w:p>
    <w:p>
      <w:pPr>
        <w:pStyle w:val="4"/>
        <w:rPr>
          <w:rFonts w:hint="eastAsia" w:ascii="宋体" w:hAnsi="宋体" w:eastAsia="宋体" w:cs="宋体"/>
          <w:b/>
          <w:bCs w:val="0"/>
          <w:i w:val="0"/>
          <w:iCs w:val="0"/>
          <w:color w:val="auto"/>
          <w:sz w:val="21"/>
          <w:szCs w:val="21"/>
          <w:highlight w:val="none"/>
          <w:u w:val="none"/>
          <w:lang w:val="en-US" w:eastAsia="zh-CN"/>
        </w:rPr>
      </w:pPr>
      <w:r>
        <w:rPr>
          <w:rFonts w:hint="eastAsia" w:ascii="宋体" w:hAnsi="宋体" w:eastAsia="宋体" w:cs="宋体"/>
          <w:b/>
          <w:bCs w:val="0"/>
          <w:i w:val="0"/>
          <w:iCs w:val="0"/>
          <w:color w:val="auto"/>
          <w:sz w:val="21"/>
          <w:szCs w:val="21"/>
          <w:highlight w:val="none"/>
          <w:u w:val="none"/>
          <w:lang w:val="en-US" w:eastAsia="zh-CN"/>
        </w:rPr>
        <w:t>3.6</w:t>
      </w:r>
      <w:r>
        <w:rPr>
          <w:rFonts w:hint="eastAsia" w:ascii="宋体" w:hAnsi="宋体" w:eastAsia="宋体" w:cs="宋体"/>
          <w:color w:val="auto"/>
          <w:kern w:val="2"/>
          <w:sz w:val="21"/>
          <w:szCs w:val="21"/>
          <w:highlight w:val="none"/>
          <w:u w:val="none"/>
          <w:lang w:val="en-US" w:eastAsia="zh-CN" w:bidi="ar-SA"/>
        </w:rPr>
        <w:t>保安服务</w:t>
      </w:r>
    </w:p>
    <w:tbl>
      <w:tblPr>
        <w:tblStyle w:val="49"/>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9"/>
        <w:gridCol w:w="2279"/>
        <w:gridCol w:w="6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227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w:t>
            </w:r>
          </w:p>
        </w:tc>
        <w:tc>
          <w:tcPr>
            <w:tcW w:w="6692"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基本要求</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（1）建立保安服务相关制度，并按照执行。</w:t>
            </w:r>
            <w:r>
              <w:rPr>
                <w:rFonts w:hint="eastAsia" w:ascii="宋体" w:hAnsi="宋体" w:eastAsia="宋体" w:cs="宋体"/>
                <w:color w:val="auto"/>
                <w:sz w:val="21"/>
                <w:szCs w:val="21"/>
              </w:rPr>
              <w:t>门岗室整洁，公共秩序维护人员统一着装，佩戴有明显的标志，定期接受安全技能培训，有较强的安全防范能力，能正确使用各级消防、物防、技防设备和器材。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（2）对巡查、值守及异常情况等做好相关记录，填写规范，保存完好。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（3）配备保安服务必要的器材。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出入管理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（1）办公楼（区）主出入口应实行 24小时值班制。</w:t>
            </w:r>
            <w:r>
              <w:rPr>
                <w:rFonts w:hint="eastAsia" w:ascii="宋体" w:hAnsi="宋体" w:eastAsia="宋体" w:cs="宋体"/>
                <w:color w:val="auto"/>
                <w:sz w:val="21"/>
                <w:szCs w:val="21"/>
              </w:rPr>
              <w:t>设专人24小时值勤，其中出入口不少于8小时立岗值勤，并有详细的交接班记录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（2）设置接待岗。</w:t>
            </w:r>
            <w:r>
              <w:rPr>
                <w:rFonts w:hint="eastAsia" w:ascii="宋体" w:hAnsi="宋体" w:eastAsia="宋体" w:cs="宋体"/>
                <w:color w:val="auto"/>
                <w:spacing w:val="-6"/>
                <w:sz w:val="21"/>
                <w:szCs w:val="21"/>
              </w:rPr>
              <w:t>对进出小区的装修、家政等劳务人员实行临时出入证管理。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（3）设置门岗。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（4）在出入口对外来人员及其携带大件物品、外来车辆进行询问和记录，并与相关部门取得联系，同意后方可进入。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（5）大件物品搬出有相关部门开具的证明和清单，经核实后放行。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（6）排查可疑人员，对于不出示证件、不按规定登记、不听劝阻而强行闯入者，及时劝离，必要时通知公安机关进行处理。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（7）配合相关部门积极疏导上访人员，有效疏导如出入口人群集聚、车辆拥堵、货物堵塞道路等情况。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8）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r>
              <w:rPr>
                <w:rFonts w:hint="eastAsia" w:ascii="宋体" w:hAnsi="宋体" w:eastAsia="宋体" w:cs="宋体"/>
                <w:color w:val="auto"/>
                <w:sz w:val="21"/>
                <w:szCs w:val="21"/>
              </w:rPr>
              <w:t>配备有楼宇可视对讲系统、电子监控系统、电子巡更系统或者其他安全防范设施的，对安全监控设施实施24小时监控并及时记录，发现问题30分钟内有人到现场处理。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（9）提供现场接待服务。</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①</w:t>
            </w:r>
            <w:r>
              <w:rPr>
                <w:rFonts w:hint="eastAsia" w:ascii="宋体" w:hAnsi="宋体" w:eastAsia="宋体" w:cs="宋体"/>
                <w:color w:val="auto"/>
                <w:sz w:val="21"/>
                <w:szCs w:val="21"/>
                <w:highlight w:val="none"/>
                <w:u w:val="none"/>
                <w:lang w:eastAsia="zh-CN"/>
              </w:rPr>
              <w:t>做好来访人员、车辆进出证件登记，及时通报。</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lang w:eastAsia="zh-CN"/>
              </w:rPr>
            </w:pPr>
            <w:r>
              <w:rPr>
                <w:rFonts w:hint="eastAsia" w:ascii="宋体" w:hAnsi="宋体" w:eastAsia="宋体" w:cs="宋体"/>
                <w:color w:val="auto"/>
                <w:sz w:val="21"/>
                <w:szCs w:val="21"/>
                <w:highlight w:val="none"/>
                <w:u w:val="none"/>
                <w:lang w:val="en-US" w:eastAsia="zh-CN"/>
              </w:rPr>
              <w:t>②</w:t>
            </w:r>
            <w:r>
              <w:rPr>
                <w:rFonts w:hint="eastAsia" w:ascii="宋体" w:hAnsi="宋体" w:eastAsia="宋体" w:cs="宋体"/>
                <w:color w:val="auto"/>
                <w:sz w:val="21"/>
                <w:szCs w:val="21"/>
                <w:highlight w:val="none"/>
                <w:u w:val="none"/>
                <w:lang w:eastAsia="zh-CN"/>
              </w:rPr>
              <w:t>严禁无关人员、可疑人员和危险物品进入办公楼（区）内。</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③物品摆放整齐有序、分类放置。</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④现场办理等待时间不超过5分钟，等待较长时间应及时沟通。</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⑤对来访人员咨询、建议、求助等事项，及时处理或答复，处理和答复率100%。</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⑥接待服务工作时间应覆盖采购人工作时间（上班时间为</w:t>
            </w:r>
            <w:r>
              <w:rPr>
                <w:rFonts w:hint="eastAsia" w:ascii="宋体" w:hAnsi="宋体" w:eastAsia="宋体" w:cs="宋体"/>
                <w:color w:val="auto"/>
                <w:sz w:val="21"/>
                <w:szCs w:val="21"/>
                <w:highlight w:val="none"/>
                <w:u w:val="none"/>
                <w:lang w:val="en-US" w:eastAsia="zh-CN"/>
              </w:rPr>
              <w:t>8：00</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12：00，15：00</w:t>
            </w:r>
            <w:r>
              <w:rPr>
                <w:rFonts w:hint="eastAsia" w:ascii="宋体" w:hAnsi="宋体" w:eastAsia="宋体" w:cs="宋体"/>
                <w:color w:val="auto"/>
                <w:sz w:val="21"/>
                <w:szCs w:val="21"/>
                <w:highlight w:val="none"/>
                <w:u w:val="none"/>
              </w:rPr>
              <w:t>-</w:t>
            </w:r>
            <w:r>
              <w:rPr>
                <w:rFonts w:hint="eastAsia" w:ascii="宋体" w:hAnsi="宋体" w:eastAsia="宋体" w:cs="宋体"/>
                <w:color w:val="auto"/>
                <w:sz w:val="21"/>
                <w:szCs w:val="21"/>
                <w:highlight w:val="none"/>
                <w:u w:val="none"/>
                <w:lang w:val="en-US" w:eastAsia="zh-CN"/>
              </w:rPr>
              <w:t>18：00</w:t>
            </w:r>
            <w:r>
              <w:rPr>
                <w:rFonts w:hint="eastAsia" w:ascii="宋体" w:hAnsi="宋体" w:eastAsia="宋体" w:cs="宋体"/>
                <w:color w:val="auto"/>
                <w:sz w:val="21"/>
                <w:szCs w:val="21"/>
                <w:highlight w:val="none"/>
                <w:u w:val="none"/>
              </w:rPr>
              <w:t>）。</w:t>
            </w:r>
          </w:p>
          <w:p>
            <w:pPr>
              <w:keepNext w:val="0"/>
              <w:keepLines w:val="0"/>
              <w:pageBreakBefore w:val="0"/>
              <w:widowControl/>
              <w:kinsoku/>
              <w:wordWrap/>
              <w:overflowPunct/>
              <w:topLinePunct w:val="0"/>
              <w:autoSpaceDE/>
              <w:autoSpaceDN/>
              <w:bidi w:val="0"/>
              <w:adjustRightInd/>
              <w:snapToGrid w:val="0"/>
              <w:spacing w:line="300" w:lineRule="auto"/>
              <w:ind w:left="0" w:firstLine="210" w:firstLineChars="100"/>
              <w:jc w:val="left"/>
              <w:textAlignment w:val="auto"/>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⑦与被访人进行核实确认；告知被访人的办公室门牌号；告知访客注意事项（</w:t>
            </w:r>
            <w:r>
              <w:rPr>
                <w:rFonts w:hint="eastAsia" w:ascii="宋体" w:hAnsi="宋体" w:eastAsia="宋体" w:cs="宋体"/>
                <w:color w:val="auto"/>
                <w:sz w:val="21"/>
                <w:szCs w:val="21"/>
                <w:highlight w:val="none"/>
                <w:u w:val="none"/>
                <w:lang w:val="en-US" w:eastAsia="zh-CN"/>
              </w:rPr>
              <w:t>根据实际需要</w:t>
            </w:r>
            <w:r>
              <w:rPr>
                <w:rFonts w:hint="eastAsia" w:ascii="宋体" w:hAnsi="宋体" w:eastAsia="宋体" w:cs="宋体"/>
                <w:color w:val="auto"/>
                <w:sz w:val="21"/>
                <w:szCs w:val="21"/>
                <w:highlight w:val="none"/>
                <w:u w:val="none"/>
              </w:rPr>
              <w:t>填写</w:t>
            </w:r>
            <w:r>
              <w:rPr>
                <w:rFonts w:hint="eastAsia" w:ascii="宋体" w:hAnsi="宋体" w:eastAsia="宋体" w:cs="宋体"/>
                <w:color w:val="auto"/>
                <w:sz w:val="21"/>
                <w:szCs w:val="21"/>
                <w:highlight w:val="none"/>
                <w:u w:val="none"/>
                <w:lang w:val="en-US" w:eastAsia="zh-CN"/>
              </w:rPr>
              <w:t>注意事项</w:t>
            </w:r>
            <w:r>
              <w:rPr>
                <w:rFonts w:hint="eastAsia" w:ascii="宋体" w:hAnsi="宋体" w:eastAsia="宋体" w:cs="宋体"/>
                <w:color w:val="auto"/>
                <w:sz w:val="21"/>
                <w:szCs w:val="21"/>
                <w:highlight w:val="none"/>
                <w:u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10</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对火灾、治安、公共卫生等突发事件有应急预案，事发时及时报告有关部门，并协助采取相应措施。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pStyle w:val="96"/>
              <w:spacing w:line="360" w:lineRule="auto"/>
              <w:ind w:left="0" w:leftChars="0" w:firstLine="0" w:firstLineChars="0"/>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11</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每年应组织不少于1次应急预案演习。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值班</w:t>
            </w:r>
            <w:r>
              <w:rPr>
                <w:rFonts w:hint="eastAsia" w:ascii="宋体" w:hAnsi="宋体" w:eastAsia="宋体" w:cs="宋体"/>
                <w:color w:val="auto"/>
                <w:sz w:val="21"/>
                <w:szCs w:val="21"/>
                <w:highlight w:val="none"/>
              </w:rPr>
              <w:t>巡查</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（1）建立24小时值班巡查制度。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（2）制定巡查路线，按照指定时间和路线执行，加强重点区域、重点部位及装修区域的巡查。</w:t>
            </w:r>
            <w:r>
              <w:rPr>
                <w:rFonts w:hint="eastAsia" w:ascii="宋体" w:hAnsi="宋体" w:eastAsia="宋体" w:cs="宋体"/>
                <w:color w:val="auto"/>
                <w:sz w:val="21"/>
                <w:szCs w:val="21"/>
              </w:rPr>
              <w:t>按照规定路线和时间24小时进行有计划、不间断的巡逻，每天不少于8次。对重点区域.重点部位每1小时至少巡查1次，并做好巡查记录。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（3）巡查期间保持通信设施设备畅通，遇到异常情况立即上报并在现场采取相应措施。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（4）收到监控室指令后，巡查人员及时到达指定地点并迅速采取相应措施。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w:t>
            </w:r>
            <w:r>
              <w:rPr>
                <w:rFonts w:hint="eastAsia" w:ascii="宋体" w:hAnsi="宋体" w:eastAsia="宋体" w:cs="宋体"/>
                <w:color w:val="auto"/>
                <w:sz w:val="21"/>
                <w:szCs w:val="21"/>
              </w:rPr>
              <w:t>夜间对服务范围内重点部位、道路进行不少于一次的防范检查和巡逻。配有安全监控设施的，实施24小时监控并做有完备的记录。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监控</w:t>
            </w:r>
            <w:r>
              <w:rPr>
                <w:rFonts w:hint="eastAsia" w:ascii="宋体" w:hAnsi="宋体" w:eastAsia="宋体" w:cs="宋体"/>
                <w:color w:val="auto"/>
                <w:sz w:val="21"/>
                <w:szCs w:val="21"/>
                <w:highlight w:val="none"/>
                <w:lang w:val="en-US" w:eastAsia="zh-CN"/>
              </w:rPr>
              <w:t>值守</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（1）监控室环境符合系统设备运行要求，定期进行检查和检测，确保系统功能正常。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（2）监控设备24小时正常运行，监控室实行专人24小时值班制度。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（3）监控记录画面清晰，视频监控无死角、无盲区。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（4）值班期间遵守操作规程和保密制度，做好监控记录的保存工作。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（5）监控记录保持完整，保存时间不应少于30天。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（6）无关人员进入监控室或查阅监控记录，经授权人批准并做好相关记录。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（7）监控室收到火情等报警信号、其他异常情况信号后，及时报警并安排其他安保人员前往现场进行处理。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车辆停放</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（1）车辆行驶路线设置合理、规范，导向标志完整、清晰。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（2）合理规划车辆停放区域，张贴车辆引导标识，对车辆及停放区域实行规范管理。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（3）严禁在办公楼的公用走道、楼梯间、安全出口处等公共区域停放车辆或充电。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（4）非机动车定点有序停放。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（5）发现车辆异常情况及时通知车主，并做好登记；发生交通事故、自然灾害等意外事故时及时赶赴现场疏导和协助处理，响应时间不超过3分钟。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w:t>
            </w:r>
            <w:r>
              <w:rPr>
                <w:rFonts w:hint="eastAsia" w:ascii="宋体" w:hAnsi="宋体" w:eastAsia="宋体" w:cs="宋体"/>
                <w:color w:val="auto"/>
                <w:spacing w:val="-6"/>
                <w:sz w:val="21"/>
                <w:szCs w:val="21"/>
              </w:rPr>
              <w:t>对进出</w:t>
            </w:r>
            <w:r>
              <w:rPr>
                <w:rFonts w:hint="eastAsia" w:ascii="宋体" w:hAnsi="宋体" w:eastAsia="宋体" w:cs="宋体"/>
                <w:color w:val="auto"/>
                <w:spacing w:val="-6"/>
                <w:sz w:val="21"/>
                <w:szCs w:val="21"/>
                <w:lang w:val="en-US" w:eastAsia="zh-CN"/>
              </w:rPr>
              <w:t>办公</w:t>
            </w:r>
            <w:r>
              <w:rPr>
                <w:rFonts w:hint="eastAsia" w:ascii="宋体" w:hAnsi="宋体" w:eastAsia="宋体" w:cs="宋体"/>
                <w:color w:val="auto"/>
                <w:spacing w:val="-6"/>
                <w:sz w:val="21"/>
                <w:szCs w:val="21"/>
              </w:rPr>
              <w:t>区的车辆实施有效管理，引导车辆有序通行、停放。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消防安全管理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（1）建立消防安全责任制，确定各级消防安全责任人及其职责。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（2）消防控制室实行24小时值班制度。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（3）消火栓、应急照明、应急物资、消防及人员逃生通道、消防车通道可随时正常使用。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（4）定期组织消防安全宣传，每半年至少开展1次消防演练。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突发事件处理</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（1）制定突发事件安全责任书，明确突发事件责任人及应承担的安全责任。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（2）建立应急突发事件处置队伍，明确各自的职责。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（3）识别、分析各种潜在风险，针对不同风险类型制定相应解决方案，并配备应急物资。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（4）每半年至少开展1次突发事件应急演练，并有相应记录。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（5）发生意外事件时，及时采取应急措施，维护办公区域物业服务正常进行，保护人身财产安全。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（6）办公区域物业服务应急预案终止实施后，积极采取措施，在尽可能短的时间内，消除事故带来的不良影响，妥善安置和慰问受害及受影响的人员和部门。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（7）事故处理后，及时形成事故应急总结报告，完善应急救援工作方案。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p>
        </w:tc>
        <w:tc>
          <w:tcPr>
            <w:tcW w:w="2279" w:type="dxa"/>
            <w:vMerge w:val="restart"/>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大型活动秩序</w:t>
            </w: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（1）制定相应的活动秩序维护方案，合理安排人员，并对场所的安全隐患进行排查。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（2）应保障通道、出入口、停车场等区域畅通。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4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lang w:val="en-US" w:eastAsia="zh-CN"/>
              </w:rPr>
            </w:pPr>
          </w:p>
        </w:tc>
        <w:tc>
          <w:tcPr>
            <w:tcW w:w="2279" w:type="dxa"/>
            <w:vMerge w:val="continue"/>
            <w:noWrap w:val="0"/>
            <w:vAlign w:val="center"/>
          </w:tcPr>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left="0" w:leftChars="0" w:firstLine="0" w:firstLineChars="0"/>
              <w:textAlignment w:val="auto"/>
              <w:rPr>
                <w:rFonts w:hint="eastAsia" w:ascii="宋体" w:hAnsi="宋体" w:eastAsia="宋体" w:cs="宋体"/>
                <w:color w:val="auto"/>
                <w:sz w:val="21"/>
                <w:szCs w:val="21"/>
                <w:highlight w:val="none"/>
              </w:rPr>
            </w:pPr>
          </w:p>
        </w:tc>
        <w:tc>
          <w:tcPr>
            <w:tcW w:w="6692" w:type="dxa"/>
            <w:noWrap w:val="0"/>
            <w:vAlign w:val="center"/>
          </w:tcPr>
          <w:p>
            <w:pPr>
              <w:keepNext w:val="0"/>
              <w:keepLines w:val="0"/>
              <w:pageBreakBefore w:val="0"/>
              <w:widowControl/>
              <w:kinsoku/>
              <w:wordWrap/>
              <w:overflowPunct/>
              <w:topLinePunct w:val="0"/>
              <w:autoSpaceDE/>
              <w:autoSpaceDN/>
              <w:bidi w:val="0"/>
              <w:adjustRightInd/>
              <w:snapToGrid w:val="0"/>
              <w:spacing w:line="300" w:lineRule="auto"/>
              <w:jc w:val="left"/>
              <w:textAlignment w:val="auto"/>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（3）活动举办过程中，做好现场秩序的维护和突发事故的处置工作，确保活动正常进行。</w:t>
            </w:r>
          </w:p>
        </w:tc>
      </w:tr>
    </w:tbl>
    <w:p>
      <w:pPr>
        <w:pStyle w:val="4"/>
        <w:bidi w:val="0"/>
        <w:rPr>
          <w:rFonts w:hint="eastAsia" w:ascii="宋体" w:hAnsi="宋体" w:eastAsia="宋体" w:cs="宋体"/>
          <w:color w:val="auto"/>
          <w:sz w:val="21"/>
          <w:szCs w:val="21"/>
          <w:highlight w:val="none"/>
          <w:lang w:val="en-US" w:eastAsia="zh-CN"/>
        </w:rPr>
      </w:pPr>
    </w:p>
    <w:p>
      <w:pPr>
        <w:pStyle w:val="4"/>
        <w:bidi w:val="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3.7会议服务</w:t>
      </w:r>
    </w:p>
    <w:p>
      <w:pPr>
        <w:rPr>
          <w:rFonts w:hint="eastAsia" w:ascii="宋体" w:hAnsi="宋体" w:eastAsia="宋体" w:cs="宋体"/>
          <w:color w:val="auto"/>
          <w:lang w:val="en-US" w:eastAsia="zh-CN"/>
        </w:rPr>
      </w:pPr>
      <w:r>
        <w:rPr>
          <w:rFonts w:hint="eastAsia" w:ascii="宋体" w:hAnsi="宋体" w:eastAsia="宋体" w:cs="宋体"/>
          <w:color w:val="auto"/>
          <w:lang w:val="en-US" w:eastAsia="zh-CN"/>
        </w:rPr>
        <w:t>负责市委、市人民政府会议服务工作和会议场所保洁工作。</w:t>
      </w:r>
      <w:r>
        <w:rPr>
          <w:rFonts w:hint="eastAsia" w:ascii="宋体" w:hAnsi="宋体" w:eastAsia="宋体" w:cs="宋体"/>
          <w:color w:val="auto"/>
          <w:sz w:val="21"/>
          <w:szCs w:val="21"/>
        </w:rPr>
        <w:t>配合做好在市委、市人民政府举行的重大活动、仪式等服务保障工作。</w:t>
      </w:r>
    </w:p>
    <w:p>
      <w:pPr>
        <w:rPr>
          <w:rFonts w:hint="eastAsia"/>
          <w:color w:val="auto"/>
          <w:lang w:val="en-US" w:eastAsia="zh-CN"/>
        </w:rPr>
      </w:pPr>
    </w:p>
    <w:tbl>
      <w:tblPr>
        <w:tblStyle w:val="49"/>
        <w:tblW w:w="497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7"/>
        <w:gridCol w:w="2266"/>
        <w:gridCol w:w="66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序号</w:t>
            </w:r>
          </w:p>
        </w:tc>
        <w:tc>
          <w:tcPr>
            <w:tcW w:w="334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服务内容构成</w:t>
            </w:r>
          </w:p>
        </w:tc>
        <w:tc>
          <w:tcPr>
            <w:tcW w:w="9867"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color w:val="auto"/>
                <w:kern w:val="0"/>
                <w:sz w:val="21"/>
                <w:szCs w:val="21"/>
                <w:highlight w:val="none"/>
                <w:lang w:val="en-US" w:eastAsia="zh-CN"/>
              </w:rPr>
            </w:pPr>
            <w:r>
              <w:rPr>
                <w:rFonts w:hint="eastAsia" w:ascii="宋体" w:hAnsi="宋体" w:eastAsia="宋体" w:cs="宋体"/>
                <w:b/>
                <w:bCs/>
                <w:color w:val="auto"/>
                <w:kern w:val="0"/>
                <w:sz w:val="21"/>
                <w:szCs w:val="21"/>
                <w:highlight w:val="none"/>
                <w:lang w:val="en-US" w:eastAsia="zh-CN"/>
              </w:rPr>
              <w:t>服务标准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1</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会议受理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接受会议预订，记录会议需求。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2</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会前准备</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根据会议需求、场地大小、用途，明确会议桌椅、物品、设备、文具等摆放规定。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3</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引导服务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做好引导牌并放置在指定位置，引导人员引导手势规范，语言标准。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4</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会中服务</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会议开始后按要求加水。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281"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5</w:t>
            </w:r>
          </w:p>
        </w:tc>
        <w:tc>
          <w:tcPr>
            <w:tcW w:w="3348" w:type="dxa"/>
            <w:noWrap w:val="0"/>
            <w:vAlign w:val="center"/>
          </w:tcPr>
          <w:p>
            <w:pPr>
              <w:pageBreakBefore w:val="0"/>
              <w:widowControl/>
              <w:numPr>
                <w:ilvl w:val="0"/>
                <w:numId w:val="0"/>
              </w:numPr>
              <w:kinsoku/>
              <w:wordWrap/>
              <w:overflowPunct/>
              <w:topLinePunct w:val="0"/>
              <w:bidi w:val="0"/>
              <w:snapToGrid w:val="0"/>
              <w:spacing w:line="30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会后整理</w:t>
            </w:r>
          </w:p>
        </w:tc>
        <w:tc>
          <w:tcPr>
            <w:tcW w:w="9867" w:type="dxa"/>
            <w:noWrap w:val="0"/>
            <w:vAlign w:val="center"/>
          </w:tcPr>
          <w:p>
            <w:pPr>
              <w:pageBreakBefore w:val="0"/>
              <w:widowControl/>
              <w:numPr>
                <w:ilvl w:val="0"/>
                <w:numId w:val="0"/>
              </w:numPr>
              <w:kinsoku/>
              <w:wordWrap/>
              <w:overflowPunct/>
              <w:topLinePunct w:val="0"/>
              <w:bidi w:val="0"/>
              <w:snapToGrid w:val="0"/>
              <w:spacing w:line="300" w:lineRule="auto"/>
              <w:ind w:leftChars="0"/>
              <w:rPr>
                <w:rFonts w:hint="eastAsia" w:ascii="宋体" w:hAnsi="宋体" w:eastAsia="宋体" w:cs="宋体"/>
                <w:color w:val="auto"/>
                <w:kern w:val="2"/>
                <w:sz w:val="21"/>
                <w:szCs w:val="21"/>
                <w:highlight w:val="none"/>
                <w:u w:val="none"/>
                <w:lang w:val="en-US" w:eastAsia="zh-CN" w:bidi="ar-SA"/>
              </w:rPr>
            </w:pPr>
            <w:r>
              <w:rPr>
                <w:rFonts w:hint="eastAsia" w:ascii="宋体" w:hAnsi="宋体" w:eastAsia="宋体" w:cs="宋体"/>
                <w:color w:val="auto"/>
                <w:sz w:val="21"/>
                <w:szCs w:val="21"/>
                <w:highlight w:val="none"/>
                <w:u w:val="none"/>
                <w:lang w:val="en-US" w:eastAsia="zh-CN"/>
              </w:rPr>
              <w:t>对会议现场进行检查，做好会场清扫工作。</w:t>
            </w:r>
            <w:r>
              <w:rPr>
                <w:rFonts w:hint="eastAsia" w:ascii="宋体" w:hAnsi="宋体" w:eastAsia="宋体" w:cs="宋体"/>
                <w:color w:val="auto"/>
                <w:sz w:val="21"/>
                <w:szCs w:val="21"/>
              </w:rPr>
              <w:t>保洁工作包括：会议室、接待室的杯子、毛巾消毒；场内座位、桌椅、沙发、茶几清洁保养；会议室、接待室场内地面、墙面、柱面、门窗、玻璃、灯具、天花板光亮，无灰尘、无手印、无污渍。</w:t>
            </w:r>
          </w:p>
        </w:tc>
      </w:tr>
    </w:tbl>
    <w:p>
      <w:pPr>
        <w:pStyle w:val="2"/>
        <w:bidi w:val="0"/>
        <w:rPr>
          <w:rFonts w:hint="eastAsia" w:ascii="宋体" w:hAnsi="宋体" w:eastAsia="宋体" w:cs="宋体"/>
          <w:color w:val="auto"/>
          <w:sz w:val="21"/>
          <w:szCs w:val="21"/>
          <w:highlight w:val="none"/>
          <w:lang w:val="en-US" w:eastAsia="zh-CN"/>
        </w:rPr>
      </w:pPr>
    </w:p>
    <w:p>
      <w:pPr>
        <w:pStyle w:val="2"/>
        <w:numPr>
          <w:ilvl w:val="0"/>
          <w:numId w:val="0"/>
        </w:numPr>
        <w:bidi w:val="0"/>
        <w:rPr>
          <w:color w:val="auto"/>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物业管理服务人员需求</w:t>
      </w:r>
    </w:p>
    <w:tbl>
      <w:tblPr>
        <w:tblStyle w:val="49"/>
        <w:tblW w:w="485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8"/>
        <w:gridCol w:w="1080"/>
        <w:gridCol w:w="2439"/>
        <w:gridCol w:w="43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w:t>
            </w:r>
          </w:p>
        </w:tc>
        <w:tc>
          <w:tcPr>
            <w:tcW w:w="1080"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同时在岗人数</w:t>
            </w:r>
          </w:p>
        </w:tc>
        <w:tc>
          <w:tcPr>
            <w:tcW w:w="2439"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岗位所需总人数</w:t>
            </w:r>
          </w:p>
        </w:tc>
        <w:tc>
          <w:tcPr>
            <w:tcW w:w="4341" w:type="dxa"/>
            <w:noWrap w:val="0"/>
            <w:vAlign w:val="center"/>
          </w:tcPr>
          <w:p>
            <w:pPr>
              <w:pageBreakBefore w:val="0"/>
              <w:widowControl/>
              <w:kinsoku/>
              <w:wordWrap/>
              <w:overflowPunct/>
              <w:topLinePunct w:val="0"/>
              <w:bidi w:val="0"/>
              <w:snapToGrid w:val="0"/>
              <w:spacing w:line="300" w:lineRule="auto"/>
              <w:ind w:left="0"/>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备注（岗位所需服务时长或时段、需具备的上岗资格证</w:t>
            </w:r>
            <w:r>
              <w:rPr>
                <w:rFonts w:hint="eastAsia" w:ascii="宋体" w:hAnsi="宋体" w:eastAsia="宋体" w:cs="宋体"/>
                <w:b/>
                <w:bCs w:val="0"/>
                <w:color w:val="auto"/>
                <w:sz w:val="21"/>
                <w:szCs w:val="21"/>
                <w:highlight w:val="none"/>
                <w:lang w:eastAsia="zh-CN"/>
              </w:rPr>
              <w:t>、人员学历、工作经验</w:t>
            </w:r>
            <w:r>
              <w:rPr>
                <w:rFonts w:hint="eastAsia" w:ascii="宋体" w:hAnsi="宋体" w:eastAsia="宋体" w:cs="宋体"/>
                <w:b/>
                <w:bCs w:val="0"/>
                <w:color w:val="auto"/>
                <w:sz w:val="21"/>
                <w:szCs w:val="21"/>
                <w:highlight w:val="none"/>
              </w:rPr>
              <w:t>等</w:t>
            </w:r>
            <w:r>
              <w:rPr>
                <w:rFonts w:hint="eastAsia" w:ascii="宋体" w:hAnsi="宋体" w:eastAsia="宋体" w:cs="宋体"/>
                <w:b/>
                <w:bCs w:val="0"/>
                <w:color w:val="auto"/>
                <w:sz w:val="21"/>
                <w:szCs w:val="21"/>
                <w:highlight w:val="none"/>
                <w:lang w:eastAsia="zh-CN"/>
              </w:rPr>
              <w:t>要求</w:t>
            </w:r>
            <w:r>
              <w:rPr>
                <w:rFonts w:hint="eastAsia" w:ascii="宋体" w:hAnsi="宋体" w:eastAsia="宋体" w:cs="宋体"/>
                <w:b/>
                <w:bCs w:val="0"/>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项目经理</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p>
        </w:tc>
        <w:tc>
          <w:tcPr>
            <w:tcW w:w="4341" w:type="dxa"/>
            <w:noWrap w:val="0"/>
            <w:vAlign w:val="center"/>
          </w:tcPr>
          <w:p>
            <w:pPr>
              <w:spacing w:line="360" w:lineRule="auto"/>
              <w:ind w:firstLine="420"/>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性别不限，</w:t>
            </w:r>
            <w:r>
              <w:rPr>
                <w:rFonts w:hint="eastAsia" w:ascii="宋体" w:hAnsi="宋体" w:eastAsia="宋体" w:cs="宋体"/>
                <w:color w:val="auto"/>
                <w:sz w:val="21"/>
                <w:szCs w:val="21"/>
                <w:lang w:val="en-US" w:eastAsia="zh-CN"/>
              </w:rPr>
              <w:t>45岁以下，要求思想品德好，政治觉悟高，保密意识强，</w:t>
            </w:r>
            <w:r>
              <w:rPr>
                <w:rFonts w:hint="eastAsia" w:ascii="宋体" w:hAnsi="宋体" w:eastAsia="宋体" w:cs="宋体"/>
                <w:b/>
                <w:bCs/>
                <w:color w:val="auto"/>
                <w:sz w:val="21"/>
                <w:szCs w:val="21"/>
                <w:lang w:val="en-US" w:eastAsia="zh-CN"/>
              </w:rPr>
              <w:t>须为中共党员</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具有 3年以上物业管理经验，有较强的沟通协调指挥能力，掌握保安、保洁、绿化、维修、会务的运作流程和管理工作</w:t>
            </w:r>
            <w:r>
              <w:rPr>
                <w:rFonts w:hint="eastAsia" w:ascii="宋体" w:hAnsi="宋体" w:eastAsia="宋体" w:cs="宋体"/>
                <w:color w:val="auto"/>
                <w:sz w:val="21"/>
                <w:szCs w:val="21"/>
                <w:lang w:val="en-US" w:eastAsia="zh-CN"/>
              </w:rPr>
              <w:t>（须在投标时提供在党员管理信息系统查询结果或相关证明资料及有效的工作经验证明材料)；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rPr>
              <w:t>经理助理</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女性，形象好、气质佳，沟通协调能力强，</w:t>
            </w:r>
            <w:r>
              <w:rPr>
                <w:rFonts w:hint="eastAsia" w:ascii="宋体" w:hAnsi="宋体" w:eastAsia="宋体" w:cs="宋体"/>
                <w:color w:val="auto"/>
                <w:sz w:val="21"/>
                <w:szCs w:val="21"/>
                <w:lang w:val="en-US" w:eastAsia="zh-CN"/>
              </w:rPr>
              <w:t>2年以上工作经验</w:t>
            </w:r>
            <w:r>
              <w:rPr>
                <w:rFonts w:hint="eastAsia" w:ascii="宋体" w:hAnsi="宋体" w:eastAsia="宋体" w:cs="宋体"/>
                <w:color w:val="auto"/>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val="en-US" w:eastAsia="zh-CN"/>
              </w:rPr>
              <w:t>保安</w:t>
            </w:r>
            <w:r>
              <w:rPr>
                <w:rFonts w:hint="eastAsia" w:ascii="宋体" w:hAnsi="宋体" w:eastAsia="宋体" w:cs="宋体"/>
                <w:bCs/>
                <w:color w:val="auto"/>
                <w:sz w:val="21"/>
                <w:szCs w:val="21"/>
                <w:highlight w:val="none"/>
              </w:rPr>
              <w:t>主管</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lang w:val="en-US" w:eastAsia="zh-CN"/>
              </w:rPr>
              <w:t>要求思想品德好，政治觉悟高，保密意识强，</w:t>
            </w:r>
            <w:r>
              <w:rPr>
                <w:rFonts w:hint="eastAsia" w:ascii="宋体" w:hAnsi="宋体" w:eastAsia="宋体" w:cs="宋体"/>
                <w:color w:val="auto"/>
                <w:sz w:val="21"/>
                <w:szCs w:val="21"/>
              </w:rPr>
              <w:t>五官端正，身体健康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有沟通协调指挥能力，年龄50岁以下，具有3年以上保安主管经验，无犯罪记录。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保安礼仪岗</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身体健康，身高170cm以上，无犯罪记录。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保安员</w:t>
            </w:r>
          </w:p>
        </w:tc>
        <w:tc>
          <w:tcPr>
            <w:tcW w:w="1080" w:type="dxa"/>
            <w:noWrap w:val="0"/>
            <w:vAlign w:val="center"/>
          </w:tcPr>
          <w:p>
            <w:pPr>
              <w:pageBreakBefore w:val="0"/>
              <w:widowControl/>
              <w:kinsoku/>
              <w:wordWrap/>
              <w:overflowPunct/>
              <w:topLinePunct w:val="0"/>
              <w:bidi w:val="0"/>
              <w:snapToGrid w:val="0"/>
              <w:spacing w:line="300" w:lineRule="auto"/>
              <w:ind w:left="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38</w:t>
            </w:r>
          </w:p>
        </w:tc>
        <w:tc>
          <w:tcPr>
            <w:tcW w:w="2439" w:type="dxa"/>
            <w:noWrap w:val="0"/>
            <w:vAlign w:val="center"/>
          </w:tcPr>
          <w:p>
            <w:pPr>
              <w:pageBreakBefore w:val="0"/>
              <w:widowControl/>
              <w:kinsoku/>
              <w:wordWrap/>
              <w:overflowPunct/>
              <w:topLinePunct w:val="0"/>
              <w:bidi w:val="0"/>
              <w:snapToGrid w:val="0"/>
              <w:spacing w:line="300" w:lineRule="auto"/>
              <w:ind w:left="0"/>
              <w:jc w:val="both"/>
              <w:rPr>
                <w:rFonts w:hint="default"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38</w:t>
            </w:r>
          </w:p>
        </w:tc>
        <w:tc>
          <w:tcPr>
            <w:tcW w:w="4341" w:type="dxa"/>
            <w:noWrap w:val="0"/>
            <w:vAlign w:val="center"/>
          </w:tcPr>
          <w:p>
            <w:pPr>
              <w:pageBreakBefore w:val="0"/>
              <w:widowControl/>
              <w:kinsoku/>
              <w:wordWrap/>
              <w:overflowPunct/>
              <w:topLinePunct w:val="0"/>
              <w:bidi w:val="0"/>
              <w:snapToGrid w:val="0"/>
              <w:spacing w:line="300" w:lineRule="auto"/>
              <w:ind w:left="0"/>
              <w:jc w:val="both"/>
              <w:rPr>
                <w:rFonts w:hint="eastAsia" w:ascii="宋体" w:hAnsi="宋体" w:eastAsia="宋体" w:cs="宋体"/>
                <w:bCs/>
                <w:color w:val="auto"/>
                <w:sz w:val="21"/>
                <w:szCs w:val="21"/>
                <w:highlight w:val="none"/>
                <w:lang w:val="en-US" w:eastAsia="zh-CN"/>
              </w:rPr>
            </w:pPr>
            <w:r>
              <w:rPr>
                <w:rFonts w:hint="eastAsia" w:ascii="宋体" w:hAnsi="宋体" w:eastAsia="宋体" w:cs="宋体"/>
                <w:color w:val="auto"/>
                <w:sz w:val="21"/>
                <w:szCs w:val="21"/>
              </w:rPr>
              <w:t>五官端正，身体健康，无犯罪记录。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rPr>
              <w:t>维修主管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sz w:val="21"/>
                <w:szCs w:val="21"/>
              </w:rPr>
              <w:t>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w:t>
            </w:r>
            <w:r>
              <w:rPr>
                <w:rFonts w:hint="eastAsia" w:ascii="宋体" w:hAnsi="宋体" w:eastAsia="宋体" w:cs="宋体"/>
                <w:color w:val="auto"/>
                <w:sz w:val="21"/>
                <w:szCs w:val="21"/>
                <w:lang w:val="en-US" w:eastAsia="zh-CN"/>
              </w:rPr>
              <w:t>低压上岗</w:t>
            </w:r>
            <w:r>
              <w:rPr>
                <w:rFonts w:hint="eastAsia" w:ascii="宋体" w:hAnsi="宋体" w:eastAsia="宋体" w:cs="宋体"/>
                <w:color w:val="auto"/>
                <w:sz w:val="21"/>
                <w:szCs w:val="21"/>
              </w:rPr>
              <w:t>证，年龄55岁以下，有3年以上的工作经验。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维修电工</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9</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有水电工从业资格证</w:t>
            </w:r>
            <w:r>
              <w:rPr>
                <w:rFonts w:hint="eastAsia" w:ascii="宋体" w:hAnsi="宋体" w:eastAsia="宋体" w:cs="宋体"/>
                <w:color w:val="auto"/>
                <w:sz w:val="21"/>
                <w:szCs w:val="21"/>
                <w:lang w:eastAsia="zh-CN"/>
              </w:rPr>
              <w:t>，具</w:t>
            </w:r>
            <w:r>
              <w:rPr>
                <w:rFonts w:hint="eastAsia" w:ascii="宋体" w:hAnsi="宋体" w:eastAsia="宋体" w:cs="宋体"/>
                <w:color w:val="auto"/>
                <w:sz w:val="21"/>
                <w:szCs w:val="21"/>
              </w:rPr>
              <w:t>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空调维护工</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 xml:space="preserve">身体健康，有2年以上工作经验。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音响</w:t>
            </w:r>
            <w:r>
              <w:rPr>
                <w:rFonts w:hint="eastAsia" w:ascii="宋体" w:hAnsi="宋体" w:eastAsia="宋体" w:cs="宋体"/>
                <w:color w:val="auto"/>
                <w:sz w:val="21"/>
                <w:szCs w:val="21"/>
                <w:lang w:val="en-US" w:eastAsia="zh-CN"/>
              </w:rPr>
              <w:t>师</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保洁</w:t>
            </w:r>
            <w:r>
              <w:rPr>
                <w:rFonts w:hint="eastAsia" w:ascii="宋体" w:hAnsi="宋体" w:eastAsia="宋体" w:cs="宋体"/>
                <w:color w:val="auto"/>
                <w:sz w:val="21"/>
                <w:szCs w:val="21"/>
                <w:lang w:val="en-US" w:eastAsia="zh-CN"/>
              </w:rPr>
              <w:t>绿化主管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spacing w:line="360" w:lineRule="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性别不限，身体健康、年龄45岁以下，有3年以上</w:t>
            </w:r>
            <w:r>
              <w:rPr>
                <w:rFonts w:hint="eastAsia" w:ascii="宋体" w:hAnsi="宋体" w:eastAsia="宋体" w:cs="宋体"/>
                <w:color w:val="auto"/>
                <w:sz w:val="21"/>
                <w:szCs w:val="21"/>
                <w:lang w:val="en-US" w:eastAsia="zh-CN"/>
              </w:rPr>
              <w:t>绿化</w:t>
            </w:r>
            <w:r>
              <w:rPr>
                <w:rFonts w:hint="eastAsia" w:ascii="宋体" w:hAnsi="宋体" w:eastAsia="宋体" w:cs="宋体"/>
                <w:color w:val="auto"/>
                <w:sz w:val="21"/>
                <w:szCs w:val="21"/>
              </w:rPr>
              <w:t>保洁管理经验。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保洁员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18</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18</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 xml:space="preserve">身体健康，具有保洁和消杀经验。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绿化人员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身体健康，熟悉植物和绿地养护工作。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sz w:val="21"/>
                <w:szCs w:val="21"/>
              </w:rPr>
              <w:t>会务服务主管</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sz w:val="21"/>
                <w:szCs w:val="21"/>
              </w:rPr>
              <w:t>女性，形象好、气质佳，沟通协调能力强，具有礼仪和会务服务知识，具备会务主管经验。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sz w:val="21"/>
                <w:szCs w:val="21"/>
              </w:rPr>
            </w:pPr>
            <w:r>
              <w:rPr>
                <w:rFonts w:hint="eastAsia" w:ascii="宋体" w:hAnsi="宋体" w:eastAsia="宋体" w:cs="宋体"/>
                <w:color w:val="auto"/>
                <w:kern w:val="2"/>
                <w:sz w:val="21"/>
                <w:szCs w:val="21"/>
                <w:lang w:val="en-US" w:eastAsia="zh-CN"/>
              </w:rPr>
              <w:t>会务服务员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5</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女性，身体健康，形象好、气质佳，有礼仪服务和会务服务工作经验。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场务人员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lang w:val="en-US" w:eastAsia="zh-CN"/>
              </w:rPr>
              <w:t>性别不限，身体健康，具有2年以上工作经验。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监控人员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2439"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sz w:val="21"/>
                <w:szCs w:val="21"/>
                <w:highlight w:val="none"/>
              </w:rPr>
            </w:pPr>
            <w:r>
              <w:rPr>
                <w:rFonts w:hint="eastAsia" w:ascii="宋体" w:hAnsi="宋体" w:eastAsia="宋体" w:cs="宋体"/>
                <w:color w:val="auto"/>
                <w:kern w:val="2"/>
                <w:sz w:val="21"/>
                <w:szCs w:val="21"/>
                <w:lang w:val="en-US" w:eastAsia="zh-CN"/>
              </w:rPr>
              <w:t>性别不限，身体健康，具备熟识和熟练掌握室内电子监控、消防监控设备系统的基本原理、功能和操作技术、维护和修理技术。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bidi="ar-SA"/>
              </w:rPr>
            </w:pPr>
            <w:r>
              <w:rPr>
                <w:rFonts w:hint="eastAsia" w:ascii="宋体" w:hAnsi="宋体" w:eastAsia="宋体" w:cs="宋体"/>
                <w:color w:val="auto"/>
                <w:kern w:val="2"/>
                <w:sz w:val="21"/>
                <w:szCs w:val="21"/>
                <w:lang w:val="en-US" w:eastAsia="zh-CN"/>
              </w:rPr>
              <w:t>后勤人员（文员）</w:t>
            </w:r>
          </w:p>
        </w:tc>
        <w:tc>
          <w:tcPr>
            <w:tcW w:w="1080"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21</w:t>
            </w:r>
          </w:p>
        </w:tc>
        <w:tc>
          <w:tcPr>
            <w:tcW w:w="2439"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21</w:t>
            </w:r>
          </w:p>
        </w:tc>
        <w:tc>
          <w:tcPr>
            <w:tcW w:w="4341" w:type="dxa"/>
            <w:shd w:val="clear" w:color="auto" w:fill="auto"/>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color w:val="auto"/>
                <w:kern w:val="2"/>
                <w:sz w:val="21"/>
                <w:szCs w:val="21"/>
                <w:lang w:val="en-US" w:eastAsia="zh-CN"/>
              </w:rPr>
              <w:t>性别不限，身体健康，具有2年以上工作经验。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708"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理发员</w:t>
            </w:r>
          </w:p>
        </w:tc>
        <w:tc>
          <w:tcPr>
            <w:tcW w:w="1080" w:type="dxa"/>
            <w:noWrap w:val="0"/>
            <w:vAlign w:val="center"/>
          </w:tcPr>
          <w:p>
            <w:pPr>
              <w:pageBreakBefore w:val="0"/>
              <w:widowControl/>
              <w:kinsoku/>
              <w:wordWrap/>
              <w:overflowPunct/>
              <w:topLinePunct w:val="0"/>
              <w:bidi w:val="0"/>
              <w:snapToGrid w:val="0"/>
              <w:spacing w:line="300" w:lineRule="auto"/>
              <w:ind w:left="0" w:leftChars="0"/>
              <w:jc w:val="both"/>
              <w:rPr>
                <w:rFonts w:hint="default"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p>
        </w:tc>
        <w:tc>
          <w:tcPr>
            <w:tcW w:w="2439" w:type="dxa"/>
            <w:noWrap w:val="0"/>
            <w:vAlign w:val="center"/>
          </w:tcPr>
          <w:p>
            <w:pPr>
              <w:rPr>
                <w:rFonts w:hint="eastAsia" w:eastAsiaTheme="minorEastAsia"/>
                <w:color w:val="auto"/>
                <w:lang w:val="en-US" w:eastAsia="zh-CN"/>
              </w:rPr>
            </w:pPr>
            <w:r>
              <w:rPr>
                <w:rFonts w:hint="eastAsia"/>
                <w:color w:val="auto"/>
                <w:lang w:val="en-US" w:eastAsia="zh-CN"/>
              </w:rPr>
              <w:t>2</w:t>
            </w:r>
          </w:p>
        </w:tc>
        <w:tc>
          <w:tcPr>
            <w:tcW w:w="4341" w:type="dxa"/>
            <w:noWrap w:val="0"/>
            <w:vAlign w:val="center"/>
          </w:tcPr>
          <w:p>
            <w:pPr>
              <w:pageBreakBefore w:val="0"/>
              <w:widowControl/>
              <w:kinsoku/>
              <w:wordWrap/>
              <w:overflowPunct/>
              <w:topLinePunct w:val="0"/>
              <w:bidi w:val="0"/>
              <w:snapToGrid w:val="0"/>
              <w:spacing w:line="300" w:lineRule="auto"/>
              <w:ind w:left="0" w:leftChars="0"/>
              <w:jc w:val="both"/>
              <w:rPr>
                <w:rFonts w:hint="eastAsia" w:ascii="宋体" w:hAnsi="宋体" w:eastAsia="宋体" w:cs="宋体"/>
                <w:color w:val="auto"/>
                <w:kern w:val="2"/>
                <w:sz w:val="21"/>
                <w:szCs w:val="21"/>
                <w:lang w:val="en-US" w:eastAsia="zh-CN"/>
              </w:rPr>
            </w:pPr>
            <w:r>
              <w:rPr>
                <w:rFonts w:hint="eastAsia" w:ascii="宋体" w:hAnsi="宋体" w:eastAsia="宋体" w:cs="宋体"/>
                <w:color w:val="auto"/>
                <w:kern w:val="2"/>
                <w:sz w:val="21"/>
                <w:szCs w:val="21"/>
                <w:lang w:val="en-US" w:eastAsia="zh-CN"/>
              </w:rPr>
              <w:t>性别不限，身体健康，具有2年以上工作经验。</w:t>
            </w:r>
          </w:p>
        </w:tc>
      </w:tr>
    </w:tbl>
    <w:p>
      <w:pPr>
        <w:numPr>
          <w:ilvl w:val="0"/>
          <w:numId w:val="0"/>
        </w:numPr>
        <w:rPr>
          <w:rFonts w:hint="eastAsia"/>
          <w:color w:val="auto"/>
        </w:rPr>
      </w:pP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u w:val="none"/>
          <w:lang w:val="en-US" w:eastAsia="zh-CN"/>
        </w:rPr>
        <w:t>注：</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 w:val="0"/>
          <w:bCs/>
          <w:color w:val="auto"/>
          <w:sz w:val="21"/>
          <w:szCs w:val="21"/>
          <w:highlight w:val="none"/>
          <w:u w:val="none"/>
        </w:rPr>
      </w:pPr>
      <w:r>
        <w:rPr>
          <w:rFonts w:hint="eastAsia" w:ascii="宋体" w:hAnsi="宋体" w:eastAsia="宋体" w:cs="宋体"/>
          <w:color w:val="auto"/>
          <w:sz w:val="21"/>
          <w:szCs w:val="21"/>
          <w:highlight w:val="none"/>
          <w:u w:val="none"/>
          <w:lang w:val="en-US" w:eastAsia="zh-CN"/>
        </w:rPr>
        <w:t>（1）</w:t>
      </w:r>
      <w:r>
        <w:rPr>
          <w:rFonts w:hint="eastAsia" w:ascii="宋体" w:hAnsi="宋体" w:eastAsia="宋体" w:cs="宋体"/>
          <w:b w:val="0"/>
          <w:bCs/>
          <w:color w:val="auto"/>
          <w:sz w:val="21"/>
          <w:szCs w:val="21"/>
          <w:highlight w:val="none"/>
          <w:u w:val="none"/>
          <w:lang w:val="en-US" w:eastAsia="zh-CN"/>
        </w:rPr>
        <w:t>供应商</w:t>
      </w:r>
      <w:r>
        <w:rPr>
          <w:rFonts w:hint="eastAsia" w:ascii="宋体" w:hAnsi="宋体" w:eastAsia="宋体" w:cs="宋体"/>
          <w:b w:val="0"/>
          <w:bCs/>
          <w:color w:val="auto"/>
          <w:sz w:val="21"/>
          <w:szCs w:val="21"/>
          <w:highlight w:val="none"/>
          <w:u w:val="none"/>
        </w:rPr>
        <w:t>应</w:t>
      </w:r>
      <w:r>
        <w:rPr>
          <w:rFonts w:hint="eastAsia" w:ascii="宋体" w:hAnsi="宋体" w:eastAsia="宋体" w:cs="宋体"/>
          <w:b w:val="0"/>
          <w:bCs/>
          <w:color w:val="auto"/>
          <w:sz w:val="21"/>
          <w:szCs w:val="21"/>
          <w:highlight w:val="none"/>
          <w:u w:val="none"/>
          <w:lang w:eastAsia="zh-CN"/>
        </w:rPr>
        <w:t>按国家相关法律法规，合理确定服务人员工资标准，确保</w:t>
      </w:r>
      <w:r>
        <w:rPr>
          <w:rFonts w:hint="eastAsia" w:ascii="宋体" w:hAnsi="宋体" w:eastAsia="宋体" w:cs="宋体"/>
          <w:b w:val="0"/>
          <w:bCs/>
          <w:color w:val="auto"/>
          <w:sz w:val="21"/>
          <w:szCs w:val="21"/>
          <w:highlight w:val="none"/>
          <w:u w:val="none"/>
        </w:rPr>
        <w:t>工作时间符合</w:t>
      </w:r>
      <w:r>
        <w:rPr>
          <w:rFonts w:hint="eastAsia" w:ascii="宋体" w:hAnsi="宋体" w:eastAsia="宋体" w:cs="宋体"/>
          <w:b w:val="0"/>
          <w:bCs/>
          <w:color w:val="auto"/>
          <w:sz w:val="21"/>
          <w:szCs w:val="21"/>
          <w:highlight w:val="none"/>
          <w:u w:val="none"/>
          <w:lang w:val="en-US" w:eastAsia="zh-CN"/>
        </w:rPr>
        <w:t>国家</w:t>
      </w:r>
      <w:r>
        <w:rPr>
          <w:rFonts w:hint="eastAsia" w:ascii="宋体" w:hAnsi="宋体" w:eastAsia="宋体" w:cs="宋体"/>
          <w:b w:val="0"/>
          <w:bCs/>
          <w:color w:val="auto"/>
          <w:sz w:val="21"/>
          <w:szCs w:val="21"/>
          <w:highlight w:val="none"/>
          <w:u w:val="none"/>
        </w:rPr>
        <w:t>劳动法的规定。</w:t>
      </w:r>
    </w:p>
    <w:p>
      <w:pPr>
        <w:keepNext w:val="0"/>
        <w:keepLines w:val="0"/>
        <w:pageBreakBefore w:val="0"/>
        <w:widowControl/>
        <w:numPr>
          <w:ilvl w:val="0"/>
          <w:numId w:val="0"/>
        </w:numPr>
        <w:kinsoku/>
        <w:wordWrap/>
        <w:overflowPunct/>
        <w:topLinePunct w:val="0"/>
        <w:autoSpaceDE/>
        <w:autoSpaceDN/>
        <w:bidi w:val="0"/>
        <w:adjustRightInd/>
        <w:snapToGrid w:val="0"/>
        <w:spacing w:line="300" w:lineRule="auto"/>
        <w:ind w:firstLine="420" w:firstLineChars="200"/>
        <w:jc w:val="left"/>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bidi="ar-SA"/>
        </w:rPr>
        <w:t>（2）</w:t>
      </w:r>
      <w:r>
        <w:rPr>
          <w:rFonts w:hint="eastAsia" w:ascii="宋体" w:hAnsi="宋体" w:eastAsia="宋体" w:cs="宋体"/>
          <w:b w:val="0"/>
          <w:bCs/>
          <w:color w:val="auto"/>
          <w:sz w:val="21"/>
          <w:szCs w:val="21"/>
          <w:highlight w:val="none"/>
          <w:u w:val="none"/>
          <w:lang w:val="en-US" w:eastAsia="zh-CN"/>
        </w:rPr>
        <w:t>供应商</w:t>
      </w:r>
      <w:r>
        <w:rPr>
          <w:rFonts w:hint="eastAsia" w:ascii="宋体" w:hAnsi="宋体" w:eastAsia="宋体" w:cs="宋体"/>
          <w:bCs/>
          <w:i w:val="0"/>
          <w:iCs w:val="0"/>
          <w:color w:val="auto"/>
          <w:kern w:val="0"/>
          <w:sz w:val="21"/>
          <w:szCs w:val="21"/>
          <w:highlight w:val="none"/>
          <w:u w:val="none"/>
          <w:lang w:val="en-US" w:eastAsia="zh-CN" w:bidi="ar"/>
        </w:rPr>
        <w:t>应自行为服务人员办理必需的保险</w:t>
      </w:r>
      <w:r>
        <w:rPr>
          <w:rFonts w:hint="eastAsia" w:ascii="宋体" w:hAnsi="宋体" w:eastAsia="宋体" w:cs="宋体"/>
          <w:b w:val="0"/>
          <w:bCs/>
          <w:color w:val="auto"/>
          <w:sz w:val="21"/>
          <w:szCs w:val="21"/>
          <w:highlight w:val="none"/>
          <w:u w:val="none"/>
        </w:rPr>
        <w:t>，有关人员伤亡及第三者责任险均</w:t>
      </w:r>
      <w:r>
        <w:rPr>
          <w:rFonts w:hint="eastAsia" w:ascii="宋体" w:hAnsi="宋体" w:eastAsia="宋体" w:cs="宋体"/>
          <w:b w:val="0"/>
          <w:bCs/>
          <w:color w:val="auto"/>
          <w:sz w:val="21"/>
          <w:szCs w:val="21"/>
          <w:highlight w:val="none"/>
          <w:u w:val="none"/>
          <w:lang w:val="en-US" w:eastAsia="zh-CN"/>
        </w:rPr>
        <w:t>应</w:t>
      </w:r>
      <w:r>
        <w:rPr>
          <w:rFonts w:hint="eastAsia" w:ascii="宋体" w:hAnsi="宋体" w:eastAsia="宋体" w:cs="宋体"/>
          <w:b w:val="0"/>
          <w:bCs/>
          <w:color w:val="auto"/>
          <w:sz w:val="21"/>
          <w:szCs w:val="21"/>
          <w:highlight w:val="none"/>
          <w:u w:val="none"/>
        </w:rPr>
        <w:t>考虑在报价因素中</w:t>
      </w:r>
      <w:r>
        <w:rPr>
          <w:rFonts w:hint="eastAsia" w:ascii="宋体" w:hAnsi="宋体" w:eastAsia="宋体" w:cs="宋体"/>
          <w:b w:val="0"/>
          <w:bCs/>
          <w:color w:val="auto"/>
          <w:kern w:val="0"/>
          <w:sz w:val="21"/>
          <w:szCs w:val="21"/>
          <w:highlight w:val="none"/>
          <w:u w:val="none"/>
        </w:rPr>
        <w:t>。</w:t>
      </w:r>
    </w:p>
    <w:bookmarkEnd w:id="46"/>
    <w:bookmarkEnd w:id="47"/>
    <w:bookmarkEnd w:id="48"/>
    <w:p>
      <w:pPr>
        <w:pStyle w:val="59"/>
        <w:spacing w:line="360" w:lineRule="auto"/>
        <w:ind w:left="0" w:leftChars="0" w:firstLine="0" w:firstLineChars="0"/>
        <w:rPr>
          <w:rFonts w:hint="eastAsia" w:ascii="宋体" w:hAnsi="宋体" w:eastAsia="宋体" w:cs="宋体"/>
          <w:color w:val="auto"/>
          <w:kern w:val="2"/>
          <w:sz w:val="21"/>
          <w:szCs w:val="21"/>
          <w:highlight w:val="none"/>
          <w:u w:val="none"/>
          <w:lang w:val="en-US" w:eastAsia="zh-CN" w:bidi="ar-SA"/>
        </w:rPr>
      </w:pPr>
    </w:p>
    <w:p>
      <w:pPr>
        <w:pStyle w:val="43"/>
        <w:shd w:val="clear" w:color="auto" w:fill="FFFFFF"/>
        <w:spacing w:line="360" w:lineRule="auto"/>
        <w:ind w:firstLine="420"/>
        <w:rPr>
          <w:rFonts w:hint="eastAsia" w:ascii="宋体" w:hAnsi="宋体" w:eastAsia="宋体" w:cs="宋体"/>
          <w:b/>
          <w:bCs/>
          <w:color w:val="auto"/>
          <w:kern w:val="2"/>
          <w:sz w:val="21"/>
          <w:szCs w:val="21"/>
          <w:lang w:val="en-US" w:eastAsia="zh-CN"/>
        </w:rPr>
      </w:pPr>
      <w:r>
        <w:rPr>
          <w:rFonts w:hint="eastAsia" w:ascii="宋体" w:hAnsi="宋体" w:cs="宋体"/>
          <w:b/>
          <w:bCs/>
          <w:color w:val="auto"/>
          <w:kern w:val="2"/>
          <w:sz w:val="21"/>
          <w:szCs w:val="21"/>
          <w:lang w:val="en-US" w:eastAsia="zh-CN"/>
        </w:rPr>
        <w:t>6.</w:t>
      </w:r>
      <w:r>
        <w:rPr>
          <w:rFonts w:hint="eastAsia" w:ascii="宋体" w:hAnsi="宋体" w:eastAsia="宋体" w:cs="宋体"/>
          <w:b/>
          <w:bCs/>
          <w:color w:val="auto"/>
          <w:kern w:val="2"/>
          <w:sz w:val="21"/>
          <w:szCs w:val="21"/>
          <w:lang w:val="en-US" w:eastAsia="zh-CN"/>
        </w:rPr>
        <w:t>其他要求</w:t>
      </w:r>
    </w:p>
    <w:p>
      <w:pPr>
        <w:pStyle w:val="43"/>
        <w:shd w:val="clear" w:color="auto" w:fill="FFFFFF"/>
        <w:spacing w:line="360" w:lineRule="auto"/>
        <w:ind w:firstLine="420"/>
        <w:rPr>
          <w:rFonts w:hint="eastAsia" w:ascii="宋体" w:hAnsi="宋体" w:eastAsia="宋体" w:cs="宋体"/>
          <w:color w:val="auto"/>
          <w:kern w:val="2"/>
          <w:sz w:val="21"/>
          <w:szCs w:val="21"/>
          <w:lang w:val="en-US" w:eastAsia="zh-CN"/>
        </w:rPr>
      </w:pPr>
      <w:r>
        <w:rPr>
          <w:rFonts w:hint="eastAsia" w:ascii="宋体" w:hAnsi="宋体" w:cs="宋体"/>
          <w:color w:val="auto"/>
          <w:kern w:val="2"/>
          <w:sz w:val="21"/>
          <w:szCs w:val="21"/>
          <w:lang w:val="en-US" w:eastAsia="zh-CN"/>
        </w:rPr>
        <w:t>1、</w:t>
      </w:r>
      <w:r>
        <w:rPr>
          <w:rFonts w:hint="eastAsia" w:ascii="宋体" w:hAnsi="宋体" w:eastAsia="宋体" w:cs="宋体"/>
          <w:color w:val="auto"/>
          <w:kern w:val="2"/>
          <w:sz w:val="21"/>
          <w:szCs w:val="21"/>
          <w:lang w:val="en-US" w:eastAsia="zh-CN"/>
        </w:rPr>
        <w:t>加强“两新”组织党组织建设</w:t>
      </w:r>
      <w:r>
        <w:rPr>
          <w:rFonts w:hint="eastAsia" w:ascii="宋体" w:hAnsi="宋体" w:eastAsia="宋体" w:cs="宋体"/>
          <w:color w:val="auto"/>
          <w:kern w:val="2"/>
          <w:sz w:val="21"/>
          <w:szCs w:val="21"/>
          <w:lang w:val="en-US" w:eastAsia="zh-CN"/>
        </w:rPr>
        <w:br w:type="textWrapping"/>
      </w:r>
      <w:r>
        <w:rPr>
          <w:rFonts w:hint="eastAsia" w:ascii="宋体" w:hAnsi="宋体" w:eastAsia="宋体" w:cs="宋体"/>
          <w:color w:val="auto"/>
          <w:kern w:val="2"/>
          <w:sz w:val="21"/>
          <w:szCs w:val="21"/>
          <w:lang w:val="en-US" w:eastAsia="zh-CN"/>
        </w:rPr>
        <w:t xml:space="preserve">    把党组织融入日常的物业服务，发挥创建自身党组织的凝聚力和影响力，在做好服务本职工作的同时，主动担当政策宣传、民意反馈等方面的工作，将了解社情、宣传政策、收集问题融入日常物业服务中，让采购人感受到贴心的温暖，有效密切党群关系。</w:t>
      </w:r>
    </w:p>
    <w:p>
      <w:pPr>
        <w:spacing w:line="360" w:lineRule="auto"/>
        <w:ind w:firstLine="480" w:firstLineChars="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加强保密培训与教育，增强保密工作</w:t>
      </w:r>
    </w:p>
    <w:p>
      <w:pPr>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rPr>
        <w:t>把保密工作列入年度员工培训与教育计划，增强保密工作，确保市行政信息中心会务服务与市领导办公区域的保密保障。</w:t>
      </w:r>
    </w:p>
    <w:p>
      <w:pPr>
        <w:pStyle w:val="59"/>
        <w:spacing w:line="360" w:lineRule="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投标人拟投入本项目物业经理具有大专或以上学历、人社部门备案的评价机构颁发的物业管理师证书、国家保密局宣传教育司颁发的保密教育培训证书、人力资源和社会保障部门颁发的项目管理专业职称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拟投入本项目安保主管具有中专或以上学历、为退伍军人、有应急管理部门或人力资源和社会保障部门颁发的应急救援员职业资格证书、有消防设施操作员证、人力资源和社会保障厅颁发的职称证书、行政管理部门颁发的安全生产管理人员证书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投标人拟投入本项目经理助理具有中专或以上学历、人力资源和社会保障厅颁发的职称证书、人社部门备案的评价机构颁发的物业管理师证书的优先考虑；</w:t>
      </w:r>
    </w:p>
    <w:p>
      <w:pPr>
        <w:pStyle w:val="59"/>
        <w:spacing w:line="360" w:lineRule="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投标人拟投入本项目维修主管具有电气工程与自动化相关专业大专以上学历、人力资源和社会保障部门颁发的工业电气及其电动化专业相关专业职称证书、行政部门颁发的特种设备作业证、高压电工证的优先考虑。</w:t>
      </w:r>
    </w:p>
    <w:p>
      <w:pPr>
        <w:pStyle w:val="59"/>
        <w:spacing w:line="360" w:lineRule="auto"/>
        <w:rPr>
          <w:rFonts w:hint="default" w:eastAsia="宋体"/>
          <w:color w:val="auto"/>
          <w:lang w:val="en-US" w:eastAsia="zh-CN"/>
        </w:rPr>
      </w:pPr>
      <w:r>
        <w:rPr>
          <w:rFonts w:hint="eastAsia" w:ascii="宋体" w:hAnsi="宋体" w:eastAsia="宋体" w:cs="宋体"/>
          <w:color w:val="auto"/>
          <w:sz w:val="21"/>
          <w:szCs w:val="21"/>
          <w:lang w:val="en-US" w:eastAsia="zh-CN"/>
        </w:rPr>
        <w:t>投标人拟投入本项目保洁绿化主管具有园林专业大专或以上学历、人力资源和社会保障厅颁发的风景园林相关专业职称证书、人社部门颁发的绿化工证书的优先考虑。</w:t>
      </w:r>
    </w:p>
    <w:p>
      <w:pPr>
        <w:spacing w:line="360" w:lineRule="auto"/>
        <w:ind w:firstLine="422" w:firstLineChars="200"/>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二</w:t>
      </w:r>
      <w:r>
        <w:rPr>
          <w:rFonts w:hint="eastAsia" w:ascii="宋体" w:hAnsi="宋体" w:eastAsia="宋体" w:cs="宋体"/>
          <w:b/>
          <w:bCs w:val="0"/>
          <w:color w:val="auto"/>
          <w:sz w:val="21"/>
          <w:szCs w:val="21"/>
          <w:highlight w:val="none"/>
          <w:lang w:eastAsia="zh-CN"/>
        </w:rPr>
        <w:t>、</w:t>
      </w:r>
      <w:r>
        <w:rPr>
          <w:rFonts w:hint="eastAsia" w:ascii="宋体" w:hAnsi="宋体" w:eastAsia="宋体" w:cs="宋体"/>
          <w:b/>
          <w:bCs w:val="0"/>
          <w:color w:val="auto"/>
          <w:sz w:val="21"/>
          <w:szCs w:val="21"/>
          <w:highlight w:val="none"/>
          <w:lang w:val="en-US" w:eastAsia="zh-CN"/>
        </w:rPr>
        <w:t>商务要求</w:t>
      </w:r>
    </w:p>
    <w:p>
      <w:pPr>
        <w:keepNext w:val="0"/>
        <w:keepLines w:val="0"/>
        <w:pageBreakBefore w:val="0"/>
        <w:kinsoku/>
        <w:wordWrap/>
        <w:overflowPunct/>
        <w:topLinePunct w:val="0"/>
        <w:bidi w:val="0"/>
        <w:snapToGrid/>
        <w:spacing w:line="360" w:lineRule="auto"/>
        <w:ind w:firstLine="211" w:firstLineChars="100"/>
        <w:jc w:val="left"/>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（一）</w:t>
      </w:r>
      <w:r>
        <w:rPr>
          <w:rFonts w:hint="eastAsia" w:ascii="宋体" w:hAnsi="宋体" w:eastAsia="宋体" w:cs="宋体"/>
          <w:b/>
          <w:bCs/>
          <w:color w:val="auto"/>
          <w:sz w:val="21"/>
          <w:szCs w:val="21"/>
          <w:highlight w:val="none"/>
        </w:rPr>
        <w:t>投标</w:t>
      </w:r>
      <w:r>
        <w:rPr>
          <w:rFonts w:hint="eastAsia" w:ascii="宋体" w:hAnsi="宋体" w:eastAsia="宋体" w:cs="宋体"/>
          <w:b/>
          <w:bCs/>
          <w:color w:val="auto"/>
          <w:sz w:val="21"/>
          <w:szCs w:val="21"/>
          <w:highlight w:val="none"/>
          <w:lang w:val="en-US" w:eastAsia="zh-CN"/>
        </w:rPr>
        <w:t>报价</w:t>
      </w:r>
      <w:r>
        <w:rPr>
          <w:rFonts w:hint="eastAsia" w:ascii="宋体" w:hAnsi="宋体" w:eastAsia="宋体" w:cs="宋体"/>
          <w:b/>
          <w:bCs/>
          <w:color w:val="auto"/>
          <w:sz w:val="21"/>
          <w:szCs w:val="21"/>
          <w:highlight w:val="none"/>
        </w:rPr>
        <w:t>要求</w:t>
      </w:r>
    </w:p>
    <w:p>
      <w:pPr>
        <w:snapToGrid w:val="0"/>
        <w:spacing w:line="360" w:lineRule="auto"/>
        <w:ind w:firstLine="422"/>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kern w:val="2"/>
          <w:sz w:val="21"/>
          <w:szCs w:val="21"/>
          <w:lang w:val="en-US" w:eastAsia="zh-CN" w:bidi="ar-SA"/>
        </w:rPr>
        <w:t>1.</w:t>
      </w:r>
      <w:r>
        <w:rPr>
          <w:rFonts w:hint="eastAsia" w:ascii="宋体" w:hAnsi="宋体" w:eastAsia="宋体" w:cs="宋体"/>
          <w:b w:val="0"/>
          <w:bCs w:val="0"/>
          <w:color w:val="auto"/>
          <w:sz w:val="21"/>
          <w:szCs w:val="21"/>
          <w:lang w:val="en-US" w:eastAsia="zh-CN"/>
        </w:rPr>
        <w:t>项目总预算：572万/年；</w:t>
      </w:r>
    </w:p>
    <w:p>
      <w:pPr>
        <w:snapToGrid w:val="0"/>
        <w:spacing w:line="360" w:lineRule="auto"/>
        <w:ind w:firstLine="422"/>
        <w:rPr>
          <w:rFonts w:hint="eastAsia" w:ascii="宋体" w:hAnsi="宋体" w:eastAsia="宋体" w:cs="宋体"/>
          <w:b/>
          <w:bCs/>
          <w:color w:val="auto"/>
          <w:sz w:val="21"/>
          <w:szCs w:val="21"/>
        </w:rPr>
      </w:pPr>
      <w:r>
        <w:rPr>
          <w:rFonts w:hint="eastAsia" w:ascii="宋体" w:hAnsi="宋体" w:eastAsia="宋体" w:cs="宋体"/>
          <w:b w:val="0"/>
          <w:bCs w:val="0"/>
          <w:color w:val="auto"/>
          <w:sz w:val="21"/>
          <w:szCs w:val="21"/>
          <w:lang w:val="en-US" w:eastAsia="zh-CN"/>
        </w:rPr>
        <w:t>2.</w:t>
      </w:r>
      <w:r>
        <w:rPr>
          <w:rFonts w:hint="eastAsia" w:ascii="宋体" w:hAnsi="宋体" w:eastAsia="宋体" w:cs="宋体"/>
          <w:b w:val="0"/>
          <w:bCs w:val="0"/>
          <w:color w:val="auto"/>
          <w:sz w:val="21"/>
          <w:szCs w:val="21"/>
        </w:rPr>
        <w:t>报价必须含以下部分：</w:t>
      </w:r>
    </w:p>
    <w:p>
      <w:pPr>
        <w:snapToGrid w:val="0"/>
        <w:spacing w:line="360" w:lineRule="auto"/>
        <w:ind w:firstLine="420"/>
        <w:rPr>
          <w:rFonts w:hint="eastAsia" w:ascii="宋体" w:hAnsi="宋体" w:eastAsia="宋体" w:cs="宋体"/>
          <w:color w:val="auto"/>
          <w:sz w:val="21"/>
          <w:szCs w:val="21"/>
        </w:rPr>
      </w:pPr>
      <w:bookmarkStart w:id="49" w:name="OLE_LINK20"/>
      <w:r>
        <w:rPr>
          <w:rFonts w:hint="eastAsia" w:ascii="宋体" w:hAnsi="宋体" w:eastAsia="宋体" w:cs="宋体"/>
          <w:color w:val="auto"/>
          <w:sz w:val="21"/>
          <w:szCs w:val="21"/>
        </w:rPr>
        <w:t>（1）服务价格；由投标人在投标报价文件中作出明确报价，要求按每月单价及一年总价报价，提供详细投标报价明细表（内容如下）。</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（2）各项</w:t>
      </w:r>
      <w:r>
        <w:rPr>
          <w:rFonts w:hint="eastAsia" w:ascii="宋体" w:hAnsi="宋体" w:eastAsia="宋体" w:cs="宋体"/>
          <w:b w:val="0"/>
          <w:bCs w:val="0"/>
          <w:color w:val="auto"/>
          <w:sz w:val="21"/>
          <w:szCs w:val="21"/>
          <w:lang w:val="en-US" w:eastAsia="zh-CN"/>
        </w:rPr>
        <w:t>预算</w:t>
      </w:r>
      <w:r>
        <w:rPr>
          <w:rFonts w:hint="eastAsia" w:ascii="宋体" w:hAnsi="宋体" w:eastAsia="宋体" w:cs="宋体"/>
          <w:color w:val="auto"/>
          <w:sz w:val="21"/>
          <w:szCs w:val="21"/>
        </w:rPr>
        <w:t>费用应包括（</w:t>
      </w:r>
      <w:r>
        <w:rPr>
          <w:rFonts w:hint="eastAsia" w:ascii="宋体" w:hAnsi="宋体" w:eastAsia="宋体" w:cs="宋体"/>
          <w:color w:val="auto"/>
          <w:sz w:val="21"/>
          <w:szCs w:val="21"/>
          <w:lang w:val="en-US" w:eastAsia="zh-CN"/>
        </w:rPr>
        <w:t>120人</w:t>
      </w:r>
      <w:r>
        <w:rPr>
          <w:rFonts w:hint="eastAsia" w:ascii="宋体" w:hAnsi="宋体" w:eastAsia="宋体" w:cs="宋体"/>
          <w:color w:val="auto"/>
          <w:sz w:val="21"/>
          <w:szCs w:val="21"/>
        </w:rPr>
        <w:t>预算）：</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①管理、服务人员的工资和社保、服装费、健康体检费。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②法定节假日</w:t>
      </w:r>
      <w:r>
        <w:rPr>
          <w:rFonts w:hint="eastAsia" w:ascii="宋体" w:hAnsi="宋体" w:eastAsia="宋体" w:cs="宋体"/>
          <w:color w:val="auto"/>
          <w:sz w:val="21"/>
          <w:szCs w:val="21"/>
          <w:lang w:eastAsia="zh-CN"/>
        </w:rPr>
        <w:t>和</w:t>
      </w:r>
      <w:r>
        <w:rPr>
          <w:rFonts w:hint="eastAsia" w:ascii="宋体" w:hAnsi="宋体" w:eastAsia="宋体" w:cs="宋体"/>
          <w:color w:val="auto"/>
          <w:sz w:val="21"/>
          <w:szCs w:val="21"/>
          <w:lang w:val="en-US" w:eastAsia="zh-CN"/>
        </w:rPr>
        <w:t>8小时以外的</w:t>
      </w:r>
      <w:r>
        <w:rPr>
          <w:rFonts w:hint="eastAsia" w:ascii="宋体" w:hAnsi="宋体" w:eastAsia="宋体" w:cs="宋体"/>
          <w:color w:val="auto"/>
          <w:sz w:val="21"/>
          <w:szCs w:val="21"/>
        </w:rPr>
        <w:t>加班费用。</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③</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bookmarkEnd w:id="49"/>
    <w:p>
      <w:pPr>
        <w:snapToGrid w:val="0"/>
        <w:spacing w:line="360" w:lineRule="auto"/>
        <w:ind w:firstLine="422"/>
        <w:rPr>
          <w:rFonts w:hint="eastAsia" w:ascii="宋体" w:hAnsi="宋体" w:eastAsia="宋体" w:cs="宋体"/>
          <w:b w:val="0"/>
          <w:bCs w:val="0"/>
          <w:color w:val="auto"/>
          <w:sz w:val="21"/>
          <w:szCs w:val="21"/>
        </w:rPr>
      </w:pPr>
      <w:r>
        <w:rPr>
          <w:rFonts w:hint="eastAsia" w:ascii="宋体" w:hAnsi="宋体" w:eastAsia="宋体" w:cs="宋体"/>
          <w:b w:val="0"/>
          <w:bCs w:val="0"/>
          <w:color w:val="auto"/>
          <w:sz w:val="21"/>
          <w:szCs w:val="21"/>
          <w:lang w:val="en-US" w:eastAsia="zh-CN"/>
        </w:rPr>
        <w:t>3.</w:t>
      </w:r>
      <w:r>
        <w:rPr>
          <w:rFonts w:hint="eastAsia" w:ascii="宋体" w:hAnsi="宋体" w:eastAsia="宋体" w:cs="宋体"/>
          <w:b w:val="0"/>
          <w:bCs w:val="0"/>
          <w:color w:val="auto"/>
          <w:sz w:val="21"/>
          <w:szCs w:val="21"/>
        </w:rPr>
        <w:t>报价不包含部分说明如下：</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①</w:t>
      </w:r>
      <w:r>
        <w:rPr>
          <w:rFonts w:hint="eastAsia" w:ascii="宋体" w:hAnsi="宋体" w:eastAsia="宋体" w:cs="宋体"/>
          <w:color w:val="auto"/>
          <w:sz w:val="21"/>
          <w:szCs w:val="21"/>
        </w:rPr>
        <w:t>电梯、中央空调、变压设备、加压设备、消防设备、安防监控、防雷设备、（发）配电设施、高压水泵、避雷设施</w:t>
      </w:r>
      <w:r>
        <w:rPr>
          <w:rFonts w:hint="eastAsia" w:ascii="宋体" w:hAnsi="宋体" w:eastAsia="宋体" w:cs="宋体"/>
          <w:color w:val="auto"/>
          <w:sz w:val="21"/>
          <w:szCs w:val="21"/>
          <w:lang w:eastAsia="zh-CN"/>
        </w:rPr>
        <w:t>照明、给排水景观设备</w:t>
      </w:r>
      <w:r>
        <w:rPr>
          <w:rFonts w:hint="eastAsia" w:ascii="宋体" w:hAnsi="宋体" w:eastAsia="宋体" w:cs="宋体"/>
          <w:color w:val="auto"/>
          <w:sz w:val="21"/>
          <w:szCs w:val="21"/>
        </w:rPr>
        <w:t>等公共设施设备及系统的运行维修费、维保费、</w:t>
      </w:r>
      <w:r>
        <w:rPr>
          <w:rFonts w:hint="eastAsia" w:ascii="宋体" w:hAnsi="宋体" w:eastAsia="宋体" w:cs="宋体"/>
          <w:color w:val="auto"/>
          <w:sz w:val="21"/>
          <w:szCs w:val="21"/>
          <w:lang w:eastAsia="zh-CN"/>
        </w:rPr>
        <w:t>材料费、</w:t>
      </w:r>
      <w:r>
        <w:rPr>
          <w:rFonts w:hint="eastAsia" w:ascii="宋体" w:hAnsi="宋体" w:eastAsia="宋体" w:cs="宋体"/>
          <w:color w:val="auto"/>
          <w:sz w:val="21"/>
          <w:szCs w:val="21"/>
        </w:rPr>
        <w:t>年检费、检测费、设备保险费、更换改造费等；</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②</w:t>
      </w:r>
      <w:r>
        <w:rPr>
          <w:rFonts w:hint="eastAsia" w:ascii="宋体" w:hAnsi="宋体" w:eastAsia="宋体" w:cs="宋体"/>
          <w:color w:val="auto"/>
          <w:sz w:val="21"/>
          <w:szCs w:val="21"/>
        </w:rPr>
        <w:t>办公楼外墙清洗费、窗帘、地毯清洗费；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③</w:t>
      </w:r>
      <w:r>
        <w:rPr>
          <w:rFonts w:hint="eastAsia" w:ascii="宋体" w:hAnsi="宋体" w:eastAsia="宋体" w:cs="宋体"/>
          <w:color w:val="auto"/>
          <w:sz w:val="21"/>
          <w:szCs w:val="21"/>
        </w:rPr>
        <w:t>城市生活垃圾、废弃办公（生活）家具、修剪绿化树枝清运费、绿化苗木补种采购费、大树修剪费；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④</w:t>
      </w:r>
      <w:r>
        <w:rPr>
          <w:rFonts w:hint="eastAsia" w:ascii="宋体" w:hAnsi="宋体" w:eastAsia="宋体" w:cs="宋体"/>
          <w:color w:val="auto"/>
          <w:sz w:val="21"/>
          <w:szCs w:val="21"/>
        </w:rPr>
        <w:t>公共设施设备的日常维修材料费、大、中、小修及更新改造费用；维修所产生的第三方费用及零配件采购费用。</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⑤</w:t>
      </w:r>
      <w:r>
        <w:rPr>
          <w:rFonts w:hint="eastAsia" w:ascii="宋体" w:hAnsi="宋体" w:eastAsia="宋体" w:cs="宋体"/>
          <w:color w:val="auto"/>
          <w:sz w:val="21"/>
          <w:szCs w:val="21"/>
        </w:rPr>
        <w:t>四害消杀费、</w:t>
      </w:r>
      <w:r>
        <w:rPr>
          <w:rFonts w:hint="eastAsia" w:ascii="宋体" w:hAnsi="宋体" w:eastAsia="宋体" w:cs="宋体"/>
          <w:color w:val="auto"/>
          <w:sz w:val="21"/>
          <w:szCs w:val="21"/>
          <w:lang w:eastAsia="zh-CN"/>
        </w:rPr>
        <w:t>沉砂池、</w:t>
      </w:r>
      <w:r>
        <w:rPr>
          <w:rFonts w:hint="eastAsia" w:ascii="宋体" w:hAnsi="宋体" w:eastAsia="宋体" w:cs="宋体"/>
          <w:color w:val="auto"/>
          <w:sz w:val="21"/>
          <w:szCs w:val="21"/>
        </w:rPr>
        <w:t>化粪池清理、管道疏通、水池清</w:t>
      </w:r>
      <w:r>
        <w:rPr>
          <w:rFonts w:hint="eastAsia" w:ascii="宋体" w:hAnsi="宋体" w:eastAsia="宋体" w:cs="宋体"/>
          <w:color w:val="auto"/>
          <w:sz w:val="21"/>
          <w:szCs w:val="21"/>
          <w:lang w:eastAsia="zh-CN"/>
        </w:rPr>
        <w:t>洗等费用及</w:t>
      </w:r>
      <w:r>
        <w:rPr>
          <w:rFonts w:hint="eastAsia" w:ascii="宋体" w:hAnsi="宋体" w:eastAsia="宋体" w:cs="宋体"/>
          <w:color w:val="auto"/>
          <w:sz w:val="21"/>
          <w:szCs w:val="21"/>
        </w:rPr>
        <w:t>检测费；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⑥</w:t>
      </w:r>
      <w:r>
        <w:rPr>
          <w:rFonts w:hint="eastAsia" w:ascii="宋体" w:hAnsi="宋体" w:eastAsia="宋体" w:cs="宋体"/>
          <w:color w:val="auto"/>
          <w:sz w:val="21"/>
          <w:szCs w:val="21"/>
        </w:rPr>
        <w:t>电梯地毯、各处垃圾桶、各种指示标牌制作费。</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⑦</w:t>
      </w:r>
      <w:r>
        <w:rPr>
          <w:rFonts w:hint="eastAsia" w:ascii="宋体" w:hAnsi="宋体" w:eastAsia="宋体" w:cs="宋体"/>
          <w:color w:val="auto"/>
          <w:sz w:val="21"/>
          <w:szCs w:val="21"/>
        </w:rPr>
        <w:t>服务所需的安防服务器械（如安防器械、电筒、对讲机等）、环境卫生清洁工具（如吸尘器、拖扫把、垃圾铲、手推车等）、保洁易耗品（如不锈钢油、推尘油、洗洁精、消毒液、卫生间用纸、洗手液、檀香、垃圾袋等）、绿化养护工具及物料（如修割草机、高枝剪、化肥、杀虫药等）、会务服务物料（如一次性饮用水杯、手纸巾、茶叶等）、工程维修工具及物料（如梯子、电钻、各开关配件、各照明物料等）等物料采购费用。</w:t>
      </w:r>
    </w:p>
    <w:p>
      <w:pPr>
        <w:pStyle w:val="45"/>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说明：以上所需物料由中标人根据使用情况，向采购人提交书面领用申请，采购费用由采购人承担。中标人做好各方协助服务工作及设备的日常管理和巡检，发现问题及时联系专业单位进行处理并做好相关配合工作。</w:t>
      </w:r>
    </w:p>
    <w:p>
      <w:pPr>
        <w:keepNext w:val="0"/>
        <w:keepLines w:val="0"/>
        <w:pageBreakBefore w:val="0"/>
        <w:numPr>
          <w:ilvl w:val="0"/>
          <w:numId w:val="0"/>
        </w:numPr>
        <w:kinsoku/>
        <w:wordWrap/>
        <w:overflowPunct/>
        <w:topLinePunct w:val="0"/>
        <w:bidi w:val="0"/>
        <w:snapToGrid/>
        <w:spacing w:line="360" w:lineRule="auto"/>
        <w:ind w:firstLine="420" w:firstLineChars="200"/>
        <w:jc w:val="left"/>
        <w:textAlignment w:val="auto"/>
        <w:rPr>
          <w:rFonts w:hint="eastAsia" w:ascii="宋体" w:hAnsi="宋体" w:eastAsia="宋体" w:cs="宋体"/>
          <w:b w:val="0"/>
          <w:bCs/>
          <w:color w:val="auto"/>
          <w:sz w:val="21"/>
          <w:szCs w:val="21"/>
        </w:rPr>
      </w:pPr>
      <w:r>
        <w:rPr>
          <w:rFonts w:hint="eastAsia" w:ascii="宋体" w:hAnsi="宋体" w:eastAsia="宋体" w:cs="宋体"/>
          <w:b w:val="0"/>
          <w:bCs/>
          <w:color w:val="auto"/>
          <w:kern w:val="2"/>
          <w:sz w:val="21"/>
          <w:szCs w:val="21"/>
          <w:lang w:val="en-US" w:eastAsia="zh-CN" w:bidi="ar-SA"/>
        </w:rPr>
        <w:t>4.</w:t>
      </w:r>
      <w:r>
        <w:rPr>
          <w:rFonts w:hint="eastAsia" w:ascii="宋体" w:hAnsi="宋体" w:eastAsia="宋体" w:cs="宋体"/>
          <w:b w:val="0"/>
          <w:bCs/>
          <w:color w:val="auto"/>
          <w:sz w:val="21"/>
          <w:szCs w:val="21"/>
        </w:rPr>
        <w:t>合同期内如因政府政策性文件增调的各项费用，由采购方足额补足。</w:t>
      </w:r>
    </w:p>
    <w:p>
      <w:pPr>
        <w:keepNext w:val="0"/>
        <w:keepLines w:val="0"/>
        <w:pageBreakBefore w:val="0"/>
        <w:numPr>
          <w:ilvl w:val="0"/>
          <w:numId w:val="0"/>
        </w:numPr>
        <w:kinsoku/>
        <w:wordWrap/>
        <w:overflowPunct/>
        <w:topLinePunct w:val="0"/>
        <w:bidi w:val="0"/>
        <w:snapToGrid/>
        <w:spacing w:line="360" w:lineRule="auto"/>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（二）付款方式</w:t>
      </w:r>
    </w:p>
    <w:p>
      <w:pPr>
        <w:keepNext w:val="0"/>
        <w:keepLines w:val="0"/>
        <w:pageBreakBefore w:val="0"/>
        <w:widowControl/>
        <w:kinsoku/>
        <w:wordWrap/>
        <w:overflowPunct/>
        <w:topLinePunct w:val="0"/>
        <w:bidi w:val="0"/>
        <w:adjustRightInd/>
        <w:snapToGrid/>
        <w:spacing w:line="360" w:lineRule="auto"/>
        <w:ind w:firstLine="42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rPr>
        <w:t>本项目无预付款，中标人所提交的服务成本经采购人书面验收合格后，按月支付合同款。</w:t>
      </w:r>
    </w:p>
    <w:p>
      <w:pPr>
        <w:pStyle w:val="153"/>
        <w:keepNext w:val="0"/>
        <w:keepLines w:val="0"/>
        <w:pageBreakBefore w:val="0"/>
        <w:numPr>
          <w:ilvl w:val="0"/>
          <w:numId w:val="0"/>
        </w:numPr>
        <w:kinsoku/>
        <w:wordWrap/>
        <w:overflowPunct/>
        <w:topLinePunct w:val="0"/>
        <w:bidi w:val="0"/>
        <w:snapToGrid/>
        <w:spacing w:line="360" w:lineRule="auto"/>
        <w:ind w:left="0" w:leftChars="0" w:firstLine="0" w:firstLineChars="0"/>
        <w:textAlignment w:val="auto"/>
        <w:rPr>
          <w:rFonts w:hint="eastAsia" w:ascii="宋体" w:hAnsi="宋体" w:eastAsia="宋体" w:cs="宋体"/>
          <w:b/>
          <w:bCs/>
          <w:color w:val="auto"/>
          <w:kern w:val="2"/>
          <w:sz w:val="21"/>
          <w:szCs w:val="21"/>
          <w:highlight w:val="none"/>
          <w:lang w:val="en-US" w:eastAsia="zh-CN" w:bidi="ar-SA"/>
        </w:rPr>
      </w:pPr>
      <w:r>
        <w:rPr>
          <w:rFonts w:hint="eastAsia" w:hAnsi="宋体" w:cs="宋体"/>
          <w:b/>
          <w:bCs/>
          <w:color w:val="auto"/>
          <w:kern w:val="2"/>
          <w:sz w:val="21"/>
          <w:szCs w:val="21"/>
          <w:lang w:val="en-US" w:eastAsia="zh-CN" w:bidi="ar-SA"/>
        </w:rPr>
        <w:t>（</w:t>
      </w:r>
      <w:r>
        <w:rPr>
          <w:rFonts w:hint="eastAsia" w:ascii="宋体" w:hAnsi="宋体" w:eastAsia="宋体" w:cs="宋体"/>
          <w:b/>
          <w:bCs/>
          <w:color w:val="auto"/>
          <w:kern w:val="2"/>
          <w:sz w:val="21"/>
          <w:szCs w:val="21"/>
          <w:lang w:val="en-US" w:eastAsia="zh-CN" w:bidi="ar-SA"/>
        </w:rPr>
        <w:t>三</w:t>
      </w:r>
      <w:r>
        <w:rPr>
          <w:rFonts w:hint="eastAsia" w:hAnsi="宋体" w:cs="宋体"/>
          <w:b/>
          <w:bCs/>
          <w:color w:val="auto"/>
          <w:kern w:val="2"/>
          <w:sz w:val="21"/>
          <w:szCs w:val="21"/>
          <w:lang w:val="en-US" w:eastAsia="zh-CN" w:bidi="ar-SA"/>
        </w:rPr>
        <w:t>）</w:t>
      </w:r>
      <w:r>
        <w:rPr>
          <w:rFonts w:hint="eastAsia" w:ascii="宋体" w:hAnsi="宋体" w:eastAsia="宋体" w:cs="宋体"/>
          <w:b/>
          <w:bCs/>
          <w:color w:val="auto"/>
          <w:kern w:val="2"/>
          <w:sz w:val="21"/>
          <w:szCs w:val="21"/>
          <w:highlight w:val="none"/>
          <w:lang w:val="en-US" w:eastAsia="zh-CN" w:bidi="ar-SA"/>
        </w:rPr>
        <w:t>服务期限</w:t>
      </w:r>
    </w:p>
    <w:p>
      <w:pPr>
        <w:pStyle w:val="153"/>
        <w:keepNext w:val="0"/>
        <w:keepLines w:val="0"/>
        <w:pageBreakBefore w:val="0"/>
        <w:numPr>
          <w:ilvl w:val="0"/>
          <w:numId w:val="0"/>
        </w:numPr>
        <w:kinsoku/>
        <w:wordWrap/>
        <w:overflowPunct/>
        <w:topLinePunct w:val="0"/>
        <w:bidi w:val="0"/>
        <w:snapToGrid/>
        <w:spacing w:line="360" w:lineRule="auto"/>
        <w:ind w:leftChars="0"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rPr>
        <w:t>自合同签订之日起一年。鉴于本项目购买内容相对固定性、延续性且价格变化幅度小、年度预算保障，采用一次招标、</w:t>
      </w:r>
      <w:r>
        <w:rPr>
          <w:rFonts w:hint="eastAsia" w:hAnsi="宋体" w:cs="宋体"/>
          <w:color w:val="auto"/>
          <w:sz w:val="21"/>
          <w:szCs w:val="21"/>
          <w:lang w:val="en-US" w:eastAsia="zh-CN"/>
        </w:rPr>
        <w:t>考核合格后</w:t>
      </w:r>
      <w:r>
        <w:rPr>
          <w:rFonts w:hint="eastAsia" w:ascii="宋体" w:hAnsi="宋体" w:eastAsia="宋体" w:cs="宋体"/>
          <w:color w:val="auto"/>
          <w:sz w:val="21"/>
          <w:szCs w:val="21"/>
        </w:rPr>
        <w:t>沿用三年、合同一年一签方式。</w:t>
      </w:r>
    </w:p>
    <w:p>
      <w:pPr>
        <w:keepNext w:val="0"/>
        <w:keepLines w:val="0"/>
        <w:pageBreakBefore w:val="0"/>
        <w:kinsoku/>
        <w:wordWrap/>
        <w:overflowPunct/>
        <w:topLinePunct w:val="0"/>
        <w:bidi w:val="0"/>
        <w:snapToGrid/>
        <w:spacing w:line="360" w:lineRule="auto"/>
        <w:ind w:firstLine="0" w:firstLineChars="0"/>
        <w:jc w:val="lef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kern w:val="2"/>
          <w:sz w:val="21"/>
          <w:szCs w:val="21"/>
          <w:highlight w:val="none"/>
          <w:lang w:val="en-US" w:eastAsia="zh-CN" w:bidi="ar-SA"/>
        </w:rPr>
        <w:t>（四）</w:t>
      </w:r>
      <w:r>
        <w:rPr>
          <w:rFonts w:hint="eastAsia" w:ascii="宋体" w:hAnsi="宋体" w:eastAsia="宋体" w:cs="宋体"/>
          <w:b/>
          <w:color w:val="auto"/>
          <w:sz w:val="21"/>
          <w:szCs w:val="21"/>
        </w:rPr>
        <w:t>提交服务成果时间及地点</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合同签订期：自中标通知书发出之日起7个工作日内；</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提交服务成果时间：自合同签订之日起服务1年；合同签订之日起10日内，中标人必须入驻钦州市直属机关服务中心指定地址，做好相关移交手续，并作好包括设施及设备的看守、维护、保洁工作；</w:t>
      </w:r>
    </w:p>
    <w:p>
      <w:pPr>
        <w:spacing w:line="360" w:lineRule="auto"/>
        <w:ind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 xml:space="preserve">提交服务成果地点： 广西钦州市采购人指定地址 </w:t>
      </w:r>
    </w:p>
    <w:p>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（五）管理要求</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中标人应按照采购单位要求，结合该物业实际情况，制定《物业管理服务制度》及管理岗位操作章程，并有权按采购单位委托对违反《管理制度》规定的行为进行处理。</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2、</w:t>
      </w:r>
      <w:r>
        <w:rPr>
          <w:rFonts w:hint="eastAsia" w:ascii="宋体" w:hAnsi="宋体" w:eastAsia="宋体" w:cs="宋体"/>
          <w:color w:val="auto"/>
          <w:sz w:val="21"/>
          <w:szCs w:val="21"/>
        </w:rPr>
        <w:t>中标人人员必须足额配置，如有调整需经过采购人同意方可调整。如中标方未按采购方要求配备配齐相关工作人员（因员工提出辞职后导致的缺员，人员补员期为10天），或是因缺员影响物业管理工作的，采购人有权按所缺人员的数量及相关费用标准从物业管理费中扣除。员工补充期内不能影响采购方正常工作。</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rPr>
        <w:t>中标人必须按照《中华人民共和国劳动合同法》的规定与员工签订劳动合同并依据国家、广西和钦州市有关最低工资标准的规定要求以及缴纳各种社会保险的规定要求向员工支付工资和缴纳社保及其他保险。中标人</w:t>
      </w:r>
      <w:r>
        <w:rPr>
          <w:rFonts w:hint="eastAsia" w:ascii="宋体" w:hAnsi="宋体" w:eastAsia="宋体" w:cs="宋体"/>
          <w:color w:val="auto"/>
          <w:sz w:val="21"/>
          <w:szCs w:val="21"/>
          <w:lang w:eastAsia="zh-CN"/>
        </w:rPr>
        <w:t>中标后十五日内</w:t>
      </w:r>
      <w:r>
        <w:rPr>
          <w:rFonts w:hint="eastAsia" w:ascii="宋体" w:hAnsi="宋体" w:eastAsia="宋体" w:cs="宋体"/>
          <w:color w:val="auto"/>
          <w:sz w:val="21"/>
          <w:szCs w:val="21"/>
        </w:rPr>
        <w:t>制定薪酬方案报采购人备案。</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rPr>
        <w:t>中标人必须在合同签订之后10个工作日内办理好物业交接手续。</w:t>
      </w:r>
    </w:p>
    <w:p>
      <w:pPr>
        <w:snapToGrid w:val="0"/>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5、</w:t>
      </w:r>
      <w:r>
        <w:rPr>
          <w:rFonts w:hint="eastAsia" w:ascii="宋体" w:hAnsi="宋体" w:eastAsia="宋体" w:cs="宋体"/>
          <w:color w:val="auto"/>
          <w:sz w:val="21"/>
          <w:szCs w:val="21"/>
        </w:rPr>
        <w:t>重点岗位，如四大办、本中心各科室等后勤人员保留现行管理方式，由中标人与采购人实行双重管理。</w:t>
      </w:r>
    </w:p>
    <w:p>
      <w:pPr>
        <w:pStyle w:val="59"/>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中标人不得将整体管理责任及利益转让给其他单位和个人。也不能给第三者挂靠。</w:t>
      </w:r>
    </w:p>
    <w:p>
      <w:pPr>
        <w:pStyle w:val="13"/>
        <w:spacing w:line="360" w:lineRule="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7、</w:t>
      </w:r>
      <w:r>
        <w:rPr>
          <w:rFonts w:hint="eastAsia" w:ascii="宋体" w:hAnsi="宋体" w:eastAsia="宋体" w:cs="宋体"/>
          <w:color w:val="auto"/>
          <w:sz w:val="21"/>
          <w:szCs w:val="21"/>
        </w:rPr>
        <w:t>处理问题响应时间：接到采购人处理问题通知后30分钟内到达采购人指定现场。</w:t>
      </w:r>
    </w:p>
    <w:p>
      <w:pPr>
        <w:pStyle w:val="59"/>
        <w:spacing w:line="360" w:lineRule="auto"/>
        <w:rPr>
          <w:rFonts w:hint="eastAsia" w:ascii="宋体" w:hAnsi="宋体" w:eastAsia="宋体" w:cs="宋体"/>
          <w:color w:val="auto"/>
          <w:sz w:val="21"/>
          <w:szCs w:val="21"/>
          <w:lang w:val="en-US" w:eastAsia="zh-CN"/>
        </w:rPr>
      </w:pPr>
    </w:p>
    <w:p>
      <w:pPr>
        <w:spacing w:line="360" w:lineRule="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（六）验收标准</w:t>
      </w:r>
    </w:p>
    <w:p>
      <w:pPr>
        <w:pStyle w:val="13"/>
        <w:rPr>
          <w:rFonts w:hint="eastAsia" w:ascii="宋体" w:hAnsi="宋体" w:eastAsia="宋体" w:cs="宋体"/>
          <w:bCs/>
          <w:color w:val="auto"/>
          <w:sz w:val="21"/>
          <w:szCs w:val="21"/>
        </w:rPr>
      </w:pPr>
      <w:r>
        <w:rPr>
          <w:rFonts w:hint="eastAsia" w:ascii="宋体" w:hAnsi="宋体" w:eastAsia="宋体" w:cs="宋体"/>
          <w:bCs/>
          <w:color w:val="auto"/>
          <w:sz w:val="21"/>
          <w:szCs w:val="21"/>
        </w:rPr>
        <w:t>符合现行国家相关标准、行业标准、地方标准或者其他标准、规范。</w:t>
      </w:r>
    </w:p>
    <w:p>
      <w:pPr>
        <w:spacing w:line="360" w:lineRule="auto"/>
        <w:rPr>
          <w:rFonts w:hint="default"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（七）其他要求</w:t>
      </w:r>
    </w:p>
    <w:p>
      <w:pPr>
        <w:keepNext w:val="0"/>
        <w:keepLines w:val="0"/>
        <w:pageBreakBefore w:val="0"/>
        <w:widowControl/>
        <w:kinsoku/>
        <w:wordWrap/>
        <w:overflowPunct/>
        <w:topLinePunct w:val="0"/>
        <w:bidi w:val="0"/>
        <w:adjustRightInd/>
        <w:snapToGrid/>
        <w:spacing w:line="360" w:lineRule="auto"/>
        <w:ind w:firstLine="420"/>
        <w:jc w:val="left"/>
        <w:textAlignment w:val="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1.投标人在采购活动中提供虚假材料，以及提供的服务与投标文件不一致的，报采购监管部门查处。</w:t>
      </w:r>
    </w:p>
    <w:p>
      <w:pPr>
        <w:spacing w:line="360" w:lineRule="auto"/>
        <w:rPr>
          <w:rFonts w:hint="default" w:ascii="Times New Roman" w:hAnsi="Times New Roman" w:eastAsia="宋体" w:cs="Times New Roman"/>
          <w:color w:val="auto"/>
          <w:sz w:val="21"/>
          <w:szCs w:val="21"/>
          <w:highlight w:val="none"/>
          <w:lang w:val="en-US" w:eastAsia="zh-CN"/>
        </w:rPr>
      </w:pPr>
      <w:r>
        <w:rPr>
          <w:rFonts w:hint="default" w:ascii="Times New Roman" w:hAnsi="Times New Roman" w:eastAsia="宋体" w:cs="Times New Roman"/>
          <w:color w:val="auto"/>
          <w:sz w:val="21"/>
          <w:szCs w:val="21"/>
          <w:highlight w:val="none"/>
          <w:lang w:val="en-US" w:eastAsia="zh-CN"/>
        </w:rPr>
        <w:t>2.中标人所供服务不按投标文件履约的，将按照《中华人民共和国政府采购法》及其实施条例、《政府采购货物和服务招标投标管理办法》等有关规定等严肃处理。</w:t>
      </w:r>
    </w:p>
    <w:p>
      <w:pPr>
        <w:spacing w:line="360" w:lineRule="auto"/>
        <w:rPr>
          <w:rFonts w:hint="default" w:ascii="Times New Roman" w:hAnsi="Times New Roman" w:eastAsia="宋体" w:cs="Times New Roman"/>
          <w:color w:val="auto"/>
          <w:sz w:val="21"/>
          <w:szCs w:val="21"/>
          <w:highlight w:val="none"/>
          <w:lang w:val="en-US" w:eastAsia="zh-CN"/>
        </w:rPr>
      </w:pPr>
    </w:p>
    <w:p>
      <w:pPr>
        <w:pStyle w:val="13"/>
        <w:rPr>
          <w:rFonts w:hint="eastAsia"/>
          <w:color w:val="auto"/>
          <w:lang w:eastAsia="zh-CN"/>
        </w:rPr>
      </w:pPr>
    </w:p>
    <w:p>
      <w:pPr>
        <w:rPr>
          <w:rFonts w:ascii="Times New Roman" w:hAnsi="Times New Roman" w:eastAsia="宋体" w:cs="Times New Roman"/>
          <w:color w:val="auto"/>
          <w:szCs w:val="24"/>
          <w:highlight w:val="none"/>
        </w:rPr>
        <w:sectPr>
          <w:headerReference r:id="rId3" w:type="default"/>
          <w:footerReference r:id="rId4" w:type="default"/>
          <w:pgSz w:w="11906" w:h="16838"/>
          <w:pgMar w:top="1440" w:right="1133" w:bottom="1440" w:left="1134" w:header="851" w:footer="992" w:gutter="0"/>
          <w:pgNumType w:fmt="decimal" w:start="1"/>
          <w:cols w:space="425" w:num="1"/>
          <w:docGrid w:type="lines" w:linePitch="312" w:charSpace="0"/>
        </w:sectPr>
      </w:pPr>
    </w:p>
    <w:p>
      <w:pPr>
        <w:pStyle w:val="13"/>
        <w:rPr>
          <w:color w:val="auto"/>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50" w:name="_Toc173764940"/>
      <w:r>
        <w:rPr>
          <w:rFonts w:hint="eastAsia" w:ascii="Cambria" w:hAnsi="Cambria" w:eastAsia="方正小标宋_GBK" w:cs="Times New Roman"/>
          <w:b/>
          <w:bCs/>
          <w:color w:val="auto"/>
          <w:kern w:val="0"/>
          <w:sz w:val="44"/>
          <w:szCs w:val="32"/>
          <w:highlight w:val="none"/>
        </w:rPr>
        <w:t>第三章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投标人须知及前附表</w:t>
      </w:r>
      <w:bookmarkEnd w:id="45"/>
      <w:bookmarkEnd w:id="50"/>
    </w:p>
    <w:p>
      <w:pPr>
        <w:keepNext/>
        <w:keepLines/>
        <w:spacing w:before="260" w:after="260" w:line="415" w:lineRule="auto"/>
        <w:jc w:val="center"/>
        <w:outlineLvl w:val="1"/>
        <w:rPr>
          <w:rFonts w:hint="eastAsia" w:ascii="宋体" w:hAnsi="宋体" w:eastAsia="宋体" w:cs="Times New Roman"/>
          <w:b/>
          <w:bCs/>
          <w:color w:val="auto"/>
          <w:kern w:val="44"/>
          <w:sz w:val="44"/>
          <w:szCs w:val="44"/>
          <w:highlight w:val="none"/>
        </w:rPr>
      </w:pPr>
      <w:r>
        <w:rPr>
          <w:rFonts w:hint="eastAsia" w:ascii="方正小标宋_GBK" w:hAnsi="方正小标宋_GBK" w:eastAsia="方正小标宋_GBK" w:cs="Times New Roman"/>
          <w:color w:val="auto"/>
          <w:sz w:val="32"/>
          <w:szCs w:val="32"/>
          <w:highlight w:val="none"/>
        </w:rPr>
        <w:br w:type="page"/>
      </w:r>
      <w:r>
        <w:rPr>
          <w:rFonts w:hint="eastAsia" w:ascii="宋体" w:hAnsi="宋体" w:eastAsia="宋体" w:cs="Times New Roman"/>
          <w:b/>
          <w:bCs/>
          <w:color w:val="auto"/>
          <w:kern w:val="44"/>
          <w:sz w:val="44"/>
          <w:szCs w:val="44"/>
          <w:highlight w:val="none"/>
        </w:rPr>
        <w:t>投标人须知前附表</w:t>
      </w:r>
    </w:p>
    <w:tbl>
      <w:tblPr>
        <w:tblStyle w:val="48"/>
        <w:tblpPr w:leftFromText="180" w:rightFromText="180" w:vertAnchor="text" w:horzAnchor="margin" w:tblpX="108" w:tblpY="390"/>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921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9" w:hRule="atLeast"/>
        </w:trPr>
        <w:tc>
          <w:tcPr>
            <w:tcW w:w="675"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序号</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内容、要求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Arial"/>
                <w:bCs/>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Times New Roman" w:hAnsi="宋体" w:eastAsia="宋体" w:cs="Times New Roman"/>
                <w:color w:val="auto"/>
                <w:szCs w:val="24"/>
                <w:highlight w:val="none"/>
              </w:rPr>
              <w:t>项目名称：</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lang w:eastAsia="zh-CN"/>
              </w:rPr>
              <w:t>钦州市行政信息中心物业服务</w:t>
            </w:r>
          </w:p>
          <w:p>
            <w:pPr>
              <w:snapToGrid w:val="0"/>
              <w:spacing w:line="340" w:lineRule="exact"/>
              <w:ind w:firstLine="8" w:firstLineChars="4"/>
              <w:rPr>
                <w:rFonts w:hint="eastAsia" w:ascii="Times New Roman" w:hAnsi="Times New Roman" w:eastAsia="宋体" w:cs="Times New Roman"/>
                <w:color w:val="auto"/>
                <w:szCs w:val="24"/>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项目编号：</w:t>
            </w:r>
            <w:r>
              <w:rPr>
                <w:rFonts w:hint="eastAsia" w:ascii="宋体" w:hAnsi="宋体" w:eastAsia="宋体" w:cs="Times New Roman"/>
                <w:color w:val="auto"/>
                <w:szCs w:val="24"/>
                <w:highlight w:val="none"/>
              </w:rPr>
              <w:fldChar w:fldCharType="end"/>
            </w:r>
            <w:r>
              <w:rPr>
                <w:rFonts w:hint="eastAsia" w:ascii="宋体" w:hAnsi="宋体" w:eastAsia="宋体" w:cs="Times New Roman"/>
                <w:color w:val="auto"/>
                <w:szCs w:val="24"/>
                <w:highlight w:val="none"/>
                <w:lang w:eastAsia="zh-CN"/>
              </w:rPr>
              <w:t>QZZC2026-G3-990075-QZSZ</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78"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hint="eastAsia" w:ascii="宋体"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"_一、总__则" </w:instrText>
            </w:r>
            <w:r>
              <w:rPr>
                <w:color w:val="auto"/>
                <w:highlight w:val="none"/>
              </w:rPr>
              <w:fldChar w:fldCharType="separate"/>
            </w:r>
            <w:r>
              <w:rPr>
                <w:rFonts w:hint="eastAsia" w:ascii="宋体" w:hAnsi="宋体" w:eastAsia="宋体" w:cs="Times New Roman"/>
                <w:color w:val="auto"/>
                <w:szCs w:val="24"/>
                <w:highlight w:val="none"/>
              </w:rPr>
              <w:t>投标人资格：</w:t>
            </w:r>
            <w:r>
              <w:rPr>
                <w:rFonts w:hint="eastAsia" w:ascii="宋体" w:hAnsi="宋体" w:eastAsia="宋体" w:cs="Times New Roman"/>
                <w:color w:val="auto"/>
                <w:szCs w:val="24"/>
                <w:highlight w:val="none"/>
              </w:rPr>
              <w:fldChar w:fldCharType="end"/>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1.满足《中华人民共和国政府采购法》第二十二条规定；</w:t>
            </w:r>
          </w:p>
          <w:p>
            <w:pPr>
              <w:spacing w:line="340" w:lineRule="exact"/>
              <w:rPr>
                <w:rFonts w:hint="eastAsia"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2.落实政府采购政策需满足的资格要求：服务全部由符合政策要求的中小企业承接</w:t>
            </w:r>
          </w:p>
          <w:p>
            <w:pPr>
              <w:spacing w:line="34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3.本项目的特定资格要求：无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2"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宋体" w:hAnsi="宋体"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"_三、投标文件" </w:instrText>
            </w:r>
            <w:r>
              <w:rPr>
                <w:color w:val="auto"/>
                <w:highlight w:val="none"/>
              </w:rPr>
              <w:fldChar w:fldCharType="separate"/>
            </w:r>
            <w:r>
              <w:rPr>
                <w:rFonts w:hint="eastAsia" w:ascii="宋体" w:hAnsi="宋体" w:eastAsia="宋体" w:cs="Times New Roman"/>
                <w:color w:val="auto"/>
                <w:szCs w:val="21"/>
                <w:highlight w:val="none"/>
              </w:rPr>
              <w:t>投标文件组成：</w:t>
            </w:r>
            <w:r>
              <w:rPr>
                <w:rFonts w:hint="eastAsia" w:ascii="宋体" w:hAnsi="宋体" w:eastAsia="宋体" w:cs="Arial"/>
                <w:color w:val="auto"/>
                <w:szCs w:val="21"/>
                <w:highlight w:val="none"/>
              </w:rPr>
              <w:t>资格文件、商务技术文件、</w:t>
            </w:r>
            <w:r>
              <w:rPr>
                <w:rFonts w:hint="eastAsia" w:ascii="宋体" w:hAnsi="宋体" w:eastAsia="宋体" w:cs="Times New Roman"/>
                <w:color w:val="auto"/>
                <w:szCs w:val="21"/>
                <w:highlight w:val="none"/>
              </w:rPr>
              <w:t>报价文件。</w:t>
            </w:r>
            <w:r>
              <w:rPr>
                <w:rFonts w:hint="eastAsia" w:ascii="宋体" w:hAnsi="宋体"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4</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"_（五）投标报价" </w:instrText>
            </w:r>
            <w:r>
              <w:rPr>
                <w:color w:val="auto"/>
                <w:highlight w:val="none"/>
              </w:rPr>
              <w:fldChar w:fldCharType="separate"/>
            </w:r>
            <w:r>
              <w:rPr>
                <w:rFonts w:hint="eastAsia" w:ascii="Times New Roman" w:hAnsi="宋体" w:eastAsia="宋体" w:cs="Times New Roman"/>
                <w:color w:val="auto"/>
                <w:szCs w:val="24"/>
                <w:highlight w:val="none"/>
              </w:rPr>
              <w:t>投标报价：投标人</w:t>
            </w:r>
            <w:r>
              <w:rPr>
                <w:rFonts w:hint="eastAsia" w:ascii="Times New Roman" w:hAnsi="Times New Roman" w:eastAsia="宋体" w:cs="Times New Roman"/>
                <w:color w:val="auto"/>
                <w:szCs w:val="24"/>
                <w:highlight w:val="none"/>
              </w:rPr>
              <w:t>必须就本项目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标项货物及服务内容作完整唯一报价，否则投标无效。</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06"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5</w:t>
            </w:r>
          </w:p>
        </w:tc>
        <w:tc>
          <w:tcPr>
            <w:tcW w:w="9214" w:type="dxa"/>
            <w:tcBorders>
              <w:top w:val="single" w:color="auto" w:sz="4" w:space="0"/>
              <w:left w:val="single" w:color="auto" w:sz="4" w:space="0"/>
              <w:bottom w:val="single" w:color="auto" w:sz="4" w:space="0"/>
              <w:right w:val="single" w:color="auto" w:sz="4" w:space="0"/>
            </w:tcBorders>
            <w:vAlign w:val="center"/>
          </w:tcPr>
          <w:p>
            <w:pPr>
              <w:snapToGrid w:val="0"/>
              <w:spacing w:line="340" w:lineRule="exact"/>
              <w:ind w:firstLine="8" w:firstLineChars="4"/>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"_（六）投标文件有效期" </w:instrText>
            </w:r>
            <w:r>
              <w:rPr>
                <w:color w:val="auto"/>
                <w:highlight w:val="none"/>
              </w:rPr>
              <w:fldChar w:fldCharType="separate"/>
            </w:r>
            <w:r>
              <w:rPr>
                <w:rFonts w:hint="eastAsia" w:ascii="Times New Roman" w:hAnsi="宋体" w:eastAsia="宋体" w:cs="Times New Roman"/>
                <w:color w:val="auto"/>
                <w:szCs w:val="24"/>
                <w:highlight w:val="none"/>
              </w:rPr>
              <w:t>投标有效期：</w:t>
            </w:r>
            <w:r>
              <w:rPr>
                <w:rFonts w:ascii="Times New Roman" w:hAnsi="宋体" w:eastAsia="宋体" w:cs="Times New Roman"/>
                <w:color w:val="auto"/>
                <w:szCs w:val="24"/>
                <w:highlight w:val="none"/>
              </w:rPr>
              <w:t>90</w:t>
            </w:r>
            <w:r>
              <w:rPr>
                <w:rFonts w:hint="eastAsia" w:ascii="Times New Roman" w:hAnsi="宋体" w:eastAsia="宋体" w:cs="Times New Roman"/>
                <w:color w:val="auto"/>
                <w:szCs w:val="24"/>
                <w:highlight w:val="none"/>
              </w:rPr>
              <w:t>天</w:t>
            </w:r>
            <w:r>
              <w:rPr>
                <w:rFonts w:hint="eastAsia" w:ascii="Times New Roman" w:hAnsi="宋体"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8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6</w:t>
            </w:r>
          </w:p>
        </w:tc>
        <w:tc>
          <w:tcPr>
            <w:tcW w:w="9214" w:type="dxa"/>
            <w:tcBorders>
              <w:top w:val="single" w:color="auto" w:sz="4" w:space="0"/>
              <w:left w:val="single" w:color="auto" w:sz="4" w:space="0"/>
              <w:bottom w:val="single" w:color="auto" w:sz="4" w:space="0"/>
              <w:right w:val="single" w:color="auto" w:sz="4" w:space="0"/>
            </w:tcBorders>
            <w:vAlign w:val="center"/>
          </w:tcPr>
          <w:p>
            <w:pPr>
              <w:widowControl/>
              <w:spacing w:line="400" w:lineRule="exact"/>
              <w:rPr>
                <w:rFonts w:hint="eastAsia" w:ascii="宋体" w:hAnsi="宋体" w:eastAsia="宋体" w:cs="宋体"/>
                <w:color w:val="auto"/>
                <w:kern w:val="0"/>
                <w:szCs w:val="21"/>
                <w:highlight w:val="none"/>
                <w:lang w:val="en-US" w:eastAsia="zh-CN"/>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hint="eastAsia" w:ascii="宋体" w:hAnsi="宋体" w:eastAsia="宋体" w:cs="宋体"/>
                <w:color w:val="auto"/>
                <w:kern w:val="0"/>
                <w:szCs w:val="21"/>
                <w:highlight w:val="none"/>
              </w:rPr>
              <w:t>投标保证金：</w:t>
            </w:r>
            <w:r>
              <w:rPr>
                <w:rFonts w:hint="eastAsia" w:ascii="宋体" w:hAnsi="宋体" w:eastAsia="宋体" w:cs="宋体"/>
                <w:color w:val="auto"/>
                <w:kern w:val="0"/>
                <w:szCs w:val="21"/>
                <w:highlight w:val="none"/>
              </w:rPr>
              <w:fldChar w:fldCharType="end"/>
            </w:r>
            <w:r>
              <w:rPr>
                <w:rFonts w:hint="eastAsia" w:ascii="宋体" w:hAnsi="宋体" w:eastAsia="宋体" w:cs="宋体"/>
                <w:b/>
                <w:bCs/>
                <w:color w:val="auto"/>
                <w:highlight w:val="none"/>
                <w:lang w:val="en-US" w:eastAsia="zh-CN"/>
              </w:rPr>
              <w:t>伍万柒仟元整(￥57,000.00)</w:t>
            </w:r>
          </w:p>
          <w:p>
            <w:pPr>
              <w:widowControl/>
              <w:spacing w:line="400" w:lineRule="exact"/>
              <w:rPr>
                <w:rFonts w:ascii="宋体"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hint="eastAsia" w:ascii="宋体" w:hAnsi="Times New Roman" w:eastAsia="宋体" w:cs="Times New Roman"/>
                <w:color w:val="auto"/>
                <w:szCs w:val="21"/>
                <w:highlight w:val="none"/>
              </w:rPr>
              <w:t>注：</w:t>
            </w:r>
            <w:r>
              <w:rPr>
                <w:rFonts w:ascii="Times New Roman" w:hAnsi="Times New Roman" w:eastAsia="宋体" w:cs="Times New Roman"/>
                <w:color w:val="auto"/>
                <w:szCs w:val="21"/>
                <w:highlight w:val="none"/>
              </w:rPr>
              <w:t>1.</w:t>
            </w:r>
            <w:r>
              <w:rPr>
                <w:rFonts w:hint="eastAsia" w:ascii="Times New Roman" w:hAnsi="Times New Roman" w:eastAsia="宋体" w:cs="Times New Roman"/>
                <w:color w:val="auto"/>
                <w:szCs w:val="24"/>
                <w:highlight w:val="none"/>
              </w:rPr>
              <w:t>以支票、汇票、本票或者金融机构、担保机构出具的保函等形式提交保证金的，</w:t>
            </w:r>
            <w:r>
              <w:rPr>
                <w:rFonts w:hint="eastAsia" w:ascii="Times New Roman" w:hAnsi="Times New Roman" w:eastAsia="宋体" w:cs="Times New Roman"/>
                <w:b/>
                <w:bCs/>
                <w:color w:val="auto"/>
                <w:szCs w:val="24"/>
                <w:highlight w:val="none"/>
              </w:rPr>
              <w:t>投标人必须将</w:t>
            </w:r>
            <w:bookmarkStart w:id="51" w:name="_Hlk94188895"/>
            <w:r>
              <w:rPr>
                <w:rFonts w:hint="eastAsia" w:ascii="Times New Roman" w:hAnsi="Times New Roman" w:eastAsia="宋体" w:cs="Times New Roman"/>
                <w:b/>
                <w:bCs/>
                <w:color w:val="auto"/>
                <w:szCs w:val="24"/>
                <w:highlight w:val="none"/>
              </w:rPr>
              <w:t>票据、保函</w:t>
            </w:r>
            <w:bookmarkEnd w:id="51"/>
            <w:r>
              <w:rPr>
                <w:rFonts w:hint="eastAsia" w:ascii="Times New Roman" w:hAnsi="Times New Roman" w:eastAsia="宋体" w:cs="Times New Roman"/>
                <w:b/>
                <w:bCs/>
                <w:color w:val="auto"/>
                <w:szCs w:val="24"/>
                <w:highlight w:val="none"/>
              </w:rPr>
              <w:t>等原件于投标文件提交截止时间前递交至本中心财务室</w:t>
            </w:r>
            <w:r>
              <w:rPr>
                <w:rFonts w:hint="eastAsia"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fldChar w:fldCharType="end"/>
            </w:r>
          </w:p>
          <w:p>
            <w:pPr>
              <w:autoSpaceDE w:val="0"/>
              <w:autoSpaceDN w:val="0"/>
              <w:snapToGrid w:val="0"/>
              <w:spacing w:line="400" w:lineRule="exact"/>
              <w:ind w:firstLine="8" w:firstLineChars="4"/>
              <w:textAlignment w:val="bottom"/>
              <w:rPr>
                <w:rFonts w:hint="eastAsia" w:ascii="Times New Roman" w:hAnsi="宋体" w:eastAsia="宋体" w:cs="Times New Roman"/>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"_（七）投标保证金" </w:instrText>
            </w:r>
            <w:r>
              <w:rPr>
                <w:color w:val="auto"/>
                <w:highlight w:val="none"/>
              </w:rPr>
              <w:fldChar w:fldCharType="separate"/>
            </w: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1"/>
                <w:highlight w:val="none"/>
              </w:rPr>
              <w:t>以网上银行</w:t>
            </w:r>
            <w:r>
              <w:rPr>
                <w:rFonts w:hint="eastAsia" w:ascii="宋体" w:hAnsi="宋体" w:eastAsia="宋体" w:cs="Times New Roman"/>
                <w:color w:val="auto"/>
                <w:szCs w:val="21"/>
                <w:highlight w:val="none"/>
              </w:rPr>
              <w:t>形</w:t>
            </w:r>
            <w:r>
              <w:rPr>
                <w:rFonts w:hint="eastAsia" w:ascii="Times New Roman" w:hAnsi="Times New Roman" w:eastAsia="宋体" w:cs="Times New Roman"/>
                <w:color w:val="auto"/>
                <w:szCs w:val="21"/>
                <w:highlight w:val="none"/>
              </w:rPr>
              <w:t>式提交保证金的，投标人必须于投标文件提交截止时间前从投标人账户缴存至本中心银行账户（以到账时间为准）。</w:t>
            </w:r>
            <w:r>
              <w:rPr>
                <w:rFonts w:hint="eastAsia" w:ascii="Times New Roman" w:hAnsi="Times New Roman" w:eastAsia="宋体" w:cs="Times New Roman"/>
                <w:color w:val="auto"/>
                <w:szCs w:val="21"/>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660"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7</w:t>
            </w:r>
          </w:p>
        </w:tc>
        <w:tc>
          <w:tcPr>
            <w:tcW w:w="9214" w:type="dxa"/>
            <w:tcBorders>
              <w:top w:val="single" w:color="auto" w:sz="4" w:space="0"/>
              <w:left w:val="single" w:color="auto" w:sz="4" w:space="0"/>
              <w:bottom w:val="single" w:color="auto" w:sz="4" w:space="0"/>
              <w:right w:val="single" w:color="auto" w:sz="4" w:space="0"/>
            </w:tcBorders>
            <w:vAlign w:val="center"/>
          </w:tcPr>
          <w:p>
            <w:pPr>
              <w:spacing w:line="400" w:lineRule="exact"/>
              <w:ind w:firstLine="8" w:firstLineChars="4"/>
              <w:rPr>
                <w:rFonts w:hint="eastAsia" w:ascii="宋体" w:hAnsi="Courier New" w:eastAsia="宋体" w:cs="Courier New"/>
                <w:color w:val="auto"/>
                <w:szCs w:val="21"/>
                <w:highlight w:val="none"/>
                <w:lang w:eastAsia="zh-CN"/>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宋体" w:hAnsi="Courier New" w:eastAsia="宋体" w:cs="Courier New"/>
                <w:b/>
                <w:color w:val="auto"/>
                <w:szCs w:val="21"/>
                <w:highlight w:val="none"/>
              </w:rPr>
              <w:t>投标文件提交截止时间及开标时间：</w:t>
            </w:r>
            <w:r>
              <w:rPr>
                <w:rFonts w:hint="eastAsia" w:ascii="宋体" w:hAnsi="宋体" w:eastAsia="宋体" w:cs="Arial"/>
                <w:color w:val="auto"/>
                <w:szCs w:val="21"/>
                <w:highlight w:val="none"/>
                <w:lang w:eastAsia="zh-CN"/>
              </w:rPr>
              <w:t>2026年</w:t>
            </w:r>
            <w:r>
              <w:rPr>
                <w:rFonts w:hint="eastAsia" w:ascii="宋体" w:hAnsi="宋体" w:eastAsia="宋体" w:cs="Arial"/>
                <w:color w:val="auto"/>
                <w:szCs w:val="21"/>
                <w:highlight w:val="none"/>
                <w:lang w:val="en-US" w:eastAsia="zh-CN"/>
              </w:rPr>
              <w:t>5</w:t>
            </w:r>
            <w:r>
              <w:rPr>
                <w:rFonts w:hint="eastAsia" w:ascii="宋体" w:hAnsi="宋体" w:eastAsia="宋体" w:cs="Arial"/>
                <w:color w:val="auto"/>
                <w:szCs w:val="21"/>
                <w:highlight w:val="none"/>
              </w:rPr>
              <w:t>月</w:t>
            </w:r>
            <w:r>
              <w:rPr>
                <w:rFonts w:hint="eastAsia" w:ascii="宋体" w:hAnsi="宋体" w:eastAsia="宋体" w:cs="Arial"/>
                <w:color w:val="auto"/>
                <w:szCs w:val="21"/>
                <w:highlight w:val="none"/>
                <w:lang w:val="en-US" w:eastAsia="zh-CN"/>
              </w:rPr>
              <w:t>14</w:t>
            </w:r>
            <w:r>
              <w:rPr>
                <w:rFonts w:hint="eastAsia" w:ascii="宋体" w:hAnsi="宋体" w:eastAsia="宋体" w:cs="Arial"/>
                <w:color w:val="auto"/>
                <w:szCs w:val="21"/>
                <w:highlight w:val="none"/>
              </w:rPr>
              <w:t>日上午09时30分</w:t>
            </w:r>
            <w:r>
              <w:rPr>
                <w:rFonts w:hint="eastAsia" w:ascii="宋体" w:hAnsi="宋体" w:eastAsia="宋体" w:cs="Arial"/>
                <w:color w:val="auto"/>
                <w:szCs w:val="21"/>
                <w:highlight w:val="none"/>
              </w:rPr>
              <w:fldChar w:fldCharType="end"/>
            </w:r>
            <w:r>
              <w:rPr>
                <w:rFonts w:hint="eastAsia" w:ascii="宋体" w:hAnsi="宋体" w:eastAsia="宋体" w:cs="Arial"/>
                <w:color w:val="auto"/>
                <w:szCs w:val="21"/>
                <w:highlight w:val="none"/>
                <w:lang w:eastAsia="zh-CN"/>
              </w:rPr>
              <w:t>（</w:t>
            </w:r>
            <w:r>
              <w:rPr>
                <w:rFonts w:hint="eastAsia" w:ascii="宋体" w:hAnsi="宋体" w:eastAsia="宋体" w:cs="Arial"/>
                <w:color w:val="auto"/>
                <w:szCs w:val="21"/>
                <w:highlight w:val="none"/>
                <w:lang w:val="en-US" w:eastAsia="zh-CN"/>
              </w:rPr>
              <w:t>北京时间</w:t>
            </w:r>
            <w:r>
              <w:rPr>
                <w:rFonts w:hint="eastAsia" w:ascii="宋体" w:hAnsi="宋体" w:eastAsia="宋体" w:cs="Arial"/>
                <w:color w:val="auto"/>
                <w:szCs w:val="21"/>
                <w:highlight w:val="none"/>
                <w:lang w:eastAsia="zh-CN"/>
              </w:rPr>
              <w:t>）</w:t>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投标地点</w:t>
            </w:r>
            <w:r>
              <w:rPr>
                <w:rFonts w:ascii="Times New Roman" w:hAnsi="Times New Roman" w:eastAsia="宋体" w:cs="Times New Roman"/>
                <w:color w:val="auto"/>
                <w:szCs w:val="21"/>
                <w:highlight w:val="none"/>
              </w:rPr>
              <w:t>(</w:t>
            </w:r>
            <w:r>
              <w:rPr>
                <w:rFonts w:hint="eastAsia" w:ascii="Times New Roman" w:hAnsi="Times New Roman" w:eastAsia="宋体" w:cs="Times New Roman"/>
                <w:color w:val="auto"/>
                <w:szCs w:val="21"/>
                <w:highlight w:val="none"/>
              </w:rPr>
              <w:t>网址）：政府采购云平台</w:t>
            </w:r>
            <w:r>
              <w:rPr>
                <w:rFonts w:hint="eastAsia" w:ascii="Times New Roman" w:hAnsi="Times New Roman" w:eastAsia="宋体" w:cs="Times New Roman"/>
                <w:color w:val="auto"/>
                <w:szCs w:val="21"/>
                <w:highlight w:val="none"/>
              </w:rPr>
              <w:fldChar w:fldCharType="end"/>
            </w:r>
          </w:p>
          <w:p>
            <w:pPr>
              <w:spacing w:line="400" w:lineRule="exact"/>
              <w:ind w:firstLine="8" w:firstLineChars="4"/>
              <w:rPr>
                <w:rFonts w:ascii="Times New Roman" w:hAnsi="Times New Roman"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color w:val="auto"/>
                <w:szCs w:val="21"/>
                <w:highlight w:val="none"/>
              </w:rPr>
              <w:t>开标地点：</w:t>
            </w:r>
            <w:r>
              <w:rPr>
                <w:rFonts w:hint="eastAsia" w:ascii="Times New Roman" w:hAnsi="Times New Roman" w:eastAsia="宋体" w:cs="Times New Roman"/>
                <w:color w:val="auto"/>
                <w:szCs w:val="24"/>
                <w:highlight w:val="none"/>
              </w:rPr>
              <w:t>广西钦州市金海湾东大街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号市政务服务中心三楼开标室</w:t>
            </w:r>
            <w:r>
              <w:rPr>
                <w:rFonts w:hint="eastAsia" w:ascii="Times New Roman" w:hAnsi="Times New Roman" w:eastAsia="宋体" w:cs="Times New Roman"/>
                <w:color w:val="auto"/>
                <w:szCs w:val="24"/>
                <w:highlight w:val="none"/>
              </w:rPr>
              <w:fldChar w:fldCharType="end"/>
            </w:r>
          </w:p>
          <w:p>
            <w:pPr>
              <w:spacing w:line="400" w:lineRule="exact"/>
              <w:ind w:firstLine="8" w:firstLineChars="4"/>
              <w:rPr>
                <w:rFonts w:ascii="Times New Roman" w:hAnsi="Times New Roman" w:eastAsia="宋体" w:cs="Times New Roman"/>
                <w:b/>
                <w:bCs/>
                <w:color w:val="auto"/>
                <w:szCs w:val="24"/>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"_四、开标" </w:instrText>
            </w:r>
            <w:r>
              <w:rPr>
                <w:color w:val="auto"/>
                <w:highlight w:val="none"/>
              </w:rPr>
              <w:fldChar w:fldCharType="separate"/>
            </w:r>
            <w:r>
              <w:rPr>
                <w:rFonts w:hint="eastAsia" w:ascii="Times New Roman" w:hAnsi="Times New Roman" w:eastAsia="宋体" w:cs="Times New Roman"/>
                <w:b/>
                <w:bCs/>
                <w:color w:val="auto"/>
                <w:szCs w:val="24"/>
                <w:highlight w:val="none"/>
              </w:rPr>
              <w:t>注：</w:t>
            </w:r>
            <w:bookmarkStart w:id="52" w:name="_Hlk90299755"/>
            <w:r>
              <w:rPr>
                <w:rFonts w:hint="eastAsia" w:ascii="Times New Roman" w:hAnsi="Times New Roman" w:eastAsia="宋体" w:cs="Times New Roman"/>
                <w:b/>
                <w:bCs/>
                <w:color w:val="auto"/>
                <w:szCs w:val="24"/>
                <w:highlight w:val="none"/>
              </w:rPr>
              <w:t>投标人法定代表人或委托代理人须按时登录</w:t>
            </w:r>
            <w:r>
              <w:rPr>
                <w:rFonts w:hint="eastAsia" w:ascii="宋体" w:hAnsi="宋体" w:eastAsia="宋体" w:cs="Courier New"/>
                <w:b/>
                <w:bCs/>
                <w:color w:val="auto"/>
                <w:szCs w:val="21"/>
                <w:highlight w:val="none"/>
              </w:rPr>
              <w:t>政采云远程开标大厅</w:t>
            </w:r>
            <w:r>
              <w:rPr>
                <w:rFonts w:hint="eastAsia" w:ascii="Times New Roman" w:hAnsi="Times New Roman" w:eastAsia="宋体" w:cs="Times New Roman"/>
                <w:b/>
                <w:bCs/>
                <w:color w:val="auto"/>
                <w:szCs w:val="24"/>
                <w:highlight w:val="none"/>
              </w:rPr>
              <w:t>，保持全程在线并关注开标评标进度，评标期间评标委员会提出澄清等要求时，投标人须在规定时间内进行在线应答，否则按招标文件或政采云平台的相关规定执行。</w:t>
            </w:r>
            <w:bookmarkEnd w:id="52"/>
            <w:r>
              <w:rPr>
                <w:rFonts w:hint="eastAsia" w:ascii="Times New Roman" w:hAnsi="Times New Roman" w:eastAsia="宋体" w:cs="Times New Roman"/>
                <w:b/>
                <w:bCs/>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9"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8</w:t>
            </w:r>
          </w:p>
        </w:tc>
        <w:tc>
          <w:tcPr>
            <w:tcW w:w="9214" w:type="dxa"/>
            <w:tcBorders>
              <w:top w:val="single" w:color="auto" w:sz="4" w:space="0"/>
              <w:left w:val="single" w:color="auto" w:sz="4" w:space="0"/>
              <w:bottom w:val="single" w:color="auto" w:sz="4" w:space="0"/>
              <w:right w:val="single" w:color="auto" w:sz="4" w:space="0"/>
            </w:tcBorders>
            <w:vAlign w:val="center"/>
          </w:tcPr>
          <w:p>
            <w:pPr>
              <w:autoSpaceDE w:val="0"/>
              <w:autoSpaceDN w:val="0"/>
              <w:snapToGrid w:val="0"/>
              <w:spacing w:line="340" w:lineRule="exact"/>
              <w:textAlignment w:val="bottom"/>
              <w:rPr>
                <w:rFonts w:hint="eastAsia" w:ascii="宋体" w:hAnsi="宋体" w:eastAsia="宋体" w:cs="Times New Roman"/>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"_五、评标" </w:instrText>
            </w:r>
            <w:r>
              <w:rPr>
                <w:color w:val="auto"/>
                <w:highlight w:val="none"/>
              </w:rPr>
              <w:fldChar w:fldCharType="separate"/>
            </w:r>
            <w:r>
              <w:rPr>
                <w:rFonts w:hint="eastAsia" w:ascii="宋体" w:hAnsi="宋体" w:eastAsia="宋体" w:cs="Times New Roman"/>
                <w:color w:val="auto"/>
                <w:szCs w:val="21"/>
                <w:highlight w:val="none"/>
              </w:rPr>
              <w:t>评标方法：</w:t>
            </w:r>
            <w:r>
              <w:rPr>
                <w:rFonts w:hint="eastAsia" w:ascii="Times New Roman" w:hAnsi="Times New Roman" w:eastAsia="宋体" w:cs="Times New Roman"/>
                <w:color w:val="auto"/>
                <w:szCs w:val="24"/>
                <w:highlight w:val="none"/>
              </w:rPr>
              <w:t>综合评分法</w:t>
            </w:r>
            <w:r>
              <w:rPr>
                <w:rFonts w:hint="eastAsia" w:ascii="Times New Roman" w:hAnsi="Times New Roman" w:eastAsia="宋体" w:cs="Times New Roman"/>
                <w:color w:val="auto"/>
                <w:szCs w:val="24"/>
                <w:highlight w:val="none"/>
              </w:rPr>
              <w:fldChar w:fldCharType="end"/>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83"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line="400" w:lineRule="exact"/>
              <w:ind w:left="-424" w:leftChars="-202" w:firstLine="420" w:firstLineChars="200"/>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9</w:t>
            </w:r>
          </w:p>
        </w:tc>
        <w:tc>
          <w:tcPr>
            <w:tcW w:w="9214" w:type="dxa"/>
            <w:tcBorders>
              <w:top w:val="single" w:color="auto" w:sz="4" w:space="0"/>
              <w:left w:val="single" w:color="auto" w:sz="4" w:space="0"/>
              <w:bottom w:val="single" w:color="auto" w:sz="4" w:space="0"/>
              <w:right w:val="single" w:color="auto" w:sz="4" w:space="0"/>
            </w:tcBorders>
            <w:vAlign w:val="center"/>
          </w:tcPr>
          <w:p>
            <w:pPr>
              <w:spacing w:line="340" w:lineRule="exact"/>
              <w:ind w:firstLine="8" w:firstLineChars="4"/>
              <w:rPr>
                <w:rFonts w:ascii="宋体" w:hAnsi="Courier New" w:eastAsia="宋体" w:cs="Courier New"/>
                <w:color w:val="auto"/>
                <w:szCs w:val="21"/>
                <w:highlight w:val="none"/>
              </w:rPr>
            </w:pPr>
            <w:r>
              <w:rPr>
                <w:color w:val="auto"/>
                <w:highlight w:val="none"/>
              </w:rPr>
              <w:fldChar w:fldCharType="begin"/>
            </w:r>
            <w:r>
              <w:rPr>
                <w:color w:val="auto"/>
                <w:highlight w:val="none"/>
              </w:rPr>
              <w:instrText xml:space="preserve"> HYPERLINK "file:///C:\\Users\\Lenovo\\Desktop\\范本制作\\2024.06\\公开招标(QZZC2024-Gx-000xx-CGZX)-专小.doc" \l "_九、其他事项" </w:instrText>
            </w:r>
            <w:r>
              <w:rPr>
                <w:color w:val="auto"/>
                <w:highlight w:val="none"/>
              </w:rPr>
              <w:fldChar w:fldCharType="separate"/>
            </w:r>
            <w:r>
              <w:rPr>
                <w:rFonts w:hint="eastAsia" w:ascii="宋体" w:hAnsi="宋体" w:eastAsia="宋体" w:cs="Courier New"/>
                <w:color w:val="auto"/>
                <w:szCs w:val="21"/>
                <w:highlight w:val="none"/>
              </w:rPr>
              <w:t>代理服务费：本中心按钦州市物价局“钦市价费﹝2013﹞4号”文件规定向中标人收取代理服务费。中标人应向本中心一次性付清代理服务费。</w:t>
            </w:r>
            <w:r>
              <w:rPr>
                <w:rFonts w:hint="eastAsia" w:ascii="宋体" w:hAnsi="宋体" w:eastAsia="宋体" w:cs="Courier New"/>
                <w:color w:val="auto"/>
                <w:szCs w:val="21"/>
                <w:highlight w:val="none"/>
              </w:rPr>
              <w:fldChar w:fldCharType="end"/>
            </w:r>
          </w:p>
        </w:tc>
      </w:tr>
    </w:tbl>
    <w:p>
      <w:pPr>
        <w:spacing w:line="400" w:lineRule="exact"/>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53" w:name="_Toc352578843"/>
      <w:bookmarkStart w:id="54" w:name="_Toc352700405"/>
      <w:bookmarkStart w:id="55" w:name="_Toc352578891"/>
      <w:bookmarkStart w:id="56" w:name="_Toc352578861"/>
      <w:bookmarkStart w:id="57" w:name="_Toc353785275"/>
    </w:p>
    <w:p>
      <w:pPr>
        <w:spacing w:line="520" w:lineRule="exact"/>
        <w:jc w:val="center"/>
        <w:rPr>
          <w:rFonts w:hint="eastAsia" w:ascii="仿宋_GB2312" w:hAnsi="宋体" w:eastAsia="仿宋_GB2312" w:cs="Times New Roman"/>
          <w:b/>
          <w:color w:val="auto"/>
          <w:sz w:val="44"/>
          <w:szCs w:val="44"/>
          <w:highlight w:val="none"/>
        </w:rPr>
      </w:pPr>
      <w:bookmarkStart w:id="58" w:name="_Hlk92374740"/>
      <w:r>
        <w:rPr>
          <w:rFonts w:hint="eastAsia" w:ascii="Times New Roman" w:hAnsi="Times New Roman" w:eastAsia="宋体" w:cs="Times New Roman"/>
          <w:b/>
          <w:color w:val="auto"/>
          <w:sz w:val="44"/>
          <w:szCs w:val="44"/>
          <w:highlight w:val="none"/>
        </w:rPr>
        <w:t>投标人须知</w:t>
      </w:r>
      <w:bookmarkEnd w:id="53"/>
      <w:bookmarkEnd w:id="54"/>
      <w:bookmarkEnd w:id="55"/>
      <w:bookmarkEnd w:id="56"/>
      <w:bookmarkEnd w:id="57"/>
    </w:p>
    <w:p>
      <w:pPr>
        <w:keepNext/>
        <w:keepLines/>
        <w:spacing w:line="400" w:lineRule="exact"/>
        <w:outlineLvl w:val="1"/>
        <w:rPr>
          <w:rFonts w:ascii="方正小标宋_GBK" w:hAnsi="Arial" w:eastAsia="方正小标宋_GBK" w:cs="Times New Roman"/>
          <w:b/>
          <w:bCs/>
          <w:color w:val="auto"/>
          <w:sz w:val="24"/>
          <w:szCs w:val="24"/>
          <w:highlight w:val="none"/>
        </w:rPr>
      </w:pPr>
      <w:bookmarkStart w:id="59" w:name="_一、总__则"/>
      <w:bookmarkEnd w:id="59"/>
      <w:bookmarkStart w:id="60" w:name="_Toc353785276"/>
      <w:bookmarkStart w:id="61" w:name="_Toc352700406"/>
      <w:r>
        <w:rPr>
          <w:rFonts w:hint="eastAsia" w:ascii="方正小标宋_GBK" w:hAnsi="Arial" w:eastAsia="方正小标宋_GBK" w:cs="Times New Roman"/>
          <w:b/>
          <w:bCs/>
          <w:color w:val="auto"/>
          <w:sz w:val="24"/>
          <w:szCs w:val="24"/>
          <w:highlight w:val="none"/>
        </w:rPr>
        <w:t>一、总  则</w:t>
      </w:r>
      <w:bookmarkEnd w:id="60"/>
      <w:bookmarkEnd w:id="61"/>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（一）适用范围</w:t>
      </w:r>
    </w:p>
    <w:p>
      <w:pPr>
        <w:spacing w:line="400" w:lineRule="exact"/>
        <w:ind w:firstLine="420" w:firstLineChars="200"/>
        <w:rPr>
          <w:rFonts w:hint="eastAsia" w:ascii="Times New Roman" w:hAnsi="Times New Roman" w:eastAsia="宋体" w:cs="Times New Roman"/>
          <w:color w:val="auto"/>
          <w:szCs w:val="24"/>
          <w:highlight w:val="none"/>
          <w:lang w:eastAsia="zh-CN"/>
        </w:rPr>
      </w:pPr>
      <w:bookmarkStart w:id="62" w:name="_Toc254970528"/>
      <w:bookmarkStart w:id="63" w:name="_Toc352700408"/>
      <w:bookmarkStart w:id="64" w:name="_Toc353785278"/>
      <w:bookmarkStart w:id="65" w:name="_Toc254970669"/>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项目名称：</w:t>
      </w:r>
      <w:r>
        <w:rPr>
          <w:rFonts w:hint="eastAsia" w:ascii="Times New Roman" w:hAnsi="Times New Roman" w:eastAsia="宋体" w:cs="Times New Roman"/>
          <w:color w:val="auto"/>
          <w:szCs w:val="24"/>
          <w:highlight w:val="none"/>
          <w:lang w:eastAsia="zh-CN"/>
        </w:rPr>
        <w:t>钦州市行政信息中心物业服务</w:t>
      </w:r>
    </w:p>
    <w:p>
      <w:pPr>
        <w:spacing w:line="400" w:lineRule="exact"/>
        <w:ind w:firstLine="420" w:firstLineChars="200"/>
        <w:rPr>
          <w:rFonts w:hint="eastAsia" w:ascii="Times New Roman" w:hAnsi="Times New Roman" w:eastAsia="宋体" w:cs="Times New Roman"/>
          <w:color w:val="auto"/>
          <w:szCs w:val="24"/>
          <w:highlight w:val="none"/>
          <w:lang w:eastAsia="zh-CN"/>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项目编号：</w:t>
      </w:r>
      <w:r>
        <w:rPr>
          <w:rFonts w:hint="eastAsia" w:ascii="Times New Roman" w:hAnsi="Times New Roman" w:eastAsia="宋体" w:cs="Times New Roman"/>
          <w:color w:val="auto"/>
          <w:szCs w:val="24"/>
          <w:highlight w:val="none"/>
          <w:lang w:eastAsia="zh-CN"/>
        </w:rPr>
        <w:t>QZZC2026-G3-990075-QZSZ</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本招标文件仅适用于上述项目的招标、投标、评标、定标、验收、合同履约、付款等行为（法律、法规另有规定的，从其规定）。</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（二）定义</w:t>
      </w:r>
      <w:bookmarkEnd w:id="62"/>
      <w:bookmarkEnd w:id="63"/>
      <w:bookmarkEnd w:id="64"/>
      <w:bookmarkEnd w:id="65"/>
    </w:p>
    <w:p>
      <w:pPr>
        <w:snapToGrid w:val="0"/>
        <w:spacing w:line="400" w:lineRule="exact"/>
        <w:ind w:firstLine="420" w:firstLineChars="200"/>
        <w:rPr>
          <w:rFonts w:hint="eastAsia" w:ascii="宋体" w:hAnsi="宋体" w:eastAsia="宋体" w:cs="Courier New"/>
          <w:color w:val="auto"/>
          <w:szCs w:val="21"/>
          <w:highlight w:val="none"/>
        </w:rPr>
      </w:pPr>
      <w:bookmarkStart w:id="66" w:name="_Hlk92374304"/>
      <w:r>
        <w:rPr>
          <w:rFonts w:hint="eastAsia" w:ascii="宋体" w:hAnsi="宋体" w:eastAsia="宋体" w:cs="Courier New"/>
          <w:bCs/>
          <w:color w:val="auto"/>
          <w:szCs w:val="21"/>
          <w:highlight w:val="none"/>
        </w:rPr>
        <w:t>1.“采购人”系指</w:t>
      </w:r>
      <w:r>
        <w:rPr>
          <w:rFonts w:hint="eastAsia" w:ascii="宋体" w:hAnsi="宋体" w:eastAsia="宋体" w:cs="Courier New"/>
          <w:color w:val="auto"/>
          <w:szCs w:val="21"/>
          <w:highlight w:val="none"/>
        </w:rPr>
        <w:t>依法进行政府采购的国家机关、事业单位、团体组织</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2.“投标人”系指向招标方提交投标文件的单位或自然人。</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3.“采购代理机构”系指组织本次招标的钦州市政府采购中心（以下简称“本中心）。</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4.“货物”系指各种形态和种类的物品，包括原材料、燃料、设备、产品等。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5.“服务”系指除货物和工程以外的其他政府采购对象。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6.“项目”系指投标人按招标文件规定向采购人提供的产品和服务。</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7.“书面形式”</w:t>
      </w:r>
      <w:bookmarkEnd w:id="66"/>
      <w:r>
        <w:rPr>
          <w:rFonts w:hint="eastAsia" w:ascii="宋体" w:hAnsi="宋体" w:eastAsia="宋体" w:cs="Courier New"/>
          <w:bCs/>
          <w:color w:val="auto"/>
          <w:szCs w:val="21"/>
          <w:highlight w:val="none"/>
        </w:rPr>
        <w:t>是合同书、信件、电报、电传、传真等可以有形地表现所载内容的形式。</w:t>
      </w:r>
    </w:p>
    <w:p>
      <w:pPr>
        <w:spacing w:line="400" w:lineRule="exact"/>
        <w:ind w:firstLine="211" w:firstLineChars="100"/>
        <w:rPr>
          <w:rFonts w:ascii="Times New Roman" w:hAnsi="Times New Roman" w:eastAsia="宋体" w:cs="Times New Roman"/>
          <w:b/>
          <w:bCs/>
          <w:color w:val="auto"/>
          <w:szCs w:val="24"/>
          <w:highlight w:val="none"/>
        </w:rPr>
      </w:pPr>
      <w:bookmarkStart w:id="67" w:name="_Toc353785279"/>
      <w:r>
        <w:rPr>
          <w:rFonts w:hint="eastAsia" w:ascii="Times New Roman" w:hAnsi="Times New Roman" w:eastAsia="宋体" w:cs="Times New Roman"/>
          <w:b/>
          <w:bCs/>
          <w:color w:val="auto"/>
          <w:szCs w:val="24"/>
          <w:highlight w:val="none"/>
        </w:rPr>
        <w:t>（三）投标人资格</w:t>
      </w:r>
      <w:bookmarkEnd w:id="67"/>
    </w:p>
    <w:p>
      <w:pPr>
        <w:snapToGrid w:val="0"/>
        <w:spacing w:line="400" w:lineRule="exact"/>
        <w:ind w:firstLine="420" w:firstLineChars="200"/>
        <w:rPr>
          <w:rFonts w:hint="eastAsia" w:ascii="宋体" w:hAnsi="宋体" w:eastAsia="宋体" w:cs="Courier New"/>
          <w:bCs/>
          <w:color w:val="auto"/>
          <w:szCs w:val="21"/>
          <w:highlight w:val="none"/>
        </w:rPr>
      </w:pPr>
      <w:bookmarkStart w:id="68" w:name="_Toc254970670"/>
      <w:bookmarkStart w:id="69" w:name="_Toc254970529"/>
      <w:bookmarkStart w:id="70" w:name="_Toc352700409"/>
      <w:bookmarkStart w:id="71" w:name="_Toc353785280"/>
      <w:bookmarkStart w:id="72" w:name="_Hlk92444465"/>
      <w:r>
        <w:rPr>
          <w:rFonts w:hint="eastAsia" w:ascii="宋体" w:hAnsi="宋体" w:eastAsia="宋体" w:cs="Courier New"/>
          <w:bCs/>
          <w:color w:val="auto"/>
          <w:szCs w:val="21"/>
          <w:highlight w:val="none"/>
        </w:rPr>
        <w:t>1.满足《中华人民共和国政府采购法》第二十二条规定；</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2.落实政府采购政策需满足的资格要求：服务全部由符合政策要求的中小企业承接</w:t>
      </w:r>
    </w:p>
    <w:p>
      <w:pPr>
        <w:snapToGrid w:val="0"/>
        <w:spacing w:line="400" w:lineRule="exact"/>
        <w:ind w:firstLine="420" w:firstLineChars="200"/>
        <w:rPr>
          <w:rFonts w:hint="eastAsia" w:ascii="宋体" w:hAnsi="宋体" w:eastAsia="宋体" w:cs="Courier New"/>
          <w:bCs/>
          <w:color w:val="auto"/>
          <w:szCs w:val="21"/>
          <w:highlight w:val="none"/>
          <w:lang w:val="en-US" w:eastAsia="zh-CN"/>
        </w:rPr>
      </w:pPr>
      <w:r>
        <w:rPr>
          <w:rFonts w:hint="eastAsia" w:ascii="宋体" w:hAnsi="宋体" w:eastAsia="宋体" w:cs="Courier New"/>
          <w:bCs/>
          <w:color w:val="auto"/>
          <w:szCs w:val="21"/>
          <w:highlight w:val="none"/>
        </w:rPr>
        <w:t>3.本项目的特定资格要求：</w:t>
      </w:r>
      <w:r>
        <w:rPr>
          <w:rFonts w:hint="eastAsia" w:ascii="宋体" w:hAnsi="宋体" w:eastAsia="宋体" w:cs="Courier New"/>
          <w:bCs/>
          <w:color w:val="auto"/>
          <w:szCs w:val="21"/>
          <w:highlight w:val="none"/>
          <w:lang w:val="en-US" w:eastAsia="zh-CN"/>
        </w:rPr>
        <w:t>无</w:t>
      </w:r>
    </w:p>
    <w:p>
      <w:pPr>
        <w:spacing w:line="40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（四）采购方式</w:t>
      </w:r>
      <w:bookmarkEnd w:id="68"/>
      <w:bookmarkEnd w:id="69"/>
      <w:bookmarkEnd w:id="70"/>
      <w:bookmarkEnd w:id="71"/>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公开招标方式。</w:t>
      </w:r>
    </w:p>
    <w:p>
      <w:pPr>
        <w:spacing w:line="400" w:lineRule="exact"/>
        <w:ind w:firstLine="211" w:firstLineChars="100"/>
        <w:rPr>
          <w:rFonts w:ascii="Times New Roman" w:hAnsi="Times New Roman" w:eastAsia="宋体" w:cs="Times New Roman"/>
          <w:b/>
          <w:bCs/>
          <w:color w:val="auto"/>
          <w:szCs w:val="24"/>
          <w:highlight w:val="none"/>
        </w:rPr>
      </w:pPr>
      <w:bookmarkStart w:id="73" w:name="_Toc353785281"/>
      <w:bookmarkStart w:id="74" w:name="_Toc254970671"/>
      <w:bookmarkStart w:id="75" w:name="_Toc352700410"/>
      <w:bookmarkStart w:id="76" w:name="_Toc254970530"/>
      <w:r>
        <w:rPr>
          <w:rFonts w:hint="eastAsia" w:ascii="Times New Roman" w:hAnsi="Times New Roman" w:eastAsia="宋体" w:cs="Times New Roman"/>
          <w:b/>
          <w:bCs/>
          <w:color w:val="auto"/>
          <w:szCs w:val="24"/>
          <w:highlight w:val="none"/>
        </w:rPr>
        <w:t>（五）投标委托</w:t>
      </w:r>
      <w:bookmarkEnd w:id="73"/>
      <w:bookmarkEnd w:id="74"/>
      <w:bookmarkEnd w:id="75"/>
      <w:bookmarkEnd w:id="76"/>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委托投标的投标人须提供授权委托书（格式见第六章）。</w:t>
      </w:r>
    </w:p>
    <w:p>
      <w:pPr>
        <w:spacing w:line="400" w:lineRule="exact"/>
        <w:ind w:firstLine="211" w:firstLineChars="100"/>
        <w:rPr>
          <w:rFonts w:ascii="Times New Roman" w:hAnsi="Times New Roman" w:eastAsia="宋体" w:cs="Times New Roman"/>
          <w:b/>
          <w:bCs/>
          <w:color w:val="auto"/>
          <w:szCs w:val="24"/>
          <w:highlight w:val="none"/>
        </w:rPr>
      </w:pPr>
      <w:bookmarkStart w:id="77" w:name="_Toc254970672"/>
      <w:bookmarkStart w:id="78" w:name="_Toc254970531"/>
      <w:bookmarkStart w:id="79" w:name="_Toc353785282"/>
      <w:bookmarkStart w:id="80" w:name="_Toc352700411"/>
      <w:r>
        <w:rPr>
          <w:rFonts w:hint="eastAsia" w:ascii="Times New Roman" w:hAnsi="Times New Roman" w:eastAsia="宋体" w:cs="Times New Roman"/>
          <w:b/>
          <w:bCs/>
          <w:color w:val="auto"/>
          <w:szCs w:val="24"/>
          <w:highlight w:val="none"/>
        </w:rPr>
        <w:t>（六）投标费用</w:t>
      </w:r>
      <w:bookmarkEnd w:id="77"/>
      <w:bookmarkEnd w:id="78"/>
      <w:bookmarkEnd w:id="79"/>
      <w:bookmarkEnd w:id="80"/>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投标人自行承担所有与投标有关的全部费用。</w:t>
      </w:r>
    </w:p>
    <w:p>
      <w:pPr>
        <w:spacing w:line="400" w:lineRule="exact"/>
        <w:ind w:firstLine="211" w:firstLineChars="100"/>
        <w:rPr>
          <w:rFonts w:ascii="Times New Roman" w:hAnsi="Times New Roman" w:eastAsia="宋体" w:cs="Times New Roman"/>
          <w:b/>
          <w:bCs/>
          <w:color w:val="auto"/>
          <w:szCs w:val="24"/>
          <w:highlight w:val="none"/>
        </w:rPr>
      </w:pPr>
      <w:bookmarkStart w:id="81" w:name="_Toc353785283"/>
      <w:bookmarkStart w:id="82" w:name="_Toc352700413"/>
      <w:r>
        <w:rPr>
          <w:rFonts w:hint="eastAsia" w:ascii="Times New Roman" w:hAnsi="Times New Roman" w:eastAsia="宋体" w:cs="Times New Roman"/>
          <w:b/>
          <w:bCs/>
          <w:color w:val="auto"/>
          <w:szCs w:val="24"/>
          <w:highlight w:val="none"/>
        </w:rPr>
        <w:t>（七）转包与分包</w:t>
      </w:r>
      <w:bookmarkEnd w:id="81"/>
      <w:bookmarkEnd w:id="82"/>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1.本项目不允许转包。</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2.采购人允许采用分包方式履行合同的，应当在采购文件中明确可以分包履行的具体内容、金额或者比例。</w:t>
      </w:r>
    </w:p>
    <w:p>
      <w:pPr>
        <w:snapToGrid w:val="0"/>
        <w:spacing w:line="400" w:lineRule="exact"/>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3.依据《政府采购促进中小企业发展管理办法》规定享受扶持政策获得政府采购合同的，小微企业不得将合同分包给大中型企业，中型企业不得将合同分包给大型企业。</w:t>
      </w:r>
    </w:p>
    <w:bookmarkEnd w:id="72"/>
    <w:p>
      <w:pPr>
        <w:spacing w:line="400" w:lineRule="exact"/>
        <w:ind w:firstLine="211" w:firstLineChars="100"/>
        <w:rPr>
          <w:rFonts w:ascii="Times New Roman" w:hAnsi="Times New Roman" w:eastAsia="宋体" w:cs="Times New Roman"/>
          <w:b/>
          <w:bCs/>
          <w:color w:val="auto"/>
          <w:szCs w:val="24"/>
          <w:highlight w:val="none"/>
        </w:rPr>
      </w:pPr>
      <w:bookmarkStart w:id="83" w:name="_Toc254970673"/>
      <w:bookmarkStart w:id="84" w:name="_Toc353785284"/>
      <w:bookmarkStart w:id="85" w:name="_Toc352700414"/>
      <w:bookmarkStart w:id="86" w:name="_Toc254970532"/>
      <w:bookmarkStart w:id="87" w:name="_Hlk92444771"/>
      <w:r>
        <w:rPr>
          <w:rFonts w:hint="eastAsia" w:ascii="Times New Roman" w:hAnsi="Times New Roman" w:eastAsia="宋体" w:cs="Times New Roman"/>
          <w:b/>
          <w:bCs/>
          <w:color w:val="auto"/>
          <w:szCs w:val="24"/>
          <w:highlight w:val="none"/>
        </w:rPr>
        <w:t>（八）特别说明：</w:t>
      </w:r>
      <w:bookmarkEnd w:id="83"/>
      <w:bookmarkEnd w:id="84"/>
      <w:bookmarkEnd w:id="85"/>
      <w:bookmarkEnd w:id="86"/>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关联供应商不得参加同一合同项下政府采购活动，否则投标文件将被视为无效：</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1.单位负责人为同一人或者存在直接控股、管理关系的不同的投标人，不得参加同一合同项下的政府采购活动。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2.为采购项目提供整体设计、规范编制或者项目管理、监理、检测等服务的投标人，不得再参加该采购项目的其他采购活动。</w:t>
      </w:r>
    </w:p>
    <w:p>
      <w:pPr>
        <w:spacing w:line="400" w:lineRule="exact"/>
        <w:ind w:firstLine="211" w:firstLineChars="100"/>
        <w:rPr>
          <w:rFonts w:ascii="Times New Roman" w:hAnsi="Times New Roman" w:eastAsia="宋体" w:cs="Times New Roman"/>
          <w:b/>
          <w:bCs/>
          <w:color w:val="auto"/>
          <w:szCs w:val="24"/>
          <w:highlight w:val="none"/>
        </w:rPr>
      </w:pPr>
      <w:bookmarkStart w:id="88" w:name="_Toc353785285"/>
      <w:bookmarkStart w:id="89" w:name="_Toc352700415"/>
      <w:bookmarkStart w:id="90" w:name="_Toc254970533"/>
      <w:bookmarkStart w:id="91" w:name="_Toc254970674"/>
      <w:r>
        <w:rPr>
          <w:rFonts w:hint="eastAsia" w:ascii="Times New Roman" w:hAnsi="Times New Roman" w:eastAsia="宋体" w:cs="Times New Roman"/>
          <w:b/>
          <w:bCs/>
          <w:color w:val="auto"/>
          <w:szCs w:val="24"/>
          <w:highlight w:val="none"/>
        </w:rPr>
        <w:t>（九）询问、质疑和投诉</w:t>
      </w:r>
      <w:bookmarkEnd w:id="88"/>
      <w:bookmarkEnd w:id="89"/>
      <w:bookmarkEnd w:id="90"/>
      <w:bookmarkEnd w:id="91"/>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w:t>
      </w:r>
      <w:r>
        <w:rPr>
          <w:rFonts w:hint="eastAsia" w:ascii="Arial" w:hAnsi="Arial" w:eastAsia="宋体" w:cs="Arial"/>
          <w:color w:val="auto"/>
          <w:kern w:val="0"/>
          <w:szCs w:val="21"/>
          <w:highlight w:val="none"/>
        </w:rPr>
        <w:t>投标人对政府采购活动事项有疑问的，可以向采购人或本中心提出询问，采购人或本中心当在</w:t>
      </w:r>
      <w:r>
        <w:rPr>
          <w:rFonts w:ascii="Arial" w:hAnsi="Arial" w:eastAsia="宋体" w:cs="Arial"/>
          <w:color w:val="auto"/>
          <w:kern w:val="0"/>
          <w:szCs w:val="21"/>
          <w:highlight w:val="none"/>
        </w:rPr>
        <w:t>3</w:t>
      </w:r>
      <w:r>
        <w:rPr>
          <w:rFonts w:hint="eastAsia" w:ascii="Arial" w:hAnsi="Arial" w:eastAsia="宋体" w:cs="Arial"/>
          <w:color w:val="auto"/>
          <w:kern w:val="0"/>
          <w:szCs w:val="21"/>
          <w:highlight w:val="none"/>
        </w:rPr>
        <w:t>个工作日内对投标人依法提出的询问作出答复，但答复的内容不得涉及商业秘密。</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2.投标人认为招标文件、招标过程或中标结果使自己的合法权益受到损害的，可以在知道或者应知其权益受到损害之日起7个工作日内，</w:t>
      </w:r>
      <w:r>
        <w:rPr>
          <w:rFonts w:hint="eastAsia" w:ascii="宋体" w:hAnsi="Courier New" w:eastAsia="宋体" w:cs="Arial"/>
          <w:color w:val="auto"/>
          <w:szCs w:val="21"/>
          <w:highlight w:val="none"/>
        </w:rPr>
        <w:t>以书面形式（政采云平台）向采购人、采购代理机构提出质疑。</w:t>
      </w:r>
      <w:r>
        <w:rPr>
          <w:rFonts w:hint="eastAsia" w:ascii="宋体" w:hAnsi="宋体" w:eastAsia="宋体" w:cs="Courier New"/>
          <w:bCs/>
          <w:color w:val="auto"/>
          <w:szCs w:val="21"/>
          <w:highlight w:val="none"/>
        </w:rPr>
        <w:t>投标人必须在法定质疑期内一次性提出针对同一采购程序环节的质疑。</w:t>
      </w:r>
      <w:r>
        <w:rPr>
          <w:rFonts w:hint="eastAsia" w:ascii="宋体" w:hAnsi="宋体" w:eastAsia="宋体" w:cs="宋体"/>
          <w:color w:val="auto"/>
          <w:szCs w:val="21"/>
          <w:highlight w:val="none"/>
        </w:rPr>
        <w:t>投标人应知其权益受到损害之日，是指：</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(1)对招标文件提出质疑的，为获取招标文件之日；</w:t>
      </w:r>
    </w:p>
    <w:p>
      <w:pPr>
        <w:adjustRightInd w:val="0"/>
        <w:snapToGrid w:val="0"/>
        <w:spacing w:line="400" w:lineRule="exact"/>
        <w:ind w:firstLine="308" w:firstLineChars="147"/>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(2)对招标过程提出质疑的，为各采购程序环节结束之日；</w:t>
      </w:r>
    </w:p>
    <w:p>
      <w:pPr>
        <w:widowControl/>
        <w:adjustRightInd w:val="0"/>
        <w:snapToGrid w:val="0"/>
        <w:spacing w:line="400" w:lineRule="exact"/>
        <w:ind w:firstLine="102" w:firstLineChars="49"/>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 xml:space="preserve">  (3)对中标结果提出质疑的，为中标结果公告期限届满之日。</w:t>
      </w:r>
    </w:p>
    <w:p>
      <w:pPr>
        <w:widowControl/>
        <w:adjustRightInd w:val="0"/>
        <w:snapToGrid w:val="0"/>
        <w:spacing w:line="400" w:lineRule="exact"/>
        <w:ind w:firstLine="420" w:firstLineChars="200"/>
        <w:jc w:val="left"/>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3.</w:t>
      </w:r>
      <w:r>
        <w:rPr>
          <w:rFonts w:hint="eastAsia" w:ascii="Times New Roman" w:hAnsi="宋体" w:eastAsia="宋体" w:cs="Times New Roman"/>
          <w:color w:val="auto"/>
          <w:szCs w:val="24"/>
          <w:highlight w:val="none"/>
        </w:rPr>
        <w:t>投标人对采购人、本中心质疑答复不满意或者采购人、本中心未在规定时间内作出答复的，可以在答复期满后十五个工作日内向同级采购监管部门投诉。</w:t>
      </w:r>
    </w:p>
    <w:p>
      <w:pPr>
        <w:snapToGrid w:val="0"/>
        <w:spacing w:line="40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4.质疑、投诉应当采用书面形式，质疑书、投诉书均应明确阐述招标文件、招标过程或中标结果中使自己合法权益受到损害的实质性内容，提供相关事实、依据和证据及其来源或线索，便于有关单位调查、答复和处理。（质疑、投诉不接受传真形式）</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质疑部门联系方式：钦州市政府采购中心</w:t>
      </w:r>
      <w:r>
        <w:rPr>
          <w:rFonts w:ascii="Times New Roman" w:hAnsi="Times New Roman" w:eastAsia="宋体" w:cs="Times New Roman"/>
          <w:color w:val="auto"/>
          <w:szCs w:val="24"/>
          <w:highlight w:val="none"/>
        </w:rPr>
        <w:t xml:space="preserve">    0777-2886002</w:t>
      </w:r>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采购监管部门联系方式：钦州市财政局</w:t>
      </w:r>
      <w:r>
        <w:rPr>
          <w:rFonts w:ascii="Times New Roman" w:hAnsi="Times New Roman" w:eastAsia="宋体" w:cs="Times New Roman"/>
          <w:color w:val="auto"/>
          <w:szCs w:val="24"/>
          <w:highlight w:val="none"/>
        </w:rPr>
        <w:t xml:space="preserve">      0777-2895258</w:t>
      </w:r>
    </w:p>
    <w:p>
      <w:pPr>
        <w:spacing w:line="400" w:lineRule="exact"/>
        <w:ind w:firstLine="211" w:firstLineChars="100"/>
        <w:rPr>
          <w:rFonts w:hint="eastAsia" w:ascii="Times New Roman" w:hAnsi="宋体" w:eastAsia="宋体" w:cs="Times New Roman"/>
          <w:color w:val="auto"/>
          <w:szCs w:val="24"/>
          <w:highlight w:val="none"/>
        </w:rPr>
      </w:pPr>
      <w:bookmarkStart w:id="92" w:name="_Hlk92793564"/>
      <w:r>
        <w:rPr>
          <w:rFonts w:hint="eastAsia" w:ascii="Times New Roman" w:hAnsi="Times New Roman" w:eastAsia="宋体" w:cs="Times New Roman"/>
          <w:b/>
          <w:bCs/>
          <w:color w:val="auto"/>
          <w:szCs w:val="24"/>
          <w:highlight w:val="none"/>
        </w:rPr>
        <w:t>（十）查询媒体</w:t>
      </w:r>
      <w:bookmarkEnd w:id="87"/>
      <w:bookmarkEnd w:id="92"/>
      <w:r>
        <w:rPr>
          <w:rFonts w:ascii="Times New Roman" w:hAnsi="Times New Roman" w:eastAsia="宋体" w:cs="Times New Roman"/>
          <w:b/>
          <w:bCs/>
          <w:color w:val="auto"/>
          <w:szCs w:val="24"/>
          <w:highlight w:val="none"/>
        </w:rPr>
        <w:t>:</w:t>
      </w:r>
      <w:r>
        <w:rPr>
          <w:color w:val="auto"/>
          <w:highlight w:val="none"/>
        </w:rPr>
        <w:fldChar w:fldCharType="begin"/>
      </w:r>
      <w:r>
        <w:rPr>
          <w:color w:val="auto"/>
          <w:highlight w:val="none"/>
        </w:rPr>
        <w:instrText xml:space="preserve"> HYPERLINK "http://www.ccgp.gov.cn/" </w:instrText>
      </w:r>
      <w:r>
        <w:rPr>
          <w:color w:val="auto"/>
          <w:highlight w:val="none"/>
        </w:rPr>
        <w:fldChar w:fldCharType="separate"/>
      </w:r>
      <w:r>
        <w:rPr>
          <w:rFonts w:hint="eastAsia" w:ascii="Times New Roman" w:hAnsi="宋体" w:eastAsia="宋体" w:cs="Times New Roman"/>
          <w:color w:val="auto"/>
          <w:szCs w:val="24"/>
          <w:highlight w:val="none"/>
        </w:rPr>
        <w:t>中国政府采购网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r>
        <w:rPr>
          <w:color w:val="auto"/>
          <w:highlight w:val="none"/>
        </w:rPr>
        <w:fldChar w:fldCharType="begin"/>
      </w:r>
      <w:r>
        <w:rPr>
          <w:color w:val="auto"/>
          <w:highlight w:val="none"/>
        </w:rPr>
        <w:instrText xml:space="preserve"> HYPERLINK "http://zfcg.gxzf.gov.cn/" </w:instrText>
      </w:r>
      <w:r>
        <w:rPr>
          <w:color w:val="auto"/>
          <w:highlight w:val="none"/>
        </w:rPr>
        <w:fldChar w:fldCharType="separate"/>
      </w:r>
      <w:r>
        <w:rPr>
          <w:rFonts w:hint="eastAsia" w:ascii="Times New Roman" w:hAnsi="宋体" w:eastAsia="宋体" w:cs="Times New Roman"/>
          <w:color w:val="auto"/>
          <w:szCs w:val="24"/>
          <w:highlight w:val="none"/>
        </w:rPr>
        <w:t>广西政府采购网</w:t>
      </w:r>
      <w:r>
        <w:rPr>
          <w:rFonts w:hint="eastAsia" w:ascii="Times New Roman" w:hAnsi="宋体" w:eastAsia="宋体" w:cs="Times New Roman"/>
          <w:color w:val="auto"/>
          <w:szCs w:val="24"/>
          <w:highlight w:val="none"/>
        </w:rPr>
        <w:fldChar w:fldCharType="end"/>
      </w:r>
      <w:r>
        <w:rPr>
          <w:rFonts w:hint="eastAsia" w:ascii="Times New Roman" w:hAnsi="宋体" w:eastAsia="宋体" w:cs="Times New Roman"/>
          <w:color w:val="auto"/>
          <w:szCs w:val="24"/>
          <w:highlight w:val="none"/>
        </w:rPr>
        <w:t>。</w:t>
      </w:r>
    </w:p>
    <w:p>
      <w:pPr>
        <w:spacing w:line="400" w:lineRule="exact"/>
        <w:ind w:firstLine="211" w:firstLineChars="100"/>
        <w:rPr>
          <w:rFonts w:ascii="Times New Roman" w:hAnsi="Times New Roman" w:eastAsia="宋体" w:cs="Times New Roman"/>
          <w:b/>
          <w:bCs/>
          <w:color w:val="auto"/>
          <w:szCs w:val="24"/>
          <w:highlight w:val="none"/>
        </w:rPr>
      </w:pPr>
    </w:p>
    <w:p>
      <w:pPr>
        <w:keepNext/>
        <w:keepLines/>
        <w:spacing w:line="400" w:lineRule="exact"/>
        <w:outlineLvl w:val="1"/>
        <w:rPr>
          <w:rFonts w:ascii="方正小标宋_GBK" w:hAnsi="Arial" w:eastAsia="方正小标宋_GBK" w:cs="Times New Roman"/>
          <w:b/>
          <w:bCs/>
          <w:color w:val="auto"/>
          <w:sz w:val="24"/>
          <w:szCs w:val="24"/>
          <w:highlight w:val="none"/>
        </w:rPr>
      </w:pPr>
      <w:bookmarkStart w:id="93" w:name="_Toc353785286"/>
      <w:bookmarkStart w:id="94" w:name="_Toc352700416"/>
      <w:r>
        <w:rPr>
          <w:rFonts w:hint="eastAsia" w:ascii="方正小标宋_GBK" w:hAnsi="Arial" w:eastAsia="方正小标宋_GBK" w:cs="Times New Roman"/>
          <w:b/>
          <w:bCs/>
          <w:color w:val="auto"/>
          <w:sz w:val="24"/>
          <w:szCs w:val="24"/>
          <w:highlight w:val="none"/>
        </w:rPr>
        <w:t>二、招标文件</w:t>
      </w:r>
      <w:bookmarkEnd w:id="93"/>
      <w:bookmarkEnd w:id="94"/>
    </w:p>
    <w:p>
      <w:pPr>
        <w:spacing w:line="400" w:lineRule="exact"/>
        <w:ind w:firstLine="211" w:firstLineChars="100"/>
        <w:rPr>
          <w:rFonts w:ascii="Times New Roman" w:hAnsi="Times New Roman" w:eastAsia="宋体" w:cs="Times New Roman"/>
          <w:b/>
          <w:bCs/>
          <w:color w:val="auto"/>
          <w:szCs w:val="24"/>
          <w:highlight w:val="none"/>
        </w:rPr>
      </w:pPr>
      <w:bookmarkStart w:id="95" w:name="_Toc352700417"/>
      <w:bookmarkStart w:id="96" w:name="_Toc353785287"/>
      <w:r>
        <w:rPr>
          <w:rFonts w:hint="eastAsia" w:ascii="Times New Roman" w:hAnsi="Times New Roman" w:eastAsia="宋体" w:cs="Times New Roman"/>
          <w:b/>
          <w:bCs/>
          <w:color w:val="auto"/>
          <w:szCs w:val="24"/>
          <w:highlight w:val="none"/>
        </w:rPr>
        <w:t>（一）招标文件的组成</w:t>
      </w:r>
      <w:bookmarkEnd w:id="95"/>
      <w:bookmarkEnd w:id="96"/>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第一章 招标公告</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第二章 项目需求</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第三章 投标人须知及前附表</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第四章 评定标准及推荐原则</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第五章 政府采购合同主要条款</w:t>
      </w:r>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第六章 投标文件格式</w:t>
      </w:r>
    </w:p>
    <w:p>
      <w:pPr>
        <w:spacing w:line="400" w:lineRule="exact"/>
        <w:ind w:firstLine="211" w:firstLineChars="100"/>
        <w:rPr>
          <w:rFonts w:ascii="Times New Roman" w:hAnsi="Times New Roman" w:eastAsia="宋体" w:cs="Times New Roman"/>
          <w:b/>
          <w:bCs/>
          <w:color w:val="auto"/>
          <w:szCs w:val="24"/>
          <w:highlight w:val="none"/>
        </w:rPr>
      </w:pPr>
      <w:bookmarkStart w:id="97" w:name="_Toc353785289"/>
      <w:bookmarkStart w:id="98" w:name="_Toc352700419"/>
      <w:r>
        <w:rPr>
          <w:rFonts w:hint="eastAsia" w:ascii="Times New Roman" w:hAnsi="Times New Roman" w:eastAsia="宋体" w:cs="Times New Roman"/>
          <w:b/>
          <w:bCs/>
          <w:color w:val="auto"/>
          <w:szCs w:val="24"/>
          <w:highlight w:val="none"/>
        </w:rPr>
        <w:t>（二）招标文件的澄清与修改</w:t>
      </w:r>
      <w:bookmarkEnd w:id="97"/>
      <w:bookmarkEnd w:id="98"/>
    </w:p>
    <w:p>
      <w:pPr>
        <w:snapToGrid w:val="0"/>
        <w:spacing w:line="400" w:lineRule="exact"/>
        <w:ind w:firstLine="420" w:firstLineChars="200"/>
        <w:jc w:val="left"/>
        <w:rPr>
          <w:rFonts w:ascii="宋体" w:hAnsi="Courier New" w:eastAsia="宋体" w:cs="Courier New"/>
          <w:color w:val="auto"/>
          <w:szCs w:val="21"/>
          <w:highlight w:val="none"/>
        </w:rPr>
      </w:pPr>
      <w:r>
        <w:rPr>
          <w:rFonts w:hint="eastAsia" w:ascii="宋体" w:hAnsi="宋体" w:eastAsia="宋体" w:cs="Courier New"/>
          <w:color w:val="auto"/>
          <w:szCs w:val="21"/>
          <w:highlight w:val="none"/>
        </w:rPr>
        <w:t>1.</w:t>
      </w:r>
      <w:r>
        <w:rPr>
          <w:rFonts w:hint="eastAsia" w:ascii="宋体" w:hAnsi="Courier New" w:eastAsia="宋体" w:cs="Courier New"/>
          <w:color w:val="auto"/>
          <w:szCs w:val="21"/>
          <w:highlight w:val="none"/>
        </w:rPr>
        <w:t>采购人或者本中心可以对已发出的招标文件进行必要的</w:t>
      </w:r>
      <w:bookmarkStart w:id="99" w:name="_Hlk92287343"/>
      <w:r>
        <w:rPr>
          <w:rFonts w:hint="eastAsia" w:ascii="宋体" w:hAnsi="Courier New" w:eastAsia="宋体" w:cs="Courier New"/>
          <w:color w:val="auto"/>
          <w:szCs w:val="21"/>
          <w:highlight w:val="none"/>
        </w:rPr>
        <w:t>澄清或者修改</w:t>
      </w:r>
      <w:bookmarkEnd w:id="99"/>
      <w:r>
        <w:rPr>
          <w:rFonts w:hint="eastAsia" w:ascii="宋体" w:hAnsi="Courier New" w:eastAsia="宋体" w:cs="Courier New"/>
          <w:color w:val="auto"/>
          <w:szCs w:val="21"/>
          <w:highlight w:val="none"/>
        </w:rPr>
        <w:t>，但不得改变采购标的和资格条件。澄清或者修改应当在原公告发布媒体上发布澄清公告。澄清或者修改的内容为招标文件的组成部分。</w:t>
      </w:r>
    </w:p>
    <w:p>
      <w:pPr>
        <w:snapToGrid w:val="0"/>
        <w:spacing w:line="400" w:lineRule="exact"/>
        <w:ind w:firstLine="420" w:firstLineChars="2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澄清或者修改的内容可能影响投标文件编制的，采购人或者采购代理机构应当在投标截止时间至少15日前，以书面形式通知所有依法获取招标文件的潜在投标人；不足15日的，采购人或者采购代理机构应当顺延提交投标文件的截止时间。</w:t>
      </w:r>
    </w:p>
    <w:p>
      <w:pPr>
        <w:snapToGrid w:val="0"/>
        <w:spacing w:line="400" w:lineRule="exact"/>
        <w:ind w:firstLine="420" w:firstLineChars="200"/>
        <w:jc w:val="left"/>
        <w:rPr>
          <w:rFonts w:ascii="Arial" w:hAnsi="Arial" w:eastAsia="宋体" w:cs="Arial"/>
          <w:color w:val="auto"/>
          <w:szCs w:val="21"/>
          <w:highlight w:val="none"/>
        </w:rPr>
      </w:pPr>
      <w:bookmarkStart w:id="100" w:name="_Hlk92446337"/>
      <w:r>
        <w:rPr>
          <w:rFonts w:hint="eastAsia" w:ascii="宋体" w:hAnsi="宋体" w:eastAsia="宋体" w:cs="Courier New"/>
          <w:color w:val="auto"/>
          <w:szCs w:val="21"/>
          <w:highlight w:val="none"/>
        </w:rPr>
        <w:t>3.</w:t>
      </w:r>
      <w:r>
        <w:rPr>
          <w:rFonts w:hint="eastAsia" w:ascii="Arial" w:hAnsi="Arial" w:eastAsia="宋体" w:cs="Arial"/>
          <w:color w:val="auto"/>
          <w:szCs w:val="21"/>
          <w:highlight w:val="none"/>
        </w:rPr>
        <w:t>提供期限届满后，获取招标文件的潜在投标人不足</w:t>
      </w:r>
      <w:r>
        <w:rPr>
          <w:rFonts w:ascii="Arial" w:hAnsi="Arial" w:eastAsia="宋体" w:cs="Arial"/>
          <w:color w:val="auto"/>
          <w:szCs w:val="21"/>
          <w:highlight w:val="none"/>
        </w:rPr>
        <w:t>3</w:t>
      </w:r>
      <w:r>
        <w:rPr>
          <w:rFonts w:hint="eastAsia" w:ascii="Arial" w:hAnsi="Arial" w:eastAsia="宋体" w:cs="Arial"/>
          <w:color w:val="auto"/>
          <w:szCs w:val="21"/>
          <w:highlight w:val="none"/>
        </w:rPr>
        <w:t>家的，本中心可以顺延提供期限，并予公告。</w:t>
      </w:r>
    </w:p>
    <w:bookmarkEnd w:id="100"/>
    <w:p>
      <w:pPr>
        <w:keepNext/>
        <w:keepLines/>
        <w:spacing w:line="400" w:lineRule="exact"/>
        <w:outlineLvl w:val="1"/>
        <w:rPr>
          <w:rFonts w:ascii="方正小标宋_GBK" w:hAnsi="Arial" w:eastAsia="方正小标宋_GBK" w:cs="Times New Roman"/>
          <w:bCs/>
          <w:color w:val="auto"/>
          <w:sz w:val="24"/>
          <w:szCs w:val="24"/>
          <w:highlight w:val="none"/>
        </w:rPr>
      </w:pPr>
      <w:bookmarkStart w:id="101" w:name="_三、投标文件"/>
      <w:bookmarkEnd w:id="101"/>
      <w:bookmarkStart w:id="102" w:name="_Toc254970676"/>
      <w:bookmarkStart w:id="103" w:name="_Toc254970535"/>
      <w:bookmarkStart w:id="104" w:name="_Toc352700420"/>
      <w:bookmarkStart w:id="105" w:name="_Toc353785290"/>
      <w:r>
        <w:rPr>
          <w:rFonts w:hint="eastAsia" w:ascii="方正小标宋_GBK" w:hAnsi="Arial" w:eastAsia="方正小标宋_GBK" w:cs="Times New Roman"/>
          <w:bCs/>
          <w:color w:val="auto"/>
          <w:sz w:val="24"/>
          <w:szCs w:val="24"/>
          <w:highlight w:val="none"/>
        </w:rPr>
        <w:t>三、</w:t>
      </w:r>
      <w:bookmarkStart w:id="106" w:name="_Hlk92446512"/>
      <w:r>
        <w:rPr>
          <w:rFonts w:hint="eastAsia" w:ascii="方正小标宋_GBK" w:hAnsi="Arial" w:eastAsia="方正小标宋_GBK" w:cs="Times New Roman"/>
          <w:bCs/>
          <w:color w:val="auto"/>
          <w:sz w:val="24"/>
          <w:szCs w:val="24"/>
          <w:highlight w:val="none"/>
        </w:rPr>
        <w:t>投标文件</w:t>
      </w:r>
      <w:bookmarkEnd w:id="102"/>
      <w:bookmarkEnd w:id="103"/>
      <w:bookmarkEnd w:id="104"/>
      <w:bookmarkEnd w:id="105"/>
    </w:p>
    <w:p>
      <w:pPr>
        <w:spacing w:line="400" w:lineRule="exact"/>
        <w:ind w:firstLine="211" w:firstLineChars="100"/>
        <w:rPr>
          <w:rFonts w:hint="eastAsia" w:ascii="Times New Roman" w:hAnsi="宋体" w:eastAsia="宋体" w:cs="Times New Roman"/>
          <w:b/>
          <w:bCs/>
          <w:color w:val="auto"/>
          <w:szCs w:val="24"/>
          <w:highlight w:val="none"/>
        </w:rPr>
      </w:pPr>
      <w:bookmarkStart w:id="107" w:name="_Toc352700421"/>
      <w:bookmarkStart w:id="108" w:name="_Toc254970677"/>
      <w:bookmarkStart w:id="109" w:name="_Toc353785291"/>
      <w:bookmarkStart w:id="110" w:name="_Toc254970536"/>
      <w:r>
        <w:rPr>
          <w:rFonts w:hint="eastAsia" w:ascii="Times New Roman" w:hAnsi="宋体" w:eastAsia="宋体" w:cs="Times New Roman"/>
          <w:b/>
          <w:bCs/>
          <w:color w:val="auto"/>
          <w:szCs w:val="24"/>
          <w:highlight w:val="none"/>
        </w:rPr>
        <w:t>（一）投标人的风险</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1.</w:t>
      </w:r>
      <w:r>
        <w:rPr>
          <w:rFonts w:hint="eastAsia" w:ascii="Times New Roman" w:hAnsi="宋体" w:eastAsia="宋体" w:cs="Times New Roman"/>
          <w:color w:val="auto"/>
          <w:szCs w:val="24"/>
          <w:highlight w:val="none"/>
        </w:rPr>
        <w:t>投标人应仔细阅读招标文件的全部内容，按照招标文件的要求提交投标文件，并对所提供的全部资料的真实性承担法律责任。</w:t>
      </w:r>
    </w:p>
    <w:p>
      <w:pPr>
        <w:spacing w:line="400" w:lineRule="exact"/>
        <w:ind w:firstLine="420" w:firstLineChars="200"/>
        <w:rPr>
          <w:rFonts w:hint="eastAsia" w:ascii="Times New Roman" w:hAnsi="宋体" w:eastAsia="宋体" w:cs="Times New Roman"/>
          <w:color w:val="auto"/>
          <w:szCs w:val="24"/>
          <w:highlight w:val="none"/>
        </w:rPr>
      </w:pPr>
      <w:r>
        <w:rPr>
          <w:rFonts w:ascii="Times New Roman" w:hAnsi="宋体" w:eastAsia="宋体" w:cs="Times New Roman"/>
          <w:color w:val="auto"/>
          <w:szCs w:val="24"/>
          <w:highlight w:val="none"/>
        </w:rPr>
        <w:t>2.</w:t>
      </w:r>
      <w:r>
        <w:rPr>
          <w:rFonts w:hint="eastAsia" w:ascii="Times New Roman" w:hAnsi="宋体" w:eastAsia="宋体" w:cs="Times New Roman"/>
          <w:color w:val="auto"/>
          <w:szCs w:val="24"/>
          <w:highlight w:val="none"/>
        </w:rPr>
        <w:t>投标人在投标活动中提供任何虚假材料的，评标委员会将报财政部门查处。</w:t>
      </w:r>
    </w:p>
    <w:bookmarkEnd w:id="106"/>
    <w:p>
      <w:pPr>
        <w:snapToGrid w:val="0"/>
        <w:spacing w:line="400" w:lineRule="exact"/>
        <w:ind w:firstLine="211" w:firstLineChars="100"/>
        <w:rPr>
          <w:rFonts w:hint="eastAsia" w:ascii="宋体" w:hAnsi="宋体" w:eastAsia="宋体" w:cs="Times New Roman"/>
          <w:b/>
          <w:color w:val="auto"/>
          <w:szCs w:val="21"/>
          <w:highlight w:val="none"/>
        </w:rPr>
      </w:pPr>
      <w:bookmarkStart w:id="111" w:name="_Hlk92446638"/>
      <w:r>
        <w:rPr>
          <w:rFonts w:hint="eastAsia" w:ascii="Times New Roman" w:hAnsi="宋体" w:eastAsia="宋体" w:cs="Times New Roman"/>
          <w:b/>
          <w:bCs/>
          <w:color w:val="auto"/>
          <w:szCs w:val="24"/>
          <w:highlight w:val="none"/>
        </w:rPr>
        <w:t>（二）</w:t>
      </w:r>
      <w:r>
        <w:rPr>
          <w:rFonts w:hint="eastAsia" w:ascii="宋体" w:hAnsi="宋体" w:eastAsia="宋体" w:cs="Times New Roman"/>
          <w:b/>
          <w:color w:val="auto"/>
          <w:szCs w:val="21"/>
          <w:highlight w:val="none"/>
        </w:rPr>
        <w:t>投标文件的组成</w:t>
      </w:r>
    </w:p>
    <w:p>
      <w:pPr>
        <w:snapToGrid w:val="0"/>
        <w:spacing w:line="400" w:lineRule="exact"/>
        <w:ind w:firstLine="422" w:firstLineChars="200"/>
        <w:rPr>
          <w:rFonts w:hint="eastAsia" w:ascii="宋体" w:hAnsi="宋体" w:eastAsia="宋体" w:cs="Times New Roman"/>
          <w:b/>
          <w:color w:val="auto"/>
          <w:szCs w:val="21"/>
          <w:highlight w:val="none"/>
        </w:rPr>
      </w:pPr>
      <w:bookmarkStart w:id="112" w:name="_Hlk92285760"/>
      <w:r>
        <w:rPr>
          <w:rFonts w:hint="eastAsia" w:ascii="宋体" w:hAnsi="宋体" w:eastAsia="宋体" w:cs="Times New Roman"/>
          <w:b/>
          <w:color w:val="auto"/>
          <w:szCs w:val="21"/>
          <w:highlight w:val="none"/>
        </w:rPr>
        <w:t>1.资格文件：</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bookmarkStart w:id="113" w:name="_Hlk90369149"/>
      <w:r>
        <w:rPr>
          <w:rFonts w:hint="eastAsia" w:ascii="宋体" w:hAnsi="宋体" w:eastAsia="宋体" w:cs="Times New Roman"/>
          <w:color w:val="auto"/>
          <w:szCs w:val="21"/>
          <w:highlight w:val="none"/>
        </w:rPr>
        <w:t>(1)法人或者其他组织的营业执照等证明文件</w:t>
      </w:r>
    </w:p>
    <w:bookmarkEnd w:id="113"/>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★(2)</w:t>
      </w:r>
      <w:bookmarkStart w:id="114" w:name="_Hlk154044758"/>
      <w:r>
        <w:rPr>
          <w:rFonts w:hint="eastAsia" w:ascii="宋体" w:hAnsi="宋体" w:eastAsia="宋体" w:cs="Times New Roman"/>
          <w:color w:val="auto"/>
          <w:szCs w:val="21"/>
          <w:highlight w:val="none"/>
        </w:rPr>
        <w:t>投标人具备参加政府采购活动条件的承诺书</w:t>
      </w:r>
      <w:r>
        <w:rPr>
          <w:rFonts w:hint="eastAsia" w:ascii="宋体" w:hAnsi="宋体" w:eastAsia="宋体" w:cs="宋体"/>
          <w:color w:val="auto"/>
          <w:szCs w:val="21"/>
          <w:highlight w:val="none"/>
        </w:rPr>
        <w:t>(格式见第六章）</w:t>
      </w:r>
      <w:bookmarkEnd w:id="114"/>
    </w:p>
    <w:p>
      <w:pPr>
        <w:tabs>
          <w:tab w:val="left" w:pos="3870"/>
          <w:tab w:val="left" w:pos="4085"/>
        </w:tabs>
        <w:snapToGrid w:val="0"/>
        <w:spacing w:line="400" w:lineRule="exact"/>
        <w:ind w:firstLine="420" w:firstLineChars="200"/>
        <w:rPr>
          <w:rFonts w:hint="eastAsia" w:ascii="Times New Roman" w:hAnsi="宋体" w:eastAsia="宋体" w:cs="Times New Roman"/>
          <w:color w:val="auto"/>
          <w:szCs w:val="24"/>
          <w:highlight w:val="none"/>
        </w:rPr>
      </w:pPr>
      <w:r>
        <w:rPr>
          <w:rFonts w:hint="eastAsia" w:ascii="宋体" w:hAnsi="宋体" w:eastAsia="宋体" w:cs="宋体"/>
          <w:bCs/>
          <w:color w:val="auto"/>
          <w:kern w:val="0"/>
          <w:szCs w:val="21"/>
          <w:highlight w:val="none"/>
        </w:rPr>
        <w:t>★(3)</w:t>
      </w:r>
      <w:r>
        <w:rPr>
          <w:rFonts w:hint="eastAsia" w:ascii="Times New Roman" w:hAnsi="宋体" w:eastAsia="宋体" w:cs="Times New Roman"/>
          <w:color w:val="auto"/>
          <w:szCs w:val="24"/>
          <w:highlight w:val="none"/>
        </w:rPr>
        <w:t>参加政府采购活动前</w:t>
      </w:r>
      <w:r>
        <w:rPr>
          <w:rFonts w:ascii="Times New Roman" w:hAnsi="宋体" w:eastAsia="宋体" w:cs="Times New Roman"/>
          <w:color w:val="auto"/>
          <w:szCs w:val="24"/>
          <w:highlight w:val="none"/>
        </w:rPr>
        <w:t>3</w:t>
      </w:r>
      <w:r>
        <w:rPr>
          <w:rFonts w:hint="eastAsia" w:ascii="Times New Roman" w:hAnsi="宋体" w:eastAsia="宋体" w:cs="Times New Roman"/>
          <w:color w:val="auto"/>
          <w:szCs w:val="24"/>
          <w:highlight w:val="none"/>
        </w:rPr>
        <w:t>年内在经营活动中没有重大违法记录的书面声明</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格式见第六章</w:t>
      </w:r>
      <w:r>
        <w:rPr>
          <w:rFonts w:ascii="Times New Roman" w:hAnsi="宋体" w:eastAsia="宋体" w:cs="Times New Roman"/>
          <w:color w:val="auto"/>
          <w:szCs w:val="24"/>
          <w:highlight w:val="none"/>
        </w:rPr>
        <w:t>)</w:t>
      </w:r>
    </w:p>
    <w:p>
      <w:pPr>
        <w:tabs>
          <w:tab w:val="left" w:pos="3870"/>
          <w:tab w:val="left" w:pos="4085"/>
        </w:tabs>
        <w:snapToGrid w:val="0"/>
        <w:spacing w:line="460" w:lineRule="exact"/>
        <w:ind w:firstLine="420" w:firstLineChars="200"/>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★(4)《中小企业声明函》(格式见第六章)</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2.商务技术文件：</w:t>
      </w:r>
    </w:p>
    <w:p>
      <w:pPr>
        <w:snapToGrid w:val="0"/>
        <w:spacing w:line="400" w:lineRule="exact"/>
        <w:ind w:firstLine="422" w:firstLineChars="200"/>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 xml:space="preserve"> </w:t>
      </w:r>
      <w:r>
        <w:rPr>
          <w:rFonts w:hint="eastAsia" w:ascii="宋体" w:hAnsi="宋体" w:eastAsia="宋体" w:cs="Times New Roman"/>
          <w:color w:val="auto"/>
          <w:szCs w:val="21"/>
          <w:highlight w:val="none"/>
        </w:rPr>
        <w:t xml:space="preserve"> (1)</w:t>
      </w:r>
      <w:bookmarkStart w:id="115" w:name="_Hlk97803518"/>
      <w:r>
        <w:rPr>
          <w:rFonts w:hint="eastAsia" w:ascii="宋体" w:hAnsi="宋体" w:eastAsia="宋体" w:cs="Times New Roman"/>
          <w:color w:val="auto"/>
          <w:szCs w:val="21"/>
          <w:highlight w:val="none"/>
        </w:rPr>
        <w:t>投标保证金票据或转账凭证(户名、账号及开户行等信息清晰可辨）</w:t>
      </w:r>
      <w:bookmarkEnd w:id="115"/>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(2)投标函（格式见第六章）</w:t>
      </w:r>
    </w:p>
    <w:p>
      <w:pPr>
        <w:tabs>
          <w:tab w:val="left" w:pos="3870"/>
          <w:tab w:val="left" w:pos="408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宋体"/>
          <w:bCs/>
          <w:color w:val="auto"/>
          <w:kern w:val="0"/>
          <w:szCs w:val="21"/>
          <w:highlight w:val="none"/>
        </w:rPr>
        <w:t>★</w:t>
      </w:r>
      <w:r>
        <w:rPr>
          <w:rFonts w:hint="eastAsia" w:ascii="宋体" w:hAnsi="宋体" w:eastAsia="宋体" w:cs="Times New Roman"/>
          <w:color w:val="auto"/>
          <w:szCs w:val="21"/>
          <w:highlight w:val="none"/>
        </w:rPr>
        <w:t>(3)法定代表人身份证</w:t>
      </w:r>
    </w:p>
    <w:p>
      <w:pPr>
        <w:snapToGrid w:val="0"/>
        <w:spacing w:line="400" w:lineRule="exact"/>
        <w:ind w:firstLine="417" w:firstLineChars="19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★(4)法定代表人授权委托书和代理人身份证（委托代理时必须提供，格式见第六章）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1"/>
          <w:highlight w:val="none"/>
        </w:rPr>
        <w:t>(5)</w:t>
      </w:r>
      <w:r>
        <w:rPr>
          <w:rFonts w:hint="eastAsia" w:ascii="宋体" w:hAnsi="宋体" w:eastAsia="宋体" w:cs="Times New Roman"/>
          <w:color w:val="auto"/>
          <w:szCs w:val="24"/>
          <w:highlight w:val="none"/>
        </w:rPr>
        <w:t>商务响应表(格式见第六章)</w:t>
      </w:r>
    </w:p>
    <w:p>
      <w:pPr>
        <w:snapToGrid w:val="0"/>
        <w:spacing w:line="400" w:lineRule="exact"/>
        <w:ind w:firstLine="420" w:firstLineChars="199"/>
        <w:rPr>
          <w:rFonts w:hint="eastAsia" w:ascii="宋体" w:hAnsi="宋体" w:eastAsia="宋体" w:cs="Times New Roman"/>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color w:val="auto"/>
          <w:szCs w:val="24"/>
          <w:highlight w:val="none"/>
        </w:rPr>
        <w:t>(6)</w:t>
      </w:r>
      <w:r>
        <w:rPr>
          <w:rFonts w:hint="eastAsia" w:ascii="宋体" w:hAnsi="宋体" w:eastAsia="宋体" w:cs="Times New Roman"/>
          <w:color w:val="auto"/>
          <w:szCs w:val="21"/>
          <w:highlight w:val="none"/>
        </w:rPr>
        <w:t>技术响应表</w:t>
      </w:r>
      <w:bookmarkStart w:id="116" w:name="_Hlk92285954"/>
      <w:r>
        <w:rPr>
          <w:rFonts w:hint="eastAsia" w:ascii="宋体" w:hAnsi="宋体" w:eastAsia="宋体" w:cs="Times New Roman"/>
          <w:color w:val="auto"/>
          <w:szCs w:val="24"/>
          <w:highlight w:val="none"/>
        </w:rPr>
        <w:t>(格式见第六章)</w:t>
      </w:r>
      <w:bookmarkEnd w:id="116"/>
    </w:p>
    <w:p>
      <w:pPr>
        <w:snapToGrid w:val="0"/>
        <w:spacing w:line="400" w:lineRule="exact"/>
        <w:ind w:firstLine="417" w:firstLineChars="199"/>
        <w:rPr>
          <w:rFonts w:hint="eastAsia" w:ascii="宋体" w:hAnsi="宋体" w:eastAsia="宋体" w:cs="Times New Roman"/>
          <w:color w:val="auto"/>
          <w:szCs w:val="24"/>
          <w:highlight w:val="none"/>
        </w:rPr>
      </w:pPr>
      <w:r>
        <w:rPr>
          <w:rFonts w:hint="eastAsia" w:ascii="宋体" w:hAnsi="宋体" w:eastAsia="宋体" w:cs="Times New Roman"/>
          <w:color w:val="auto"/>
          <w:szCs w:val="21"/>
          <w:highlight w:val="none"/>
        </w:rPr>
        <w:t>(7)</w:t>
      </w:r>
      <w:r>
        <w:rPr>
          <w:rFonts w:hint="eastAsia" w:ascii="宋体" w:hAnsi="宋体" w:eastAsia="宋体" w:cs="Times New Roman"/>
          <w:color w:val="auto"/>
          <w:szCs w:val="24"/>
          <w:highlight w:val="none"/>
        </w:rPr>
        <w:t>《项目需求》中要求</w:t>
      </w:r>
      <w:r>
        <w:rPr>
          <w:rFonts w:hint="eastAsia" w:ascii="宋体" w:hAnsi="宋体" w:eastAsia="宋体" w:cs="Times New Roman"/>
          <w:b/>
          <w:color w:val="auto"/>
          <w:szCs w:val="24"/>
          <w:highlight w:val="none"/>
        </w:rPr>
        <w:t>必须提供</w:t>
      </w:r>
      <w:r>
        <w:rPr>
          <w:rFonts w:hint="eastAsia" w:ascii="宋体" w:hAnsi="宋体" w:eastAsia="宋体" w:cs="Times New Roman"/>
          <w:color w:val="auto"/>
          <w:szCs w:val="24"/>
          <w:highlight w:val="none"/>
        </w:rPr>
        <w:t>的材料</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3.报价文件</w:t>
      </w:r>
    </w:p>
    <w:p>
      <w:pPr>
        <w:snapToGrid w:val="0"/>
        <w:spacing w:line="400" w:lineRule="exact"/>
        <w:ind w:firstLine="422" w:firstLineChars="200"/>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(1)</w:t>
      </w:r>
      <w:r>
        <w:rPr>
          <w:rFonts w:hint="eastAsia" w:ascii="宋体" w:hAnsi="宋体" w:eastAsia="宋体" w:cs="Times New Roman"/>
          <w:color w:val="auto"/>
          <w:szCs w:val="21"/>
          <w:highlight w:val="none"/>
        </w:rPr>
        <w:t>开标一览表(格式见第六章</w:t>
      </w:r>
    </w:p>
    <w:p>
      <w:pPr>
        <w:snapToGrid w:val="0"/>
        <w:spacing w:line="400" w:lineRule="exact"/>
        <w:ind w:firstLine="422" w:firstLineChars="200"/>
        <w:rPr>
          <w:rFonts w:hint="eastAsia" w:ascii="宋体" w:hAnsi="宋体" w:eastAsia="宋体" w:cs="Times New Roman"/>
          <w:color w:val="auto"/>
          <w:szCs w:val="24"/>
          <w:highlight w:val="none"/>
        </w:rPr>
      </w:pPr>
      <w:r>
        <w:rPr>
          <w:rFonts w:hint="eastAsia" w:ascii="宋体" w:hAnsi="宋体" w:eastAsia="宋体" w:cs="Times New Roman"/>
          <w:b/>
          <w:color w:val="auto"/>
          <w:szCs w:val="21"/>
          <w:highlight w:val="none"/>
        </w:rPr>
        <w:t>★</w:t>
      </w:r>
      <w:r>
        <w:rPr>
          <w:rFonts w:hint="eastAsia" w:ascii="宋体" w:hAnsi="宋体" w:eastAsia="宋体" w:cs="Times New Roman"/>
          <w:bCs/>
          <w:color w:val="auto"/>
          <w:szCs w:val="21"/>
          <w:highlight w:val="none"/>
        </w:rPr>
        <w:t>(2)</w:t>
      </w:r>
      <w:bookmarkStart w:id="117" w:name="_Hlk92265738"/>
      <w:r>
        <w:rPr>
          <w:rFonts w:hint="eastAsia" w:ascii="宋体" w:hAnsi="宋体" w:eastAsia="宋体" w:cs="Times New Roman"/>
          <w:bCs/>
          <w:color w:val="auto"/>
          <w:szCs w:val="21"/>
          <w:highlight w:val="none"/>
        </w:rPr>
        <w:t>报价明细表</w:t>
      </w:r>
      <w:bookmarkEnd w:id="117"/>
      <w:r>
        <w:rPr>
          <w:rFonts w:hint="eastAsia" w:ascii="宋体" w:hAnsi="宋体" w:eastAsia="宋体" w:cs="Times New Roman"/>
          <w:bCs/>
          <w:color w:val="auto"/>
          <w:szCs w:val="21"/>
          <w:highlight w:val="none"/>
        </w:rPr>
        <w:t>(格式见第六章)</w:t>
      </w:r>
    </w:p>
    <w:bookmarkEnd w:id="112"/>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w:t>
      </w:r>
      <w:bookmarkStart w:id="118" w:name="_Hlk154044832"/>
      <w:r>
        <w:rPr>
          <w:rFonts w:hint="eastAsia" w:ascii="宋体" w:hAnsi="宋体" w:eastAsia="宋体" w:cs="Times New Roman"/>
          <w:color w:val="auto"/>
          <w:szCs w:val="21"/>
          <w:highlight w:val="none"/>
        </w:rPr>
        <w:t>标注★号的材料均为必须提供的材料须由投标人并加盖公章，授权委托书必须由法定代表人签名，开标一览表必须由法定代表人或授权代表签名，否则视为无效投标文件。</w:t>
      </w:r>
      <w:bookmarkEnd w:id="118"/>
    </w:p>
    <w:bookmarkEnd w:id="107"/>
    <w:bookmarkEnd w:id="108"/>
    <w:bookmarkEnd w:id="109"/>
    <w:bookmarkEnd w:id="110"/>
    <w:bookmarkEnd w:id="111"/>
    <w:p>
      <w:pPr>
        <w:spacing w:line="400" w:lineRule="exact"/>
        <w:ind w:firstLine="211" w:firstLineChars="100"/>
        <w:rPr>
          <w:rFonts w:hint="eastAsia" w:ascii="宋体" w:hAnsi="宋体" w:eastAsia="宋体" w:cs="Times New Roman"/>
          <w:b/>
          <w:bCs/>
          <w:color w:val="auto"/>
          <w:szCs w:val="21"/>
          <w:highlight w:val="none"/>
        </w:rPr>
      </w:pPr>
      <w:bookmarkStart w:id="119" w:name="_Hlk90906323"/>
      <w:bookmarkStart w:id="120" w:name="_Hlk92447223"/>
      <w:r>
        <w:rPr>
          <w:rFonts w:hint="eastAsia" w:ascii="宋体" w:hAnsi="宋体" w:eastAsia="宋体" w:cs="Times New Roman"/>
          <w:b/>
          <w:color w:val="auto"/>
          <w:szCs w:val="21"/>
          <w:highlight w:val="none"/>
        </w:rPr>
        <w:t>（三）</w:t>
      </w:r>
      <w:bookmarkStart w:id="121" w:name="_Toc353785292"/>
      <w:bookmarkStart w:id="122" w:name="_Toc254970678"/>
      <w:bookmarkStart w:id="123" w:name="_Toc352700422"/>
      <w:bookmarkStart w:id="124" w:name="_Toc254970537"/>
      <w:r>
        <w:rPr>
          <w:rFonts w:hint="eastAsia" w:ascii="宋体" w:hAnsi="宋体" w:eastAsia="宋体" w:cs="Times New Roman"/>
          <w:b/>
          <w:bCs/>
          <w:color w:val="auto"/>
          <w:szCs w:val="21"/>
          <w:highlight w:val="none"/>
        </w:rPr>
        <w:t>投标文件的编制、签署及加密</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1.投标人应认真阅读、并充分理解招标文件的全部内容(包括所有的补充、修改内容)，承诺履行其各项条款的规定并按要求编制，</w:t>
      </w:r>
      <w:bookmarkStart w:id="125" w:name="_Hlk154044894"/>
      <w:r>
        <w:rPr>
          <w:rFonts w:hint="eastAsia" w:ascii="宋体" w:hAnsi="宋体" w:eastAsia="宋体" w:cs="Times New Roman"/>
          <w:color w:val="auto"/>
          <w:szCs w:val="21"/>
          <w:highlight w:val="none"/>
        </w:rPr>
        <w:t>投标文件应为电子文件或扫描件(样品除外)。</w:t>
      </w:r>
      <w:bookmarkEnd w:id="125"/>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2.投标人应通过</w:t>
      </w:r>
      <w:r>
        <w:rPr>
          <w:rFonts w:hint="eastAsia" w:ascii="Times New Roman" w:hAnsi="Times New Roman" w:eastAsia="宋体" w:cs="Times New Roman"/>
          <w:color w:val="auto"/>
          <w:szCs w:val="24"/>
          <w:highlight w:val="none"/>
        </w:rPr>
        <w:t>广西政府采购云平台客户端</w:t>
      </w:r>
      <w:r>
        <w:rPr>
          <w:rFonts w:hint="eastAsia" w:ascii="宋体" w:hAnsi="宋体" w:eastAsia="宋体" w:cs="Times New Roman"/>
          <w:color w:val="auto"/>
          <w:szCs w:val="21"/>
          <w:highlight w:val="none"/>
        </w:rPr>
        <w:t>编制加密投标文件。</w:t>
      </w:r>
    </w:p>
    <w:p>
      <w:pPr>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由资格文件、商务技术文件和报价文件组成，投标人应按规定的顺序编制并标注页码、准确设置评审关联点，未设置或未正确设置关联点而导致投标文件被误读、漏读或者查找不到相关响应内容的责任和后果由投标人承担。</w:t>
      </w:r>
    </w:p>
    <w:p>
      <w:pPr>
        <w:spacing w:line="400" w:lineRule="exact"/>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b/>
          <w:bCs/>
          <w:color w:val="auto"/>
          <w:szCs w:val="21"/>
          <w:highlight w:val="none"/>
        </w:rPr>
        <w:t>4.投标文件由投标人在规定位置由法定代表人或授权委托人签名（可为电子签名）、填写投标人名称，并加盖公章(简称“盖章”，可为电子公章)，投标人名称应写全称。</w:t>
      </w:r>
    </w:p>
    <w:p>
      <w:pPr>
        <w:snapToGrid w:val="0"/>
        <w:spacing w:line="400" w:lineRule="exact"/>
        <w:ind w:firstLine="210" w:firstLineChars="100"/>
        <w:rPr>
          <w:rFonts w:hint="eastAsia" w:ascii="宋体" w:hAnsi="宋体" w:eastAsia="宋体" w:cs="Times New Roman"/>
          <w:b/>
          <w:bCs/>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5.投标文件内容不完整、编排混乱、不清晰等原因导致被误读或漏读的责任和后果由投标人承担。</w:t>
      </w:r>
    </w:p>
    <w:bookmarkEnd w:id="119"/>
    <w:p>
      <w:pPr>
        <w:spacing w:line="400" w:lineRule="exact"/>
        <w:ind w:firstLine="211" w:firstLineChars="100"/>
        <w:rPr>
          <w:rFonts w:ascii="Times New Roman" w:hAnsi="Times New Roman" w:eastAsia="宋体" w:cs="Times New Roman"/>
          <w:color w:val="auto"/>
          <w:szCs w:val="24"/>
          <w:highlight w:val="none"/>
        </w:rPr>
      </w:pPr>
      <w:r>
        <w:rPr>
          <w:rFonts w:hint="eastAsia" w:ascii="Times New Roman" w:hAnsi="Times New Roman" w:eastAsia="宋体" w:cs="Times New Roman"/>
          <w:b/>
          <w:bCs/>
          <w:color w:val="auto"/>
          <w:szCs w:val="24"/>
          <w:highlight w:val="none"/>
        </w:rPr>
        <w:t>（四）投标文件的语言及计量</w:t>
      </w:r>
      <w:bookmarkEnd w:id="121"/>
      <w:bookmarkEnd w:id="122"/>
      <w:bookmarkEnd w:id="123"/>
      <w:bookmarkEnd w:id="124"/>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1.投标文件以及投标人与采购人、本中心就有关投标事宜的所有来往函电，均应以中文汉语书写。除签名、盖章、专用名称等特殊情形外，以中文汉语以外的文字表述的视为无效文件。</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2.投标计量单位，招标文件已有明确规定的，使用招标文件规定的计量单位；招标文件没有规定的，应采用中华人民共和国法定计量单位（货币单位：人民币元），否则视为无效投标文件。</w:t>
      </w:r>
    </w:p>
    <w:bookmarkEnd w:id="120"/>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26" w:name="_（五）投标报价"/>
      <w:bookmarkEnd w:id="126"/>
      <w:bookmarkStart w:id="127" w:name="_Toc353785293"/>
      <w:bookmarkStart w:id="128" w:name="_Toc352700423"/>
      <w:bookmarkStart w:id="129" w:name="_Toc254970679"/>
      <w:bookmarkStart w:id="130" w:name="_Toc254970538"/>
      <w:bookmarkStart w:id="131" w:name="_Hlk92447977"/>
      <w:r>
        <w:rPr>
          <w:rFonts w:hint="eastAsia" w:ascii="宋体" w:hAnsi="宋体" w:eastAsia="宋体" w:cs="Times New Roman"/>
          <w:b/>
          <w:bCs/>
          <w:color w:val="auto"/>
          <w:szCs w:val="21"/>
          <w:highlight w:val="none"/>
        </w:rPr>
        <w:t>（五）投标报价</w:t>
      </w:r>
      <w:bookmarkEnd w:id="127"/>
      <w:bookmarkEnd w:id="128"/>
      <w:bookmarkEnd w:id="129"/>
      <w:bookmarkEnd w:id="130"/>
    </w:p>
    <w:p>
      <w:pPr>
        <w:snapToGrid w:val="0"/>
        <w:spacing w:line="40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1.招标文件中未列明，而供应商认为必需的费用也须列入总报价。在合同实施时，采购人将不予支付中标人没有列入总报价的费用，并认为此项费用已包含在总报价中。</w:t>
      </w:r>
    </w:p>
    <w:p>
      <w:pPr>
        <w:snapToGrid w:val="0"/>
        <w:spacing w:line="400" w:lineRule="exact"/>
        <w:ind w:firstLine="420" w:firstLineChars="200"/>
        <w:rPr>
          <w:rFonts w:ascii="宋体" w:hAnsi="Courier New" w:eastAsia="宋体" w:cs="Courier New"/>
          <w:color w:val="auto"/>
          <w:szCs w:val="21"/>
          <w:highlight w:val="none"/>
        </w:rPr>
      </w:pPr>
      <w:r>
        <w:rPr>
          <w:rFonts w:hint="eastAsia" w:ascii="宋体" w:hAnsi="宋体" w:eastAsia="宋体" w:cs="Courier New"/>
          <w:color w:val="auto"/>
          <w:szCs w:val="21"/>
          <w:highlight w:val="none"/>
        </w:rPr>
        <w:t>2.投标报价应按招标文件中相关附表格式填写。投标人</w:t>
      </w:r>
      <w:r>
        <w:rPr>
          <w:rFonts w:hint="eastAsia" w:ascii="宋体" w:hAnsi="Courier New" w:eastAsia="宋体" w:cs="Courier New"/>
          <w:color w:val="auto"/>
          <w:szCs w:val="21"/>
          <w:highlight w:val="none"/>
        </w:rPr>
        <w:t>必须就《项目需求》的内容作完整唯一报价。</w:t>
      </w:r>
    </w:p>
    <w:p>
      <w:pPr>
        <w:tabs>
          <w:tab w:val="left" w:pos="525"/>
        </w:tabs>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3.投标文件每标项只允许有一个总报价，有选择的或有条件的报价视为无效投标文件。</w:t>
      </w:r>
    </w:p>
    <w:p>
      <w:pPr>
        <w:keepNext/>
        <w:keepLines/>
        <w:spacing w:line="400" w:lineRule="exact"/>
        <w:ind w:firstLine="211" w:firstLineChars="100"/>
        <w:outlineLvl w:val="1"/>
        <w:rPr>
          <w:rFonts w:hint="eastAsia" w:ascii="宋体" w:hAnsi="宋体" w:eastAsia="宋体" w:cs="Times New Roman"/>
          <w:b/>
          <w:bCs/>
          <w:color w:val="auto"/>
          <w:szCs w:val="21"/>
          <w:highlight w:val="none"/>
        </w:rPr>
      </w:pPr>
      <w:bookmarkStart w:id="132" w:name="_（六）投标文件有效期"/>
      <w:bookmarkEnd w:id="132"/>
      <w:bookmarkStart w:id="133" w:name="_Toc352700424"/>
      <w:bookmarkStart w:id="134" w:name="_Toc353785294"/>
      <w:r>
        <w:rPr>
          <w:rFonts w:hint="eastAsia" w:ascii="宋体" w:hAnsi="宋体" w:eastAsia="宋体" w:cs="Times New Roman"/>
          <w:b/>
          <w:bCs/>
          <w:color w:val="auto"/>
          <w:szCs w:val="21"/>
          <w:highlight w:val="none"/>
        </w:rPr>
        <w:t>（六）投标有效期</w:t>
      </w:r>
      <w:bookmarkEnd w:id="131"/>
      <w:bookmarkEnd w:id="133"/>
      <w:bookmarkEnd w:id="134"/>
      <w:bookmarkStart w:id="135" w:name="_（七）投标保证金"/>
      <w:bookmarkEnd w:id="135"/>
      <w:bookmarkStart w:id="136" w:name="_Toc352700425"/>
      <w:bookmarkStart w:id="137" w:name="_Toc353785295"/>
      <w:bookmarkStart w:id="138" w:name="_Toc254970682"/>
      <w:bookmarkStart w:id="139" w:name="_Toc254970541"/>
      <w:bookmarkStart w:id="140" w:name="_Hlk92448848"/>
    </w:p>
    <w:p>
      <w:pPr>
        <w:spacing w:line="40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投标有效期从提交投标文件的截止之日起算。投标文件中承诺的投标有效期应当不少于</w:t>
      </w:r>
      <w:r>
        <w:rPr>
          <w:rFonts w:ascii="Times New Roman" w:hAnsi="Times New Roman" w:eastAsia="宋体" w:cs="Times New Roman"/>
          <w:color w:val="auto"/>
          <w:szCs w:val="24"/>
          <w:highlight w:val="none"/>
        </w:rPr>
        <w:t>90</w:t>
      </w:r>
      <w:r>
        <w:rPr>
          <w:rFonts w:hint="eastAsia" w:ascii="Times New Roman" w:hAnsi="Times New Roman" w:eastAsia="宋体" w:cs="Times New Roman"/>
          <w:color w:val="auto"/>
          <w:szCs w:val="24"/>
          <w:highlight w:val="none"/>
        </w:rPr>
        <w:t>天。</w:t>
      </w:r>
    </w:p>
    <w:p>
      <w:pPr>
        <w:keepNext/>
        <w:keepLines/>
        <w:spacing w:line="400" w:lineRule="exact"/>
        <w:ind w:firstLine="211" w:firstLineChars="100"/>
        <w:outlineLvl w:val="1"/>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（七）投标保证金</w:t>
      </w:r>
      <w:bookmarkEnd w:id="136"/>
      <w:bookmarkEnd w:id="137"/>
      <w:bookmarkEnd w:id="138"/>
      <w:bookmarkEnd w:id="139"/>
    </w:p>
    <w:p>
      <w:pPr>
        <w:snapToGrid w:val="0"/>
        <w:spacing w:line="400" w:lineRule="exact"/>
        <w:ind w:firstLine="420" w:firstLineChars="200"/>
        <w:rPr>
          <w:rFonts w:hint="eastAsia" w:ascii="宋体" w:hAnsi="宋体" w:eastAsia="宋体" w:cs="Times New Roman"/>
          <w:color w:val="auto"/>
          <w:szCs w:val="21"/>
          <w:highlight w:val="none"/>
        </w:rPr>
      </w:pPr>
      <w:bookmarkStart w:id="141" w:name="_Toc254970683"/>
      <w:bookmarkStart w:id="142" w:name="_Toc254970542"/>
      <w:bookmarkStart w:id="143" w:name="_Toc352700426"/>
      <w:bookmarkStart w:id="144" w:name="_Toc353785296"/>
      <w:r>
        <w:rPr>
          <w:rFonts w:hint="eastAsia" w:ascii="宋体" w:hAnsi="宋体" w:eastAsia="宋体" w:cs="Times New Roman"/>
          <w:color w:val="auto"/>
          <w:szCs w:val="21"/>
          <w:highlight w:val="none"/>
        </w:rPr>
        <w:t>1.投标保证金金额：</w:t>
      </w:r>
      <w:r>
        <w:rPr>
          <w:rFonts w:hint="eastAsia" w:ascii="宋体" w:hAnsi="宋体" w:eastAsia="宋体" w:cs="宋体"/>
          <w:b/>
          <w:bCs/>
          <w:color w:val="auto"/>
          <w:highlight w:val="none"/>
          <w:lang w:val="en-US" w:eastAsia="zh-CN"/>
        </w:rPr>
        <w:t>伍万柒仟元整(￥57,000.00)</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2.提交形式：以支票、汇票、本票、网上银行支付</w:t>
      </w:r>
      <w:bookmarkStart w:id="145" w:name="_Hlk91771269"/>
      <w:r>
        <w:rPr>
          <w:rFonts w:hint="eastAsia" w:ascii="宋体" w:hAnsi="宋体" w:eastAsia="宋体" w:cs="Times New Roman"/>
          <w:color w:val="auto"/>
          <w:szCs w:val="21"/>
          <w:highlight w:val="none"/>
        </w:rPr>
        <w:t>或者金融机构、担保机构出具的保函</w:t>
      </w:r>
      <w:bookmarkEnd w:id="145"/>
      <w:r>
        <w:rPr>
          <w:rFonts w:hint="eastAsia" w:ascii="宋体" w:hAnsi="宋体" w:eastAsia="宋体" w:cs="Times New Roman"/>
          <w:color w:val="auto"/>
          <w:szCs w:val="21"/>
          <w:highlight w:val="none"/>
        </w:rPr>
        <w:t>等非现金形式提交。</w:t>
      </w:r>
    </w:p>
    <w:p>
      <w:pPr>
        <w:snapToGrid w:val="0"/>
        <w:spacing w:line="40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以支票、汇票、本票或者金融机构、担保机构出具的保函等形式提交保证金的，投标人必须将票据、保函等原件于投标文件提交截止时间前递交至本中心财务室（地址:广西钦州市钦南区水东街区金海湾东大街8号市政务服务中心二楼市采购中心财务室，联系方式:0777-2886026）。</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(2)以网上银行形式提交保证金的，投标人必须于投标文件提交截止时间前从投标人账户缴存至本中心银行账户并确保到账，否则视为无效保证金。</w:t>
      </w:r>
    </w:p>
    <w:p>
      <w:pPr>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本中心银行账户：</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开户名称：钦州市政府采购中心</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开户银行：中国工商银行股份有限公司钦州市永福东支行</w:t>
      </w:r>
    </w:p>
    <w:p>
      <w:pPr>
        <w:snapToGrid w:val="0"/>
        <w:spacing w:line="400" w:lineRule="exac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ab/>
      </w:r>
      <w:r>
        <w:rPr>
          <w:rFonts w:hint="eastAsia" w:ascii="宋体" w:hAnsi="宋体" w:eastAsia="宋体" w:cs="Times New Roman"/>
          <w:bCs/>
          <w:color w:val="auto"/>
          <w:szCs w:val="21"/>
          <w:highlight w:val="none"/>
        </w:rPr>
        <w:t>银行账号：2115591229100078724</w:t>
      </w:r>
    </w:p>
    <w:p>
      <w:pPr>
        <w:snapToGrid w:val="0"/>
        <w:spacing w:line="400" w:lineRule="exact"/>
        <w:ind w:firstLine="420"/>
        <w:rPr>
          <w:rFonts w:hint="eastAsia" w:ascii="宋体" w:hAnsi="宋体" w:eastAsia="宋体" w:cs="Times New Roman"/>
          <w:bCs/>
          <w:color w:val="auto"/>
          <w:szCs w:val="21"/>
          <w:highlight w:val="none"/>
        </w:rPr>
      </w:pPr>
      <w:r>
        <w:rPr>
          <w:rFonts w:hint="eastAsia" w:ascii="宋体" w:hAnsi="宋体" w:eastAsia="宋体" w:cs="Times New Roman"/>
          <w:color w:val="auto"/>
          <w:szCs w:val="21"/>
          <w:highlight w:val="none"/>
        </w:rPr>
        <w:t>注：投标人无法选择以上开户银行的，请选择“中国工商银行股份有限公司钦州分行”进行缴存。</w:t>
      </w:r>
    </w:p>
    <w:p>
      <w:pPr>
        <w:snapToGrid w:val="0"/>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3.评标委员会将以投标人递交的支票、汇票、本票、保函原件以及本中心财务室出具的《保证金收缴情况表》作为评审依据，对未按规定提交投标保证金的投标文件作无效处理。</w:t>
      </w:r>
    </w:p>
    <w:p>
      <w:pPr>
        <w:snapToGrid w:val="0"/>
        <w:spacing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4.保证金的退付：</w:t>
      </w:r>
    </w:p>
    <w:tbl>
      <w:tblPr>
        <w:tblStyle w:val="48"/>
        <w:tblW w:w="9355" w:type="dxa"/>
        <w:tblInd w:w="39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1"/>
        <w:gridCol w:w="4394"/>
        <w:gridCol w:w="326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l2br w:val="single" w:color="auto" w:sz="4" w:space="0"/>
            </w:tcBorders>
            <w:vAlign w:val="center"/>
          </w:tcPr>
          <w:p>
            <w:pPr>
              <w:snapToGrid w:val="0"/>
              <w:spacing w:line="370" w:lineRule="exact"/>
              <w:ind w:firstLine="33" w:firstLineChars="1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提交形式</w:t>
            </w:r>
          </w:p>
          <w:p>
            <w:pPr>
              <w:snapToGrid w:val="0"/>
              <w:spacing w:line="37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投标人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网上银行形式</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37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支票、汇票、本票、保函等形式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未中标人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中标通知书(结果公告)发出之日起四个工作日内退还。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701"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ind w:firstLine="33" w:firstLineChars="16"/>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中标人</w:t>
            </w:r>
          </w:p>
        </w:tc>
        <w:tc>
          <w:tcPr>
            <w:tcW w:w="4394"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在政府采购合同签订之日起四个工作日内以网上银行形式退回到投标人银行账户。</w:t>
            </w:r>
          </w:p>
        </w:tc>
        <w:tc>
          <w:tcPr>
            <w:tcW w:w="3260" w:type="dxa"/>
            <w:tcBorders>
              <w:top w:val="single" w:color="000000" w:sz="4" w:space="0"/>
              <w:left w:val="single" w:color="000000" w:sz="4" w:space="0"/>
              <w:bottom w:val="single" w:color="000000" w:sz="4" w:space="0"/>
              <w:right w:val="single" w:color="000000" w:sz="4" w:space="0"/>
            </w:tcBorders>
            <w:vAlign w:val="center"/>
          </w:tcPr>
          <w:p>
            <w:pPr>
              <w:snapToGrid w:val="0"/>
              <w:spacing w:line="44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在政府采购合同签订之日起四个工作日内退还。</w:t>
            </w:r>
          </w:p>
        </w:tc>
      </w:tr>
    </w:tbl>
    <w:p>
      <w:pPr>
        <w:widowControl/>
        <w:spacing w:line="420" w:lineRule="exact"/>
        <w:ind w:firstLine="424" w:firstLineChars="202"/>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注：因投标人自身原因导致无法及时退还的除外</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5.投标人有下列情形之一的，投标保证金将不予退还：</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(1)投标人在投标有效期内撤回投标文件的；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(2)投标人在投标文件中提供虚假材料的；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(3)投标人与其他投标人或采购代理机构恶意串通的；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(4)中标人无正当理由不与采购人签订采购合同的；</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(5)招标文件规定的其他情形。</w:t>
      </w:r>
    </w:p>
    <w:bookmarkEnd w:id="140"/>
    <w:bookmarkEnd w:id="141"/>
    <w:bookmarkEnd w:id="142"/>
    <w:bookmarkEnd w:id="143"/>
    <w:bookmarkEnd w:id="144"/>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（八）投标文件的上传、提交、修改、撤回</w:t>
      </w:r>
    </w:p>
    <w:p>
      <w:pPr>
        <w:snapToGrid w:val="0"/>
        <w:spacing w:line="410" w:lineRule="exact"/>
        <w:ind w:firstLine="420" w:firstLineChars="200"/>
        <w:rPr>
          <w:rFonts w:hint="eastAsia" w:ascii="宋体" w:hAnsi="宋体" w:eastAsia="宋体" w:cs="Times New Roman"/>
          <w:color w:val="auto"/>
          <w:szCs w:val="21"/>
          <w:highlight w:val="none"/>
        </w:rPr>
      </w:pPr>
      <w:bookmarkStart w:id="146" w:name="_Toc352700427"/>
      <w:bookmarkStart w:id="147" w:name="_Toc353785297"/>
      <w:r>
        <w:rPr>
          <w:rFonts w:hint="eastAsia" w:ascii="宋体" w:hAnsi="宋体" w:eastAsia="宋体" w:cs="Times New Roman"/>
          <w:color w:val="auto"/>
          <w:szCs w:val="21"/>
          <w:highlight w:val="none"/>
        </w:rPr>
        <w:t>1.投标文件的上传和提交:投标人须将编制好的加密投标文件上传至政府采购云平台，并在投标文件提交截止时间前提交，否则</w:t>
      </w:r>
      <w:bookmarkStart w:id="148" w:name="_Hlk91772691"/>
      <w:r>
        <w:rPr>
          <w:rFonts w:hint="eastAsia" w:ascii="宋体" w:hAnsi="宋体" w:eastAsia="宋体" w:cs="Times New Roman"/>
          <w:color w:val="auto"/>
          <w:szCs w:val="21"/>
          <w:highlight w:val="none"/>
        </w:rPr>
        <w:t>政府采购云平台</w:t>
      </w:r>
      <w:bookmarkEnd w:id="148"/>
      <w:r>
        <w:rPr>
          <w:rFonts w:hint="eastAsia" w:ascii="宋体" w:hAnsi="宋体" w:eastAsia="宋体" w:cs="Times New Roman"/>
          <w:color w:val="auto"/>
          <w:szCs w:val="21"/>
          <w:highlight w:val="none"/>
        </w:rPr>
        <w:t>将予以拒收。投标文件提交成功后，投标人可自行打印投标文件接收回执。</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投标文件的修改和撤回：投标人在投标文件提交截止时间前可对投标文件进行补充、修改或者撤回。补充或者修改投标文件的，应当先行撤回原投标文件，补充、修改后重新上传、提交。投标文件提交截止时间前未完成重新提交的，视为撤回投标文件，投标文件提交截止时间后提交投标文件的，政府采购云平台将予以拒收。投标文件提交截止时间后，供应商不得撤回、修改投标文件。补充、修改的内容应当按照招标文件要求签署、盖章，作为投标文件的组成部分。</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color w:val="auto"/>
          <w:sz w:val="24"/>
          <w:szCs w:val="24"/>
          <w:highlight w:val="none"/>
        </w:rPr>
      </w:pPr>
      <w:bookmarkStart w:id="149" w:name="_四、开标"/>
      <w:bookmarkEnd w:id="149"/>
      <w:r>
        <w:rPr>
          <w:rFonts w:hint="eastAsia" w:ascii="方正小标宋_GBK" w:hAnsi="Arial" w:eastAsia="方正小标宋_GBK" w:cs="Times New Roman"/>
          <w:color w:val="auto"/>
          <w:sz w:val="24"/>
          <w:szCs w:val="24"/>
          <w:highlight w:val="none"/>
        </w:rPr>
        <w:t>四、开标</w:t>
      </w:r>
      <w:bookmarkStart w:id="150" w:name="_Toc353785300"/>
      <w:bookmarkStart w:id="151" w:name="_Toc352700430"/>
    </w:p>
    <w:bookmarkEnd w:id="150"/>
    <w:bookmarkEnd w:id="151"/>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（一）本中心将在投标文件提交截止时间后在</w:t>
      </w:r>
      <w:bookmarkStart w:id="152" w:name="_Hlk90300735"/>
      <w:r>
        <w:rPr>
          <w:rFonts w:hint="eastAsia" w:ascii="Times New Roman" w:hAnsi="Times New Roman" w:eastAsia="宋体" w:cs="Times New Roman"/>
          <w:color w:val="auto"/>
          <w:szCs w:val="24"/>
          <w:highlight w:val="none"/>
        </w:rPr>
        <w:t>政采云远程开标大厅</w:t>
      </w:r>
      <w:bookmarkEnd w:id="152"/>
      <w:r>
        <w:rPr>
          <w:rFonts w:hint="eastAsia" w:ascii="Times New Roman" w:hAnsi="Times New Roman" w:eastAsia="宋体" w:cs="Times New Roman"/>
          <w:color w:val="auto"/>
          <w:szCs w:val="24"/>
          <w:highlight w:val="none"/>
        </w:rPr>
        <w:t>进行开标，投标人法定代表人或委托代理人须按时登录</w:t>
      </w:r>
      <w:bookmarkStart w:id="153" w:name="_Hlk90300780"/>
      <w:r>
        <w:rPr>
          <w:rFonts w:hint="eastAsia" w:ascii="Times New Roman" w:hAnsi="Times New Roman" w:eastAsia="宋体" w:cs="Times New Roman"/>
          <w:color w:val="auto"/>
          <w:szCs w:val="24"/>
          <w:highlight w:val="none"/>
        </w:rPr>
        <w:t>政采云远程开标大厅</w:t>
      </w:r>
      <w:bookmarkEnd w:id="153"/>
      <w:r>
        <w:rPr>
          <w:rFonts w:hint="eastAsia" w:ascii="Times New Roman" w:hAnsi="Times New Roman" w:eastAsia="宋体" w:cs="Times New Roman"/>
          <w:color w:val="auto"/>
          <w:szCs w:val="24"/>
          <w:highlight w:val="none"/>
        </w:rPr>
        <w:t>（政府采购云平台</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应用中心</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项目采购</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开标评标），保持全程在线并关注开标评标进度，评标期间评标委员会提出澄清等要求时，投标人须在规定时间内进行应答，否则按招标文件或政采云平台的相关规定执行。</w:t>
      </w:r>
      <w:bookmarkStart w:id="154" w:name="_Toc353785301"/>
      <w:bookmarkStart w:id="155" w:name="_Toc352700431"/>
    </w:p>
    <w:p>
      <w:pPr>
        <w:spacing w:line="410" w:lineRule="exact"/>
        <w:ind w:firstLine="210" w:firstLineChars="100"/>
        <w:rPr>
          <w:rFonts w:ascii="方正小标宋_GBK" w:hAnsi="Arial" w:eastAsia="方正小标宋_GBK" w:cs="Times New Roman"/>
          <w:bCs/>
          <w:color w:val="auto"/>
          <w:sz w:val="24"/>
          <w:szCs w:val="24"/>
          <w:highlight w:val="none"/>
        </w:rPr>
      </w:pPr>
      <w:r>
        <w:rPr>
          <w:rFonts w:hint="eastAsia" w:ascii="Times New Roman" w:hAnsi="Times New Roman" w:eastAsia="宋体" w:cs="Times New Roman"/>
          <w:color w:val="auto"/>
          <w:szCs w:val="24"/>
          <w:highlight w:val="none"/>
        </w:rPr>
        <w:t>（二）开标程序</w:t>
      </w:r>
      <w:bookmarkEnd w:id="154"/>
      <w:bookmarkEnd w:id="155"/>
    </w:p>
    <w:p>
      <w:pPr>
        <w:spacing w:line="410" w:lineRule="exact"/>
        <w:ind w:left="42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开标会由本中心主持；</w:t>
      </w:r>
    </w:p>
    <w:p>
      <w:pPr>
        <w:spacing w:line="41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b/>
          <w:bCs/>
          <w:color w:val="auto"/>
          <w:szCs w:val="24"/>
          <w:highlight w:val="none"/>
        </w:rPr>
        <w:t>解密：</w:t>
      </w:r>
      <w:r>
        <w:rPr>
          <w:rFonts w:hint="eastAsia" w:ascii="Times New Roman" w:hAnsi="Times New Roman" w:eastAsia="宋体" w:cs="Times New Roman"/>
          <w:color w:val="auto"/>
          <w:szCs w:val="24"/>
          <w:highlight w:val="none"/>
        </w:rPr>
        <w:t>投标文件提交时间截止后，我中心将向各提交投标文件的投标人发出电子加密投标文件解密通知，投标人代表应当在接到解密通知后</w:t>
      </w:r>
      <w:r>
        <w:rPr>
          <w:rFonts w:ascii="Times New Roman" w:hAnsi="Times New Roman" w:eastAsia="宋体" w:cs="Times New Roman"/>
          <w:color w:val="auto"/>
          <w:szCs w:val="24"/>
          <w:highlight w:val="none"/>
        </w:rPr>
        <w:t>30</w:t>
      </w:r>
      <w:r>
        <w:rPr>
          <w:rFonts w:hint="eastAsia" w:ascii="Times New Roman" w:hAnsi="Times New Roman" w:eastAsia="宋体" w:cs="Times New Roman"/>
          <w:color w:val="auto"/>
          <w:szCs w:val="24"/>
          <w:highlight w:val="none"/>
        </w:rPr>
        <w:t>分钟内对已加密的电子投标文件进行在线解密。投标人未在规定时间内完成解密的，政府采购云平台视为投标人自主放弃投标。</w:t>
      </w:r>
    </w:p>
    <w:p>
      <w:pPr>
        <w:spacing w:line="410" w:lineRule="exact"/>
        <w:ind w:firstLine="420" w:firstLineChars="200"/>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注：当招标项目</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或分标</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的投标人不足</w:t>
      </w:r>
      <w:r>
        <w:rPr>
          <w:rFonts w:ascii="Times New Roman" w:hAnsi="Times New Roman" w:eastAsia="宋体" w:cs="Times New Roman"/>
          <w:color w:val="auto"/>
          <w:szCs w:val="24"/>
          <w:highlight w:val="none"/>
        </w:rPr>
        <w:t>3</w:t>
      </w:r>
      <w:r>
        <w:rPr>
          <w:rFonts w:hint="eastAsia" w:ascii="Times New Roman" w:hAnsi="Times New Roman" w:eastAsia="宋体" w:cs="Times New Roman"/>
          <w:color w:val="auto"/>
          <w:szCs w:val="24"/>
          <w:highlight w:val="none"/>
        </w:rPr>
        <w:t>家的，不开标。</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（三）资格审查</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1.采购人依法对投标人的资格进行审查，招标项目(或分标)</w:t>
      </w:r>
      <w:r>
        <w:rPr>
          <w:rFonts w:hint="eastAsia" w:ascii="Arial" w:hAnsi="Arial" w:eastAsia="宋体" w:cs="Arial"/>
          <w:color w:val="auto"/>
          <w:szCs w:val="24"/>
          <w:highlight w:val="none"/>
        </w:rPr>
        <w:t>合格投标人不足</w:t>
      </w:r>
      <w:r>
        <w:rPr>
          <w:rFonts w:ascii="Arial" w:hAnsi="Arial" w:eastAsia="宋体" w:cs="Arial"/>
          <w:color w:val="auto"/>
          <w:szCs w:val="24"/>
          <w:highlight w:val="none"/>
        </w:rPr>
        <w:t>3</w:t>
      </w:r>
      <w:r>
        <w:rPr>
          <w:rFonts w:hint="eastAsia" w:ascii="Arial" w:hAnsi="Arial" w:eastAsia="宋体" w:cs="Arial"/>
          <w:color w:val="auto"/>
          <w:szCs w:val="24"/>
          <w:highlight w:val="none"/>
        </w:rPr>
        <w:t>家的，不评标</w:t>
      </w:r>
      <w:r>
        <w:rPr>
          <w:rFonts w:hint="eastAsia" w:ascii="宋体" w:hAnsi="宋体" w:eastAsia="宋体" w:cs="Times New Roman"/>
          <w:color w:val="auto"/>
          <w:szCs w:val="21"/>
          <w:highlight w:val="none"/>
        </w:rPr>
        <w:t>。</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2.资格性审查时，如发现下列情形之一的，投标文件将被视为无效：</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(1)超越了按照法律法规规定必须获得行政许可或者行政审批的经营范围的；</w:t>
      </w:r>
    </w:p>
    <w:p>
      <w:pPr>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(2)资格证明文件不全的，或者不符合招标文件标明的资格要求的；</w:t>
      </w:r>
    </w:p>
    <w:p>
      <w:pPr>
        <w:snapToGrid w:val="0"/>
        <w:spacing w:line="410" w:lineRule="exact"/>
        <w:ind w:firstLine="420" w:firstLineChars="20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采购人或本中心将通过信用中国网站（www.creditchina.gov.cn）、中国政府采购网（www.ccgp.gov.cn）等渠道查询供应商的信用信息记录。供应商被列入失信被执行人、重大税收违法案件当事人名单、政府采购严重违法失信行为记录名单且有效期在投标文件递交截止时间的，将被拒绝参与本项目政府采购活动。</w:t>
      </w:r>
    </w:p>
    <w:p>
      <w:pPr>
        <w:keepNext/>
        <w:keepLines/>
        <w:spacing w:line="410" w:lineRule="exact"/>
        <w:outlineLvl w:val="1"/>
        <w:rPr>
          <w:rFonts w:ascii="方正小标宋_GBK" w:hAnsi="Arial" w:eastAsia="方正小标宋_GBK" w:cs="Times New Roman"/>
          <w:color w:val="auto"/>
          <w:sz w:val="24"/>
          <w:szCs w:val="24"/>
          <w:highlight w:val="none"/>
        </w:rPr>
      </w:pPr>
      <w:bookmarkStart w:id="156" w:name="_五、评标"/>
      <w:bookmarkEnd w:id="156"/>
      <w:bookmarkStart w:id="157" w:name="_Toc254970686"/>
      <w:bookmarkStart w:id="158" w:name="_Toc352700432"/>
      <w:bookmarkStart w:id="159" w:name="_Toc353785302"/>
      <w:bookmarkStart w:id="160" w:name="_Toc254970545"/>
      <w:r>
        <w:rPr>
          <w:rFonts w:hint="eastAsia" w:ascii="方正小标宋_GBK" w:hAnsi="Arial" w:eastAsia="方正小标宋_GBK" w:cs="Times New Roman"/>
          <w:color w:val="auto"/>
          <w:sz w:val="24"/>
          <w:szCs w:val="24"/>
          <w:highlight w:val="none"/>
        </w:rPr>
        <w:t>五、评标</w:t>
      </w:r>
      <w:bookmarkEnd w:id="157"/>
      <w:bookmarkEnd w:id="158"/>
      <w:bookmarkEnd w:id="159"/>
      <w:bookmarkEnd w:id="160"/>
    </w:p>
    <w:p>
      <w:pPr>
        <w:snapToGrid w:val="0"/>
        <w:spacing w:line="410" w:lineRule="exact"/>
        <w:ind w:firstLine="211" w:firstLineChars="100"/>
        <w:rPr>
          <w:rFonts w:hint="eastAsia" w:ascii="宋体" w:hAnsi="宋体" w:eastAsia="宋体" w:cs="Times New Roman"/>
          <w:b/>
          <w:bCs/>
          <w:color w:val="auto"/>
          <w:szCs w:val="21"/>
          <w:highlight w:val="none"/>
        </w:rPr>
      </w:pPr>
      <w:bookmarkStart w:id="161" w:name="_Toc352700433"/>
      <w:bookmarkStart w:id="162" w:name="_Toc353785303"/>
      <w:r>
        <w:rPr>
          <w:rFonts w:hint="eastAsia" w:ascii="宋体" w:hAnsi="宋体" w:eastAsia="宋体" w:cs="Times New Roman"/>
          <w:b/>
          <w:bCs/>
          <w:color w:val="auto"/>
          <w:szCs w:val="21"/>
          <w:highlight w:val="none"/>
        </w:rPr>
        <w:t>（一）评标原则：</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1.评标委员会必须公平、公正、客观，不带任何倾向性和启发性；不得向外界透露任何与评标有关的内容；任何单位和个人不得干扰、影响评标的正常进行；评标委员会及有关工作人员不得私下接触投标人。</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Times New Roman"/>
          <w:color w:val="auto"/>
          <w:szCs w:val="21"/>
          <w:highlight w:val="none"/>
        </w:rPr>
        <w:t>2.</w:t>
      </w:r>
      <w:r>
        <w:rPr>
          <w:rFonts w:hint="eastAsia" w:ascii="宋体" w:hAnsi="宋体" w:eastAsia="宋体" w:cs="Courier New"/>
          <w:color w:val="auto"/>
          <w:szCs w:val="21"/>
          <w:highlight w:val="none"/>
        </w:rPr>
        <w:t>本项目采用不公开方式评标，评标的依据为招标文件和投标文件。</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color w:val="auto"/>
          <w:szCs w:val="21"/>
          <w:highlight w:val="none"/>
        </w:rPr>
        <w:t>3.</w:t>
      </w:r>
      <w:r>
        <w:rPr>
          <w:rFonts w:hint="eastAsia" w:ascii="宋体" w:hAnsi="宋体" w:eastAsia="宋体" w:cs="宋体"/>
          <w:color w:val="auto"/>
          <w:szCs w:val="21"/>
          <w:highlight w:val="none"/>
        </w:rPr>
        <w:t>评标方法：综合评分法，即满足招标文件全部实质性要求且按照评审因素的量化指标评审得分最高的供应商为中标候选人。</w:t>
      </w:r>
    </w:p>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Times New Roman" w:hAnsi="Times New Roman" w:eastAsia="宋体" w:cs="Times New Roman"/>
          <w:b/>
          <w:bCs/>
          <w:color w:val="auto"/>
          <w:szCs w:val="24"/>
          <w:highlight w:val="none"/>
        </w:rPr>
        <w:t>（二）组建评标委员会</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Courier New"/>
          <w:bCs/>
          <w:color w:val="auto"/>
          <w:szCs w:val="21"/>
          <w:highlight w:val="none"/>
        </w:rPr>
        <w:t>评标委员会由采购人代表和评审专家组成，成员人数应当为5人以上单数，其中评审专家不得少于成员总数的三分之二。</w:t>
      </w:r>
      <w:bookmarkEnd w:id="161"/>
      <w:bookmarkEnd w:id="162"/>
    </w:p>
    <w:p>
      <w:pPr>
        <w:spacing w:line="410" w:lineRule="exact"/>
        <w:ind w:firstLine="211" w:firstLineChars="100"/>
        <w:rPr>
          <w:rFonts w:hint="eastAsia" w:ascii="宋体" w:hAnsi="宋体" w:eastAsia="宋体" w:cs="Courier New"/>
          <w:color w:val="auto"/>
          <w:szCs w:val="21"/>
          <w:highlight w:val="none"/>
        </w:rPr>
      </w:pPr>
      <w:r>
        <w:rPr>
          <w:rFonts w:hint="eastAsia" w:ascii="宋体" w:hAnsi="宋体" w:eastAsia="宋体" w:cs="Times New Roman"/>
          <w:b/>
          <w:bCs/>
          <w:color w:val="auto"/>
          <w:szCs w:val="21"/>
          <w:highlight w:val="none"/>
        </w:rPr>
        <w:t>（三）符合性审查</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评标委员会对符合资格的投标人投标文件进行符合性审查，以确定其是否满足招标文件的实质性要求。</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1.符合性审查时，如发现下列情形之一的，投标文件将被视为无效：</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(1)商务评审:</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①应交未交投标保证金的；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②投标文件未按投标文件编制要求提供或内容虚假的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③投标文件无法定代表人或其委托代理人签署、未提供授权委托书，或未按规定盖章的；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④投标人代表未能出具身份证明或与法定代表人委托代理人身份不符的；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⑤投</w:t>
      </w:r>
      <w:bookmarkStart w:id="163" w:name="_Hlk112423038"/>
      <w:r>
        <w:rPr>
          <w:rFonts w:hint="eastAsia" w:ascii="宋体" w:hAnsi="宋体" w:eastAsia="宋体" w:cs="Times New Roman"/>
          <w:color w:val="auto"/>
          <w:szCs w:val="21"/>
          <w:highlight w:val="none"/>
        </w:rPr>
        <w:t>标有效期、交货时间、质保期等不允许偏离的实质性要求和条件不能满足招标文件要求的；</w:t>
      </w:r>
      <w:bookmarkEnd w:id="163"/>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⑥投标文件的实质性内容未使用中文表述、意思表述不明确、前后矛盾或者使用计量单位不符合招标文件要求的；</w:t>
      </w:r>
    </w:p>
    <w:p>
      <w:pPr>
        <w:snapToGrid w:val="0"/>
        <w:spacing w:line="410" w:lineRule="exact"/>
        <w:ind w:firstLine="525" w:firstLineChars="2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⑦未实质性响应招标文件要求或者投标文件有采购人不能接受的附加条件的；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(2)技术评审：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w:t>
      </w:r>
      <w:r>
        <w:rPr>
          <w:rFonts w:hint="eastAsia" w:ascii="宋体" w:hAnsi="宋体" w:eastAsia="宋体" w:cs="Times New Roman"/>
          <w:color w:val="auto"/>
          <w:szCs w:val="21"/>
          <w:highlight w:val="none"/>
        </w:rPr>
        <w:t>未提供或未如实提供货物技术参数或服务响应，或投标文件标明的响应或偏离与事实不符的；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②明显不符合招标文件要求的质量标准，或者与招标文件中的技术指标、功能、服务事项发生实质性较大偏离，已不符合采购人需求的；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③投标文件技术方案不明确，存在一个或一个以上备选（替代）投标方案的。</w:t>
      </w:r>
    </w:p>
    <w:p>
      <w:pPr>
        <w:snapToGrid w:val="0"/>
        <w:spacing w:line="410" w:lineRule="exact"/>
        <w:ind w:firstLine="422" w:firstLineChars="2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(3)报价评审：</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①报价超过招标文件中规定的预算金额或者最高限价的；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②未采用人民币报价或者未按照招标文件标明的币种报价的；</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③投标报价具有选择性；</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④</w:t>
      </w:r>
      <w:r>
        <w:rPr>
          <w:rFonts w:hint="eastAsia" w:ascii="宋体" w:hAnsi="宋体" w:eastAsia="宋体" w:cs="Courier New"/>
          <w:color w:val="auto"/>
          <w:szCs w:val="21"/>
          <w:highlight w:val="none"/>
        </w:rPr>
        <w:t>投标人在政采云平台制作投标文件时填写的报价金额与解密后“电子加密投标文件”中报价金额不一致的，以解密后“电子加密投标文件”中报价金额为准，投标人拒绝接受此调整的，视为无效投标文件。</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⑤</w:t>
      </w:r>
      <w:bookmarkStart w:id="164" w:name="OLE_LINK4"/>
      <w:r>
        <w:rPr>
          <w:rFonts w:hint="eastAsia" w:ascii="宋体" w:hAnsi="宋体" w:eastAsia="宋体" w:cs="Times New Roman"/>
          <w:color w:val="auto"/>
          <w:spacing w:val="-4"/>
          <w:szCs w:val="21"/>
          <w:highlight w:val="none"/>
        </w:rPr>
        <w:t>评审中出现下列情形之一的，评审小组应当启动异常低价响应审查程序:</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A.响应报价低于全部通过符合性审查供应商响应报价平均值50%的，即响应报价＜全部通过符合性审查供应商响应报价平均值×50%；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B.响应报价低于通过符合性审查的次低报价供应商响应报价50%的，即响应报价＜通过符合性审查的次低报价供应商响应报价×50%；</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C.响应报价低于采购项目最高限价45%的，即响应报价＜采购项目最高限价×45%。（未设定最高限价的采购项目，以采购项目预算金额作为最高限价）</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D.评审小组基于专业判断，认为供应商报价过低，有可能影响产品质量或者不能诚信履约的其他情形。</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E.相关法律法规对供应商报价有规定的，从其规定。</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F.评审小组启动异常低价响应审查后，属于前述第</w:t>
      </w:r>
      <w:r>
        <w:rPr>
          <w:rFonts w:hint="eastAsia" w:ascii="宋体" w:hAnsi="宋体" w:eastAsia="宋体" w:cs="Times New Roman"/>
          <w:color w:val="auto"/>
          <w:spacing w:val="-4"/>
          <w:szCs w:val="21"/>
          <w:highlight w:val="none"/>
          <w:lang w:val="en-US" w:eastAsia="zh-CN"/>
        </w:rPr>
        <w:t>A</w:t>
      </w:r>
      <w:r>
        <w:rPr>
          <w:rFonts w:hint="eastAsia" w:ascii="宋体" w:hAnsi="宋体" w:eastAsia="宋体" w:cs="Times New Roman"/>
          <w:color w:val="auto"/>
          <w:spacing w:val="-4"/>
          <w:szCs w:val="21"/>
          <w:highlight w:val="none"/>
        </w:rPr>
        <w:t>项至第</w:t>
      </w:r>
      <w:r>
        <w:rPr>
          <w:rFonts w:hint="eastAsia" w:ascii="宋体" w:hAnsi="宋体" w:eastAsia="宋体" w:cs="Times New Roman"/>
          <w:color w:val="auto"/>
          <w:spacing w:val="-4"/>
          <w:szCs w:val="21"/>
          <w:highlight w:val="none"/>
          <w:lang w:val="en-US" w:eastAsia="zh-CN"/>
        </w:rPr>
        <w:t>D</w:t>
      </w:r>
      <w:r>
        <w:rPr>
          <w:rFonts w:hint="eastAsia" w:ascii="宋体" w:hAnsi="宋体" w:eastAsia="宋体" w:cs="Times New Roman"/>
          <w:color w:val="auto"/>
          <w:spacing w:val="-4"/>
          <w:szCs w:val="21"/>
          <w:highlight w:val="none"/>
        </w:rPr>
        <w:t>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w:t>
      </w:r>
      <w:r>
        <w:rPr>
          <w:rFonts w:hint="eastAsia" w:ascii="宋体" w:hAnsi="宋体" w:eastAsia="宋体" w:cs="Times New Roman"/>
          <w:color w:val="auto"/>
          <w:spacing w:val="-4"/>
          <w:szCs w:val="21"/>
          <w:highlight w:val="none"/>
          <w:lang w:val="en-US" w:eastAsia="zh-CN"/>
        </w:rPr>
        <w:t>C</w:t>
      </w:r>
      <w:r>
        <w:rPr>
          <w:rFonts w:hint="eastAsia" w:ascii="宋体" w:hAnsi="宋体" w:eastAsia="宋体" w:cs="Times New Roman"/>
          <w:color w:val="auto"/>
          <w:spacing w:val="-4"/>
          <w:szCs w:val="21"/>
          <w:highlight w:val="none"/>
        </w:rPr>
        <w:t>项情形，供应商已随响应文件一并提交相关书面说明及必要的证明材料的，在评审现场可不再重复提交。</w:t>
      </w:r>
    </w:p>
    <w:p>
      <w:pPr>
        <w:snapToGrid w:val="0"/>
        <w:spacing w:line="410" w:lineRule="exact"/>
        <w:ind w:firstLine="505" w:firstLineChars="250"/>
        <w:rPr>
          <w:rFonts w:hint="eastAsia" w:ascii="宋体" w:hAnsi="宋体" w:eastAsia="宋体" w:cs="Times New Roman"/>
          <w:color w:val="auto"/>
          <w:spacing w:val="-4"/>
          <w:szCs w:val="21"/>
          <w:highlight w:val="none"/>
        </w:rPr>
      </w:pPr>
      <w:r>
        <w:rPr>
          <w:rFonts w:hint="eastAsia" w:ascii="宋体" w:hAnsi="宋体" w:eastAsia="宋体" w:cs="Times New Roman"/>
          <w:color w:val="auto"/>
          <w:spacing w:val="-4"/>
          <w:szCs w:val="21"/>
          <w:highlight w:val="none"/>
        </w:rPr>
        <w:t>G.评审小组依据专业经验，参考同类项目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评审小组应当将其作为无效响应处理。</w:t>
      </w:r>
    </w:p>
    <w:bookmarkEnd w:id="164"/>
    <w:p>
      <w:pPr>
        <w:snapToGrid w:val="0"/>
        <w:spacing w:line="410" w:lineRule="exact"/>
        <w:ind w:firstLine="211" w:firstLineChars="100"/>
        <w:rPr>
          <w:rFonts w:hint="eastAsia" w:ascii="宋体" w:hAnsi="宋体" w:eastAsia="宋体" w:cs="Times New Roman"/>
          <w:b/>
          <w:bCs/>
          <w:color w:val="auto"/>
          <w:szCs w:val="21"/>
          <w:highlight w:val="none"/>
        </w:rPr>
      </w:pPr>
      <w:r>
        <w:rPr>
          <w:rFonts w:hint="eastAsia" w:ascii="宋体" w:hAnsi="宋体" w:eastAsia="宋体" w:cs="Times New Roman"/>
          <w:b/>
          <w:bCs/>
          <w:color w:val="auto"/>
          <w:szCs w:val="21"/>
          <w:highlight w:val="none"/>
        </w:rPr>
        <w:t>（四）比较与评价</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w:t>
      </w:r>
      <w:r>
        <w:rPr>
          <w:rFonts w:hint="eastAsia" w:ascii="宋体" w:hAnsi="Courier New" w:eastAsia="宋体" w:cs="Courier New"/>
          <w:color w:val="auto"/>
          <w:szCs w:val="21"/>
          <w:highlight w:val="none"/>
        </w:rPr>
        <w:t>评分细则：</w:t>
      </w:r>
      <w:bookmarkStart w:id="165" w:name="_Hlk92463857"/>
      <w:r>
        <w:rPr>
          <w:rFonts w:hint="eastAsia" w:ascii="宋体" w:hAnsi="Courier New" w:eastAsia="宋体" w:cs="Courier New"/>
          <w:color w:val="auto"/>
          <w:szCs w:val="21"/>
          <w:highlight w:val="none"/>
        </w:rPr>
        <w:t>详见第四章《评定标准及推荐原则》</w:t>
      </w:r>
      <w:bookmarkEnd w:id="165"/>
      <w:r>
        <w:rPr>
          <w:rFonts w:hint="eastAsia" w:ascii="宋体" w:hAnsi="Courier New" w:eastAsia="宋体" w:cs="Courier New"/>
          <w:color w:val="auto"/>
          <w:szCs w:val="21"/>
          <w:highlight w:val="none"/>
        </w:rPr>
        <w:t>。</w:t>
      </w:r>
    </w:p>
    <w:p>
      <w:pPr>
        <w:snapToGrid w:val="0"/>
        <w:spacing w:line="41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2.评标委员会按评分细则对各投标人的投标文件进行评价打分，由政府采购云平台进行计算。</w:t>
      </w:r>
    </w:p>
    <w:p>
      <w:pPr>
        <w:snapToGrid w:val="0"/>
        <w:spacing w:line="410" w:lineRule="exact"/>
        <w:ind w:firstLine="420" w:firstLineChars="200"/>
        <w:rPr>
          <w:rFonts w:hint="eastAsia" w:ascii="宋体" w:hAnsi="宋体" w:eastAsia="宋体" w:cs="Times New Roman"/>
          <w:color w:val="auto"/>
          <w:szCs w:val="21"/>
          <w:highlight w:val="none"/>
        </w:rPr>
      </w:pPr>
      <w:bookmarkStart w:id="166" w:name="_Hlk90303998"/>
      <w:r>
        <w:rPr>
          <w:rFonts w:hint="eastAsia" w:ascii="宋体" w:hAnsi="宋体" w:eastAsia="宋体" w:cs="Times New Roman"/>
          <w:color w:val="auto"/>
          <w:szCs w:val="21"/>
          <w:highlight w:val="none"/>
        </w:rPr>
        <w:t>2.评标委员会</w:t>
      </w:r>
      <w:bookmarkEnd w:id="166"/>
      <w:r>
        <w:rPr>
          <w:rFonts w:hint="eastAsia" w:ascii="宋体" w:hAnsi="宋体" w:eastAsia="宋体" w:cs="Times New Roman"/>
          <w:color w:val="auto"/>
          <w:szCs w:val="21"/>
          <w:highlight w:val="none"/>
        </w:rPr>
        <w:t>完成评标后,由政府采购云平台对各投标人各项得分进行汇总，计算各投标人最终得分。评标委员会按推荐原则推荐中标候选人同时形成评标报告。</w:t>
      </w:r>
      <w:bookmarkStart w:id="167" w:name="_Toc352700436"/>
      <w:bookmarkStart w:id="168" w:name="_Toc353785306"/>
    </w:p>
    <w:p>
      <w:pPr>
        <w:snapToGrid w:val="0"/>
        <w:spacing w:line="410" w:lineRule="exact"/>
        <w:ind w:firstLine="211" w:firstLineChars="100"/>
        <w:rPr>
          <w:rFonts w:hint="eastAsia" w:ascii="宋体" w:hAnsi="宋体" w:eastAsia="宋体" w:cs="Times New Roman"/>
          <w:b/>
          <w:bCs/>
          <w:color w:val="auto"/>
          <w:szCs w:val="32"/>
          <w:highlight w:val="none"/>
        </w:rPr>
      </w:pPr>
      <w:r>
        <w:rPr>
          <w:rFonts w:hint="eastAsia" w:ascii="宋体" w:hAnsi="宋体" w:eastAsia="宋体" w:cs="Times New Roman"/>
          <w:b/>
          <w:bCs/>
          <w:color w:val="auto"/>
          <w:szCs w:val="32"/>
          <w:highlight w:val="none"/>
        </w:rPr>
        <w:t>（五）澄清问题的形式</w:t>
      </w:r>
      <w:bookmarkEnd w:id="167"/>
      <w:bookmarkEnd w:id="168"/>
    </w:p>
    <w:p>
      <w:pPr>
        <w:spacing w:line="410" w:lineRule="exact"/>
        <w:ind w:firstLine="420" w:firstLineChars="200"/>
        <w:rPr>
          <w:rFonts w:ascii="Times New Roman" w:hAnsi="Times New Roman" w:eastAsia="宋体" w:cs="Times New Roman"/>
          <w:color w:val="auto"/>
          <w:szCs w:val="24"/>
          <w:highlight w:val="none"/>
        </w:rPr>
      </w:pPr>
      <w:bookmarkStart w:id="169" w:name="_Toc352700437"/>
      <w:bookmarkStart w:id="170" w:name="_Toc353785307"/>
      <w:r>
        <w:rPr>
          <w:rFonts w:hint="eastAsia" w:ascii="Times New Roman" w:hAnsi="Times New Roman" w:eastAsia="宋体" w:cs="Times New Roman"/>
          <w:color w:val="auto"/>
          <w:szCs w:val="24"/>
          <w:highlight w:val="none"/>
        </w:rPr>
        <w:t>对于投标文件中含义不明确、同类问题表述不一致或者有明显文字和计算错误的内容，评标委员会应当以书面形式要求投标人作出必要的</w:t>
      </w:r>
      <w:bookmarkStart w:id="171" w:name="_Hlk92457660"/>
      <w:r>
        <w:rPr>
          <w:rFonts w:hint="eastAsia" w:ascii="Times New Roman" w:hAnsi="Times New Roman" w:eastAsia="宋体" w:cs="Times New Roman"/>
          <w:color w:val="auto"/>
          <w:szCs w:val="24"/>
          <w:highlight w:val="none"/>
        </w:rPr>
        <w:t>澄清、说明或者补正</w:t>
      </w:r>
      <w:bookmarkEnd w:id="171"/>
      <w:r>
        <w:rPr>
          <w:rFonts w:hint="eastAsia" w:ascii="Times New Roman" w:hAnsi="Times New Roman" w:eastAsia="宋体" w:cs="Times New Roman"/>
          <w:color w:val="auto"/>
          <w:szCs w:val="24"/>
          <w:highlight w:val="none"/>
        </w:rPr>
        <w:t>。投标人的澄清、说明或者补正应当采用书面形式，并加盖公章，或者由法定代表人或其授权的代表签名。投标人的澄清、说明或者补正不得超出投标文件的范围或者改变投标文件的实质性内容。</w:t>
      </w:r>
    </w:p>
    <w:p>
      <w:pPr>
        <w:spacing w:line="410" w:lineRule="exact"/>
        <w:ind w:firstLine="211" w:firstLineChars="100"/>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（六）错误修正</w:t>
      </w:r>
      <w:bookmarkEnd w:id="169"/>
      <w:bookmarkEnd w:id="170"/>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投标文件报价出现前后不一致的，除招标文件另有规定外，按照下列规定修正：</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1.投标文件中开标一览表内容</w:t>
      </w:r>
      <w:bookmarkStart w:id="172" w:name="_Hlk92464203"/>
      <w:r>
        <w:rPr>
          <w:rFonts w:hint="eastAsia" w:ascii="宋体" w:hAnsi="宋体" w:eastAsia="宋体" w:cs="Courier New"/>
          <w:color w:val="auto"/>
          <w:szCs w:val="21"/>
          <w:highlight w:val="none"/>
        </w:rPr>
        <w:t>与投标文件中相应内容不一致的</w:t>
      </w:r>
      <w:bookmarkEnd w:id="172"/>
      <w:r>
        <w:rPr>
          <w:rFonts w:hint="eastAsia" w:ascii="宋体" w:hAnsi="宋体" w:eastAsia="宋体" w:cs="Courier New"/>
          <w:color w:val="auto"/>
          <w:szCs w:val="21"/>
          <w:highlight w:val="none"/>
        </w:rPr>
        <w:t>，以开标一览表为准；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2.大写金额和小写金额不一致的，以大写金额为准；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3.单价金额小数点或者百分比有明显错位的，以开标一览表的总价为准，并修改单价；</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4.总价金额与按单价汇总金额不一致的，以单价金额计算结果为准。</w:t>
      </w:r>
    </w:p>
    <w:p>
      <w:pPr>
        <w:snapToGrid w:val="0"/>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同时出现两种以上不一致的，按照前款规定的顺序修正。修正后的报价按照澄清、说明或者补正的规定经投标人确认后产生约束力，投标人不确认的，其投标无效。</w:t>
      </w:r>
    </w:p>
    <w:bookmarkEnd w:id="146"/>
    <w:bookmarkEnd w:id="147"/>
    <w:p>
      <w:pPr>
        <w:spacing w:line="410" w:lineRule="exact"/>
        <w:ind w:firstLine="211" w:firstLineChars="100"/>
        <w:rPr>
          <w:rFonts w:hint="eastAsia" w:ascii="宋体" w:hAnsi="宋体" w:eastAsia="宋体" w:cs="Courier New"/>
          <w:b/>
          <w:color w:val="auto"/>
          <w:szCs w:val="21"/>
          <w:highlight w:val="none"/>
        </w:rPr>
      </w:pPr>
      <w:bookmarkStart w:id="173" w:name="_Toc353785299"/>
      <w:bookmarkStart w:id="174" w:name="_Toc352700429"/>
      <w:bookmarkStart w:id="175" w:name="_Toc254970544"/>
      <w:bookmarkStart w:id="176" w:name="_Toc254970685"/>
      <w:r>
        <w:rPr>
          <w:rFonts w:hint="eastAsia" w:ascii="宋体" w:hAnsi="宋体" w:eastAsia="宋体" w:cs="Courier New"/>
          <w:b/>
          <w:color w:val="auto"/>
          <w:szCs w:val="21"/>
          <w:highlight w:val="none"/>
        </w:rPr>
        <w:t>（七）核心产品相同品牌产品投标、串通投标、恶意串通行为的说明：</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本项目不同投标人提供相同品牌的核心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2.有下列情形之一的视为供应商相互串通投标，投标文件将被视为无效：</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(1)不同投标人的投标文件由同一单位或者个人编制；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(2)不同投标人委托同一单位或者个人办理投标事宜；</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(3)不同投标人的投标文件载明的项目管理成员或者联系人员为同一人；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(4)不同投标人的投标文件异常一致或者投标报价呈规律性差异；</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(5)不同投标人的投标文件相互混装；</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(6)不同投标人的投标保证金从同一单位或者个人的账户转出。</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3.供应商有下列情形之一的，属于</w:t>
      </w:r>
      <w:bookmarkStart w:id="177" w:name="_Hlk90304995"/>
      <w:r>
        <w:rPr>
          <w:rFonts w:hint="eastAsia" w:ascii="宋体" w:hAnsi="宋体" w:eastAsia="宋体" w:cs="Times New Roman"/>
          <w:color w:val="auto"/>
          <w:szCs w:val="24"/>
          <w:highlight w:val="none"/>
        </w:rPr>
        <w:t>恶意串通</w:t>
      </w:r>
      <w:bookmarkEnd w:id="177"/>
      <w:r>
        <w:rPr>
          <w:rFonts w:hint="eastAsia" w:ascii="宋体" w:hAnsi="宋体" w:eastAsia="宋体" w:cs="Times New Roman"/>
          <w:color w:val="auto"/>
          <w:szCs w:val="24"/>
          <w:highlight w:val="none"/>
        </w:rPr>
        <w:t>：</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(1)供应商直接或者间接从采购人或者采购代理机构处获得其他供应商的相关信息并修改其投标文件：</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(2)供应商按照采购人或者采购代理机构的授意撤换、修改投标文件；</w:t>
      </w:r>
    </w:p>
    <w:p>
      <w:pPr>
        <w:spacing w:line="410" w:lineRule="exact"/>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ab/>
      </w:r>
      <w:r>
        <w:rPr>
          <w:rFonts w:hint="eastAsia" w:ascii="宋体" w:hAnsi="宋体" w:eastAsia="宋体" w:cs="Times New Roman"/>
          <w:color w:val="auto"/>
          <w:szCs w:val="24"/>
          <w:highlight w:val="none"/>
        </w:rPr>
        <w:t>(3)供应商之间协商报价、技术方案等投标文件的实质性内容；</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(4)属于同一集团、协会、商会等组织成员的供应商按照该组织要求协同参加政府采购活动；</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(5)供应商之间事先约定一致抬高或者压低报价，或者在采购项目中事先约定轮流以高价位或者低价位成交，或者事先约定由某一特定供应商成交，然后再参加投标；</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(6)供应商之间商定部分供应商放弃参加政府采购活动或者放弃成交；</w:t>
      </w:r>
    </w:p>
    <w:p>
      <w:pPr>
        <w:spacing w:line="410" w:lineRule="exact"/>
        <w:ind w:firstLine="420" w:firstLineChars="200"/>
        <w:rPr>
          <w:rFonts w:hint="eastAsia" w:ascii="宋体" w:hAnsi="宋体" w:eastAsia="宋体" w:cs="Times New Roman"/>
          <w:color w:val="auto"/>
          <w:szCs w:val="24"/>
          <w:highlight w:val="none"/>
        </w:rPr>
      </w:pPr>
      <w:r>
        <w:rPr>
          <w:rFonts w:hint="eastAsia" w:ascii="宋体" w:hAnsi="宋体" w:eastAsia="宋体" w:cs="Times New Roman"/>
          <w:color w:val="auto"/>
          <w:szCs w:val="24"/>
          <w:highlight w:val="none"/>
        </w:rPr>
        <w:t>(7)供应商与采购人或者采购代理机构之间、供应商相互之间，为谋求特定供应商成交或者排斥其他供应商的其他串通行为。</w:t>
      </w:r>
    </w:p>
    <w:p>
      <w:pPr>
        <w:spacing w:line="410" w:lineRule="exact"/>
        <w:ind w:firstLine="211" w:firstLineChars="100"/>
        <w:rPr>
          <w:rFonts w:hint="eastAsia" w:ascii="宋体" w:hAnsi="宋体" w:eastAsia="宋体" w:cs="Courier New"/>
          <w:b/>
          <w:color w:val="auto"/>
          <w:szCs w:val="21"/>
          <w:highlight w:val="none"/>
        </w:rPr>
      </w:pPr>
      <w:r>
        <w:rPr>
          <w:rFonts w:hint="eastAsia" w:ascii="宋体" w:hAnsi="宋体" w:eastAsia="宋体" w:cs="Courier New"/>
          <w:b/>
          <w:color w:val="auto"/>
          <w:szCs w:val="21"/>
          <w:highlight w:val="none"/>
        </w:rPr>
        <w:t>（八）废标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出现下列情形之一的，应予废标：</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1.符合专业条件的供应商或者对招标文件作实质响应的供应商不足三家的；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2.出现影响采购公正的违法、违规行为的；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3.投标人的报价均超过了采购预算，采购人不能支付的；</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4.因重大变故，采购任务取消的。</w:t>
      </w:r>
      <w:bookmarkEnd w:id="173"/>
      <w:bookmarkEnd w:id="174"/>
      <w:bookmarkEnd w:id="175"/>
      <w:bookmarkEnd w:id="176"/>
    </w:p>
    <w:p>
      <w:pPr>
        <w:spacing w:line="410" w:lineRule="exact"/>
        <w:ind w:firstLine="211" w:firstLineChars="100"/>
        <w:rPr>
          <w:rFonts w:ascii="Times New Roman" w:hAnsi="Times New Roman" w:eastAsia="宋体" w:cs="Times New Roman"/>
          <w:b/>
          <w:bCs/>
          <w:color w:val="auto"/>
          <w:szCs w:val="24"/>
          <w:highlight w:val="none"/>
        </w:rPr>
      </w:pPr>
      <w:bookmarkStart w:id="178" w:name="_Toc352700439"/>
      <w:bookmarkStart w:id="179" w:name="_Toc353785309"/>
      <w:r>
        <w:rPr>
          <w:rFonts w:hint="eastAsia" w:ascii="Times New Roman" w:hAnsi="Times New Roman" w:eastAsia="宋体" w:cs="Times New Roman"/>
          <w:b/>
          <w:bCs/>
          <w:color w:val="auto"/>
          <w:szCs w:val="24"/>
          <w:highlight w:val="none"/>
        </w:rPr>
        <w:t>（</w:t>
      </w:r>
      <w:r>
        <w:rPr>
          <w:rFonts w:hint="eastAsia" w:ascii="Times New Roman" w:hAnsi="宋体" w:eastAsia="宋体" w:cs="Times New Roman"/>
          <w:b/>
          <w:color w:val="auto"/>
          <w:szCs w:val="24"/>
          <w:highlight w:val="none"/>
        </w:rPr>
        <w:t>九</w:t>
      </w:r>
      <w:r>
        <w:rPr>
          <w:rFonts w:hint="eastAsia" w:ascii="Times New Roman" w:hAnsi="Times New Roman" w:eastAsia="宋体" w:cs="Times New Roman"/>
          <w:b/>
          <w:bCs/>
          <w:color w:val="auto"/>
          <w:szCs w:val="24"/>
          <w:highlight w:val="none"/>
        </w:rPr>
        <w:t>）评标过程的监控</w:t>
      </w:r>
      <w:bookmarkEnd w:id="178"/>
      <w:bookmarkEnd w:id="179"/>
    </w:p>
    <w:p>
      <w:pPr>
        <w:snapToGrid w:val="0"/>
        <w:spacing w:line="41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本项目评标过程实行全程录音、录像监控，投标人在评标过程中所进行的试图影响评标结果的不公正活动，可能导致其投标无效。</w:t>
      </w:r>
    </w:p>
    <w:p>
      <w:pPr>
        <w:snapToGrid w:val="0"/>
        <w:spacing w:line="410" w:lineRule="exact"/>
        <w:ind w:firstLine="420" w:firstLineChars="200"/>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80" w:name="_Toc254970546"/>
      <w:bookmarkStart w:id="181" w:name="_Toc353785310"/>
      <w:bookmarkStart w:id="182" w:name="_Toc254970687"/>
      <w:bookmarkStart w:id="183" w:name="_Toc352700440"/>
      <w:r>
        <w:rPr>
          <w:rFonts w:hint="eastAsia" w:ascii="方正小标宋_GBK" w:hAnsi="Arial" w:eastAsia="方正小标宋_GBK" w:cs="Times New Roman"/>
          <w:bCs/>
          <w:color w:val="auto"/>
          <w:sz w:val="24"/>
          <w:szCs w:val="24"/>
          <w:highlight w:val="none"/>
        </w:rPr>
        <w:t>六、评标结果</w:t>
      </w:r>
      <w:bookmarkEnd w:id="180"/>
      <w:bookmarkEnd w:id="181"/>
      <w:bookmarkEnd w:id="182"/>
      <w:bookmarkEnd w:id="183"/>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bCs/>
          <w:color w:val="auto"/>
          <w:szCs w:val="21"/>
          <w:highlight w:val="none"/>
        </w:rPr>
        <w:t>（一）</w:t>
      </w:r>
      <w:r>
        <w:rPr>
          <w:rFonts w:hint="eastAsia" w:ascii="宋体" w:hAnsi="宋体" w:eastAsia="宋体" w:cs="Courier New"/>
          <w:color w:val="auto"/>
          <w:szCs w:val="21"/>
          <w:highlight w:val="none"/>
        </w:rPr>
        <w:t>本中心将在评标结束后2个工作日内将评标报告送采购人，采购人在5个工作日内按照评标报告中推荐的中标候选供应商顺序确定中标人。中标候选人并列的，由采购人或者采购人委托评标委员会按照招标文件规定的方式确定中标人；招标文件未规定的，采取随机抽取的方式确定。采购人也可以授权评标委员会直接确定中标人。</w:t>
      </w:r>
    </w:p>
    <w:p>
      <w:pPr>
        <w:snapToGrid w:val="0"/>
        <w:spacing w:line="410" w:lineRule="exact"/>
        <w:ind w:firstLine="210" w:firstLineChars="100"/>
        <w:rPr>
          <w:rFonts w:hint="eastAsia" w:ascii="宋体" w:hAnsi="宋体" w:eastAsia="宋体" w:cs="Times New Roman"/>
          <w:color w:val="auto"/>
          <w:szCs w:val="24"/>
          <w:highlight w:val="none"/>
        </w:rPr>
      </w:pPr>
      <w:r>
        <w:rPr>
          <w:rFonts w:hint="eastAsia" w:ascii="Times New Roman" w:hAnsi="Times New Roman" w:eastAsia="宋体" w:cs="Times New Roman"/>
          <w:color w:val="auto"/>
          <w:szCs w:val="24"/>
          <w:highlight w:val="none"/>
        </w:rPr>
        <w:t>（二）中标人确定后，本中心</w:t>
      </w:r>
      <w:r>
        <w:rPr>
          <w:rFonts w:hint="eastAsia" w:ascii="宋体" w:hAnsi="宋体" w:eastAsia="宋体" w:cs="Times New Roman"/>
          <w:color w:val="auto"/>
          <w:szCs w:val="24"/>
          <w:highlight w:val="none"/>
        </w:rPr>
        <w:t>在省级以上财政部门指定的媒体上公告中标结果，</w:t>
      </w:r>
      <w:r>
        <w:rPr>
          <w:rFonts w:hint="eastAsia" w:ascii="Times New Roman" w:hAnsi="宋体" w:eastAsia="宋体" w:cs="Times New Roman"/>
          <w:color w:val="auto"/>
          <w:szCs w:val="24"/>
          <w:highlight w:val="none"/>
        </w:rPr>
        <w:t>同时向中标人发出中标通知书</w:t>
      </w:r>
      <w:r>
        <w:rPr>
          <w:rFonts w:hint="eastAsia" w:ascii="宋体" w:hAnsi="宋体" w:eastAsia="宋体" w:cs="Times New Roman"/>
          <w:color w:val="auto"/>
          <w:szCs w:val="24"/>
          <w:highlight w:val="none"/>
        </w:rPr>
        <w:t>。</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bookmarkStart w:id="184" w:name="_Toc353785311"/>
      <w:bookmarkStart w:id="185" w:name="_Toc352700441"/>
      <w:r>
        <w:rPr>
          <w:rFonts w:hint="eastAsia" w:ascii="宋体" w:hAnsi="宋体" w:eastAsia="宋体" w:cs="Courier New"/>
          <w:color w:val="auto"/>
          <w:szCs w:val="21"/>
          <w:highlight w:val="none"/>
        </w:rPr>
        <w:t>中标通知书发出后，采购人不得违法改变中标结果，中标人无正当理由不得放弃中标。</w:t>
      </w:r>
    </w:p>
    <w:p>
      <w:pPr>
        <w:spacing w:line="410" w:lineRule="exact"/>
        <w:ind w:firstLine="210" w:firstLineChars="100"/>
        <w:rPr>
          <w:rFonts w:hint="eastAsia" w:ascii="宋体" w:hAnsi="宋体" w:eastAsia="宋体" w:cs="Courier New"/>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r>
        <w:rPr>
          <w:rFonts w:hint="eastAsia" w:ascii="方正小标宋_GBK" w:hAnsi="Arial" w:eastAsia="方正小标宋_GBK" w:cs="Times New Roman"/>
          <w:bCs/>
          <w:color w:val="auto"/>
          <w:sz w:val="24"/>
          <w:szCs w:val="24"/>
          <w:highlight w:val="none"/>
        </w:rPr>
        <w:t>七、签订合同</w:t>
      </w:r>
      <w:bookmarkEnd w:id="184"/>
      <w:bookmarkEnd w:id="185"/>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Times New Roman"/>
          <w:color w:val="auto"/>
          <w:szCs w:val="32"/>
          <w:highlight w:val="none"/>
        </w:rPr>
        <w:t>（一）</w:t>
      </w:r>
      <w:bookmarkStart w:id="186" w:name="_Hlk154045215"/>
      <w:r>
        <w:rPr>
          <w:rFonts w:hint="eastAsia" w:ascii="宋体" w:hAnsi="宋体" w:eastAsia="宋体" w:cs="Courier New"/>
          <w:color w:val="auto"/>
          <w:szCs w:val="21"/>
          <w:highlight w:val="none"/>
        </w:rPr>
        <w:t>采购人应当自中标通知书发出之日起</w:t>
      </w:r>
      <w:r>
        <w:rPr>
          <w:rFonts w:hint="eastAsia" w:ascii="宋体" w:hAnsi="宋体" w:eastAsia="宋体" w:cs="Courier New"/>
          <w:color w:val="auto"/>
          <w:szCs w:val="21"/>
          <w:highlight w:val="none"/>
          <w:lang w:val="en-US" w:eastAsia="zh-CN"/>
        </w:rPr>
        <w:t>7个工作</w:t>
      </w:r>
      <w:r>
        <w:rPr>
          <w:rFonts w:hint="eastAsia" w:ascii="宋体" w:hAnsi="宋体" w:eastAsia="宋体" w:cs="Courier New"/>
          <w:color w:val="auto"/>
          <w:szCs w:val="21"/>
          <w:highlight w:val="none"/>
        </w:rPr>
        <w:t>日内，按照招标文件和中标人投标文件的规定，与中标人签订书面合同。</w:t>
      </w:r>
      <w:bookmarkEnd w:id="186"/>
      <w:r>
        <w:rPr>
          <w:rFonts w:hint="eastAsia" w:ascii="宋体" w:hAnsi="宋体" w:eastAsia="宋体" w:cs="Courier New"/>
          <w:color w:val="auto"/>
          <w:szCs w:val="21"/>
          <w:highlight w:val="none"/>
        </w:rPr>
        <w:t>所签订的合同不得对招标文件确定的事项和中标人投标文件作实质性修改。</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（二）中标通知书对采购人和中标人均具有法律效力。中标通知书发出后，采购人改变中标结果的，或者中标人放弃中标项目的，应当依法承担法律责任。</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w:t>
      </w:r>
      <w:r>
        <w:rPr>
          <w:rFonts w:hint="eastAsia" w:ascii="宋体" w:hAnsi="宋体" w:eastAsia="宋体" w:cs="宋体"/>
          <w:color w:val="auto"/>
          <w:kern w:val="0"/>
          <w:szCs w:val="21"/>
          <w:highlight w:val="none"/>
        </w:rPr>
        <w:t>中标人可凭成交通知书或政府采购合同等在内的相关材料、信息，通过中征应收账款融资服务平台向银行业金融机构在线申请“政采贷”融资。</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（四）中标人拒绝与采购人签订合同的，采购人可以按照评标报告推荐的中标候选人名单排序，确定下一候选人为中标人，也可以重新开展政府采购活动。</w:t>
      </w:r>
    </w:p>
    <w:p>
      <w:pPr>
        <w:spacing w:line="410" w:lineRule="exact"/>
        <w:ind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（五）采购人与中标人应当根据合同的约定依法履行合同义务。政府采购合同的履行、违约责任和解决争议的方法等适用《中华人民共和国民法典》。</w:t>
      </w:r>
    </w:p>
    <w:p>
      <w:pPr>
        <w:spacing w:line="410" w:lineRule="exact"/>
        <w:rPr>
          <w:rFonts w:hint="eastAsia" w:ascii="宋体" w:hAnsi="宋体" w:eastAsia="宋体" w:cs="Courier New"/>
          <w:color w:val="auto"/>
          <w:szCs w:val="21"/>
          <w:highlight w:val="none"/>
        </w:rPr>
      </w:pPr>
    </w:p>
    <w:p>
      <w:pPr>
        <w:spacing w:line="410" w:lineRule="exact"/>
        <w:rPr>
          <w:rFonts w:ascii="方正小标宋_GBK" w:hAnsi="Times New Roman" w:eastAsia="方正小标宋_GBK" w:cs="Times New Roman"/>
          <w:b/>
          <w:color w:val="auto"/>
          <w:sz w:val="24"/>
          <w:szCs w:val="24"/>
          <w:highlight w:val="none"/>
        </w:rPr>
      </w:pPr>
      <w:bookmarkStart w:id="187" w:name="_Toc352315998"/>
      <w:bookmarkStart w:id="188" w:name="_Toc352700445"/>
      <w:bookmarkStart w:id="189" w:name="_Toc353785315"/>
      <w:r>
        <w:rPr>
          <w:rFonts w:hint="eastAsia" w:ascii="方正小标宋_GBK" w:hAnsi="Times New Roman" w:eastAsia="方正小标宋_GBK" w:cs="Times New Roman"/>
          <w:b/>
          <w:color w:val="auto"/>
          <w:sz w:val="24"/>
          <w:szCs w:val="24"/>
          <w:highlight w:val="none"/>
        </w:rPr>
        <w:t>八、适用法律</w:t>
      </w:r>
    </w:p>
    <w:p>
      <w:pPr>
        <w:spacing w:line="410" w:lineRule="exact"/>
        <w:ind w:firstLine="210" w:firstLineChars="1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本项目采购活动适用于《中华人民共和国政府采购法》及其实施条例、《政府采购货物和服务招标投标管理办法》等规定。</w:t>
      </w:r>
    </w:p>
    <w:p>
      <w:pPr>
        <w:spacing w:line="410" w:lineRule="exact"/>
        <w:rPr>
          <w:rFonts w:hint="eastAsia" w:ascii="宋体" w:hAnsi="宋体" w:eastAsia="宋体" w:cs="Times New Roman"/>
          <w:color w:val="auto"/>
          <w:szCs w:val="21"/>
          <w:highlight w:val="none"/>
        </w:rPr>
      </w:pPr>
    </w:p>
    <w:p>
      <w:pPr>
        <w:keepNext/>
        <w:keepLines/>
        <w:spacing w:line="410" w:lineRule="exact"/>
        <w:outlineLvl w:val="1"/>
        <w:rPr>
          <w:rFonts w:ascii="方正小标宋_GBK" w:hAnsi="Arial" w:eastAsia="方正小标宋_GBK" w:cs="Times New Roman"/>
          <w:bCs/>
          <w:color w:val="auto"/>
          <w:sz w:val="24"/>
          <w:szCs w:val="24"/>
          <w:highlight w:val="none"/>
        </w:rPr>
      </w:pPr>
      <w:bookmarkStart w:id="190" w:name="_九、其他事项"/>
      <w:bookmarkEnd w:id="190"/>
      <w:r>
        <w:rPr>
          <w:rFonts w:hint="eastAsia" w:ascii="方正小标宋_GBK" w:hAnsi="Arial" w:eastAsia="方正小标宋_GBK" w:cs="Times New Roman"/>
          <w:bCs/>
          <w:color w:val="auto"/>
          <w:sz w:val="24"/>
          <w:szCs w:val="24"/>
          <w:highlight w:val="none"/>
        </w:rPr>
        <w:t>九、其他事项</w:t>
      </w:r>
      <w:bookmarkEnd w:id="187"/>
      <w:bookmarkEnd w:id="188"/>
      <w:bookmarkEnd w:id="189"/>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（一）代理服务费</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1.</w:t>
      </w:r>
      <w:bookmarkStart w:id="191" w:name="_Hlk92466646"/>
      <w:r>
        <w:rPr>
          <w:rFonts w:hint="eastAsia" w:ascii="宋体" w:hAnsi="宋体" w:eastAsia="宋体" w:cs="Courier New"/>
          <w:color w:val="auto"/>
          <w:szCs w:val="21"/>
          <w:highlight w:val="none"/>
        </w:rPr>
        <w:t>本中心按钦州市物价局“钦市价费﹝2013﹞4号”文件规定向中标人收取代理服务费，中标人须向本中心一次付清代理服务费。</w:t>
      </w:r>
      <w:bookmarkEnd w:id="191"/>
    </w:p>
    <w:p>
      <w:pPr>
        <w:spacing w:line="410" w:lineRule="exact"/>
        <w:ind w:firstLine="420" w:firstLineChars="2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2.</w:t>
      </w:r>
      <w:bookmarkStart w:id="192" w:name="_Hlk92466736"/>
      <w:r>
        <w:rPr>
          <w:rFonts w:hint="eastAsia" w:ascii="宋体" w:hAnsi="宋体" w:eastAsia="宋体" w:cs="Courier New"/>
          <w:bCs/>
          <w:color w:val="auto"/>
          <w:szCs w:val="21"/>
          <w:highlight w:val="none"/>
        </w:rPr>
        <w:t>代理服务收费标准：</w:t>
      </w:r>
      <w:bookmarkEnd w:id="192"/>
    </w:p>
    <w:tbl>
      <w:tblPr>
        <w:tblStyle w:val="48"/>
        <w:tblW w:w="0" w:type="auto"/>
        <w:tblInd w:w="534" w:type="dxa"/>
        <w:tblLayout w:type="fixed"/>
        <w:tblCellMar>
          <w:top w:w="0" w:type="dxa"/>
          <w:left w:w="108" w:type="dxa"/>
          <w:bottom w:w="0" w:type="dxa"/>
          <w:right w:w="108" w:type="dxa"/>
        </w:tblCellMar>
      </w:tblPr>
      <w:tblGrid>
        <w:gridCol w:w="3255"/>
        <w:gridCol w:w="1899"/>
        <w:gridCol w:w="1980"/>
        <w:gridCol w:w="1980"/>
      </w:tblGrid>
      <w:tr>
        <w:tblPrEx>
          <w:tblCellMar>
            <w:top w:w="0" w:type="dxa"/>
            <w:left w:w="108" w:type="dxa"/>
            <w:bottom w:w="0" w:type="dxa"/>
            <w:right w:w="108" w:type="dxa"/>
          </w:tblCellMar>
        </w:tblPrEx>
        <w:trPr>
          <w:trHeight w:val="1870" w:hRule="atLeast"/>
        </w:trPr>
        <w:tc>
          <w:tcPr>
            <w:tcW w:w="3255" w:type="dxa"/>
            <w:tcBorders>
              <w:top w:val="single" w:color="auto" w:sz="4" w:space="0"/>
              <w:left w:val="single" w:color="000000" w:sz="4" w:space="0"/>
              <w:bottom w:val="single" w:color="000000" w:sz="4" w:space="0"/>
              <w:right w:val="single" w:color="000000" w:sz="4" w:space="0"/>
              <w:tl2br w:val="single" w:color="auto" w:sz="4" w:space="0"/>
            </w:tcBorders>
          </w:tcPr>
          <w:p>
            <w:pPr>
              <w:widowControl/>
              <w:spacing w:line="400" w:lineRule="exact"/>
              <w:ind w:firstLine="420" w:firstLineChars="200"/>
              <w:rPr>
                <w:rFonts w:hint="eastAsia" w:ascii="宋体" w:hAnsi="宋体" w:eastAsia="宋体" w:cs="Times New Roman"/>
                <w:color w:val="auto"/>
                <w:kern w:val="0"/>
                <w:szCs w:val="21"/>
                <w:highlight w:val="none"/>
              </w:rPr>
            </w:pPr>
            <w:r>
              <w:rPr>
                <w:rFonts w:hint="eastAsia" w:ascii="Times New Roman" w:hAnsi="Times New Roman" w:eastAsia="宋体" w:cs="Times New Roman"/>
                <w:color w:val="auto"/>
                <w:szCs w:val="24"/>
                <w:highlight w:val="none"/>
              </w:rPr>
              <mc:AlternateContent>
                <mc:Choice Requires="wps">
                  <w:drawing>
                    <wp:anchor distT="0" distB="0" distL="114300" distR="114300" simplePos="0" relativeHeight="251659264" behindDoc="0" locked="0" layoutInCell="1" allowOverlap="1">
                      <wp:simplePos x="0" y="0"/>
                      <wp:positionH relativeFrom="column">
                        <wp:posOffset>1051560</wp:posOffset>
                      </wp:positionH>
                      <wp:positionV relativeFrom="paragraph">
                        <wp:posOffset>8255</wp:posOffset>
                      </wp:positionV>
                      <wp:extent cx="914400" cy="1273810"/>
                      <wp:effectExtent l="13335" t="8255" r="5715" b="13335"/>
                      <wp:wrapNone/>
                      <wp:docPr id="1917037762" name="Line 2"/>
                      <wp:cNvGraphicFramePr/>
                      <a:graphic xmlns:a="http://schemas.openxmlformats.org/drawingml/2006/main">
                        <a:graphicData uri="http://schemas.microsoft.com/office/word/2010/wordprocessingShape">
                          <wps:wsp>
                            <wps:cNvCnPr>
                              <a:cxnSpLocks noChangeShapeType="1"/>
                            </wps:cNvCnPr>
                            <wps:spPr bwMode="auto">
                              <a:xfrm>
                                <a:off x="0" y="0"/>
                                <a:ext cx="914400" cy="1273810"/>
                              </a:xfrm>
                              <a:prstGeom prst="line">
                                <a:avLst/>
                              </a:prstGeom>
                              <a:noFill/>
                              <a:ln w="9525">
                                <a:solidFill>
                                  <a:srgbClr val="000000"/>
                                </a:solidFill>
                                <a:round/>
                              </a:ln>
                            </wps:spPr>
                            <wps:bodyPr/>
                          </wps:wsp>
                        </a:graphicData>
                      </a:graphic>
                    </wp:anchor>
                  </w:drawing>
                </mc:Choice>
                <mc:Fallback>
                  <w:pict>
                    <v:line id="Line 2" o:spid="_x0000_s1026" o:spt="20" style="position:absolute;left:0pt;margin-left:82.8pt;margin-top:0.65pt;height:100.3pt;width:72pt;z-index:251659264;mso-width-relative:page;mso-height-relative:page;" filled="f" stroked="t" coordsize="21600,21600" o:gfxdata="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ExngzWAAAACQEAAA8AAAAAAAAAAQAg&#10;AAAAIgAAAGRycy9kb3ducmV2LnhtbFBLAQIUABQAAAAIAIdO4kCIAdSf1wEAAK0DAAAOAAAAAAAA&#10;AAEAIAAAACUBAABkcnMvZTJvRG9jLnhtbFBLBQYAAAAABgAGAFkBAABuBQAAAAA=&#10;">
                      <v:fill on="f" focussize="0,0"/>
                      <v:stroke color="#000000" joinstyle="round"/>
                      <v:imagedata o:title=""/>
                      <o:lock v:ext="edit" aspectratio="f"/>
                    </v:line>
                  </w:pict>
                </mc:Fallback>
              </mc:AlternateContent>
            </w:r>
            <w:r>
              <w:rPr>
                <w:rFonts w:hint="eastAsia" w:ascii="宋体" w:hAnsi="宋体" w:eastAsia="宋体" w:cs="Times New Roman"/>
                <w:color w:val="auto"/>
                <w:kern w:val="0"/>
                <w:szCs w:val="21"/>
                <w:highlight w:val="none"/>
              </w:rPr>
              <w:t xml:space="preserve">               服务类型</w:t>
            </w:r>
          </w:p>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费率</w:t>
            </w:r>
          </w:p>
          <w:p>
            <w:pPr>
              <w:widowControl/>
              <w:spacing w:line="400" w:lineRule="exact"/>
              <w:ind w:left="2" w:firstLine="420" w:firstLineChars="200"/>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p>
          <w:p>
            <w:pPr>
              <w:widowControl/>
              <w:spacing w:line="400" w:lineRule="exact"/>
              <w:jc w:val="left"/>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中标金额（万元）</w:t>
            </w:r>
          </w:p>
        </w:tc>
        <w:tc>
          <w:tcPr>
            <w:tcW w:w="1899" w:type="dxa"/>
            <w:tcBorders>
              <w:top w:val="single" w:color="000000" w:sz="4" w:space="0"/>
              <w:left w:val="nil"/>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货物招标</w:t>
            </w:r>
          </w:p>
        </w:tc>
        <w:tc>
          <w:tcPr>
            <w:tcW w:w="1980" w:type="dxa"/>
            <w:tcBorders>
              <w:top w:val="single" w:color="000000" w:sz="4" w:space="0"/>
              <w:left w:val="single" w:color="auto" w:sz="4" w:space="0"/>
              <w:bottom w:val="nil"/>
              <w:right w:val="single" w:color="auto"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服务招标</w:t>
            </w:r>
          </w:p>
        </w:tc>
        <w:tc>
          <w:tcPr>
            <w:tcW w:w="1980" w:type="dxa"/>
            <w:tcBorders>
              <w:top w:val="single" w:color="000000" w:sz="4" w:space="0"/>
              <w:left w:val="single" w:color="auto" w:sz="4" w:space="0"/>
              <w:bottom w:val="nil"/>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工程招标</w:t>
            </w:r>
          </w:p>
        </w:tc>
      </w:tr>
      <w:tr>
        <w:tblPrEx>
          <w:tblCellMar>
            <w:top w:w="0" w:type="dxa"/>
            <w:left w:w="108" w:type="dxa"/>
            <w:bottom w:w="0" w:type="dxa"/>
            <w:right w:w="108" w:type="dxa"/>
          </w:tblCellMar>
        </w:tblPrEx>
        <w:trPr>
          <w:trHeight w:val="397"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100以下</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w:t>
            </w:r>
          </w:p>
        </w:tc>
      </w:tr>
      <w:tr>
        <w:tblPrEx>
          <w:tblCellMar>
            <w:top w:w="0" w:type="dxa"/>
            <w:left w:w="108" w:type="dxa"/>
            <w:bottom w:w="0" w:type="dxa"/>
            <w:right w:w="108" w:type="dxa"/>
          </w:tblCellMar>
        </w:tblPrEx>
        <w:trPr>
          <w:trHeight w:val="458"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100-500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0.88%</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0.56%</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51" w:firstLineChars="215"/>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500-1000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0.64%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0.36%</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0.44%</w:t>
            </w:r>
          </w:p>
        </w:tc>
      </w:tr>
      <w:tr>
        <w:tblPrEx>
          <w:tblCellMar>
            <w:top w:w="0" w:type="dxa"/>
            <w:left w:w="108" w:type="dxa"/>
            <w:bottom w:w="0" w:type="dxa"/>
            <w:right w:w="108" w:type="dxa"/>
          </w:tblCellMar>
        </w:tblPrEx>
        <w:trPr>
          <w:trHeight w:val="456"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1000-5000</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0.4%</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0.28%</w:t>
            </w:r>
          </w:p>
        </w:tc>
      </w:tr>
      <w:tr>
        <w:tblPrEx>
          <w:tblCellMar>
            <w:top w:w="0" w:type="dxa"/>
            <w:left w:w="108" w:type="dxa"/>
            <w:bottom w:w="0" w:type="dxa"/>
            <w:right w:w="108" w:type="dxa"/>
          </w:tblCellMar>
        </w:tblPrEx>
        <w:trPr>
          <w:trHeight w:val="448"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5000-10000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0.2%</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0.16%</w:t>
            </w:r>
          </w:p>
        </w:tc>
      </w:tr>
      <w:tr>
        <w:tblPrEx>
          <w:tblCellMar>
            <w:top w:w="0" w:type="dxa"/>
            <w:left w:w="108" w:type="dxa"/>
            <w:bottom w:w="0" w:type="dxa"/>
            <w:right w:w="108" w:type="dxa"/>
          </w:tblCellMar>
        </w:tblPrEx>
        <w:trPr>
          <w:trHeight w:val="455"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10000-50000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0.04%</w:t>
            </w:r>
          </w:p>
        </w:tc>
      </w:tr>
      <w:tr>
        <w:tblPrEx>
          <w:tblCellMar>
            <w:top w:w="0" w:type="dxa"/>
            <w:left w:w="108" w:type="dxa"/>
            <w:bottom w:w="0" w:type="dxa"/>
            <w:right w:w="108" w:type="dxa"/>
          </w:tblCellMar>
        </w:tblPrEx>
        <w:trPr>
          <w:trHeight w:val="460" w:hRule="atLeast"/>
        </w:trPr>
        <w:tc>
          <w:tcPr>
            <w:tcW w:w="3255" w:type="dxa"/>
            <w:tcBorders>
              <w:top w:val="single" w:color="000000" w:sz="4" w:space="0"/>
              <w:left w:val="single" w:color="000000" w:sz="4" w:space="0"/>
              <w:bottom w:val="single" w:color="auto"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50000-100000</w:t>
            </w:r>
          </w:p>
        </w:tc>
        <w:tc>
          <w:tcPr>
            <w:tcW w:w="1899"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c>
          <w:tcPr>
            <w:tcW w:w="1980" w:type="dxa"/>
            <w:tcBorders>
              <w:top w:val="single" w:color="000000" w:sz="4" w:space="0"/>
              <w:left w:val="nil"/>
              <w:bottom w:val="single" w:color="auto"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0.028%</w:t>
            </w:r>
          </w:p>
        </w:tc>
      </w:tr>
      <w:tr>
        <w:tblPrEx>
          <w:tblCellMar>
            <w:top w:w="0" w:type="dxa"/>
            <w:left w:w="108" w:type="dxa"/>
            <w:bottom w:w="0" w:type="dxa"/>
            <w:right w:w="108" w:type="dxa"/>
          </w:tblCellMar>
        </w:tblPrEx>
        <w:trPr>
          <w:trHeight w:val="466" w:hRule="atLeast"/>
        </w:trPr>
        <w:tc>
          <w:tcPr>
            <w:tcW w:w="3255" w:type="dxa"/>
            <w:tcBorders>
              <w:top w:val="single" w:color="auto" w:sz="4" w:space="0"/>
              <w:left w:val="single" w:color="000000" w:sz="4" w:space="0"/>
              <w:bottom w:val="single" w:color="auto"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100000-500000</w:t>
            </w:r>
          </w:p>
        </w:tc>
        <w:tc>
          <w:tcPr>
            <w:tcW w:w="1899"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c>
          <w:tcPr>
            <w:tcW w:w="1980" w:type="dxa"/>
            <w:tcBorders>
              <w:top w:val="single" w:color="auto" w:sz="4" w:space="0"/>
              <w:left w:val="nil"/>
              <w:bottom w:val="single" w:color="auto"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0.0064%</w:t>
            </w:r>
          </w:p>
        </w:tc>
      </w:tr>
      <w:tr>
        <w:tblPrEx>
          <w:tblCellMar>
            <w:top w:w="0" w:type="dxa"/>
            <w:left w:w="108" w:type="dxa"/>
            <w:bottom w:w="0" w:type="dxa"/>
            <w:right w:w="108" w:type="dxa"/>
          </w:tblCellMar>
        </w:tblPrEx>
        <w:trPr>
          <w:trHeight w:val="444" w:hRule="atLeast"/>
        </w:trPr>
        <w:tc>
          <w:tcPr>
            <w:tcW w:w="3255" w:type="dxa"/>
            <w:tcBorders>
              <w:top w:val="single" w:color="auto" w:sz="4" w:space="0"/>
              <w:left w:val="single" w:color="000000" w:sz="4" w:space="0"/>
              <w:bottom w:val="single" w:color="000000" w:sz="4" w:space="0"/>
              <w:right w:val="single" w:color="000000" w:sz="4" w:space="0"/>
            </w:tcBorders>
            <w:vAlign w:val="center"/>
          </w:tcPr>
          <w:p>
            <w:pPr>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500000-1000000</w:t>
            </w:r>
          </w:p>
        </w:tc>
        <w:tc>
          <w:tcPr>
            <w:tcW w:w="1899"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c>
          <w:tcPr>
            <w:tcW w:w="1980" w:type="dxa"/>
            <w:tcBorders>
              <w:top w:val="single" w:color="auto" w:sz="4" w:space="0"/>
              <w:left w:val="nil"/>
              <w:bottom w:val="single" w:color="000000" w:sz="4" w:space="0"/>
              <w:right w:val="single" w:color="000000" w:sz="4" w:space="0"/>
            </w:tcBorders>
            <w:vAlign w:val="center"/>
          </w:tcPr>
          <w:p>
            <w:pPr>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0.0048%</w:t>
            </w:r>
          </w:p>
        </w:tc>
      </w:tr>
      <w:tr>
        <w:tblPrEx>
          <w:tblCellMar>
            <w:top w:w="0" w:type="dxa"/>
            <w:left w:w="108" w:type="dxa"/>
            <w:bottom w:w="0" w:type="dxa"/>
            <w:right w:w="108" w:type="dxa"/>
          </w:tblCellMar>
        </w:tblPrEx>
        <w:trPr>
          <w:trHeight w:val="464" w:hRule="atLeast"/>
        </w:trPr>
        <w:tc>
          <w:tcPr>
            <w:tcW w:w="3255" w:type="dxa"/>
            <w:tcBorders>
              <w:top w:val="single" w:color="000000" w:sz="4" w:space="0"/>
              <w:left w:val="single" w:color="000000" w:sz="4" w:space="0"/>
              <w:bottom w:val="single" w:color="000000" w:sz="4" w:space="0"/>
              <w:right w:val="single" w:color="000000" w:sz="4" w:space="0"/>
            </w:tcBorders>
            <w:vAlign w:val="center"/>
          </w:tcPr>
          <w:p>
            <w:pPr>
              <w:widowControl/>
              <w:spacing w:line="400" w:lineRule="exact"/>
              <w:ind w:firstLine="420" w:firstLineChars="200"/>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1000000以上</w:t>
            </w:r>
          </w:p>
        </w:tc>
        <w:tc>
          <w:tcPr>
            <w:tcW w:w="1899"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c>
          <w:tcPr>
            <w:tcW w:w="1980" w:type="dxa"/>
            <w:tcBorders>
              <w:top w:val="single" w:color="000000" w:sz="4" w:space="0"/>
              <w:left w:val="nil"/>
              <w:bottom w:val="single" w:color="000000" w:sz="4" w:space="0"/>
              <w:right w:val="single" w:color="000000" w:sz="4" w:space="0"/>
            </w:tcBorders>
            <w:vAlign w:val="center"/>
          </w:tcPr>
          <w:p>
            <w:pPr>
              <w:widowControl/>
              <w:spacing w:line="400" w:lineRule="exact"/>
              <w:jc w:val="center"/>
              <w:rPr>
                <w:rFonts w:hint="eastAsia"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0.0032%</w:t>
            </w:r>
          </w:p>
        </w:tc>
      </w:tr>
    </w:tbl>
    <w:p>
      <w:pPr>
        <w:spacing w:line="410" w:lineRule="exact"/>
        <w:ind w:firstLine="315" w:firstLineChars="15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bookmarkStart w:id="193" w:name="_Hlk92466755"/>
      <w:r>
        <w:rPr>
          <w:rFonts w:hint="eastAsia" w:ascii="宋体" w:hAnsi="宋体" w:eastAsia="宋体" w:cs="Courier New"/>
          <w:color w:val="auto"/>
          <w:szCs w:val="21"/>
          <w:highlight w:val="none"/>
        </w:rPr>
        <w:t>注：代理服务收费按差额定率累进法计算</w:t>
      </w:r>
      <w:bookmarkEnd w:id="193"/>
      <w:r>
        <w:rPr>
          <w:rFonts w:hint="eastAsia" w:ascii="宋体" w:hAnsi="宋体" w:eastAsia="宋体" w:cs="Courier New"/>
          <w:color w:val="auto"/>
          <w:szCs w:val="21"/>
          <w:highlight w:val="none"/>
        </w:rPr>
        <w:t>。</w:t>
      </w:r>
    </w:p>
    <w:p>
      <w:pPr>
        <w:spacing w:line="410" w:lineRule="exact"/>
        <w:ind w:firstLine="420" w:firstLineChars="2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3.缴纳代理服务费银行账户：</w:t>
      </w:r>
    </w:p>
    <w:p>
      <w:pPr>
        <w:spacing w:line="410" w:lineRule="exact"/>
        <w:ind w:left="420" w:firstLine="210" w:firstLineChars="1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开户名称:钦州市政府采购中心</w:t>
      </w:r>
    </w:p>
    <w:p>
      <w:pPr>
        <w:spacing w:line="410" w:lineRule="exact"/>
        <w:ind w:firstLine="630" w:firstLineChars="300"/>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开户银行:兴业银行钦州支行</w:t>
      </w:r>
    </w:p>
    <w:p>
      <w:pPr>
        <w:spacing w:line="410" w:lineRule="exact"/>
        <w:ind w:firstLine="630" w:firstLineChars="300"/>
        <w:rPr>
          <w:rFonts w:hint="eastAsia" w:ascii="仿宋_GB2312" w:hAnsi="宋体" w:eastAsia="仿宋_GB2312" w:cs="Courier New"/>
          <w:b/>
          <w:color w:val="auto"/>
          <w:sz w:val="28"/>
          <w:szCs w:val="28"/>
          <w:highlight w:val="none"/>
        </w:rPr>
      </w:pPr>
      <w:r>
        <w:rPr>
          <w:rFonts w:hint="eastAsia" w:ascii="宋体" w:hAnsi="宋体" w:eastAsia="宋体" w:cs="Courier New"/>
          <w:color w:val="auto"/>
          <w:szCs w:val="21"/>
          <w:highlight w:val="none"/>
        </w:rPr>
        <w:t>银行账号:554010100100129709</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（二）解释权：</w:t>
      </w:r>
      <w:bookmarkStart w:id="194" w:name="_Hlk92466777"/>
      <w:r>
        <w:rPr>
          <w:rFonts w:hint="eastAsia" w:ascii="宋体" w:hAnsi="宋体" w:eastAsia="宋体" w:cs="Courier New"/>
          <w:bCs/>
          <w:color w:val="auto"/>
          <w:spacing w:val="-4"/>
          <w:szCs w:val="21"/>
          <w:highlight w:val="none"/>
        </w:rPr>
        <w:t>本招标文件解释权属本中心</w:t>
      </w:r>
      <w:bookmarkEnd w:id="194"/>
      <w:r>
        <w:rPr>
          <w:rFonts w:hint="eastAsia" w:ascii="宋体" w:hAnsi="宋体" w:eastAsia="宋体" w:cs="Courier New"/>
          <w:bCs/>
          <w:color w:val="auto"/>
          <w:spacing w:val="-4"/>
          <w:szCs w:val="21"/>
          <w:highlight w:val="none"/>
        </w:rPr>
        <w:t>。</w:t>
      </w:r>
    </w:p>
    <w:p>
      <w:pPr>
        <w:spacing w:line="410" w:lineRule="exact"/>
        <w:ind w:firstLine="210" w:firstLineChars="100"/>
        <w:rPr>
          <w:rFonts w:hint="eastAsia" w:ascii="宋体" w:hAnsi="宋体" w:eastAsia="宋体" w:cs="Courier New"/>
          <w:bCs/>
          <w:color w:val="auto"/>
          <w:szCs w:val="21"/>
          <w:highlight w:val="none"/>
        </w:rPr>
      </w:pPr>
      <w:r>
        <w:rPr>
          <w:rFonts w:hint="eastAsia" w:ascii="宋体" w:hAnsi="宋体" w:eastAsia="宋体" w:cs="Courier New"/>
          <w:bCs/>
          <w:color w:val="auto"/>
          <w:szCs w:val="21"/>
          <w:highlight w:val="none"/>
        </w:rPr>
        <w:t>（三）有关事宜</w:t>
      </w:r>
    </w:p>
    <w:p>
      <w:pPr>
        <w:spacing w:line="410" w:lineRule="exac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ab/>
      </w:r>
      <w:r>
        <w:rPr>
          <w:rFonts w:hint="eastAsia" w:ascii="宋体" w:hAnsi="宋体" w:eastAsia="宋体" w:cs="Courier New"/>
          <w:color w:val="auto"/>
          <w:szCs w:val="21"/>
          <w:highlight w:val="none"/>
        </w:rPr>
        <w:t>所有与本招标文件有关的函件请按下列通讯地址联系：</w:t>
      </w:r>
    </w:p>
    <w:p>
      <w:pPr>
        <w:spacing w:line="410" w:lineRule="exact"/>
        <w:ind w:firstLine="420" w:firstLineChars="200"/>
        <w:rPr>
          <w:rFonts w:hint="eastAsia" w:ascii="宋体" w:hAnsi="宋体" w:eastAsia="宋体" w:cs="Courier New"/>
          <w:color w:val="auto"/>
          <w:szCs w:val="21"/>
          <w:highlight w:val="none"/>
        </w:rPr>
      </w:pPr>
      <w:bookmarkStart w:id="195" w:name="_Hlk92466867"/>
      <w:r>
        <w:rPr>
          <w:rFonts w:hint="eastAsia" w:ascii="宋体" w:hAnsi="宋体" w:eastAsia="宋体" w:cs="Courier New"/>
          <w:color w:val="auto"/>
          <w:szCs w:val="21"/>
          <w:highlight w:val="none"/>
        </w:rPr>
        <w:t>钦州市政府采购中心</w:t>
      </w:r>
    </w:p>
    <w:p>
      <w:pPr>
        <w:tabs>
          <w:tab w:val="left" w:pos="1990"/>
        </w:tabs>
        <w:spacing w:line="410" w:lineRule="exact"/>
        <w:ind w:firstLine="420" w:firstLineChars="200"/>
        <w:rPr>
          <w:rFonts w:hint="eastAsia" w:ascii="宋体" w:hAnsi="宋体" w:eastAsia="宋体" w:cs="Courier New"/>
          <w:color w:val="auto"/>
          <w:szCs w:val="21"/>
          <w:highlight w:val="none"/>
          <w:u w:val="single"/>
        </w:rPr>
      </w:pPr>
      <w:r>
        <w:rPr>
          <w:rFonts w:hint="eastAsia" w:ascii="宋体" w:hAnsi="宋体" w:eastAsia="宋体" w:cs="Courier New"/>
          <w:color w:val="auto"/>
          <w:szCs w:val="21"/>
          <w:highlight w:val="none"/>
        </w:rPr>
        <w:t>邮政编码：535000</w:t>
      </w:r>
    </w:p>
    <w:p>
      <w:pPr>
        <w:tabs>
          <w:tab w:val="left" w:pos="1990"/>
        </w:tabs>
        <w:spacing w:line="410" w:lineRule="exact"/>
        <w:ind w:firstLine="420" w:firstLineChars="200"/>
        <w:rPr>
          <w:rFonts w:hint="eastAsia" w:ascii="宋体" w:hAnsi="宋体" w:eastAsia="宋体" w:cs="Courier New"/>
          <w:color w:val="auto"/>
          <w:spacing w:val="-4"/>
          <w:szCs w:val="21"/>
          <w:highlight w:val="none"/>
        </w:rPr>
      </w:pPr>
      <w:r>
        <w:rPr>
          <w:rFonts w:hint="eastAsia" w:ascii="宋体" w:hAnsi="宋体" w:eastAsia="宋体" w:cs="Courier New"/>
          <w:color w:val="auto"/>
          <w:szCs w:val="21"/>
          <w:highlight w:val="none"/>
        </w:rPr>
        <w:t>通讯地址：</w:t>
      </w:r>
      <w:r>
        <w:rPr>
          <w:rFonts w:hint="eastAsia" w:ascii="Times New Roman" w:hAnsi="Times New Roman" w:eastAsia="宋体" w:cs="Times New Roman"/>
          <w:color w:val="auto"/>
          <w:szCs w:val="24"/>
          <w:highlight w:val="none"/>
        </w:rPr>
        <w:t>钦州市金海湾东大街</w:t>
      </w:r>
      <w:r>
        <w:rPr>
          <w:rFonts w:ascii="Times New Roman" w:hAnsi="Times New Roman" w:eastAsia="宋体" w:cs="Times New Roman"/>
          <w:color w:val="auto"/>
          <w:szCs w:val="24"/>
          <w:highlight w:val="none"/>
        </w:rPr>
        <w:t>8</w:t>
      </w:r>
      <w:r>
        <w:rPr>
          <w:rFonts w:hint="eastAsia" w:ascii="Times New Roman" w:hAnsi="Times New Roman" w:eastAsia="宋体" w:cs="Times New Roman"/>
          <w:color w:val="auto"/>
          <w:szCs w:val="24"/>
          <w:highlight w:val="none"/>
        </w:rPr>
        <w:t>号</w:t>
      </w:r>
    </w:p>
    <w:bookmarkEnd w:id="58"/>
    <w:bookmarkEnd w:id="195"/>
    <w:p>
      <w:pPr>
        <w:widowControl/>
        <w:spacing w:line="430" w:lineRule="exact"/>
        <w:ind w:firstLine="420" w:firstLineChars="200"/>
        <w:jc w:val="left"/>
        <w:rPr>
          <w:rFonts w:ascii="Times New Roman" w:hAnsi="Times New Roman" w:eastAsia="宋体" w:cs="Times New Roman"/>
          <w:color w:val="auto"/>
          <w:szCs w:val="24"/>
          <w:highlight w:val="none"/>
        </w:rPr>
      </w:pPr>
      <w:bookmarkStart w:id="196" w:name="_Hlk108515537"/>
      <w:r>
        <w:rPr>
          <w:rFonts w:hint="eastAsia" w:ascii="Times New Roman" w:hAnsi="宋体" w:eastAsia="宋体" w:cs="Times New Roman"/>
          <w:color w:val="auto"/>
          <w:szCs w:val="24"/>
          <w:highlight w:val="none"/>
        </w:rPr>
        <w:t>钦州市政府采购中心联系方式</w:t>
      </w:r>
      <w:r>
        <w:rPr>
          <w:rFonts w:hint="eastAsia"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r>
        <w:rPr>
          <w:rFonts w:hint="eastAsia" w:ascii="Times New Roman" w:hAnsi="Times New Roman" w:eastAsia="宋体" w:cs="Times New Roman"/>
          <w:color w:val="auto"/>
          <w:szCs w:val="24"/>
          <w:highlight w:val="none"/>
        </w:rPr>
        <w:t>采购部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采购文件</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w:t>
      </w:r>
      <w:r>
        <w:rPr>
          <w:rFonts w:hint="eastAsia" w:ascii="Times New Roman" w:hAnsi="Times New Roman" w:eastAsia="宋体" w:cs="Times New Roman"/>
          <w:color w:val="auto"/>
          <w:szCs w:val="24"/>
          <w:highlight w:val="none"/>
          <w:lang w:val="en-US" w:eastAsia="zh-CN"/>
        </w:rPr>
        <w:t>黄忠秀</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0777-2886022</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r>
        <w:rPr>
          <w:rFonts w:hint="eastAsia" w:ascii="Times New Roman" w:hAnsi="Times New Roman" w:eastAsia="宋体" w:cs="Times New Roman"/>
          <w:color w:val="auto"/>
          <w:szCs w:val="24"/>
          <w:highlight w:val="none"/>
        </w:rPr>
        <w:t>综合二部</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保证金、开标、评标、中标及合同管理</w:t>
      </w:r>
      <w:r>
        <w:rPr>
          <w:rFonts w:ascii="Times New Roman" w:hAnsi="Times New Roman" w:eastAsia="宋体" w:cs="Times New Roman"/>
          <w:color w:val="auto"/>
          <w:szCs w:val="24"/>
          <w:highlight w:val="none"/>
        </w:rPr>
        <w:t>)</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联系人：陈侃</w:t>
      </w:r>
      <w:r>
        <w:rPr>
          <w:rFonts w:hint="eastAsia" w:ascii="Times New Roman" w:hAnsi="Times New Roman" w:eastAsia="宋体" w:cs="Times New Roman"/>
          <w:color w:val="auto"/>
          <w:szCs w:val="24"/>
          <w:highlight w:val="none"/>
          <w:lang w:eastAsia="zh-CN"/>
        </w:rPr>
        <w:t>、</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陈启梅</w:t>
      </w:r>
      <w:r>
        <w:rPr>
          <w:rFonts w:ascii="Times New Roman" w:hAnsi="Times New Roman" w:eastAsia="宋体" w:cs="Times New Roman"/>
          <w:color w:val="auto"/>
          <w:szCs w:val="24"/>
          <w:highlight w:val="none"/>
        </w:rPr>
        <w:t xml:space="preserve">  </w:t>
      </w:r>
      <w:r>
        <w:rPr>
          <w:rFonts w:hint="eastAsia" w:ascii="Times New Roman" w:hAnsi="Times New Roman" w:eastAsia="宋体" w:cs="Times New Roman"/>
          <w:color w:val="auto"/>
          <w:szCs w:val="24"/>
          <w:highlight w:val="none"/>
        </w:rPr>
        <w:t>联系方式：</w:t>
      </w:r>
      <w:r>
        <w:rPr>
          <w:rFonts w:ascii="Times New Roman" w:hAnsi="Times New Roman" w:eastAsia="宋体" w:cs="Times New Roman"/>
          <w:color w:val="auto"/>
          <w:szCs w:val="24"/>
          <w:highlight w:val="none"/>
        </w:rPr>
        <w:t>0777-2886006</w:t>
      </w:r>
    </w:p>
    <w:p>
      <w:pPr>
        <w:widowControl/>
        <w:spacing w:line="430" w:lineRule="exact"/>
        <w:ind w:firstLine="420" w:firstLineChars="200"/>
        <w:jc w:val="lef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lang w:val="en-US" w:eastAsia="zh-CN"/>
        </w:rPr>
        <w:t>3</w:t>
      </w:r>
      <w:r>
        <w:rPr>
          <w:rFonts w:ascii="Times New Roman" w:hAnsi="Times New Roman" w:eastAsia="宋体" w:cs="Times New Roman"/>
          <w:color w:val="auto"/>
          <w:szCs w:val="24"/>
          <w:highlight w:val="none"/>
        </w:rPr>
        <w:t>)</w:t>
      </w:r>
      <w:r>
        <w:rPr>
          <w:rFonts w:hint="eastAsia" w:ascii="Times New Roman" w:hAnsi="Times New Roman" w:eastAsia="宋体" w:cs="Times New Roman"/>
          <w:color w:val="auto"/>
          <w:szCs w:val="24"/>
          <w:highlight w:val="none"/>
        </w:rPr>
        <w:t>政采云技术支持热线：</w:t>
      </w:r>
      <w:r>
        <w:rPr>
          <w:rFonts w:ascii="Times New Roman" w:hAnsi="宋体" w:eastAsia="宋体" w:cs="Times New Roman"/>
          <w:color w:val="auto"/>
          <w:szCs w:val="24"/>
          <w:highlight w:val="none"/>
        </w:rPr>
        <w:t>95763</w:t>
      </w:r>
    </w:p>
    <w:bookmarkEnd w:id="196"/>
    <w:p>
      <w:pPr>
        <w:spacing w:line="400" w:lineRule="exact"/>
        <w:ind w:firstLine="420" w:firstLineChars="200"/>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400" w:lineRule="exact"/>
        <w:ind w:firstLine="420" w:firstLineChars="200"/>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197" w:name="_Toc173764941"/>
      <w:r>
        <w:rPr>
          <w:rFonts w:hint="eastAsia" w:ascii="Cambria" w:hAnsi="Cambria" w:eastAsia="方正小标宋_GBK" w:cs="Times New Roman"/>
          <w:b/>
          <w:bCs/>
          <w:color w:val="auto"/>
          <w:kern w:val="0"/>
          <w:sz w:val="44"/>
          <w:szCs w:val="32"/>
          <w:highlight w:val="none"/>
        </w:rPr>
        <w:t>第四章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评定标准及推荐原则</w:t>
      </w:r>
      <w:bookmarkEnd w:id="197"/>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bookmarkStart w:id="198" w:name="_Hlk92268453"/>
    </w:p>
    <w:p>
      <w:pPr>
        <w:spacing w:line="380" w:lineRule="exact"/>
        <w:ind w:firstLine="643" w:firstLineChars="200"/>
        <w:jc w:val="center"/>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24"/>
          <w:highlight w:val="none"/>
        </w:rPr>
        <w:t>评定标准和推荐原则</w:t>
      </w:r>
      <w:bookmarkEnd w:id="198"/>
    </w:p>
    <w:p>
      <w:pPr>
        <w:spacing w:line="460" w:lineRule="exact"/>
        <w:rPr>
          <w:rFonts w:ascii="Times New Roman" w:hAnsi="Times New Roman" w:eastAsia="宋体" w:cs="Times New Roman"/>
          <w:color w:val="auto"/>
          <w:szCs w:val="24"/>
          <w:highlight w:val="none"/>
        </w:rPr>
      </w:pPr>
    </w:p>
    <w:p>
      <w:pPr>
        <w:spacing w:line="460" w:lineRule="exact"/>
        <w:jc w:val="left"/>
        <w:rPr>
          <w:rFonts w:hint="eastAsia" w:ascii="宋体" w:hAnsi="宋体" w:eastAsia="宋体" w:cs="Courier New"/>
          <w:b/>
          <w:bCs/>
          <w:color w:val="auto"/>
          <w:szCs w:val="21"/>
          <w:highlight w:val="none"/>
        </w:rPr>
      </w:pPr>
      <w:r>
        <w:rPr>
          <w:rFonts w:hint="eastAsia" w:ascii="宋体" w:hAnsi="宋体" w:eastAsia="宋体" w:cs="Courier New"/>
          <w:b/>
          <w:bCs/>
          <w:color w:val="auto"/>
          <w:szCs w:val="21"/>
          <w:highlight w:val="none"/>
        </w:rPr>
        <w:t>一、评标原则</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（一）评标依据：评标委员会将以招投标文件为评标依据，对投标人的投标报价、</w:t>
      </w:r>
      <w:r>
        <w:rPr>
          <w:rFonts w:hint="eastAsia" w:ascii="宋体" w:hAnsi="宋体" w:eastAsia="宋体" w:cs="Courier New"/>
          <w:bCs/>
          <w:color w:val="auto"/>
          <w:szCs w:val="21"/>
          <w:highlight w:val="none"/>
        </w:rPr>
        <w:t>技术商务资信</w:t>
      </w:r>
      <w:r>
        <w:rPr>
          <w:rFonts w:hint="eastAsia" w:ascii="宋体" w:hAnsi="宋体" w:eastAsia="宋体" w:cs="Courier New"/>
          <w:color w:val="auto"/>
          <w:szCs w:val="21"/>
          <w:highlight w:val="none"/>
        </w:rPr>
        <w:t>等方面内容进行评价。</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（二）评标委员会组成：由采购人代表和评审专家组成，成员人数应当为5人以上单数，其中评审专家的人数不得少于成员总数的三分之二。</w:t>
      </w:r>
    </w:p>
    <w:p>
      <w:pPr>
        <w:spacing w:line="460" w:lineRule="exact"/>
        <w:ind w:firstLine="210" w:firstLineChars="100"/>
        <w:jc w:val="left"/>
        <w:rPr>
          <w:rFonts w:hint="eastAsia" w:ascii="宋体" w:hAnsi="宋体" w:eastAsia="宋体" w:cs="Courier New"/>
          <w:color w:val="auto"/>
          <w:szCs w:val="21"/>
          <w:highlight w:val="none"/>
        </w:rPr>
      </w:pPr>
      <w:r>
        <w:rPr>
          <w:rFonts w:hint="eastAsia" w:ascii="宋体" w:hAnsi="宋体" w:eastAsia="宋体" w:cs="Courier New"/>
          <w:color w:val="auto"/>
          <w:szCs w:val="21"/>
          <w:highlight w:val="none"/>
        </w:rPr>
        <w:t>（三）评分方式：评标委员会各成员独立对每个投标人的投标文件进行评价。</w:t>
      </w:r>
    </w:p>
    <w:p>
      <w:pPr>
        <w:pStyle w:val="26"/>
        <w:spacing w:line="460" w:lineRule="exact"/>
        <w:rPr>
          <w:rFonts w:hAnsi="宋体"/>
          <w:b/>
          <w:bCs/>
          <w:color w:val="auto"/>
          <w:highlight w:val="none"/>
        </w:rPr>
      </w:pPr>
      <w:r>
        <w:rPr>
          <w:rFonts w:hint="eastAsia" w:hAnsi="宋体"/>
          <w:b/>
          <w:bCs/>
          <w:color w:val="auto"/>
          <w:highlight w:val="none"/>
        </w:rPr>
        <w:t>二、评分细则</w:t>
      </w:r>
    </w:p>
    <w:p>
      <w:pPr>
        <w:pStyle w:val="26"/>
        <w:spacing w:line="460" w:lineRule="exact"/>
        <w:ind w:firstLine="420" w:firstLineChars="200"/>
        <w:jc w:val="left"/>
        <w:rPr>
          <w:rFonts w:hAnsi="宋体"/>
          <w:b/>
          <w:bCs/>
          <w:color w:val="auto"/>
          <w:highlight w:val="none"/>
        </w:rPr>
      </w:pPr>
      <w:r>
        <w:rPr>
          <w:rFonts w:hint="eastAsia" w:hAnsi="宋体"/>
          <w:color w:val="auto"/>
          <w:highlight w:val="none"/>
        </w:rPr>
        <w:t>综合评分法：对满足招标文件全部实质性要求的投标人投标文件</w:t>
      </w:r>
      <w:r>
        <w:rPr>
          <w:rFonts w:hAnsi="宋体" w:cs="Arial"/>
          <w:color w:val="auto"/>
          <w:highlight w:val="none"/>
        </w:rPr>
        <w:t>按照评审因素的量化指标评审</w:t>
      </w:r>
      <w:r>
        <w:rPr>
          <w:rFonts w:hint="eastAsia" w:hAnsi="宋体" w:cs="Arial"/>
          <w:color w:val="auto"/>
          <w:highlight w:val="none"/>
        </w:rPr>
        <w:t>并汇总(</w:t>
      </w:r>
      <w:r>
        <w:rPr>
          <w:rFonts w:hint="eastAsia" w:hAnsi="宋体"/>
          <w:color w:val="auto"/>
          <w:highlight w:val="none"/>
        </w:rPr>
        <w:t>四舍五入取至百分位)。</w:t>
      </w:r>
    </w:p>
    <w:p>
      <w:pPr>
        <w:spacing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（一）价格分……………………………………………………………………</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分</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color w:val="auto"/>
          <w:sz w:val="21"/>
          <w:szCs w:val="21"/>
          <w:highlight w:val="none"/>
        </w:rPr>
        <w:t>1.投标人的价格分统一按照下列公式计算：</w:t>
      </w:r>
    </w:p>
    <w:p>
      <w:pPr>
        <w:spacing w:line="360" w:lineRule="auto"/>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ab/>
      </w:r>
      <w:r>
        <w:rPr>
          <w:rFonts w:hint="eastAsia" w:ascii="宋体" w:hAnsi="宋体" w:eastAsia="宋体" w:cs="宋体"/>
          <w:b/>
          <w:bCs/>
          <w:color w:val="auto"/>
          <w:sz w:val="21"/>
          <w:szCs w:val="21"/>
          <w:highlight w:val="none"/>
        </w:rPr>
        <w:t>某投标人价格分=（评标基准价/某投标人投标报价）×</w:t>
      </w:r>
      <w:r>
        <w:rPr>
          <w:rFonts w:hint="eastAsia" w:ascii="宋体" w:hAnsi="宋体" w:eastAsia="宋体" w:cs="宋体"/>
          <w:b/>
          <w:bCs/>
          <w:color w:val="auto"/>
          <w:sz w:val="21"/>
          <w:szCs w:val="21"/>
          <w:highlight w:val="none"/>
          <w:lang w:val="en-US" w:eastAsia="zh-CN"/>
        </w:rPr>
        <w:t xml:space="preserve"> 15</w:t>
      </w:r>
      <w:r>
        <w:rPr>
          <w:rFonts w:hint="eastAsia" w:ascii="宋体" w:hAnsi="宋体" w:eastAsia="宋体" w:cs="宋体"/>
          <w:b/>
          <w:bCs/>
          <w:color w:val="auto"/>
          <w:sz w:val="21"/>
          <w:szCs w:val="21"/>
          <w:highlight w:val="none"/>
        </w:rPr>
        <w:t>分</w:t>
      </w:r>
    </w:p>
    <w:p>
      <w:pPr>
        <w:spacing w:line="460" w:lineRule="exact"/>
        <w:ind w:firstLine="420"/>
        <w:jc w:val="left"/>
        <w:rPr>
          <w:rFonts w:hint="eastAsia" w:ascii="宋体" w:hAnsi="宋体" w:eastAsia="宋体" w:cs="Courier New"/>
          <w:color w:val="auto"/>
          <w:szCs w:val="21"/>
        </w:rPr>
      </w:pPr>
      <w:r>
        <w:rPr>
          <w:rFonts w:hint="eastAsia" w:ascii="宋体" w:hAnsi="宋体" w:eastAsia="宋体" w:cs="Courier New"/>
          <w:color w:val="auto"/>
          <w:szCs w:val="21"/>
        </w:rPr>
        <w:t>注：满足招标文件全部实质性要求的投标人最低报价为评标基准价。</w:t>
      </w:r>
    </w:p>
    <w:p>
      <w:pPr>
        <w:pStyle w:val="13"/>
        <w:rPr>
          <w:rFonts w:hint="eastAsia"/>
          <w:color w:val="auto"/>
        </w:rPr>
      </w:pPr>
    </w:p>
    <w:p>
      <w:pPr>
        <w:spacing w:line="360" w:lineRule="auto"/>
        <w:ind w:firstLine="422" w:firstLineChars="200"/>
        <w:jc w:val="lef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（二）技术分……………………………………………………………………（</w:t>
      </w:r>
      <w:r>
        <w:rPr>
          <w:rFonts w:hint="eastAsia" w:ascii="宋体" w:hAnsi="宋体" w:eastAsia="宋体" w:cs="宋体"/>
          <w:b/>
          <w:color w:val="auto"/>
          <w:sz w:val="21"/>
          <w:szCs w:val="21"/>
          <w:highlight w:val="none"/>
          <w:lang w:val="en-US" w:eastAsia="zh-CN"/>
        </w:rPr>
        <w:t>66</w:t>
      </w:r>
      <w:r>
        <w:rPr>
          <w:rFonts w:hint="eastAsia" w:ascii="宋体" w:hAnsi="宋体" w:eastAsia="宋体" w:cs="宋体"/>
          <w:b/>
          <w:color w:val="auto"/>
          <w:sz w:val="21"/>
          <w:szCs w:val="21"/>
          <w:highlight w:val="none"/>
        </w:rPr>
        <w:t>分）</w:t>
      </w:r>
    </w:p>
    <w:p>
      <w:pPr>
        <w:widowControl/>
        <w:spacing w:line="460" w:lineRule="exact"/>
        <w:ind w:firstLine="422"/>
        <w:jc w:val="left"/>
        <w:outlineLvl w:val="1"/>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1</w:t>
      </w:r>
      <w:bookmarkStart w:id="199" w:name="_Hlk208838496"/>
      <w:r>
        <w:rPr>
          <w:rFonts w:hint="eastAsia" w:ascii="宋体" w:hAnsi="宋体" w:eastAsia="宋体" w:cs="宋体"/>
          <w:b/>
          <w:bCs/>
          <w:color w:val="auto"/>
          <w:kern w:val="0"/>
          <w:sz w:val="21"/>
          <w:szCs w:val="21"/>
          <w:lang w:bidi="ar"/>
        </w:rPr>
        <w:t>.</w:t>
      </w:r>
      <w:bookmarkStart w:id="200" w:name="_Hlk209779692"/>
      <w:r>
        <w:rPr>
          <w:rFonts w:hint="eastAsia" w:ascii="宋体" w:hAnsi="宋体" w:eastAsia="宋体" w:cs="宋体"/>
          <w:b/>
          <w:bCs/>
          <w:color w:val="auto"/>
          <w:kern w:val="0"/>
          <w:sz w:val="21"/>
          <w:szCs w:val="21"/>
          <w:lang w:bidi="ar"/>
        </w:rPr>
        <w:t>项目管理方案</w:t>
      </w:r>
      <w:bookmarkEnd w:id="199"/>
      <w:r>
        <w:rPr>
          <w:rFonts w:hint="eastAsia" w:ascii="宋体" w:hAnsi="宋体" w:eastAsia="宋体" w:cs="宋体"/>
          <w:b/>
          <w:bCs/>
          <w:color w:val="auto"/>
          <w:kern w:val="0"/>
          <w:sz w:val="21"/>
          <w:szCs w:val="21"/>
          <w:lang w:bidi="ar"/>
        </w:rPr>
        <w:t>(满分</w:t>
      </w:r>
      <w:r>
        <w:rPr>
          <w:rFonts w:hint="eastAsia" w:ascii="宋体" w:hAnsi="宋体" w:eastAsia="宋体" w:cs="宋体"/>
          <w:b/>
          <w:bCs/>
          <w:color w:val="auto"/>
          <w:kern w:val="0"/>
          <w:sz w:val="21"/>
          <w:szCs w:val="21"/>
          <w:lang w:val="en-US" w:eastAsia="zh-CN" w:bidi="ar"/>
        </w:rPr>
        <w:t>38</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sz w:val="21"/>
          <w:szCs w:val="21"/>
        </w:rPr>
      </w:pPr>
      <w:bookmarkStart w:id="201" w:name="_Hlk207379510"/>
      <w:r>
        <w:rPr>
          <w:rFonts w:hint="eastAsia" w:ascii="宋体" w:hAnsi="宋体" w:eastAsia="宋体" w:cs="宋体"/>
          <w:color w:val="auto"/>
          <w:sz w:val="21"/>
          <w:szCs w:val="21"/>
        </w:rPr>
        <w:t>由评标委员会各成员根据投标人所提供项目管理方案进行独立评审打分。</w:t>
      </w:r>
    </w:p>
    <w:p>
      <w:pPr>
        <w:widowControl/>
        <w:spacing w:line="460" w:lineRule="exact"/>
        <w:ind w:firstLine="420"/>
        <w:jc w:val="left"/>
        <w:outlineLvl w:val="1"/>
        <w:rPr>
          <w:rFonts w:hint="eastAsia" w:ascii="宋体" w:hAnsi="宋体" w:eastAsia="宋体" w:cs="宋体"/>
          <w:b/>
          <w:bCs/>
          <w:color w:val="auto"/>
          <w:sz w:val="21"/>
          <w:szCs w:val="21"/>
          <w:lang w:val="en-US" w:eastAsia="zh-CN"/>
        </w:rPr>
      </w:pPr>
      <w:bookmarkStart w:id="202" w:name="OLE_LINK31"/>
      <w:r>
        <w:rPr>
          <w:rFonts w:hint="eastAsia" w:ascii="宋体" w:hAnsi="宋体" w:eastAsia="宋体" w:cs="宋体"/>
          <w:b/>
          <w:bCs/>
          <w:color w:val="auto"/>
          <w:sz w:val="21"/>
          <w:szCs w:val="21"/>
          <w:lang w:val="en-US" w:eastAsia="zh-CN"/>
        </w:rPr>
        <w:t>1.1</w:t>
      </w:r>
      <w:r>
        <w:rPr>
          <w:rFonts w:hint="eastAsia" w:ascii="宋体" w:hAnsi="宋体" w:eastAsia="宋体" w:cs="宋体"/>
          <w:b/>
          <w:color w:val="auto"/>
          <w:kern w:val="0"/>
          <w:sz w:val="21"/>
          <w:szCs w:val="21"/>
          <w:highlight w:val="none"/>
        </w:rPr>
        <w:t>总体工作计划、管理规章制度及方案</w:t>
      </w:r>
      <w:r>
        <w:rPr>
          <w:rFonts w:hint="eastAsia" w:ascii="宋体" w:hAnsi="宋体" w:eastAsia="宋体" w:cs="宋体"/>
          <w:b/>
          <w:color w:val="auto"/>
          <w:kern w:val="0"/>
          <w:sz w:val="21"/>
          <w:szCs w:val="21"/>
          <w:highlight w:val="none"/>
          <w:lang w:eastAsia="zh-CN"/>
        </w:rPr>
        <w:t>（</w:t>
      </w:r>
      <w:r>
        <w:rPr>
          <w:rFonts w:hint="eastAsia" w:ascii="宋体" w:hAnsi="宋体" w:eastAsia="宋体" w:cs="宋体"/>
          <w:b/>
          <w:color w:val="auto"/>
          <w:kern w:val="0"/>
          <w:sz w:val="21"/>
          <w:szCs w:val="21"/>
          <w:highlight w:val="none"/>
          <w:lang w:val="en-US" w:eastAsia="zh-CN"/>
        </w:rPr>
        <w:t>9分</w:t>
      </w:r>
      <w:r>
        <w:rPr>
          <w:rFonts w:hint="eastAsia" w:ascii="宋体" w:hAnsi="宋体" w:eastAsia="宋体" w:cs="宋体"/>
          <w:b/>
          <w:color w:val="auto"/>
          <w:kern w:val="0"/>
          <w:sz w:val="21"/>
          <w:szCs w:val="21"/>
          <w:highlight w:val="none"/>
          <w:lang w:eastAsia="zh-CN"/>
        </w:rPr>
        <w:t>）</w:t>
      </w:r>
    </w:p>
    <w:p>
      <w:pPr>
        <w:widowControl/>
        <w:spacing w:line="460" w:lineRule="exact"/>
        <w:ind w:firstLine="420"/>
        <w:jc w:val="left"/>
        <w:outlineLvl w:val="1"/>
        <w:rPr>
          <w:rFonts w:hint="eastAsia" w:ascii="宋体" w:hAnsi="宋体" w:eastAsia="宋体" w:cs="宋体"/>
          <w:color w:val="auto"/>
          <w:sz w:val="21"/>
          <w:szCs w:val="21"/>
        </w:rPr>
      </w:pPr>
      <w:r>
        <w:rPr>
          <w:rFonts w:hint="eastAsia" w:ascii="宋体" w:hAnsi="宋体" w:eastAsia="宋体" w:cs="宋体"/>
          <w:bCs/>
          <w:color w:val="auto"/>
          <w:sz w:val="21"/>
          <w:szCs w:val="21"/>
          <w:lang w:val="en-US" w:eastAsia="zh-CN"/>
        </w:rPr>
        <w:t>投标人</w:t>
      </w:r>
      <w:r>
        <w:rPr>
          <w:rFonts w:hint="eastAsia" w:ascii="宋体" w:hAnsi="宋体" w:eastAsia="宋体" w:cs="宋体"/>
          <w:bCs/>
          <w:color w:val="auto"/>
          <w:sz w:val="21"/>
          <w:szCs w:val="21"/>
        </w:rPr>
        <w:t>提供</w:t>
      </w:r>
      <w:r>
        <w:rPr>
          <w:rFonts w:hint="eastAsia" w:ascii="宋体" w:hAnsi="宋体" w:eastAsia="宋体" w:cs="宋体"/>
          <w:bCs/>
          <w:color w:val="auto"/>
          <w:sz w:val="21"/>
          <w:szCs w:val="21"/>
          <w:lang w:val="en-US" w:eastAsia="zh-CN"/>
        </w:rPr>
        <w:t>本次物业项目</w:t>
      </w:r>
      <w:r>
        <w:rPr>
          <w:rFonts w:hint="eastAsia" w:ascii="宋体" w:hAnsi="宋体" w:eastAsia="宋体" w:cs="宋体"/>
          <w:bCs/>
          <w:color w:val="auto"/>
          <w:sz w:val="21"/>
          <w:szCs w:val="21"/>
        </w:rPr>
        <w:t>①</w:t>
      </w:r>
      <w:r>
        <w:rPr>
          <w:rFonts w:hint="eastAsia" w:ascii="宋体" w:hAnsi="宋体" w:eastAsia="宋体" w:cs="宋体"/>
          <w:bCs/>
          <w:color w:val="auto"/>
          <w:kern w:val="0"/>
          <w:sz w:val="21"/>
          <w:szCs w:val="21"/>
          <w:highlight w:val="none"/>
        </w:rPr>
        <w:t>总体设想</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②服务宗旨、③</w:t>
      </w:r>
      <w:r>
        <w:rPr>
          <w:rFonts w:hint="eastAsia" w:ascii="宋体" w:hAnsi="宋体" w:eastAsia="宋体" w:cs="宋体"/>
          <w:bCs/>
          <w:color w:val="auto"/>
          <w:kern w:val="0"/>
          <w:sz w:val="21"/>
          <w:szCs w:val="21"/>
          <w:highlight w:val="none"/>
        </w:rPr>
        <w:t>重点关键问题</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bCs/>
          <w:color w:val="auto"/>
          <w:kern w:val="0"/>
          <w:sz w:val="21"/>
          <w:szCs w:val="21"/>
          <w:highlight w:val="none"/>
        </w:rPr>
        <w:t>工作计划</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⑤</w:t>
      </w:r>
      <w:r>
        <w:rPr>
          <w:rFonts w:hint="eastAsia" w:ascii="宋体" w:hAnsi="宋体" w:eastAsia="宋体" w:cs="宋体"/>
          <w:bCs/>
          <w:color w:val="auto"/>
          <w:sz w:val="21"/>
          <w:szCs w:val="21"/>
        </w:rPr>
        <w:t>公共管理制度</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⑥</w:t>
      </w:r>
      <w:r>
        <w:rPr>
          <w:rFonts w:hint="eastAsia" w:ascii="宋体" w:hAnsi="宋体" w:eastAsia="宋体" w:cs="宋体"/>
          <w:bCs/>
          <w:color w:val="auto"/>
          <w:sz w:val="21"/>
          <w:szCs w:val="21"/>
        </w:rPr>
        <w:t>内部岗位责任制</w:t>
      </w:r>
      <w:r>
        <w:rPr>
          <w:rFonts w:hint="eastAsia" w:ascii="宋体" w:hAnsi="宋体" w:eastAsia="宋体" w:cs="宋体"/>
          <w:bCs/>
          <w:color w:val="auto"/>
          <w:sz w:val="21"/>
          <w:szCs w:val="21"/>
          <w:lang w:val="en-US" w:eastAsia="zh-CN"/>
        </w:rPr>
        <w:t>、⑦</w:t>
      </w:r>
      <w:r>
        <w:rPr>
          <w:rFonts w:hint="eastAsia" w:ascii="宋体" w:hAnsi="宋体" w:eastAsia="宋体" w:cs="宋体"/>
          <w:bCs/>
          <w:color w:val="auto"/>
          <w:sz w:val="21"/>
          <w:szCs w:val="21"/>
        </w:rPr>
        <w:t>管理运作制度及标准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⑧</w:t>
      </w:r>
      <w:r>
        <w:rPr>
          <w:rFonts w:hint="eastAsia" w:ascii="宋体" w:hAnsi="宋体" w:eastAsia="宋体" w:cs="宋体"/>
          <w:bCs/>
          <w:color w:val="auto"/>
          <w:sz w:val="21"/>
          <w:szCs w:val="21"/>
        </w:rPr>
        <w:t>管理人员考核</w:t>
      </w:r>
      <w:r>
        <w:rPr>
          <w:rFonts w:hint="eastAsia" w:ascii="宋体" w:hAnsi="宋体" w:eastAsia="宋体" w:cs="宋体"/>
          <w:bCs/>
          <w:color w:val="auto"/>
          <w:sz w:val="21"/>
          <w:szCs w:val="21"/>
          <w:lang w:val="en-US" w:eastAsia="zh-CN"/>
        </w:rPr>
        <w:t>制度、⑨</w:t>
      </w:r>
      <w:r>
        <w:rPr>
          <w:rFonts w:hint="eastAsia" w:ascii="宋体" w:hAnsi="宋体" w:eastAsia="宋体" w:cs="宋体"/>
          <w:bCs/>
          <w:color w:val="auto"/>
          <w:sz w:val="21"/>
          <w:szCs w:val="21"/>
        </w:rPr>
        <w:t>档案的建立及归档管理制度(利用办公自动化对档案进行管理)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rPr>
        <w:t>满足本项目采购需求的，每项得</w:t>
      </w:r>
      <w:r>
        <w:rPr>
          <w:rFonts w:hint="eastAsia" w:ascii="宋体" w:hAnsi="宋体" w:eastAsia="宋体" w:cs="宋体"/>
          <w:bCs/>
          <w:color w:val="auto"/>
          <w:sz w:val="21"/>
          <w:szCs w:val="21"/>
          <w:lang w:val="en-US" w:eastAsia="zh-CN"/>
        </w:rPr>
        <w:t>1</w:t>
      </w:r>
      <w:r>
        <w:rPr>
          <w:rFonts w:hint="eastAsia" w:ascii="宋体" w:hAnsi="宋体" w:eastAsia="宋体" w:cs="宋体"/>
          <w:bCs/>
          <w:color w:val="auto"/>
          <w:sz w:val="21"/>
          <w:szCs w:val="21"/>
        </w:rPr>
        <w:t>分</w:t>
      </w:r>
      <w:r>
        <w:rPr>
          <w:rFonts w:hint="eastAsia" w:ascii="宋体" w:hAnsi="宋体" w:eastAsia="宋体" w:cs="宋体"/>
          <w:bCs/>
          <w:color w:val="auto"/>
          <w:sz w:val="21"/>
          <w:szCs w:val="21"/>
          <w:lang w:eastAsia="zh-CN"/>
        </w:rPr>
        <w:t>，</w:t>
      </w:r>
      <w:r>
        <w:rPr>
          <w:rFonts w:hint="eastAsia" w:ascii="宋体" w:hAnsi="宋体" w:eastAsia="宋体" w:cs="宋体"/>
          <w:bCs/>
          <w:color w:val="auto"/>
          <w:sz w:val="21"/>
          <w:szCs w:val="21"/>
          <w:lang w:val="en-US" w:eastAsia="zh-CN"/>
        </w:rPr>
        <w:t>满分9分</w:t>
      </w:r>
      <w:bookmarkEnd w:id="201"/>
    </w:p>
    <w:p>
      <w:pPr>
        <w:widowControl/>
        <w:spacing w:line="460" w:lineRule="exact"/>
        <w:ind w:firstLine="422"/>
        <w:jc w:val="left"/>
        <w:outlineLvl w:val="1"/>
        <w:rPr>
          <w:rFonts w:hint="eastAsia" w:ascii="宋体" w:hAnsi="宋体" w:eastAsia="宋体" w:cs="宋体"/>
          <w:b/>
          <w:bCs/>
          <w:color w:val="auto"/>
          <w:kern w:val="0"/>
          <w:sz w:val="21"/>
          <w:szCs w:val="21"/>
          <w:lang w:bidi="ar"/>
        </w:rPr>
      </w:pPr>
      <w:bookmarkStart w:id="203" w:name="_Hlk207378253"/>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2人员管理</w:t>
      </w:r>
      <w:r>
        <w:rPr>
          <w:rFonts w:hint="eastAsia" w:ascii="宋体" w:hAnsi="宋体" w:eastAsia="宋体" w:cs="宋体"/>
          <w:b/>
          <w:bCs/>
          <w:color w:val="auto"/>
          <w:kern w:val="0"/>
          <w:sz w:val="21"/>
          <w:szCs w:val="21"/>
          <w:lang w:bidi="ar"/>
        </w:rPr>
        <w:t>和</w:t>
      </w:r>
      <w:r>
        <w:rPr>
          <w:rFonts w:hint="eastAsia" w:ascii="宋体" w:hAnsi="宋体" w:eastAsia="宋体" w:cs="宋体"/>
          <w:b/>
          <w:bCs/>
          <w:color w:val="auto"/>
          <w:kern w:val="0"/>
          <w:sz w:val="21"/>
          <w:szCs w:val="21"/>
          <w:lang w:val="en-US" w:eastAsia="zh-CN" w:bidi="ar"/>
        </w:rPr>
        <w:t>人员培训</w:t>
      </w:r>
      <w:r>
        <w:rPr>
          <w:rFonts w:hint="eastAsia" w:ascii="宋体" w:hAnsi="宋体" w:eastAsia="宋体" w:cs="宋体"/>
          <w:b/>
          <w:bCs/>
          <w:color w:val="auto"/>
          <w:kern w:val="0"/>
          <w:sz w:val="21"/>
          <w:szCs w:val="21"/>
          <w:lang w:bidi="ar"/>
        </w:rPr>
        <w:t>方案（</w:t>
      </w:r>
      <w:r>
        <w:rPr>
          <w:rFonts w:hint="eastAsia" w:ascii="宋体" w:hAnsi="宋体" w:eastAsia="宋体" w:cs="宋体"/>
          <w:b/>
          <w:bCs/>
          <w:color w:val="auto"/>
          <w:kern w:val="0"/>
          <w:sz w:val="21"/>
          <w:szCs w:val="21"/>
          <w:lang w:val="en-US" w:eastAsia="zh-CN" w:bidi="ar"/>
        </w:rPr>
        <w:t>6</w:t>
      </w:r>
      <w:r>
        <w:rPr>
          <w:rFonts w:hint="eastAsia" w:ascii="宋体" w:hAnsi="宋体" w:eastAsia="宋体" w:cs="宋体"/>
          <w:b/>
          <w:bCs/>
          <w:color w:val="auto"/>
          <w:kern w:val="0"/>
          <w:sz w:val="21"/>
          <w:szCs w:val="21"/>
          <w:lang w:bidi="ar"/>
        </w:rPr>
        <w:t>分）</w:t>
      </w:r>
    </w:p>
    <w:bookmarkEnd w:id="203"/>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w:t>
      </w:r>
      <w:r>
        <w:rPr>
          <w:rFonts w:hint="eastAsia" w:ascii="宋体" w:hAnsi="宋体" w:eastAsia="宋体" w:cs="宋体"/>
          <w:bCs/>
          <w:color w:val="auto"/>
          <w:sz w:val="21"/>
          <w:szCs w:val="21"/>
        </w:rPr>
        <w:t>①人员管理方式②控制员工流失的措施③人员招聘与录用④人员意外伤害应急处理⑤员工替岗管理制度</w:t>
      </w:r>
      <w:r>
        <w:rPr>
          <w:rFonts w:hint="eastAsia" w:ascii="宋体" w:hAnsi="宋体" w:eastAsia="宋体" w:cs="宋体"/>
          <w:color w:val="auto"/>
          <w:kern w:val="0"/>
          <w:sz w:val="21"/>
          <w:szCs w:val="21"/>
          <w:lang w:val="en-US" w:eastAsia="zh-CN" w:bidi="ar"/>
        </w:rPr>
        <w:t>⑥</w:t>
      </w:r>
      <w:r>
        <w:rPr>
          <w:rFonts w:hint="eastAsia" w:ascii="宋体" w:hAnsi="宋体" w:eastAsia="宋体" w:cs="宋体"/>
          <w:bCs/>
          <w:color w:val="auto"/>
          <w:kern w:val="0"/>
          <w:sz w:val="21"/>
          <w:szCs w:val="21"/>
          <w:highlight w:val="none"/>
        </w:rPr>
        <w:t>人员培训方案（含年度培训大纲、培训的方式方法、培训效果评估）</w:t>
      </w:r>
      <w:r>
        <w:rPr>
          <w:rFonts w:hint="eastAsia" w:ascii="宋体" w:hAnsi="宋体" w:eastAsia="宋体" w:cs="宋体"/>
          <w:color w:val="auto"/>
          <w:kern w:val="0"/>
          <w:sz w:val="21"/>
          <w:szCs w:val="21"/>
          <w:lang w:bidi="ar"/>
        </w:rPr>
        <w:t>，</w:t>
      </w:r>
      <w:bookmarkStart w:id="204" w:name="_Hlk207378206"/>
      <w:r>
        <w:rPr>
          <w:rFonts w:hint="eastAsia" w:ascii="宋体" w:hAnsi="宋体" w:eastAsia="宋体" w:cs="宋体"/>
          <w:color w:val="auto"/>
          <w:sz w:val="21"/>
          <w:szCs w:val="21"/>
        </w:rPr>
        <w:t>符合项目需求，且在方案中有明确描述的，</w:t>
      </w:r>
      <w:bookmarkEnd w:id="204"/>
      <w:r>
        <w:rPr>
          <w:rFonts w:hint="eastAsia" w:ascii="宋体" w:hAnsi="宋体" w:eastAsia="宋体" w:cs="宋体"/>
          <w:color w:val="auto"/>
          <w:sz w:val="21"/>
          <w:szCs w:val="21"/>
        </w:rPr>
        <w:t>每项得</w:t>
      </w:r>
      <w:r>
        <w:rPr>
          <w:rFonts w:hint="eastAsia" w:ascii="宋体" w:hAnsi="宋体" w:eastAsia="宋体" w:cs="宋体"/>
          <w:color w:val="auto"/>
          <w:sz w:val="21"/>
          <w:szCs w:val="21"/>
          <w:lang w:val="en-US" w:eastAsia="zh-CN"/>
        </w:rPr>
        <w:t>1</w:t>
      </w:r>
      <w:r>
        <w:rPr>
          <w:rFonts w:hint="eastAsia" w:ascii="宋体" w:hAnsi="宋体" w:eastAsia="宋体" w:cs="宋体"/>
          <w:color w:val="auto"/>
          <w:sz w:val="21"/>
          <w:szCs w:val="21"/>
        </w:rPr>
        <w:t>分，满分</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3</w:t>
      </w:r>
      <w:r>
        <w:rPr>
          <w:rFonts w:hint="eastAsia" w:ascii="宋体" w:hAnsi="宋体" w:eastAsia="宋体" w:cs="宋体"/>
          <w:b/>
          <w:bCs/>
          <w:color w:val="auto"/>
          <w:kern w:val="0"/>
          <w:sz w:val="21"/>
          <w:szCs w:val="21"/>
          <w:lang w:bidi="ar"/>
        </w:rPr>
        <w:t>安保服务方案（</w:t>
      </w: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投标人提供本次物业项目安保服务方案，包含①</w:t>
      </w:r>
      <w:r>
        <w:rPr>
          <w:rFonts w:hint="eastAsia" w:ascii="宋体" w:hAnsi="宋体" w:eastAsia="宋体" w:cs="宋体"/>
          <w:bCs/>
          <w:color w:val="auto"/>
          <w:kern w:val="0"/>
          <w:sz w:val="21"/>
          <w:szCs w:val="21"/>
          <w:highlight w:val="none"/>
        </w:rPr>
        <w:t>公共秩序维护</w:t>
      </w:r>
      <w:r>
        <w:rPr>
          <w:rFonts w:hint="eastAsia" w:ascii="宋体" w:hAnsi="宋体" w:eastAsia="宋体" w:cs="宋体"/>
          <w:color w:val="auto"/>
          <w:kern w:val="0"/>
          <w:sz w:val="21"/>
          <w:szCs w:val="21"/>
          <w:lang w:bidi="ar"/>
        </w:rPr>
        <w:t>、②</w:t>
      </w:r>
      <w:r>
        <w:rPr>
          <w:rFonts w:hint="eastAsia" w:ascii="宋体" w:hAnsi="宋体" w:eastAsia="宋体" w:cs="宋体"/>
          <w:bCs/>
          <w:color w:val="auto"/>
          <w:kern w:val="0"/>
          <w:sz w:val="21"/>
          <w:szCs w:val="21"/>
          <w:highlight w:val="none"/>
        </w:rPr>
        <w:t>巡检计划</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③</w:t>
      </w:r>
      <w:r>
        <w:rPr>
          <w:rFonts w:hint="eastAsia" w:ascii="宋体" w:hAnsi="宋体" w:eastAsia="宋体" w:cs="宋体"/>
          <w:bCs/>
          <w:color w:val="auto"/>
          <w:kern w:val="0"/>
          <w:sz w:val="21"/>
          <w:szCs w:val="21"/>
          <w:highlight w:val="none"/>
        </w:rPr>
        <w:t>交通车辆管理</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color w:val="auto"/>
          <w:sz w:val="21"/>
          <w:szCs w:val="21"/>
          <w:lang w:val="en-US" w:eastAsia="zh-CN"/>
        </w:rPr>
        <w:t>消防安全管理</w:t>
      </w:r>
      <w:r>
        <w:rPr>
          <w:rFonts w:hint="eastAsia" w:ascii="宋体" w:hAnsi="宋体" w:eastAsia="宋体" w:cs="宋体"/>
          <w:color w:val="auto"/>
          <w:kern w:val="0"/>
          <w:sz w:val="21"/>
          <w:szCs w:val="21"/>
          <w:lang w:bidi="ar"/>
        </w:rPr>
        <w:t>、</w:t>
      </w:r>
      <w:r>
        <w:rPr>
          <w:rFonts w:hint="eastAsia" w:ascii="宋体" w:hAnsi="宋体" w:eastAsia="宋体" w:cs="宋体"/>
          <w:color w:val="auto"/>
          <w:kern w:val="0"/>
          <w:sz w:val="21"/>
          <w:szCs w:val="21"/>
          <w:lang w:val="en-US" w:eastAsia="zh-CN" w:bidi="ar"/>
        </w:rPr>
        <w:t>⑤</w:t>
      </w:r>
      <w:r>
        <w:rPr>
          <w:rFonts w:hint="eastAsia" w:ascii="宋体" w:hAnsi="宋体" w:eastAsia="宋体" w:cs="宋体"/>
          <w:color w:val="auto"/>
          <w:kern w:val="0"/>
          <w:sz w:val="21"/>
          <w:szCs w:val="21"/>
          <w:lang w:bidi="ar"/>
        </w:rPr>
        <w:t>安保人员</w:t>
      </w:r>
      <w:r>
        <w:rPr>
          <w:rFonts w:hint="eastAsia" w:ascii="宋体" w:hAnsi="宋体" w:eastAsia="宋体" w:cs="宋体"/>
          <w:color w:val="auto"/>
          <w:kern w:val="0"/>
          <w:sz w:val="21"/>
          <w:szCs w:val="21"/>
          <w:lang w:val="en-US" w:eastAsia="zh-CN" w:bidi="ar"/>
        </w:rPr>
        <w:t>突发</w:t>
      </w:r>
      <w:r>
        <w:rPr>
          <w:rFonts w:hint="eastAsia" w:ascii="宋体" w:hAnsi="宋体" w:eastAsia="宋体" w:cs="宋体"/>
          <w:color w:val="auto"/>
          <w:kern w:val="0"/>
          <w:sz w:val="21"/>
          <w:szCs w:val="21"/>
          <w:lang w:bidi="ar"/>
        </w:rPr>
        <w:t>事件处置措施，</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5</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保洁服务方案（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投标人提供本次物业项目保洁服务方案，包含①</w:t>
      </w:r>
      <w:r>
        <w:rPr>
          <w:rFonts w:hint="eastAsia" w:ascii="宋体" w:hAnsi="宋体" w:eastAsia="宋体" w:cs="宋体"/>
          <w:bCs/>
          <w:color w:val="auto"/>
          <w:kern w:val="0"/>
          <w:sz w:val="21"/>
          <w:szCs w:val="21"/>
          <w:highlight w:val="none"/>
        </w:rPr>
        <w:t>作业现场管理</w:t>
      </w:r>
      <w:r>
        <w:rPr>
          <w:rFonts w:hint="eastAsia" w:ascii="宋体" w:hAnsi="宋体" w:eastAsia="宋体" w:cs="宋体"/>
          <w:color w:val="auto"/>
          <w:kern w:val="0"/>
          <w:sz w:val="21"/>
          <w:szCs w:val="21"/>
          <w:lang w:bidi="ar"/>
        </w:rPr>
        <w:t>、②</w:t>
      </w:r>
      <w:r>
        <w:rPr>
          <w:rFonts w:hint="eastAsia" w:ascii="宋体" w:hAnsi="宋体" w:eastAsia="宋体" w:cs="宋体"/>
          <w:bCs/>
          <w:color w:val="auto"/>
          <w:kern w:val="0"/>
          <w:sz w:val="21"/>
          <w:szCs w:val="21"/>
          <w:highlight w:val="none"/>
        </w:rPr>
        <w:t>工作操作规程</w:t>
      </w:r>
      <w:r>
        <w:rPr>
          <w:rFonts w:hint="eastAsia" w:ascii="宋体" w:hAnsi="宋体" w:eastAsia="宋体" w:cs="宋体"/>
          <w:color w:val="auto"/>
          <w:kern w:val="0"/>
          <w:sz w:val="21"/>
          <w:szCs w:val="21"/>
          <w:lang w:bidi="ar"/>
        </w:rPr>
        <w:t>、③设</w:t>
      </w:r>
      <w:r>
        <w:rPr>
          <w:rFonts w:hint="eastAsia" w:ascii="宋体" w:hAnsi="宋体" w:eastAsia="宋体" w:cs="宋体"/>
          <w:bCs/>
          <w:color w:val="auto"/>
          <w:kern w:val="0"/>
          <w:sz w:val="21"/>
          <w:szCs w:val="21"/>
          <w:highlight w:val="none"/>
        </w:rPr>
        <w:t>工作管理制度</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bCs/>
          <w:color w:val="auto"/>
          <w:kern w:val="0"/>
          <w:sz w:val="21"/>
          <w:szCs w:val="21"/>
          <w:highlight w:val="none"/>
          <w:lang w:val="en-US" w:eastAsia="zh-CN"/>
        </w:rPr>
        <w:t>④</w:t>
      </w:r>
      <w:r>
        <w:rPr>
          <w:rFonts w:hint="eastAsia" w:ascii="宋体" w:hAnsi="宋体" w:eastAsia="宋体" w:cs="宋体"/>
          <w:bCs/>
          <w:color w:val="auto"/>
          <w:kern w:val="0"/>
          <w:sz w:val="21"/>
          <w:szCs w:val="21"/>
          <w:highlight w:val="none"/>
        </w:rPr>
        <w:t>保洁安全保障措施、服务质量保证措施</w:t>
      </w:r>
      <w:r>
        <w:rPr>
          <w:rFonts w:hint="eastAsia" w:ascii="宋体" w:hAnsi="宋体" w:eastAsia="宋体" w:cs="宋体"/>
          <w:color w:val="auto"/>
          <w:kern w:val="0"/>
          <w:sz w:val="21"/>
          <w:szCs w:val="21"/>
          <w:lang w:bidi="ar"/>
        </w:rPr>
        <w:t>，</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5</w:t>
      </w:r>
      <w:r>
        <w:rPr>
          <w:rFonts w:hint="eastAsia" w:ascii="宋体" w:hAnsi="宋体" w:eastAsia="宋体" w:cs="宋体"/>
          <w:b/>
          <w:bCs/>
          <w:color w:val="auto"/>
          <w:kern w:val="0"/>
          <w:sz w:val="21"/>
          <w:szCs w:val="21"/>
          <w:lang w:bidi="ar"/>
        </w:rPr>
        <w:t>绿化服务方案（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投标人提供本次物业项目绿化服务方案包含①</w:t>
      </w:r>
      <w:r>
        <w:rPr>
          <w:rFonts w:hint="eastAsia" w:ascii="宋体" w:hAnsi="宋体" w:eastAsia="宋体" w:cs="宋体"/>
          <w:color w:val="auto"/>
          <w:kern w:val="2"/>
          <w:sz w:val="21"/>
          <w:szCs w:val="21"/>
          <w:highlight w:val="none"/>
          <w:lang w:val="en-US" w:eastAsia="zh-CN" w:bidi="ar-SA"/>
        </w:rPr>
        <w:t>绿化养护服务的基本要点</w:t>
      </w:r>
      <w:r>
        <w:rPr>
          <w:rFonts w:hint="eastAsia" w:ascii="宋体" w:hAnsi="宋体" w:eastAsia="宋体" w:cs="宋体"/>
          <w:color w:val="auto"/>
          <w:kern w:val="0"/>
          <w:sz w:val="21"/>
          <w:szCs w:val="21"/>
          <w:lang w:bidi="ar"/>
        </w:rPr>
        <w:t>、②</w:t>
      </w:r>
      <w:r>
        <w:rPr>
          <w:rFonts w:hint="eastAsia" w:ascii="宋体" w:hAnsi="宋体" w:eastAsia="宋体" w:cs="宋体"/>
          <w:color w:val="auto"/>
          <w:kern w:val="2"/>
          <w:sz w:val="21"/>
          <w:szCs w:val="21"/>
          <w:highlight w:val="none"/>
          <w:lang w:val="en-US" w:eastAsia="zh-CN" w:bidi="ar-SA"/>
        </w:rPr>
        <w:t>全年绿化养护工作计划、③园林建筑附属设施维护方案、④绿化服务质量保证措施，</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color w:val="auto"/>
          <w:sz w:val="21"/>
          <w:szCs w:val="21"/>
        </w:rPr>
      </w:pPr>
      <w:r>
        <w:rPr>
          <w:rFonts w:hint="eastAsia" w:ascii="宋体" w:hAnsi="宋体" w:eastAsia="宋体" w:cs="宋体"/>
          <w:b/>
          <w:bCs/>
          <w:color w:val="auto"/>
          <w:kern w:val="0"/>
          <w:sz w:val="21"/>
          <w:szCs w:val="21"/>
          <w:lang w:bidi="ar"/>
        </w:rPr>
        <w:t>1.</w:t>
      </w:r>
      <w:r>
        <w:rPr>
          <w:rFonts w:hint="eastAsia" w:ascii="宋体" w:hAnsi="宋体" w:eastAsia="宋体" w:cs="宋体"/>
          <w:b/>
          <w:bCs/>
          <w:color w:val="auto"/>
          <w:kern w:val="0"/>
          <w:sz w:val="21"/>
          <w:szCs w:val="21"/>
          <w:lang w:val="en-US" w:eastAsia="zh-CN" w:bidi="ar"/>
        </w:rPr>
        <w:t>6</w:t>
      </w:r>
      <w:r>
        <w:rPr>
          <w:rFonts w:hint="eastAsia" w:ascii="宋体" w:hAnsi="宋体" w:eastAsia="宋体" w:cs="宋体"/>
          <w:b/>
          <w:bCs/>
          <w:color w:val="auto"/>
          <w:kern w:val="0"/>
          <w:sz w:val="21"/>
          <w:szCs w:val="21"/>
          <w:lang w:bidi="ar"/>
        </w:rPr>
        <w:t>水电维修服务方案（</w:t>
      </w:r>
      <w:r>
        <w:rPr>
          <w:rFonts w:hint="eastAsia" w:ascii="宋体" w:hAnsi="宋体" w:eastAsia="宋体" w:cs="宋体"/>
          <w:b/>
          <w:bCs/>
          <w:color w:val="auto"/>
          <w:kern w:val="0"/>
          <w:sz w:val="21"/>
          <w:szCs w:val="21"/>
          <w:lang w:val="en-US" w:eastAsia="zh-CN" w:bidi="ar"/>
        </w:rPr>
        <w:t>4</w:t>
      </w:r>
      <w:r>
        <w:rPr>
          <w:rFonts w:hint="eastAsia" w:ascii="宋体" w:hAnsi="宋体" w:eastAsia="宋体" w:cs="宋体"/>
          <w:b/>
          <w:bCs/>
          <w:color w:val="auto"/>
          <w:kern w:val="0"/>
          <w:sz w:val="21"/>
          <w:szCs w:val="21"/>
          <w:lang w:bidi="ar"/>
        </w:rPr>
        <w:t>分）</w:t>
      </w:r>
    </w:p>
    <w:p>
      <w:pPr>
        <w:widowControl/>
        <w:spacing w:line="460" w:lineRule="exact"/>
        <w:ind w:firstLine="420" w:firstLineChars="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投标人提供本次物业项目水电维修方案预案包含①</w:t>
      </w:r>
      <w:r>
        <w:rPr>
          <w:rFonts w:hint="eastAsia" w:ascii="宋体" w:hAnsi="宋体" w:eastAsia="宋体" w:cs="宋体"/>
          <w:color w:val="auto"/>
          <w:kern w:val="0"/>
          <w:sz w:val="21"/>
          <w:szCs w:val="21"/>
          <w:lang w:val="en-US" w:eastAsia="zh-CN" w:bidi="ar"/>
        </w:rPr>
        <w:t>日常巡查工作制度</w:t>
      </w:r>
      <w:r>
        <w:rPr>
          <w:rFonts w:hint="eastAsia" w:ascii="宋体" w:hAnsi="宋体" w:eastAsia="宋体" w:cs="宋体"/>
          <w:color w:val="auto"/>
          <w:kern w:val="0"/>
          <w:sz w:val="21"/>
          <w:szCs w:val="21"/>
          <w:lang w:bidi="ar"/>
        </w:rPr>
        <w:t>、②</w:t>
      </w:r>
      <w:r>
        <w:rPr>
          <w:rFonts w:hint="eastAsia" w:ascii="宋体" w:hAnsi="宋体" w:eastAsia="宋体" w:cs="宋体"/>
          <w:color w:val="auto"/>
          <w:kern w:val="0"/>
          <w:sz w:val="21"/>
          <w:szCs w:val="21"/>
          <w:lang w:val="en-US" w:eastAsia="zh-CN" w:bidi="ar"/>
        </w:rPr>
        <w:t>房屋及公共设施设备的巡检、维护、③水电维修类表单齐全，④</w:t>
      </w:r>
      <w:r>
        <w:rPr>
          <w:rFonts w:hint="eastAsia" w:ascii="宋体" w:hAnsi="宋体" w:eastAsia="宋体" w:cs="宋体"/>
          <w:bCs/>
          <w:color w:val="auto"/>
          <w:kern w:val="0"/>
          <w:sz w:val="21"/>
          <w:szCs w:val="21"/>
          <w:highlight w:val="none"/>
        </w:rPr>
        <w:t>设备设施节能降耗运行方案</w:t>
      </w:r>
      <w:r>
        <w:rPr>
          <w:rFonts w:hint="eastAsia" w:ascii="宋体" w:hAnsi="宋体" w:eastAsia="宋体" w:cs="宋体"/>
          <w:bCs/>
          <w:color w:val="auto"/>
          <w:kern w:val="0"/>
          <w:sz w:val="21"/>
          <w:szCs w:val="21"/>
          <w:highlight w:val="none"/>
          <w:lang w:eastAsia="zh-CN"/>
        </w:rPr>
        <w:t>，</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w:t>
      </w:r>
      <w:r>
        <w:rPr>
          <w:rFonts w:hint="eastAsia" w:ascii="宋体" w:hAnsi="宋体" w:eastAsia="宋体" w:cs="宋体"/>
          <w:color w:val="auto"/>
          <w:kern w:val="0"/>
          <w:sz w:val="21"/>
          <w:szCs w:val="21"/>
          <w:lang w:val="en-US" w:eastAsia="zh-CN" w:bidi="ar"/>
        </w:rPr>
        <w:t>1</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4</w:t>
      </w:r>
      <w:r>
        <w:rPr>
          <w:rFonts w:hint="eastAsia" w:ascii="宋体" w:hAnsi="宋体" w:eastAsia="宋体" w:cs="宋体"/>
          <w:color w:val="auto"/>
          <w:kern w:val="0"/>
          <w:sz w:val="21"/>
          <w:szCs w:val="21"/>
          <w:lang w:bidi="ar"/>
        </w:rPr>
        <w:t>分。</w:t>
      </w:r>
    </w:p>
    <w:p>
      <w:pPr>
        <w:widowControl/>
        <w:spacing w:line="460" w:lineRule="exact"/>
        <w:ind w:firstLine="422"/>
        <w:jc w:val="left"/>
        <w:outlineLvl w:val="1"/>
        <w:rPr>
          <w:rFonts w:hint="eastAsia" w:ascii="宋体" w:hAnsi="宋体" w:eastAsia="宋体" w:cs="宋体"/>
          <w:b/>
          <w:bCs/>
          <w:color w:val="auto"/>
          <w:kern w:val="0"/>
          <w:sz w:val="21"/>
          <w:szCs w:val="21"/>
          <w:lang w:bidi="ar"/>
        </w:rPr>
      </w:pPr>
      <w:r>
        <w:rPr>
          <w:rFonts w:hint="eastAsia" w:ascii="宋体" w:hAnsi="宋体" w:eastAsia="宋体" w:cs="宋体"/>
          <w:b/>
          <w:bCs/>
          <w:color w:val="auto"/>
          <w:kern w:val="0"/>
          <w:sz w:val="21"/>
          <w:szCs w:val="21"/>
          <w:lang w:bidi="ar"/>
        </w:rPr>
        <w:t>1.</w:t>
      </w:r>
      <w:bookmarkStart w:id="205" w:name="_Hlk207378321"/>
      <w:bookmarkStart w:id="206" w:name="_Hlk207378487"/>
      <w:r>
        <w:rPr>
          <w:rFonts w:hint="eastAsia" w:ascii="宋体" w:hAnsi="宋体" w:eastAsia="宋体" w:cs="宋体"/>
          <w:b/>
          <w:bCs/>
          <w:color w:val="auto"/>
          <w:kern w:val="0"/>
          <w:sz w:val="21"/>
          <w:szCs w:val="21"/>
          <w:lang w:val="en-US" w:eastAsia="zh-CN" w:bidi="ar"/>
        </w:rPr>
        <w:t>7</w:t>
      </w:r>
      <w:r>
        <w:rPr>
          <w:rFonts w:hint="eastAsia" w:ascii="宋体" w:hAnsi="宋体" w:eastAsia="宋体" w:cs="宋体"/>
          <w:b/>
          <w:bCs/>
          <w:color w:val="auto"/>
          <w:kern w:val="0"/>
          <w:sz w:val="21"/>
          <w:szCs w:val="21"/>
          <w:lang w:bidi="ar"/>
        </w:rPr>
        <w:t>应急服务方案</w:t>
      </w:r>
      <w:bookmarkEnd w:id="205"/>
      <w:r>
        <w:rPr>
          <w:rFonts w:hint="eastAsia" w:ascii="宋体" w:hAnsi="宋体" w:eastAsia="宋体" w:cs="宋体"/>
          <w:b/>
          <w:bCs/>
          <w:color w:val="auto"/>
          <w:kern w:val="0"/>
          <w:sz w:val="21"/>
          <w:szCs w:val="21"/>
          <w:lang w:bidi="ar"/>
        </w:rPr>
        <w:t>（6分）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投标人提供本次物业项目应急处置方案预案包含①</w:t>
      </w:r>
      <w:r>
        <w:rPr>
          <w:rFonts w:hint="eastAsia" w:ascii="宋体" w:hAnsi="宋体" w:eastAsia="宋体" w:cs="宋体"/>
          <w:color w:val="auto"/>
          <w:kern w:val="0"/>
          <w:sz w:val="21"/>
          <w:szCs w:val="21"/>
          <w:lang w:val="en-US" w:eastAsia="zh-CN" w:bidi="ar"/>
        </w:rPr>
        <w:t>成立专门的应急部门</w:t>
      </w:r>
      <w:r>
        <w:rPr>
          <w:rFonts w:hint="eastAsia" w:ascii="宋体" w:hAnsi="宋体" w:eastAsia="宋体" w:cs="宋体"/>
          <w:color w:val="auto"/>
          <w:kern w:val="0"/>
          <w:sz w:val="21"/>
          <w:szCs w:val="21"/>
          <w:lang w:bidi="ar"/>
        </w:rPr>
        <w:t>②台风、暴雨应急、③各类报警应急、④暴力事件应急方案、⑤应急人员调配、⑥应急设备配备，</w:t>
      </w:r>
      <w:r>
        <w:rPr>
          <w:rFonts w:hint="eastAsia" w:ascii="宋体" w:hAnsi="宋体" w:eastAsia="宋体" w:cs="宋体"/>
          <w:color w:val="auto"/>
          <w:sz w:val="21"/>
          <w:szCs w:val="21"/>
        </w:rPr>
        <w:t>以上内容</w:t>
      </w:r>
      <w:r>
        <w:rPr>
          <w:rFonts w:hint="eastAsia" w:ascii="宋体" w:hAnsi="宋体" w:eastAsia="宋体" w:cs="宋体"/>
          <w:color w:val="auto"/>
          <w:kern w:val="0"/>
          <w:sz w:val="21"/>
          <w:szCs w:val="21"/>
          <w:lang w:bidi="ar"/>
        </w:rPr>
        <w:t>符合项目需求，且在方案中有明确描述的，每项得1分，满分6分。</w:t>
      </w:r>
    </w:p>
    <w:bookmarkEnd w:id="200"/>
    <w:bookmarkEnd w:id="202"/>
    <w:bookmarkEnd w:id="206"/>
    <w:p>
      <w:pPr>
        <w:spacing w:line="460" w:lineRule="exact"/>
        <w:ind w:firstLine="384" w:firstLineChars="0"/>
        <w:rPr>
          <w:rFonts w:hint="eastAsia" w:ascii="宋体" w:hAnsi="宋体" w:eastAsia="宋体" w:cs="宋体"/>
          <w:b/>
          <w:bCs/>
          <w:color w:val="auto"/>
          <w:sz w:val="21"/>
          <w:szCs w:val="21"/>
        </w:rPr>
      </w:pPr>
      <w:r>
        <w:rPr>
          <w:rFonts w:hint="eastAsia" w:ascii="宋体" w:hAnsi="宋体" w:eastAsia="宋体" w:cs="宋体"/>
          <w:b/>
          <w:bCs/>
          <w:color w:val="auto"/>
          <w:kern w:val="0"/>
          <w:sz w:val="21"/>
          <w:szCs w:val="21"/>
          <w:lang w:bidi="ar"/>
        </w:rPr>
        <w:t>2.</w:t>
      </w:r>
      <w:r>
        <w:rPr>
          <w:rFonts w:hint="eastAsia" w:ascii="宋体" w:hAnsi="宋体" w:eastAsia="宋体" w:cs="宋体"/>
          <w:b/>
          <w:bCs/>
          <w:color w:val="auto"/>
          <w:sz w:val="21"/>
          <w:szCs w:val="21"/>
        </w:rPr>
        <w:t>人员配置方案分（满分</w:t>
      </w:r>
      <w:r>
        <w:rPr>
          <w:rFonts w:hint="eastAsia" w:ascii="宋体" w:hAnsi="宋体" w:eastAsia="宋体" w:cs="宋体"/>
          <w:b/>
          <w:bCs/>
          <w:color w:val="auto"/>
          <w:sz w:val="21"/>
          <w:szCs w:val="21"/>
          <w:lang w:val="en-US" w:eastAsia="zh-CN"/>
        </w:rPr>
        <w:t>28</w:t>
      </w:r>
      <w:r>
        <w:rPr>
          <w:rFonts w:hint="eastAsia" w:ascii="宋体" w:hAnsi="宋体" w:eastAsia="宋体" w:cs="宋体"/>
          <w:b/>
          <w:bCs/>
          <w:color w:val="auto"/>
          <w:sz w:val="21"/>
          <w:szCs w:val="21"/>
        </w:rPr>
        <w:t>分）</w:t>
      </w:r>
    </w:p>
    <w:p>
      <w:pPr>
        <w:widowControl/>
        <w:spacing w:line="460" w:lineRule="exact"/>
        <w:ind w:firstLine="420"/>
        <w:jc w:val="left"/>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rPr>
        <w:t>2.1</w:t>
      </w:r>
      <w:bookmarkStart w:id="207" w:name="OLE_LINK3"/>
      <w:r>
        <w:rPr>
          <w:rFonts w:hint="eastAsia" w:ascii="宋体" w:hAnsi="宋体" w:eastAsia="宋体" w:cs="宋体"/>
          <w:color w:val="auto"/>
          <w:sz w:val="21"/>
          <w:szCs w:val="21"/>
        </w:rPr>
        <w:t>投标人拟投入本项目物业经理</w:t>
      </w:r>
      <w:bookmarkStart w:id="208" w:name="OLE_LINK8"/>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rPr>
        <w:t>①</w:t>
      </w:r>
      <w:bookmarkEnd w:id="208"/>
      <w:r>
        <w:rPr>
          <w:rFonts w:hint="eastAsia" w:ascii="宋体" w:hAnsi="宋体" w:eastAsia="宋体" w:cs="宋体"/>
          <w:color w:val="auto"/>
          <w:sz w:val="21"/>
          <w:szCs w:val="21"/>
          <w:highlight w:val="none"/>
        </w:rPr>
        <w:t>本科或以上学历</w:t>
      </w:r>
      <w:bookmarkStart w:id="209" w:name="OLE_LINK9"/>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得2分；</w:t>
      </w:r>
      <w:r>
        <w:rPr>
          <w:rFonts w:hint="eastAsia" w:ascii="宋体" w:hAnsi="宋体" w:eastAsia="宋体" w:cs="宋体"/>
          <w:color w:val="auto"/>
          <w:sz w:val="21"/>
          <w:szCs w:val="21"/>
        </w:rPr>
        <w:t>②</w:t>
      </w:r>
      <w:bookmarkEnd w:id="209"/>
      <w:r>
        <w:rPr>
          <w:rFonts w:hint="eastAsia" w:ascii="宋体" w:hAnsi="宋体" w:eastAsia="宋体" w:cs="宋体"/>
          <w:color w:val="auto"/>
          <w:sz w:val="21"/>
          <w:szCs w:val="21"/>
          <w:lang w:val="en-US" w:eastAsia="zh-CN"/>
        </w:rPr>
        <w:t>人社部门备案的评价机构颁发的三级以上（不含）物业管理师证书，得2分；③国家保密局宣传教育司颁发的保密教育培训证书，得2分；</w:t>
      </w:r>
      <w:r>
        <w:rPr>
          <w:rFonts w:hint="eastAsia" w:ascii="宋体" w:hAnsi="宋体" w:eastAsia="宋体" w:cs="宋体"/>
          <w:color w:val="auto"/>
          <w:sz w:val="21"/>
          <w:szCs w:val="21"/>
          <w:highlight w:val="none"/>
          <w:lang w:val="en-US" w:eastAsia="zh-CN"/>
        </w:rPr>
        <w:t>④人力资源和社会保障部门颁发的项目管理专业高级职称证书，</w:t>
      </w:r>
      <w:bookmarkStart w:id="210" w:name="OLE_LINK10"/>
      <w:r>
        <w:rPr>
          <w:rFonts w:hint="eastAsia" w:ascii="宋体" w:hAnsi="宋体" w:eastAsia="宋体" w:cs="宋体"/>
          <w:color w:val="auto"/>
          <w:sz w:val="21"/>
          <w:szCs w:val="21"/>
          <w:highlight w:val="none"/>
          <w:lang w:val="en-US" w:eastAsia="zh-CN"/>
        </w:rPr>
        <w:t>得2分；中级职称得1分，不累计计分</w:t>
      </w:r>
      <w:bookmarkEnd w:id="210"/>
      <w:r>
        <w:rPr>
          <w:rFonts w:hint="eastAsia"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rPr>
        <w:t>满分</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bookmarkEnd w:id="207"/>
    </w:p>
    <w:p>
      <w:pPr>
        <w:widowControl/>
        <w:spacing w:line="460" w:lineRule="exact"/>
        <w:ind w:firstLine="420"/>
        <w:jc w:val="left"/>
        <w:outlineLvl w:val="1"/>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w:t>
      </w:r>
      <w:bookmarkStart w:id="211" w:name="OLE_LINK11"/>
      <w:r>
        <w:rPr>
          <w:rFonts w:hint="eastAsia" w:ascii="宋体" w:hAnsi="宋体" w:eastAsia="宋体" w:cs="宋体"/>
          <w:color w:val="auto"/>
          <w:sz w:val="21"/>
          <w:szCs w:val="21"/>
          <w:highlight w:val="none"/>
        </w:rPr>
        <w:t>投标人拟投入本项目安保</w:t>
      </w:r>
      <w:r>
        <w:rPr>
          <w:rFonts w:hint="eastAsia" w:ascii="宋体" w:hAnsi="宋体" w:eastAsia="宋体" w:cs="宋体"/>
          <w:color w:val="auto"/>
          <w:sz w:val="21"/>
          <w:szCs w:val="21"/>
          <w:highlight w:val="none"/>
          <w:lang w:val="en-US" w:eastAsia="zh-CN"/>
        </w:rPr>
        <w:t>主管</w:t>
      </w:r>
      <w:bookmarkEnd w:id="211"/>
      <w:bookmarkStart w:id="212" w:name="OLE_LINK13"/>
      <w:r>
        <w:rPr>
          <w:rFonts w:hint="eastAsia" w:ascii="宋体" w:hAnsi="宋体" w:eastAsia="宋体" w:cs="宋体"/>
          <w:color w:val="auto"/>
          <w:sz w:val="21"/>
          <w:szCs w:val="21"/>
          <w:highlight w:val="none"/>
          <w:lang w:val="en-US" w:eastAsia="zh-CN"/>
        </w:rPr>
        <w:t>具有</w:t>
      </w:r>
      <w:r>
        <w:rPr>
          <w:rFonts w:hint="eastAsia" w:ascii="宋体" w:hAnsi="宋体" w:eastAsia="宋体" w:cs="宋体"/>
          <w:color w:val="auto"/>
          <w:sz w:val="21"/>
          <w:szCs w:val="21"/>
          <w:highlight w:val="none"/>
        </w:rPr>
        <w:t>①大专</w:t>
      </w:r>
      <w:r>
        <w:rPr>
          <w:rFonts w:hint="eastAsia" w:ascii="宋体" w:hAnsi="宋体" w:eastAsia="宋体" w:cs="宋体"/>
          <w:color w:val="auto"/>
          <w:sz w:val="21"/>
          <w:szCs w:val="21"/>
          <w:highlight w:val="none"/>
          <w:lang w:val="en-US" w:eastAsia="zh-CN"/>
        </w:rPr>
        <w:t>或</w:t>
      </w:r>
      <w:r>
        <w:rPr>
          <w:rFonts w:hint="eastAsia" w:ascii="宋体" w:hAnsi="宋体" w:eastAsia="宋体" w:cs="宋体"/>
          <w:color w:val="auto"/>
          <w:sz w:val="21"/>
          <w:szCs w:val="21"/>
          <w:highlight w:val="none"/>
        </w:rPr>
        <w:t>以上学历</w:t>
      </w:r>
      <w:bookmarkEnd w:id="212"/>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②</w:t>
      </w:r>
      <w:r>
        <w:rPr>
          <w:rFonts w:hint="eastAsia" w:ascii="宋体" w:hAnsi="宋体" w:eastAsia="宋体" w:cs="宋体"/>
          <w:color w:val="auto"/>
          <w:sz w:val="21"/>
          <w:szCs w:val="21"/>
          <w:highlight w:val="none"/>
          <w:lang w:val="en-US" w:eastAsia="zh-CN"/>
        </w:rPr>
        <w:t>退伍军人；③</w:t>
      </w:r>
      <w:r>
        <w:rPr>
          <w:rFonts w:hint="eastAsia" w:ascii="宋体" w:hAnsi="宋体" w:eastAsia="宋体" w:cs="宋体"/>
          <w:color w:val="auto"/>
          <w:sz w:val="21"/>
          <w:szCs w:val="21"/>
          <w:lang w:val="en-US" w:eastAsia="zh-CN"/>
        </w:rPr>
        <w:t>有应急管理部门或人力资源和社会保障部门颁发的应急救援员职业资格证书；</w:t>
      </w:r>
      <w:r>
        <w:rPr>
          <w:rFonts w:hint="eastAsia" w:ascii="宋体" w:hAnsi="宋体" w:eastAsia="宋体" w:cs="宋体"/>
          <w:color w:val="auto"/>
          <w:sz w:val="21"/>
          <w:szCs w:val="21"/>
          <w:highlight w:val="none"/>
          <w:lang w:val="en-US" w:eastAsia="zh-CN"/>
        </w:rPr>
        <w:t>④中级消防设施操作员证；⑤人力资源和社会保障厅颁发的中级或以上职称证书</w:t>
      </w:r>
      <w:bookmarkStart w:id="213" w:name="OLE_LINK12"/>
      <w:r>
        <w:rPr>
          <w:rFonts w:hint="eastAsia" w:ascii="宋体" w:hAnsi="宋体" w:eastAsia="宋体" w:cs="宋体"/>
          <w:color w:val="auto"/>
          <w:sz w:val="21"/>
          <w:szCs w:val="21"/>
          <w:highlight w:val="none"/>
          <w:lang w:val="en-US" w:eastAsia="zh-CN"/>
        </w:rPr>
        <w:t>；⑥行政管理部门颁发的安全生产管理人员证书，每一项1分，满分6分</w:t>
      </w:r>
      <w:bookmarkEnd w:id="213"/>
      <w:r>
        <w:rPr>
          <w:rFonts w:hint="eastAsia" w:ascii="宋体" w:hAnsi="宋体" w:eastAsia="宋体" w:cs="宋体"/>
          <w:color w:val="auto"/>
          <w:sz w:val="21"/>
          <w:szCs w:val="21"/>
          <w:highlight w:val="none"/>
        </w:rPr>
        <w:t>。</w:t>
      </w:r>
    </w:p>
    <w:p>
      <w:pPr>
        <w:widowControl/>
        <w:spacing w:line="460" w:lineRule="exact"/>
        <w:ind w:firstLine="420"/>
        <w:jc w:val="left"/>
        <w:outlineLvl w:val="1"/>
        <w:rPr>
          <w:rFonts w:hint="eastAsia" w:ascii="宋体" w:hAnsi="宋体" w:eastAsia="宋体" w:cs="宋体"/>
          <w:color w:val="auto"/>
          <w:sz w:val="21"/>
          <w:szCs w:val="21"/>
        </w:rPr>
      </w:pPr>
      <w:r>
        <w:rPr>
          <w:rFonts w:hint="eastAsia" w:ascii="宋体" w:hAnsi="宋体" w:eastAsia="宋体" w:cs="宋体"/>
          <w:color w:val="auto"/>
          <w:sz w:val="21"/>
          <w:szCs w:val="21"/>
          <w:highlight w:val="none"/>
        </w:rPr>
        <w:t>2.3投标人拟投入本项目</w:t>
      </w:r>
      <w:r>
        <w:rPr>
          <w:rFonts w:hint="eastAsia" w:ascii="宋体" w:hAnsi="宋体" w:eastAsia="宋体" w:cs="宋体"/>
          <w:color w:val="auto"/>
          <w:sz w:val="21"/>
          <w:szCs w:val="21"/>
          <w:highlight w:val="none"/>
          <w:lang w:val="en-US" w:eastAsia="zh-CN"/>
        </w:rPr>
        <w:t>经理助理具有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大专或以上学历、②</w:t>
      </w:r>
      <w:r>
        <w:rPr>
          <w:rFonts w:hint="eastAsia" w:ascii="宋体" w:hAnsi="宋体" w:eastAsia="宋体" w:cs="宋体"/>
          <w:color w:val="auto"/>
          <w:kern w:val="0"/>
          <w:sz w:val="21"/>
          <w:szCs w:val="21"/>
          <w:highlight w:val="none"/>
        </w:rPr>
        <w:t>人力资源和社会保障厅颁发的</w:t>
      </w:r>
      <w:r>
        <w:rPr>
          <w:rFonts w:hint="eastAsia" w:ascii="宋体" w:hAnsi="宋体" w:eastAsia="宋体" w:cs="宋体"/>
          <w:color w:val="auto"/>
          <w:kern w:val="0"/>
          <w:sz w:val="21"/>
          <w:szCs w:val="21"/>
          <w:highlight w:val="none"/>
          <w:lang w:val="en-US" w:eastAsia="zh-CN"/>
        </w:rPr>
        <w:t>中级</w:t>
      </w:r>
      <w:r>
        <w:rPr>
          <w:rFonts w:hint="eastAsia" w:ascii="宋体" w:hAnsi="宋体" w:eastAsia="宋体" w:cs="宋体"/>
          <w:color w:val="auto"/>
          <w:kern w:val="0"/>
          <w:sz w:val="21"/>
          <w:szCs w:val="21"/>
          <w:highlight w:val="none"/>
        </w:rPr>
        <w:t>或以上职称证书</w:t>
      </w:r>
      <w:r>
        <w:rPr>
          <w:rFonts w:hint="eastAsia"/>
          <w:color w:val="auto"/>
          <w:lang w:eastAsia="zh-CN"/>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人社部门备案的评价机构颁发的三级以上（含）物业管理师证书</w:t>
      </w:r>
      <w:r>
        <w:rPr>
          <w:rFonts w:hint="eastAsia" w:ascii="宋体" w:hAnsi="宋体" w:eastAsia="宋体" w:cs="宋体"/>
          <w:color w:val="auto"/>
          <w:kern w:val="0"/>
          <w:sz w:val="21"/>
          <w:szCs w:val="21"/>
          <w:highlight w:val="none"/>
          <w:lang w:eastAsia="zh-CN"/>
        </w:rPr>
        <w:t>，</w:t>
      </w:r>
      <w:bookmarkStart w:id="214" w:name="OLE_LINK14"/>
      <w:r>
        <w:rPr>
          <w:rFonts w:hint="eastAsia" w:ascii="宋体" w:hAnsi="宋体" w:eastAsia="宋体" w:cs="宋体"/>
          <w:color w:val="auto"/>
          <w:sz w:val="21"/>
          <w:szCs w:val="21"/>
          <w:lang w:val="en-US" w:eastAsia="zh-CN"/>
        </w:rPr>
        <w:t>每一项1分，满分3分</w:t>
      </w:r>
      <w:bookmarkEnd w:id="214"/>
      <w:r>
        <w:rPr>
          <w:rFonts w:hint="eastAsia" w:ascii="宋体" w:hAnsi="宋体" w:eastAsia="宋体" w:cs="宋体"/>
          <w:color w:val="auto"/>
          <w:sz w:val="21"/>
          <w:szCs w:val="21"/>
        </w:rPr>
        <w:t>。</w:t>
      </w:r>
    </w:p>
    <w:p>
      <w:pPr>
        <w:widowControl/>
        <w:spacing w:line="460" w:lineRule="exact"/>
        <w:ind w:firstLine="420"/>
        <w:jc w:val="left"/>
        <w:outlineLvl w:val="1"/>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rPr>
        <w:t>2.4投标人拟投入本项目</w:t>
      </w:r>
      <w:r>
        <w:rPr>
          <w:rFonts w:hint="eastAsia" w:ascii="宋体" w:hAnsi="宋体" w:eastAsia="宋体" w:cs="宋体"/>
          <w:color w:val="auto"/>
          <w:sz w:val="21"/>
          <w:szCs w:val="21"/>
          <w:lang w:val="en-US" w:eastAsia="zh-CN"/>
        </w:rPr>
        <w:t>维修主管具有</w:t>
      </w:r>
      <w:r>
        <w:rPr>
          <w:rFonts w:hint="eastAsia" w:ascii="宋体" w:hAnsi="宋体" w:eastAsia="宋体" w:cs="宋体"/>
          <w:color w:val="auto"/>
          <w:sz w:val="21"/>
          <w:szCs w:val="21"/>
        </w:rPr>
        <w:t>①电气工程与自动化</w:t>
      </w:r>
      <w:r>
        <w:rPr>
          <w:rFonts w:hint="eastAsia" w:ascii="宋体" w:hAnsi="宋体" w:eastAsia="宋体" w:cs="宋体"/>
          <w:color w:val="auto"/>
          <w:sz w:val="21"/>
          <w:szCs w:val="21"/>
          <w:lang w:val="en-US" w:eastAsia="zh-CN"/>
        </w:rPr>
        <w:t>相关</w:t>
      </w:r>
      <w:r>
        <w:rPr>
          <w:rFonts w:hint="eastAsia" w:ascii="宋体" w:hAnsi="宋体" w:eastAsia="宋体" w:cs="宋体"/>
          <w:color w:val="auto"/>
          <w:sz w:val="21"/>
          <w:szCs w:val="21"/>
        </w:rPr>
        <w:t>专业</w:t>
      </w:r>
      <w:r>
        <w:rPr>
          <w:rFonts w:hint="eastAsia" w:ascii="宋体" w:hAnsi="宋体" w:eastAsia="宋体" w:cs="宋体"/>
          <w:color w:val="auto"/>
          <w:kern w:val="0"/>
          <w:sz w:val="21"/>
          <w:szCs w:val="21"/>
          <w:highlight w:val="none"/>
        </w:rPr>
        <w:t>本科</w:t>
      </w:r>
      <w:r>
        <w:rPr>
          <w:rFonts w:hint="eastAsia" w:ascii="宋体" w:hAnsi="宋体" w:eastAsia="宋体" w:cs="宋体"/>
          <w:color w:val="auto"/>
          <w:kern w:val="0"/>
          <w:sz w:val="21"/>
          <w:szCs w:val="21"/>
          <w:highlight w:val="none"/>
          <w:lang w:val="en-US" w:eastAsia="zh-CN"/>
        </w:rPr>
        <w:t>或以上学历，得2分；大专学历，得1分，不累计计分；</w:t>
      </w:r>
      <w:r>
        <w:rPr>
          <w:rFonts w:hint="eastAsia" w:ascii="宋体" w:hAnsi="宋体" w:eastAsia="宋体" w:cs="宋体"/>
          <w:color w:val="auto"/>
          <w:sz w:val="21"/>
          <w:szCs w:val="21"/>
          <w:highlight w:val="none"/>
          <w:lang w:val="en-US" w:eastAsia="zh-CN"/>
        </w:rPr>
        <w:t>②</w:t>
      </w:r>
      <w:r>
        <w:rPr>
          <w:rFonts w:hint="eastAsia" w:ascii="宋体" w:hAnsi="宋体" w:eastAsia="宋体" w:cs="宋体"/>
          <w:color w:val="auto"/>
          <w:kern w:val="0"/>
          <w:sz w:val="21"/>
          <w:szCs w:val="21"/>
          <w:highlight w:val="none"/>
        </w:rPr>
        <w:t>人力资源和社会保障</w:t>
      </w:r>
      <w:r>
        <w:rPr>
          <w:rFonts w:hint="eastAsia" w:ascii="宋体" w:hAnsi="宋体" w:eastAsia="宋体" w:cs="宋体"/>
          <w:color w:val="auto"/>
          <w:kern w:val="0"/>
          <w:sz w:val="21"/>
          <w:szCs w:val="21"/>
          <w:highlight w:val="none"/>
          <w:lang w:val="en-US" w:eastAsia="zh-CN"/>
        </w:rPr>
        <w:t>部门</w:t>
      </w:r>
      <w:r>
        <w:rPr>
          <w:rFonts w:hint="eastAsia" w:ascii="宋体" w:hAnsi="宋体" w:eastAsia="宋体" w:cs="宋体"/>
          <w:color w:val="auto"/>
          <w:kern w:val="0"/>
          <w:sz w:val="21"/>
          <w:szCs w:val="21"/>
          <w:highlight w:val="none"/>
        </w:rPr>
        <w:t>颁发的工业电气及其电动化专业</w:t>
      </w:r>
      <w:r>
        <w:rPr>
          <w:rFonts w:hint="eastAsia" w:ascii="宋体" w:hAnsi="宋体" w:eastAsia="宋体" w:cs="宋体"/>
          <w:color w:val="auto"/>
          <w:kern w:val="0"/>
          <w:sz w:val="21"/>
          <w:szCs w:val="21"/>
          <w:highlight w:val="none"/>
          <w:lang w:val="en-US" w:eastAsia="zh-CN"/>
        </w:rPr>
        <w:t>相关专业</w:t>
      </w:r>
      <w:r>
        <w:rPr>
          <w:rFonts w:hint="eastAsia" w:ascii="宋体" w:hAnsi="宋体" w:eastAsia="宋体" w:cs="宋体"/>
          <w:color w:val="auto"/>
          <w:kern w:val="0"/>
          <w:sz w:val="21"/>
          <w:szCs w:val="21"/>
          <w:highlight w:val="none"/>
        </w:rPr>
        <w:t>高级职称证书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得2分；中级职称，得1分</w:t>
      </w:r>
      <w:r>
        <w:rPr>
          <w:rFonts w:hint="eastAsia" w:ascii="宋体" w:hAnsi="宋体" w:eastAsia="宋体" w:cs="宋体"/>
          <w:color w:val="auto"/>
          <w:lang w:eastAsia="zh-CN"/>
        </w:rPr>
        <w:t>，</w:t>
      </w:r>
      <w:r>
        <w:rPr>
          <w:rFonts w:hint="eastAsia" w:ascii="宋体" w:hAnsi="宋体" w:eastAsia="宋体" w:cs="宋体"/>
          <w:color w:val="auto"/>
          <w:lang w:val="en-US" w:eastAsia="zh-CN"/>
        </w:rPr>
        <w:t>不累计计分；</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行政部门颁发的</w:t>
      </w:r>
      <w:r>
        <w:rPr>
          <w:rFonts w:hint="eastAsia" w:ascii="宋体" w:hAnsi="宋体" w:eastAsia="宋体" w:cs="宋体"/>
          <w:color w:val="auto"/>
          <w:szCs w:val="21"/>
          <w:lang w:eastAsia="zh-CN"/>
        </w:rPr>
        <w:t>特种设备作业A证</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kern w:val="0"/>
          <w:sz w:val="21"/>
          <w:szCs w:val="21"/>
          <w:highlight w:val="none"/>
          <w:lang w:val="en-US" w:eastAsia="zh-CN"/>
        </w:rPr>
        <w:t>得2分，④高压电工证，得</w:t>
      </w:r>
      <w:r>
        <w:rPr>
          <w:rFonts w:hint="eastAsia" w:ascii="宋体" w:hAnsi="宋体" w:eastAsia="宋体" w:cs="宋体"/>
          <w:color w:val="auto"/>
          <w:sz w:val="21"/>
          <w:szCs w:val="21"/>
          <w:lang w:val="en-US" w:eastAsia="zh-CN"/>
        </w:rPr>
        <w:t>2分。满分8分。</w:t>
      </w:r>
    </w:p>
    <w:p>
      <w:pPr>
        <w:pStyle w:val="59"/>
        <w:spacing w:line="360" w:lineRule="auto"/>
        <w:rPr>
          <w:rFonts w:hint="default"/>
          <w:color w:val="auto"/>
          <w:lang w:val="en-US" w:eastAsia="zh-CN"/>
        </w:rPr>
      </w:pPr>
      <w:r>
        <w:rPr>
          <w:rFonts w:hint="eastAsia" w:ascii="宋体" w:hAnsi="宋体" w:eastAsia="宋体" w:cs="宋体"/>
          <w:color w:val="auto"/>
          <w:sz w:val="21"/>
          <w:szCs w:val="21"/>
          <w:lang w:val="en-US" w:eastAsia="zh-CN"/>
        </w:rPr>
        <w:t>2.5</w:t>
      </w:r>
      <w:r>
        <w:rPr>
          <w:rFonts w:hint="eastAsia" w:ascii="宋体" w:hAnsi="宋体" w:eastAsia="宋体" w:cs="宋体"/>
          <w:color w:val="auto"/>
          <w:sz w:val="21"/>
          <w:szCs w:val="21"/>
        </w:rPr>
        <w:t>投标人拟投入本项目</w:t>
      </w:r>
      <w:r>
        <w:rPr>
          <w:rFonts w:hint="eastAsia" w:ascii="宋体" w:hAnsi="宋体" w:eastAsia="宋体" w:cs="宋体"/>
          <w:color w:val="auto"/>
          <w:sz w:val="21"/>
          <w:szCs w:val="21"/>
          <w:lang w:eastAsia="zh-CN"/>
        </w:rPr>
        <w:t>保洁</w:t>
      </w:r>
      <w:r>
        <w:rPr>
          <w:rFonts w:hint="eastAsia" w:ascii="宋体" w:hAnsi="宋体" w:eastAsia="宋体" w:cs="宋体"/>
          <w:color w:val="auto"/>
          <w:sz w:val="21"/>
          <w:szCs w:val="21"/>
        </w:rPr>
        <w:t>绿化主管</w:t>
      </w:r>
      <w:r>
        <w:rPr>
          <w:rFonts w:hint="eastAsia" w:ascii="宋体" w:hAnsi="宋体" w:eastAsia="宋体" w:cs="宋体"/>
          <w:color w:val="auto"/>
          <w:sz w:val="21"/>
          <w:szCs w:val="21"/>
          <w:lang w:val="en-US" w:eastAsia="zh-CN"/>
        </w:rPr>
        <w:t>具有</w:t>
      </w:r>
      <w:r>
        <w:rPr>
          <w:rFonts w:hint="eastAsia" w:ascii="宋体" w:hAnsi="宋体" w:eastAsia="宋体" w:cs="宋体"/>
          <w:color w:val="auto"/>
          <w:sz w:val="21"/>
          <w:szCs w:val="21"/>
          <w:highlight w:val="none"/>
        </w:rPr>
        <w:t>①</w:t>
      </w:r>
      <w:r>
        <w:rPr>
          <w:rFonts w:hint="eastAsia" w:ascii="宋体" w:hAnsi="宋体" w:eastAsia="宋体" w:cs="宋体"/>
          <w:color w:val="auto"/>
          <w:sz w:val="21"/>
          <w:szCs w:val="21"/>
          <w:highlight w:val="none"/>
          <w:lang w:val="en-US" w:eastAsia="zh-CN"/>
        </w:rPr>
        <w:t>园林专业本科或以上学历、②</w:t>
      </w:r>
      <w:r>
        <w:rPr>
          <w:rFonts w:hint="eastAsia" w:ascii="宋体" w:hAnsi="宋体" w:eastAsia="宋体" w:cs="宋体"/>
          <w:color w:val="auto"/>
          <w:kern w:val="0"/>
          <w:sz w:val="21"/>
          <w:szCs w:val="21"/>
          <w:highlight w:val="none"/>
        </w:rPr>
        <w:t>人力资源和社会保障厅颁发的</w:t>
      </w:r>
      <w:r>
        <w:rPr>
          <w:rFonts w:hint="eastAsia" w:ascii="宋体" w:hAnsi="宋体" w:eastAsia="宋体" w:cs="宋体"/>
          <w:color w:val="auto"/>
          <w:kern w:val="0"/>
          <w:sz w:val="21"/>
          <w:szCs w:val="21"/>
          <w:highlight w:val="none"/>
          <w:lang w:val="en-US" w:eastAsia="zh-CN"/>
        </w:rPr>
        <w:t>风景园林相关专业中级</w:t>
      </w:r>
      <w:r>
        <w:rPr>
          <w:rFonts w:hint="eastAsia" w:ascii="宋体" w:hAnsi="宋体" w:eastAsia="宋体" w:cs="宋体"/>
          <w:color w:val="auto"/>
          <w:kern w:val="0"/>
          <w:sz w:val="21"/>
          <w:szCs w:val="21"/>
          <w:highlight w:val="none"/>
        </w:rPr>
        <w:t>或以上职称证书</w:t>
      </w:r>
      <w:r>
        <w:rPr>
          <w:rFonts w:hint="eastAsia"/>
          <w:color w:val="auto"/>
          <w:lang w:eastAsia="zh-CN"/>
        </w:rPr>
        <w:t>、</w:t>
      </w:r>
      <w:r>
        <w:rPr>
          <w:rFonts w:hint="eastAsia" w:ascii="宋体" w:hAnsi="宋体" w:eastAsia="宋体" w:cs="宋体"/>
          <w:color w:val="auto"/>
          <w:sz w:val="21"/>
          <w:szCs w:val="21"/>
          <w:highlight w:val="none"/>
          <w:lang w:val="en-US" w:eastAsia="zh-CN"/>
        </w:rPr>
        <w:t>③</w:t>
      </w:r>
      <w:r>
        <w:rPr>
          <w:rFonts w:hint="eastAsia" w:ascii="宋体" w:hAnsi="宋体" w:eastAsia="宋体" w:cs="宋体"/>
          <w:color w:val="auto"/>
          <w:sz w:val="21"/>
          <w:szCs w:val="21"/>
          <w:lang w:val="en-US" w:eastAsia="zh-CN"/>
        </w:rPr>
        <w:t>人社部门颁发的三级或以上绿化工证书</w:t>
      </w:r>
      <w:r>
        <w:rPr>
          <w:rFonts w:hint="eastAsia" w:ascii="宋体" w:hAnsi="宋体" w:eastAsia="宋体" w:cs="宋体"/>
          <w:color w:val="auto"/>
          <w:kern w:val="0"/>
          <w:sz w:val="21"/>
          <w:szCs w:val="21"/>
          <w:highlight w:val="none"/>
          <w:lang w:eastAsia="zh-CN"/>
        </w:rPr>
        <w:t>，</w:t>
      </w:r>
      <w:r>
        <w:rPr>
          <w:rFonts w:hint="eastAsia" w:ascii="宋体" w:hAnsi="宋体" w:eastAsia="宋体" w:cs="宋体"/>
          <w:color w:val="auto"/>
          <w:sz w:val="21"/>
          <w:szCs w:val="21"/>
          <w:lang w:val="en-US" w:eastAsia="zh-CN"/>
        </w:rPr>
        <w:t>每一项1分，满分3分</w:t>
      </w:r>
      <w:r>
        <w:rPr>
          <w:rFonts w:hint="eastAsia" w:ascii="宋体" w:hAnsi="宋体" w:eastAsia="宋体" w:cs="宋体"/>
          <w:color w:val="auto"/>
          <w:sz w:val="21"/>
          <w:szCs w:val="21"/>
        </w:rPr>
        <w:t>。</w:t>
      </w:r>
    </w:p>
    <w:p>
      <w:pPr>
        <w:widowControl/>
        <w:spacing w:line="360" w:lineRule="auto"/>
        <w:ind w:firstLine="420"/>
        <w:jc w:val="left"/>
        <w:outlineLvl w:val="1"/>
        <w:rPr>
          <w:rFonts w:hint="eastAsia" w:ascii="宋体" w:hAnsi="宋体" w:eastAsia="宋体" w:cs="宋体"/>
          <w:color w:val="auto"/>
          <w:sz w:val="21"/>
          <w:szCs w:val="21"/>
        </w:rPr>
      </w:pPr>
      <w:r>
        <w:rPr>
          <w:rFonts w:hint="eastAsia" w:ascii="宋体" w:hAnsi="宋体" w:eastAsia="宋体" w:cs="宋体"/>
          <w:color w:val="auto"/>
          <w:sz w:val="21"/>
          <w:szCs w:val="21"/>
        </w:rPr>
        <w:t>注：须提供</w:t>
      </w:r>
      <w:r>
        <w:rPr>
          <w:rFonts w:hint="eastAsia" w:ascii="宋体" w:hAnsi="宋体" w:eastAsia="宋体" w:cs="宋体"/>
          <w:color w:val="auto"/>
          <w:sz w:val="21"/>
          <w:szCs w:val="21"/>
          <w:lang w:val="en-US" w:eastAsia="zh-CN"/>
        </w:rPr>
        <w:t>2.1-2.5</w:t>
      </w:r>
      <w:r>
        <w:rPr>
          <w:rFonts w:hint="eastAsia" w:ascii="宋体" w:hAnsi="宋体" w:eastAsia="宋体" w:cs="宋体"/>
          <w:color w:val="auto"/>
          <w:kern w:val="0"/>
          <w:sz w:val="21"/>
          <w:szCs w:val="21"/>
        </w:rPr>
        <w:t>拟投入的相关管理人员及上述所有相关证书证件的扫描件及</w:t>
      </w:r>
      <w:r>
        <w:rPr>
          <w:rFonts w:hint="eastAsia" w:ascii="宋体" w:hAnsi="宋体" w:eastAsia="宋体" w:cs="宋体"/>
          <w:b w:val="0"/>
          <w:bCs w:val="0"/>
          <w:color w:val="auto"/>
          <w:kern w:val="0"/>
          <w:sz w:val="21"/>
          <w:szCs w:val="21"/>
        </w:rPr>
        <w:t>劳动合同等证明材料</w:t>
      </w:r>
      <w:r>
        <w:rPr>
          <w:rFonts w:hint="eastAsia" w:ascii="宋体" w:hAnsi="宋体" w:eastAsia="宋体" w:cs="宋体"/>
          <w:b w:val="0"/>
          <w:bCs w:val="0"/>
          <w:color w:val="auto"/>
          <w:kern w:val="0"/>
          <w:sz w:val="21"/>
          <w:szCs w:val="21"/>
          <w:lang w:eastAsia="zh-CN"/>
        </w:rPr>
        <w:t>。</w:t>
      </w:r>
    </w:p>
    <w:p>
      <w:pPr>
        <w:rPr>
          <w:rFonts w:hint="eastAsia" w:ascii="宋体" w:hAnsi="宋体" w:eastAsia="宋体" w:cs="宋体"/>
          <w:color w:val="auto"/>
          <w:sz w:val="21"/>
          <w:szCs w:val="21"/>
        </w:rPr>
      </w:pPr>
    </w:p>
    <w:p>
      <w:pPr>
        <w:spacing w:line="360" w:lineRule="auto"/>
        <w:ind w:firstLine="426" w:firstLineChars="202"/>
        <w:rPr>
          <w:rFonts w:hint="eastAsia" w:ascii="宋体" w:hAnsi="宋体" w:eastAsia="宋体" w:cs="宋体"/>
          <w:b/>
          <w:color w:val="auto"/>
          <w:sz w:val="21"/>
          <w:szCs w:val="21"/>
          <w:highlight w:val="none"/>
        </w:rPr>
      </w:pPr>
    </w:p>
    <w:p>
      <w:pPr>
        <w:spacing w:line="360" w:lineRule="auto"/>
        <w:ind w:firstLine="426" w:firstLineChars="202"/>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（三）商务分……………………………………………………………………（</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分）</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bidi="ar"/>
        </w:rPr>
        <w:t>1</w:t>
      </w:r>
      <w:r>
        <w:rPr>
          <w:rFonts w:hint="eastAsia" w:ascii="宋体" w:hAnsi="宋体" w:eastAsia="宋体" w:cs="宋体"/>
          <w:color w:val="auto"/>
          <w:kern w:val="0"/>
          <w:sz w:val="21"/>
          <w:szCs w:val="21"/>
          <w:lang w:val="en-US" w:eastAsia="zh-CN" w:bidi="ar"/>
        </w:rPr>
        <w:t>.</w:t>
      </w:r>
      <w:r>
        <w:rPr>
          <w:rFonts w:hint="eastAsia" w:ascii="宋体" w:hAnsi="宋体" w:eastAsia="宋体" w:cs="宋体"/>
          <w:color w:val="auto"/>
          <w:kern w:val="0"/>
          <w:sz w:val="21"/>
          <w:szCs w:val="21"/>
          <w:lang w:bidi="ar"/>
        </w:rPr>
        <w:t>投标人具有IS09001质量管理体系认证、IS014001 环境管理体系认证、IS045001 职业健康安全管理体系认证，每份证书得</w:t>
      </w: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分，满分</w:t>
      </w:r>
      <w:r>
        <w:rPr>
          <w:rFonts w:hint="eastAsia" w:ascii="宋体" w:hAnsi="宋体" w:eastAsia="宋体" w:cs="宋体"/>
          <w:color w:val="auto"/>
          <w:kern w:val="0"/>
          <w:sz w:val="21"/>
          <w:szCs w:val="21"/>
          <w:lang w:val="en-US" w:eastAsia="zh-CN" w:bidi="ar"/>
        </w:rPr>
        <w:t>6</w:t>
      </w:r>
      <w:r>
        <w:rPr>
          <w:rFonts w:hint="eastAsia" w:ascii="宋体" w:hAnsi="宋体" w:eastAsia="宋体" w:cs="宋体"/>
          <w:color w:val="auto"/>
          <w:kern w:val="0"/>
          <w:sz w:val="21"/>
          <w:szCs w:val="21"/>
          <w:lang w:bidi="ar"/>
        </w:rPr>
        <w:t>分，否则不得分。（须提供有效认证证书并加盖投标人公章）</w:t>
      </w:r>
    </w:p>
    <w:p>
      <w:pPr>
        <w:widowControl/>
        <w:spacing w:line="460" w:lineRule="exact"/>
        <w:ind w:firstLine="420"/>
        <w:jc w:val="left"/>
        <w:outlineLvl w:val="1"/>
        <w:rPr>
          <w:rFonts w:hint="eastAsia" w:ascii="宋体" w:hAnsi="宋体" w:eastAsia="宋体" w:cs="宋体"/>
          <w:color w:val="auto"/>
          <w:kern w:val="0"/>
          <w:sz w:val="21"/>
          <w:szCs w:val="21"/>
          <w:lang w:bidi="ar"/>
        </w:rPr>
      </w:pPr>
      <w:r>
        <w:rPr>
          <w:rFonts w:hint="eastAsia" w:ascii="宋体" w:hAnsi="宋体" w:eastAsia="宋体" w:cs="宋体"/>
          <w:color w:val="auto"/>
          <w:kern w:val="0"/>
          <w:sz w:val="21"/>
          <w:szCs w:val="21"/>
          <w:lang w:val="en-US" w:eastAsia="zh-CN" w:bidi="ar"/>
        </w:rPr>
        <w:t>2.</w:t>
      </w:r>
      <w:r>
        <w:rPr>
          <w:rFonts w:hint="eastAsia" w:ascii="宋体" w:hAnsi="宋体" w:eastAsia="宋体" w:cs="宋体"/>
          <w:color w:val="auto"/>
          <w:kern w:val="0"/>
          <w:sz w:val="21"/>
          <w:szCs w:val="21"/>
          <w:lang w:bidi="ar"/>
        </w:rPr>
        <w:t>投标人自2022年以来具有同类项目业绩的，每项得1分，满分</w:t>
      </w:r>
      <w:r>
        <w:rPr>
          <w:rFonts w:hint="eastAsia" w:ascii="宋体" w:hAnsi="宋体" w:eastAsia="宋体" w:cs="宋体"/>
          <w:color w:val="auto"/>
          <w:kern w:val="0"/>
          <w:sz w:val="21"/>
          <w:szCs w:val="21"/>
          <w:lang w:val="en-US" w:eastAsia="zh-CN" w:bidi="ar"/>
        </w:rPr>
        <w:t>10</w:t>
      </w:r>
      <w:r>
        <w:rPr>
          <w:rFonts w:hint="eastAsia" w:ascii="宋体" w:hAnsi="宋体" w:eastAsia="宋体" w:cs="宋体"/>
          <w:color w:val="auto"/>
          <w:kern w:val="0"/>
          <w:sz w:val="21"/>
          <w:szCs w:val="21"/>
          <w:lang w:bidi="ar"/>
        </w:rPr>
        <w:t>分。(须提供包括合同名称、标的、金额、期限、签字盖章内容的合同关键页)</w:t>
      </w:r>
    </w:p>
    <w:p>
      <w:pPr>
        <w:spacing w:line="460" w:lineRule="exact"/>
        <w:rPr>
          <w:rFonts w:hint="eastAsia" w:ascii="宋体" w:hAnsi="宋体" w:eastAsia="宋体" w:cs="宋体"/>
          <w:strike w:val="0"/>
          <w:dstrike w:val="0"/>
          <w:color w:val="auto"/>
          <w:sz w:val="21"/>
          <w:szCs w:val="21"/>
          <w:u w:val="none"/>
        </w:rPr>
      </w:pPr>
      <w:r>
        <w:rPr>
          <w:rFonts w:hint="eastAsia" w:ascii="宋体" w:hAnsi="宋体" w:eastAsia="宋体" w:cs="宋体"/>
          <w:strike w:val="0"/>
          <w:dstrike w:val="0"/>
          <w:color w:val="auto"/>
          <w:kern w:val="0"/>
          <w:sz w:val="21"/>
          <w:szCs w:val="21"/>
          <w:u w:val="none"/>
          <w:lang w:val="en-US" w:eastAsia="zh-CN" w:bidi="ar"/>
        </w:rPr>
        <w:t>3.</w:t>
      </w:r>
      <w:r>
        <w:rPr>
          <w:rFonts w:hint="eastAsia" w:ascii="宋体" w:hAnsi="宋体" w:eastAsia="宋体" w:cs="宋体"/>
          <w:strike w:val="0"/>
          <w:dstrike w:val="0"/>
          <w:color w:val="auto"/>
          <w:sz w:val="21"/>
          <w:szCs w:val="21"/>
          <w:u w:val="none"/>
        </w:rPr>
        <w:t>自2022年1月1日以来，投标人或所服务的项目获得行政部门颁发的与物业服务相关的荣誉奖项的，</w:t>
      </w:r>
      <w:r>
        <w:rPr>
          <w:rFonts w:hint="eastAsia" w:ascii="宋体" w:hAnsi="宋体" w:eastAsia="宋体" w:cs="宋体"/>
          <w:strike w:val="0"/>
          <w:dstrike w:val="0"/>
          <w:color w:val="auto"/>
          <w:sz w:val="21"/>
          <w:szCs w:val="21"/>
          <w:u w:val="none"/>
          <w:lang w:val="en-US" w:eastAsia="zh-CN"/>
        </w:rPr>
        <w:t>地级市的得1分，</w:t>
      </w:r>
      <w:r>
        <w:rPr>
          <w:rFonts w:hint="eastAsia" w:ascii="宋体" w:hAnsi="宋体" w:eastAsia="宋体" w:cs="宋体"/>
          <w:strike w:val="0"/>
          <w:dstrike w:val="0"/>
          <w:color w:val="auto"/>
          <w:sz w:val="21"/>
          <w:szCs w:val="21"/>
          <w:u w:val="none"/>
        </w:rPr>
        <w:t>省（区、直辖市）级及以上的得</w:t>
      </w:r>
      <w:r>
        <w:rPr>
          <w:rFonts w:hint="eastAsia" w:ascii="宋体" w:hAnsi="宋体" w:eastAsia="宋体" w:cs="宋体"/>
          <w:strike w:val="0"/>
          <w:dstrike w:val="0"/>
          <w:color w:val="auto"/>
          <w:sz w:val="21"/>
          <w:szCs w:val="21"/>
          <w:u w:val="none"/>
          <w:lang w:val="en-US" w:eastAsia="zh-CN"/>
        </w:rPr>
        <w:t>2</w:t>
      </w:r>
      <w:r>
        <w:rPr>
          <w:rFonts w:hint="eastAsia" w:ascii="宋体" w:hAnsi="宋体" w:eastAsia="宋体" w:cs="宋体"/>
          <w:strike w:val="0"/>
          <w:dstrike w:val="0"/>
          <w:color w:val="auto"/>
          <w:sz w:val="21"/>
          <w:szCs w:val="21"/>
          <w:u w:val="none"/>
        </w:rPr>
        <w:t>分，</w:t>
      </w:r>
      <w:r>
        <w:rPr>
          <w:rFonts w:hint="eastAsia" w:ascii="宋体" w:hAnsi="宋体" w:eastAsia="宋体" w:cs="宋体"/>
          <w:strike w:val="0"/>
          <w:dstrike w:val="0"/>
          <w:color w:val="auto"/>
          <w:sz w:val="21"/>
          <w:szCs w:val="21"/>
          <w:u w:val="none"/>
          <w:lang w:val="en-US" w:eastAsia="zh-CN"/>
        </w:rPr>
        <w:t>国家级及以上的得3分，</w:t>
      </w:r>
      <w:r>
        <w:rPr>
          <w:rFonts w:hint="eastAsia" w:ascii="宋体" w:hAnsi="宋体" w:eastAsia="宋体" w:cs="宋体"/>
          <w:strike w:val="0"/>
          <w:dstrike w:val="0"/>
          <w:color w:val="auto"/>
          <w:sz w:val="21"/>
          <w:szCs w:val="21"/>
          <w:u w:val="none"/>
        </w:rPr>
        <w:t>满分</w:t>
      </w:r>
      <w:r>
        <w:rPr>
          <w:rFonts w:hint="eastAsia" w:ascii="宋体" w:hAnsi="宋体" w:eastAsia="宋体" w:cs="宋体"/>
          <w:strike w:val="0"/>
          <w:dstrike w:val="0"/>
          <w:color w:val="auto"/>
          <w:sz w:val="21"/>
          <w:szCs w:val="21"/>
          <w:u w:val="none"/>
          <w:lang w:val="en-US" w:eastAsia="zh-CN"/>
        </w:rPr>
        <w:t>3</w:t>
      </w:r>
      <w:r>
        <w:rPr>
          <w:rFonts w:hint="eastAsia" w:ascii="宋体" w:hAnsi="宋体" w:eastAsia="宋体" w:cs="宋体"/>
          <w:strike w:val="0"/>
          <w:dstrike w:val="0"/>
          <w:color w:val="auto"/>
          <w:sz w:val="21"/>
          <w:szCs w:val="21"/>
          <w:u w:val="none"/>
        </w:rPr>
        <w:t>分。（须提供相关证明材料）</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三、总得分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价格分</w:t>
      </w:r>
      <w:r>
        <w:rPr>
          <w:rFonts w:ascii="Times New Roman" w:hAnsi="Times New Roman" w:eastAsia="宋体" w:cs="Times New Roman"/>
          <w:b/>
          <w:bCs/>
          <w:color w:val="auto"/>
          <w:szCs w:val="24"/>
          <w:highlight w:val="none"/>
        </w:rPr>
        <w:t>+</w:t>
      </w:r>
      <w:r>
        <w:rPr>
          <w:rFonts w:hint="eastAsia" w:ascii="Times New Roman" w:hAnsi="Times New Roman" w:eastAsia="宋体" w:cs="Times New Roman"/>
          <w:b/>
          <w:bCs/>
          <w:color w:val="auto"/>
          <w:szCs w:val="24"/>
          <w:highlight w:val="none"/>
        </w:rPr>
        <w:t>技术商务资信分</w:t>
      </w:r>
    </w:p>
    <w:p>
      <w:pPr>
        <w:spacing w:line="460" w:lineRule="exact"/>
        <w:rPr>
          <w:rFonts w:ascii="Times New Roman" w:hAnsi="Times New Roman" w:eastAsia="宋体" w:cs="Times New Roman"/>
          <w:b/>
          <w:bCs/>
          <w:color w:val="auto"/>
          <w:szCs w:val="24"/>
          <w:highlight w:val="none"/>
        </w:rPr>
      </w:pPr>
      <w:r>
        <w:rPr>
          <w:rFonts w:hint="eastAsia" w:ascii="Times New Roman" w:hAnsi="Times New Roman" w:eastAsia="宋体" w:cs="Times New Roman"/>
          <w:b/>
          <w:bCs/>
          <w:color w:val="auto"/>
          <w:szCs w:val="24"/>
          <w:highlight w:val="none"/>
        </w:rPr>
        <w:t>四、中标候选人</w:t>
      </w:r>
      <w:bookmarkStart w:id="215" w:name="_Hlk92267887"/>
      <w:r>
        <w:rPr>
          <w:rFonts w:hint="eastAsia" w:ascii="Times New Roman" w:hAnsi="Times New Roman" w:eastAsia="宋体" w:cs="Times New Roman"/>
          <w:b/>
          <w:bCs/>
          <w:color w:val="auto"/>
          <w:szCs w:val="24"/>
          <w:highlight w:val="none"/>
        </w:rPr>
        <w:t>推荐原则</w:t>
      </w:r>
      <w:bookmarkEnd w:id="215"/>
    </w:p>
    <w:p>
      <w:pPr>
        <w:spacing w:line="4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ab/>
      </w:r>
      <w:r>
        <w:rPr>
          <w:rFonts w:hint="eastAsia" w:ascii="Times New Roman" w:hAnsi="Times New Roman" w:eastAsia="宋体" w:cs="Times New Roman"/>
          <w:color w:val="auto"/>
          <w:szCs w:val="24"/>
          <w:highlight w:val="none"/>
        </w:rPr>
        <w:t>评标委员会将根据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p>
    <w:p>
      <w:pPr>
        <w:spacing w:line="420" w:lineRule="exact"/>
        <w:jc w:val="left"/>
        <w:rPr>
          <w:rFonts w:ascii="宋体" w:hAnsi="Courier New" w:eastAsia="宋体" w:cs="Courier New"/>
          <w:color w:val="auto"/>
          <w:szCs w:val="21"/>
          <w:highlight w:val="none"/>
        </w:rPr>
      </w:pPr>
      <w:r>
        <w:rPr>
          <w:rFonts w:hint="eastAsia" w:ascii="宋体" w:hAnsi="Courier New" w:eastAsia="宋体" w:cs="Courier New"/>
          <w:bCs/>
          <w:color w:val="auto"/>
          <w:sz w:val="32"/>
          <w:szCs w:val="32"/>
          <w:highlight w:val="none"/>
        </w:rPr>
        <w:br w:type="page"/>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216" w:name="_Toc173764942"/>
      <w:r>
        <w:rPr>
          <w:rFonts w:hint="eastAsia" w:ascii="Cambria" w:hAnsi="Cambria" w:eastAsia="方正小标宋_GBK" w:cs="Times New Roman"/>
          <w:b/>
          <w:bCs/>
          <w:color w:val="auto"/>
          <w:kern w:val="0"/>
          <w:sz w:val="44"/>
          <w:szCs w:val="32"/>
          <w:highlight w:val="none"/>
        </w:rPr>
        <w:t>第五章</w:t>
      </w:r>
      <w:r>
        <w:rPr>
          <w:rFonts w:ascii="Cambria" w:hAnsi="Cambria" w:eastAsia="方正小标宋_GBK" w:cs="Times New Roman"/>
          <w:b/>
          <w:bCs/>
          <w:color w:val="auto"/>
          <w:kern w:val="0"/>
          <w:sz w:val="44"/>
          <w:szCs w:val="32"/>
          <w:highlight w:val="none"/>
        </w:rPr>
        <w:t xml:space="preserve">  </w:t>
      </w:r>
      <w:r>
        <w:rPr>
          <w:rFonts w:hint="eastAsia" w:ascii="Cambria" w:hAnsi="Cambria" w:eastAsia="方正小标宋_GBK" w:cs="Times New Roman"/>
          <w:b/>
          <w:bCs/>
          <w:color w:val="auto"/>
          <w:kern w:val="0"/>
          <w:sz w:val="44"/>
          <w:szCs w:val="32"/>
          <w:highlight w:val="none"/>
        </w:rPr>
        <w:t>政府采购合同主要条款</w:t>
      </w:r>
      <w:bookmarkEnd w:id="216"/>
    </w:p>
    <w:p>
      <w:pPr>
        <w:spacing w:line="400" w:lineRule="exact"/>
        <w:jc w:val="left"/>
        <w:rPr>
          <w:rFonts w:ascii="Times New Roman" w:hAnsi="Times New Roman" w:eastAsia="宋体" w:cs="Times New Roman"/>
          <w:color w:val="auto"/>
          <w:szCs w:val="24"/>
          <w:highlight w:val="none"/>
        </w:rPr>
      </w:pPr>
      <w:r>
        <w:rPr>
          <w:rFonts w:hint="eastAsia" w:ascii="宋体" w:hAnsi="Courier New" w:eastAsia="宋体" w:cs="Courier New"/>
          <w:color w:val="auto"/>
          <w:szCs w:val="21"/>
          <w:highlight w:val="none"/>
        </w:rPr>
        <w:br w:type="page"/>
      </w:r>
      <w:bookmarkStart w:id="217" w:name="_Hlk92701478"/>
    </w:p>
    <w:p>
      <w:pPr>
        <w:rPr>
          <w:rFonts w:ascii="Times New Roman" w:hAnsi="Times New Roman" w:eastAsia="宋体" w:cs="Times New Roman"/>
          <w:color w:val="auto"/>
          <w:szCs w:val="24"/>
          <w:highlight w:val="none"/>
        </w:rPr>
      </w:pPr>
    </w:p>
    <w:p>
      <w:pPr>
        <w:pStyle w:val="26"/>
        <w:spacing w:line="420" w:lineRule="exact"/>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合</w:t>
      </w:r>
      <w:r>
        <w:rPr>
          <w:rFonts w:hint="eastAsia" w:ascii="宋体" w:hAnsi="宋体" w:eastAsia="宋体" w:cs="宋体"/>
          <w:color w:val="auto"/>
          <w:sz w:val="21"/>
          <w:szCs w:val="21"/>
        </w:rPr>
        <w:t>同使用说明：根据《中华人民共和国政府采购法》、《中华人民共和国民法典》等法律、法规规定，</w:t>
      </w:r>
    </w:p>
    <w:p>
      <w:pPr>
        <w:spacing w:line="36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sz w:val="21"/>
          <w:szCs w:val="21"/>
        </w:rPr>
        <w:t>按照招标文件规定条款和中标供应商投标文件及其承诺，甲乙双方签订本合同。</w:t>
      </w:r>
      <w:r>
        <w:rPr>
          <w:rFonts w:hint="eastAsia" w:ascii="宋体" w:hAnsi="宋体" w:eastAsia="宋体" w:cs="宋体"/>
          <w:color w:val="auto"/>
          <w:kern w:val="0"/>
          <w:sz w:val="21"/>
          <w:szCs w:val="21"/>
        </w:rPr>
        <w:t>如本合同格式不适用，采购人与中标人可协商拟定合同，但不得实质性改变中标人投标文件中的实质内容。</w:t>
      </w:r>
    </w:p>
    <w:p>
      <w:pPr>
        <w:pStyle w:val="26"/>
        <w:spacing w:line="420" w:lineRule="exact"/>
        <w:ind w:firstLine="0" w:firstLineChars="0"/>
        <w:rPr>
          <w:rFonts w:hint="eastAsia" w:ascii="宋体" w:hAnsi="宋体" w:eastAsia="宋体" w:cs="宋体"/>
          <w:color w:val="auto"/>
          <w:sz w:val="21"/>
          <w:szCs w:val="21"/>
        </w:rPr>
      </w:pPr>
    </w:p>
    <w:p>
      <w:pPr>
        <w:snapToGrid w:val="0"/>
        <w:ind w:firstLine="420"/>
        <w:rPr>
          <w:rFonts w:hint="eastAsia" w:ascii="宋体" w:hAnsi="宋体" w:eastAsia="宋体" w:cs="宋体"/>
          <w:color w:val="auto"/>
          <w:sz w:val="21"/>
          <w:szCs w:val="21"/>
        </w:rPr>
      </w:pPr>
      <w:bookmarkStart w:id="218" w:name="_Toc58146566"/>
    </w:p>
    <w:bookmarkEnd w:id="218"/>
    <w:p>
      <w:pPr>
        <w:spacing w:line="360" w:lineRule="auto"/>
        <w:ind w:firstLine="880"/>
        <w:jc w:val="center"/>
        <w:rPr>
          <w:rFonts w:hint="eastAsia" w:ascii="宋体" w:hAnsi="宋体" w:eastAsia="宋体" w:cs="宋体"/>
          <w:bCs/>
          <w:color w:val="auto"/>
          <w:sz w:val="21"/>
          <w:szCs w:val="21"/>
        </w:rPr>
      </w:pPr>
      <w:r>
        <w:rPr>
          <w:rFonts w:hint="eastAsia" w:ascii="宋体" w:hAnsi="宋体" w:eastAsia="宋体" w:cs="宋体"/>
          <w:color w:val="auto"/>
          <w:sz w:val="21"/>
          <w:szCs w:val="21"/>
        </w:rPr>
        <w:t>钦州市政府采购合同书</w:t>
      </w:r>
    </w:p>
    <w:p>
      <w:pPr>
        <w:pStyle w:val="26"/>
        <w:spacing w:line="360" w:lineRule="auto"/>
        <w:ind w:firstLine="420"/>
        <w:rPr>
          <w:rFonts w:hint="eastAsia" w:ascii="宋体" w:hAnsi="宋体" w:eastAsia="宋体" w:cs="宋体"/>
          <w:color w:val="auto"/>
          <w:sz w:val="21"/>
          <w:szCs w:val="21"/>
        </w:rPr>
      </w:pP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采购单位（甲方）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r>
        <w:rPr>
          <w:rFonts w:hint="eastAsia" w:ascii="宋体" w:hAnsi="宋体" w:eastAsia="宋体" w:cs="宋体"/>
          <w:color w:val="auto"/>
          <w:spacing w:val="-20"/>
          <w:sz w:val="21"/>
          <w:szCs w:val="21"/>
        </w:rPr>
        <w:t>采 购 计 划 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供 应 商（乙方）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项目名称和编号</w:t>
      </w:r>
      <w:r>
        <w:rPr>
          <w:rFonts w:hint="eastAsia" w:ascii="宋体" w:hAnsi="宋体" w:eastAsia="宋体" w:cs="宋体"/>
          <w:color w:val="auto"/>
          <w:sz w:val="21"/>
          <w:szCs w:val="21"/>
          <w:u w:val="single"/>
        </w:rPr>
        <w:t xml:space="preserve">                     </w:t>
      </w:r>
    </w:p>
    <w:p>
      <w:pPr>
        <w:snapToGrid w:val="0"/>
        <w:spacing w:line="360" w:lineRule="exact"/>
        <w:ind w:firstLine="210" w:firstLineChars="10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签  订  地  点  </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签 订 时 间</w:t>
      </w:r>
      <w:r>
        <w:rPr>
          <w:rFonts w:hint="eastAsia" w:ascii="宋体" w:hAnsi="宋体" w:eastAsia="宋体" w:cs="宋体"/>
          <w:color w:val="auto"/>
          <w:sz w:val="21"/>
          <w:szCs w:val="21"/>
          <w:u w:val="single"/>
        </w:rPr>
        <w:t xml:space="preserve">                        </w:t>
      </w:r>
    </w:p>
    <w:p>
      <w:pPr>
        <w:snapToGrid w:val="0"/>
        <w:spacing w:line="360" w:lineRule="exact"/>
        <w:ind w:firstLine="420"/>
        <w:rPr>
          <w:rFonts w:hint="eastAsia" w:ascii="宋体" w:hAnsi="宋体" w:eastAsia="宋体" w:cs="宋体"/>
          <w:color w:val="auto"/>
          <w:sz w:val="21"/>
          <w:szCs w:val="21"/>
        </w:rPr>
      </w:pPr>
    </w:p>
    <w:p>
      <w:pPr>
        <w:snapToGrid w:val="0"/>
        <w:spacing w:line="360" w:lineRule="exact"/>
        <w:ind w:firstLine="420"/>
        <w:rPr>
          <w:rFonts w:hint="eastAsia" w:ascii="宋体" w:hAnsi="宋体" w:eastAsia="宋体" w:cs="宋体"/>
          <w:color w:val="auto"/>
          <w:sz w:val="21"/>
          <w:szCs w:val="21"/>
        </w:rPr>
      </w:pPr>
      <w:r>
        <w:rPr>
          <w:rFonts w:hint="eastAsia" w:ascii="宋体" w:hAnsi="宋体" w:eastAsia="宋体" w:cs="宋体"/>
          <w:color w:val="auto"/>
          <w:sz w:val="21"/>
          <w:szCs w:val="21"/>
        </w:rPr>
        <w:t>根据《中华人民共和国政府采购法》、《中华人民共和国民法典》等法律、法规规定，按照采购文件规定条款和成交供应商承诺，甲乙双方签订本合同。</w:t>
      </w:r>
    </w:p>
    <w:p>
      <w:pPr>
        <w:pStyle w:val="26"/>
        <w:spacing w:line="360" w:lineRule="auto"/>
        <w:ind w:firstLine="422"/>
        <w:rPr>
          <w:rFonts w:hint="eastAsia" w:ascii="宋体" w:hAnsi="宋体" w:eastAsia="宋体" w:cs="宋体"/>
          <w:b/>
          <w:color w:val="auto"/>
          <w:sz w:val="21"/>
          <w:szCs w:val="21"/>
        </w:rPr>
      </w:pP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  采购内容</w:t>
      </w:r>
    </w:p>
    <w:p>
      <w:pPr>
        <w:pStyle w:val="26"/>
        <w:tabs>
          <w:tab w:val="left" w:pos="522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1.1 服务名称：</w:t>
      </w:r>
      <w:r>
        <w:rPr>
          <w:rFonts w:hint="eastAsia" w:ascii="宋体" w:hAnsi="宋体" w:eastAsia="宋体" w:cs="宋体"/>
          <w:color w:val="auto"/>
          <w:sz w:val="21"/>
          <w:szCs w:val="21"/>
          <w:u w:val="single"/>
        </w:rPr>
        <w:t>详见合同附件中投标报价表</w:t>
      </w:r>
    </w:p>
    <w:p>
      <w:pPr>
        <w:pStyle w:val="26"/>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数量：</w:t>
      </w:r>
      <w:r>
        <w:rPr>
          <w:rFonts w:hint="eastAsia" w:ascii="宋体" w:hAnsi="宋体" w:eastAsia="宋体" w:cs="宋体"/>
          <w:color w:val="auto"/>
          <w:sz w:val="21"/>
          <w:szCs w:val="21"/>
          <w:u w:val="single"/>
        </w:rPr>
        <w:t>详见合同附件中投标报价表</w:t>
      </w:r>
    </w:p>
    <w:p>
      <w:pPr>
        <w:pStyle w:val="26"/>
        <w:tabs>
          <w:tab w:val="left" w:pos="522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 技术参数：</w:t>
      </w:r>
      <w:r>
        <w:rPr>
          <w:rFonts w:hint="eastAsia" w:ascii="宋体" w:hAnsi="宋体" w:eastAsia="宋体" w:cs="宋体"/>
          <w:color w:val="auto"/>
          <w:sz w:val="21"/>
          <w:szCs w:val="21"/>
          <w:u w:val="single"/>
        </w:rPr>
        <w:t>详见合同附件中投标服务技术资料表</w:t>
      </w:r>
    </w:p>
    <w:p>
      <w:pPr>
        <w:pStyle w:val="26"/>
        <w:tabs>
          <w:tab w:val="left" w:pos="5145"/>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2.  合同金额</w:t>
      </w:r>
    </w:p>
    <w:p>
      <w:pPr>
        <w:pStyle w:val="26"/>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color w:val="auto"/>
          <w:sz w:val="21"/>
          <w:szCs w:val="21"/>
        </w:rPr>
        <w:t>2.1 本合同金额为（大写）人民币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元）。（详见投标报价表）</w:t>
      </w:r>
    </w:p>
    <w:p>
      <w:pPr>
        <w:pStyle w:val="26"/>
        <w:tabs>
          <w:tab w:val="left" w:pos="5940"/>
        </w:tabs>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3.  提交服务成果时间和地点</w:t>
      </w:r>
    </w:p>
    <w:p>
      <w:pPr>
        <w:pStyle w:val="26"/>
        <w:tabs>
          <w:tab w:val="left" w:pos="5250"/>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3.1 提交服务成果时间：</w:t>
      </w:r>
      <w:r>
        <w:rPr>
          <w:rFonts w:hint="eastAsia" w:ascii="宋体" w:hAnsi="宋体" w:eastAsia="宋体" w:cs="宋体"/>
          <w:color w:val="auto"/>
          <w:sz w:val="21"/>
          <w:szCs w:val="21"/>
          <w:u w:val="single"/>
        </w:rPr>
        <w:t xml:space="preserve">                        </w:t>
      </w:r>
    </w:p>
    <w:p>
      <w:pPr>
        <w:pStyle w:val="26"/>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3.2 提交服务成果地点：</w:t>
      </w:r>
      <w:r>
        <w:rPr>
          <w:rFonts w:hint="eastAsia" w:ascii="宋体" w:hAnsi="宋体" w:eastAsia="宋体" w:cs="宋体"/>
          <w:color w:val="auto"/>
          <w:sz w:val="21"/>
          <w:szCs w:val="21"/>
          <w:u w:val="single"/>
        </w:rPr>
        <w:t xml:space="preserve">                        </w:t>
      </w:r>
    </w:p>
    <w:p>
      <w:pPr>
        <w:pStyle w:val="26"/>
        <w:tabs>
          <w:tab w:val="left" w:pos="5940"/>
        </w:tabs>
        <w:spacing w:line="360" w:lineRule="auto"/>
        <w:ind w:firstLine="411" w:firstLineChars="196"/>
        <w:rPr>
          <w:rFonts w:hint="eastAsia" w:ascii="宋体" w:hAnsi="宋体" w:eastAsia="宋体" w:cs="宋体"/>
          <w:b/>
          <w:bCs/>
          <w:color w:val="auto"/>
          <w:sz w:val="21"/>
          <w:szCs w:val="21"/>
        </w:rPr>
      </w:pPr>
      <w:r>
        <w:rPr>
          <w:rFonts w:hint="eastAsia" w:ascii="宋体" w:hAnsi="宋体" w:eastAsia="宋体" w:cs="宋体"/>
          <w:bCs/>
          <w:color w:val="auto"/>
          <w:sz w:val="21"/>
          <w:szCs w:val="21"/>
        </w:rPr>
        <w:t xml:space="preserve">3.3 </w:t>
      </w:r>
      <w:r>
        <w:rPr>
          <w:rFonts w:hint="eastAsia" w:ascii="宋体" w:hAnsi="宋体" w:eastAsia="宋体" w:cs="宋体"/>
          <w:color w:val="auto"/>
          <w:sz w:val="21"/>
          <w:szCs w:val="21"/>
        </w:rPr>
        <w:t>乙方必须按投标文件承诺的服务响应条款向甲方提供服务。</w:t>
      </w:r>
    </w:p>
    <w:p>
      <w:pPr>
        <w:pStyle w:val="26"/>
        <w:spacing w:line="360" w:lineRule="auto"/>
        <w:ind w:left="358" w:hanging="358" w:hangingChars="170"/>
        <w:rPr>
          <w:rFonts w:hint="eastAsia" w:ascii="宋体" w:hAnsi="宋体" w:eastAsia="宋体" w:cs="宋体"/>
          <w:b/>
          <w:color w:val="auto"/>
          <w:sz w:val="21"/>
          <w:szCs w:val="21"/>
        </w:rPr>
      </w:pPr>
      <w:r>
        <w:rPr>
          <w:rFonts w:hint="eastAsia" w:ascii="宋体" w:hAnsi="宋体" w:eastAsia="宋体" w:cs="宋体"/>
          <w:b/>
          <w:bCs/>
          <w:color w:val="auto"/>
          <w:sz w:val="21"/>
          <w:szCs w:val="21"/>
        </w:rPr>
        <w:t>4.  履约保证金</w:t>
      </w:r>
    </w:p>
    <w:p>
      <w:pPr>
        <w:pStyle w:val="26"/>
        <w:tabs>
          <w:tab w:val="left" w:pos="5145"/>
        </w:tabs>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4.1 乙方交纳（大写）人民币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元）作为本合同的履约保证金。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4.2 履约保证金作为违约金的一部分用于补偿甲方因乙方不能完成其合同义务而蒙受的损失。</w:t>
      </w:r>
    </w:p>
    <w:p>
      <w:pPr>
        <w:pStyle w:val="26"/>
        <w:spacing w:line="360" w:lineRule="auto"/>
        <w:ind w:left="360" w:hanging="361" w:hangingChars="171"/>
        <w:rPr>
          <w:rFonts w:hint="eastAsia" w:ascii="宋体" w:hAnsi="宋体" w:eastAsia="宋体" w:cs="宋体"/>
          <w:b/>
          <w:color w:val="auto"/>
          <w:sz w:val="21"/>
          <w:szCs w:val="21"/>
        </w:rPr>
      </w:pPr>
      <w:r>
        <w:rPr>
          <w:rFonts w:hint="eastAsia" w:ascii="宋体" w:hAnsi="宋体" w:eastAsia="宋体" w:cs="宋体"/>
          <w:b/>
          <w:bCs/>
          <w:color w:val="auto"/>
          <w:sz w:val="21"/>
          <w:szCs w:val="21"/>
        </w:rPr>
        <w:t>5.  产权</w:t>
      </w:r>
    </w:p>
    <w:p>
      <w:pPr>
        <w:pStyle w:val="26"/>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5.1 乙方应保证所提供的服务或其任何一部分均不会侵犯任何第三方的专利权、商标权或著作权</w:t>
      </w:r>
      <w:r>
        <w:rPr>
          <w:rFonts w:hint="eastAsia" w:ascii="宋体" w:hAnsi="宋体" w:eastAsia="宋体" w:cs="宋体"/>
          <w:bCs/>
          <w:color w:val="auto"/>
          <w:sz w:val="21"/>
          <w:szCs w:val="21"/>
        </w:rPr>
        <w:t>。</w:t>
      </w:r>
    </w:p>
    <w:p>
      <w:pPr>
        <w:pStyle w:val="26"/>
        <w:spacing w:line="360" w:lineRule="auto"/>
        <w:ind w:firstLine="420"/>
        <w:rPr>
          <w:rFonts w:hint="eastAsia" w:ascii="宋体" w:hAnsi="宋体" w:eastAsia="宋体" w:cs="宋体"/>
          <w:b/>
          <w:color w:val="auto"/>
          <w:sz w:val="21"/>
          <w:szCs w:val="21"/>
        </w:rPr>
      </w:pPr>
      <w:r>
        <w:rPr>
          <w:rFonts w:hint="eastAsia" w:ascii="宋体" w:hAnsi="宋体" w:eastAsia="宋体" w:cs="宋体"/>
          <w:color w:val="auto"/>
          <w:sz w:val="21"/>
          <w:szCs w:val="21"/>
        </w:rPr>
        <w:t>5.2 乙方保证所交付服务的所有权完全属于乙方且无任何抵押、查封等产权瑕疵。如乙方所交付服务有产权瑕疵的，视为乙方违约，按照本合同第10.3项的约定处理。但在已经全部支付完合同款后才发现有产权瑕疵的，乙方除了支付违约金还应负担甲方由此产生的一切损失。</w:t>
      </w:r>
    </w:p>
    <w:p>
      <w:pPr>
        <w:pStyle w:val="26"/>
        <w:spacing w:line="360" w:lineRule="auto"/>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6.  技术资料</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6.1 甲方应向乙方提供提交服务成果所必需的有关数据、资料等。</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7.  验收</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7.1 乙方应对提交的服务成果作出全面检查和整理，并列出清单，作为甲方验收和使用的技术条件依据，清单应随提交的服务成果交给甲方。</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7.2 乙方在指定地点提交服务成果后，甲方应在5个工作日内依据招标文件、乙方的投标文件等组织验收，验收完毕后作出书面验收报告。验收时乙方必须在现场。</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7.3 对复杂的服务，甲方可请国家认可的专业机构参与验收，并由其出具验收报告，相关费用由甲方承担。</w:t>
      </w:r>
    </w:p>
    <w:p>
      <w:pPr>
        <w:pStyle w:val="26"/>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firstLine="422" w:firstLineChars="20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8.  服务费用及支付</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8.1 </w:t>
      </w:r>
      <w:r>
        <w:rPr>
          <w:rFonts w:hint="eastAsia" w:ascii="宋体" w:hAnsi="宋体" w:eastAsia="宋体" w:cs="宋体"/>
          <w:color w:val="auto"/>
          <w:sz w:val="21"/>
          <w:szCs w:val="21"/>
          <w:highlight w:val="none"/>
        </w:rPr>
        <w:t>本项目合同总金额为</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万元，服务期</w:t>
      </w:r>
      <w:r>
        <w:rPr>
          <w:rFonts w:hint="eastAsia" w:ascii="宋体" w:hAnsi="宋体" w:eastAsia="宋体" w:cs="宋体"/>
          <w:color w:val="auto"/>
          <w:sz w:val="21"/>
          <w:szCs w:val="21"/>
          <w:highlight w:val="none"/>
          <w:u w:val="single"/>
          <w:lang w:val="en-US" w:eastAsia="zh-CN"/>
        </w:rPr>
        <w:t xml:space="preserve"> 壹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日起至</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年</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月</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lang w:val="en-US" w:eastAsia="zh-CN"/>
        </w:rPr>
        <w:t>日止，费用</w:t>
      </w:r>
      <w:r>
        <w:rPr>
          <w:rFonts w:hint="eastAsia" w:ascii="宋体" w:hAnsi="宋体" w:eastAsia="宋体" w:cs="宋体"/>
          <w:color w:val="auto"/>
          <w:sz w:val="21"/>
          <w:szCs w:val="21"/>
          <w:highlight w:val="none"/>
        </w:rPr>
        <w:t>具体</w:t>
      </w:r>
      <w:r>
        <w:rPr>
          <w:rFonts w:hint="eastAsia" w:ascii="宋体" w:hAnsi="宋体" w:eastAsia="宋体" w:cs="宋体"/>
          <w:color w:val="auto"/>
          <w:sz w:val="21"/>
          <w:szCs w:val="21"/>
          <w:highlight w:val="none"/>
          <w:lang w:val="en-US" w:eastAsia="zh-CN"/>
        </w:rPr>
        <w:t>包含</w:t>
      </w:r>
      <w:r>
        <w:rPr>
          <w:rFonts w:hint="eastAsia" w:ascii="宋体" w:hAnsi="宋体" w:eastAsia="宋体" w:cs="宋体"/>
          <w:color w:val="auto"/>
          <w:sz w:val="21"/>
          <w:szCs w:val="21"/>
          <w:highlight w:val="none"/>
        </w:rPr>
        <w:t>如下：</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管理、服务人员的工资和社保、服装费、健康体检费。</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法定节假日</w:t>
      </w:r>
      <w:r>
        <w:rPr>
          <w:rFonts w:hint="eastAsia" w:ascii="宋体" w:hAnsi="宋体" w:eastAsia="宋体" w:cs="宋体"/>
          <w:color w:val="auto"/>
          <w:sz w:val="21"/>
          <w:szCs w:val="21"/>
          <w:highlight w:val="none"/>
          <w:lang w:eastAsia="zh-CN"/>
        </w:rPr>
        <w:t>和</w:t>
      </w:r>
      <w:r>
        <w:rPr>
          <w:rFonts w:hint="eastAsia" w:ascii="宋体" w:hAnsi="宋体" w:eastAsia="宋体" w:cs="宋体"/>
          <w:color w:val="auto"/>
          <w:sz w:val="21"/>
          <w:szCs w:val="21"/>
          <w:highlight w:val="none"/>
          <w:lang w:val="en-US" w:eastAsia="zh-CN"/>
        </w:rPr>
        <w:t>8小时以外的</w:t>
      </w:r>
      <w:r>
        <w:rPr>
          <w:rFonts w:hint="eastAsia" w:ascii="宋体" w:hAnsi="宋体" w:eastAsia="宋体" w:cs="宋体"/>
          <w:color w:val="auto"/>
          <w:sz w:val="21"/>
          <w:szCs w:val="21"/>
          <w:highlight w:val="none"/>
        </w:rPr>
        <w:t>加班费用。</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lang w:val="en-US" w:eastAsia="zh-CN"/>
        </w:rPr>
        <w:t>法定税费、</w:t>
      </w:r>
      <w:r>
        <w:rPr>
          <w:rFonts w:hint="eastAsia" w:ascii="宋体" w:hAnsi="宋体" w:eastAsia="宋体" w:cs="宋体"/>
          <w:color w:val="auto"/>
          <w:sz w:val="21"/>
          <w:szCs w:val="21"/>
        </w:rPr>
        <w:t>合理利润。</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sz w:val="21"/>
          <w:szCs w:val="21"/>
          <w:highlight w:val="none"/>
          <w:u w:val="single"/>
        </w:rPr>
      </w:pPr>
      <w:r>
        <w:rPr>
          <w:rFonts w:hint="eastAsia" w:ascii="宋体" w:hAnsi="宋体" w:eastAsia="宋体" w:cs="宋体"/>
          <w:color w:val="auto"/>
          <w:sz w:val="21"/>
          <w:szCs w:val="21"/>
          <w:highlight w:val="none"/>
          <w:lang w:val="en-US" w:eastAsia="zh-CN"/>
        </w:rPr>
        <w:t xml:space="preserve">8.2 </w:t>
      </w:r>
      <w:r>
        <w:rPr>
          <w:rFonts w:hint="eastAsia" w:ascii="宋体" w:hAnsi="宋体" w:eastAsia="宋体" w:cs="宋体"/>
          <w:color w:val="auto"/>
          <w:sz w:val="21"/>
          <w:szCs w:val="21"/>
          <w:highlight w:val="none"/>
        </w:rPr>
        <w:t>支付方式</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本项目无预付款，中标人所提交的服务成本经采购人书面验收合格后，按月支付合同款。</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9.  售后服务要求</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9.1 乙方提供服务的质量保证期为：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（自提交服务验收合格之日起计）</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9.2 质量保证金为（大写）人民币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元）。（履约保证金在中标供应商按合同约定所提交的服务验收合格后自行转为质保金。）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9.3 在本合同第9.1项约定的质量保证期内，乙方提供的服务符合合同约定的，待质保期满后由甲方将质量保证金无息退还给乙方。</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9.4 在本合同第9.1项约定的质量保证期内，乙方应对服务出现的问题负责处理解决并承担一切费用。</w:t>
      </w:r>
    </w:p>
    <w:p>
      <w:pPr>
        <w:pStyle w:val="26"/>
        <w:tabs>
          <w:tab w:val="left" w:pos="5250"/>
        </w:tabs>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9.5 其他售后服务要求：</w:t>
      </w:r>
      <w:r>
        <w:rPr>
          <w:rFonts w:hint="eastAsia" w:ascii="宋体" w:hAnsi="宋体" w:eastAsia="宋体" w:cs="宋体"/>
          <w:color w:val="auto"/>
          <w:sz w:val="21"/>
          <w:szCs w:val="21"/>
          <w:u w:val="single"/>
        </w:rPr>
        <w:t>按投标文件商务条款偏离表内容执行。</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10.  违约责任</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10.1 甲方无正当理由拒收服务的，甲方向乙方偿付拒收服务费总值的百分之五违约金。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10.2 甲方无故逾期验收或办理合同款支付手续的，甲方应按逾期付款总额每日万分之五向乙方支付违约金。</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10.3 乙方逾期交付服务的，乙方应按逾期提供服务总额每日千分之六向甲方支付违约金，由甲方从待付服务费中扣除。逾期超过约定日期10工作日不能提供服务的，甲方可解除本合同。乙方因逾期提供服务或因其他违约行为导致甲方解除合同的，乙方应向甲方支付合同总值百分之五的违约金，如造成甲方损失超过违约金的，超出部分由乙方继续承担赔偿责任。</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11.  不可抗力事件处理</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11.1 在合同有效期内，任何一方因不可抗力事件导致不能履行合同，则合同履行期可延长，其延长期与不可抗力影响期相同。</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11.2 不可抗力事件发生后，应立即通知对方，并寄送有关权威机构出具的证明。</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11.3 不可抗力事件延续120天以上，双方应通过友好协商，确定是否继续履行合同。</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12.  诉讼</w:t>
      </w:r>
    </w:p>
    <w:p>
      <w:pPr>
        <w:pStyle w:val="26"/>
        <w:tabs>
          <w:tab w:val="left" w:pos="0"/>
        </w:tabs>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12.1 双方在执行合同中所发生的一切争议，应通过协商解决。如协商不成，可向合同签订地法院起诉，合同签订地在此约定为广西钦州市。</w:t>
      </w:r>
    </w:p>
    <w:p>
      <w:pPr>
        <w:pStyle w:val="26"/>
        <w:spacing w:line="360" w:lineRule="auto"/>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t>13.  合同生效及其它</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13.1 合同经双方法定代表人或授权委托代理人签字并加盖单位公章后生效。</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13.2 合同执行中涉及采购资金和采购内容修改或补充的，须经钦州市政府采购监督管理部门审批，并签书面补充协议报钦州市政府采购监督管理部门备案，方可作为主合同不可分割的一部分。</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13.3 下述合同附件为本合同不可分割的部分并与本合同具有同等效力：</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（1）中标通知书；</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（2）履约保证金交纳证明；</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（3）招标文件服务需求一览表；</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（4）招标文件的澄清和修改；</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（5）投标函、投标报价表；</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（6）投标服务技术资料表、商务条款偏离表、售后服务承诺书；</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（7）中标供应商澄清函。</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13.4 本合同未尽事宜，遵照《中华人民共和国合同法》有关条文执行。</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13.5 本合同正本一式两份，具有同等法律效力，甲乙双方各执一份；副本一份。</w:t>
      </w:r>
    </w:p>
    <w:p>
      <w:pPr>
        <w:pStyle w:val="26"/>
        <w:spacing w:line="360" w:lineRule="auto"/>
        <w:ind w:firstLine="420"/>
        <w:rPr>
          <w:rFonts w:hint="eastAsia" w:ascii="宋体" w:hAnsi="宋体" w:eastAsia="宋体" w:cs="宋体"/>
          <w:color w:val="auto"/>
          <w:sz w:val="21"/>
          <w:szCs w:val="21"/>
        </w:rPr>
      </w:pP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甲方：</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乙方：</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地址：</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法定代表人：</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委托代理人：</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委托代理人：</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电话：</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电话：</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传真：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传真：</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邮政编码：</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 xml:space="preserve">    邮政编码：</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开户银行：</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开户名称：</w:t>
      </w:r>
      <w:r>
        <w:rPr>
          <w:rFonts w:hint="eastAsia" w:ascii="宋体" w:hAnsi="宋体" w:eastAsia="宋体" w:cs="宋体"/>
          <w:color w:val="auto"/>
          <w:sz w:val="21"/>
          <w:szCs w:val="21"/>
          <w:u w:val="single"/>
        </w:rPr>
        <w:t xml:space="preserve">                                </w:t>
      </w:r>
    </w:p>
    <w:p>
      <w:pPr>
        <w:pStyle w:val="26"/>
        <w:spacing w:line="360" w:lineRule="auto"/>
        <w:ind w:firstLine="420"/>
        <w:rPr>
          <w:rFonts w:hint="eastAsia" w:ascii="宋体" w:hAnsi="宋体" w:eastAsia="宋体" w:cs="宋体"/>
          <w:color w:val="auto"/>
          <w:sz w:val="21"/>
          <w:szCs w:val="21"/>
          <w:u w:val="single"/>
        </w:rPr>
      </w:pPr>
      <w:r>
        <w:rPr>
          <w:rFonts w:hint="eastAsia" w:ascii="宋体" w:hAnsi="宋体" w:eastAsia="宋体" w:cs="宋体"/>
          <w:color w:val="auto"/>
          <w:sz w:val="21"/>
          <w:szCs w:val="21"/>
        </w:rPr>
        <w:t xml:space="preserve">                                              银行账号：</w:t>
      </w:r>
      <w:r>
        <w:rPr>
          <w:rFonts w:hint="eastAsia" w:ascii="宋体" w:hAnsi="宋体" w:eastAsia="宋体" w:cs="宋体"/>
          <w:color w:val="auto"/>
          <w:sz w:val="21"/>
          <w:szCs w:val="21"/>
          <w:u w:val="single"/>
        </w:rPr>
        <w:t xml:space="preserve">                                </w:t>
      </w:r>
    </w:p>
    <w:p>
      <w:pPr>
        <w:pStyle w:val="26"/>
        <w:spacing w:line="360" w:lineRule="auto"/>
        <w:ind w:left="178" w:leftChars="85" w:firstLine="420"/>
        <w:rPr>
          <w:rFonts w:hint="eastAsia" w:ascii="宋体" w:hAnsi="宋体" w:eastAsia="宋体" w:cs="宋体"/>
          <w:color w:val="auto"/>
          <w:sz w:val="21"/>
          <w:szCs w:val="21"/>
        </w:rPr>
      </w:pPr>
    </w:p>
    <w:p>
      <w:pPr>
        <w:pStyle w:val="26"/>
        <w:spacing w:line="360" w:lineRule="auto"/>
        <w:ind w:left="178" w:leftChars="85" w:firstLine="420"/>
        <w:rPr>
          <w:rFonts w:hint="eastAsia" w:ascii="宋体" w:hAnsi="宋体" w:eastAsia="宋体" w:cs="宋体"/>
          <w:color w:val="auto"/>
          <w:sz w:val="21"/>
          <w:szCs w:val="21"/>
        </w:rPr>
      </w:pPr>
    </w:p>
    <w:p>
      <w:pPr>
        <w:pStyle w:val="26"/>
        <w:spacing w:line="360" w:lineRule="auto"/>
        <w:ind w:firstLine="420"/>
        <w:rPr>
          <w:rFonts w:hint="eastAsia" w:ascii="宋体" w:hAnsi="宋体" w:eastAsia="宋体" w:cs="宋体"/>
          <w:color w:val="auto"/>
          <w:sz w:val="21"/>
          <w:szCs w:val="21"/>
        </w:rPr>
      </w:pPr>
      <w:r>
        <w:rPr>
          <w:rFonts w:hint="eastAsia" w:ascii="宋体" w:hAnsi="宋体" w:eastAsia="宋体" w:cs="宋体"/>
          <w:color w:val="auto"/>
          <w:sz w:val="21"/>
          <w:szCs w:val="21"/>
        </w:rPr>
        <w:t xml:space="preserve">合同签订地点： </w:t>
      </w:r>
    </w:p>
    <w:p>
      <w:pPr>
        <w:pStyle w:val="26"/>
        <w:spacing w:line="360" w:lineRule="auto"/>
        <w:ind w:firstLine="420"/>
        <w:rPr>
          <w:rFonts w:hint="eastAsia" w:ascii="宋体" w:hAnsi="宋体" w:eastAsia="宋体" w:cs="宋体"/>
          <w:color w:val="auto"/>
          <w:sz w:val="21"/>
          <w:szCs w:val="21"/>
        </w:rPr>
        <w:sectPr>
          <w:footerReference r:id="rId5" w:type="default"/>
          <w:pgSz w:w="11906" w:h="16838"/>
          <w:pgMar w:top="1246" w:right="1106" w:bottom="1091" w:left="1080" w:header="851" w:footer="992" w:gutter="0"/>
          <w:pgNumType w:fmt="decimal"/>
          <w:cols w:space="720" w:num="1"/>
          <w:docGrid w:type="lines" w:linePitch="312" w:charSpace="0"/>
        </w:sectPr>
      </w:pPr>
      <w:r>
        <w:rPr>
          <w:rFonts w:hint="eastAsia" w:ascii="宋体" w:hAnsi="宋体" w:eastAsia="宋体" w:cs="宋体"/>
          <w:color w:val="auto"/>
          <w:sz w:val="21"/>
          <w:szCs w:val="21"/>
        </w:rPr>
        <w:t>合同签订日期：</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年</w:t>
      </w:r>
      <w:r>
        <w:rPr>
          <w:rFonts w:hint="eastAsia" w:ascii="宋体" w:hAnsi="宋体" w:eastAsia="宋体" w:cs="宋体"/>
          <w:color w:val="auto"/>
          <w:sz w:val="21"/>
          <w:szCs w:val="21"/>
          <w:u w:val="single"/>
        </w:rPr>
        <w:t xml:space="preserve">    </w:t>
      </w:r>
      <w:r>
        <w:rPr>
          <w:rFonts w:hint="eastAsia" w:ascii="宋体" w:hAnsi="宋体" w:eastAsia="宋体" w:cs="宋体"/>
          <w:color w:val="auto"/>
          <w:sz w:val="21"/>
          <w:szCs w:val="21"/>
        </w:rPr>
        <w:t>月</w:t>
      </w:r>
      <w:r>
        <w:rPr>
          <w:rFonts w:hint="eastAsia" w:ascii="宋体" w:hAnsi="宋体" w:eastAsia="宋体" w:cs="宋体"/>
          <w:color w:val="auto"/>
          <w:sz w:val="21"/>
          <w:szCs w:val="21"/>
          <w:u w:val="single"/>
        </w:rPr>
        <w:t xml:space="preserve">    </w:t>
      </w:r>
    </w:p>
    <w:p>
      <w:pPr>
        <w:adjustRightInd w:val="0"/>
        <w:snapToGrid w:val="0"/>
        <w:ind w:left="0" w:leftChars="0" w:firstLine="0" w:firstLineChars="0"/>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办公区物业项目考核附表</w:t>
      </w:r>
    </w:p>
    <w:p>
      <w:pPr>
        <w:adjustRightInd w:val="0"/>
        <w:snapToGrid w:val="0"/>
        <w:ind w:firstLine="422"/>
        <w:rPr>
          <w:rFonts w:hint="eastAsia" w:ascii="宋体" w:hAnsi="宋体" w:eastAsia="宋体" w:cs="宋体"/>
          <w:b/>
          <w:color w:val="auto"/>
          <w:kern w:val="0"/>
          <w:sz w:val="21"/>
          <w:szCs w:val="21"/>
        </w:rPr>
      </w:pPr>
      <w:r>
        <w:rPr>
          <w:rFonts w:hint="eastAsia" w:ascii="宋体" w:hAnsi="宋体" w:eastAsia="宋体" w:cs="宋体"/>
          <w:b/>
          <w:bCs/>
          <w:color w:val="auto"/>
          <w:kern w:val="0"/>
          <w:sz w:val="21"/>
          <w:szCs w:val="21"/>
        </w:rPr>
        <w:t>附表1</w:t>
      </w:r>
    </w:p>
    <w:tbl>
      <w:tblPr>
        <w:tblStyle w:val="48"/>
        <w:tblW w:w="0" w:type="auto"/>
        <w:jc w:val="center"/>
        <w:tblLayout w:type="fixed"/>
        <w:tblCellMar>
          <w:top w:w="0" w:type="dxa"/>
          <w:left w:w="108" w:type="dxa"/>
          <w:bottom w:w="0" w:type="dxa"/>
          <w:right w:w="108" w:type="dxa"/>
        </w:tblCellMar>
      </w:tblPr>
      <w:tblGrid>
        <w:gridCol w:w="793"/>
        <w:gridCol w:w="849"/>
        <w:gridCol w:w="457"/>
        <w:gridCol w:w="457"/>
        <w:gridCol w:w="457"/>
        <w:gridCol w:w="1847"/>
        <w:gridCol w:w="830"/>
        <w:gridCol w:w="830"/>
        <w:gridCol w:w="830"/>
        <w:gridCol w:w="830"/>
        <w:gridCol w:w="830"/>
        <w:gridCol w:w="830"/>
      </w:tblGrid>
      <w:tr>
        <w:tblPrEx>
          <w:tblCellMar>
            <w:top w:w="0" w:type="dxa"/>
            <w:left w:w="108" w:type="dxa"/>
            <w:bottom w:w="0" w:type="dxa"/>
            <w:right w:w="108" w:type="dxa"/>
          </w:tblCellMar>
        </w:tblPrEx>
        <w:trPr>
          <w:trHeight w:val="585" w:hRule="atLeast"/>
          <w:jc w:val="center"/>
        </w:trPr>
        <w:tc>
          <w:tcPr>
            <w:tcW w:w="9840" w:type="dxa"/>
            <w:gridSpan w:val="12"/>
            <w:noWrap w:val="0"/>
            <w:vAlign w:val="center"/>
          </w:tcPr>
          <w:p>
            <w:pPr>
              <w:widowControl/>
              <w:adjustRightInd w:val="0"/>
              <w:snapToGrid w:val="0"/>
              <w:ind w:firstLine="422"/>
              <w:rPr>
                <w:rFonts w:hint="eastAsia" w:ascii="宋体" w:hAnsi="宋体" w:eastAsia="宋体" w:cs="宋体"/>
                <w:b/>
                <w:bCs/>
                <w:color w:val="auto"/>
                <w:kern w:val="0"/>
                <w:sz w:val="21"/>
                <w:szCs w:val="21"/>
              </w:rPr>
            </w:pPr>
          </w:p>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物业项目管理服务工作日巡查登记表</w:t>
            </w:r>
          </w:p>
          <w:p>
            <w:pPr>
              <w:widowControl/>
              <w:adjustRightInd w:val="0"/>
              <w:snapToGrid w:val="0"/>
              <w:ind w:firstLine="422"/>
              <w:jc w:val="center"/>
              <w:rPr>
                <w:rFonts w:hint="eastAsia" w:ascii="宋体" w:hAnsi="宋体" w:eastAsia="宋体" w:cs="宋体"/>
                <w:b/>
                <w:bCs/>
                <w:color w:val="auto"/>
                <w:kern w:val="0"/>
                <w:sz w:val="21"/>
                <w:szCs w:val="21"/>
              </w:rPr>
            </w:pPr>
          </w:p>
        </w:tc>
      </w:tr>
      <w:tr>
        <w:tblPrEx>
          <w:tblCellMar>
            <w:top w:w="0" w:type="dxa"/>
            <w:left w:w="108" w:type="dxa"/>
            <w:bottom w:w="0" w:type="dxa"/>
            <w:right w:w="108" w:type="dxa"/>
          </w:tblCellMar>
        </w:tblPrEx>
        <w:trPr>
          <w:trHeight w:val="389" w:hRule="atLeast"/>
          <w:jc w:val="center"/>
        </w:trPr>
        <w:tc>
          <w:tcPr>
            <w:tcW w:w="793"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巡查日期</w:t>
            </w:r>
          </w:p>
        </w:tc>
        <w:tc>
          <w:tcPr>
            <w:tcW w:w="84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地                   点</w:t>
            </w:r>
          </w:p>
        </w:tc>
        <w:tc>
          <w:tcPr>
            <w:tcW w:w="1371" w:type="dxa"/>
            <w:gridSpan w:val="3"/>
            <w:tcBorders>
              <w:top w:val="single" w:color="auto" w:sz="4" w:space="0"/>
              <w:left w:val="nil"/>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检查情况</w:t>
            </w:r>
          </w:p>
        </w:tc>
        <w:tc>
          <w:tcPr>
            <w:tcW w:w="18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情  况                              </w:t>
            </w:r>
          </w:p>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说  明</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整改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验证             时间</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验收            结果</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责任人           签名</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检                         查                人</w:t>
            </w:r>
          </w:p>
        </w:tc>
        <w:tc>
          <w:tcPr>
            <w:tcW w:w="830"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ind w:firstLine="0" w:firstLineChars="0"/>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                      注</w:t>
            </w:r>
          </w:p>
        </w:tc>
      </w:tr>
      <w:tr>
        <w:tblPrEx>
          <w:tblCellMar>
            <w:top w:w="0" w:type="dxa"/>
            <w:left w:w="108" w:type="dxa"/>
            <w:bottom w:w="0" w:type="dxa"/>
            <w:right w:w="108" w:type="dxa"/>
          </w:tblCellMar>
        </w:tblPrEx>
        <w:trPr>
          <w:trHeight w:val="409" w:hRule="atLeast"/>
          <w:jc w:val="center"/>
        </w:trPr>
        <w:tc>
          <w:tcPr>
            <w:tcW w:w="793"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4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优</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良</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2"/>
              <w:jc w:val="center"/>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差</w:t>
            </w:r>
          </w:p>
        </w:tc>
        <w:tc>
          <w:tcPr>
            <w:tcW w:w="18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c>
          <w:tcPr>
            <w:tcW w:w="830"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2"/>
              <w:jc w:val="left"/>
              <w:rPr>
                <w:rFonts w:hint="eastAsia" w:ascii="宋体" w:hAnsi="宋体" w:eastAsia="宋体" w:cs="宋体"/>
                <w:b/>
                <w:bCs/>
                <w:color w:val="auto"/>
                <w:kern w:val="0"/>
                <w:sz w:val="21"/>
                <w:szCs w:val="21"/>
              </w:rPr>
            </w:pPr>
          </w:p>
        </w:tc>
      </w:tr>
      <w:tr>
        <w:tblPrEx>
          <w:tblCellMar>
            <w:top w:w="0" w:type="dxa"/>
            <w:left w:w="108" w:type="dxa"/>
            <w:bottom w:w="0" w:type="dxa"/>
            <w:right w:w="108" w:type="dxa"/>
          </w:tblCellMar>
        </w:tblPrEx>
        <w:trPr>
          <w:trHeight w:val="5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58"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799" w:hRule="atLeast"/>
          <w:jc w:val="center"/>
        </w:trPr>
        <w:tc>
          <w:tcPr>
            <w:tcW w:w="793" w:type="dxa"/>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49"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45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847"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30" w:type="dxa"/>
            <w:tcBorders>
              <w:top w:val="nil"/>
              <w:left w:val="nil"/>
              <w:bottom w:val="single" w:color="auto" w:sz="4" w:space="0"/>
              <w:right w:val="single" w:color="auto" w:sz="4" w:space="0"/>
            </w:tcBorders>
            <w:noWrap w:val="0"/>
            <w:vAlign w:val="center"/>
          </w:tcPr>
          <w:p>
            <w:pPr>
              <w:widowControl/>
              <w:adjustRightInd w:val="0"/>
              <w:snapToGrid w:val="0"/>
              <w:ind w:firstLine="420"/>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1459" w:hRule="atLeast"/>
          <w:jc w:val="center"/>
        </w:trPr>
        <w:tc>
          <w:tcPr>
            <w:tcW w:w="9840" w:type="dxa"/>
            <w:gridSpan w:val="12"/>
            <w:tcBorders>
              <w:top w:val="nil"/>
              <w:left w:val="single" w:color="auto" w:sz="4" w:space="0"/>
              <w:bottom w:val="single" w:color="auto" w:sz="4" w:space="0"/>
              <w:right w:val="single" w:color="auto" w:sz="4" w:space="0"/>
            </w:tcBorders>
            <w:noWrap w:val="0"/>
            <w:vAlign w:val="center"/>
          </w:tcPr>
          <w:p>
            <w:pPr>
              <w:widowControl/>
              <w:adjustRightInd w:val="0"/>
              <w:snapToGrid w:val="0"/>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备注：</w:t>
            </w:r>
          </w:p>
        </w:tc>
      </w:tr>
      <w:tr>
        <w:tblPrEx>
          <w:tblCellMar>
            <w:top w:w="0" w:type="dxa"/>
            <w:left w:w="108" w:type="dxa"/>
            <w:bottom w:w="0" w:type="dxa"/>
            <w:right w:w="108" w:type="dxa"/>
          </w:tblCellMar>
        </w:tblPrEx>
        <w:trPr>
          <w:trHeight w:val="283" w:hRule="atLeast"/>
          <w:jc w:val="center"/>
        </w:trPr>
        <w:tc>
          <w:tcPr>
            <w:tcW w:w="793" w:type="dxa"/>
            <w:noWrap w:val="0"/>
            <w:vAlign w:val="center"/>
          </w:tcPr>
          <w:p>
            <w:pPr>
              <w:widowControl/>
              <w:adjustRightInd w:val="0"/>
              <w:snapToGrid w:val="0"/>
              <w:ind w:firstLine="420"/>
              <w:rPr>
                <w:rFonts w:hint="eastAsia" w:ascii="宋体" w:hAnsi="宋体" w:eastAsia="宋体" w:cs="宋体"/>
                <w:color w:val="auto"/>
                <w:kern w:val="0"/>
                <w:sz w:val="21"/>
                <w:szCs w:val="21"/>
              </w:rPr>
            </w:pPr>
          </w:p>
        </w:tc>
        <w:tc>
          <w:tcPr>
            <w:tcW w:w="849" w:type="dxa"/>
            <w:noWrap w:val="0"/>
            <w:vAlign w:val="center"/>
          </w:tcPr>
          <w:p>
            <w:pPr>
              <w:widowControl/>
              <w:adjustRightInd w:val="0"/>
              <w:snapToGrid w:val="0"/>
              <w:ind w:firstLine="420"/>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45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1847"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c>
          <w:tcPr>
            <w:tcW w:w="830" w:type="dxa"/>
            <w:noWrap w:val="0"/>
            <w:vAlign w:val="center"/>
          </w:tcPr>
          <w:p>
            <w:pPr>
              <w:widowControl/>
              <w:adjustRightInd w:val="0"/>
              <w:snapToGrid w:val="0"/>
              <w:ind w:firstLine="420"/>
              <w:jc w:val="center"/>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94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卫生包括：</w:t>
            </w:r>
            <w:r>
              <w:rPr>
                <w:rFonts w:hint="eastAsia" w:ascii="宋体" w:hAnsi="宋体" w:eastAsia="宋体" w:cs="宋体"/>
                <w:color w:val="auto"/>
                <w:kern w:val="0"/>
                <w:sz w:val="21"/>
                <w:szCs w:val="21"/>
              </w:rPr>
              <w:t>服务人员仪容仪表和礼仪礼态、路面、停车场、排水沟、标志牌、宣传栏、路灯杆、门厅台阶、玻璃门窗、内墙地面、电梯楼梯、扶手护栏、消防器材、照明灯具、信报箱、卫生间、垃圾桶、空置房、楼梯、开关、天台、地毯等</w:t>
            </w:r>
          </w:p>
        </w:tc>
      </w:tr>
      <w:tr>
        <w:tblPrEx>
          <w:tblCellMar>
            <w:top w:w="0" w:type="dxa"/>
            <w:left w:w="108" w:type="dxa"/>
            <w:bottom w:w="0" w:type="dxa"/>
            <w:right w:w="108" w:type="dxa"/>
          </w:tblCellMar>
        </w:tblPrEx>
        <w:trPr>
          <w:trHeight w:val="360"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会务包括：</w:t>
            </w:r>
            <w:r>
              <w:rPr>
                <w:rFonts w:hint="eastAsia" w:ascii="宋体" w:hAnsi="宋体" w:eastAsia="宋体" w:cs="宋体"/>
                <w:color w:val="auto"/>
                <w:sz w:val="21"/>
                <w:szCs w:val="21"/>
              </w:rPr>
              <w:t>会议对接、会场布置、音响操作、会场服务、会场恢复</w:t>
            </w:r>
            <w:r>
              <w:rPr>
                <w:rFonts w:hint="eastAsia" w:ascii="宋体" w:hAnsi="宋体" w:eastAsia="宋体" w:cs="宋体"/>
                <w:color w:val="auto"/>
                <w:kern w:val="0"/>
                <w:sz w:val="21"/>
                <w:szCs w:val="21"/>
              </w:rPr>
              <w:t>等</w:t>
            </w:r>
          </w:p>
        </w:tc>
      </w:tr>
      <w:tr>
        <w:tblPrEx>
          <w:tblCellMar>
            <w:top w:w="0" w:type="dxa"/>
            <w:left w:w="108" w:type="dxa"/>
            <w:bottom w:w="0" w:type="dxa"/>
            <w:right w:w="108" w:type="dxa"/>
          </w:tblCellMar>
        </w:tblPrEx>
        <w:trPr>
          <w:trHeight w:val="37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环境包括：</w:t>
            </w:r>
            <w:r>
              <w:rPr>
                <w:rFonts w:hint="eastAsia" w:ascii="宋体" w:hAnsi="宋体" w:eastAsia="宋体" w:cs="宋体"/>
                <w:color w:val="auto"/>
                <w:kern w:val="0"/>
                <w:sz w:val="21"/>
                <w:szCs w:val="21"/>
              </w:rPr>
              <w:t>车辆停放、建筑垃圾、乱堆乱放、乱搭乱盖、乱贴乱挂等</w:t>
            </w:r>
          </w:p>
          <w:p>
            <w:pPr>
              <w:widowControl/>
              <w:adjustRightInd w:val="0"/>
              <w:snapToGrid w:val="0"/>
              <w:ind w:firstLine="0" w:firstLineChars="0"/>
              <w:jc w:val="left"/>
              <w:rPr>
                <w:rFonts w:hint="eastAsia" w:ascii="宋体" w:hAnsi="宋体" w:eastAsia="宋体" w:cs="宋体"/>
                <w:b/>
                <w:color w:val="auto"/>
                <w:kern w:val="0"/>
                <w:sz w:val="21"/>
                <w:szCs w:val="21"/>
              </w:rPr>
            </w:pPr>
            <w:r>
              <w:rPr>
                <w:rFonts w:hint="eastAsia" w:ascii="宋体" w:hAnsi="宋体" w:eastAsia="宋体" w:cs="宋体"/>
                <w:b/>
                <w:color w:val="auto"/>
                <w:kern w:val="0"/>
                <w:sz w:val="21"/>
                <w:szCs w:val="21"/>
              </w:rPr>
              <w:t>水电管理：</w:t>
            </w:r>
            <w:r>
              <w:rPr>
                <w:rFonts w:hint="eastAsia" w:ascii="宋体" w:hAnsi="宋体" w:eastAsia="宋体" w:cs="宋体"/>
                <w:color w:val="auto"/>
                <w:kern w:val="0"/>
                <w:sz w:val="21"/>
                <w:szCs w:val="21"/>
              </w:rPr>
              <w:t>发放水电缴费单、24小时值班、水电系统运行正常等</w:t>
            </w:r>
          </w:p>
        </w:tc>
      </w:tr>
      <w:tr>
        <w:tblPrEx>
          <w:tblCellMar>
            <w:top w:w="0" w:type="dxa"/>
            <w:left w:w="108" w:type="dxa"/>
            <w:bottom w:w="0" w:type="dxa"/>
            <w:right w:w="108" w:type="dxa"/>
          </w:tblCellMar>
        </w:tblPrEx>
        <w:trPr>
          <w:trHeight w:val="465" w:hRule="atLeast"/>
          <w:jc w:val="center"/>
        </w:trPr>
        <w:tc>
          <w:tcPr>
            <w:tcW w:w="9840" w:type="dxa"/>
            <w:gridSpan w:val="12"/>
            <w:noWrap w:val="0"/>
            <w:vAlign w:val="top"/>
          </w:tcPr>
          <w:p>
            <w:pPr>
              <w:widowControl/>
              <w:adjustRightInd w:val="0"/>
              <w:snapToGrid w:val="0"/>
              <w:ind w:firstLine="0" w:firstLineChars="0"/>
              <w:jc w:val="left"/>
              <w:rPr>
                <w:rFonts w:hint="eastAsia" w:ascii="宋体" w:hAnsi="宋体" w:eastAsia="宋体" w:cs="宋体"/>
                <w:color w:val="auto"/>
                <w:kern w:val="0"/>
                <w:sz w:val="21"/>
                <w:szCs w:val="21"/>
              </w:rPr>
            </w:pPr>
            <w:r>
              <w:rPr>
                <w:rFonts w:hint="eastAsia" w:ascii="宋体" w:hAnsi="宋体" w:eastAsia="宋体" w:cs="宋体"/>
                <w:b/>
                <w:bCs/>
                <w:color w:val="auto"/>
                <w:kern w:val="0"/>
                <w:sz w:val="21"/>
                <w:szCs w:val="21"/>
              </w:rPr>
              <w:t>此表一式两份，一份物业公司留存，一份管理机构留存</w:t>
            </w:r>
          </w:p>
        </w:tc>
      </w:tr>
    </w:tbl>
    <w:p>
      <w:pPr>
        <w:adjustRightInd w:val="0"/>
        <w:snapToGrid w:val="0"/>
        <w:ind w:firstLine="422"/>
        <w:rPr>
          <w:rFonts w:hint="eastAsia" w:ascii="宋体" w:hAnsi="宋体" w:eastAsia="宋体" w:cs="宋体"/>
          <w:b/>
          <w:bCs/>
          <w:color w:val="auto"/>
          <w:sz w:val="21"/>
          <w:szCs w:val="21"/>
        </w:rPr>
      </w:pPr>
    </w:p>
    <w:p>
      <w:pPr>
        <w:adjustRightInd w:val="0"/>
        <w:snapToGrid w:val="0"/>
        <w:ind w:firstLine="422"/>
        <w:rPr>
          <w:rFonts w:hint="eastAsia" w:ascii="宋体" w:hAnsi="宋体" w:eastAsia="宋体" w:cs="宋体"/>
          <w:b/>
          <w:bCs/>
          <w:color w:val="auto"/>
          <w:sz w:val="21"/>
          <w:szCs w:val="21"/>
        </w:rPr>
      </w:pPr>
      <w:r>
        <w:rPr>
          <w:rFonts w:hint="eastAsia" w:ascii="宋体" w:hAnsi="宋体" w:eastAsia="宋体" w:cs="宋体"/>
          <w:b/>
          <w:bCs/>
          <w:color w:val="auto"/>
          <w:sz w:val="21"/>
          <w:szCs w:val="21"/>
        </w:rPr>
        <w:br w:type="page"/>
      </w:r>
      <w:r>
        <w:rPr>
          <w:rFonts w:hint="eastAsia" w:ascii="宋体" w:hAnsi="宋体" w:eastAsia="宋体" w:cs="宋体"/>
          <w:b/>
          <w:bCs/>
          <w:color w:val="auto"/>
          <w:sz w:val="21"/>
          <w:szCs w:val="21"/>
        </w:rPr>
        <w:t>附表2</w:t>
      </w: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bCs/>
          <w:color w:val="auto"/>
          <w:sz w:val="21"/>
          <w:szCs w:val="21"/>
        </w:rPr>
        <w:t xml:space="preserve">              </w:t>
      </w:r>
      <w:r>
        <w:rPr>
          <w:rFonts w:hint="eastAsia" w:ascii="宋体" w:hAnsi="宋体" w:eastAsia="宋体" w:cs="宋体"/>
          <w:b/>
          <w:color w:val="auto"/>
          <w:sz w:val="21"/>
          <w:szCs w:val="21"/>
        </w:rPr>
        <w:t>办公区物业服务项目管理工作周考核评分表</w:t>
      </w:r>
    </w:p>
    <w:p>
      <w:pPr>
        <w:adjustRightInd w:val="0"/>
        <w:snapToGrid w:val="0"/>
        <w:ind w:right="-865" w:rightChars="-412" w:firstLine="422"/>
        <w:jc w:val="center"/>
        <w:rPr>
          <w:rFonts w:hint="eastAsia" w:ascii="宋体" w:hAnsi="宋体" w:eastAsia="宋体" w:cs="宋体"/>
          <w:b/>
          <w:color w:val="auto"/>
          <w:sz w:val="21"/>
          <w:szCs w:val="21"/>
        </w:rPr>
      </w:pPr>
      <w:r>
        <w:rPr>
          <w:rFonts w:hint="eastAsia" w:ascii="宋体" w:hAnsi="宋体" w:eastAsia="宋体" w:cs="宋体"/>
          <w:b/>
          <w:color w:val="auto"/>
          <w:sz w:val="21"/>
          <w:szCs w:val="21"/>
        </w:rPr>
        <w:t xml:space="preserve">                                              年   月   日</w:t>
      </w:r>
    </w:p>
    <w:tbl>
      <w:tblPr>
        <w:tblStyle w:val="48"/>
        <w:tblW w:w="0" w:type="auto"/>
        <w:tblInd w:w="93" w:type="dxa"/>
        <w:tblLayout w:type="fixed"/>
        <w:tblCellMar>
          <w:top w:w="0" w:type="dxa"/>
          <w:left w:w="108" w:type="dxa"/>
          <w:bottom w:w="0" w:type="dxa"/>
          <w:right w:w="108" w:type="dxa"/>
        </w:tblCellMar>
      </w:tblPr>
      <w:tblGrid>
        <w:gridCol w:w="594"/>
        <w:gridCol w:w="594"/>
        <w:gridCol w:w="5670"/>
        <w:gridCol w:w="846"/>
        <w:gridCol w:w="867"/>
        <w:gridCol w:w="1119"/>
      </w:tblGrid>
      <w:tr>
        <w:tblPrEx>
          <w:tblCellMar>
            <w:top w:w="0" w:type="dxa"/>
            <w:left w:w="108" w:type="dxa"/>
            <w:bottom w:w="0" w:type="dxa"/>
            <w:right w:w="108" w:type="dxa"/>
          </w:tblCellMar>
        </w:tblPrEx>
        <w:trPr>
          <w:trHeight w:val="42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项  目</w:t>
            </w:r>
          </w:p>
        </w:tc>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序号</w:t>
            </w:r>
          </w:p>
        </w:tc>
        <w:tc>
          <w:tcPr>
            <w:tcW w:w="5670"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考   评   内   容</w:t>
            </w:r>
          </w:p>
        </w:tc>
        <w:tc>
          <w:tcPr>
            <w:tcW w:w="846"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考核分值（分）</w:t>
            </w:r>
          </w:p>
        </w:tc>
        <w:tc>
          <w:tcPr>
            <w:tcW w:w="867"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考核得分(分）</w:t>
            </w: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备  注</w:t>
            </w:r>
          </w:p>
        </w:tc>
      </w:tr>
      <w:tr>
        <w:tblPrEx>
          <w:tblCellMar>
            <w:top w:w="0" w:type="dxa"/>
            <w:left w:w="108" w:type="dxa"/>
            <w:bottom w:w="0" w:type="dxa"/>
            <w:right w:w="108" w:type="dxa"/>
          </w:tblCellMar>
        </w:tblPrEx>
        <w:trPr>
          <w:trHeight w:val="55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670"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846"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867"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2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会务服务</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会议对接</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72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会场布置</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43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音响设备操作</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会场服务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lang w:eastAsia="zh-CN"/>
              </w:rPr>
            </w:pPr>
            <w:r>
              <w:rPr>
                <w:rFonts w:hint="eastAsia" w:ascii="宋体" w:hAnsi="宋体" w:eastAsia="宋体" w:cs="宋体"/>
                <w:color w:val="auto"/>
                <w:sz w:val="21"/>
                <w:szCs w:val="21"/>
              </w:rPr>
              <w:t>会场恢复</w:t>
            </w:r>
            <w:r>
              <w:rPr>
                <w:rFonts w:hint="eastAsia" w:ascii="宋体" w:hAnsi="宋体" w:eastAsia="宋体" w:cs="宋体"/>
                <w:color w:val="auto"/>
                <w:sz w:val="21"/>
                <w:szCs w:val="21"/>
                <w:lang w:eastAsia="zh-CN"/>
              </w:rPr>
              <w:t>、物品归位</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会场卫生</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会场公共物品的维护。</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78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  内  保  洁</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电梯厅、办公楼道及一、二楼大厅每日清扫及拖洗2次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地下停车场每日清扫1次，会议室每日清扫1次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楼梯扶手、电梯厢内及栏杆，每日擦拭1次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共用部分玻璃和楼道办公室门框、木板及楼道内设施设备外表每周擦拭1次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3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楼道（层）垃圾桶每日清理、擦洗1次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公共卫生间每日清洁2次以上，并配备擦手纸、厕纸、洗手液、檀香、垃圾篓、物件挂钩等物品。</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85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卫生间洗手盆上无杂物、无积水；及时清理地面脚印、水渍；镜子每日擦拭；大小便池内外无淡垢；墙面、水管、隔断、门坎、窗台无灰尘，厕所无异味。</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电梯每日清扫和更换厢垫1次，每三天拖洗1次，每月对电梯门壁打蜡上光1次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     外     保     洁</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院内道路、停车场、绿地及室外公共场所，每日清扫2次，楼顶每周清扫1次。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73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明沟每周清扫1次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果皮箱、垃圾桶每日清理1次，擦试1次，垃圾箱内胆定期冲洗</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19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及时收集垃圾，每日清理2次，收集点周围地面无散落垃圾、无污迹、无异味</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室外标识、宣传栏、信报箱等共用部位设施设备每周擦拭1次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路灯、楼道灯、高杆路灯2米以下部分每周清洁1次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大门玻璃每日清洁1次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单车棚顶、前后大门、南门屏风定期清扫、擦拭</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285"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及时检查、疏通化粪池、下水道、污水井和雨水井</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7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有专人负责巡查保洁，做到无明显暴露垃圾，无陈旧堆积物，无卫生死角，绿地保洁良好</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87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水电管理服务</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制定水电安全运行规程及岗位责任制度，并认真履行岗位制度。</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96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27</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对水电线路、管路、设施设备进行定期的巡查、维护、保养、维修等工作，确保设备运行正常，档案资料齐全，记录完整、清晰。</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9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28</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配备专业技术维护、维修人员，发生故障及时排除；发生重大故障应及时向管理办报告并协调相关部门上门抢修。</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29</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提供24小时水电工值班服务。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公    共    秩    序    维    护</w:t>
            </w: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30</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严格交接班制度，做好执勤记录，认真履行职责。</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restart"/>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rPr>
                <w:rFonts w:hint="eastAsia" w:ascii="宋体" w:hAnsi="宋体" w:eastAsia="宋体" w:cs="宋体"/>
                <w:color w:val="auto"/>
                <w:sz w:val="21"/>
                <w:szCs w:val="21"/>
              </w:rPr>
            </w:pPr>
            <w:r>
              <w:rPr>
                <w:rFonts w:hint="eastAsia" w:ascii="宋体" w:hAnsi="宋体" w:eastAsia="宋体" w:cs="宋体"/>
                <w:color w:val="auto"/>
                <w:sz w:val="21"/>
                <w:szCs w:val="21"/>
              </w:rPr>
              <w:t>每发现一处（次）不符合标准扣0.2分，扣完为止。</w:t>
            </w: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31</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举止文明，姿态端庄，保持良好的精神面貌和形象。</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32</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提供24小时安保服务，合理安排白班、晚班和夜班的值班人员。</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33</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对重点区域、重点部位每小时至少巡查1次，有巡查记录。</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34</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上下班高峰时段，确保交通畅通无阻，流动岗要及时处理管理区域内发生的问题。</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2</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35</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正确使用各级消防、物防、技防设备和器材，懂得一般救护知识。</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3</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600" w:hRule="atLeast"/>
        </w:trPr>
        <w:tc>
          <w:tcPr>
            <w:tcW w:w="594"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c>
          <w:tcPr>
            <w:tcW w:w="594"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36</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0" w:firstLineChars="0"/>
              <w:rPr>
                <w:rFonts w:hint="eastAsia" w:ascii="宋体" w:hAnsi="宋体" w:eastAsia="宋体" w:cs="宋体"/>
                <w:color w:val="auto"/>
                <w:sz w:val="21"/>
                <w:szCs w:val="21"/>
              </w:rPr>
            </w:pPr>
            <w:r>
              <w:rPr>
                <w:rFonts w:hint="eastAsia" w:ascii="宋体" w:hAnsi="宋体" w:eastAsia="宋体" w:cs="宋体"/>
                <w:color w:val="auto"/>
                <w:sz w:val="21"/>
                <w:szCs w:val="21"/>
              </w:rPr>
              <w:t>发生突发事件，及时处理并上报，做好现场保护工作，进行抢救和善后工作。</w:t>
            </w: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r>
        <w:tblPrEx>
          <w:tblCellMar>
            <w:top w:w="0" w:type="dxa"/>
            <w:left w:w="108" w:type="dxa"/>
            <w:bottom w:w="0" w:type="dxa"/>
            <w:right w:w="108" w:type="dxa"/>
          </w:tblCellMar>
        </w:tblPrEx>
        <w:trPr>
          <w:trHeight w:val="540" w:hRule="atLeast"/>
        </w:trPr>
        <w:tc>
          <w:tcPr>
            <w:tcW w:w="1188" w:type="dxa"/>
            <w:gridSpan w:val="2"/>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20"/>
              <w:jc w:val="center"/>
              <w:rPr>
                <w:rFonts w:hint="eastAsia" w:ascii="宋体" w:hAnsi="宋体" w:eastAsia="宋体" w:cs="宋体"/>
                <w:color w:val="auto"/>
                <w:sz w:val="21"/>
                <w:szCs w:val="21"/>
              </w:rPr>
            </w:pPr>
            <w:r>
              <w:rPr>
                <w:rFonts w:hint="eastAsia" w:ascii="宋体" w:hAnsi="宋体" w:eastAsia="宋体" w:cs="宋体"/>
                <w:color w:val="auto"/>
                <w:sz w:val="21"/>
                <w:szCs w:val="21"/>
              </w:rPr>
              <w:t>总分</w:t>
            </w:r>
          </w:p>
        </w:tc>
        <w:tc>
          <w:tcPr>
            <w:tcW w:w="5670"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rPr>
                <w:rFonts w:hint="eastAsia" w:ascii="宋体" w:hAnsi="宋体" w:eastAsia="宋体" w:cs="宋体"/>
                <w:color w:val="auto"/>
                <w:sz w:val="21"/>
                <w:szCs w:val="21"/>
              </w:rPr>
            </w:pPr>
          </w:p>
        </w:tc>
        <w:tc>
          <w:tcPr>
            <w:tcW w:w="846"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210" w:firstLineChars="100"/>
              <w:rPr>
                <w:rFonts w:hint="eastAsia" w:ascii="宋体" w:hAnsi="宋体" w:eastAsia="宋体" w:cs="宋体"/>
                <w:color w:val="auto"/>
                <w:sz w:val="21"/>
                <w:szCs w:val="21"/>
              </w:rPr>
            </w:pPr>
            <w:r>
              <w:rPr>
                <w:rFonts w:hint="eastAsia" w:ascii="宋体" w:hAnsi="宋体" w:eastAsia="宋体" w:cs="宋体"/>
                <w:color w:val="auto"/>
                <w:sz w:val="21"/>
                <w:szCs w:val="21"/>
              </w:rPr>
              <w:t>100</w:t>
            </w:r>
          </w:p>
        </w:tc>
        <w:tc>
          <w:tcPr>
            <w:tcW w:w="867" w:type="dxa"/>
            <w:tcBorders>
              <w:top w:val="single" w:color="000000" w:sz="4" w:space="0"/>
              <w:left w:val="single" w:color="000000" w:sz="4" w:space="0"/>
              <w:bottom w:val="single" w:color="000000" w:sz="4" w:space="0"/>
              <w:right w:val="single" w:color="000000" w:sz="4" w:space="0"/>
            </w:tcBorders>
            <w:noWrap w:val="0"/>
            <w:tcMar>
              <w:top w:w="15" w:type="dxa"/>
              <w:left w:w="108" w:type="dxa"/>
              <w:bottom w:w="15" w:type="dxa"/>
              <w:right w:w="108" w:type="dxa"/>
            </w:tcMar>
            <w:vAlign w:val="center"/>
          </w:tcPr>
          <w:p>
            <w:pPr>
              <w:ind w:firstLine="480"/>
              <w:jc w:val="center"/>
              <w:rPr>
                <w:rFonts w:hint="eastAsia" w:ascii="宋体" w:hAnsi="宋体" w:eastAsia="宋体" w:cs="宋体"/>
                <w:color w:val="auto"/>
                <w:sz w:val="21"/>
                <w:szCs w:val="21"/>
              </w:rPr>
            </w:pPr>
          </w:p>
        </w:tc>
        <w:tc>
          <w:tcPr>
            <w:tcW w:w="1119"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80"/>
              <w:jc w:val="left"/>
              <w:rPr>
                <w:rFonts w:hint="eastAsia" w:ascii="宋体" w:hAnsi="宋体" w:eastAsia="宋体" w:cs="宋体"/>
                <w:color w:val="auto"/>
                <w:sz w:val="21"/>
                <w:szCs w:val="21"/>
              </w:rPr>
            </w:pPr>
          </w:p>
        </w:tc>
      </w:tr>
    </w:tbl>
    <w:p>
      <w:pPr>
        <w:adjustRightInd w:val="0"/>
        <w:snapToGrid w:val="0"/>
        <w:ind w:firstLine="422"/>
        <w:rPr>
          <w:rFonts w:hint="eastAsia" w:ascii="宋体" w:hAnsi="宋体" w:eastAsia="宋体" w:cs="宋体"/>
          <w:b/>
          <w:color w:val="auto"/>
          <w:sz w:val="21"/>
          <w:szCs w:val="21"/>
        </w:rPr>
      </w:pP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备注：考评内容共36项，总分值100分。</w:t>
      </w:r>
    </w:p>
    <w:p>
      <w:pPr>
        <w:adjustRightInd w:val="0"/>
        <w:snapToGrid w:val="0"/>
        <w:ind w:firstLine="422"/>
        <w:rPr>
          <w:rFonts w:hint="eastAsia" w:ascii="宋体" w:hAnsi="宋体" w:eastAsia="宋体" w:cs="宋体"/>
          <w:b/>
          <w:color w:val="auto"/>
          <w:sz w:val="21"/>
          <w:szCs w:val="21"/>
        </w:rPr>
      </w:pPr>
      <w:r>
        <w:rPr>
          <w:rFonts w:hint="eastAsia" w:ascii="宋体" w:hAnsi="宋体" w:eastAsia="宋体" w:cs="宋体"/>
          <w:b/>
          <w:color w:val="auto"/>
          <w:sz w:val="21"/>
          <w:szCs w:val="21"/>
        </w:rPr>
        <w:t>考评人员：</w:t>
      </w:r>
    </w:p>
    <w:p>
      <w:pPr>
        <w:adjustRightInd w:val="0"/>
        <w:snapToGrid w:val="0"/>
        <w:ind w:firstLine="422"/>
        <w:rPr>
          <w:rFonts w:hint="eastAsia" w:ascii="宋体" w:hAnsi="宋体" w:eastAsia="宋体" w:cs="宋体"/>
          <w:b/>
          <w:bCs/>
          <w:color w:val="auto"/>
          <w:kern w:val="0"/>
          <w:sz w:val="21"/>
          <w:szCs w:val="21"/>
        </w:rPr>
      </w:pP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br w:type="page"/>
      </w:r>
      <w:r>
        <w:rPr>
          <w:rFonts w:hint="eastAsia" w:ascii="宋体" w:hAnsi="宋体" w:eastAsia="宋体" w:cs="宋体"/>
          <w:b/>
          <w:bCs/>
          <w:color w:val="auto"/>
          <w:kern w:val="0"/>
          <w:sz w:val="21"/>
          <w:szCs w:val="21"/>
        </w:rPr>
        <w:t>附表3</w:t>
      </w: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 xml:space="preserve">                        办公区管理服务工作检查月考评表  </w:t>
      </w:r>
    </w:p>
    <w:p>
      <w:pPr>
        <w:adjustRightInd w:val="0"/>
        <w:snapToGrid w:val="0"/>
        <w:ind w:firstLine="6325" w:firstLineChars="3000"/>
        <w:rPr>
          <w:rFonts w:hint="eastAsia" w:ascii="宋体" w:hAnsi="宋体" w:eastAsia="宋体" w:cs="宋体"/>
          <w:b/>
          <w:color w:val="auto"/>
          <w:sz w:val="21"/>
          <w:szCs w:val="21"/>
        </w:rPr>
      </w:pPr>
      <w:r>
        <w:rPr>
          <w:rFonts w:hint="eastAsia" w:ascii="宋体" w:hAnsi="宋体" w:eastAsia="宋体" w:cs="宋体"/>
          <w:b/>
          <w:bCs/>
          <w:color w:val="auto"/>
          <w:kern w:val="0"/>
          <w:sz w:val="21"/>
          <w:szCs w:val="21"/>
        </w:rPr>
        <w:t xml:space="preserve">       年   月   日</w:t>
      </w:r>
    </w:p>
    <w:tbl>
      <w:tblPr>
        <w:tblStyle w:val="48"/>
        <w:tblW w:w="0" w:type="auto"/>
        <w:tblInd w:w="93" w:type="dxa"/>
        <w:tblLayout w:type="fixed"/>
        <w:tblCellMar>
          <w:top w:w="0" w:type="dxa"/>
          <w:left w:w="108" w:type="dxa"/>
          <w:bottom w:w="0" w:type="dxa"/>
          <w:right w:w="108" w:type="dxa"/>
        </w:tblCellMar>
      </w:tblPr>
      <w:tblGrid>
        <w:gridCol w:w="548"/>
        <w:gridCol w:w="460"/>
        <w:gridCol w:w="787"/>
        <w:gridCol w:w="5166"/>
        <w:gridCol w:w="851"/>
        <w:gridCol w:w="850"/>
        <w:gridCol w:w="1074"/>
      </w:tblGrid>
      <w:tr>
        <w:tblPrEx>
          <w:tblCellMar>
            <w:top w:w="0" w:type="dxa"/>
            <w:left w:w="108" w:type="dxa"/>
            <w:bottom w:w="0" w:type="dxa"/>
            <w:right w:w="108" w:type="dxa"/>
          </w:tblCellMar>
        </w:tblPrEx>
        <w:trPr>
          <w:trHeight w:val="585" w:hRule="atLeast"/>
        </w:trPr>
        <w:tc>
          <w:tcPr>
            <w:tcW w:w="1008" w:type="dxa"/>
            <w:gridSpan w:val="2"/>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项  目</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序号</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   评   内   容</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考核分值（分）</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考核得分（分）</w:t>
            </w:r>
          </w:p>
        </w:tc>
        <w:tc>
          <w:tcPr>
            <w:tcW w:w="1074"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备  注</w:t>
            </w:r>
          </w:p>
        </w:tc>
      </w:tr>
      <w:tr>
        <w:tblPrEx>
          <w:tblCellMar>
            <w:top w:w="0" w:type="dxa"/>
            <w:left w:w="108" w:type="dxa"/>
            <w:bottom w:w="0" w:type="dxa"/>
            <w:right w:w="108" w:type="dxa"/>
          </w:tblCellMar>
        </w:tblPrEx>
        <w:trPr>
          <w:trHeight w:val="607" w:hRule="atLeast"/>
        </w:trPr>
        <w:tc>
          <w:tcPr>
            <w:tcW w:w="1008" w:type="dxa"/>
            <w:gridSpan w:val="2"/>
            <w:vMerge w:val="restart"/>
            <w:tcBorders>
              <w:top w:val="single" w:color="auto" w:sz="4" w:space="0"/>
              <w:left w:val="single" w:color="auto" w:sz="4" w:space="0"/>
              <w:bottom w:val="single" w:color="000000"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会议服务</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有专业人员实施会议服务工作</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14" w:hRule="atLeast"/>
        </w:trPr>
        <w:tc>
          <w:tcPr>
            <w:tcW w:w="100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适时组织会务人员会议服务知识、礼仪礼节培训90%以上</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99" w:hRule="atLeast"/>
        </w:trPr>
        <w:tc>
          <w:tcPr>
            <w:tcW w:w="1008" w:type="dxa"/>
            <w:gridSpan w:val="2"/>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sz w:val="21"/>
                <w:szCs w:val="21"/>
              </w:rPr>
              <w:t>会议对接、会场布置、音响操作、会场服务、</w:t>
            </w:r>
            <w:r>
              <w:rPr>
                <w:rFonts w:hint="eastAsia" w:ascii="宋体" w:hAnsi="宋体" w:eastAsia="宋体" w:cs="宋体"/>
                <w:color w:val="auto"/>
                <w:sz w:val="21"/>
                <w:szCs w:val="21"/>
                <w:lang w:eastAsia="zh-CN"/>
              </w:rPr>
              <w:t>物品归位、</w:t>
            </w:r>
            <w:r>
              <w:rPr>
                <w:rFonts w:hint="eastAsia" w:ascii="宋体" w:hAnsi="宋体" w:eastAsia="宋体" w:cs="宋体"/>
                <w:color w:val="auto"/>
                <w:sz w:val="21"/>
                <w:szCs w:val="21"/>
              </w:rPr>
              <w:t>会场恢复清洁卫生</w:t>
            </w:r>
            <w:r>
              <w:rPr>
                <w:rFonts w:hint="eastAsia" w:ascii="宋体" w:hAnsi="宋体" w:eastAsia="宋体" w:cs="宋体"/>
                <w:color w:val="auto"/>
                <w:kern w:val="0"/>
                <w:sz w:val="21"/>
                <w:szCs w:val="21"/>
              </w:rPr>
              <w:t>90%以上</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   洁   服   务</w:t>
            </w:r>
          </w:p>
        </w:tc>
        <w:tc>
          <w:tcPr>
            <w:tcW w:w="460"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 内 保 洁</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电梯厢内（含厢垫）保持干净整洁，电梯门壁每月打蜡上光1次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nil"/>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5</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一楼大厅、办公楼道、地下停车场、会议室保持干净整洁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6</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共用部位玻璃和楼道办公室门框、地板及楼道内设施设备外表保持干净整洁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81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7</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公共卫生间保持清洁、干净、无异味、无积水、及时清理脚印、水渍，洗手盆、便池、镜子保持清洁，墙面、水管、隔断、窗台无灰尘，及时清理纸篓</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7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8</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卫生间内保持配备有擦手纸、厕纸、洗手液、檀香等物品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210" w:firstLineChars="10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9</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楼道垃圾桶外观干净整洁，及时清理桶内垃圾，无满溢污迹、无异味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w:t>
            </w:r>
          </w:p>
        </w:tc>
        <w:tc>
          <w:tcPr>
            <w:tcW w:w="5166" w:type="dxa"/>
            <w:tcBorders>
              <w:top w:val="nil"/>
              <w:left w:val="nil"/>
              <w:bottom w:val="nil"/>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工作日有专人负责巡查保洁，保持室内干净整洁，发现设施设备损坏及时报告</w:t>
            </w:r>
          </w:p>
        </w:tc>
        <w:tc>
          <w:tcPr>
            <w:tcW w:w="851" w:type="dxa"/>
            <w:tcBorders>
              <w:top w:val="nil"/>
              <w:left w:val="nil"/>
              <w:bottom w:val="nil"/>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nil"/>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restart"/>
            <w:tcBorders>
              <w:top w:val="nil"/>
              <w:left w:val="single" w:color="auto" w:sz="4" w:space="0"/>
              <w:bottom w:val="single" w:color="auto" w:sz="4" w:space="0"/>
              <w:right w:val="single" w:color="auto" w:sz="4" w:space="0"/>
            </w:tcBorders>
            <w:noWrap w:val="0"/>
            <w:textDirection w:val="tbRlV"/>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    外    保    洁</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保持院内道路、停车场、楼顶、明沟等室外公共场所干净整洁，无纸屑、口香糖、果皮、烟头等明显暴露垃圾、无卫生死角。</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525"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12</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果皮箱、垃圾桶外观保持干净整洁，内胆每周冲洗3次以上，做到无满溢、无异味、无污迹</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13</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及时收集、清运垃圾，每日1-2次，保持收集点周围地面无散落垃圾、无污迹、无异味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01"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14</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生活垃圾收集点周围地面无散落垃圾、无污迹、无异味</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15</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室外标识、宣传栏、信报箱等共用部位设施设备每周擦拭1次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77"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16</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路灯、楼道灯高杆路灯2米以下部分每周清洁1次，保持干净整洁</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388"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17</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大门玻璃、窗保持光亮、清洁、无污迹、水迹、灰尘及明显手印</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53"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18</w:t>
            </w:r>
          </w:p>
        </w:tc>
        <w:tc>
          <w:tcPr>
            <w:tcW w:w="5166"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配合除</w:t>
            </w:r>
            <w:r>
              <w:rPr>
                <w:rFonts w:hint="eastAsia" w:ascii="宋体" w:hAnsi="宋体" w:eastAsia="宋体" w:cs="宋体"/>
                <w:color w:val="auto"/>
                <w:kern w:val="0"/>
                <w:sz w:val="21"/>
                <w:szCs w:val="21"/>
              </w:rPr>
              <w:t>“四害”、</w:t>
            </w:r>
            <w:r>
              <w:rPr>
                <w:rFonts w:hint="eastAsia" w:ascii="宋体" w:hAnsi="宋体" w:eastAsia="宋体" w:cs="宋体"/>
                <w:color w:val="auto"/>
                <w:kern w:val="0"/>
                <w:sz w:val="21"/>
                <w:szCs w:val="21"/>
                <w:lang w:eastAsia="zh-CN"/>
              </w:rPr>
              <w:t>树木</w:t>
            </w:r>
            <w:r>
              <w:rPr>
                <w:rFonts w:hint="eastAsia" w:ascii="宋体" w:hAnsi="宋体" w:eastAsia="宋体" w:cs="宋体"/>
                <w:color w:val="auto"/>
                <w:kern w:val="0"/>
                <w:sz w:val="21"/>
                <w:szCs w:val="21"/>
              </w:rPr>
              <w:t>白蚁等</w:t>
            </w:r>
            <w:r>
              <w:rPr>
                <w:rFonts w:hint="eastAsia" w:ascii="宋体" w:hAnsi="宋体" w:eastAsia="宋体" w:cs="宋体"/>
                <w:color w:val="auto"/>
                <w:kern w:val="0"/>
                <w:sz w:val="21"/>
                <w:szCs w:val="21"/>
                <w:lang w:eastAsia="zh-CN"/>
              </w:rPr>
              <w:t>消杀防治</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93"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19</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lang w:eastAsia="zh-CN"/>
              </w:rPr>
            </w:pPr>
            <w:r>
              <w:rPr>
                <w:rFonts w:hint="eastAsia" w:ascii="宋体" w:hAnsi="宋体" w:eastAsia="宋体" w:cs="宋体"/>
                <w:color w:val="auto"/>
                <w:kern w:val="0"/>
                <w:sz w:val="21"/>
                <w:szCs w:val="21"/>
                <w:lang w:eastAsia="zh-CN"/>
              </w:rPr>
              <w:t>有专人负责巡查</w:t>
            </w:r>
            <w:r>
              <w:rPr>
                <w:rFonts w:hint="eastAsia" w:ascii="宋体" w:hAnsi="宋体" w:eastAsia="宋体" w:cs="宋体"/>
                <w:color w:val="auto"/>
                <w:kern w:val="0"/>
                <w:sz w:val="21"/>
                <w:szCs w:val="21"/>
              </w:rPr>
              <w:t>化粪池、下水道、污水井及雨水井等</w:t>
            </w:r>
            <w:r>
              <w:rPr>
                <w:rFonts w:hint="eastAsia" w:ascii="宋体" w:hAnsi="宋体" w:eastAsia="宋体" w:cs="宋体"/>
                <w:color w:val="auto"/>
                <w:kern w:val="0"/>
                <w:sz w:val="21"/>
                <w:szCs w:val="21"/>
                <w:lang w:eastAsia="zh-CN"/>
              </w:rPr>
              <w:t>溢满的情况</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415" w:hRule="atLeast"/>
        </w:trPr>
        <w:tc>
          <w:tcPr>
            <w:tcW w:w="548"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460" w:type="dxa"/>
            <w:vMerge w:val="continue"/>
            <w:tcBorders>
              <w:top w:val="nil"/>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20</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有专人负责巡查保洁</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66" w:hRule="atLeast"/>
        </w:trPr>
        <w:tc>
          <w:tcPr>
            <w:tcW w:w="1008" w:type="dxa"/>
            <w:gridSpan w:val="2"/>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维</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护</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公</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共</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秩</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序</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21</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严格交接班制度，做好执勤记录，认真履行职责</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22</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举止文明，姿态端庄，保持良好的精神面貌和形象</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23</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做好来访人员的登记核查、大件物品进出审批放行、车辆出入检查工作</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24</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办公区大门、消防，办公区24小时巡逻，有巡查记录</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25</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车辆停放有序，大型活动及重要会议召开期间、上下高峰期等时段设有专人指挥车辆行驶</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26</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会正确使用各种消防、物防、技防设备和器材，懂得一般救护知识</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27</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确保消防、安防设施、电气设备、监控设备等运行正常，发现问题及时汇报</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28</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发生突发事件，及时处理并上报，做好现场保护工作，进行抢救和善后工作</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32" w:hRule="atLeast"/>
        </w:trPr>
        <w:tc>
          <w:tcPr>
            <w:tcW w:w="1008" w:type="dxa"/>
            <w:gridSpan w:val="2"/>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29</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无治安案件、火灾事故发生</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restart"/>
            <w:tcBorders>
              <w:top w:val="single" w:color="auto" w:sz="4" w:space="0"/>
              <w:left w:val="single" w:color="auto" w:sz="4" w:space="0"/>
              <w:bottom w:val="nil"/>
              <w:right w:val="single" w:color="auto" w:sz="4" w:space="0"/>
            </w:tcBorders>
            <w:noWrap w:val="0"/>
            <w:vAlign w:val="center"/>
          </w:tcPr>
          <w:p>
            <w:pPr>
              <w:widowControl/>
              <w:adjustRightInd w:val="0"/>
              <w:snapToGrid w:val="0"/>
              <w:spacing w:line="320" w:lineRule="exact"/>
              <w:ind w:left="420" w:leftChars="200"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水        电          管        理        服          务</w:t>
            </w: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30</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xml:space="preserve">制定水电安全运行规程及岗位责任制度，并认真履行岗位制度。 </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single" w:color="auto" w:sz="4" w:space="0"/>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每发现一处（次）不符合标准扣0.2分，扣完为止</w:t>
            </w: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31</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对水电线路、管路、设施设备进行定期的巡查、维护、保养、维修等工作，确保设备运行正常，档案资料齐全，记录完整、清晰。</w:t>
            </w:r>
          </w:p>
        </w:tc>
        <w:tc>
          <w:tcPr>
            <w:tcW w:w="851"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4</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32</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配备专业技术维护、维修人员，发生故障及时排除；</w:t>
            </w:r>
            <w:r>
              <w:rPr>
                <w:rFonts w:hint="eastAsia" w:ascii="宋体" w:hAnsi="宋体" w:eastAsia="宋体" w:cs="宋体"/>
                <w:color w:val="auto"/>
                <w:sz w:val="21"/>
                <w:szCs w:val="21"/>
              </w:rPr>
              <w:t>发生重大故障应及时向管理办报告并协调相关部门上门抢修。</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33</w:t>
            </w:r>
          </w:p>
        </w:tc>
        <w:tc>
          <w:tcPr>
            <w:tcW w:w="5166" w:type="dxa"/>
            <w:tcBorders>
              <w:top w:val="nil"/>
              <w:left w:val="nil"/>
              <w:bottom w:val="single" w:color="auto" w:sz="4" w:space="0"/>
              <w:right w:val="single" w:color="auto" w:sz="4" w:space="0"/>
            </w:tcBorders>
            <w:noWrap w:val="0"/>
            <w:vAlign w:val="center"/>
          </w:tcPr>
          <w:p>
            <w:pPr>
              <w:adjustRightInd w:val="0"/>
              <w:snapToGrid w:val="0"/>
              <w:spacing w:line="320" w:lineRule="exact"/>
              <w:ind w:firstLine="420"/>
              <w:rPr>
                <w:rFonts w:hint="eastAsia" w:ascii="宋体" w:hAnsi="宋体" w:eastAsia="宋体" w:cs="宋体"/>
                <w:color w:val="auto"/>
                <w:sz w:val="21"/>
                <w:szCs w:val="21"/>
              </w:rPr>
            </w:pPr>
            <w:r>
              <w:rPr>
                <w:rFonts w:hint="eastAsia" w:ascii="宋体" w:hAnsi="宋体" w:eastAsia="宋体" w:cs="宋体"/>
                <w:color w:val="auto"/>
                <w:kern w:val="0"/>
                <w:sz w:val="21"/>
                <w:szCs w:val="21"/>
              </w:rPr>
              <w:t>提供24小时水电工值班服务。</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584" w:hRule="atLeast"/>
        </w:trPr>
        <w:tc>
          <w:tcPr>
            <w:tcW w:w="1008" w:type="dxa"/>
            <w:gridSpan w:val="2"/>
            <w:vMerge w:val="continue"/>
            <w:tcBorders>
              <w:top w:val="single" w:color="auto" w:sz="4" w:space="0"/>
              <w:left w:val="single" w:color="auto" w:sz="4" w:space="0"/>
              <w:bottom w:val="nil"/>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34</w:t>
            </w:r>
          </w:p>
        </w:tc>
        <w:tc>
          <w:tcPr>
            <w:tcW w:w="5166"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及时完成水电缴费单等资料发放工作。</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p>
        </w:tc>
        <w:tc>
          <w:tcPr>
            <w:tcW w:w="1074" w:type="dxa"/>
            <w:vMerge w:val="continue"/>
            <w:tcBorders>
              <w:top w:val="single" w:color="auto" w:sz="4" w:space="0"/>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restart"/>
            <w:tcBorders>
              <w:top w:val="single" w:color="auto" w:sz="4" w:space="0"/>
              <w:left w:val="single" w:color="auto" w:sz="4" w:space="0"/>
              <w:bottom w:val="single" w:color="000000" w:sz="4" w:space="0"/>
              <w:right w:val="single" w:color="000000"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综</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合</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服</w:t>
            </w:r>
          </w:p>
          <w:p>
            <w:pPr>
              <w:pStyle w:val="45"/>
              <w:ind w:firstLine="420"/>
              <w:rPr>
                <w:rFonts w:hint="eastAsia" w:ascii="宋体" w:hAnsi="宋体" w:eastAsia="宋体" w:cs="宋体"/>
                <w:color w:val="auto"/>
                <w:sz w:val="21"/>
                <w:szCs w:val="21"/>
              </w:rPr>
            </w:pPr>
          </w:p>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务</w:t>
            </w: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35</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员工佩戴标志，行为语言规范，服务主动热情</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restart"/>
            <w:tcBorders>
              <w:top w:val="nil"/>
              <w:left w:val="single" w:color="auto" w:sz="4" w:space="0"/>
              <w:bottom w:val="single" w:color="000000"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每发现一处（次）不符合标准扣0.5分，扣完为止</w:t>
            </w:r>
          </w:p>
        </w:tc>
      </w:tr>
      <w:tr>
        <w:tblPrEx>
          <w:tblCellMar>
            <w:top w:w="0" w:type="dxa"/>
            <w:left w:w="108" w:type="dxa"/>
            <w:bottom w:w="0" w:type="dxa"/>
            <w:right w:w="108" w:type="dxa"/>
          </w:tblCellMar>
        </w:tblPrEx>
        <w:trPr>
          <w:trHeight w:val="59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36</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及时整改管理办日检、周检发现的问题</w:t>
            </w:r>
          </w:p>
        </w:tc>
        <w:tc>
          <w:tcPr>
            <w:tcW w:w="851"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37</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重视办公单位或人员反应的问题，加强与管理办沟通</w:t>
            </w:r>
          </w:p>
        </w:tc>
        <w:tc>
          <w:tcPr>
            <w:tcW w:w="851" w:type="dxa"/>
            <w:tcBorders>
              <w:top w:val="nil"/>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w:t>
            </w:r>
          </w:p>
        </w:tc>
        <w:tc>
          <w:tcPr>
            <w:tcW w:w="850"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008" w:type="dxa"/>
            <w:gridSpan w:val="2"/>
            <w:vMerge w:val="continue"/>
            <w:tcBorders>
              <w:top w:val="single" w:color="auto" w:sz="4" w:space="0"/>
              <w:left w:val="single" w:color="auto"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color w:val="auto"/>
                <w:kern w:val="0"/>
                <w:sz w:val="21"/>
                <w:szCs w:val="21"/>
              </w:rPr>
            </w:pPr>
          </w:p>
        </w:tc>
        <w:tc>
          <w:tcPr>
            <w:tcW w:w="787"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38</w:t>
            </w:r>
          </w:p>
        </w:tc>
        <w:tc>
          <w:tcPr>
            <w:tcW w:w="5166"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无办公单位或人员投诉</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2</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vMerge w:val="continue"/>
            <w:tcBorders>
              <w:top w:val="nil"/>
              <w:left w:val="single" w:color="auto" w:sz="4" w:space="0"/>
              <w:bottom w:val="single" w:color="000000" w:sz="4" w:space="0"/>
              <w:right w:val="single" w:color="auto" w:sz="4" w:space="0"/>
            </w:tcBorders>
            <w:noWrap w:val="0"/>
            <w:vAlign w:val="center"/>
          </w:tcPr>
          <w:p>
            <w:pPr>
              <w:widowControl/>
              <w:ind w:firstLine="420"/>
              <w:jc w:val="left"/>
              <w:rPr>
                <w:rFonts w:hint="eastAsia" w:ascii="宋体" w:hAnsi="宋体" w:eastAsia="宋体" w:cs="宋体"/>
                <w:color w:val="auto"/>
                <w:kern w:val="0"/>
                <w:sz w:val="21"/>
                <w:szCs w:val="21"/>
              </w:rPr>
            </w:pPr>
          </w:p>
        </w:tc>
      </w:tr>
      <w:tr>
        <w:tblPrEx>
          <w:tblCellMar>
            <w:top w:w="0" w:type="dxa"/>
            <w:left w:w="108" w:type="dxa"/>
            <w:bottom w:w="0" w:type="dxa"/>
            <w:right w:w="108" w:type="dxa"/>
          </w:tblCellMar>
        </w:tblPrEx>
        <w:trPr>
          <w:trHeight w:val="630" w:hRule="atLeast"/>
        </w:trPr>
        <w:tc>
          <w:tcPr>
            <w:tcW w:w="1795" w:type="dxa"/>
            <w:gridSpan w:val="3"/>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总  分</w:t>
            </w:r>
          </w:p>
        </w:tc>
        <w:tc>
          <w:tcPr>
            <w:tcW w:w="5166"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adjustRightInd w:val="0"/>
              <w:snapToGrid w:val="0"/>
              <w:spacing w:line="320" w:lineRule="exact"/>
              <w:ind w:firstLine="0" w:firstLineChars="0"/>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100</w:t>
            </w:r>
          </w:p>
        </w:tc>
        <w:tc>
          <w:tcPr>
            <w:tcW w:w="850" w:type="dxa"/>
            <w:tcBorders>
              <w:top w:val="single" w:color="auto" w:sz="4" w:space="0"/>
              <w:left w:val="nil"/>
              <w:bottom w:val="single" w:color="auto" w:sz="4" w:space="0"/>
              <w:right w:val="single" w:color="auto" w:sz="4" w:space="0"/>
            </w:tcBorders>
            <w:noWrap w:val="0"/>
            <w:vAlign w:val="center"/>
          </w:tcPr>
          <w:p>
            <w:pPr>
              <w:widowControl/>
              <w:adjustRightInd w:val="0"/>
              <w:snapToGrid w:val="0"/>
              <w:spacing w:line="320" w:lineRule="exact"/>
              <w:ind w:firstLine="420"/>
              <w:jc w:val="center"/>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c>
          <w:tcPr>
            <w:tcW w:w="1074" w:type="dxa"/>
            <w:tcBorders>
              <w:top w:val="nil"/>
              <w:left w:val="nil"/>
              <w:bottom w:val="single" w:color="auto" w:sz="4" w:space="0"/>
              <w:right w:val="single" w:color="auto" w:sz="4" w:space="0"/>
            </w:tcBorders>
            <w:noWrap w:val="0"/>
            <w:vAlign w:val="center"/>
          </w:tcPr>
          <w:p>
            <w:pPr>
              <w:widowControl/>
              <w:adjustRightInd w:val="0"/>
              <w:snapToGrid w:val="0"/>
              <w:spacing w:line="320" w:lineRule="exact"/>
              <w:ind w:firstLine="420"/>
              <w:jc w:val="left"/>
              <w:rPr>
                <w:rFonts w:hint="eastAsia" w:ascii="宋体" w:hAnsi="宋体" w:eastAsia="宋体" w:cs="宋体"/>
                <w:color w:val="auto"/>
                <w:kern w:val="0"/>
                <w:sz w:val="21"/>
                <w:szCs w:val="21"/>
              </w:rPr>
            </w:pPr>
            <w:r>
              <w:rPr>
                <w:rFonts w:hint="eastAsia" w:ascii="宋体" w:hAnsi="宋体" w:eastAsia="宋体" w:cs="宋体"/>
                <w:color w:val="auto"/>
                <w:kern w:val="0"/>
                <w:sz w:val="21"/>
                <w:szCs w:val="21"/>
              </w:rPr>
              <w:t>　</w:t>
            </w:r>
          </w:p>
        </w:tc>
      </w:tr>
    </w:tbl>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备注：考评内容共38项，总分值100分。</w:t>
      </w:r>
    </w:p>
    <w:p>
      <w:pPr>
        <w:adjustRightInd w:val="0"/>
        <w:snapToGrid w:val="0"/>
        <w:ind w:firstLine="422"/>
        <w:rPr>
          <w:rFonts w:hint="eastAsia" w:ascii="宋体" w:hAnsi="宋体" w:eastAsia="宋体" w:cs="宋体"/>
          <w:b/>
          <w:bCs/>
          <w:color w:val="auto"/>
          <w:kern w:val="0"/>
          <w:sz w:val="21"/>
          <w:szCs w:val="21"/>
        </w:rPr>
      </w:pP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t>总体评价：                                           考评人员：</w:t>
      </w:r>
    </w:p>
    <w:p>
      <w:pPr>
        <w:adjustRightInd w:val="0"/>
        <w:snapToGrid w:val="0"/>
        <w:ind w:firstLine="422"/>
        <w:rPr>
          <w:rFonts w:hint="eastAsia" w:ascii="宋体" w:hAnsi="宋体" w:eastAsia="宋体" w:cs="宋体"/>
          <w:b/>
          <w:bCs/>
          <w:color w:val="auto"/>
          <w:kern w:val="0"/>
          <w:sz w:val="21"/>
          <w:szCs w:val="21"/>
        </w:rPr>
      </w:pPr>
      <w:r>
        <w:rPr>
          <w:rFonts w:hint="eastAsia" w:ascii="宋体" w:hAnsi="宋体" w:eastAsia="宋体" w:cs="宋体"/>
          <w:b/>
          <w:bCs/>
          <w:color w:val="auto"/>
          <w:kern w:val="0"/>
          <w:sz w:val="21"/>
          <w:szCs w:val="21"/>
        </w:rPr>
        <w:br w:type="page"/>
      </w:r>
      <w:r>
        <w:rPr>
          <w:rFonts w:hint="eastAsia" w:ascii="宋体" w:hAnsi="宋体" w:eastAsia="宋体" w:cs="宋体"/>
          <w:b/>
          <w:bCs/>
          <w:color w:val="auto"/>
          <w:kern w:val="0"/>
          <w:sz w:val="21"/>
          <w:szCs w:val="21"/>
        </w:rPr>
        <w:t>附表4</w:t>
      </w:r>
    </w:p>
    <w:tbl>
      <w:tblPr>
        <w:tblStyle w:val="48"/>
        <w:tblW w:w="9855" w:type="dxa"/>
        <w:tblInd w:w="0" w:type="dxa"/>
        <w:tblLayout w:type="fixed"/>
        <w:tblCellMar>
          <w:top w:w="0" w:type="dxa"/>
          <w:left w:w="108" w:type="dxa"/>
          <w:bottom w:w="0" w:type="dxa"/>
          <w:right w:w="108" w:type="dxa"/>
        </w:tblCellMar>
      </w:tblPr>
      <w:tblGrid>
        <w:gridCol w:w="465"/>
        <w:gridCol w:w="540"/>
        <w:gridCol w:w="5760"/>
        <w:gridCol w:w="497"/>
        <w:gridCol w:w="1768"/>
        <w:gridCol w:w="825"/>
      </w:tblGrid>
      <w:tr>
        <w:tblPrEx>
          <w:tblCellMar>
            <w:top w:w="0" w:type="dxa"/>
            <w:left w:w="108" w:type="dxa"/>
            <w:bottom w:w="0" w:type="dxa"/>
            <w:right w:w="108" w:type="dxa"/>
          </w:tblCellMar>
        </w:tblPrEx>
        <w:trPr>
          <w:trHeight w:val="489"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2"/>
              <w:jc w:val="center"/>
              <w:textAlignment w:val="center"/>
              <w:rPr>
                <w:rFonts w:hint="eastAsia" w:ascii="宋体" w:hAnsi="宋体" w:eastAsia="宋体" w:cs="宋体"/>
                <w:bCs/>
                <w:color w:val="auto"/>
                <w:sz w:val="21"/>
                <w:szCs w:val="21"/>
              </w:rPr>
            </w:pPr>
            <w:r>
              <w:rPr>
                <w:rFonts w:hint="eastAsia" w:ascii="宋体" w:hAnsi="宋体" w:eastAsia="宋体" w:cs="宋体"/>
                <w:b/>
                <w:color w:val="auto"/>
                <w:kern w:val="0"/>
                <w:sz w:val="21"/>
                <w:szCs w:val="21"/>
              </w:rPr>
              <w:t>办公区物业服务项目管理工作季度考核评分表</w:t>
            </w:r>
          </w:p>
        </w:tc>
      </w:tr>
      <w:tr>
        <w:tblPrEx>
          <w:tblCellMar>
            <w:top w:w="0" w:type="dxa"/>
            <w:left w:w="108" w:type="dxa"/>
            <w:bottom w:w="0" w:type="dxa"/>
            <w:right w:w="108" w:type="dxa"/>
          </w:tblCellMar>
        </w:tblPrEx>
        <w:trPr>
          <w:trHeight w:val="237"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单位：                                                        年     月     日</w:t>
            </w:r>
          </w:p>
        </w:tc>
      </w:tr>
      <w:tr>
        <w:tblPrEx>
          <w:tblCellMar>
            <w:top w:w="0" w:type="dxa"/>
            <w:left w:w="108" w:type="dxa"/>
            <w:bottom w:w="0" w:type="dxa"/>
            <w:right w:w="108" w:type="dxa"/>
          </w:tblCellMar>
        </w:tblPrEx>
        <w:trPr>
          <w:trHeight w:val="1013" w:hRule="atLeast"/>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基本项目</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序号</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考   评   内   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分值                 </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评分标准    </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得分</w:t>
            </w:r>
          </w:p>
        </w:tc>
      </w:tr>
      <w:tr>
        <w:tblPrEx>
          <w:tblCellMar>
            <w:top w:w="0" w:type="dxa"/>
            <w:left w:w="108" w:type="dxa"/>
            <w:bottom w:w="0" w:type="dxa"/>
            <w:right w:w="108" w:type="dxa"/>
          </w:tblCellMar>
        </w:tblPrEx>
        <w:trPr>
          <w:trHeight w:val="681" w:hRule="atLeast"/>
        </w:trPr>
        <w:tc>
          <w:tcPr>
            <w:tcW w:w="465" w:type="dxa"/>
            <w:vMerge w:val="restart"/>
            <w:tcBorders>
              <w:top w:val="single" w:color="000000" w:sz="4" w:space="0"/>
              <w:left w:val="single" w:color="000000" w:sz="4" w:space="0"/>
              <w:bottom w:val="nil"/>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综                        合                   管      理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按照服务合同规定的服务标准，配备物业服务工作人员      （    人）</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31"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实行服务工作日检周查、月评月报、季度小结，及时填送报表 </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64"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服务企业员工佩戴标志，仪表整洁，着装统一</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86"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物业服务人员行为语言规范，服务主动热情</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72"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有投诉处理机制，及时处理投诉问题，有记录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69" w:hRule="atLeast"/>
        </w:trPr>
        <w:tc>
          <w:tcPr>
            <w:tcW w:w="465" w:type="dxa"/>
            <w:vMerge w:val="continue"/>
            <w:tcBorders>
              <w:top w:val="single" w:color="000000" w:sz="4" w:space="0"/>
              <w:left w:val="single" w:color="000000" w:sz="4" w:space="0"/>
              <w:bottom w:val="nil"/>
              <w:right w:val="nil"/>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物业服务档案资料齐全，管理完善，有台账记录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少一项扣0.2分，扣完为止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05"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卫</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生</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保</w:t>
            </w:r>
          </w:p>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洁</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办公楼道、大厅、地下停车场、会议室等场所是否干净清洁，无遗弃物、无满溢污迹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公共卫生间是否保持干净、清洁、无异味、无积水无灰尘，洗手盆、便池、镜子保持清洁，墙面、水管、窗台等无灰尘</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6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卫生间内是否及时配备擦手纸、厕纸、洗手液、檀香等，纸篓干净并及时清理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2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电梯厢内是否干净整洁，电梯门壁是否每月打蜡上光</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楼道内垃圾桶内外是否干净整洁，及时清理桶内垃圾</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6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共用部分玻璃、楼道办公室门框、楼梯扶手、栏杆、楼道内设施设备外表是否及时擦拭，干净无灰尘</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70"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有专人巡查保洁</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061"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院内道路、停车场、楼顶、明沟等室外公共场所是否干净整洁，无果皮、烟头等明显垃圾，无陈旧堆积物，无卫生死角</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02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办公楼大门玻璃、楼道窗户及窗台等是否光亮、清洁，无污迹、灰尘，无明显手印</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4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室外标识、宣传栏、信报箱、路灯、楼道灯、草坪灯等共用部位设施设备是否干净无灰尘，无污迹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1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果皮箱、垃圾桶内胆是否保持干净整洁，及时冲洗，周围地面无散落垃圾，无满溢，无污迹，无异味</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5</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5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车棚顶是否定期清扫，污水井、沟、垃圾房是否定期喷洒药水</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9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是否及时清理化粪池、污水井、雨水井、下水道等</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7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lang w:eastAsia="zh-CN"/>
              </w:rPr>
            </w:pPr>
            <w:r>
              <w:rPr>
                <w:rFonts w:hint="eastAsia" w:ascii="宋体" w:hAnsi="宋体" w:eastAsia="宋体" w:cs="宋体"/>
                <w:bCs/>
                <w:color w:val="auto"/>
                <w:kern w:val="0"/>
                <w:sz w:val="21"/>
                <w:szCs w:val="21"/>
              </w:rPr>
              <w:t>是否及时</w:t>
            </w:r>
            <w:r>
              <w:rPr>
                <w:rFonts w:hint="eastAsia" w:ascii="宋体" w:hAnsi="宋体" w:eastAsia="宋体" w:cs="宋体"/>
                <w:bCs/>
                <w:color w:val="auto"/>
                <w:kern w:val="0"/>
                <w:sz w:val="21"/>
                <w:szCs w:val="21"/>
                <w:lang w:eastAsia="zh-CN"/>
              </w:rPr>
              <w:t>配合除</w:t>
            </w:r>
            <w:r>
              <w:rPr>
                <w:rFonts w:hint="eastAsia" w:ascii="宋体" w:hAnsi="宋体" w:eastAsia="宋体" w:cs="宋体"/>
                <w:bCs/>
                <w:color w:val="auto"/>
                <w:kern w:val="0"/>
                <w:sz w:val="21"/>
                <w:szCs w:val="21"/>
              </w:rPr>
              <w:t>“四害”、</w:t>
            </w:r>
            <w:r>
              <w:rPr>
                <w:rFonts w:hint="eastAsia" w:ascii="宋体" w:hAnsi="宋体" w:eastAsia="宋体" w:cs="宋体"/>
                <w:bCs/>
                <w:color w:val="auto"/>
                <w:kern w:val="0"/>
                <w:sz w:val="21"/>
                <w:szCs w:val="21"/>
                <w:lang w:eastAsia="zh-CN"/>
              </w:rPr>
              <w:t>树木</w:t>
            </w:r>
            <w:r>
              <w:rPr>
                <w:rFonts w:hint="eastAsia" w:ascii="宋体" w:hAnsi="宋体" w:eastAsia="宋体" w:cs="宋体"/>
                <w:bCs/>
                <w:color w:val="auto"/>
                <w:kern w:val="0"/>
                <w:sz w:val="21"/>
                <w:szCs w:val="21"/>
              </w:rPr>
              <w:t>白蚁等</w:t>
            </w:r>
            <w:r>
              <w:rPr>
                <w:rFonts w:hint="eastAsia" w:ascii="宋体" w:hAnsi="宋体" w:eastAsia="宋体" w:cs="宋体"/>
                <w:bCs/>
                <w:color w:val="auto"/>
                <w:kern w:val="0"/>
                <w:sz w:val="21"/>
                <w:szCs w:val="21"/>
                <w:lang w:eastAsia="zh-CN"/>
              </w:rPr>
              <w:t>防治</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05"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是否有专人巡查保洁</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90"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会</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议</w:t>
            </w:r>
          </w:p>
          <w:p>
            <w:pPr>
              <w:widowControl/>
              <w:adjustRightInd w:val="0"/>
              <w:snapToGrid w:val="0"/>
              <w:ind w:firstLine="0" w:firstLineChars="0"/>
              <w:textAlignment w:val="center"/>
              <w:rPr>
                <w:rFonts w:hint="eastAsia" w:ascii="宋体" w:hAnsi="宋体" w:eastAsia="宋体" w:cs="宋体"/>
                <w:bCs/>
                <w:color w:val="auto"/>
                <w:kern w:val="0"/>
                <w:sz w:val="21"/>
                <w:szCs w:val="21"/>
              </w:rPr>
            </w:pPr>
            <w:r>
              <w:rPr>
                <w:rFonts w:hint="eastAsia" w:ascii="宋体" w:hAnsi="宋体" w:eastAsia="宋体" w:cs="宋体"/>
                <w:bCs/>
                <w:color w:val="auto"/>
                <w:kern w:val="0"/>
                <w:sz w:val="21"/>
                <w:szCs w:val="21"/>
              </w:rPr>
              <w:t>服</w:t>
            </w:r>
          </w:p>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务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是否有专业人员进行会务服务工作</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4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是否适时组织会务人员业务知识、礼仪礼节培训</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3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24</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是否定期对会场设施设备</w:t>
            </w:r>
            <w:r>
              <w:rPr>
                <w:rFonts w:hint="eastAsia" w:ascii="宋体" w:hAnsi="宋体" w:eastAsia="宋体" w:cs="宋体"/>
                <w:bCs/>
                <w:color w:val="auto"/>
                <w:kern w:val="0"/>
                <w:sz w:val="21"/>
                <w:szCs w:val="21"/>
                <w:lang w:eastAsia="zh-CN"/>
              </w:rPr>
              <w:t>检查</w:t>
            </w:r>
            <w:r>
              <w:rPr>
                <w:rFonts w:hint="eastAsia" w:ascii="宋体" w:hAnsi="宋体" w:eastAsia="宋体" w:cs="宋体"/>
                <w:bCs/>
                <w:color w:val="auto"/>
                <w:kern w:val="0"/>
                <w:sz w:val="21"/>
                <w:szCs w:val="21"/>
              </w:rPr>
              <w:t>维护保养</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3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是否定期对会场固定物质的维护盘点</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9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是否对会议环境卫生定期清洁清理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29" w:hRule="atLeast"/>
        </w:trPr>
        <w:tc>
          <w:tcPr>
            <w:tcW w:w="465" w:type="dxa"/>
            <w:vMerge w:val="restart"/>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公 共                     秩 序                       维 护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秩序维护人员是否认真履行职责，严格交接制度，有值勤记录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95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秩序维护人员是否举止文明，姿态端庄，保持良好的精神面貌和形象</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78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办公区大门、安防24小时值班，办公区24小时巡逻，有巡查记录</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96"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30</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车辆是否停放有序，大型活动及重要会议、上下班高峰期是否有专人指挥车辆行驶</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11"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31</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是否有应对突发事件应急预案和人员培训实施计划</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29"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32</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秩序维护员是否会使用各种消防、物防、技防设备和器材，懂得一般救护知识</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94"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33</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是否定期维护消防、安防、电器、监控等设备，保持设备的正常运行</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不符合不得分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555" w:hRule="atLeast"/>
        </w:trPr>
        <w:tc>
          <w:tcPr>
            <w:tcW w:w="465"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34</w:t>
            </w:r>
          </w:p>
        </w:tc>
        <w:tc>
          <w:tcPr>
            <w:tcW w:w="5760" w:type="dxa"/>
            <w:tcBorders>
              <w:top w:val="single" w:color="000000" w:sz="4" w:space="0"/>
              <w:left w:val="single" w:color="000000" w:sz="4" w:space="0"/>
              <w:bottom w:val="nil"/>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无治安案件、火灾事故</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发生一起不得分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04" w:hRule="atLeast"/>
        </w:trPr>
        <w:tc>
          <w:tcPr>
            <w:tcW w:w="465" w:type="dxa"/>
            <w:vMerge w:val="restart"/>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水电管理服务</w:t>
            </w: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35</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制定水电安全运行规程及岗位责任制度，并认真履行岗位制度。</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5"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36</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对水电线路、管路、设施设备进行定期的巡查、维护、保养、维修等工作，确保设备运行正常，档案资料齐全，记录完整、清晰。</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95"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37</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配备专业技术维护、维修人员，发生故障及时排除；发生重大故障应及时向管理办报告并协调相关部门上门抢修。</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681"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38</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提供24小时水电工值班服务。</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831" w:hRule="atLeast"/>
        </w:trPr>
        <w:tc>
          <w:tcPr>
            <w:tcW w:w="465" w:type="dxa"/>
            <w:vMerge w:val="continue"/>
            <w:tcBorders>
              <w:top w:val="nil"/>
              <w:left w:val="single" w:color="000000" w:sz="4" w:space="0"/>
              <w:bottom w:val="single" w:color="000000" w:sz="4" w:space="0"/>
              <w:right w:val="single" w:color="000000" w:sz="4" w:space="0"/>
            </w:tcBorders>
            <w:noWrap w:val="0"/>
            <w:vAlign w:val="center"/>
          </w:tcPr>
          <w:p>
            <w:pPr>
              <w:widowControl/>
              <w:ind w:firstLine="420"/>
              <w:jc w:val="left"/>
              <w:rPr>
                <w:rFonts w:hint="eastAsia" w:ascii="宋体" w:hAnsi="宋体" w:eastAsia="宋体" w:cs="宋体"/>
                <w:bCs/>
                <w:color w:val="auto"/>
                <w:sz w:val="21"/>
                <w:szCs w:val="21"/>
              </w:rPr>
            </w:pPr>
          </w:p>
        </w:tc>
        <w:tc>
          <w:tcPr>
            <w:tcW w:w="540" w:type="dxa"/>
            <w:tcBorders>
              <w:top w:val="single" w:color="000000" w:sz="4" w:space="0"/>
              <w:left w:val="single" w:color="000000" w:sz="4" w:space="0"/>
              <w:bottom w:val="single" w:color="000000" w:sz="4" w:space="0"/>
              <w:right w:val="nil"/>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39</w:t>
            </w:r>
          </w:p>
        </w:tc>
        <w:tc>
          <w:tcPr>
            <w:tcW w:w="576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及时完成水电缴费单等资料发放工作。</w:t>
            </w:r>
          </w:p>
        </w:tc>
        <w:tc>
          <w:tcPr>
            <w:tcW w:w="497" w:type="dxa"/>
            <w:tcBorders>
              <w:top w:val="single" w:color="000000" w:sz="4" w:space="0"/>
              <w:left w:val="nil"/>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2</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发现一处不符扣0.2分，扣完为止</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1200" w:hRule="atLeast"/>
        </w:trPr>
        <w:tc>
          <w:tcPr>
            <w:tcW w:w="46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 xml:space="preserve">服 务              效 果            </w:t>
            </w:r>
          </w:p>
        </w:tc>
        <w:tc>
          <w:tcPr>
            <w:tcW w:w="540"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40</w:t>
            </w:r>
          </w:p>
        </w:tc>
        <w:tc>
          <w:tcPr>
            <w:tcW w:w="5760" w:type="dxa"/>
            <w:tcBorders>
              <w:top w:val="nil"/>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办公单位干部职工评价</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非常满意得10分，满意得8分，基本满意得5分，不满意不得分</w:t>
            </w: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450" w:hRule="atLeast"/>
        </w:trPr>
        <w:tc>
          <w:tcPr>
            <w:tcW w:w="6765" w:type="dxa"/>
            <w:gridSpan w:val="3"/>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420"/>
              <w:jc w:val="center"/>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合         计</w:t>
            </w:r>
          </w:p>
        </w:tc>
        <w:tc>
          <w:tcPr>
            <w:tcW w:w="497"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widowControl/>
              <w:adjustRightInd w:val="0"/>
              <w:snapToGrid w:val="0"/>
              <w:ind w:firstLine="0" w:firstLineChars="0"/>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100</w:t>
            </w:r>
          </w:p>
        </w:tc>
        <w:tc>
          <w:tcPr>
            <w:tcW w:w="1768"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rPr>
                <w:rFonts w:hint="eastAsia" w:ascii="宋体" w:hAnsi="宋体" w:eastAsia="宋体" w:cs="宋体"/>
                <w:bCs/>
                <w:color w:val="auto"/>
                <w:sz w:val="21"/>
                <w:szCs w:val="21"/>
              </w:rPr>
            </w:pPr>
          </w:p>
        </w:tc>
        <w:tc>
          <w:tcPr>
            <w:tcW w:w="825" w:type="dxa"/>
            <w:tcBorders>
              <w:top w:val="single" w:color="000000" w:sz="4" w:space="0"/>
              <w:left w:val="single" w:color="000000" w:sz="4" w:space="0"/>
              <w:bottom w:val="single" w:color="000000" w:sz="4" w:space="0"/>
              <w:right w:val="single" w:color="000000" w:sz="4" w:space="0"/>
            </w:tcBorders>
            <w:noWrap w:val="0"/>
            <w:tcMar>
              <w:top w:w="15" w:type="dxa"/>
              <w:left w:w="15" w:type="dxa"/>
              <w:bottom w:w="15" w:type="dxa"/>
              <w:right w:w="15" w:type="dxa"/>
            </w:tcMar>
            <w:vAlign w:val="center"/>
          </w:tcPr>
          <w:p>
            <w:pPr>
              <w:adjustRightInd w:val="0"/>
              <w:snapToGrid w:val="0"/>
              <w:ind w:firstLine="420"/>
              <w:jc w:val="center"/>
              <w:rPr>
                <w:rFonts w:hint="eastAsia" w:ascii="宋体" w:hAnsi="宋体" w:eastAsia="宋体" w:cs="宋体"/>
                <w:bCs/>
                <w:color w:val="auto"/>
                <w:sz w:val="21"/>
                <w:szCs w:val="21"/>
              </w:rPr>
            </w:pPr>
          </w:p>
        </w:tc>
      </w:tr>
      <w:tr>
        <w:tblPrEx>
          <w:tblCellMar>
            <w:top w:w="0" w:type="dxa"/>
            <w:left w:w="108" w:type="dxa"/>
            <w:bottom w:w="0" w:type="dxa"/>
            <w:right w:w="108" w:type="dxa"/>
          </w:tblCellMar>
        </w:tblPrEx>
        <w:trPr>
          <w:trHeight w:val="285" w:hRule="atLeast"/>
        </w:trPr>
        <w:tc>
          <w:tcPr>
            <w:tcW w:w="9855" w:type="dxa"/>
            <w:gridSpan w:val="6"/>
            <w:tcBorders>
              <w:top w:val="single" w:color="000000" w:sz="4" w:space="0"/>
              <w:left w:val="nil"/>
              <w:bottom w:val="nil"/>
              <w:right w:val="nil"/>
            </w:tcBorders>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备注：考评内容共40项，总分值100分。</w:t>
            </w:r>
          </w:p>
        </w:tc>
      </w:tr>
      <w:tr>
        <w:tblPrEx>
          <w:tblCellMar>
            <w:top w:w="0" w:type="dxa"/>
            <w:left w:w="108" w:type="dxa"/>
            <w:bottom w:w="0" w:type="dxa"/>
            <w:right w:w="108" w:type="dxa"/>
          </w:tblCellMar>
        </w:tblPrEx>
        <w:trPr>
          <w:trHeight w:val="285" w:hRule="atLeast"/>
        </w:trPr>
        <w:tc>
          <w:tcPr>
            <w:tcW w:w="9855" w:type="dxa"/>
            <w:gridSpan w:val="6"/>
            <w:noWrap w:val="0"/>
            <w:tcMar>
              <w:top w:w="15" w:type="dxa"/>
              <w:left w:w="15" w:type="dxa"/>
              <w:bottom w:w="15" w:type="dxa"/>
              <w:right w:w="15" w:type="dxa"/>
            </w:tcMar>
            <w:vAlign w:val="center"/>
          </w:tcPr>
          <w:p>
            <w:pPr>
              <w:widowControl/>
              <w:adjustRightInd w:val="0"/>
              <w:snapToGrid w:val="0"/>
              <w:ind w:firstLine="420"/>
              <w:jc w:val="left"/>
              <w:textAlignment w:val="center"/>
              <w:rPr>
                <w:rFonts w:hint="eastAsia" w:ascii="宋体" w:hAnsi="宋体" w:eastAsia="宋体" w:cs="宋体"/>
                <w:bCs/>
                <w:color w:val="auto"/>
                <w:sz w:val="21"/>
                <w:szCs w:val="21"/>
              </w:rPr>
            </w:pPr>
            <w:r>
              <w:rPr>
                <w:rFonts w:hint="eastAsia" w:ascii="宋体" w:hAnsi="宋体" w:eastAsia="宋体" w:cs="宋体"/>
                <w:bCs/>
                <w:color w:val="auto"/>
                <w:kern w:val="0"/>
                <w:sz w:val="21"/>
                <w:szCs w:val="21"/>
              </w:rPr>
              <w:t>考评人员：</w:t>
            </w:r>
          </w:p>
        </w:tc>
      </w:tr>
    </w:tbl>
    <w:p>
      <w:pPr>
        <w:spacing w:line="520" w:lineRule="exact"/>
        <w:ind w:firstLine="315" w:firstLineChars="150"/>
        <w:rPr>
          <w:rFonts w:hint="eastAsia" w:ascii="宋体" w:hAnsi="宋体" w:cs="宋体"/>
          <w:color w:val="auto"/>
          <w:szCs w:val="21"/>
          <w:highlight w:val="none"/>
        </w:rPr>
      </w:pPr>
    </w:p>
    <w:p>
      <w:pPr>
        <w:spacing w:line="520" w:lineRule="exact"/>
        <w:ind w:firstLine="315" w:firstLineChars="150"/>
        <w:rPr>
          <w:rFonts w:hint="eastAsia" w:ascii="宋体" w:hAnsi="宋体" w:cs="宋体"/>
          <w:color w:val="auto"/>
          <w:szCs w:val="21"/>
          <w:highlight w:val="none"/>
        </w:rPr>
      </w:pPr>
    </w:p>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bookmarkEnd w:id="217"/>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300" w:lineRule="auto"/>
        <w:jc w:val="center"/>
        <w:outlineLvl w:val="0"/>
        <w:rPr>
          <w:rFonts w:ascii="Cambria" w:hAnsi="Cambria" w:eastAsia="方正小标宋_GBK" w:cs="Times New Roman"/>
          <w:b/>
          <w:bCs/>
          <w:color w:val="auto"/>
          <w:kern w:val="0"/>
          <w:sz w:val="44"/>
          <w:szCs w:val="32"/>
          <w:highlight w:val="none"/>
        </w:rPr>
      </w:pPr>
      <w:bookmarkStart w:id="219" w:name="_Toc173764943"/>
      <w:bookmarkStart w:id="220" w:name="_Toc352700352"/>
      <w:bookmarkStart w:id="221" w:name="_Toc352700448"/>
      <w:r>
        <w:rPr>
          <w:rFonts w:hint="eastAsia" w:ascii="Cambria" w:hAnsi="Cambria" w:eastAsia="方正小标宋_GBK" w:cs="Times New Roman"/>
          <w:b/>
          <w:bCs/>
          <w:color w:val="auto"/>
          <w:kern w:val="0"/>
          <w:sz w:val="44"/>
          <w:szCs w:val="32"/>
          <w:highlight w:val="none"/>
        </w:rPr>
        <w:t>第六章　投标文件格式</w:t>
      </w:r>
      <w:bookmarkEnd w:id="219"/>
      <w:bookmarkEnd w:id="220"/>
      <w:bookmarkEnd w:id="221"/>
    </w:p>
    <w:p>
      <w:pPr>
        <w:spacing w:line="400" w:lineRule="exact"/>
        <w:rPr>
          <w:rFonts w:hint="eastAsia" w:ascii="宋体" w:hAnsi="宋体" w:eastAsia="宋体" w:cs="Courier New"/>
          <w:b/>
          <w:color w:val="auto"/>
          <w:sz w:val="32"/>
          <w:szCs w:val="32"/>
          <w:highlight w:val="none"/>
        </w:rPr>
      </w:pPr>
      <w:r>
        <w:rPr>
          <w:rFonts w:hint="eastAsia" w:ascii="宋体" w:hAnsi="宋体" w:eastAsia="宋体" w:cs="Courier New"/>
          <w:color w:val="auto"/>
          <w:szCs w:val="21"/>
          <w:highlight w:val="none"/>
        </w:rPr>
        <w:br w:type="page"/>
      </w:r>
      <w:r>
        <w:rPr>
          <w:rFonts w:hint="eastAsia" w:ascii="宋体" w:hAnsi="宋体" w:eastAsia="宋体" w:cs="Courier New"/>
          <w:color w:val="auto"/>
          <w:szCs w:val="21"/>
          <w:highlight w:val="none"/>
        </w:rPr>
        <w:t xml:space="preserve"> </w:t>
      </w:r>
      <w:r>
        <w:rPr>
          <w:rFonts w:hint="eastAsia" w:ascii="宋体" w:hAnsi="宋体" w:eastAsia="宋体" w:cs="Courier New"/>
          <w:b/>
          <w:color w:val="auto"/>
          <w:sz w:val="32"/>
          <w:szCs w:val="32"/>
          <w:highlight w:val="none"/>
        </w:rPr>
        <w:t>一、资格文件</w:t>
      </w:r>
    </w:p>
    <w:p>
      <w:pPr>
        <w:tabs>
          <w:tab w:val="left" w:pos="3402"/>
        </w:tabs>
        <w:spacing w:line="320" w:lineRule="exact"/>
        <w:jc w:val="left"/>
        <w:rPr>
          <w:rFonts w:hint="eastAsia" w:ascii="仿宋_GB2312" w:hAnsi="Adobe 仿宋 Std R" w:eastAsia="仿宋_GB2312" w:cs="Times New Roman"/>
          <w:b/>
          <w:color w:val="auto"/>
          <w:spacing w:val="10"/>
          <w:sz w:val="32"/>
          <w:szCs w:val="32"/>
          <w:highlight w:val="none"/>
        </w:rPr>
      </w:pPr>
    </w:p>
    <w:p>
      <w:pPr>
        <w:tabs>
          <w:tab w:val="left" w:pos="3402"/>
        </w:tabs>
        <w:ind w:firstLine="602"/>
        <w:jc w:val="center"/>
        <w:rPr>
          <w:rFonts w:hint="eastAsia" w:ascii="仿宋_GB2312" w:hAnsi="Adobe 仿宋 Std R" w:eastAsia="仿宋_GB2312" w:cs="Times New Roman"/>
          <w:b/>
          <w:color w:val="auto"/>
          <w:spacing w:val="10"/>
          <w:sz w:val="32"/>
          <w:szCs w:val="32"/>
          <w:highlight w:val="none"/>
        </w:rPr>
      </w:pPr>
      <w:r>
        <w:rPr>
          <w:rFonts w:hint="eastAsia" w:ascii="仿宋_GB2312" w:hAnsi="Adobe 仿宋 Std R" w:eastAsia="仿宋_GB2312" w:cs="Times New Roman"/>
          <w:b/>
          <w:color w:val="auto"/>
          <w:spacing w:val="10"/>
          <w:sz w:val="32"/>
          <w:szCs w:val="32"/>
          <w:highlight w:val="none"/>
        </w:rPr>
        <w:t>投标人具备参加政府采购活动条件的承诺书</w:t>
      </w:r>
      <w:r>
        <w:rPr>
          <w:rFonts w:hint="eastAsia" w:ascii="仿宋_GB2312" w:hAnsi="Adobe 仿宋 Std R" w:eastAsia="仿宋_GB2312" w:cs="黑体"/>
          <w:bCs/>
          <w:color w:val="auto"/>
          <w:sz w:val="24"/>
          <w:szCs w:val="24"/>
          <w:highlight w:val="none"/>
        </w:rPr>
        <w:t>(格式)</w:t>
      </w:r>
    </w:p>
    <w:p>
      <w:pPr>
        <w:tabs>
          <w:tab w:val="left" w:pos="3402"/>
        </w:tabs>
        <w:jc w:val="left"/>
        <w:rPr>
          <w:rFonts w:hint="eastAsia" w:ascii="仿宋_GB2312" w:hAnsi="仿宋" w:eastAsia="仿宋_GB2312" w:cs="Times New Roman"/>
          <w:b/>
          <w:color w:val="auto"/>
          <w:spacing w:val="10"/>
          <w:szCs w:val="21"/>
          <w:highlight w:val="none"/>
        </w:rPr>
      </w:pPr>
    </w:p>
    <w:p>
      <w:pPr>
        <w:spacing w:line="520" w:lineRule="exact"/>
        <w:rPr>
          <w:rFonts w:hint="eastAsia" w:ascii="宋体" w:hAnsi="宋体" w:eastAsia="宋体" w:cs="Times New Roman"/>
          <w:bCs/>
          <w:color w:val="auto"/>
          <w:highlight w:val="none"/>
        </w:rPr>
      </w:pPr>
      <w:r>
        <w:rPr>
          <w:rFonts w:hint="eastAsia" w:ascii="宋体" w:hAnsi="宋体" w:eastAsia="宋体" w:cs="Times New Roman"/>
          <w:bCs/>
          <w:color w:val="auto"/>
          <w:highlight w:val="none"/>
        </w:rPr>
        <w:t>钦州市政府采购中心：</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根据《中华人民共和国政府采购法》实施条例第十七条的规定，现郑重承诺：</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u w:val="single"/>
        </w:rPr>
        <w:t>(投标人名称)</w:t>
      </w:r>
      <w:r>
        <w:rPr>
          <w:rFonts w:hint="eastAsia" w:ascii="宋体" w:hAnsi="宋体" w:eastAsia="宋体" w:cs="Times New Roman"/>
          <w:bCs/>
          <w:color w:val="auto"/>
          <w:highlight w:val="none"/>
        </w:rPr>
        <w:t>具有良好的商业信誉和健全的财务会计制度，具有履行合同所必需的设备和专业技术能力，有依法缴纳税收和社会保障资金的良好记录。</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本单位对上述承诺内容事项真实性负责，如有虚假，由我单位承担相关法律责任。</w:t>
      </w:r>
    </w:p>
    <w:p>
      <w:pPr>
        <w:spacing w:line="520" w:lineRule="exact"/>
        <w:ind w:firstLine="420"/>
        <w:rPr>
          <w:rFonts w:hint="eastAsia" w:ascii="宋体" w:hAnsi="宋体" w:eastAsia="宋体" w:cs="Times New Roman"/>
          <w:bCs/>
          <w:color w:val="auto"/>
          <w:highlight w:val="none"/>
        </w:rPr>
      </w:pPr>
      <w:r>
        <w:rPr>
          <w:rFonts w:hint="eastAsia" w:ascii="宋体" w:hAnsi="宋体" w:eastAsia="宋体" w:cs="Times New Roman"/>
          <w:bCs/>
          <w:color w:val="auto"/>
          <w:highlight w:val="none"/>
        </w:rPr>
        <w:t>特此承诺。</w:t>
      </w: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ind w:firstLine="420"/>
        <w:rPr>
          <w:rFonts w:hint="eastAsia" w:ascii="宋体" w:hAnsi="宋体" w:eastAsia="宋体" w:cs="Times New Roman"/>
          <w:bCs/>
          <w:color w:val="auto"/>
          <w:highlight w:val="none"/>
        </w:rPr>
      </w:pPr>
    </w:p>
    <w:p>
      <w:pPr>
        <w:spacing w:line="440" w:lineRule="exact"/>
        <w:ind w:right="1050" w:rightChars="500" w:firstLine="5250" w:firstLineChars="2500"/>
        <w:jc w:val="left"/>
        <w:rPr>
          <w:rFonts w:hint="eastAsia" w:ascii="宋体" w:hAnsi="宋体" w:eastAsia="宋体" w:cs="Times New Roman"/>
          <w:bCs/>
          <w:color w:val="auto"/>
          <w:szCs w:val="24"/>
          <w:highlight w:val="none"/>
        </w:rPr>
      </w:pPr>
      <w:r>
        <w:rPr>
          <w:rFonts w:hint="eastAsia" w:ascii="宋体" w:hAnsi="宋体" w:eastAsia="宋体" w:cs="Times New Roman"/>
          <w:bCs/>
          <w:color w:val="auto"/>
          <w:highlight w:val="none"/>
        </w:rPr>
        <w:t xml:space="preserve">    </w:t>
      </w:r>
      <w:r>
        <w:rPr>
          <w:rFonts w:hint="eastAsia" w:ascii="宋体" w:hAnsi="宋体" w:eastAsia="宋体" w:cs="Times New Roman"/>
          <w:bCs/>
          <w:color w:val="auto"/>
          <w:szCs w:val="24"/>
          <w:highlight w:val="none"/>
        </w:rPr>
        <w:t>投标人（盖章）：</w:t>
      </w:r>
      <w:r>
        <w:rPr>
          <w:rFonts w:hint="eastAsia" w:ascii="宋体" w:hAnsi="宋体" w:eastAsia="宋体" w:cs="Times New Roman"/>
          <w:bCs/>
          <w:color w:val="auto"/>
          <w:szCs w:val="24"/>
          <w:highlight w:val="none"/>
          <w:u w:val="single"/>
        </w:rPr>
        <w:t xml:space="preserve">            </w:t>
      </w:r>
    </w:p>
    <w:p>
      <w:pPr>
        <w:spacing w:line="440" w:lineRule="exact"/>
        <w:ind w:right="420"/>
        <w:jc w:val="center"/>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spacing w:line="400" w:lineRule="exact"/>
        <w:rPr>
          <w:rFonts w:ascii="Times New Roman" w:hAnsi="Times New Roman" w:eastAsia="宋体" w:cs="Times New Roman"/>
          <w:color w:val="auto"/>
          <w:szCs w:val="24"/>
          <w:highlight w:val="none"/>
        </w:rPr>
      </w:pPr>
    </w:p>
    <w:p>
      <w:pPr>
        <w:tabs>
          <w:tab w:val="left" w:pos="3402"/>
        </w:tabs>
        <w:spacing w:line="400" w:lineRule="exact"/>
        <w:ind w:firstLine="683" w:firstLineChars="200"/>
        <w:jc w:val="center"/>
        <w:rPr>
          <w:rFonts w:hint="eastAsia" w:ascii="仿宋_GB2312" w:hAnsi="仿宋" w:eastAsia="仿宋_GB2312" w:cs="Times New Roman"/>
          <w:b/>
          <w:color w:val="auto"/>
          <w:spacing w:val="10"/>
          <w:sz w:val="28"/>
          <w:szCs w:val="28"/>
          <w:highlight w:val="none"/>
        </w:rPr>
      </w:pPr>
      <w:r>
        <w:rPr>
          <w:rFonts w:hint="eastAsia" w:ascii="仿宋_GB2312" w:hAnsi="仿宋" w:eastAsia="仿宋_GB2312" w:cs="Times New Roman"/>
          <w:b/>
          <w:color w:val="auto"/>
          <w:spacing w:val="10"/>
          <w:sz w:val="32"/>
          <w:szCs w:val="32"/>
          <w:highlight w:val="none"/>
        </w:rPr>
        <w:t>无重大违法记录的书面声明</w:t>
      </w:r>
      <w:r>
        <w:rPr>
          <w:rFonts w:hint="eastAsia" w:ascii="仿宋_GB2312" w:hAnsi="仿宋" w:eastAsia="仿宋_GB2312" w:cs="Times New Roman"/>
          <w:bCs/>
          <w:color w:val="auto"/>
          <w:spacing w:val="10"/>
          <w:sz w:val="24"/>
          <w:szCs w:val="24"/>
          <w:highlight w:val="none"/>
        </w:rPr>
        <w:t>（格式）</w:t>
      </w:r>
    </w:p>
    <w:p>
      <w:pPr>
        <w:tabs>
          <w:tab w:val="left" w:pos="3402"/>
        </w:tabs>
        <w:spacing w:line="400" w:lineRule="exact"/>
        <w:jc w:val="left"/>
        <w:rPr>
          <w:rFonts w:hint="eastAsia" w:ascii="仿宋_GB2312" w:hAnsi="仿宋" w:eastAsia="仿宋_GB2312" w:cs="Times New Roman"/>
          <w:b/>
          <w:color w:val="auto"/>
          <w:spacing w:val="10"/>
          <w:szCs w:val="21"/>
          <w:highlight w:val="none"/>
        </w:rPr>
      </w:pPr>
    </w:p>
    <w:p>
      <w:pPr>
        <w:spacing w:line="440" w:lineRule="exac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钦州市政府采购中心：</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根据《中华人民共和国政府采购法实施条例》第十七条第一款第(四）项的规定，</w:t>
      </w: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郑重声明：</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u w:val="single"/>
        </w:rPr>
        <w:t>(投标人名称)</w:t>
      </w:r>
      <w:r>
        <w:rPr>
          <w:rFonts w:hint="eastAsia" w:ascii="宋体" w:hAnsi="宋体" w:eastAsia="宋体" w:cs="Times New Roman"/>
          <w:bCs/>
          <w:color w:val="auto"/>
          <w:szCs w:val="24"/>
          <w:highlight w:val="none"/>
        </w:rPr>
        <w:t>在参加本次政府采购活动前3年内在经营活动中没有重大违法记录（</w:t>
      </w:r>
      <w:r>
        <w:rPr>
          <w:rFonts w:hint="eastAsia" w:ascii="宋体" w:hAnsi="宋体" w:eastAsia="宋体" w:cs="Times New Roman"/>
          <w:bCs/>
          <w:color w:val="auto"/>
          <w:szCs w:val="24"/>
          <w:highlight w:val="none"/>
          <w:u w:val="single"/>
        </w:rPr>
        <w:t>即因违法经营受到刑事处罚或者责令停产停业、吊销许可证或者执照、较大数额罚款等行政处罚的行为</w:t>
      </w:r>
      <w:r>
        <w:rPr>
          <w:rFonts w:hint="eastAsia" w:ascii="宋体" w:hAnsi="宋体" w:eastAsia="宋体" w:cs="Times New Roman"/>
          <w:bCs/>
          <w:color w:val="auto"/>
          <w:szCs w:val="24"/>
          <w:highlight w:val="none"/>
        </w:rPr>
        <w:t>）。</w:t>
      </w:r>
    </w:p>
    <w:p>
      <w:pPr>
        <w:spacing w:line="44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本单位对上述声明内容事项真实性负责，如有虚假，由我单位承担相关法律责任。</w:t>
      </w:r>
    </w:p>
    <w:p>
      <w:pPr>
        <w:spacing w:line="400" w:lineRule="exact"/>
        <w:ind w:firstLine="420" w:firstLineChars="200"/>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特此声明。</w:t>
      </w: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firstLine="420" w:firstLineChars="200"/>
        <w:rPr>
          <w:rFonts w:hint="eastAsia" w:ascii="宋体" w:hAnsi="宋体" w:eastAsia="宋体" w:cs="Times New Roman"/>
          <w:bCs/>
          <w:color w:val="auto"/>
          <w:szCs w:val="24"/>
          <w:highlight w:val="none"/>
        </w:rPr>
      </w:pPr>
    </w:p>
    <w:p>
      <w:pPr>
        <w:spacing w:line="400" w:lineRule="exact"/>
        <w:ind w:right="1050" w:rightChars="500" w:firstLine="4819" w:firstLineChars="2295"/>
        <w:jc w:val="lef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 xml:space="preserve">           投标人（盖章）：</w:t>
      </w:r>
      <w:r>
        <w:rPr>
          <w:rFonts w:hint="eastAsia" w:ascii="宋体" w:hAnsi="宋体" w:eastAsia="宋体" w:cs="Times New Roman"/>
          <w:bCs/>
          <w:color w:val="auto"/>
          <w:szCs w:val="24"/>
          <w:highlight w:val="none"/>
          <w:u w:val="single"/>
        </w:rPr>
        <w:t xml:space="preserve">           </w:t>
      </w:r>
    </w:p>
    <w:p>
      <w:pPr>
        <w:spacing w:line="400" w:lineRule="exact"/>
        <w:ind w:right="1050" w:rightChars="500" w:firstLine="420" w:firstLineChars="200"/>
        <w:jc w:val="right"/>
        <w:rPr>
          <w:rFonts w:hint="eastAsia" w:ascii="宋体" w:hAnsi="宋体" w:eastAsia="宋体" w:cs="Times New Roman"/>
          <w:bCs/>
          <w:color w:val="auto"/>
          <w:szCs w:val="24"/>
          <w:highlight w:val="none"/>
        </w:rPr>
      </w:pPr>
      <w:r>
        <w:rPr>
          <w:rFonts w:hint="eastAsia" w:ascii="宋体" w:hAnsi="宋体" w:eastAsia="宋体" w:cs="Times New Roman"/>
          <w:bCs/>
          <w:color w:val="auto"/>
          <w:szCs w:val="24"/>
          <w:highlight w:val="none"/>
        </w:rPr>
        <w:t>日期：</w:t>
      </w:r>
      <w:bookmarkStart w:id="222" w:name="_Hlk112336125"/>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bookmarkEnd w:id="222"/>
    </w:p>
    <w:p>
      <w:pPr>
        <w:snapToGrid w:val="0"/>
        <w:spacing w:before="156" w:beforeLines="50" w:after="50" w:line="360" w:lineRule="exact"/>
        <w:jc w:val="left"/>
        <w:rPr>
          <w:rFonts w:hint="eastAsia" w:ascii="宋体" w:hAnsi="宋体" w:eastAsia="宋体" w:cs="Times New Roman"/>
          <w:b/>
          <w:color w:val="auto"/>
          <w:sz w:val="32"/>
          <w:szCs w:val="32"/>
          <w:highlight w:val="none"/>
        </w:rPr>
      </w:pPr>
      <w:r>
        <w:rPr>
          <w:rFonts w:hint="eastAsia" w:ascii="宋体" w:hAnsi="宋体" w:eastAsia="宋体" w:cs="Times New Roman"/>
          <w:b/>
          <w:color w:val="auto"/>
          <w:sz w:val="32"/>
          <w:szCs w:val="32"/>
          <w:highlight w:val="none"/>
        </w:rPr>
        <w:br w:type="page"/>
      </w:r>
      <w:r>
        <w:rPr>
          <w:rFonts w:hint="eastAsia" w:ascii="宋体" w:hAnsi="宋体" w:eastAsia="宋体" w:cs="Times New Roman"/>
          <w:b/>
          <w:color w:val="auto"/>
          <w:sz w:val="32"/>
          <w:szCs w:val="32"/>
          <w:highlight w:val="none"/>
        </w:rPr>
        <w:t>二、资信技术文件</w:t>
      </w:r>
    </w:p>
    <w:p>
      <w:pPr>
        <w:snapToGrid w:val="0"/>
        <w:spacing w:before="156" w:beforeLines="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28"/>
          <w:szCs w:val="28"/>
          <w:highlight w:val="none"/>
        </w:rPr>
        <w:t>投 标 函</w:t>
      </w:r>
      <w:r>
        <w:rPr>
          <w:rFonts w:hint="eastAsia" w:ascii="仿宋_GB2312" w:hAnsi="宋体" w:eastAsia="仿宋_GB2312" w:cs="Times New Roman"/>
          <w:bCs/>
          <w:color w:val="auto"/>
          <w:sz w:val="24"/>
          <w:szCs w:val="24"/>
          <w:highlight w:val="none"/>
        </w:rPr>
        <w:t>（格式）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致：钦州市政府采购中心：</w:t>
      </w:r>
    </w:p>
    <w:p>
      <w:pPr>
        <w:spacing w:line="400" w:lineRule="exact"/>
        <w:rPr>
          <w:rFonts w:hint="eastAsia" w:ascii="宋体" w:hAnsi="宋体" w:eastAsia="宋体" w:cs="Times New Roman"/>
          <w:color w:val="auto"/>
          <w:szCs w:val="21"/>
          <w:highlight w:val="none"/>
        </w:rPr>
      </w:pPr>
    </w:p>
    <w:p>
      <w:pPr>
        <w:spacing w:line="400" w:lineRule="exact"/>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根据贵方为</w:t>
      </w:r>
      <w:r>
        <w:rPr>
          <w:rFonts w:hint="eastAsia" w:ascii="宋体" w:hAnsi="宋体" w:eastAsia="宋体" w:cs="Times New Roman"/>
          <w:color w:val="auto"/>
          <w:szCs w:val="21"/>
          <w:highlight w:val="none"/>
          <w:u w:val="single"/>
        </w:rPr>
        <w:t xml:space="preserve">   （项目名称）   </w:t>
      </w:r>
      <w:r>
        <w:rPr>
          <w:rFonts w:hint="eastAsia" w:ascii="宋体" w:hAnsi="宋体" w:eastAsia="宋体" w:cs="Times New Roman"/>
          <w:color w:val="auto"/>
          <w:szCs w:val="21"/>
          <w:highlight w:val="none"/>
        </w:rPr>
        <w:t>招标文件</w:t>
      </w:r>
      <w:r>
        <w:rPr>
          <w:rFonts w:hint="eastAsia" w:ascii="宋体" w:hAnsi="宋体" w:eastAsia="宋体" w:cs="Times New Roman"/>
          <w:color w:val="auto"/>
          <w:szCs w:val="21"/>
          <w:highlight w:val="none"/>
          <w:u w:val="single"/>
        </w:rPr>
        <w:t xml:space="preserve"> （项目编号及分标号） </w:t>
      </w:r>
      <w:r>
        <w:rPr>
          <w:rFonts w:hint="eastAsia" w:ascii="宋体" w:hAnsi="宋体" w:eastAsia="宋体" w:cs="Times New Roman"/>
          <w:color w:val="auto"/>
          <w:szCs w:val="21"/>
          <w:highlight w:val="none"/>
        </w:rPr>
        <w:t>，</w:t>
      </w:r>
      <w:bookmarkStart w:id="223" w:name="_Hlk92702218"/>
      <w:r>
        <w:rPr>
          <w:rFonts w:hint="eastAsia" w:ascii="宋体" w:hAnsi="宋体" w:eastAsia="宋体" w:cs="Times New Roman"/>
          <w:color w:val="auto"/>
          <w:szCs w:val="21"/>
          <w:highlight w:val="none"/>
        </w:rPr>
        <w:t>我方</w:t>
      </w:r>
      <w:r>
        <w:rPr>
          <w:rFonts w:hint="eastAsia" w:ascii="宋体" w:hAnsi="宋体" w:eastAsia="宋体" w:cs="Times New Roman"/>
          <w:color w:val="auto"/>
          <w:szCs w:val="21"/>
          <w:highlight w:val="none"/>
          <w:u w:val="single"/>
        </w:rPr>
        <w:t xml:space="preserve">  （投标人名称）  </w:t>
      </w:r>
      <w:r>
        <w:rPr>
          <w:rFonts w:hint="eastAsia" w:ascii="宋体" w:hAnsi="宋体" w:eastAsia="宋体" w:cs="Times New Roman"/>
          <w:color w:val="auto"/>
          <w:szCs w:val="21"/>
          <w:highlight w:val="none"/>
        </w:rPr>
        <w:t>经正式授权代表</w:t>
      </w:r>
      <w:r>
        <w:rPr>
          <w:rFonts w:hint="eastAsia" w:ascii="宋体" w:hAnsi="宋体" w:eastAsia="宋体" w:cs="Times New Roman"/>
          <w:color w:val="auto"/>
          <w:szCs w:val="21"/>
          <w:highlight w:val="none"/>
          <w:u w:val="single"/>
        </w:rPr>
        <w:t xml:space="preserve">   （被授权人）   </w:t>
      </w:r>
      <w:r>
        <w:rPr>
          <w:rFonts w:hint="eastAsia" w:ascii="宋体" w:hAnsi="宋体" w:eastAsia="宋体" w:cs="Times New Roman"/>
          <w:color w:val="auto"/>
          <w:szCs w:val="21"/>
          <w:highlight w:val="none"/>
        </w:rPr>
        <w:t>提交</w:t>
      </w:r>
      <w:bookmarkEnd w:id="223"/>
      <w:r>
        <w:rPr>
          <w:rFonts w:hint="eastAsia" w:ascii="宋体" w:hAnsi="宋体" w:eastAsia="宋体" w:cs="Times New Roman"/>
          <w:color w:val="auto"/>
          <w:szCs w:val="21"/>
          <w:highlight w:val="none"/>
        </w:rPr>
        <w:t>投标文件：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据此函，投标人承诺：</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1.我方已详细审阅招标文件（包括澄清或者修改文件），已经了解我方对于招标文件、采购过程、采购结果有依法进行询问、质疑、投诉的权利及相关渠道和要求。</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2.我方不是采购人的附属机构；在获知本项目采购信息后，与采购人聘请的为此项目提供咨询服务的公司及其附属机构没有任何联系。</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3.我方在投标之前已经与贵方进行了充分的沟通，完全理解并接受招标文件的各项规定和要求，对招标文件的合理性、合法性不再有异议。</w:t>
      </w:r>
    </w:p>
    <w:p>
      <w:pPr>
        <w:snapToGrid w:val="0"/>
        <w:spacing w:line="36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4.我方同意在开标日期起遵循本投标文件，并在投标有效期90天内均具有约束力。</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5.我方承诺具备《中华人民共和国政府采购法》中规定的参加政府采购活动供应商应当具备的条件。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6.我方根据招标文件的规定，承担完成合同的责任和义务。</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7.如果在投标截止时间后的投标有效期内撤回投标或者有其他违约行为，我方的投标保证金可被贵方全部没收。</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8.同意向贵方提供贵方可能要求的与本投标有关的人员、数据和资料。</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9.我方完全理解贵方不一定要接受最低报价的投标人为中标人。</w:t>
      </w:r>
    </w:p>
    <w:p>
      <w:pPr>
        <w:spacing w:line="400" w:lineRule="exact"/>
        <w:ind w:firstLine="424" w:firstLineChars="202"/>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10.我方向贵方提交的所有投标文件、资料都是准确的和真实的。</w:t>
      </w:r>
    </w:p>
    <w:p>
      <w:pPr>
        <w:spacing w:line="400" w:lineRule="exact"/>
        <w:rPr>
          <w:rFonts w:hint="eastAsia" w:ascii="宋体" w:hAnsi="宋体" w:eastAsia="宋体" w:cs="Times New Roman"/>
          <w:color w:val="auto"/>
          <w:szCs w:val="21"/>
          <w:highlight w:val="none"/>
        </w:rPr>
      </w:pPr>
    </w:p>
    <w:p>
      <w:pPr>
        <w:spacing w:line="400" w:lineRule="exact"/>
        <w:ind w:firstLine="426"/>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与我公司有关的正式通讯方式：</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地址：</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邮政编码：</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电话、电报、传真或电传：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开户名称：</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开户银行：</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账    号：</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rPr>
      </w:pPr>
    </w:p>
    <w:p>
      <w:pPr>
        <w:spacing w:line="400" w:lineRule="exact"/>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ab/>
      </w:r>
      <w:r>
        <w:rPr>
          <w:rFonts w:hint="eastAsia" w:ascii="宋体" w:hAnsi="宋体" w:eastAsia="宋体" w:cs="Times New Roman"/>
          <w:color w:val="auto"/>
          <w:szCs w:val="21"/>
          <w:highlight w:val="none"/>
        </w:rPr>
        <w:t xml:space="preserve">                                                    日期：</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年</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月</w:t>
      </w:r>
      <w:r>
        <w:rPr>
          <w:rFonts w:hint="eastAsia" w:ascii="宋体" w:hAnsi="宋体" w:eastAsia="宋体" w:cs="Times New Roman"/>
          <w:bCs/>
          <w:color w:val="auto"/>
          <w:szCs w:val="24"/>
          <w:highlight w:val="none"/>
          <w:u w:val="single"/>
        </w:rPr>
        <w:t xml:space="preserve">    </w:t>
      </w:r>
      <w:r>
        <w:rPr>
          <w:rFonts w:hint="eastAsia" w:ascii="宋体" w:hAnsi="宋体" w:eastAsia="宋体" w:cs="Times New Roman"/>
          <w:bCs/>
          <w:color w:val="auto"/>
          <w:szCs w:val="24"/>
          <w:highlight w:val="none"/>
        </w:rPr>
        <w:t>日</w:t>
      </w:r>
    </w:p>
    <w:p>
      <w:pPr>
        <w:spacing w:line="400" w:lineRule="exact"/>
        <w:rPr>
          <w:rFonts w:ascii="Times New Roman" w:hAnsi="Times New Roman" w:eastAsia="宋体" w:cs="Times New Roman"/>
          <w:color w:val="auto"/>
          <w:szCs w:val="24"/>
          <w:highlight w:val="none"/>
        </w:rPr>
      </w:pPr>
    </w:p>
    <w:p>
      <w:pPr>
        <w:tabs>
          <w:tab w:val="left" w:pos="3870"/>
          <w:tab w:val="left" w:pos="4085"/>
        </w:tabs>
        <w:snapToGrid w:val="0"/>
        <w:spacing w:line="600" w:lineRule="exact"/>
        <w:jc w:val="center"/>
        <w:rPr>
          <w:rFonts w:hint="eastAsia" w:ascii="仿宋_GB2312" w:hAnsi="宋体" w:eastAsia="仿宋_GB2312" w:cs="Times New Roman"/>
          <w:b/>
          <w:color w:val="auto"/>
          <w:sz w:val="28"/>
          <w:szCs w:val="28"/>
          <w:highlight w:val="none"/>
        </w:rPr>
      </w:pPr>
      <w:bookmarkStart w:id="224" w:name="_Hlk92702580"/>
      <w:r>
        <w:rPr>
          <w:rFonts w:hint="eastAsia" w:ascii="仿宋_GB2312" w:hAnsi="宋体" w:eastAsia="仿宋_GB2312" w:cs="Times New Roman"/>
          <w:b/>
          <w:color w:val="auto"/>
          <w:sz w:val="32"/>
          <w:szCs w:val="32"/>
          <w:highlight w:val="none"/>
        </w:rPr>
        <w:t>授权委托书</w:t>
      </w:r>
      <w:r>
        <w:rPr>
          <w:rFonts w:hint="eastAsia" w:ascii="仿宋_GB2312" w:hAnsi="宋体" w:eastAsia="仿宋_GB2312" w:cs="Times New Roman"/>
          <w:bCs/>
          <w:color w:val="auto"/>
          <w:sz w:val="24"/>
          <w:szCs w:val="24"/>
          <w:highlight w:val="none"/>
        </w:rPr>
        <w:t>（格式）</w:t>
      </w:r>
    </w:p>
    <w:p>
      <w:pPr>
        <w:snapToGrid w:val="0"/>
        <w:spacing w:before="156" w:beforeLines="50" w:after="50" w:line="400" w:lineRule="exact"/>
        <w:rPr>
          <w:rFonts w:hint="eastAsia" w:ascii="宋体" w:hAnsi="宋体" w:eastAsia="宋体" w:cs="Times New Roman"/>
          <w:b/>
          <w:bCs/>
          <w:color w:val="auto"/>
          <w:szCs w:val="21"/>
          <w:highlight w:val="none"/>
        </w:rPr>
      </w:pPr>
      <w:r>
        <w:rPr>
          <w:rFonts w:hint="eastAsia" w:ascii="宋体" w:hAnsi="宋体" w:eastAsia="宋体" w:cs="Times New Roman"/>
          <w:bCs/>
          <w:color w:val="auto"/>
          <w:szCs w:val="21"/>
          <w:highlight w:val="none"/>
        </w:rPr>
        <w:t>致：</w:t>
      </w:r>
      <w:r>
        <w:rPr>
          <w:rFonts w:hint="eastAsia" w:ascii="Times New Roman" w:hAnsi="Times New Roman" w:eastAsia="宋体" w:cs="Times New Roman"/>
          <w:color w:val="auto"/>
          <w:szCs w:val="24"/>
          <w:highlight w:val="none"/>
        </w:rPr>
        <w:t>钦州市政府采购中心</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系</w:t>
      </w:r>
      <w:r>
        <w:rPr>
          <w:rFonts w:hint="eastAsia" w:ascii="宋体" w:hAnsi="宋体" w:eastAsia="宋体" w:cs="Times New Roman"/>
          <w:color w:val="auto"/>
          <w:szCs w:val="21"/>
          <w:highlight w:val="none"/>
          <w:u w:val="single"/>
        </w:rPr>
        <w:t>（投标人名称）</w:t>
      </w:r>
      <w:r>
        <w:rPr>
          <w:rFonts w:hint="eastAsia" w:ascii="宋体" w:hAnsi="宋体" w:eastAsia="宋体" w:cs="Times New Roman"/>
          <w:color w:val="auto"/>
          <w:szCs w:val="21"/>
          <w:highlight w:val="none"/>
        </w:rPr>
        <w:t>的法定代表人，现授权委托本单位在职职工</w:t>
      </w:r>
      <w:r>
        <w:rPr>
          <w:rFonts w:hint="eastAsia" w:ascii="宋体" w:hAnsi="宋体" w:eastAsia="宋体" w:cs="Times New Roman"/>
          <w:color w:val="auto"/>
          <w:szCs w:val="21"/>
          <w:highlight w:val="none"/>
          <w:u w:val="single"/>
        </w:rPr>
        <w:t>（姓名）</w:t>
      </w:r>
      <w:r>
        <w:rPr>
          <w:rFonts w:hint="eastAsia" w:ascii="宋体" w:hAnsi="宋体" w:eastAsia="宋体" w:cs="Times New Roman"/>
          <w:color w:val="auto"/>
          <w:szCs w:val="21"/>
          <w:highlight w:val="none"/>
        </w:rPr>
        <w:t>以我方的名义参加</w:t>
      </w:r>
      <w:r>
        <w:rPr>
          <w:rFonts w:hint="eastAsia" w:ascii="宋体" w:hAnsi="宋体" w:eastAsia="宋体" w:cs="Times New Roman"/>
          <w:color w:val="auto"/>
          <w:szCs w:val="21"/>
          <w:highlight w:val="none"/>
          <w:u w:val="single"/>
        </w:rPr>
        <w:t>（项目名称/项目编号）</w:t>
      </w:r>
      <w:r>
        <w:rPr>
          <w:rFonts w:hint="eastAsia" w:ascii="宋体" w:hAnsi="宋体" w:eastAsia="宋体" w:cs="Times New Roman"/>
          <w:color w:val="auto"/>
          <w:szCs w:val="21"/>
          <w:highlight w:val="none"/>
        </w:rPr>
        <w:t>的投标活动，并代表我方全权办理针对上述项目的投标、开标、评标、签约等具体事务和签署相关文件。</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我方对被授权人的签名事项负全部责任。</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u w:val="single"/>
        </w:rPr>
        <w:t>在撤销授权的书面通知以前，本授权书一直有效</w:t>
      </w:r>
      <w:r>
        <w:rPr>
          <w:rFonts w:hint="eastAsia" w:ascii="宋体" w:hAnsi="宋体" w:eastAsia="宋体" w:cs="Times New Roman"/>
          <w:color w:val="auto"/>
          <w:szCs w:val="21"/>
          <w:highlight w:val="none"/>
        </w:rPr>
        <w:t>。被授权人在授权书有效期内签署的所有文件不因授权的撤销而失效。</w:t>
      </w:r>
    </w:p>
    <w:p>
      <w:pPr>
        <w:snapToGrid w:val="0"/>
        <w:spacing w:before="156" w:beforeLines="50" w:after="50" w:line="4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被授权人无转委托权，特此委托。</w:t>
      </w:r>
    </w:p>
    <w:p>
      <w:pPr>
        <w:snapToGrid w:val="0"/>
        <w:spacing w:before="156" w:beforeLines="50" w:after="50" w:line="300" w:lineRule="exact"/>
        <w:rPr>
          <w:rFonts w:hint="eastAsia" w:ascii="宋体" w:hAnsi="宋体" w:eastAsia="宋体" w:cs="Times New Roman"/>
          <w:color w:val="auto"/>
          <w:szCs w:val="21"/>
          <w:highlight w:val="none"/>
        </w:rPr>
      </w:pPr>
    </w:p>
    <w:p>
      <w:pPr>
        <w:snapToGrid w:val="0"/>
        <w:spacing w:before="156" w:beforeLines="50" w:after="50" w:line="300" w:lineRule="exact"/>
        <w:ind w:firstLine="420" w:firstLineChars="20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被授权人身份证号码：</w:t>
      </w:r>
      <w:r>
        <w:rPr>
          <w:rFonts w:hint="eastAsia" w:ascii="宋体" w:hAnsi="宋体" w:eastAsia="宋体" w:cs="Times New Roman"/>
          <w:color w:val="auto"/>
          <w:szCs w:val="21"/>
          <w:highlight w:val="none"/>
          <w:u w:val="single"/>
        </w:rPr>
        <w:t xml:space="preserve">                  </w:t>
      </w:r>
    </w:p>
    <w:p>
      <w:pPr>
        <w:snapToGrid w:val="0"/>
        <w:spacing w:before="156" w:beforeLines="50" w:after="50" w:line="300" w:lineRule="exact"/>
        <w:ind w:firstLine="420" w:firstLineChars="200"/>
        <w:rPr>
          <w:rFonts w:hint="eastAsia" w:ascii="Times New Roman" w:hAnsi="宋体" w:eastAsia="宋体" w:cs="Times New Roman"/>
          <w:color w:val="auto"/>
          <w:szCs w:val="24"/>
          <w:highlight w:val="none"/>
        </w:rPr>
      </w:pPr>
      <w:r>
        <w:rPr>
          <w:rFonts w:hint="eastAsia" w:ascii="Times New Roman" w:hAnsi="宋体" w:eastAsia="宋体" w:cs="Times New Roman"/>
          <w:color w:val="auto"/>
          <w:szCs w:val="24"/>
          <w:highlight w:val="none"/>
        </w:rPr>
        <w:t>附：委托代理人身份证</w:t>
      </w:r>
      <w:r>
        <w:rPr>
          <w:rFonts w:ascii="Times New Roman" w:hAnsi="宋体" w:eastAsia="宋体" w:cs="Times New Roman"/>
          <w:color w:val="auto"/>
          <w:szCs w:val="24"/>
          <w:highlight w:val="none"/>
        </w:rPr>
        <w:t>(</w:t>
      </w:r>
      <w:r>
        <w:rPr>
          <w:rFonts w:hint="eastAsia" w:ascii="Times New Roman" w:hAnsi="宋体" w:eastAsia="宋体" w:cs="Times New Roman"/>
          <w:color w:val="auto"/>
          <w:szCs w:val="24"/>
          <w:highlight w:val="none"/>
        </w:rPr>
        <w:t>正反面</w:t>
      </w:r>
      <w:r>
        <w:rPr>
          <w:rFonts w:ascii="Times New Roman" w:hAnsi="宋体" w:eastAsia="宋体" w:cs="Times New Roman"/>
          <w:color w:val="auto"/>
          <w:szCs w:val="24"/>
          <w:highlight w:val="none"/>
        </w:rPr>
        <w:t>)</w:t>
      </w: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pacing w:line="400" w:lineRule="exact"/>
        <w:ind w:left="420"/>
        <w:rPr>
          <w:rFonts w:hint="eastAsia" w:ascii="宋体" w:hAnsi="宋体" w:eastAsia="宋体" w:cs="Times New Roman"/>
          <w:color w:val="auto"/>
          <w:szCs w:val="24"/>
          <w:highlight w:val="none"/>
        </w:rPr>
      </w:pPr>
    </w:p>
    <w:p>
      <w:pPr>
        <w:snapToGrid w:val="0"/>
        <w:spacing w:before="156" w:beforeLines="50" w:after="50" w:line="200" w:lineRule="exact"/>
        <w:ind w:firstLine="4620" w:firstLineChars="2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法定代表人签名：</w:t>
      </w:r>
      <w:r>
        <w:rPr>
          <w:rFonts w:hint="eastAsia" w:ascii="宋体" w:hAnsi="宋体" w:eastAsia="宋体" w:cs="Times New Roman"/>
          <w:color w:val="auto"/>
          <w:szCs w:val="21"/>
          <w:highlight w:val="none"/>
          <w:u w:val="single"/>
        </w:rPr>
        <w:t xml:space="preserve">                   </w:t>
      </w:r>
    </w:p>
    <w:p>
      <w:pPr>
        <w:snapToGrid w:val="0"/>
        <w:spacing w:before="156" w:beforeLines="50" w:after="50" w:line="200" w:lineRule="exact"/>
        <w:ind w:firstLine="5355" w:firstLineChars="2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24"/>
    <w:p>
      <w:pPr>
        <w:spacing w:line="36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napToGrid w:val="0"/>
        <w:spacing w:before="156" w:beforeLines="50" w:after="50" w:line="360" w:lineRule="exact"/>
        <w:jc w:val="center"/>
        <w:rPr>
          <w:rFonts w:ascii="仿宋_GB2312" w:hAnsi="Times New Roman" w:eastAsia="仿宋_GB2312" w:cs="Times New Roman"/>
          <w:b/>
          <w:color w:val="auto"/>
          <w:sz w:val="28"/>
          <w:szCs w:val="28"/>
          <w:highlight w:val="none"/>
        </w:rPr>
      </w:pPr>
      <w:bookmarkStart w:id="225" w:name="_Hlk92702799"/>
      <w:r>
        <w:rPr>
          <w:rFonts w:hint="eastAsia" w:ascii="仿宋_GB2312" w:hAnsi="宋体" w:eastAsia="仿宋_GB2312" w:cs="Times New Roman"/>
          <w:b/>
          <w:color w:val="auto"/>
          <w:sz w:val="32"/>
          <w:szCs w:val="32"/>
          <w:highlight w:val="none"/>
        </w:rPr>
        <w:t>商务响应</w:t>
      </w:r>
      <w:r>
        <w:rPr>
          <w:rFonts w:hint="eastAsia" w:ascii="仿宋_GB2312" w:hAnsi="Times New Roman" w:eastAsia="仿宋_GB2312" w:cs="Times New Roman"/>
          <w:b/>
          <w:color w:val="auto"/>
          <w:sz w:val="32"/>
          <w:szCs w:val="32"/>
          <w:highlight w:val="none"/>
        </w:rPr>
        <w:t>表</w:t>
      </w:r>
      <w:bookmarkStart w:id="226" w:name="_Hlk111728555"/>
      <w:r>
        <w:rPr>
          <w:rFonts w:hint="eastAsia" w:ascii="仿宋_GB2312" w:hAnsi="Times New Roman" w:eastAsia="仿宋_GB2312" w:cs="Times New Roman"/>
          <w:bCs/>
          <w:color w:val="auto"/>
          <w:sz w:val="24"/>
          <w:szCs w:val="24"/>
          <w:highlight w:val="none"/>
        </w:rPr>
        <w:t>（格式）</w:t>
      </w:r>
      <w:bookmarkEnd w:id="226"/>
    </w:p>
    <w:p>
      <w:pPr>
        <w:spacing w:line="400" w:lineRule="exact"/>
        <w:rPr>
          <w:rFonts w:ascii="Times New Roman" w:hAnsi="Times New Roman" w:eastAsia="宋体" w:cs="Times New Roman"/>
          <w:color w:val="auto"/>
          <w:szCs w:val="24"/>
          <w:highlight w:val="none"/>
        </w:rPr>
      </w:pPr>
    </w:p>
    <w:tbl>
      <w:tblPr>
        <w:tblStyle w:val="48"/>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08"/>
        <w:gridCol w:w="3240"/>
        <w:gridCol w:w="1440"/>
        <w:gridCol w:w="288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项目</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招标文件要求</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是否响应</w:t>
            </w: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b/>
                <w:color w:val="auto"/>
                <w:szCs w:val="21"/>
                <w:highlight w:val="none"/>
              </w:rPr>
            </w:pPr>
            <w:r>
              <w:rPr>
                <w:rFonts w:hint="eastAsia" w:ascii="宋体" w:hAnsi="宋体" w:eastAsia="宋体" w:cs="Times New Roman"/>
                <w:b/>
                <w:color w:val="auto"/>
                <w:szCs w:val="21"/>
                <w:highlight w:val="none"/>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服务期</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服务地点</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付款条件</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43"/>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ind w:left="105"/>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trPr>
        <w:tc>
          <w:tcPr>
            <w:tcW w:w="1908"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w:t>
            </w:r>
          </w:p>
        </w:tc>
        <w:tc>
          <w:tcPr>
            <w:tcW w:w="32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c>
          <w:tcPr>
            <w:tcW w:w="2880" w:type="dxa"/>
            <w:tcBorders>
              <w:top w:val="single" w:color="auto" w:sz="4" w:space="0"/>
              <w:left w:val="single" w:color="auto" w:sz="4" w:space="0"/>
              <w:bottom w:val="single" w:color="auto" w:sz="4" w:space="0"/>
              <w:right w:val="single" w:color="auto" w:sz="4" w:space="0"/>
            </w:tcBorders>
            <w:vAlign w:val="center"/>
          </w:tcPr>
          <w:p>
            <w:pPr>
              <w:snapToGrid w:val="0"/>
              <w:spacing w:before="156" w:beforeLines="50" w:line="360" w:lineRule="exact"/>
              <w:jc w:val="center"/>
              <w:rPr>
                <w:rFonts w:hint="eastAsia" w:ascii="宋体" w:hAnsi="宋体" w:eastAsia="宋体" w:cs="Times New Roman"/>
                <w:color w:val="auto"/>
                <w:szCs w:val="21"/>
                <w:highlight w:val="none"/>
              </w:rPr>
            </w:pPr>
          </w:p>
        </w:tc>
      </w:tr>
    </w:tbl>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tabs>
          <w:tab w:val="left" w:pos="3870"/>
          <w:tab w:val="left" w:pos="4085"/>
        </w:tabs>
        <w:snapToGrid w:val="0"/>
        <w:spacing w:line="360" w:lineRule="exact"/>
        <w:rPr>
          <w:rFonts w:hint="eastAsia" w:ascii="宋体" w:hAnsi="宋体" w:eastAsia="宋体" w:cs="Times New Roman"/>
          <w:b/>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bookmarkEnd w:id="225"/>
    <w:p>
      <w:pPr>
        <w:snapToGrid w:val="0"/>
        <w:spacing w:line="360" w:lineRule="exact"/>
        <w:rPr>
          <w:rFonts w:hint="eastAsia" w:ascii="宋体" w:hAnsi="宋体" w:eastAsia="宋体" w:cs="Times New Roman"/>
          <w:b/>
          <w:color w:val="auto"/>
          <w:szCs w:val="21"/>
          <w:highlight w:val="none"/>
        </w:rPr>
      </w:pPr>
    </w:p>
    <w:p>
      <w:pPr>
        <w:snapToGrid w:val="0"/>
        <w:spacing w:line="700" w:lineRule="exact"/>
        <w:jc w:val="center"/>
        <w:rPr>
          <w:rFonts w:hint="eastAsia" w:ascii="宋体" w:hAnsi="宋体" w:eastAsia="宋体" w:cs="Times New Roman"/>
          <w:b/>
          <w:color w:val="auto"/>
          <w:sz w:val="32"/>
          <w:szCs w:val="32"/>
          <w:highlight w:val="none"/>
        </w:rPr>
      </w:pPr>
      <w:r>
        <w:rPr>
          <w:rFonts w:hint="eastAsia" w:ascii="仿宋_GB2312" w:hAnsi="宋体" w:eastAsia="仿宋_GB2312" w:cs="Times New Roman"/>
          <w:b/>
          <w:color w:val="auto"/>
          <w:sz w:val="32"/>
          <w:szCs w:val="32"/>
          <w:highlight w:val="none"/>
        </w:rPr>
        <w:t>技术响应表</w:t>
      </w:r>
      <w:bookmarkStart w:id="227" w:name="_Hlk111728645"/>
      <w:r>
        <w:rPr>
          <w:rFonts w:hint="eastAsia" w:ascii="仿宋_GB2312" w:hAnsi="Times New Roman" w:eastAsia="仿宋_GB2312" w:cs="Times New Roman"/>
          <w:bCs/>
          <w:color w:val="auto"/>
          <w:sz w:val="24"/>
          <w:szCs w:val="24"/>
          <w:highlight w:val="none"/>
        </w:rPr>
        <w:t>（格式）</w:t>
      </w:r>
      <w:bookmarkEnd w:id="227"/>
    </w:p>
    <w:p>
      <w:pPr>
        <w:snapToGrid w:val="0"/>
        <w:spacing w:line="160" w:lineRule="exact"/>
        <w:jc w:val="center"/>
        <w:rPr>
          <w:rFonts w:hint="eastAsia" w:ascii="宋体" w:hAnsi="宋体" w:eastAsia="宋体" w:cs="Times New Roman"/>
          <w:b/>
          <w:color w:val="auto"/>
          <w:szCs w:val="21"/>
          <w:highlight w:val="none"/>
        </w:rPr>
      </w:pP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20"/>
        <w:gridCol w:w="1440"/>
        <w:gridCol w:w="2110"/>
        <w:gridCol w:w="3600"/>
        <w:gridCol w:w="157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10"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序号</w:t>
            </w:r>
          </w:p>
        </w:tc>
        <w:tc>
          <w:tcPr>
            <w:tcW w:w="3550" w:type="dxa"/>
            <w:gridSpan w:val="2"/>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招标文件要求</w:t>
            </w: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firstLine="23" w:firstLineChars="11"/>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投标文件响应</w:t>
            </w:r>
          </w:p>
        </w:tc>
        <w:tc>
          <w:tcPr>
            <w:tcW w:w="157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偏离情况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32"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1</w:t>
            </w:r>
          </w:p>
        </w:tc>
        <w:tc>
          <w:tcPr>
            <w:tcW w:w="1440" w:type="dxa"/>
            <w:tcBorders>
              <w:top w:val="single" w:color="auto" w:sz="4" w:space="0"/>
              <w:left w:val="single" w:color="auto" w:sz="4" w:space="0"/>
              <w:bottom w:val="single" w:color="auto" w:sz="4" w:space="0"/>
              <w:right w:val="single" w:color="auto" w:sz="4" w:space="0"/>
            </w:tcBorders>
            <w:vAlign w:val="center"/>
          </w:tcPr>
          <w:p>
            <w:pPr>
              <w:spacing w:line="400" w:lineRule="exact"/>
              <w:ind w:right="-15" w:rightChars="-7"/>
              <w:jc w:val="center"/>
              <w:rPr>
                <w:rFonts w:ascii="Times New Roman" w:hAnsi="Times New Roman" w:eastAsia="宋体" w:cs="Times New Roman"/>
                <w:color w:val="auto"/>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pacing w:line="400" w:lineRule="exact"/>
              <w:ind w:left="-2" w:leftChars="-1"/>
              <w:jc w:val="center"/>
              <w:rPr>
                <w:rFonts w:ascii="Times New Roman" w:hAnsi="Times New Roman" w:eastAsia="宋体" w:cs="Times New Roman"/>
                <w:color w:val="auto"/>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2</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t>3</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598" w:hRule="exact"/>
          <w:jc w:val="center"/>
        </w:trPr>
        <w:tc>
          <w:tcPr>
            <w:tcW w:w="720"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imes New Roman" w:hAnsi="Times New Roman" w:eastAsia="宋体" w:cs="Times New Roman"/>
                <w:color w:val="auto"/>
                <w:szCs w:val="24"/>
                <w:highlight w:val="none"/>
              </w:rPr>
            </w:pPr>
            <w:r>
              <w:rPr>
                <w:rFonts w:hint="eastAsia" w:ascii="Times New Roman" w:hAnsi="Times New Roman" w:eastAsia="宋体" w:cs="Times New Roman"/>
                <w:color w:val="auto"/>
                <w:szCs w:val="24"/>
                <w:highlight w:val="none"/>
              </w:rPr>
              <w:t>…</w:t>
            </w:r>
          </w:p>
        </w:tc>
        <w:tc>
          <w:tcPr>
            <w:tcW w:w="144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ind w:right="-15" w:rightChars="-7"/>
              <w:jc w:val="center"/>
              <w:outlineLvl w:val="0"/>
              <w:rPr>
                <w:rFonts w:hint="eastAsia" w:ascii="仿宋_GB2312" w:hAnsi="宋体" w:eastAsia="仿宋_GB2312" w:cs="Courier New"/>
                <w:color w:val="auto"/>
                <w:sz w:val="24"/>
                <w:szCs w:val="24"/>
                <w:highlight w:val="none"/>
              </w:rPr>
            </w:pPr>
          </w:p>
        </w:tc>
        <w:tc>
          <w:tcPr>
            <w:tcW w:w="211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pPr>
              <w:snapToGrid w:val="0"/>
              <w:spacing w:line="320" w:lineRule="exact"/>
              <w:jc w:val="center"/>
              <w:outlineLvl w:val="0"/>
              <w:rPr>
                <w:rFonts w:hint="eastAsia" w:ascii="仿宋_GB2312" w:hAnsi="宋体" w:eastAsia="仿宋_GB2312" w:cs="Courier New"/>
                <w:color w:val="auto"/>
                <w:sz w:val="24"/>
                <w:szCs w:val="24"/>
                <w:highlight w:val="none"/>
              </w:rPr>
            </w:pPr>
          </w:p>
        </w:tc>
        <w:tc>
          <w:tcPr>
            <w:tcW w:w="1570"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hint="eastAsia" w:ascii="宋体" w:hAnsi="宋体" w:eastAsia="宋体" w:cs="Times New Roman"/>
                <w:color w:val="auto"/>
                <w:szCs w:val="21"/>
                <w:highlight w:val="none"/>
              </w:rPr>
            </w:pPr>
          </w:p>
        </w:tc>
      </w:tr>
    </w:tbl>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注：</w:t>
      </w:r>
    </w:p>
    <w:p>
      <w:pPr>
        <w:spacing w:line="360" w:lineRule="exact"/>
        <w:rPr>
          <w:rFonts w:hint="eastAsia"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1.应对照采购文件“第二章 项目需求”中的服务要求逐条作出明确响应，并作出偏离说明。</w:t>
      </w:r>
    </w:p>
    <w:p>
      <w:pPr>
        <w:spacing w:line="360" w:lineRule="exact"/>
        <w:rPr>
          <w:rFonts w:ascii="Times New Roman" w:hAnsi="Times New Roman" w:eastAsia="宋体" w:cs="Times New Roman"/>
          <w:b w:val="0"/>
          <w:bCs w:val="0"/>
          <w:color w:val="auto"/>
          <w:szCs w:val="21"/>
          <w:highlight w:val="none"/>
        </w:rPr>
      </w:pPr>
      <w:r>
        <w:rPr>
          <w:rFonts w:hint="eastAsia" w:ascii="Times New Roman" w:hAnsi="Times New Roman" w:eastAsia="宋体" w:cs="Times New Roman"/>
          <w:b w:val="0"/>
          <w:bCs w:val="0"/>
          <w:color w:val="auto"/>
          <w:szCs w:val="21"/>
          <w:highlight w:val="none"/>
        </w:rPr>
        <w:t>2.供应商应根据自身的承诺，对照磋商文件要求，在“偏离说明”中注明“正偏离”、“负偏离”或者“无偏离”。既不属于“正偏离”也不属于“负偏离”即为“无偏离”。</w:t>
      </w:r>
    </w:p>
    <w:p>
      <w:pPr>
        <w:spacing w:line="360" w:lineRule="exact"/>
        <w:rPr>
          <w:rFonts w:hint="eastAsia" w:ascii="宋体" w:hAnsi="宋体" w:eastAsia="宋体" w:cs="Times New Roman"/>
          <w:bCs/>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pacing w:line="38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spacing w:line="440" w:lineRule="exact"/>
        <w:ind w:left="-47" w:leftChars="-200" w:hanging="373" w:hangingChars="116"/>
        <w:jc w:val="center"/>
        <w:rPr>
          <w:rFonts w:hint="eastAsia" w:ascii="仿宋_GB2312" w:hAnsi="宋体" w:eastAsia="仿宋_GB2312" w:cs="Times New Roman"/>
          <w:b/>
          <w:color w:val="auto"/>
          <w:sz w:val="32"/>
          <w:szCs w:val="32"/>
          <w:highlight w:val="none"/>
        </w:rPr>
      </w:pPr>
      <w:r>
        <w:rPr>
          <w:rFonts w:hint="eastAsia" w:ascii="仿宋_GB2312" w:hAnsi="宋体" w:eastAsia="仿宋_GB2312" w:cs="Times New Roman"/>
          <w:b/>
          <w:color w:val="auto"/>
          <w:sz w:val="32"/>
          <w:szCs w:val="32"/>
          <w:highlight w:val="none"/>
        </w:rPr>
        <w:t>中小企业声明函</w:t>
      </w:r>
      <w:r>
        <w:rPr>
          <w:rFonts w:hint="eastAsia" w:ascii="仿宋_GB2312" w:hAnsi="Times New Roman" w:eastAsia="仿宋_GB2312" w:cs="Times New Roman"/>
          <w:bCs/>
          <w:color w:val="auto"/>
          <w:sz w:val="24"/>
          <w:szCs w:val="24"/>
          <w:highlight w:val="none"/>
        </w:rPr>
        <w:t>（格式）</w:t>
      </w:r>
    </w:p>
    <w:p>
      <w:pPr>
        <w:spacing w:line="440" w:lineRule="exact"/>
        <w:ind w:left="2" w:hanging="2"/>
        <w:jc w:val="left"/>
        <w:rPr>
          <w:rFonts w:hint="eastAsia" w:ascii="仿宋_GB2312" w:hAnsi="宋体" w:eastAsia="仿宋_GB2312" w:cs="Times New Roman"/>
          <w:b/>
          <w:color w:val="auto"/>
          <w:szCs w:val="21"/>
          <w:highlight w:val="none"/>
        </w:rPr>
      </w:pPr>
    </w:p>
    <w:p>
      <w:pPr>
        <w:spacing w:line="600" w:lineRule="exact"/>
        <w:ind w:firstLine="294" w:firstLineChars="140"/>
        <w:jc w:val="left"/>
        <w:rPr>
          <w:rFonts w:hint="eastAsia" w:ascii="宋体" w:hAnsi="宋体" w:eastAsia="宋体" w:cs="Times New Roman"/>
          <w:bCs/>
          <w:color w:val="auto"/>
          <w:szCs w:val="21"/>
          <w:highlight w:val="none"/>
        </w:rPr>
      </w:pPr>
      <w:bookmarkStart w:id="228" w:name="_Hlk94193902"/>
      <w:r>
        <w:rPr>
          <w:rFonts w:hint="eastAsia" w:ascii="宋体" w:hAnsi="宋体" w:eastAsia="宋体" w:cs="Times New Roman"/>
          <w:bCs/>
          <w:color w:val="auto"/>
          <w:szCs w:val="21"/>
          <w:highlight w:val="none"/>
        </w:rPr>
        <w:t>本公司郑重声明，根据</w:t>
      </w:r>
      <w:bookmarkStart w:id="229" w:name="_Hlk82091685"/>
      <w:r>
        <w:rPr>
          <w:rFonts w:ascii="Times New Roman" w:hAnsi="Times New Roman" w:eastAsia="宋体" w:cs="Times New Roman"/>
          <w:color w:val="auto"/>
          <w:szCs w:val="24"/>
          <w:highlight w:val="none"/>
        </w:rPr>
        <w:fldChar w:fldCharType="begin"/>
      </w:r>
      <w:r>
        <w:rPr>
          <w:rFonts w:ascii="Times New Roman" w:hAnsi="Times New Roman" w:eastAsia="宋体" w:cs="Times New Roman"/>
          <w:color w:val="auto"/>
          <w:szCs w:val="24"/>
          <w:highlight w:val="none"/>
        </w:rPr>
        <w:instrText xml:space="preserve">HYPERLINK "http://www.gov.cn/zhengce/zhengceku/2020-12/29/content_5574611.htm"</w:instrText>
      </w:r>
      <w:r>
        <w:rPr>
          <w:rFonts w:ascii="Times New Roman" w:hAnsi="Times New Roman" w:eastAsia="宋体" w:cs="Times New Roman"/>
          <w:color w:val="auto"/>
          <w:szCs w:val="24"/>
          <w:highlight w:val="none"/>
        </w:rPr>
        <w:fldChar w:fldCharType="separate"/>
      </w:r>
      <w:r>
        <w:rPr>
          <w:rFonts w:hint="eastAsia" w:ascii="宋体" w:hAnsi="宋体" w:eastAsia="宋体" w:cs="Times New Roman"/>
          <w:bCs/>
          <w:color w:val="auto"/>
          <w:szCs w:val="21"/>
          <w:highlight w:val="none"/>
          <w:u w:val="single"/>
        </w:rPr>
        <w:t>《政府采购促进中小企业发展管理办法》</w:t>
      </w:r>
      <w:bookmarkStart w:id="230" w:name="_Hlk60836554"/>
      <w:r>
        <w:rPr>
          <w:rFonts w:hint="eastAsia" w:ascii="宋体" w:hAnsi="宋体" w:eastAsia="宋体" w:cs="Times New Roman"/>
          <w:bCs/>
          <w:color w:val="auto"/>
          <w:szCs w:val="21"/>
          <w:highlight w:val="none"/>
          <w:u w:val="single"/>
        </w:rPr>
        <w:t>（财库﹝2020﹞46号）</w:t>
      </w:r>
      <w:bookmarkEnd w:id="229"/>
      <w:bookmarkEnd w:id="230"/>
      <w:r>
        <w:rPr>
          <w:rFonts w:ascii="Times New Roman" w:hAnsi="Times New Roman" w:eastAsia="宋体" w:cs="Times New Roman"/>
          <w:color w:val="auto"/>
          <w:szCs w:val="24"/>
          <w:highlight w:val="none"/>
        </w:rPr>
        <w:fldChar w:fldCharType="end"/>
      </w:r>
      <w:r>
        <w:rPr>
          <w:rFonts w:hint="eastAsia" w:ascii="宋体" w:hAnsi="宋体" w:eastAsia="宋体" w:cs="Times New Roman"/>
          <w:bCs/>
          <w:color w:val="auto"/>
          <w:szCs w:val="21"/>
          <w:highlight w:val="none"/>
        </w:rPr>
        <w:t>的规定，本公司参加</w:t>
      </w:r>
      <w:bookmarkStart w:id="231" w:name="_Hlk82091228"/>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单位名称</w:t>
      </w:r>
      <w:r>
        <w:rPr>
          <w:rFonts w:hint="eastAsia" w:ascii="宋体" w:hAnsi="宋体" w:eastAsia="宋体" w:cs="Times New Roman"/>
          <w:bCs/>
          <w:color w:val="auto"/>
          <w:szCs w:val="21"/>
          <w:highlight w:val="none"/>
        </w:rPr>
        <w:t>）的（</w:t>
      </w:r>
      <w:r>
        <w:rPr>
          <w:rFonts w:hint="eastAsia" w:ascii="宋体" w:hAnsi="宋体" w:eastAsia="宋体" w:cs="Times New Roman"/>
          <w:bCs/>
          <w:color w:val="auto"/>
          <w:szCs w:val="21"/>
          <w:highlight w:val="none"/>
          <w:u w:val="single"/>
        </w:rPr>
        <w:t>项目名称</w:t>
      </w:r>
      <w:r>
        <w:rPr>
          <w:rFonts w:hint="eastAsia" w:ascii="宋体" w:hAnsi="宋体" w:eastAsia="宋体" w:cs="Times New Roman"/>
          <w:bCs/>
          <w:color w:val="auto"/>
          <w:szCs w:val="21"/>
          <w:highlight w:val="none"/>
        </w:rPr>
        <w:t>）</w:t>
      </w:r>
      <w:bookmarkEnd w:id="231"/>
      <w:r>
        <w:rPr>
          <w:rFonts w:hint="eastAsia" w:ascii="宋体" w:hAnsi="宋体" w:eastAsia="宋体" w:cs="Times New Roman"/>
          <w:bCs/>
          <w:color w:val="auto"/>
          <w:szCs w:val="21"/>
          <w:highlight w:val="none"/>
        </w:rPr>
        <w:t>采购活动，服务全部由符合政策要求的中小企业承接。相关企业的具体情况如下：</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1.</w:t>
      </w:r>
      <w:bookmarkStart w:id="232" w:name="_Hlk60836996"/>
      <w:r>
        <w:rPr>
          <w:rFonts w:hint="eastAsia" w:ascii="宋体" w:hAnsi="宋体" w:eastAsia="宋体" w:cs="Times New Roman"/>
          <w:bCs/>
          <w:color w:val="auto"/>
          <w:szCs w:val="21"/>
          <w:highlight w:val="none"/>
        </w:rPr>
        <w:t>（</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bookmarkEnd w:id="232"/>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2.（</w:t>
      </w:r>
      <w:r>
        <w:rPr>
          <w:rFonts w:hint="eastAsia" w:ascii="宋体" w:hAnsi="宋体" w:eastAsia="宋体" w:cs="Times New Roman"/>
          <w:bCs/>
          <w:color w:val="auto"/>
          <w:szCs w:val="21"/>
          <w:highlight w:val="none"/>
          <w:u w:val="single"/>
        </w:rPr>
        <w:t>标的名称</w:t>
      </w:r>
      <w:r>
        <w:rPr>
          <w:rFonts w:hint="eastAsia" w:ascii="宋体" w:hAnsi="宋体" w:eastAsia="宋体" w:cs="Times New Roman"/>
          <w:bCs/>
          <w:color w:val="auto"/>
          <w:szCs w:val="21"/>
          <w:highlight w:val="none"/>
        </w:rPr>
        <w:t>），属于（</w:t>
      </w:r>
      <w:r>
        <w:rPr>
          <w:rFonts w:hint="eastAsia" w:ascii="宋体" w:hAnsi="宋体" w:eastAsia="宋体" w:cs="Times New Roman"/>
          <w:bCs/>
          <w:color w:val="auto"/>
          <w:szCs w:val="21"/>
          <w:highlight w:val="none"/>
          <w:u w:val="single"/>
        </w:rPr>
        <w:t>采购文件中明确的所属行业</w:t>
      </w:r>
      <w:r>
        <w:rPr>
          <w:rFonts w:hint="eastAsia" w:ascii="宋体" w:hAnsi="宋体" w:eastAsia="宋体" w:cs="Times New Roman"/>
          <w:bCs/>
          <w:color w:val="auto"/>
          <w:szCs w:val="21"/>
          <w:highlight w:val="none"/>
        </w:rPr>
        <w:t>）行业；制造商为（</w:t>
      </w:r>
      <w:r>
        <w:rPr>
          <w:rFonts w:hint="eastAsia" w:ascii="宋体" w:hAnsi="宋体" w:eastAsia="宋体" w:cs="Times New Roman"/>
          <w:bCs/>
          <w:color w:val="auto"/>
          <w:szCs w:val="21"/>
          <w:highlight w:val="none"/>
          <w:u w:val="single"/>
        </w:rPr>
        <w:t>企业名称</w:t>
      </w:r>
      <w:r>
        <w:rPr>
          <w:rFonts w:hint="eastAsia" w:ascii="宋体" w:hAnsi="宋体" w:eastAsia="宋体" w:cs="Times New Roman"/>
          <w:bCs/>
          <w:color w:val="auto"/>
          <w:szCs w:val="21"/>
          <w:highlight w:val="none"/>
        </w:rPr>
        <w:t>），从业人员人，营业收入为万元，资产总额为万元，属于（</w:t>
      </w:r>
      <w:r>
        <w:rPr>
          <w:rFonts w:hint="eastAsia" w:ascii="宋体" w:hAnsi="宋体" w:eastAsia="宋体" w:cs="Times New Roman"/>
          <w:bCs/>
          <w:color w:val="auto"/>
          <w:szCs w:val="21"/>
          <w:highlight w:val="none"/>
          <w:u w:val="single"/>
        </w:rPr>
        <w:t>中型企业、小型企业、微型企业</w:t>
      </w: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以上企业，不属于大企业的分支机构，不存在控股股东为大企业的情形，也不存在与大企业的负责人为同一人的情形。</w:t>
      </w:r>
    </w:p>
    <w:p>
      <w:pPr>
        <w:spacing w:line="600" w:lineRule="exact"/>
        <w:ind w:firstLine="294" w:firstLineChars="14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本企业对上述声明内容的真实性负责。如有虚假，将依法承担相应责任。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企业名称（盖章）：</w:t>
      </w:r>
      <w:r>
        <w:rPr>
          <w:rFonts w:ascii="Times New Roman" w:hAnsi="宋体" w:eastAsia="宋体" w:cs="Times New Roman"/>
          <w:color w:val="auto"/>
          <w:szCs w:val="21"/>
          <w:highlight w:val="none"/>
          <w:u w:val="single"/>
        </w:rPr>
        <w:t xml:space="preserve">               </w:t>
      </w:r>
    </w:p>
    <w:p>
      <w:pPr>
        <w:spacing w:line="440" w:lineRule="exact"/>
        <w:ind w:firstLine="5250" w:firstLineChars="2500"/>
        <w:jc w:val="left"/>
        <w:rPr>
          <w:rFonts w:hint="eastAsia" w:ascii="宋体" w:hAnsi="宋体" w:eastAsia="宋体" w:cs="Times New Roman"/>
          <w:bCs/>
          <w:color w:val="auto"/>
          <w:szCs w:val="21"/>
          <w:highlight w:val="none"/>
        </w:rPr>
      </w:pPr>
      <w:r>
        <w:rPr>
          <w:rFonts w:hint="eastAsia" w:ascii="宋体" w:hAnsi="宋体" w:eastAsia="宋体" w:cs="Times New Roman"/>
          <w:bCs/>
          <w:color w:val="auto"/>
          <w:szCs w:val="21"/>
          <w:highlight w:val="none"/>
        </w:rPr>
        <w:t>日 期：</w:t>
      </w:r>
      <w:r>
        <w:rPr>
          <w:rFonts w:ascii="Times New Roman" w:hAnsi="宋体" w:eastAsia="宋体" w:cs="Times New Roman"/>
          <w:color w:val="auto"/>
          <w:szCs w:val="21"/>
          <w:highlight w:val="none"/>
          <w:u w:val="single"/>
        </w:rPr>
        <w:t xml:space="preserve">                         </w:t>
      </w:r>
    </w:p>
    <w:bookmarkEnd w:id="228"/>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rPr>
          <w:rFonts w:ascii="Times New Roman" w:hAnsi="Times New Roman" w:eastAsia="宋体" w:cs="Times New Roman"/>
          <w:color w:val="auto"/>
          <w:szCs w:val="21"/>
          <w:highlight w:val="none"/>
        </w:rPr>
      </w:pPr>
    </w:p>
    <w:p>
      <w:pPr>
        <w:spacing w:line="320" w:lineRule="exact"/>
        <w:ind w:left="420"/>
        <w:rPr>
          <w:rFonts w:hint="eastAsia" w:ascii="宋体" w:hAnsi="宋体" w:eastAsia="宋体" w:cs="Times New Roman"/>
          <w:color w:val="auto"/>
          <w:sz w:val="18"/>
          <w:szCs w:val="18"/>
          <w:highlight w:val="none"/>
        </w:rPr>
      </w:pPr>
      <w:bookmarkStart w:id="233" w:name="_Hlk82091879"/>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),从)</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),人)</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),员)</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),业)</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),收)</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),入)</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),资)</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),产)</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),总)</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),额)</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),填)</w:instrText>
      </w:r>
      <w:r>
        <w:rPr>
          <w:rFonts w:hint="eastAsia" w:ascii="宋体" w:hAnsi="宋体" w:eastAsia="宋体" w:cs="Times New Roman"/>
          <w:color w:val="auto"/>
          <w:sz w:val="18"/>
          <w:szCs w:val="18"/>
          <w:highlight w:val="none"/>
        </w:rPr>
        <w:fldChar w:fldCharType="end"/>
      </w:r>
      <w:r>
        <w:rPr>
          <w:rFonts w:hint="eastAsia" w:ascii="宋体" w:hAnsi="宋体" w:eastAsia="宋体" w:cs="Times New Roman"/>
          <w:color w:val="auto"/>
          <w:sz w:val="18"/>
          <w:szCs w:val="18"/>
          <w:highlight w:val="none"/>
        </w:rPr>
        <w:fldChar w:fldCharType="begin"/>
      </w:r>
      <w:r>
        <w:rPr>
          <w:rFonts w:hint="eastAsia" w:ascii="宋体" w:hAnsi="宋体" w:eastAsia="宋体" w:cs="Times New Roman"/>
          <w:color w:val="auto"/>
          <w:sz w:val="18"/>
          <w:szCs w:val="18"/>
          <w:highlight w:val="none"/>
        </w:rPr>
        <w:instrText xml:space="preserve">EQ \* jc2 \* hps9 \o\ad(\s\up 8(</w:instrText>
      </w:r>
      <w:r>
        <w:rPr>
          <w:rFonts w:hint="eastAsia" w:ascii="宋体" w:hAnsi="宋体" w:eastAsia="宋体" w:cs="Times New Roman"/>
          <w:color w:val="auto"/>
          <w:sz w:val="9"/>
          <w:szCs w:val="9"/>
          <w:highlight w:val="none"/>
        </w:rPr>
        <w:instrText xml:space="preserve">——</w:instrText>
      </w:r>
      <w:r>
        <w:rPr>
          <w:rFonts w:hint="eastAsia" w:ascii="宋体" w:hAnsi="宋体" w:eastAsia="宋体" w:cs="Times New Roman"/>
          <w:color w:val="auto"/>
          <w:sz w:val="18"/>
          <w:szCs w:val="18"/>
          <w:highlight w:val="none"/>
        </w:rPr>
        <w:instrText xml:space="preserve">),报)</w:instrText>
      </w:r>
      <w:r>
        <w:rPr>
          <w:rFonts w:hint="eastAsia" w:ascii="宋体" w:hAnsi="宋体" w:eastAsia="宋体" w:cs="Times New Roman"/>
          <w:color w:val="auto"/>
          <w:sz w:val="18"/>
          <w:szCs w:val="18"/>
          <w:highlight w:val="none"/>
        </w:rPr>
        <w:fldChar w:fldCharType="end"/>
      </w:r>
      <w:bookmarkEnd w:id="233"/>
      <w:r>
        <w:rPr>
          <w:rFonts w:hint="eastAsia" w:ascii="宋体" w:hAnsi="宋体" w:eastAsia="宋体" w:cs="Times New Roman"/>
          <w:color w:val="auto"/>
          <w:sz w:val="18"/>
          <w:szCs w:val="18"/>
          <w:highlight w:val="none"/>
        </w:rPr>
        <w:t>上一年度数据，无上一年度数据的新成立企业可不填报。</w:t>
      </w:r>
    </w:p>
    <w:p>
      <w:pPr>
        <w:rPr>
          <w:rFonts w:hint="eastAsia" w:ascii="宋体" w:hAnsi="宋体" w:eastAsia="宋体" w:cs="Times New Roman"/>
          <w:color w:val="auto"/>
          <w:sz w:val="18"/>
          <w:szCs w:val="18"/>
          <w:highlight w:val="none"/>
        </w:rPr>
      </w:pPr>
    </w:p>
    <w:p>
      <w:pPr>
        <w:pStyle w:val="13"/>
        <w:rPr>
          <w:rFonts w:hint="eastAsia"/>
          <w:color w:val="auto"/>
          <w:highlight w:val="none"/>
        </w:rPr>
      </w:pPr>
    </w:p>
    <w:tbl>
      <w:tblPr>
        <w:tblStyle w:val="48"/>
        <w:tblW w:w="9952" w:type="dxa"/>
        <w:tblInd w:w="150" w:type="dxa"/>
        <w:shd w:val="clear" w:color="auto" w:fill="FFFFFF"/>
        <w:tblLayout w:type="autofit"/>
        <w:tblCellMar>
          <w:top w:w="0" w:type="dxa"/>
          <w:left w:w="108" w:type="dxa"/>
          <w:bottom w:w="0" w:type="dxa"/>
          <w:right w:w="108" w:type="dxa"/>
        </w:tblCellMar>
      </w:tblPr>
      <w:tblGrid>
        <w:gridCol w:w="2127"/>
        <w:gridCol w:w="1413"/>
        <w:gridCol w:w="714"/>
        <w:gridCol w:w="1275"/>
        <w:gridCol w:w="1843"/>
        <w:gridCol w:w="1559"/>
        <w:gridCol w:w="1021"/>
      </w:tblGrid>
      <w:tr>
        <w:tblPrEx>
          <w:shd w:val="clear" w:color="auto" w:fill="FFFFFF"/>
          <w:tblCellMar>
            <w:top w:w="0" w:type="dxa"/>
            <w:left w:w="108" w:type="dxa"/>
            <w:bottom w:w="0" w:type="dxa"/>
            <w:right w:w="108" w:type="dxa"/>
          </w:tblCellMar>
        </w:tblPrEx>
        <w:trPr>
          <w:trHeight w:val="330" w:hRule="atLeast"/>
        </w:trPr>
        <w:tc>
          <w:tcPr>
            <w:tcW w:w="9952" w:type="dxa"/>
            <w:gridSpan w:val="7"/>
            <w:tcBorders>
              <w:top w:val="nil"/>
              <w:left w:val="nil"/>
              <w:bottom w:val="single" w:color="auto" w:sz="6" w:space="0"/>
              <w:right w:val="nil"/>
            </w:tcBorders>
            <w:shd w:val="clear" w:color="auto" w:fill="FFFFFF"/>
            <w:tcMar>
              <w:top w:w="30" w:type="dxa"/>
              <w:left w:w="150" w:type="dxa"/>
              <w:bottom w:w="30" w:type="dxa"/>
              <w:right w:w="150" w:type="dxa"/>
            </w:tcMar>
            <w:vAlign w:val="center"/>
          </w:tcPr>
          <w:p>
            <w:pPr>
              <w:widowControl/>
              <w:jc w:val="center"/>
              <w:rPr>
                <w:rFonts w:ascii="Helvetica" w:hAnsi="Helvetica" w:eastAsia="宋体" w:cs="Helvetica"/>
                <w:b/>
                <w:bCs/>
                <w:color w:val="auto"/>
                <w:kern w:val="0"/>
                <w:szCs w:val="21"/>
                <w:highlight w:val="none"/>
              </w:rPr>
            </w:pPr>
            <w:bookmarkStart w:id="234" w:name="_Hlk154045354"/>
            <w:r>
              <w:rPr>
                <w:rFonts w:hint="eastAsia" w:ascii="Helvetica" w:hAnsi="Helvetica" w:eastAsia="宋体" w:cs="Helvetica"/>
                <w:b/>
                <w:bCs/>
                <w:color w:val="auto"/>
                <w:kern w:val="0"/>
                <w:szCs w:val="21"/>
                <w:highlight w:val="none"/>
              </w:rPr>
              <w:t>大中小微型企业划分标准</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行业名称</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指标名称</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计量</w:t>
            </w:r>
          </w:p>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单位</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大型</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中型</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小型</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b/>
                <w:bCs/>
                <w:color w:val="auto"/>
                <w:kern w:val="0"/>
                <w:sz w:val="18"/>
                <w:szCs w:val="18"/>
                <w:highlight w:val="none"/>
              </w:rPr>
              <w:t>微型</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农、林、牧、渔业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工业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建筑业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6000≤Y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6000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Z≥80000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批发业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w:t>
            </w:r>
          </w:p>
        </w:tc>
      </w:tr>
      <w:tr>
        <w:tblPrEx>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Y≥40000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40000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零售业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交通运输业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仓储业</w:t>
            </w:r>
            <w:r>
              <w:rPr>
                <w:rFonts w:ascii="Helvetica" w:hAnsi="Helvetica" w:eastAsia="宋体" w:cs="Helvetica"/>
                <w:color w:val="auto"/>
                <w:kern w:val="0"/>
                <w:sz w:val="18"/>
                <w:szCs w:val="18"/>
                <w:highlight w:val="none"/>
              </w:rPr>
              <w:t>*</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邮政业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Y≥30000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住宿业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餐饮业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信息传输业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X≥2000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软件和信息技术服务业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房地产开发经营</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Y≥200000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2000≤Z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2000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物业管理</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X≥1000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300≤X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营业收入</w:t>
            </w:r>
            <w:r>
              <w:rPr>
                <w:rFonts w:ascii="Helvetica" w:hAnsi="Helvetica" w:eastAsia="宋体" w:cs="Helvetica"/>
                <w:color w:val="auto"/>
                <w:kern w:val="0"/>
                <w:sz w:val="18"/>
                <w:szCs w:val="18"/>
                <w:highlight w:val="none"/>
              </w:rPr>
              <w:t>(Y)</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Y≥5000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500≤Y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Y</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500</w:t>
            </w:r>
          </w:p>
        </w:tc>
      </w:tr>
      <w:tr>
        <w:tblPrEx>
          <w:shd w:val="clear" w:color="auto" w:fill="FFFFFF"/>
          <w:tblCellMar>
            <w:top w:w="0" w:type="dxa"/>
            <w:left w:w="108" w:type="dxa"/>
            <w:bottom w:w="0" w:type="dxa"/>
            <w:right w:w="108" w:type="dxa"/>
          </w:tblCellMar>
        </w:tblPrEx>
        <w:trPr>
          <w:trHeight w:val="330" w:hRule="atLeast"/>
        </w:trPr>
        <w:tc>
          <w:tcPr>
            <w:tcW w:w="2127" w:type="dxa"/>
            <w:vMerge w:val="restart"/>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租赁和商务服务业</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r>
        <w:tblPrEx>
          <w:shd w:val="clear" w:color="auto" w:fill="FFFFFF"/>
          <w:tblCellMar>
            <w:top w:w="0" w:type="dxa"/>
            <w:left w:w="108" w:type="dxa"/>
            <w:bottom w:w="0" w:type="dxa"/>
            <w:right w:w="108" w:type="dxa"/>
          </w:tblCellMar>
        </w:tblPrEx>
        <w:trPr>
          <w:trHeight w:val="330" w:hRule="atLeast"/>
        </w:trPr>
        <w:tc>
          <w:tcPr>
            <w:tcW w:w="0" w:type="auto"/>
            <w:vMerge w:val="continue"/>
            <w:tcBorders>
              <w:top w:val="single" w:color="auto" w:sz="6" w:space="0"/>
              <w:left w:val="single" w:color="auto" w:sz="6" w:space="0"/>
              <w:bottom w:val="single" w:color="auto" w:sz="6" w:space="0"/>
              <w:right w:val="single" w:color="auto" w:sz="6" w:space="0"/>
            </w:tcBorders>
            <w:shd w:val="clear" w:color="auto" w:fill="FFFFFF"/>
            <w:vAlign w:val="center"/>
          </w:tcPr>
          <w:p>
            <w:pPr>
              <w:widowControl/>
              <w:jc w:val="left"/>
              <w:rPr>
                <w:rFonts w:ascii="Helvetica" w:hAnsi="Helvetica" w:eastAsia="宋体" w:cs="Helvetica"/>
                <w:color w:val="auto"/>
                <w:kern w:val="0"/>
                <w:sz w:val="18"/>
                <w:szCs w:val="18"/>
                <w:highlight w:val="none"/>
              </w:rPr>
            </w:pP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资产总额</w:t>
            </w:r>
            <w:r>
              <w:rPr>
                <w:rFonts w:ascii="Helvetica" w:hAnsi="Helvetica" w:eastAsia="宋体" w:cs="Helvetica"/>
                <w:color w:val="auto"/>
                <w:kern w:val="0"/>
                <w:sz w:val="18"/>
                <w:szCs w:val="18"/>
                <w:highlight w:val="none"/>
              </w:rPr>
              <w:t>(Z)</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万元</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Z≥120000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8000≤Z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120000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8000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Z</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r>
      <w:tr>
        <w:tblPrEx>
          <w:shd w:val="clear" w:color="auto" w:fill="FFFFFF"/>
          <w:tblCellMar>
            <w:top w:w="0" w:type="dxa"/>
            <w:left w:w="108" w:type="dxa"/>
            <w:bottom w:w="0" w:type="dxa"/>
            <w:right w:w="108" w:type="dxa"/>
          </w:tblCellMar>
        </w:tblPrEx>
        <w:trPr>
          <w:trHeight w:val="330" w:hRule="atLeast"/>
        </w:trPr>
        <w:tc>
          <w:tcPr>
            <w:tcW w:w="2127"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其他未列明行业</w:t>
            </w:r>
            <w:r>
              <w:rPr>
                <w:rFonts w:ascii="Helvetica" w:hAnsi="Helvetica" w:eastAsia="宋体" w:cs="Helvetica"/>
                <w:color w:val="auto"/>
                <w:kern w:val="0"/>
                <w:sz w:val="18"/>
                <w:szCs w:val="18"/>
                <w:highlight w:val="none"/>
              </w:rPr>
              <w:t xml:space="preserve"> *</w:t>
            </w:r>
          </w:p>
        </w:tc>
        <w:tc>
          <w:tcPr>
            <w:tcW w:w="141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从业人员</w:t>
            </w:r>
            <w:r>
              <w:rPr>
                <w:rFonts w:ascii="Helvetica" w:hAnsi="Helvetica" w:eastAsia="宋体" w:cs="Helvetica"/>
                <w:color w:val="auto"/>
                <w:kern w:val="0"/>
                <w:sz w:val="18"/>
                <w:szCs w:val="18"/>
                <w:highlight w:val="none"/>
              </w:rPr>
              <w:t>(X)</w:t>
            </w:r>
          </w:p>
        </w:tc>
        <w:tc>
          <w:tcPr>
            <w:tcW w:w="71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hint="eastAsia" w:ascii="Helvetica" w:hAnsi="Helvetica" w:eastAsia="宋体" w:cs="Helvetica"/>
                <w:color w:val="auto"/>
                <w:kern w:val="0"/>
                <w:sz w:val="18"/>
                <w:szCs w:val="18"/>
                <w:highlight w:val="none"/>
              </w:rPr>
              <w:t>人</w:t>
            </w:r>
          </w:p>
        </w:tc>
        <w:tc>
          <w:tcPr>
            <w:tcW w:w="1275"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X≥300</w:t>
            </w:r>
          </w:p>
        </w:tc>
        <w:tc>
          <w:tcPr>
            <w:tcW w:w="1843"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300</w:t>
            </w:r>
          </w:p>
        </w:tc>
        <w:tc>
          <w:tcPr>
            <w:tcW w:w="1559"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10≤X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100</w:t>
            </w:r>
          </w:p>
        </w:tc>
        <w:tc>
          <w:tcPr>
            <w:tcW w:w="1004" w:type="dxa"/>
            <w:tcBorders>
              <w:top w:val="single" w:color="auto" w:sz="6" w:space="0"/>
              <w:left w:val="single" w:color="auto" w:sz="6" w:space="0"/>
              <w:bottom w:val="single" w:color="auto" w:sz="6" w:space="0"/>
              <w:right w:val="single" w:color="auto" w:sz="6" w:space="0"/>
            </w:tcBorders>
            <w:shd w:val="clear" w:color="auto" w:fill="FFFFFF"/>
            <w:tcMar>
              <w:top w:w="30" w:type="dxa"/>
              <w:left w:w="150" w:type="dxa"/>
              <w:bottom w:w="30" w:type="dxa"/>
              <w:right w:w="150" w:type="dxa"/>
            </w:tcMar>
            <w:vAlign w:val="center"/>
          </w:tcPr>
          <w:p>
            <w:pPr>
              <w:widowControl/>
              <w:spacing w:line="340" w:lineRule="exact"/>
              <w:jc w:val="center"/>
              <w:rPr>
                <w:rFonts w:ascii="Helvetica" w:hAnsi="Helvetica" w:eastAsia="宋体" w:cs="Helvetica"/>
                <w:color w:val="auto"/>
                <w:kern w:val="0"/>
                <w:sz w:val="18"/>
                <w:szCs w:val="18"/>
                <w:highlight w:val="none"/>
              </w:rPr>
            </w:pPr>
            <w:r>
              <w:rPr>
                <w:rFonts w:ascii="Helvetica" w:hAnsi="Helvetica" w:eastAsia="宋体" w:cs="Helvetica"/>
                <w:color w:val="auto"/>
                <w:kern w:val="0"/>
                <w:sz w:val="18"/>
                <w:szCs w:val="18"/>
                <w:highlight w:val="none"/>
              </w:rPr>
              <w:t>X</w:t>
            </w:r>
            <w:r>
              <w:rPr>
                <w:rFonts w:hint="eastAsia" w:ascii="Helvetica" w:hAnsi="Helvetica" w:eastAsia="宋体" w:cs="Helvetica"/>
                <w:color w:val="auto"/>
                <w:kern w:val="0"/>
                <w:sz w:val="18"/>
                <w:szCs w:val="18"/>
                <w:highlight w:val="none"/>
              </w:rPr>
              <w:t>＜</w:t>
            </w:r>
            <w:r>
              <w:rPr>
                <w:rFonts w:ascii="Helvetica" w:hAnsi="Helvetica" w:eastAsia="宋体" w:cs="Helvetica"/>
                <w:color w:val="auto"/>
                <w:kern w:val="0"/>
                <w:sz w:val="18"/>
                <w:szCs w:val="18"/>
                <w:highlight w:val="none"/>
              </w:rPr>
              <w:t>10</w:t>
            </w:r>
          </w:p>
        </w:tc>
      </w:tr>
    </w:tbl>
    <w:p>
      <w:pPr>
        <w:widowControl/>
        <w:shd w:val="clear" w:color="auto" w:fill="FFFFFF"/>
        <w:spacing w:line="360" w:lineRule="exact"/>
        <w:jc w:val="left"/>
        <w:rPr>
          <w:rFonts w:ascii="Helvetica" w:hAnsi="Helvetica" w:eastAsia="宋体" w:cs="Helvetica"/>
          <w:color w:val="auto"/>
          <w:kern w:val="0"/>
          <w:szCs w:val="21"/>
          <w:highlight w:val="none"/>
        </w:rPr>
      </w:pPr>
      <w:r>
        <w:rPr>
          <w:rFonts w:hint="eastAsia" w:ascii="Helvetica" w:hAnsi="Helvetica" w:eastAsia="宋体" w:cs="Helvetica"/>
          <w:color w:val="auto"/>
          <w:kern w:val="0"/>
          <w:szCs w:val="21"/>
          <w:highlight w:val="none"/>
        </w:rPr>
        <w:t>说明：</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大型、中型和小型企业须同时满足所列指标的下限，否则下划一档；微型企业只须满足所列指标中的一项即可。</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附表中各行业的范围以《国民经济行业分类》（</w:t>
      </w:r>
      <w:r>
        <w:rPr>
          <w:rFonts w:ascii="Helvetica" w:hAnsi="Helvetica" w:eastAsia="宋体" w:cs="Helvetica"/>
          <w:color w:val="auto"/>
          <w:kern w:val="0"/>
          <w:szCs w:val="21"/>
          <w:highlight w:val="none"/>
        </w:rPr>
        <w:t>GB/T4754-2017</w:t>
      </w:r>
      <w:r>
        <w:rPr>
          <w:rFonts w:hint="eastAsia" w:ascii="Helvetica" w:hAnsi="Helvetica" w:eastAsia="宋体" w:cs="Helvetica"/>
          <w:color w:val="auto"/>
          <w:kern w:val="0"/>
          <w:szCs w:val="21"/>
          <w:highlight w:val="none"/>
        </w:rPr>
        <w:t>）为准。带</w:t>
      </w:r>
      <w:r>
        <w:rPr>
          <w:rFonts w:ascii="Helvetica" w:hAnsi="Helvetica" w:eastAsia="宋体" w:cs="Helvetica"/>
          <w:color w:val="auto"/>
          <w:kern w:val="0"/>
          <w:szCs w:val="21"/>
          <w:highlight w:val="none"/>
        </w:rPr>
        <w:t>*</w:t>
      </w:r>
      <w:r>
        <w:rPr>
          <w:rFonts w:hint="eastAsia" w:ascii="Helvetica" w:hAnsi="Helvetica" w:eastAsia="宋体" w:cs="Helvetica"/>
          <w:color w:val="auto"/>
          <w:kern w:val="0"/>
          <w:szCs w:val="21"/>
          <w:highlight w:val="none"/>
        </w:rPr>
        <w:t>的项为行业组合类别，其中，工业包括采矿业，制造业，电力、热力、燃气及水生产和供应业；交通运输业包括道路运输业，水上运输业，航空运输业，管道运输业，</w:t>
      </w:r>
      <w:r>
        <w:rPr>
          <w:color w:val="auto"/>
          <w:highlight w:val="none"/>
        </w:rPr>
        <w:fldChar w:fldCharType="begin"/>
      </w:r>
      <w:r>
        <w:rPr>
          <w:color w:val="auto"/>
          <w:highlight w:val="none"/>
        </w:rPr>
        <w:instrText xml:space="preserve"> HYPERLINK "https://baike.baidu.com/item/%E5%A4%9A%E5%BC%8F%E8%81%94%E8%BF%90/3342240?fromModule=lemma_inlink"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多式联运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和运输代理业、</w:t>
      </w:r>
      <w:r>
        <w:rPr>
          <w:color w:val="auto"/>
          <w:highlight w:val="none"/>
        </w:rPr>
        <w:fldChar w:fldCharType="begin"/>
      </w:r>
      <w:r>
        <w:rPr>
          <w:color w:val="auto"/>
          <w:highlight w:val="none"/>
        </w:rPr>
        <w:instrText xml:space="preserve"> HYPERLINK "https://baike.baidu.com/item/%E8%A3%85%E5%8D%B8%E6%90%AC%E8%BF%90/6511400?fromModule=lemma_inlink"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装卸搬运</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，不包括铁路运输业；</w:t>
      </w:r>
      <w:r>
        <w:rPr>
          <w:color w:val="auto"/>
          <w:highlight w:val="none"/>
        </w:rPr>
        <w:fldChar w:fldCharType="begin"/>
      </w:r>
      <w:r>
        <w:rPr>
          <w:color w:val="auto"/>
          <w:highlight w:val="none"/>
        </w:rPr>
        <w:instrText xml:space="preserve"> HYPERLINK "https://baike.baidu.com/item/%E4%BB%93%E5%82%A8%E4%B8%9A/3487863?fromModule=lemma_inlink"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仓储业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包括通用仓储，低温仓储，危险品仓储，谷物、棉花等农产品仓储，中药材仓储和其他仓储业</w:t>
      </w:r>
      <w:r>
        <w:rPr>
          <w:rFonts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"https://baike.baidu.com/item/%E4%BF%A1%E6%81%AF%E4%BC%A0%E8%BE%93%E4%B8%9A/61331990?fromModule=lemma_inlink"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信息传输业</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shd w:val="clear" w:color="auto" w:fill="FFFFFF"/>
        <w:spacing w:line="360" w:lineRule="exact"/>
        <w:ind w:firstLine="480"/>
        <w:jc w:val="left"/>
        <w:rPr>
          <w:rFonts w:ascii="Helvetica" w:hAnsi="Helvetica" w:eastAsia="宋体" w:cs="Helvetica"/>
          <w:color w:val="auto"/>
          <w:kern w:val="0"/>
          <w:szCs w:val="21"/>
          <w:highlight w:val="none"/>
        </w:rPr>
      </w:pP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企业划分指标以现行</w:t>
      </w:r>
      <w:r>
        <w:rPr>
          <w:color w:val="auto"/>
          <w:highlight w:val="none"/>
        </w:rPr>
        <w:fldChar w:fldCharType="begin"/>
      </w:r>
      <w:r>
        <w:rPr>
          <w:color w:val="auto"/>
          <w:highlight w:val="none"/>
        </w:rPr>
        <w:instrText xml:space="preserve"> HYPERLINK "https://baike.baidu.com/item/%E7%BB%9F%E8%AE%A1%E5%88%B6%E5%BA%A6/917165?fromModule=lemma_inlink"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统计制度</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为准。（</w:t>
      </w:r>
      <w:r>
        <w:rPr>
          <w:rFonts w:ascii="Helvetica" w:hAnsi="Helvetica" w:eastAsia="宋体" w:cs="Helvetica"/>
          <w:color w:val="auto"/>
          <w:kern w:val="0"/>
          <w:szCs w:val="21"/>
          <w:highlight w:val="none"/>
        </w:rPr>
        <w:t>1</w:t>
      </w:r>
      <w:r>
        <w:rPr>
          <w:rFonts w:hint="eastAsia" w:ascii="Helvetica" w:hAnsi="Helvetica" w:eastAsia="宋体" w:cs="Helvetica"/>
          <w:color w:val="auto"/>
          <w:kern w:val="0"/>
          <w:szCs w:val="21"/>
          <w:highlight w:val="none"/>
        </w:rPr>
        <w:t>）从业人员，是指期末从业人员数，没有期末从业人员数的，采用全年平均人员数代替。（</w:t>
      </w:r>
      <w:r>
        <w:rPr>
          <w:rFonts w:ascii="Helvetica" w:hAnsi="Helvetica" w:eastAsia="宋体" w:cs="Helvetica"/>
          <w:color w:val="auto"/>
          <w:kern w:val="0"/>
          <w:szCs w:val="21"/>
          <w:highlight w:val="none"/>
        </w:rPr>
        <w:t>2</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"https://baike.baidu.com/item/%E8%90%A5%E4%B8%9A%E6%94%B6%E5%85%A5/5099832?fromModule=lemma_inlink"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营业收入</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ascii="Helvetica" w:hAnsi="Helvetica" w:eastAsia="宋体" w:cs="Helvetica"/>
          <w:color w:val="auto"/>
          <w:kern w:val="0"/>
          <w:szCs w:val="21"/>
          <w:highlight w:val="none"/>
        </w:rPr>
        <w:t>3</w:t>
      </w:r>
      <w:r>
        <w:rPr>
          <w:rFonts w:hint="eastAsia" w:ascii="Helvetica" w:hAnsi="Helvetica" w:eastAsia="宋体" w:cs="Helvetica"/>
          <w:color w:val="auto"/>
          <w:kern w:val="0"/>
          <w:szCs w:val="21"/>
          <w:highlight w:val="none"/>
        </w:rPr>
        <w:t>）</w:t>
      </w:r>
      <w:r>
        <w:rPr>
          <w:color w:val="auto"/>
          <w:highlight w:val="none"/>
        </w:rPr>
        <w:fldChar w:fldCharType="begin"/>
      </w:r>
      <w:r>
        <w:rPr>
          <w:color w:val="auto"/>
          <w:highlight w:val="none"/>
        </w:rPr>
        <w:instrText xml:space="preserve"> HYPERLINK "https://baike.baidu.com/item/%E8%B5%84%E4%BA%A7%E6%80%BB%E9%A2%9D/716517?fromModule=lemma_inlink" \t "_blank" </w:instrText>
      </w:r>
      <w:r>
        <w:rPr>
          <w:color w:val="auto"/>
          <w:highlight w:val="none"/>
        </w:rPr>
        <w:fldChar w:fldCharType="separate"/>
      </w:r>
      <w:r>
        <w:rPr>
          <w:rFonts w:hint="eastAsia" w:ascii="Helvetica" w:hAnsi="Helvetica" w:eastAsia="宋体" w:cs="Helvetica"/>
          <w:color w:val="auto"/>
          <w:kern w:val="0"/>
          <w:szCs w:val="21"/>
          <w:highlight w:val="none"/>
          <w:u w:val="single"/>
        </w:rPr>
        <w:t>资产总额</w:t>
      </w:r>
      <w:r>
        <w:rPr>
          <w:rFonts w:hint="eastAsia" w:ascii="Helvetica" w:hAnsi="Helvetica" w:eastAsia="宋体" w:cs="Helvetica"/>
          <w:color w:val="auto"/>
          <w:kern w:val="0"/>
          <w:szCs w:val="21"/>
          <w:highlight w:val="none"/>
          <w:u w:val="single"/>
        </w:rPr>
        <w:fldChar w:fldCharType="end"/>
      </w:r>
      <w:r>
        <w:rPr>
          <w:rFonts w:hint="eastAsia" w:ascii="Helvetica" w:hAnsi="Helvetica" w:eastAsia="宋体" w:cs="Helvetica"/>
          <w:color w:val="auto"/>
          <w:kern w:val="0"/>
          <w:szCs w:val="21"/>
          <w:highlight w:val="none"/>
        </w:rPr>
        <w:t>，采用资产总计代替。</w:t>
      </w:r>
    </w:p>
    <w:bookmarkEnd w:id="234"/>
    <w:p>
      <w:pPr>
        <w:spacing w:line="400" w:lineRule="exact"/>
        <w:rPr>
          <w:rFonts w:ascii="Times New Roman" w:hAnsi="Times New Roman" w:eastAsia="宋体" w:cs="Times New Roman"/>
          <w:color w:val="auto"/>
          <w:szCs w:val="24"/>
          <w:highlight w:val="none"/>
        </w:rPr>
      </w:pPr>
      <w:r>
        <w:rPr>
          <w:rFonts w:ascii="Times New Roman" w:hAnsi="Times New Roman" w:eastAsia="宋体" w:cs="Times New Roman"/>
          <w:color w:val="auto"/>
          <w:szCs w:val="24"/>
          <w:highlight w:val="none"/>
        </w:rPr>
        <w:br w:type="page"/>
      </w:r>
    </w:p>
    <w:p>
      <w:pPr>
        <w:spacing w:line="440" w:lineRule="exact"/>
        <w:jc w:val="center"/>
        <w:rPr>
          <w:rFonts w:hint="eastAsia" w:ascii="仿宋_GB2312" w:hAnsi="宋体" w:eastAsia="仿宋_GB2312" w:cs="Courier New"/>
          <w:b/>
          <w:color w:val="auto"/>
          <w:kern w:val="0"/>
          <w:sz w:val="32"/>
          <w:szCs w:val="32"/>
          <w:highlight w:val="none"/>
        </w:rPr>
      </w:pPr>
      <w:r>
        <w:rPr>
          <w:rFonts w:hint="eastAsia" w:ascii="仿宋_GB2312" w:hAnsi="宋体" w:eastAsia="仿宋_GB2312" w:cs="Courier New"/>
          <w:b/>
          <w:color w:val="auto"/>
          <w:kern w:val="0"/>
          <w:sz w:val="32"/>
          <w:szCs w:val="32"/>
          <w:highlight w:val="none"/>
        </w:rPr>
        <w:t>残疾人福利性单位声明函</w:t>
      </w:r>
      <w:r>
        <w:rPr>
          <w:rFonts w:hint="eastAsia" w:ascii="仿宋_GB2312" w:hAnsi="Times New Roman" w:eastAsia="仿宋_GB2312" w:cs="Times New Roman"/>
          <w:bCs/>
          <w:color w:val="auto"/>
          <w:sz w:val="24"/>
          <w:szCs w:val="24"/>
          <w:highlight w:val="none"/>
        </w:rPr>
        <w:t>（格式）</w:t>
      </w:r>
    </w:p>
    <w:p>
      <w:pPr>
        <w:spacing w:line="400" w:lineRule="exact"/>
        <w:rPr>
          <w:rFonts w:ascii="Times New Roman" w:hAnsi="Times New Roman" w:eastAsia="宋体" w:cs="Times New Roman"/>
          <w:color w:val="auto"/>
          <w:szCs w:val="24"/>
          <w:highlight w:val="none"/>
        </w:rPr>
      </w:pPr>
    </w:p>
    <w:p>
      <w:pPr>
        <w:spacing w:line="660" w:lineRule="exact"/>
        <w:ind w:firstLine="420" w:firstLineChars="200"/>
        <w:rPr>
          <w:rFonts w:hint="eastAsia" w:ascii="宋体" w:hAnsi="宋体" w:eastAsia="宋体" w:cs="Courier New"/>
          <w:color w:val="auto"/>
          <w:kern w:val="0"/>
          <w:szCs w:val="21"/>
          <w:highlight w:val="none"/>
        </w:rPr>
      </w:pPr>
      <w:bookmarkStart w:id="235" w:name="_Hlk94193952"/>
      <w:r>
        <w:rPr>
          <w:rFonts w:hint="eastAsia" w:ascii="宋体" w:hAnsi="宋体" w:eastAsia="宋体" w:cs="Courier New"/>
          <w:color w:val="auto"/>
          <w:kern w:val="0"/>
          <w:szCs w:val="21"/>
          <w:highlight w:val="none"/>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提供服务），或者提供其他残疾人福利性单位制造的货物（不包括使用非残疾人福利性单位注册商标的货物）。</w:t>
      </w:r>
    </w:p>
    <w:p>
      <w:pPr>
        <w:spacing w:line="660" w:lineRule="exact"/>
        <w:ind w:firstLine="420" w:firstLineChars="2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本单位对上述声明的真实性负责。如有虚假，将依法承担相应责任。</w:t>
      </w: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00" w:lineRule="exact"/>
        <w:rPr>
          <w:rFonts w:ascii="Times New Roman" w:hAnsi="Times New Roman" w:eastAsia="宋体" w:cs="Times New Roman"/>
          <w:color w:val="auto"/>
          <w:szCs w:val="21"/>
          <w:highlight w:val="none"/>
        </w:rPr>
      </w:pPr>
    </w:p>
    <w:p>
      <w:pPr>
        <w:spacing w:line="440" w:lineRule="exact"/>
        <w:ind w:firstLine="5250" w:firstLineChars="2500"/>
        <w:rPr>
          <w:rFonts w:hint="eastAsia" w:ascii="宋体" w:hAnsi="宋体" w:eastAsia="宋体" w:cs="Courier New"/>
          <w:color w:val="auto"/>
          <w:kern w:val="0"/>
          <w:szCs w:val="21"/>
          <w:highlight w:val="none"/>
        </w:rPr>
      </w:pPr>
      <w:r>
        <w:rPr>
          <w:rFonts w:hint="eastAsia" w:ascii="宋体" w:hAnsi="宋体" w:eastAsia="宋体" w:cs="Courier New"/>
          <w:color w:val="auto"/>
          <w:kern w:val="0"/>
          <w:szCs w:val="21"/>
          <w:highlight w:val="none"/>
        </w:rPr>
        <w:t>单位名称（盖章）：</w:t>
      </w:r>
      <w:r>
        <w:rPr>
          <w:rFonts w:hint="eastAsia" w:ascii="宋体" w:hAnsi="宋体" w:eastAsia="宋体" w:cs="Courier New"/>
          <w:color w:val="auto"/>
          <w:szCs w:val="21"/>
          <w:highlight w:val="none"/>
          <w:u w:val="single"/>
        </w:rPr>
        <w:t xml:space="preserve">              </w:t>
      </w:r>
    </w:p>
    <w:p>
      <w:pPr>
        <w:spacing w:line="440" w:lineRule="exact"/>
        <w:ind w:firstLine="5250" w:firstLineChars="2500"/>
        <w:rPr>
          <w:rFonts w:hint="eastAsia" w:ascii="宋体" w:hAnsi="宋体" w:eastAsia="宋体" w:cs="Courier New"/>
          <w:color w:val="auto"/>
          <w:szCs w:val="21"/>
          <w:highlight w:val="none"/>
          <w:u w:val="single"/>
        </w:rPr>
      </w:pPr>
      <w:r>
        <w:rPr>
          <w:rFonts w:hint="eastAsia" w:ascii="宋体" w:hAnsi="宋体" w:eastAsia="宋体" w:cs="Courier New"/>
          <w:color w:val="auto"/>
          <w:kern w:val="0"/>
          <w:szCs w:val="21"/>
          <w:highlight w:val="none"/>
        </w:rPr>
        <w:t>日  期：</w:t>
      </w:r>
      <w:r>
        <w:rPr>
          <w:rFonts w:hint="eastAsia" w:ascii="宋体" w:hAnsi="宋体" w:eastAsia="宋体" w:cs="Courier New"/>
          <w:color w:val="auto"/>
          <w:szCs w:val="21"/>
          <w:highlight w:val="none"/>
          <w:u w:val="single"/>
        </w:rPr>
        <w:t xml:space="preserve">                        </w:t>
      </w:r>
    </w:p>
    <w:bookmarkEnd w:id="235"/>
    <w:p>
      <w:pPr>
        <w:spacing w:line="440" w:lineRule="exact"/>
        <w:ind w:firstLine="4000" w:firstLineChars="1905"/>
        <w:rPr>
          <w:rFonts w:hint="eastAsia" w:ascii="宋体" w:hAnsi="宋体"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360" w:lineRule="exact"/>
        <w:jc w:val="left"/>
        <w:rPr>
          <w:rFonts w:ascii="宋体" w:hAnsi="Courier New" w:eastAsia="宋体" w:cs="Courier New"/>
          <w:color w:val="auto"/>
          <w:szCs w:val="21"/>
          <w:highlight w:val="none"/>
          <w:u w:val="single"/>
        </w:rPr>
      </w:pPr>
    </w:p>
    <w:p>
      <w:pPr>
        <w:spacing w:line="260" w:lineRule="exact"/>
        <w:jc w:val="left"/>
        <w:rPr>
          <w:rFonts w:ascii="宋体" w:hAnsi="Courier New" w:eastAsia="宋体" w:cs="Courier New"/>
          <w:color w:val="auto"/>
          <w:sz w:val="18"/>
          <w:szCs w:val="18"/>
          <w:highlight w:val="none"/>
          <w:u w:val="single"/>
        </w:rPr>
      </w:pPr>
      <w:r>
        <w:rPr>
          <w:rFonts w:hint="eastAsia" w:ascii="宋体" w:hAnsi="Courier New" w:eastAsia="宋体" w:cs="Courier New"/>
          <w:color w:val="auto"/>
          <w:sz w:val="18"/>
          <w:szCs w:val="18"/>
          <w:highlight w:val="none"/>
          <w:u w:val="single"/>
        </w:rPr>
        <w:t xml:space="preserve">                        </w:t>
      </w:r>
    </w:p>
    <w:p>
      <w:pPr>
        <w:spacing w:line="260" w:lineRule="exact"/>
        <w:jc w:val="left"/>
        <w:rPr>
          <w:rFonts w:ascii="宋体" w:hAnsi="Courier New" w:eastAsia="宋体" w:cs="Courier New"/>
          <w:color w:val="auto"/>
          <w:sz w:val="18"/>
          <w:szCs w:val="18"/>
          <w:highlight w:val="none"/>
          <w:u w:val="single"/>
        </w:rPr>
      </w:pPr>
      <w:r>
        <w:rPr>
          <w:color w:val="auto"/>
          <w:highlight w:val="none"/>
        </w:rPr>
        <w:fldChar w:fldCharType="begin"/>
      </w:r>
      <w:r>
        <w:rPr>
          <w:color w:val="auto"/>
          <w:highlight w:val="none"/>
        </w:rPr>
        <w:instrText xml:space="preserve"> HYPERLINK "http://www.ccgp.gov.cn/zcfg/mof/201709/t20170904_8787205.htm" </w:instrText>
      </w:r>
      <w:r>
        <w:rPr>
          <w:color w:val="auto"/>
          <w:highlight w:val="none"/>
        </w:rPr>
        <w:fldChar w:fldCharType="separate"/>
      </w:r>
      <w:r>
        <w:rPr>
          <w:rFonts w:hint="eastAsia" w:ascii="宋体" w:hAnsi="Courier New" w:eastAsia="宋体" w:cs="Courier New"/>
          <w:color w:val="auto"/>
          <w:sz w:val="18"/>
          <w:szCs w:val="18"/>
          <w:highlight w:val="none"/>
          <w:u w:val="single"/>
        </w:rPr>
        <w:t>《财政部 民政部 中国残疾人联合会关于促进残疾人就业政府采购政策的通知》（财库〔2017〕141号）</w:t>
      </w:r>
      <w:r>
        <w:rPr>
          <w:rFonts w:hint="eastAsia" w:ascii="宋体" w:hAnsi="Courier New" w:eastAsia="宋体" w:cs="Courier New"/>
          <w:color w:val="auto"/>
          <w:sz w:val="18"/>
          <w:szCs w:val="18"/>
          <w:highlight w:val="none"/>
          <w:u w:val="single"/>
        </w:rPr>
        <w:fldChar w:fldCharType="end"/>
      </w:r>
    </w:p>
    <w:p>
      <w:pPr>
        <w:snapToGrid w:val="0"/>
        <w:spacing w:before="50" w:after="50" w:line="360" w:lineRule="exact"/>
        <w:ind w:right="-817" w:rightChars="-389"/>
        <w:rPr>
          <w:rFonts w:hint="eastAsia" w:ascii="宋体" w:hAnsi="宋体" w:eastAsia="宋体" w:cs="Times New Roman"/>
          <w:b/>
          <w:bCs/>
          <w:color w:val="auto"/>
          <w:sz w:val="32"/>
          <w:szCs w:val="32"/>
          <w:highlight w:val="none"/>
        </w:rPr>
      </w:pPr>
      <w:r>
        <w:rPr>
          <w:rFonts w:hint="eastAsia" w:ascii="宋体" w:hAnsi="宋体" w:eastAsia="宋体" w:cs="Times New Roman"/>
          <w:color w:val="auto"/>
          <w:szCs w:val="21"/>
          <w:highlight w:val="none"/>
        </w:rPr>
        <w:br w:type="page"/>
      </w:r>
      <w:r>
        <w:rPr>
          <w:rFonts w:hint="eastAsia" w:ascii="宋体" w:hAnsi="宋体" w:eastAsia="宋体" w:cs="Times New Roman"/>
          <w:b/>
          <w:bCs/>
          <w:color w:val="auto"/>
          <w:sz w:val="32"/>
          <w:szCs w:val="32"/>
          <w:highlight w:val="none"/>
        </w:rPr>
        <w:t>三、报价文件</w:t>
      </w:r>
    </w:p>
    <w:p>
      <w:pPr>
        <w:spacing w:line="400" w:lineRule="exact"/>
        <w:rPr>
          <w:rFonts w:ascii="Times New Roman" w:hAnsi="Times New Roman" w:eastAsia="宋体" w:cs="Times New Roman"/>
          <w:color w:val="auto"/>
          <w:szCs w:val="24"/>
          <w:highlight w:val="none"/>
        </w:rPr>
      </w:pPr>
    </w:p>
    <w:p>
      <w:pPr>
        <w:snapToGrid w:val="0"/>
        <w:spacing w:before="50" w:after="50" w:line="360" w:lineRule="exact"/>
        <w:jc w:val="center"/>
        <w:rPr>
          <w:rFonts w:hint="eastAsia" w:ascii="仿宋_GB2312" w:hAnsi="宋体" w:eastAsia="仿宋_GB2312" w:cs="Times New Roman"/>
          <w:b/>
          <w:color w:val="auto"/>
          <w:sz w:val="28"/>
          <w:szCs w:val="28"/>
          <w:highlight w:val="none"/>
        </w:rPr>
      </w:pPr>
      <w:r>
        <w:rPr>
          <w:rFonts w:hint="eastAsia" w:ascii="仿宋_GB2312" w:hAnsi="宋体" w:eastAsia="仿宋_GB2312" w:cs="Times New Roman"/>
          <w:b/>
          <w:color w:val="auto"/>
          <w:sz w:val="32"/>
          <w:szCs w:val="32"/>
          <w:highlight w:val="none"/>
        </w:rPr>
        <w:t>开标一览表</w:t>
      </w:r>
      <w:bookmarkStart w:id="236" w:name="_Hlk111729075"/>
      <w:r>
        <w:rPr>
          <w:rFonts w:hint="eastAsia" w:ascii="仿宋_GB2312" w:hAnsi="Times New Roman" w:eastAsia="仿宋_GB2312" w:cs="Times New Roman"/>
          <w:bCs/>
          <w:color w:val="auto"/>
          <w:sz w:val="24"/>
          <w:szCs w:val="24"/>
          <w:highlight w:val="none"/>
        </w:rPr>
        <w:t>（格式）</w:t>
      </w:r>
      <w:bookmarkEnd w:id="236"/>
    </w:p>
    <w:p>
      <w:pPr>
        <w:snapToGrid w:val="0"/>
        <w:spacing w:before="50" w:after="50" w:line="400" w:lineRule="exact"/>
        <w:ind w:firstLine="420" w:firstLineChars="200"/>
        <w:rPr>
          <w:rFonts w:hint="eastAsia" w:ascii="宋体" w:hAnsi="宋体" w:eastAsia="宋体" w:cs="Times New Roman"/>
          <w:color w:val="auto"/>
          <w:szCs w:val="21"/>
          <w:highlight w:val="none"/>
          <w:u w:val="single"/>
        </w:rPr>
      </w:pPr>
      <w:r>
        <w:rPr>
          <w:rFonts w:hint="eastAsia" w:ascii="宋体" w:hAnsi="宋体" w:eastAsia="宋体" w:cs="Times New Roman"/>
          <w:color w:val="auto"/>
          <w:szCs w:val="21"/>
          <w:highlight w:val="none"/>
        </w:rPr>
        <w:t>项目名称：</w:t>
      </w:r>
      <w:r>
        <w:rPr>
          <w:rFonts w:hint="eastAsia" w:ascii="宋体" w:hAnsi="宋体" w:eastAsia="宋体" w:cs="Times New Roman"/>
          <w:color w:val="auto"/>
          <w:szCs w:val="21"/>
          <w:highlight w:val="none"/>
          <w:u w:val="single"/>
        </w:rPr>
        <w:t xml:space="preserve">                          </w:t>
      </w:r>
    </w:p>
    <w:p>
      <w:pPr>
        <w:snapToGrid w:val="0"/>
        <w:spacing w:before="50" w:after="50" w:line="400" w:lineRule="exac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项目编号：</w:t>
      </w:r>
      <w:r>
        <w:rPr>
          <w:rFonts w:hint="eastAsia" w:ascii="宋体" w:hAnsi="宋体" w:eastAsia="宋体" w:cs="Times New Roman"/>
          <w:color w:val="auto"/>
          <w:szCs w:val="21"/>
          <w:highlight w:val="none"/>
          <w:u w:val="single"/>
        </w:rPr>
        <w:t xml:space="preserve">                          </w:t>
      </w:r>
    </w:p>
    <w:tbl>
      <w:tblPr>
        <w:tblStyle w:val="4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27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06"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jc w:val="center"/>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报价（总价、元）</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83" w:hRule="atLeast"/>
          <w:jc w:val="center"/>
        </w:trPr>
        <w:tc>
          <w:tcPr>
            <w:tcW w:w="9276" w:type="dxa"/>
            <w:tcBorders>
              <w:top w:val="single" w:color="auto" w:sz="4" w:space="0"/>
              <w:left w:val="single" w:color="auto" w:sz="4" w:space="0"/>
              <w:bottom w:val="single" w:color="auto" w:sz="4" w:space="0"/>
              <w:right w:val="single" w:color="auto" w:sz="4" w:space="0"/>
            </w:tcBorders>
            <w:vAlign w:val="center"/>
          </w:tcPr>
          <w:p>
            <w:pPr>
              <w:snapToGrid w:val="0"/>
              <w:spacing w:before="50" w:after="50" w:line="360" w:lineRule="exact"/>
              <w:ind w:firstLine="19" w:firstLineChars="10"/>
              <w:jc w:val="left"/>
              <w:rPr>
                <w:rFonts w:hint="eastAsia" w:ascii="宋体" w:hAnsi="宋体" w:eastAsia="宋体" w:cs="Times New Roman"/>
                <w:bCs/>
                <w:color w:val="auto"/>
                <w:szCs w:val="21"/>
                <w:highlight w:val="none"/>
                <w:u w:val="single"/>
              </w:rPr>
            </w:pPr>
            <w:r>
              <w:rPr>
                <w:rFonts w:hint="eastAsia" w:ascii="宋体" w:hAnsi="宋体" w:eastAsia="宋体" w:cs="Courier New"/>
                <w:color w:val="auto"/>
                <w:spacing w:val="-6"/>
                <w:szCs w:val="21"/>
                <w:highlight w:val="none"/>
              </w:rPr>
              <w:t>人民币大写：</w:t>
            </w:r>
            <w:r>
              <w:rPr>
                <w:rFonts w:hint="eastAsia" w:ascii="宋体" w:hAnsi="宋体" w:eastAsia="宋体" w:cs="Courier New"/>
                <w:color w:val="auto"/>
                <w:spacing w:val="-6"/>
                <w:szCs w:val="21"/>
                <w:highlight w:val="none"/>
                <w:u w:val="single"/>
              </w:rPr>
              <w:t xml:space="preserve">                                                      </w:t>
            </w:r>
            <w:r>
              <w:rPr>
                <w:rFonts w:hint="eastAsia" w:ascii="宋体" w:hAnsi="宋体" w:eastAsia="宋体" w:cs="Courier New"/>
                <w:color w:val="auto"/>
                <w:spacing w:val="-6"/>
                <w:szCs w:val="21"/>
                <w:highlight w:val="none"/>
              </w:rPr>
              <w:t>（￥</w:t>
            </w:r>
            <w:r>
              <w:rPr>
                <w:rFonts w:hint="eastAsia" w:ascii="宋体" w:hAnsi="宋体" w:eastAsia="宋体" w:cs="Courier New"/>
                <w:color w:val="auto"/>
                <w:spacing w:val="-6"/>
                <w:szCs w:val="21"/>
                <w:highlight w:val="none"/>
                <w:u w:val="single"/>
              </w:rPr>
              <w:t xml:space="preserve">                 元</w:t>
            </w:r>
            <w:r>
              <w:rPr>
                <w:rFonts w:hint="eastAsia" w:ascii="宋体" w:hAnsi="宋体" w:eastAsia="宋体" w:cs="Courier New"/>
                <w:color w:val="auto"/>
                <w:spacing w:val="-6"/>
                <w:szCs w:val="21"/>
                <w:highlight w:val="none"/>
              </w:rPr>
              <w:t>）</w:t>
            </w:r>
          </w:p>
        </w:tc>
      </w:tr>
    </w:tbl>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1.所有价格均用人民币表示，单位为元，精确到个数位。</w:t>
      </w:r>
    </w:p>
    <w:p>
      <w:pPr>
        <w:snapToGrid w:val="0"/>
        <w:spacing w:before="50" w:after="50" w:line="400" w:lineRule="exact"/>
        <w:ind w:left="105" w:leftChars="50" w:firstLine="315" w:firstLineChars="150"/>
        <w:jc w:val="left"/>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2.报价一经涂改，应在涂改处加盖公章或者由法定代表人或授权委托人签名或盖章，否则视为无效投标文件。</w:t>
      </w:r>
    </w:p>
    <w:p>
      <w:pPr>
        <w:snapToGrid w:val="0"/>
        <w:spacing w:before="50" w:after="50" w:line="400" w:lineRule="exact"/>
        <w:ind w:firstLine="420" w:firstLineChars="200"/>
        <w:rPr>
          <w:rFonts w:hint="eastAsia" w:ascii="宋体" w:hAnsi="宋体" w:eastAsia="宋体" w:cs="Times New Roman"/>
          <w:color w:val="auto"/>
          <w:szCs w:val="21"/>
          <w:highlight w:val="none"/>
        </w:rPr>
      </w:pPr>
      <w:bookmarkStart w:id="237" w:name="_Hlk90908484"/>
      <w:r>
        <w:rPr>
          <w:rFonts w:hint="eastAsia" w:ascii="宋体" w:hAnsi="宋体" w:eastAsia="宋体" w:cs="Times New Roman"/>
          <w:color w:val="auto"/>
          <w:szCs w:val="21"/>
          <w:highlight w:val="none"/>
        </w:rPr>
        <w:t>3.总报价为采购人指定地点的现场交货价，必须包括货物、货物标准附件、备品备件、专用工具、设备安装辅材、包装、运输、保险、安装、调试、税金、售后服务、技术培训费等所有成本费用。</w:t>
      </w:r>
    </w:p>
    <w:bookmarkEnd w:id="237"/>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right="-817" w:rightChars="-389"/>
        <w:rPr>
          <w:rFonts w:hint="eastAsia" w:ascii="宋体" w:hAnsi="宋体" w:eastAsia="宋体" w:cs="Times New Roman"/>
          <w:color w:val="auto"/>
          <w:szCs w:val="21"/>
          <w:highlight w:val="none"/>
        </w:rPr>
      </w:pPr>
    </w:p>
    <w:p>
      <w:pPr>
        <w:snapToGrid w:val="0"/>
        <w:spacing w:before="50" w:after="50" w:line="350" w:lineRule="exact"/>
        <w:ind w:left="-2" w:leftChars="-1"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法定代表人或授权代表（签名）：</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投标人（盖章）：</w:t>
      </w:r>
      <w:r>
        <w:rPr>
          <w:rFonts w:hint="eastAsia" w:ascii="宋体" w:hAnsi="宋体" w:eastAsia="宋体" w:cs="Times New Roman"/>
          <w:color w:val="auto"/>
          <w:szCs w:val="21"/>
          <w:highlight w:val="none"/>
          <w:u w:val="single"/>
        </w:rPr>
        <w:t xml:space="preserve">                        </w:t>
      </w:r>
    </w:p>
    <w:p>
      <w:pPr>
        <w:snapToGrid w:val="0"/>
        <w:spacing w:before="50" w:after="50" w:line="350" w:lineRule="exact"/>
        <w:ind w:right="-817" w:rightChars="-389" w:firstLine="3255" w:firstLineChars="1550"/>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 xml:space="preserve">                       日期：</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年</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月</w:t>
      </w:r>
      <w:r>
        <w:rPr>
          <w:rFonts w:hint="eastAsia" w:ascii="宋体" w:hAnsi="宋体" w:eastAsia="宋体" w:cs="Times New Roman"/>
          <w:color w:val="auto"/>
          <w:szCs w:val="21"/>
          <w:highlight w:val="none"/>
          <w:u w:val="single"/>
        </w:rPr>
        <w:t xml:space="preserve">    </w:t>
      </w:r>
      <w:r>
        <w:rPr>
          <w:rFonts w:hint="eastAsia" w:ascii="宋体" w:hAnsi="宋体" w:eastAsia="宋体" w:cs="Times New Roman"/>
          <w:color w:val="auto"/>
          <w:szCs w:val="21"/>
          <w:highlight w:val="none"/>
        </w:rPr>
        <w:t>日</w:t>
      </w:r>
    </w:p>
    <w:p>
      <w:pPr>
        <w:snapToGrid w:val="0"/>
        <w:spacing w:before="50" w:after="50" w:line="350" w:lineRule="exact"/>
        <w:ind w:right="-817" w:rightChars="-389"/>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br w:type="page"/>
      </w:r>
    </w:p>
    <w:p>
      <w:pPr>
        <w:ind w:firstLine="0" w:firstLineChars="0"/>
        <w:jc w:val="center"/>
        <w:rPr>
          <w:rFonts w:hint="eastAsia" w:ascii="仿宋_GB2312" w:eastAsia="仿宋_GB2312"/>
          <w:b/>
          <w:bCs/>
          <w:color w:val="auto"/>
          <w:sz w:val="28"/>
          <w:szCs w:val="28"/>
          <w:highlight w:val="none"/>
        </w:rPr>
      </w:pPr>
      <w:r>
        <w:rPr>
          <w:rFonts w:hint="eastAsia" w:ascii="仿宋_GB2312" w:hAnsi="宋体" w:eastAsia="仿宋_GB2312" w:cs="Times New Roman"/>
          <w:b/>
          <w:color w:val="auto"/>
          <w:sz w:val="32"/>
          <w:szCs w:val="32"/>
          <w:highlight w:val="none"/>
        </w:rPr>
        <w:t>报价明细表</w:t>
      </w:r>
      <w:r>
        <w:rPr>
          <w:rFonts w:hint="eastAsia" w:ascii="仿宋_GB2312" w:eastAsia="仿宋_GB2312"/>
          <w:bCs/>
          <w:color w:val="auto"/>
          <w:sz w:val="24"/>
          <w:highlight w:val="none"/>
        </w:rPr>
        <w:t>（格式）</w:t>
      </w:r>
    </w:p>
    <w:p>
      <w:pPr>
        <w:ind w:firstLine="199" w:firstLineChars="95"/>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项目编号：</w:t>
      </w:r>
      <w:r>
        <w:rPr>
          <w:rFonts w:hint="eastAsia" w:ascii="宋体" w:hAnsi="宋体" w:eastAsia="宋体" w:cs="宋体"/>
          <w:color w:val="auto"/>
          <w:sz w:val="21"/>
          <w:szCs w:val="21"/>
          <w:highlight w:val="none"/>
          <w:u w:val="single"/>
        </w:rPr>
        <w:t xml:space="preserve">                     </w:t>
      </w:r>
    </w:p>
    <w:p>
      <w:pPr>
        <w:ind w:firstLine="210" w:firstLineChars="100"/>
        <w:jc w:val="left"/>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u w:val="single"/>
        </w:rPr>
        <w:t xml:space="preserve">                     </w:t>
      </w:r>
    </w:p>
    <w:tbl>
      <w:tblPr>
        <w:tblStyle w:val="48"/>
        <w:tblW w:w="92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899"/>
        <w:gridCol w:w="3685"/>
        <w:gridCol w:w="10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序号</w:t>
            </w:r>
          </w:p>
        </w:tc>
        <w:tc>
          <w:tcPr>
            <w:tcW w:w="3899"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服务内容</w:t>
            </w:r>
          </w:p>
        </w:tc>
        <w:tc>
          <w:tcPr>
            <w:tcW w:w="3685"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报价</w:t>
            </w:r>
          </w:p>
        </w:tc>
        <w:tc>
          <w:tcPr>
            <w:tcW w:w="1002" w:type="dxa"/>
            <w:noWrap w:val="0"/>
            <w:vAlign w:val="center"/>
          </w:tcPr>
          <w:p>
            <w:pPr>
              <w:widowControl/>
              <w:spacing w:line="240" w:lineRule="auto"/>
              <w:ind w:firstLine="0" w:firstLineChars="0"/>
              <w:jc w:val="center"/>
              <w:rPr>
                <w:rFonts w:hint="eastAsia" w:ascii="宋体" w:hAnsi="宋体" w:eastAsia="宋体" w:cs="宋体"/>
                <w:b/>
                <w:color w:val="auto"/>
                <w:kern w:val="0"/>
                <w:sz w:val="21"/>
                <w:szCs w:val="21"/>
                <w:highlight w:val="none"/>
              </w:rPr>
            </w:pPr>
            <w:r>
              <w:rPr>
                <w:rFonts w:hint="eastAsia" w:ascii="宋体" w:hAnsi="宋体" w:eastAsia="宋体" w:cs="宋体"/>
                <w:b/>
                <w:color w:val="auto"/>
                <w:kern w:val="0"/>
                <w:sz w:val="21"/>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709"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1</w:t>
            </w:r>
          </w:p>
        </w:tc>
        <w:tc>
          <w:tcPr>
            <w:tcW w:w="3899" w:type="dxa"/>
            <w:noWrap w:val="0"/>
            <w:vAlign w:val="center"/>
          </w:tcPr>
          <w:p>
            <w:pPr>
              <w:widowControl/>
              <w:spacing w:line="240" w:lineRule="auto"/>
              <w:ind w:firstLine="0" w:firstLineChars="0"/>
              <w:jc w:val="center"/>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钦州市行政信息中心物业服务</w:t>
            </w:r>
          </w:p>
        </w:tc>
        <w:tc>
          <w:tcPr>
            <w:tcW w:w="3685" w:type="dxa"/>
            <w:noWrap w:val="0"/>
            <w:vAlign w:val="center"/>
          </w:tcPr>
          <w:p>
            <w:pPr>
              <w:widowControl/>
              <w:spacing w:line="500" w:lineRule="exact"/>
              <w:ind w:firstLine="0" w:firstLineChars="0"/>
              <w:jc w:val="center"/>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大写：</w:t>
            </w:r>
            <w:r>
              <w:rPr>
                <w:rFonts w:hint="eastAsia" w:ascii="宋体" w:hAnsi="宋体" w:eastAsia="宋体" w:cs="宋体"/>
                <w:color w:val="auto"/>
                <w:kern w:val="0"/>
                <w:sz w:val="21"/>
                <w:szCs w:val="21"/>
                <w:highlight w:val="none"/>
                <w:u w:val="single"/>
              </w:rPr>
              <w:t xml:space="preserve">                   元整</w:t>
            </w:r>
          </w:p>
          <w:p>
            <w:pPr>
              <w:widowControl/>
              <w:spacing w:line="500" w:lineRule="exact"/>
              <w:ind w:firstLine="210" w:firstLineChars="100"/>
              <w:rPr>
                <w:rFonts w:hint="eastAsia" w:ascii="宋体" w:hAnsi="宋体" w:eastAsia="宋体" w:cs="宋体"/>
                <w:color w:val="auto"/>
                <w:kern w:val="0"/>
                <w:sz w:val="21"/>
                <w:szCs w:val="21"/>
                <w:highlight w:val="none"/>
                <w:u w:val="single"/>
              </w:rPr>
            </w:pPr>
            <w:r>
              <w:rPr>
                <w:rFonts w:hint="eastAsia" w:ascii="宋体" w:hAnsi="宋体" w:eastAsia="宋体" w:cs="宋体"/>
                <w:color w:val="auto"/>
                <w:kern w:val="0"/>
                <w:sz w:val="21"/>
                <w:szCs w:val="21"/>
                <w:highlight w:val="none"/>
              </w:rPr>
              <w:t>小写：</w:t>
            </w:r>
            <w:r>
              <w:rPr>
                <w:rFonts w:hint="eastAsia" w:ascii="宋体" w:hAnsi="宋体" w:eastAsia="宋体" w:cs="宋体"/>
                <w:color w:val="auto"/>
                <w:kern w:val="0"/>
                <w:sz w:val="21"/>
                <w:szCs w:val="21"/>
                <w:highlight w:val="none"/>
                <w:u w:val="single"/>
              </w:rPr>
              <w:t xml:space="preserve">￥                     </w:t>
            </w:r>
          </w:p>
        </w:tc>
        <w:tc>
          <w:tcPr>
            <w:tcW w:w="1002" w:type="dxa"/>
            <w:noWrap w:val="0"/>
            <w:vAlign w:val="center"/>
          </w:tcPr>
          <w:p>
            <w:pPr>
              <w:widowControl/>
              <w:spacing w:line="240" w:lineRule="auto"/>
              <w:ind w:firstLine="0" w:firstLineChars="0"/>
              <w:jc w:val="center"/>
              <w:rPr>
                <w:rFonts w:hint="eastAsia" w:ascii="宋体" w:hAnsi="宋体" w:eastAsia="宋体" w:cs="宋体"/>
                <w:color w:val="auto"/>
                <w:kern w:val="0"/>
                <w:sz w:val="21"/>
                <w:szCs w:val="21"/>
                <w:highlight w:val="none"/>
              </w:rPr>
            </w:pPr>
          </w:p>
        </w:tc>
      </w:tr>
    </w:tbl>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注：1.所有价格均用人民币表示，单位为元，精确到个数位。</w:t>
      </w:r>
    </w:p>
    <w:p>
      <w:pPr>
        <w:spacing w:line="440" w:lineRule="exact"/>
        <w:ind w:firstLine="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r>
        <w:rPr>
          <w:rFonts w:hint="eastAsia" w:ascii="宋体" w:hAnsi="宋体" w:eastAsia="宋体" w:cs="宋体"/>
          <w:bCs/>
          <w:color w:val="auto"/>
          <w:sz w:val="21"/>
          <w:szCs w:val="21"/>
          <w:highlight w:val="none"/>
        </w:rPr>
        <w:t>2.</w:t>
      </w:r>
      <w:r>
        <w:rPr>
          <w:rFonts w:hint="eastAsia" w:ascii="宋体" w:hAnsi="宋体" w:eastAsia="宋体" w:cs="宋体"/>
          <w:color w:val="auto"/>
          <w:sz w:val="21"/>
          <w:szCs w:val="21"/>
          <w:highlight w:val="none"/>
        </w:rPr>
        <w:t>投标报价应包括为完成本项目中所有服务内容所需要的所有费用，包含人工成本、社会保险、医疗保险（含计划生育）、劳动用工、工伤费、配置费用、员工餐费补贴、项目管理费、节假日加班费及职责范围内的临时加班费用、值班费、税金等所有费用的总和。</w:t>
      </w:r>
    </w:p>
    <w:p>
      <w:pPr>
        <w:spacing w:before="50" w:after="50" w:line="360" w:lineRule="exact"/>
        <w:ind w:firstLine="420" w:firstLine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4.报价为全包价，以人民币为结算单位。在合同实施时，采购人将不予支付中标人没有列入的项目费用，并认为此项目的费用已包括在总报价中。采购人不再支付合同以外的其他费用。</w:t>
      </w:r>
    </w:p>
    <w:p>
      <w:pPr>
        <w:spacing w:line="240" w:lineRule="auto"/>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ind w:firstLine="0" w:firstLineChars="0"/>
        <w:rPr>
          <w:rFonts w:hint="eastAsia" w:ascii="宋体" w:hAnsi="宋体" w:eastAsia="宋体" w:cs="宋体"/>
          <w:color w:val="auto"/>
          <w:sz w:val="21"/>
          <w:szCs w:val="21"/>
          <w:highlight w:val="none"/>
        </w:rPr>
      </w:pPr>
    </w:p>
    <w:p>
      <w:pPr>
        <w:snapToGrid w:val="0"/>
        <w:spacing w:before="50" w:after="50" w:line="350" w:lineRule="exact"/>
        <w:ind w:left="-2" w:leftChars="-1" w:right="-817" w:rightChars="-389" w:firstLine="4095" w:firstLineChars="19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法定代表人或授权代表（签名）：</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投标人（盖章）：</w:t>
      </w:r>
      <w:r>
        <w:rPr>
          <w:rFonts w:hint="eastAsia" w:ascii="宋体" w:hAnsi="宋体" w:eastAsia="宋体" w:cs="宋体"/>
          <w:color w:val="auto"/>
          <w:sz w:val="21"/>
          <w:szCs w:val="21"/>
          <w:highlight w:val="none"/>
          <w:u w:val="single"/>
        </w:rPr>
        <w:t xml:space="preserve">                        </w:t>
      </w:r>
    </w:p>
    <w:p>
      <w:pPr>
        <w:snapToGrid w:val="0"/>
        <w:spacing w:before="50" w:after="50" w:line="350" w:lineRule="exact"/>
        <w:ind w:right="-817" w:rightChars="-389" w:firstLine="3465" w:firstLineChars="165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日期：</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w:t>
      </w:r>
    </w:p>
    <w:p>
      <w:pPr>
        <w:rPr>
          <w:rFonts w:hint="eastAsia"/>
          <w:color w:val="auto"/>
          <w:highlight w:val="none"/>
        </w:rPr>
      </w:pPr>
    </w:p>
    <w:sectPr>
      <w:pgSz w:w="11906" w:h="16838"/>
      <w:pgMar w:top="1440" w:right="1133" w:bottom="1440"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Tahoma">
    <w:panose1 w:val="020B0604030504040204"/>
    <w:charset w:val="00"/>
    <w:family w:val="swiss"/>
    <w:pitch w:val="default"/>
    <w:sig w:usb0="E1002EFF" w:usb1="C000605B" w:usb2="00000029" w:usb3="00000000" w:csb0="200101FF" w:csb1="20280000"/>
  </w:font>
  <w:font w:name="Arial Narrow">
    <w:panose1 w:val="020B0606020202030204"/>
    <w:charset w:val="00"/>
    <w:family w:val="swiss"/>
    <w:pitch w:val="default"/>
    <w:sig w:usb0="00000287" w:usb1="00000800" w:usb2="00000000" w:usb3="00000000" w:csb0="2000009F" w:csb1="DFD70000"/>
  </w:font>
  <w:font w:name="inherit">
    <w:altName w:val="Times New Roman"/>
    <w:panose1 w:val="00000000000000000000"/>
    <w:charset w:val="00"/>
    <w:family w:val="roman"/>
    <w:pitch w:val="default"/>
    <w:sig w:usb0="00000000" w:usb1="00000000" w:usb2="00000000" w:usb3="00000000" w:csb0="00040001" w:csb1="00000000"/>
  </w:font>
  <w:font w:name="Verdana">
    <w:panose1 w:val="020B0604030504040204"/>
    <w:charset w:val="00"/>
    <w:family w:val="swiss"/>
    <w:pitch w:val="default"/>
    <w:sig w:usb0="A00006FF" w:usb1="4000205B" w:usb2="00000010" w:usb3="00000000" w:csb0="2000019F" w:csb1="00000000"/>
  </w:font>
  <w:font w:name="方正小标宋简体">
    <w:panose1 w:val="02010601030101010101"/>
    <w:charset w:val="86"/>
    <w:family w:val="auto"/>
    <w:pitch w:val="default"/>
    <w:sig w:usb0="00000001" w:usb1="080E0000" w:usb2="00000000" w:usb3="00000000" w:csb0="00040000" w:csb1="00000000"/>
  </w:font>
  <w:font w:name="Bosch Office Sans">
    <w:altName w:val="DejaVu Math TeX Gyre"/>
    <w:panose1 w:val="00000000000000000000"/>
    <w:charset w:val="00"/>
    <w:family w:val="auto"/>
    <w:pitch w:val="default"/>
    <w:sig w:usb0="00000000" w:usb1="00000000" w:usb2="00000000" w:usb3="00000000" w:csb0="00000001" w:csb1="00000000"/>
  </w:font>
  <w:font w:name="DejaVu Math TeX Gyre">
    <w:panose1 w:val="02000503000000000000"/>
    <w:charset w:val="00"/>
    <w:family w:val="auto"/>
    <w:pitch w:val="default"/>
    <w:sig w:usb0="A10000EF" w:usb1="4201F9EE" w:usb2="02000000" w:usb3="00000000" w:csb0="60000193" w:csb1="0DD40000"/>
  </w:font>
  <w:font w:name="隶书">
    <w:panose1 w:val="02010509060101010101"/>
    <w:charset w:val="86"/>
    <w:family w:val="modern"/>
    <w:pitch w:val="default"/>
    <w:sig w:usb0="00000001" w:usb1="080E0000" w:usb2="00000000" w:usb3="00000000" w:csb0="00040000" w:csb1="00000000"/>
  </w:font>
  <w:font w:name="Adobe 仿宋 Std R">
    <w:altName w:val="仿宋"/>
    <w:panose1 w:val="02020400000000000000"/>
    <w:charset w:val="86"/>
    <w:family w:val="roman"/>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32"/>
                    </w:pPr>
                    <w:r>
                      <w:fldChar w:fldCharType="begin"/>
                    </w:r>
                    <w:r>
                      <w:instrText xml:space="preserve"> PAGE  \* MERGEFORMAT </w:instrText>
                    </w:r>
                    <w:r>
                      <w:fldChar w:fldCharType="separate"/>
                    </w:r>
                    <w:r>
                      <w:t>1</w:t>
                    </w:r>
                    <w:r>
                      <w:fldChar w:fldCharType="end"/>
                    </w:r>
                  </w:p>
                </w:txbxContent>
              </v:textbox>
            </v:shape>
          </w:pict>
        </mc:Fallback>
      </mc:AlternateContent>
    </w:r>
  </w:p>
  <w:p>
    <w:pPr>
      <w:pStyle w:val="3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2"/>
      <w:ind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2"/>
                            <w:ind w:firstLine="360"/>
                            <w:jc w:val="center"/>
                          </w:pPr>
                          <w:r>
                            <w:fldChar w:fldCharType="begin"/>
                          </w:r>
                          <w:r>
                            <w:instrText xml:space="preserve">PAGE   \* MERGEFORMAT</w:instrText>
                          </w:r>
                          <w:r>
                            <w:fldChar w:fldCharType="separate"/>
                          </w:r>
                          <w:r>
                            <w:rPr>
                              <w:lang w:val="zh-CN"/>
                            </w:rP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32"/>
                      <w:ind w:firstLine="360"/>
                      <w:jc w:val="center"/>
                    </w:pPr>
                    <w:r>
                      <w:fldChar w:fldCharType="begin"/>
                    </w:r>
                    <w:r>
                      <w:instrText xml:space="preserve">PAGE   \* MERGEFORMAT</w:instrText>
                    </w:r>
                    <w:r>
                      <w:fldChar w:fldCharType="separate"/>
                    </w:r>
                    <w:r>
                      <w:rPr>
                        <w:lang w:val="zh-CN"/>
                      </w:rPr>
                      <w:t>22</w:t>
                    </w:r>
                    <w:r>
                      <w:fldChar w:fldCharType="end"/>
                    </w:r>
                  </w:p>
                </w:txbxContent>
              </v:textbox>
            </v:shape>
          </w:pict>
        </mc:Fallback>
      </mc:AlternateContent>
    </w:r>
  </w:p>
  <w:p>
    <w:pPr>
      <w:pStyle w:val="32"/>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3"/>
      <w:ind w:firstLine="540" w:firstLineChars="300"/>
      <w:jc w:val="both"/>
      <w:rPr>
        <w:rFonts w:hint="eastAsia" w:eastAsia="宋体"/>
        <w:u w:val="none"/>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636923"/>
    <w:multiLevelType w:val="singleLevel"/>
    <w:tmpl w:val="82636923"/>
    <w:lvl w:ilvl="0" w:tentative="0">
      <w:start w:val="1"/>
      <w:numFmt w:val="decimal"/>
      <w:suff w:val="nothing"/>
      <w:lvlText w:val="（%1）"/>
      <w:lvlJc w:val="left"/>
    </w:lvl>
  </w:abstractNum>
  <w:abstractNum w:abstractNumId="1">
    <w:nsid w:val="E6F0C967"/>
    <w:multiLevelType w:val="singleLevel"/>
    <w:tmpl w:val="E6F0C967"/>
    <w:lvl w:ilvl="0" w:tentative="0">
      <w:start w:val="1"/>
      <w:numFmt w:val="decimal"/>
      <w:suff w:val="nothing"/>
      <w:lvlText w:val="（%1）"/>
      <w:lvlJc w:val="left"/>
    </w:lvl>
  </w:abstractNum>
  <w:abstractNum w:abstractNumId="2">
    <w:nsid w:val="11F8B161"/>
    <w:multiLevelType w:val="singleLevel"/>
    <w:tmpl w:val="11F8B161"/>
    <w:lvl w:ilvl="0" w:tentative="0">
      <w:start w:val="2"/>
      <w:numFmt w:val="decimal"/>
      <w:lvlText w:val="%1."/>
      <w:lvlJc w:val="left"/>
      <w:pPr>
        <w:tabs>
          <w:tab w:val="left" w:pos="312"/>
        </w:tabs>
      </w:pPr>
    </w:lvl>
  </w:abstractNum>
  <w:abstractNum w:abstractNumId="3">
    <w:nsid w:val="74549037"/>
    <w:multiLevelType w:val="singleLevel"/>
    <w:tmpl w:val="74549037"/>
    <w:lvl w:ilvl="0" w:tentative="0">
      <w:start w:val="1"/>
      <w:numFmt w:val="decimal"/>
      <w:suff w:val="nothing"/>
      <w:lvlText w:val="（%1）"/>
      <w:lvlJc w:val="left"/>
    </w:lvl>
  </w:abstractNum>
  <w:abstractNum w:abstractNumId="4">
    <w:nsid w:val="772CAA6A"/>
    <w:multiLevelType w:val="singleLevel"/>
    <w:tmpl w:val="772CAA6A"/>
    <w:lvl w:ilvl="0" w:tentative="0">
      <w:start w:val="1"/>
      <w:numFmt w:val="decimal"/>
      <w:suff w:val="nothing"/>
      <w:lvlText w:val="（%1）"/>
      <w:lvlJc w:val="left"/>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FjZmE0Zjc2ZDA5NmE1NTQ4Yzk4Zjk0N2Y4YTlhMjQifQ=="/>
    <w:docVar w:name="KSO_WPS_MARK_KEY" w:val="159f8505-7ef9-4b37-9335-f4f6ca369815"/>
  </w:docVars>
  <w:rsids>
    <w:rsidRoot w:val="00327D23"/>
    <w:rsid w:val="00042319"/>
    <w:rsid w:val="00043008"/>
    <w:rsid w:val="000A5A01"/>
    <w:rsid w:val="001A1DCB"/>
    <w:rsid w:val="001B230D"/>
    <w:rsid w:val="001F32E9"/>
    <w:rsid w:val="00285425"/>
    <w:rsid w:val="002A3A17"/>
    <w:rsid w:val="002F1A81"/>
    <w:rsid w:val="00327D23"/>
    <w:rsid w:val="003F0CE1"/>
    <w:rsid w:val="00583C78"/>
    <w:rsid w:val="005B08E4"/>
    <w:rsid w:val="005F184D"/>
    <w:rsid w:val="00600D16"/>
    <w:rsid w:val="006358C6"/>
    <w:rsid w:val="00663C0D"/>
    <w:rsid w:val="0066646B"/>
    <w:rsid w:val="006A4E63"/>
    <w:rsid w:val="006C7AA4"/>
    <w:rsid w:val="00730047"/>
    <w:rsid w:val="0076169E"/>
    <w:rsid w:val="00785D99"/>
    <w:rsid w:val="007A4EBA"/>
    <w:rsid w:val="00835CAA"/>
    <w:rsid w:val="00AB1141"/>
    <w:rsid w:val="00B74AD7"/>
    <w:rsid w:val="00BC198A"/>
    <w:rsid w:val="00BD3939"/>
    <w:rsid w:val="00BF3D27"/>
    <w:rsid w:val="00C576B0"/>
    <w:rsid w:val="00DB1056"/>
    <w:rsid w:val="00DC4E29"/>
    <w:rsid w:val="00DE56AD"/>
    <w:rsid w:val="00EB3B48"/>
    <w:rsid w:val="00F83060"/>
    <w:rsid w:val="00FE4A1A"/>
    <w:rsid w:val="02767FA3"/>
    <w:rsid w:val="0306395E"/>
    <w:rsid w:val="034557C5"/>
    <w:rsid w:val="03AA7B3D"/>
    <w:rsid w:val="046312D6"/>
    <w:rsid w:val="052A3580"/>
    <w:rsid w:val="052E05FF"/>
    <w:rsid w:val="088F64F1"/>
    <w:rsid w:val="08A03E0D"/>
    <w:rsid w:val="08C81EB3"/>
    <w:rsid w:val="09AF7DD2"/>
    <w:rsid w:val="0A70523B"/>
    <w:rsid w:val="0B110634"/>
    <w:rsid w:val="0C7F04F4"/>
    <w:rsid w:val="0D2158F8"/>
    <w:rsid w:val="0FD331F5"/>
    <w:rsid w:val="10E3306C"/>
    <w:rsid w:val="11786AB5"/>
    <w:rsid w:val="1405440F"/>
    <w:rsid w:val="142F3D71"/>
    <w:rsid w:val="143233C7"/>
    <w:rsid w:val="14775224"/>
    <w:rsid w:val="157335A6"/>
    <w:rsid w:val="16835763"/>
    <w:rsid w:val="177F0596"/>
    <w:rsid w:val="178E3C3D"/>
    <w:rsid w:val="184C22DB"/>
    <w:rsid w:val="19517DCA"/>
    <w:rsid w:val="1B271125"/>
    <w:rsid w:val="1B3230A7"/>
    <w:rsid w:val="1C061058"/>
    <w:rsid w:val="1DCB1088"/>
    <w:rsid w:val="1EA012FE"/>
    <w:rsid w:val="1F160AC9"/>
    <w:rsid w:val="1FDFA138"/>
    <w:rsid w:val="1FF5CFDA"/>
    <w:rsid w:val="1FF66AC3"/>
    <w:rsid w:val="2087430E"/>
    <w:rsid w:val="220E16ED"/>
    <w:rsid w:val="22815453"/>
    <w:rsid w:val="22AF61C7"/>
    <w:rsid w:val="24E042FC"/>
    <w:rsid w:val="25202C3C"/>
    <w:rsid w:val="25423A48"/>
    <w:rsid w:val="25479FE3"/>
    <w:rsid w:val="259D6643"/>
    <w:rsid w:val="26E6133C"/>
    <w:rsid w:val="277167F4"/>
    <w:rsid w:val="27FFC80F"/>
    <w:rsid w:val="28035E97"/>
    <w:rsid w:val="28597DF9"/>
    <w:rsid w:val="2CF44A46"/>
    <w:rsid w:val="2D3A1E47"/>
    <w:rsid w:val="2DE84A70"/>
    <w:rsid w:val="2E0E6146"/>
    <w:rsid w:val="2EAD0881"/>
    <w:rsid w:val="2F571B10"/>
    <w:rsid w:val="2FE67823"/>
    <w:rsid w:val="2FF4C94D"/>
    <w:rsid w:val="31C904E7"/>
    <w:rsid w:val="31C91536"/>
    <w:rsid w:val="31F94B51"/>
    <w:rsid w:val="32121456"/>
    <w:rsid w:val="329A5BCC"/>
    <w:rsid w:val="32AC48B9"/>
    <w:rsid w:val="32CC40BA"/>
    <w:rsid w:val="333D7BA8"/>
    <w:rsid w:val="357F7587"/>
    <w:rsid w:val="35CA7933"/>
    <w:rsid w:val="35CE0847"/>
    <w:rsid w:val="35EEF524"/>
    <w:rsid w:val="362724BD"/>
    <w:rsid w:val="369239C5"/>
    <w:rsid w:val="3730529D"/>
    <w:rsid w:val="37FE3B6D"/>
    <w:rsid w:val="38CF71C7"/>
    <w:rsid w:val="3A8305DA"/>
    <w:rsid w:val="3B195636"/>
    <w:rsid w:val="3BA31357"/>
    <w:rsid w:val="3BDB64B6"/>
    <w:rsid w:val="3BEF748D"/>
    <w:rsid w:val="3C02547C"/>
    <w:rsid w:val="3C194E4C"/>
    <w:rsid w:val="3CC13764"/>
    <w:rsid w:val="3DC62D32"/>
    <w:rsid w:val="3DDD720C"/>
    <w:rsid w:val="3DE81F96"/>
    <w:rsid w:val="3EBF66A6"/>
    <w:rsid w:val="3F66433D"/>
    <w:rsid w:val="3FB3ECE4"/>
    <w:rsid w:val="423F33A8"/>
    <w:rsid w:val="43A02C12"/>
    <w:rsid w:val="440819E6"/>
    <w:rsid w:val="441B65CB"/>
    <w:rsid w:val="467A527B"/>
    <w:rsid w:val="479E6A0A"/>
    <w:rsid w:val="48C56192"/>
    <w:rsid w:val="4958510A"/>
    <w:rsid w:val="4A314D53"/>
    <w:rsid w:val="4AF0688F"/>
    <w:rsid w:val="4BBF7E82"/>
    <w:rsid w:val="4E091525"/>
    <w:rsid w:val="4E30443F"/>
    <w:rsid w:val="4E931F51"/>
    <w:rsid w:val="4F425216"/>
    <w:rsid w:val="4FBF67C7"/>
    <w:rsid w:val="4FE61C32"/>
    <w:rsid w:val="4FEC1AD6"/>
    <w:rsid w:val="501E7035"/>
    <w:rsid w:val="50A57CA0"/>
    <w:rsid w:val="50D24DF9"/>
    <w:rsid w:val="511D74F8"/>
    <w:rsid w:val="511E40A3"/>
    <w:rsid w:val="521E0493"/>
    <w:rsid w:val="5293023E"/>
    <w:rsid w:val="52AB1812"/>
    <w:rsid w:val="537F6CD0"/>
    <w:rsid w:val="53CE4770"/>
    <w:rsid w:val="546D0E3F"/>
    <w:rsid w:val="54A003F8"/>
    <w:rsid w:val="55DB1F32"/>
    <w:rsid w:val="56293EE0"/>
    <w:rsid w:val="56B26E83"/>
    <w:rsid w:val="57803A83"/>
    <w:rsid w:val="57AB6C1A"/>
    <w:rsid w:val="57C77AC1"/>
    <w:rsid w:val="57FFC692"/>
    <w:rsid w:val="58A40196"/>
    <w:rsid w:val="58FD4523"/>
    <w:rsid w:val="594025E3"/>
    <w:rsid w:val="59B40514"/>
    <w:rsid w:val="5ADEED86"/>
    <w:rsid w:val="5BEB53A3"/>
    <w:rsid w:val="5CB9202F"/>
    <w:rsid w:val="5E442C0A"/>
    <w:rsid w:val="5E92595C"/>
    <w:rsid w:val="5F2C7399"/>
    <w:rsid w:val="5F3FB8B4"/>
    <w:rsid w:val="5F63775C"/>
    <w:rsid w:val="5F6B70A5"/>
    <w:rsid w:val="5F9F349C"/>
    <w:rsid w:val="60325531"/>
    <w:rsid w:val="60792583"/>
    <w:rsid w:val="60A531A2"/>
    <w:rsid w:val="61396DD0"/>
    <w:rsid w:val="62AD05DD"/>
    <w:rsid w:val="62CE7985"/>
    <w:rsid w:val="633F72B4"/>
    <w:rsid w:val="66073FA6"/>
    <w:rsid w:val="66EDDDC0"/>
    <w:rsid w:val="67F8A8EF"/>
    <w:rsid w:val="68101630"/>
    <w:rsid w:val="691C4F7F"/>
    <w:rsid w:val="69DF1158"/>
    <w:rsid w:val="6A2720C1"/>
    <w:rsid w:val="6ABA7AA1"/>
    <w:rsid w:val="6ACF139F"/>
    <w:rsid w:val="6B2A44E1"/>
    <w:rsid w:val="6C2E088C"/>
    <w:rsid w:val="6E633704"/>
    <w:rsid w:val="6E69602D"/>
    <w:rsid w:val="6F670DAE"/>
    <w:rsid w:val="6F6FB85F"/>
    <w:rsid w:val="6F7F1EFD"/>
    <w:rsid w:val="6FB4645D"/>
    <w:rsid w:val="6FCF1649"/>
    <w:rsid w:val="6FEFC7A2"/>
    <w:rsid w:val="6FF238A3"/>
    <w:rsid w:val="6FFD5FF3"/>
    <w:rsid w:val="70937904"/>
    <w:rsid w:val="71484520"/>
    <w:rsid w:val="71776B44"/>
    <w:rsid w:val="72426149"/>
    <w:rsid w:val="72BB1F0C"/>
    <w:rsid w:val="72DC6E9B"/>
    <w:rsid w:val="75143621"/>
    <w:rsid w:val="759F50DE"/>
    <w:rsid w:val="75C352DD"/>
    <w:rsid w:val="768B1F49"/>
    <w:rsid w:val="77CE3417"/>
    <w:rsid w:val="77D370D4"/>
    <w:rsid w:val="77DA46E1"/>
    <w:rsid w:val="78054B5D"/>
    <w:rsid w:val="79B87874"/>
    <w:rsid w:val="7A0A69A5"/>
    <w:rsid w:val="7BACD368"/>
    <w:rsid w:val="7BEF06D9"/>
    <w:rsid w:val="7BFF2083"/>
    <w:rsid w:val="7CB75029"/>
    <w:rsid w:val="7D04737A"/>
    <w:rsid w:val="7DF35615"/>
    <w:rsid w:val="7EBFF2DE"/>
    <w:rsid w:val="7EF72FA7"/>
    <w:rsid w:val="7EFF490B"/>
    <w:rsid w:val="7F0EA7DD"/>
    <w:rsid w:val="7F6EE6D1"/>
    <w:rsid w:val="7F7BABEF"/>
    <w:rsid w:val="7F7DAB12"/>
    <w:rsid w:val="7F9F692E"/>
    <w:rsid w:val="7F9FFA02"/>
    <w:rsid w:val="7FE37BA5"/>
    <w:rsid w:val="7FEB937D"/>
    <w:rsid w:val="7FF1109B"/>
    <w:rsid w:val="7FF33070"/>
    <w:rsid w:val="7FF3C12D"/>
    <w:rsid w:val="7FFDEC01"/>
    <w:rsid w:val="8FEE098B"/>
    <w:rsid w:val="9EFED16D"/>
    <w:rsid w:val="9F5512CC"/>
    <w:rsid w:val="AE6EC698"/>
    <w:rsid w:val="B99FEEE1"/>
    <w:rsid w:val="BEBF878D"/>
    <w:rsid w:val="BF47E151"/>
    <w:rsid w:val="BF55AABF"/>
    <w:rsid w:val="C6EE7463"/>
    <w:rsid w:val="C7C9ABAC"/>
    <w:rsid w:val="CFF73A49"/>
    <w:rsid w:val="D37DB66E"/>
    <w:rsid w:val="D4BF57D7"/>
    <w:rsid w:val="D77E9CD9"/>
    <w:rsid w:val="D7ECDD8F"/>
    <w:rsid w:val="DEDF805D"/>
    <w:rsid w:val="DFD84B98"/>
    <w:rsid w:val="DFDF6537"/>
    <w:rsid w:val="DFFF26B9"/>
    <w:rsid w:val="ED978124"/>
    <w:rsid w:val="EDFFD8BC"/>
    <w:rsid w:val="EEEFB71C"/>
    <w:rsid w:val="EF396A5F"/>
    <w:rsid w:val="EF771CB2"/>
    <w:rsid w:val="F2ADE1B9"/>
    <w:rsid w:val="F3BBBF78"/>
    <w:rsid w:val="F3FEB340"/>
    <w:rsid w:val="F3FF38D9"/>
    <w:rsid w:val="F57E303F"/>
    <w:rsid w:val="F57F0426"/>
    <w:rsid w:val="F5FF333D"/>
    <w:rsid w:val="F79F6EDA"/>
    <w:rsid w:val="F7BBB7FE"/>
    <w:rsid w:val="F7EF3610"/>
    <w:rsid w:val="F8139E7E"/>
    <w:rsid w:val="F9AE6059"/>
    <w:rsid w:val="F9DD34E4"/>
    <w:rsid w:val="F9FF8CF7"/>
    <w:rsid w:val="FABF596A"/>
    <w:rsid w:val="FAF3863F"/>
    <w:rsid w:val="FAF7498F"/>
    <w:rsid w:val="FB5F121D"/>
    <w:rsid w:val="FB7F9A39"/>
    <w:rsid w:val="FBFBD7A2"/>
    <w:rsid w:val="FBFD149A"/>
    <w:rsid w:val="FBFFCA9D"/>
    <w:rsid w:val="FCFBA82E"/>
    <w:rsid w:val="FDCFAC6C"/>
    <w:rsid w:val="FDFDDC0B"/>
    <w:rsid w:val="FEDB26F7"/>
    <w:rsid w:val="FEFE0508"/>
    <w:rsid w:val="FF3F99C9"/>
    <w:rsid w:val="FF7F7BA8"/>
    <w:rsid w:val="FF8EF17E"/>
    <w:rsid w:val="FFFEB953"/>
    <w:rsid w:val="FFFEED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99" w:name="heading 7"/>
    <w:lsdException w:qFormat="1" w:uiPriority="99" w:name="heading 8"/>
    <w:lsdException w:qFormat="1" w:uiPriority="99" w:name="heading 9"/>
    <w:lsdException w:qFormat="1"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nhideWhenUsed="0" w:uiPriority="0" w:semiHidden="0" w:name="toc 2"/>
    <w:lsdException w:qFormat="1" w:uiPriority="99" w:name="toc 3"/>
    <w:lsdException w:qFormat="1" w:uiPriority="99" w:name="toc 4"/>
    <w:lsdException w:qFormat="1" w:uiPriority="99" w:name="toc 5"/>
    <w:lsdException w:qFormat="1" w:uiPriority="99" w:name="toc 6"/>
    <w:lsdException w:qFormat="1" w:uiPriority="99" w:name="toc 7"/>
    <w:lsdException w:qFormat="1" w:uiPriority="99" w:name="toc 8"/>
    <w:lsdException w:qFormat="1" w:uiPriority="99" w:name="toc 9"/>
    <w:lsdException w:qFormat="1" w:uiPriority="99"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99" w:name="caption"/>
    <w:lsdException w:uiPriority="99" w:name="table of figures"/>
    <w:lsdException w:uiPriority="99" w:name="envelope address"/>
    <w:lsdException w:uiPriority="99" w:name="envelope return"/>
    <w:lsdException w:qFormat="1" w:uiPriority="0" w:name="footnote reference"/>
    <w:lsdException w:qFormat="1" w:uiPriority="99" w:name="annotation reference"/>
    <w:lsdException w:uiPriority="99" w:name="line number"/>
    <w:lsdException w:uiPriority="99" w:name="page number"/>
    <w:lsdException w:qFormat="1" w:uiPriority="0" w:name="endnote reference"/>
    <w:lsdException w:qFormat="1" w:uiPriority="99" w:name="endnote text"/>
    <w:lsdException w:qFormat="1" w:uiPriority="0" w:name="table of authorities"/>
    <w:lsdException w:uiPriority="99" w:name="macro"/>
    <w:lsdException w:uiPriority="99" w:name="toa heading"/>
    <w:lsdException w:qFormat="1" w:uiPriority="99" w:name="List"/>
    <w:lsdException w:uiPriority="99" w:name="List Bullet"/>
    <w:lsdException w:qFormat="1" w:uiPriority="99" w:name="List Number"/>
    <w:lsdException w:qFormat="1"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qFormat="1"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qFormat="1" w:uiPriority="99" w:name="Body Text 2"/>
    <w:lsdException w:qFormat="1" w:uiPriority="99" w:name="Body Text 3"/>
    <w:lsdException w:qFormat="1" w:uiPriority="99" w:name="Body Text Indent 2"/>
    <w:lsdException w:qFormat="1" w:uiPriority="99" w:name="Body Text Indent 3"/>
    <w:lsdException w:uiPriority="99" w:name="Block Text"/>
    <w:lsdException w:qFormat="1" w:uiPriority="99" w:semiHidden="0" w:name="Hyperlink"/>
    <w:lsdException w:qFormat="1" w:uiPriority="0" w:name="FollowedHyperlink"/>
    <w:lsdException w:qFormat="1" w:unhideWhenUsed="0" w:uiPriority="22" w:semiHidden="0" w:name="Strong"/>
    <w:lsdException w:qFormat="1" w:unhideWhenUsed="0" w:uiPriority="0" w:semiHidden="0" w:name="Emphasis"/>
    <w:lsdException w:qFormat="1" w:uiPriority="99" w:name="Document Map"/>
    <w:lsdException w:qFormat="1" w:uiPriority="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qFormat="1"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62"/>
    <w:qFormat/>
    <w:uiPriority w:val="9"/>
    <w:pPr>
      <w:keepNext/>
      <w:keepLines/>
      <w:spacing w:before="340" w:after="330" w:line="576" w:lineRule="auto"/>
      <w:ind w:firstLine="200" w:firstLineChars="200"/>
      <w:jc w:val="center"/>
      <w:outlineLvl w:val="0"/>
    </w:pPr>
    <w:rPr>
      <w:rFonts w:ascii="Times New Roman" w:hAnsi="Times New Roman" w:eastAsia="仿宋_GB2312" w:cs="Times New Roman"/>
      <w:b/>
      <w:bCs/>
      <w:kern w:val="44"/>
      <w:sz w:val="44"/>
      <w:szCs w:val="44"/>
    </w:rPr>
  </w:style>
  <w:style w:type="paragraph" w:styleId="2">
    <w:name w:val="heading 2"/>
    <w:basedOn w:val="1"/>
    <w:next w:val="1"/>
    <w:link w:val="63"/>
    <w:semiHidden/>
    <w:unhideWhenUsed/>
    <w:qFormat/>
    <w:uiPriority w:val="0"/>
    <w:pPr>
      <w:keepNext/>
      <w:keepLines/>
      <w:spacing w:before="260" w:after="260" w:line="415" w:lineRule="auto"/>
      <w:ind w:firstLine="200" w:firstLineChars="200"/>
      <w:outlineLvl w:val="1"/>
    </w:pPr>
    <w:rPr>
      <w:rFonts w:ascii="Arial" w:hAnsi="Arial" w:eastAsia="黑体" w:cs="Times New Roman"/>
      <w:b/>
      <w:bCs/>
      <w:sz w:val="32"/>
      <w:szCs w:val="32"/>
    </w:rPr>
  </w:style>
  <w:style w:type="paragraph" w:styleId="4">
    <w:name w:val="heading 3"/>
    <w:basedOn w:val="1"/>
    <w:next w:val="1"/>
    <w:link w:val="64"/>
    <w:semiHidden/>
    <w:unhideWhenUsed/>
    <w:qFormat/>
    <w:uiPriority w:val="0"/>
    <w:pPr>
      <w:keepNext/>
      <w:keepLines/>
      <w:spacing w:before="260" w:after="260" w:line="415" w:lineRule="auto"/>
      <w:ind w:firstLine="200" w:firstLineChars="200"/>
      <w:outlineLvl w:val="2"/>
    </w:pPr>
    <w:rPr>
      <w:rFonts w:ascii="宋体" w:hAnsi="Courier New" w:eastAsia="宋体" w:cs="宋体"/>
      <w:b/>
      <w:bCs/>
      <w:sz w:val="32"/>
      <w:szCs w:val="32"/>
    </w:rPr>
  </w:style>
  <w:style w:type="paragraph" w:styleId="5">
    <w:name w:val="heading 4"/>
    <w:basedOn w:val="1"/>
    <w:next w:val="1"/>
    <w:link w:val="65"/>
    <w:semiHidden/>
    <w:unhideWhenUsed/>
    <w:qFormat/>
    <w:uiPriority w:val="0"/>
    <w:pPr>
      <w:keepNext/>
      <w:keepLines/>
      <w:spacing w:before="280" w:after="290" w:line="374" w:lineRule="auto"/>
      <w:ind w:firstLine="200" w:firstLineChars="200"/>
      <w:outlineLvl w:val="3"/>
    </w:pPr>
    <w:rPr>
      <w:rFonts w:ascii="Arial" w:hAnsi="Arial" w:eastAsia="黑体" w:cs="Times New Roman"/>
      <w:b/>
      <w:bCs/>
      <w:sz w:val="28"/>
      <w:szCs w:val="28"/>
    </w:rPr>
  </w:style>
  <w:style w:type="paragraph" w:styleId="6">
    <w:name w:val="heading 5"/>
    <w:basedOn w:val="1"/>
    <w:next w:val="7"/>
    <w:link w:val="66"/>
    <w:semiHidden/>
    <w:unhideWhenUsed/>
    <w:qFormat/>
    <w:uiPriority w:val="0"/>
    <w:pPr>
      <w:keepNext/>
      <w:keepLines/>
      <w:spacing w:before="280" w:after="290" w:line="374" w:lineRule="auto"/>
      <w:ind w:firstLine="200" w:firstLineChars="200"/>
      <w:outlineLvl w:val="4"/>
    </w:pPr>
    <w:rPr>
      <w:rFonts w:ascii="Times New Roman" w:hAnsi="Times New Roman" w:eastAsia="宋体" w:cs="Times New Roman"/>
      <w:b/>
      <w:sz w:val="28"/>
      <w:szCs w:val="24"/>
    </w:rPr>
  </w:style>
  <w:style w:type="paragraph" w:styleId="8">
    <w:name w:val="heading 6"/>
    <w:basedOn w:val="1"/>
    <w:next w:val="7"/>
    <w:link w:val="67"/>
    <w:semiHidden/>
    <w:unhideWhenUsed/>
    <w:qFormat/>
    <w:uiPriority w:val="0"/>
    <w:pPr>
      <w:keepNext/>
      <w:keepLines/>
      <w:spacing w:before="240" w:after="64" w:line="319" w:lineRule="auto"/>
      <w:ind w:firstLine="200" w:firstLineChars="200"/>
      <w:outlineLvl w:val="5"/>
    </w:pPr>
    <w:rPr>
      <w:rFonts w:ascii="Arial" w:hAnsi="Arial" w:eastAsia="黑体" w:cs="Times New Roman"/>
      <w:b/>
      <w:sz w:val="24"/>
      <w:szCs w:val="24"/>
    </w:rPr>
  </w:style>
  <w:style w:type="paragraph" w:styleId="9">
    <w:name w:val="heading 7"/>
    <w:basedOn w:val="1"/>
    <w:next w:val="7"/>
    <w:link w:val="68"/>
    <w:semiHidden/>
    <w:unhideWhenUsed/>
    <w:qFormat/>
    <w:uiPriority w:val="99"/>
    <w:pPr>
      <w:keepNext/>
      <w:keepLines/>
      <w:spacing w:before="240" w:after="64" w:line="319" w:lineRule="auto"/>
      <w:ind w:firstLine="200" w:firstLineChars="200"/>
      <w:outlineLvl w:val="6"/>
    </w:pPr>
    <w:rPr>
      <w:rFonts w:ascii="Times New Roman" w:hAnsi="Times New Roman" w:eastAsia="宋体" w:cs="Times New Roman"/>
      <w:b/>
      <w:sz w:val="24"/>
      <w:szCs w:val="24"/>
    </w:rPr>
  </w:style>
  <w:style w:type="paragraph" w:styleId="10">
    <w:name w:val="heading 8"/>
    <w:basedOn w:val="1"/>
    <w:next w:val="7"/>
    <w:link w:val="69"/>
    <w:semiHidden/>
    <w:unhideWhenUsed/>
    <w:qFormat/>
    <w:uiPriority w:val="99"/>
    <w:pPr>
      <w:keepNext/>
      <w:keepLines/>
      <w:spacing w:before="240" w:after="64" w:line="319" w:lineRule="auto"/>
      <w:ind w:firstLine="200" w:firstLineChars="200"/>
      <w:outlineLvl w:val="7"/>
    </w:pPr>
    <w:rPr>
      <w:rFonts w:ascii="Arial" w:hAnsi="Arial" w:eastAsia="黑体" w:cs="Times New Roman"/>
      <w:sz w:val="24"/>
      <w:szCs w:val="24"/>
    </w:rPr>
  </w:style>
  <w:style w:type="paragraph" w:styleId="11">
    <w:name w:val="heading 9"/>
    <w:basedOn w:val="1"/>
    <w:next w:val="7"/>
    <w:link w:val="70"/>
    <w:semiHidden/>
    <w:unhideWhenUsed/>
    <w:qFormat/>
    <w:uiPriority w:val="99"/>
    <w:pPr>
      <w:keepNext/>
      <w:keepLines/>
      <w:spacing w:before="240" w:after="64" w:line="319" w:lineRule="auto"/>
      <w:ind w:firstLine="200" w:firstLineChars="200"/>
      <w:outlineLvl w:val="8"/>
    </w:pPr>
    <w:rPr>
      <w:rFonts w:ascii="Arial" w:hAnsi="Arial" w:eastAsia="黑体" w:cs="Times New Roman"/>
      <w:szCs w:val="24"/>
    </w:rPr>
  </w:style>
  <w:style w:type="character" w:default="1" w:styleId="51">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7">
    <w:name w:val="Normal Indent"/>
    <w:basedOn w:val="1"/>
    <w:link w:val="75"/>
    <w:semiHidden/>
    <w:unhideWhenUsed/>
    <w:qFormat/>
    <w:uiPriority w:val="99"/>
    <w:pPr>
      <w:spacing w:line="400" w:lineRule="exact"/>
      <w:ind w:firstLine="420" w:firstLineChars="200"/>
    </w:pPr>
    <w:rPr>
      <w:rFonts w:ascii="Times New Roman" w:hAnsi="Times New Roman" w:eastAsia="宋体" w:cs="Times New Roman"/>
      <w:szCs w:val="20"/>
    </w:rPr>
  </w:style>
  <w:style w:type="paragraph" w:styleId="12">
    <w:name w:val="toc 7"/>
    <w:basedOn w:val="1"/>
    <w:next w:val="1"/>
    <w:semiHidden/>
    <w:unhideWhenUsed/>
    <w:qFormat/>
    <w:uiPriority w:val="99"/>
    <w:pPr>
      <w:spacing w:line="360" w:lineRule="auto"/>
      <w:ind w:left="1440" w:firstLine="200" w:firstLineChars="200"/>
      <w:jc w:val="left"/>
    </w:pPr>
    <w:rPr>
      <w:rFonts w:ascii="Calibri" w:hAnsi="Calibri" w:eastAsia="宋体" w:cs="Times New Roman"/>
      <w:sz w:val="20"/>
      <w:szCs w:val="20"/>
    </w:rPr>
  </w:style>
  <w:style w:type="paragraph" w:styleId="13">
    <w:name w:val="table of authorities"/>
    <w:basedOn w:val="1"/>
    <w:next w:val="1"/>
    <w:link w:val="79"/>
    <w:semiHidden/>
    <w:unhideWhenUsed/>
    <w:qFormat/>
    <w:uiPriority w:val="0"/>
    <w:pPr>
      <w:ind w:left="420" w:leftChars="200"/>
    </w:pPr>
    <w:rPr>
      <w:szCs w:val="24"/>
    </w:rPr>
  </w:style>
  <w:style w:type="paragraph" w:styleId="14">
    <w:name w:val="List Number"/>
    <w:basedOn w:val="1"/>
    <w:semiHidden/>
    <w:unhideWhenUsed/>
    <w:qFormat/>
    <w:uiPriority w:val="99"/>
    <w:pPr>
      <w:widowControl/>
      <w:tabs>
        <w:tab w:val="left" w:pos="454"/>
        <w:tab w:val="left" w:pos="720"/>
        <w:tab w:val="left" w:pos="840"/>
      </w:tabs>
      <w:spacing w:afterLines="50" w:line="400" w:lineRule="exact"/>
      <w:ind w:left="454" w:hanging="284" w:firstLineChars="200"/>
      <w:jc w:val="left"/>
    </w:pPr>
    <w:rPr>
      <w:rFonts w:ascii="Times New Roman" w:hAnsi="Times New Roman" w:eastAsia="宋体" w:cs="Times New Roman"/>
      <w:kern w:val="0"/>
      <w:sz w:val="24"/>
      <w:szCs w:val="20"/>
    </w:rPr>
  </w:style>
  <w:style w:type="paragraph" w:styleId="15">
    <w:name w:val="caption"/>
    <w:basedOn w:val="1"/>
    <w:next w:val="1"/>
    <w:semiHidden/>
    <w:unhideWhenUsed/>
    <w:qFormat/>
    <w:uiPriority w:val="99"/>
    <w:pPr>
      <w:spacing w:before="152" w:after="160" w:line="400" w:lineRule="exact"/>
      <w:ind w:firstLine="200" w:firstLineChars="200"/>
    </w:pPr>
    <w:rPr>
      <w:rFonts w:ascii="Arial" w:hAnsi="Arial" w:eastAsia="黑体" w:cs="Arial"/>
      <w:sz w:val="20"/>
      <w:szCs w:val="20"/>
    </w:rPr>
  </w:style>
  <w:style w:type="paragraph" w:styleId="16">
    <w:name w:val="Document Map"/>
    <w:basedOn w:val="1"/>
    <w:link w:val="90"/>
    <w:semiHidden/>
    <w:unhideWhenUsed/>
    <w:qFormat/>
    <w:uiPriority w:val="99"/>
    <w:pPr>
      <w:shd w:val="clear" w:color="auto" w:fill="000080"/>
      <w:spacing w:line="400" w:lineRule="exact"/>
      <w:ind w:firstLine="200" w:firstLineChars="200"/>
    </w:pPr>
    <w:rPr>
      <w:rFonts w:ascii="Times New Roman" w:hAnsi="Times New Roman" w:eastAsia="宋体" w:cs="Times New Roman"/>
      <w:szCs w:val="24"/>
    </w:rPr>
  </w:style>
  <w:style w:type="paragraph" w:styleId="17">
    <w:name w:val="annotation text"/>
    <w:basedOn w:val="1"/>
    <w:link w:val="77"/>
    <w:semiHidden/>
    <w:unhideWhenUsed/>
    <w:qFormat/>
    <w:uiPriority w:val="99"/>
    <w:pPr>
      <w:spacing w:line="400" w:lineRule="exact"/>
      <w:ind w:firstLine="200" w:firstLineChars="200"/>
      <w:jc w:val="left"/>
    </w:pPr>
    <w:rPr>
      <w:rFonts w:ascii="Times New Roman" w:hAnsi="Times New Roman" w:eastAsia="宋体" w:cs="Times New Roman"/>
      <w:szCs w:val="24"/>
    </w:rPr>
  </w:style>
  <w:style w:type="paragraph" w:styleId="18">
    <w:name w:val="Body Text 3"/>
    <w:basedOn w:val="1"/>
    <w:link w:val="87"/>
    <w:semiHidden/>
    <w:unhideWhenUsed/>
    <w:qFormat/>
    <w:uiPriority w:val="99"/>
    <w:pPr>
      <w:spacing w:line="500" w:lineRule="exact"/>
      <w:ind w:firstLine="200" w:firstLineChars="200"/>
    </w:pPr>
    <w:rPr>
      <w:rFonts w:ascii="Times New Roman" w:hAnsi="Times New Roman" w:eastAsia="宋体" w:cs="Times New Roman"/>
      <w:b/>
      <w:bCs/>
      <w:sz w:val="24"/>
      <w:szCs w:val="24"/>
    </w:rPr>
  </w:style>
  <w:style w:type="paragraph" w:styleId="19">
    <w:name w:val="Body Text"/>
    <w:basedOn w:val="1"/>
    <w:next w:val="20"/>
    <w:link w:val="82"/>
    <w:semiHidden/>
    <w:unhideWhenUsed/>
    <w:qFormat/>
    <w:uiPriority w:val="99"/>
    <w:pPr>
      <w:spacing w:line="380" w:lineRule="exact"/>
      <w:ind w:firstLine="200" w:firstLineChars="200"/>
    </w:pPr>
    <w:rPr>
      <w:rFonts w:ascii="Times New Roman" w:hAnsi="Times New Roman" w:eastAsia="宋体" w:cs="Times New Roman"/>
      <w:sz w:val="24"/>
      <w:szCs w:val="24"/>
    </w:rPr>
  </w:style>
  <w:style w:type="paragraph" w:styleId="20">
    <w:name w:val="toc 2"/>
    <w:basedOn w:val="1"/>
    <w:next w:val="1"/>
    <w:qFormat/>
    <w:uiPriority w:val="0"/>
    <w:pPr>
      <w:ind w:left="200" w:leftChars="200"/>
    </w:pPr>
  </w:style>
  <w:style w:type="paragraph" w:styleId="21">
    <w:name w:val="Body Text Indent"/>
    <w:basedOn w:val="1"/>
    <w:link w:val="83"/>
    <w:semiHidden/>
    <w:unhideWhenUsed/>
    <w:qFormat/>
    <w:uiPriority w:val="99"/>
    <w:pPr>
      <w:spacing w:line="400" w:lineRule="exact"/>
      <w:ind w:firstLine="830" w:firstLineChars="352"/>
    </w:pPr>
    <w:rPr>
      <w:rFonts w:ascii="仿宋_GB2312" w:hAnsi="Times New Roman" w:eastAsia="仿宋_GB2312" w:cs="Times New Roman"/>
      <w:sz w:val="32"/>
      <w:szCs w:val="20"/>
    </w:rPr>
  </w:style>
  <w:style w:type="paragraph" w:styleId="22">
    <w:name w:val="List Number 3"/>
    <w:basedOn w:val="1"/>
    <w:semiHidden/>
    <w:unhideWhenUsed/>
    <w:qFormat/>
    <w:uiPriority w:val="99"/>
    <w:pPr>
      <w:tabs>
        <w:tab w:val="left" w:pos="360"/>
      </w:tabs>
      <w:spacing w:line="400" w:lineRule="exact"/>
      <w:ind w:left="360" w:hanging="360" w:firstLineChars="200"/>
    </w:pPr>
    <w:rPr>
      <w:rFonts w:ascii="Times New Roman" w:hAnsi="Times New Roman" w:eastAsia="宋体" w:cs="Times New Roman"/>
      <w:szCs w:val="24"/>
    </w:rPr>
  </w:style>
  <w:style w:type="paragraph" w:styleId="23">
    <w:name w:val="List 2"/>
    <w:basedOn w:val="1"/>
    <w:semiHidden/>
    <w:unhideWhenUsed/>
    <w:qFormat/>
    <w:uiPriority w:val="99"/>
    <w:pPr>
      <w:spacing w:line="400" w:lineRule="exact"/>
      <w:ind w:left="100" w:leftChars="200" w:hanging="200" w:hangingChars="200"/>
    </w:pPr>
    <w:rPr>
      <w:rFonts w:ascii="Times New Roman" w:hAnsi="Times New Roman" w:eastAsia="宋体" w:cs="Times New Roman"/>
      <w:sz w:val="28"/>
      <w:szCs w:val="24"/>
    </w:rPr>
  </w:style>
  <w:style w:type="paragraph" w:styleId="24">
    <w:name w:val="toc 5"/>
    <w:basedOn w:val="1"/>
    <w:next w:val="1"/>
    <w:semiHidden/>
    <w:unhideWhenUsed/>
    <w:qFormat/>
    <w:uiPriority w:val="99"/>
    <w:pPr>
      <w:spacing w:line="360" w:lineRule="auto"/>
      <w:ind w:left="960" w:firstLine="200" w:firstLineChars="200"/>
      <w:jc w:val="left"/>
    </w:pPr>
    <w:rPr>
      <w:rFonts w:ascii="Calibri" w:hAnsi="Calibri" w:eastAsia="宋体" w:cs="Times New Roman"/>
      <w:sz w:val="20"/>
      <w:szCs w:val="20"/>
    </w:rPr>
  </w:style>
  <w:style w:type="paragraph" w:styleId="25">
    <w:name w:val="toc 3"/>
    <w:basedOn w:val="1"/>
    <w:next w:val="1"/>
    <w:semiHidden/>
    <w:unhideWhenUsed/>
    <w:qFormat/>
    <w:uiPriority w:val="99"/>
    <w:pPr>
      <w:spacing w:line="400" w:lineRule="exact"/>
      <w:ind w:left="840" w:leftChars="400" w:firstLine="200" w:firstLineChars="200"/>
    </w:pPr>
    <w:rPr>
      <w:rFonts w:ascii="Times New Roman" w:hAnsi="Times New Roman" w:eastAsia="宋体" w:cs="Times New Roman"/>
      <w:szCs w:val="24"/>
    </w:rPr>
  </w:style>
  <w:style w:type="paragraph" w:styleId="26">
    <w:name w:val="Plain Text"/>
    <w:basedOn w:val="1"/>
    <w:next w:val="1"/>
    <w:link w:val="91"/>
    <w:semiHidden/>
    <w:unhideWhenUsed/>
    <w:qFormat/>
    <w:uiPriority w:val="0"/>
    <w:pPr>
      <w:spacing w:line="400" w:lineRule="exact"/>
      <w:ind w:firstLine="200" w:firstLineChars="200"/>
    </w:pPr>
    <w:rPr>
      <w:rFonts w:ascii="宋体" w:hAnsi="Courier New" w:eastAsia="宋体" w:cs="Courier New"/>
      <w:szCs w:val="21"/>
    </w:rPr>
  </w:style>
  <w:style w:type="paragraph" w:styleId="27">
    <w:name w:val="toc 8"/>
    <w:basedOn w:val="1"/>
    <w:next w:val="1"/>
    <w:semiHidden/>
    <w:unhideWhenUsed/>
    <w:qFormat/>
    <w:uiPriority w:val="99"/>
    <w:pPr>
      <w:spacing w:line="360" w:lineRule="auto"/>
      <w:ind w:left="1680" w:firstLine="200" w:firstLineChars="200"/>
      <w:jc w:val="left"/>
    </w:pPr>
    <w:rPr>
      <w:rFonts w:ascii="Calibri" w:hAnsi="Calibri" w:eastAsia="宋体" w:cs="Times New Roman"/>
      <w:sz w:val="20"/>
      <w:szCs w:val="20"/>
    </w:rPr>
  </w:style>
  <w:style w:type="paragraph" w:styleId="28">
    <w:name w:val="Date"/>
    <w:basedOn w:val="1"/>
    <w:next w:val="1"/>
    <w:link w:val="85"/>
    <w:semiHidden/>
    <w:unhideWhenUsed/>
    <w:qFormat/>
    <w:uiPriority w:val="99"/>
    <w:pPr>
      <w:spacing w:line="400" w:lineRule="exact"/>
      <w:ind w:left="100" w:leftChars="2500" w:firstLine="200" w:firstLineChars="200"/>
    </w:pPr>
    <w:rPr>
      <w:rFonts w:ascii="宋体" w:hAnsi="Courier New" w:eastAsia="宋体" w:cs="Courier New"/>
      <w:szCs w:val="21"/>
    </w:rPr>
  </w:style>
  <w:style w:type="paragraph" w:styleId="29">
    <w:name w:val="Body Text Indent 2"/>
    <w:basedOn w:val="1"/>
    <w:link w:val="88"/>
    <w:semiHidden/>
    <w:unhideWhenUsed/>
    <w:qFormat/>
    <w:uiPriority w:val="99"/>
    <w:pPr>
      <w:spacing w:line="400" w:lineRule="exact"/>
      <w:ind w:firstLine="630" w:firstLineChars="200"/>
    </w:pPr>
    <w:rPr>
      <w:rFonts w:ascii="Times New Roman" w:hAnsi="Times New Roman" w:eastAsia="宋体" w:cs="Times New Roman"/>
      <w:sz w:val="32"/>
      <w:szCs w:val="20"/>
    </w:rPr>
  </w:style>
  <w:style w:type="paragraph" w:styleId="30">
    <w:name w:val="endnote text"/>
    <w:basedOn w:val="1"/>
    <w:link w:val="78"/>
    <w:semiHidden/>
    <w:unhideWhenUsed/>
    <w:qFormat/>
    <w:uiPriority w:val="99"/>
    <w:pPr>
      <w:snapToGrid w:val="0"/>
      <w:spacing w:line="480" w:lineRule="exact"/>
      <w:ind w:firstLine="200" w:firstLineChars="200"/>
      <w:jc w:val="left"/>
    </w:pPr>
    <w:rPr>
      <w:rFonts w:ascii="微软雅黑" w:hAnsi="微软雅黑" w:eastAsia="微软雅黑" w:cs="Times New Roman"/>
      <w:kern w:val="0"/>
      <w:sz w:val="20"/>
      <w:szCs w:val="20"/>
    </w:rPr>
  </w:style>
  <w:style w:type="paragraph" w:styleId="31">
    <w:name w:val="Balloon Text"/>
    <w:basedOn w:val="1"/>
    <w:link w:val="94"/>
    <w:semiHidden/>
    <w:unhideWhenUsed/>
    <w:qFormat/>
    <w:uiPriority w:val="99"/>
    <w:pPr>
      <w:spacing w:line="400" w:lineRule="exact"/>
      <w:ind w:firstLine="200" w:firstLineChars="200"/>
    </w:pPr>
    <w:rPr>
      <w:rFonts w:ascii="Times New Roman" w:hAnsi="Times New Roman" w:eastAsia="宋体" w:cs="Times New Roman"/>
      <w:sz w:val="18"/>
      <w:szCs w:val="18"/>
    </w:rPr>
  </w:style>
  <w:style w:type="paragraph" w:styleId="32">
    <w:name w:val="footer"/>
    <w:basedOn w:val="1"/>
    <w:link w:val="61"/>
    <w:unhideWhenUsed/>
    <w:qFormat/>
    <w:uiPriority w:val="99"/>
    <w:pPr>
      <w:tabs>
        <w:tab w:val="center" w:pos="4153"/>
        <w:tab w:val="right" w:pos="8306"/>
      </w:tabs>
      <w:snapToGrid w:val="0"/>
      <w:jc w:val="left"/>
    </w:pPr>
    <w:rPr>
      <w:sz w:val="18"/>
      <w:szCs w:val="18"/>
    </w:rPr>
  </w:style>
  <w:style w:type="paragraph" w:styleId="33">
    <w:name w:val="header"/>
    <w:basedOn w:val="1"/>
    <w:link w:val="60"/>
    <w:unhideWhenUsed/>
    <w:qFormat/>
    <w:uiPriority w:val="99"/>
    <w:pPr>
      <w:tabs>
        <w:tab w:val="center" w:pos="4153"/>
        <w:tab w:val="right" w:pos="8306"/>
      </w:tabs>
      <w:snapToGrid w:val="0"/>
      <w:jc w:val="center"/>
    </w:pPr>
    <w:rPr>
      <w:sz w:val="18"/>
      <w:szCs w:val="18"/>
    </w:rPr>
  </w:style>
  <w:style w:type="paragraph" w:styleId="34">
    <w:name w:val="toc 1"/>
    <w:basedOn w:val="1"/>
    <w:next w:val="1"/>
    <w:link w:val="73"/>
    <w:unhideWhenUsed/>
    <w:qFormat/>
    <w:uiPriority w:val="39"/>
    <w:rPr>
      <w:szCs w:val="24"/>
    </w:rPr>
  </w:style>
  <w:style w:type="paragraph" w:styleId="35">
    <w:name w:val="toc 4"/>
    <w:basedOn w:val="1"/>
    <w:next w:val="1"/>
    <w:semiHidden/>
    <w:unhideWhenUsed/>
    <w:qFormat/>
    <w:uiPriority w:val="99"/>
    <w:pPr>
      <w:spacing w:line="360" w:lineRule="auto"/>
      <w:ind w:left="720" w:firstLine="200" w:firstLineChars="200"/>
      <w:jc w:val="left"/>
    </w:pPr>
    <w:rPr>
      <w:rFonts w:ascii="Calibri" w:hAnsi="Calibri" w:eastAsia="宋体" w:cs="Times New Roman"/>
      <w:sz w:val="20"/>
      <w:szCs w:val="20"/>
    </w:rPr>
  </w:style>
  <w:style w:type="paragraph" w:styleId="36">
    <w:name w:val="Subtitle"/>
    <w:basedOn w:val="1"/>
    <w:next w:val="1"/>
    <w:link w:val="84"/>
    <w:qFormat/>
    <w:uiPriority w:val="99"/>
    <w:pPr>
      <w:widowControl/>
      <w:spacing w:after="200" w:line="276" w:lineRule="auto"/>
      <w:ind w:firstLine="200" w:firstLineChars="200"/>
      <w:jc w:val="left"/>
    </w:pPr>
    <w:rPr>
      <w:rFonts w:ascii="Cambria" w:hAnsi="Cambria" w:eastAsia="宋体" w:cs="Times New Roman"/>
      <w:i/>
      <w:iCs/>
      <w:color w:val="4F81BD"/>
      <w:spacing w:val="15"/>
      <w:kern w:val="0"/>
      <w:sz w:val="20"/>
      <w:szCs w:val="20"/>
    </w:rPr>
  </w:style>
  <w:style w:type="paragraph" w:styleId="37">
    <w:name w:val="List"/>
    <w:basedOn w:val="1"/>
    <w:semiHidden/>
    <w:unhideWhenUsed/>
    <w:qFormat/>
    <w:uiPriority w:val="99"/>
    <w:pPr>
      <w:spacing w:line="400" w:lineRule="exact"/>
      <w:ind w:left="200" w:hanging="200" w:hangingChars="200"/>
    </w:pPr>
    <w:rPr>
      <w:rFonts w:ascii="Times New Roman" w:hAnsi="Times New Roman" w:eastAsia="宋体" w:cs="Times New Roman"/>
      <w:sz w:val="28"/>
      <w:szCs w:val="24"/>
    </w:rPr>
  </w:style>
  <w:style w:type="paragraph" w:styleId="38">
    <w:name w:val="footnote text"/>
    <w:basedOn w:val="1"/>
    <w:link w:val="76"/>
    <w:semiHidden/>
    <w:unhideWhenUsed/>
    <w:qFormat/>
    <w:uiPriority w:val="99"/>
    <w:pPr>
      <w:snapToGrid w:val="0"/>
      <w:spacing w:afterLines="50" w:line="360" w:lineRule="auto"/>
      <w:ind w:firstLine="200" w:firstLineChars="200"/>
      <w:jc w:val="left"/>
    </w:pPr>
    <w:rPr>
      <w:rFonts w:ascii="Arial" w:hAnsi="Arial" w:eastAsia="宋体" w:cs="Arial"/>
      <w:kern w:val="0"/>
      <w:sz w:val="18"/>
      <w:szCs w:val="18"/>
    </w:rPr>
  </w:style>
  <w:style w:type="paragraph" w:styleId="39">
    <w:name w:val="toc 6"/>
    <w:basedOn w:val="1"/>
    <w:next w:val="1"/>
    <w:semiHidden/>
    <w:unhideWhenUsed/>
    <w:qFormat/>
    <w:uiPriority w:val="99"/>
    <w:pPr>
      <w:spacing w:line="360" w:lineRule="auto"/>
      <w:ind w:left="1200" w:firstLine="200" w:firstLineChars="200"/>
      <w:jc w:val="left"/>
    </w:pPr>
    <w:rPr>
      <w:rFonts w:ascii="Calibri" w:hAnsi="Calibri" w:eastAsia="宋体" w:cs="Times New Roman"/>
      <w:sz w:val="20"/>
      <w:szCs w:val="20"/>
    </w:rPr>
  </w:style>
  <w:style w:type="paragraph" w:styleId="40">
    <w:name w:val="Body Text Indent 3"/>
    <w:basedOn w:val="1"/>
    <w:link w:val="89"/>
    <w:semiHidden/>
    <w:unhideWhenUsed/>
    <w:qFormat/>
    <w:uiPriority w:val="99"/>
    <w:pPr>
      <w:spacing w:after="120" w:line="400" w:lineRule="exact"/>
      <w:ind w:left="420" w:leftChars="200" w:firstLine="200" w:firstLineChars="200"/>
    </w:pPr>
    <w:rPr>
      <w:rFonts w:ascii="Times New Roman" w:hAnsi="Times New Roman" w:eastAsia="宋体" w:cs="Times New Roman"/>
      <w:sz w:val="16"/>
      <w:szCs w:val="16"/>
    </w:rPr>
  </w:style>
  <w:style w:type="paragraph" w:styleId="41">
    <w:name w:val="toc 9"/>
    <w:basedOn w:val="1"/>
    <w:next w:val="1"/>
    <w:semiHidden/>
    <w:unhideWhenUsed/>
    <w:qFormat/>
    <w:uiPriority w:val="99"/>
    <w:pPr>
      <w:tabs>
        <w:tab w:val="right" w:leader="dot" w:pos="9185"/>
      </w:tabs>
      <w:spacing w:line="420" w:lineRule="exact"/>
      <w:ind w:firstLine="422" w:firstLineChars="200"/>
      <w:jc w:val="left"/>
      <w:outlineLvl w:val="0"/>
    </w:pPr>
    <w:rPr>
      <w:rFonts w:ascii="Times New Roman" w:hAnsi="Times New Roman" w:eastAsia="宋体" w:cs="Times New Roman"/>
      <w:b/>
      <w:szCs w:val="24"/>
    </w:rPr>
  </w:style>
  <w:style w:type="paragraph" w:styleId="42">
    <w:name w:val="Body Text 2"/>
    <w:basedOn w:val="1"/>
    <w:link w:val="86"/>
    <w:semiHidden/>
    <w:unhideWhenUsed/>
    <w:qFormat/>
    <w:uiPriority w:val="99"/>
    <w:pPr>
      <w:spacing w:after="120" w:line="480" w:lineRule="auto"/>
      <w:ind w:firstLine="200" w:firstLineChars="200"/>
    </w:pPr>
    <w:rPr>
      <w:rFonts w:ascii="Times New Roman" w:hAnsi="Times New Roman" w:eastAsia="宋体" w:cs="Times New Roman"/>
      <w:szCs w:val="24"/>
    </w:rPr>
  </w:style>
  <w:style w:type="paragraph" w:styleId="43">
    <w:name w:val="HTML Preformatted"/>
    <w:basedOn w:val="1"/>
    <w:link w:val="71"/>
    <w:semiHidden/>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ind w:firstLine="200" w:firstLineChars="200"/>
      <w:jc w:val="left"/>
    </w:pPr>
    <w:rPr>
      <w:rFonts w:ascii="Arial" w:hAnsi="Arial" w:eastAsia="宋体" w:cs="Arial"/>
      <w:kern w:val="0"/>
      <w:sz w:val="20"/>
      <w:szCs w:val="20"/>
    </w:rPr>
  </w:style>
  <w:style w:type="paragraph" w:styleId="44">
    <w:name w:val="Normal (Web)"/>
    <w:basedOn w:val="1"/>
    <w:semiHidden/>
    <w:unhideWhenUsed/>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paragraph" w:styleId="45">
    <w:name w:val="index 1"/>
    <w:basedOn w:val="1"/>
    <w:next w:val="1"/>
    <w:semiHidden/>
    <w:unhideWhenUsed/>
    <w:qFormat/>
    <w:uiPriority w:val="99"/>
    <w:pPr>
      <w:spacing w:line="400" w:lineRule="exact"/>
      <w:ind w:firstLine="200" w:firstLineChars="200"/>
    </w:pPr>
    <w:rPr>
      <w:rFonts w:ascii="Times New Roman" w:hAnsi="Times New Roman" w:eastAsia="宋体" w:cs="Times New Roman"/>
      <w:szCs w:val="24"/>
    </w:rPr>
  </w:style>
  <w:style w:type="paragraph" w:styleId="46">
    <w:name w:val="Title"/>
    <w:basedOn w:val="1"/>
    <w:next w:val="1"/>
    <w:link w:val="81"/>
    <w:qFormat/>
    <w:uiPriority w:val="99"/>
    <w:pPr>
      <w:spacing w:line="300" w:lineRule="auto"/>
      <w:ind w:left="100" w:leftChars="100" w:right="100" w:rightChars="100" w:firstLine="200" w:firstLineChars="200"/>
      <w:jc w:val="left"/>
      <w:outlineLvl w:val="0"/>
    </w:pPr>
    <w:rPr>
      <w:rFonts w:ascii="Cambria" w:hAnsi="Cambria" w:eastAsia="方正小标宋_GBK" w:cs="Times New Roman"/>
      <w:b/>
      <w:bCs/>
      <w:kern w:val="0"/>
      <w:sz w:val="44"/>
      <w:szCs w:val="32"/>
    </w:rPr>
  </w:style>
  <w:style w:type="paragraph" w:styleId="47">
    <w:name w:val="annotation subject"/>
    <w:basedOn w:val="17"/>
    <w:next w:val="17"/>
    <w:link w:val="93"/>
    <w:semiHidden/>
    <w:unhideWhenUsed/>
    <w:qFormat/>
    <w:uiPriority w:val="99"/>
    <w:rPr>
      <w:b/>
      <w:bCs/>
    </w:rPr>
  </w:style>
  <w:style w:type="table" w:styleId="49">
    <w:name w:val="Table Grid"/>
    <w:basedOn w:val="48"/>
    <w:qFormat/>
    <w:uiPriority w:val="0"/>
    <w:rPr>
      <w:rFonts w:ascii="Times New Roman" w:hAnsi="Times New Roman" w:eastAsia="宋体" w:cs="Times New Roman"/>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0">
    <w:name w:val="Table Theme"/>
    <w:basedOn w:val="48"/>
    <w:semiHidden/>
    <w:unhideWhenUsed/>
    <w:qFormat/>
    <w:uiPriority w:val="0"/>
    <w:pPr>
      <w:widowControl w:val="0"/>
      <w:spacing w:line="400" w:lineRule="exact"/>
      <w:ind w:firstLine="200" w:firstLineChars="20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2">
    <w:name w:val="Strong"/>
    <w:basedOn w:val="51"/>
    <w:qFormat/>
    <w:uiPriority w:val="22"/>
    <w:rPr>
      <w:b/>
    </w:rPr>
  </w:style>
  <w:style w:type="character" w:styleId="53">
    <w:name w:val="endnote reference"/>
    <w:semiHidden/>
    <w:unhideWhenUsed/>
    <w:qFormat/>
    <w:uiPriority w:val="0"/>
    <w:rPr>
      <w:vertAlign w:val="superscript"/>
    </w:rPr>
  </w:style>
  <w:style w:type="character" w:styleId="54">
    <w:name w:val="FollowedHyperlink"/>
    <w:semiHidden/>
    <w:unhideWhenUsed/>
    <w:qFormat/>
    <w:uiPriority w:val="0"/>
    <w:rPr>
      <w:color w:val="800080"/>
      <w:u w:val="single"/>
    </w:rPr>
  </w:style>
  <w:style w:type="character" w:styleId="55">
    <w:name w:val="Emphasis"/>
    <w:qFormat/>
    <w:uiPriority w:val="0"/>
    <w:rPr>
      <w:color w:val="CC0033"/>
    </w:rPr>
  </w:style>
  <w:style w:type="character" w:styleId="56">
    <w:name w:val="Hyperlink"/>
    <w:unhideWhenUsed/>
    <w:qFormat/>
    <w:uiPriority w:val="99"/>
    <w:rPr>
      <w:color w:val="0000FF"/>
      <w:u w:val="single"/>
    </w:rPr>
  </w:style>
  <w:style w:type="character" w:styleId="57">
    <w:name w:val="annotation reference"/>
    <w:semiHidden/>
    <w:unhideWhenUsed/>
    <w:qFormat/>
    <w:uiPriority w:val="99"/>
    <w:rPr>
      <w:sz w:val="21"/>
      <w:szCs w:val="21"/>
    </w:rPr>
  </w:style>
  <w:style w:type="character" w:styleId="58">
    <w:name w:val="footnote reference"/>
    <w:semiHidden/>
    <w:unhideWhenUsed/>
    <w:qFormat/>
    <w:uiPriority w:val="0"/>
    <w:rPr>
      <w:vertAlign w:val="superscript"/>
    </w:rPr>
  </w:style>
  <w:style w:type="paragraph" w:customStyle="1" w:styleId="59">
    <w:name w:val="正文-公1"/>
    <w:basedOn w:val="1"/>
    <w:qFormat/>
    <w:uiPriority w:val="0"/>
    <w:pPr>
      <w:ind w:firstLine="200" w:firstLineChars="200"/>
      <w:jc w:val="left"/>
    </w:pPr>
    <w:rPr>
      <w:rFonts w:eastAsia="仿宋_GB2312"/>
    </w:rPr>
  </w:style>
  <w:style w:type="character" w:customStyle="1" w:styleId="60">
    <w:name w:val="页眉 字符"/>
    <w:basedOn w:val="51"/>
    <w:link w:val="33"/>
    <w:qFormat/>
    <w:uiPriority w:val="99"/>
    <w:rPr>
      <w:sz w:val="18"/>
      <w:szCs w:val="18"/>
    </w:rPr>
  </w:style>
  <w:style w:type="character" w:customStyle="1" w:styleId="61">
    <w:name w:val="页脚 字符"/>
    <w:basedOn w:val="51"/>
    <w:link w:val="32"/>
    <w:qFormat/>
    <w:uiPriority w:val="99"/>
    <w:rPr>
      <w:sz w:val="18"/>
      <w:szCs w:val="18"/>
    </w:rPr>
  </w:style>
  <w:style w:type="character" w:customStyle="1" w:styleId="62">
    <w:name w:val="标题 1 字符"/>
    <w:basedOn w:val="51"/>
    <w:link w:val="3"/>
    <w:qFormat/>
    <w:uiPriority w:val="9"/>
    <w:rPr>
      <w:rFonts w:ascii="Times New Roman" w:hAnsi="Times New Roman" w:eastAsia="仿宋_GB2312" w:cs="Times New Roman"/>
      <w:b/>
      <w:bCs/>
      <w:kern w:val="44"/>
      <w:sz w:val="44"/>
      <w:szCs w:val="44"/>
    </w:rPr>
  </w:style>
  <w:style w:type="character" w:customStyle="1" w:styleId="63">
    <w:name w:val="标题 2 字符"/>
    <w:basedOn w:val="51"/>
    <w:link w:val="2"/>
    <w:semiHidden/>
    <w:qFormat/>
    <w:uiPriority w:val="0"/>
    <w:rPr>
      <w:rFonts w:ascii="Arial" w:hAnsi="Arial" w:eastAsia="黑体" w:cs="Times New Roman"/>
      <w:b/>
      <w:bCs/>
      <w:sz w:val="32"/>
      <w:szCs w:val="32"/>
    </w:rPr>
  </w:style>
  <w:style w:type="character" w:customStyle="1" w:styleId="64">
    <w:name w:val="标题 3 字符"/>
    <w:basedOn w:val="51"/>
    <w:link w:val="4"/>
    <w:semiHidden/>
    <w:qFormat/>
    <w:uiPriority w:val="0"/>
    <w:rPr>
      <w:rFonts w:ascii="宋体" w:hAnsi="Courier New" w:eastAsia="宋体" w:cs="宋体"/>
      <w:b/>
      <w:bCs/>
      <w:sz w:val="32"/>
      <w:szCs w:val="32"/>
    </w:rPr>
  </w:style>
  <w:style w:type="character" w:customStyle="1" w:styleId="65">
    <w:name w:val="标题 4 字符"/>
    <w:basedOn w:val="51"/>
    <w:link w:val="5"/>
    <w:semiHidden/>
    <w:qFormat/>
    <w:uiPriority w:val="0"/>
    <w:rPr>
      <w:rFonts w:ascii="Arial" w:hAnsi="Arial" w:eastAsia="黑体" w:cs="Times New Roman"/>
      <w:b/>
      <w:bCs/>
      <w:sz w:val="28"/>
      <w:szCs w:val="28"/>
    </w:rPr>
  </w:style>
  <w:style w:type="character" w:customStyle="1" w:styleId="66">
    <w:name w:val="标题 5 字符"/>
    <w:basedOn w:val="51"/>
    <w:link w:val="6"/>
    <w:semiHidden/>
    <w:qFormat/>
    <w:uiPriority w:val="0"/>
    <w:rPr>
      <w:rFonts w:ascii="Times New Roman" w:hAnsi="Times New Roman" w:eastAsia="宋体" w:cs="Times New Roman"/>
      <w:b/>
      <w:sz w:val="28"/>
      <w:szCs w:val="24"/>
    </w:rPr>
  </w:style>
  <w:style w:type="character" w:customStyle="1" w:styleId="67">
    <w:name w:val="标题 6 字符"/>
    <w:basedOn w:val="51"/>
    <w:link w:val="8"/>
    <w:semiHidden/>
    <w:qFormat/>
    <w:uiPriority w:val="0"/>
    <w:rPr>
      <w:rFonts w:ascii="Arial" w:hAnsi="Arial" w:eastAsia="黑体" w:cs="Times New Roman"/>
      <w:b/>
      <w:sz w:val="24"/>
      <w:szCs w:val="24"/>
    </w:rPr>
  </w:style>
  <w:style w:type="character" w:customStyle="1" w:styleId="68">
    <w:name w:val="标题 7 字符"/>
    <w:basedOn w:val="51"/>
    <w:link w:val="9"/>
    <w:semiHidden/>
    <w:qFormat/>
    <w:uiPriority w:val="99"/>
    <w:rPr>
      <w:rFonts w:ascii="Times New Roman" w:hAnsi="Times New Roman" w:eastAsia="宋体" w:cs="Times New Roman"/>
      <w:b/>
      <w:sz w:val="24"/>
      <w:szCs w:val="24"/>
    </w:rPr>
  </w:style>
  <w:style w:type="character" w:customStyle="1" w:styleId="69">
    <w:name w:val="标题 8 字符"/>
    <w:basedOn w:val="51"/>
    <w:link w:val="10"/>
    <w:semiHidden/>
    <w:qFormat/>
    <w:uiPriority w:val="99"/>
    <w:rPr>
      <w:rFonts w:ascii="Arial" w:hAnsi="Arial" w:eastAsia="黑体" w:cs="Times New Roman"/>
      <w:sz w:val="24"/>
      <w:szCs w:val="24"/>
    </w:rPr>
  </w:style>
  <w:style w:type="character" w:customStyle="1" w:styleId="70">
    <w:name w:val="标题 9 字符"/>
    <w:basedOn w:val="51"/>
    <w:link w:val="11"/>
    <w:semiHidden/>
    <w:qFormat/>
    <w:uiPriority w:val="99"/>
    <w:rPr>
      <w:rFonts w:ascii="Arial" w:hAnsi="Arial" w:eastAsia="黑体" w:cs="Times New Roman"/>
      <w:szCs w:val="24"/>
    </w:rPr>
  </w:style>
  <w:style w:type="character" w:customStyle="1" w:styleId="71">
    <w:name w:val="HTML 预设格式 字符"/>
    <w:basedOn w:val="51"/>
    <w:link w:val="43"/>
    <w:semiHidden/>
    <w:qFormat/>
    <w:uiPriority w:val="0"/>
    <w:rPr>
      <w:rFonts w:ascii="Arial" w:hAnsi="Arial" w:eastAsia="宋体" w:cs="Arial"/>
      <w:kern w:val="0"/>
      <w:sz w:val="20"/>
      <w:szCs w:val="20"/>
    </w:rPr>
  </w:style>
  <w:style w:type="paragraph" w:customStyle="1" w:styleId="72">
    <w:name w:val="msonormal"/>
    <w:basedOn w:val="1"/>
    <w:qFormat/>
    <w:uiPriority w:val="99"/>
    <w:pPr>
      <w:widowControl/>
      <w:spacing w:before="100" w:beforeAutospacing="1" w:after="100" w:afterAutospacing="1" w:line="400" w:lineRule="exact"/>
      <w:ind w:firstLine="200" w:firstLineChars="200"/>
      <w:jc w:val="left"/>
    </w:pPr>
    <w:rPr>
      <w:rFonts w:ascii="宋体" w:hAnsi="宋体" w:eastAsia="宋体" w:cs="Times New Roman"/>
      <w:kern w:val="0"/>
      <w:sz w:val="24"/>
      <w:szCs w:val="24"/>
    </w:rPr>
  </w:style>
  <w:style w:type="character" w:customStyle="1" w:styleId="73">
    <w:name w:val="TOC 1 字符"/>
    <w:link w:val="34"/>
    <w:semiHidden/>
    <w:qFormat/>
    <w:locked/>
    <w:uiPriority w:val="0"/>
    <w:rPr>
      <w:szCs w:val="24"/>
    </w:rPr>
  </w:style>
  <w:style w:type="paragraph" w:customStyle="1" w:styleId="74">
    <w:name w:val="TOC 11"/>
    <w:basedOn w:val="1"/>
    <w:next w:val="1"/>
    <w:semiHidden/>
    <w:unhideWhenUsed/>
    <w:qFormat/>
    <w:uiPriority w:val="0"/>
    <w:pPr>
      <w:spacing w:line="400" w:lineRule="exact"/>
      <w:ind w:firstLine="200" w:firstLineChars="200"/>
    </w:pPr>
    <w:rPr>
      <w:szCs w:val="24"/>
    </w:rPr>
  </w:style>
  <w:style w:type="character" w:customStyle="1" w:styleId="75">
    <w:name w:val="正文缩进 字符"/>
    <w:link w:val="7"/>
    <w:semiHidden/>
    <w:qFormat/>
    <w:locked/>
    <w:uiPriority w:val="99"/>
    <w:rPr>
      <w:rFonts w:ascii="Times New Roman" w:hAnsi="Times New Roman" w:eastAsia="宋体" w:cs="Times New Roman"/>
      <w:szCs w:val="20"/>
    </w:rPr>
  </w:style>
  <w:style w:type="character" w:customStyle="1" w:styleId="76">
    <w:name w:val="脚注文本 字符"/>
    <w:basedOn w:val="51"/>
    <w:link w:val="38"/>
    <w:semiHidden/>
    <w:qFormat/>
    <w:uiPriority w:val="99"/>
    <w:rPr>
      <w:rFonts w:ascii="Arial" w:hAnsi="Arial" w:eastAsia="宋体" w:cs="Arial"/>
      <w:kern w:val="0"/>
      <w:sz w:val="18"/>
      <w:szCs w:val="18"/>
    </w:rPr>
  </w:style>
  <w:style w:type="character" w:customStyle="1" w:styleId="77">
    <w:name w:val="批注文字 字符"/>
    <w:basedOn w:val="51"/>
    <w:link w:val="17"/>
    <w:semiHidden/>
    <w:qFormat/>
    <w:uiPriority w:val="99"/>
    <w:rPr>
      <w:rFonts w:ascii="Times New Roman" w:hAnsi="Times New Roman" w:eastAsia="宋体" w:cs="Times New Roman"/>
      <w:szCs w:val="24"/>
    </w:rPr>
  </w:style>
  <w:style w:type="character" w:customStyle="1" w:styleId="78">
    <w:name w:val="尾注文本 字符"/>
    <w:basedOn w:val="51"/>
    <w:link w:val="30"/>
    <w:semiHidden/>
    <w:qFormat/>
    <w:uiPriority w:val="99"/>
    <w:rPr>
      <w:rFonts w:ascii="微软雅黑" w:hAnsi="微软雅黑" w:eastAsia="微软雅黑" w:cs="Times New Roman"/>
      <w:kern w:val="0"/>
      <w:sz w:val="20"/>
      <w:szCs w:val="20"/>
    </w:rPr>
  </w:style>
  <w:style w:type="character" w:customStyle="1" w:styleId="79">
    <w:name w:val="引文目录 字符"/>
    <w:link w:val="13"/>
    <w:semiHidden/>
    <w:qFormat/>
    <w:locked/>
    <w:uiPriority w:val="0"/>
    <w:rPr>
      <w:szCs w:val="24"/>
    </w:rPr>
  </w:style>
  <w:style w:type="paragraph" w:customStyle="1" w:styleId="80">
    <w:name w:val="引文目录1"/>
    <w:basedOn w:val="1"/>
    <w:next w:val="1"/>
    <w:semiHidden/>
    <w:unhideWhenUsed/>
    <w:qFormat/>
    <w:uiPriority w:val="0"/>
    <w:pPr>
      <w:spacing w:line="400" w:lineRule="exact"/>
      <w:ind w:left="420" w:leftChars="200" w:firstLine="200" w:firstLineChars="200"/>
    </w:pPr>
    <w:rPr>
      <w:szCs w:val="24"/>
    </w:rPr>
  </w:style>
  <w:style w:type="character" w:customStyle="1" w:styleId="81">
    <w:name w:val="标题 字符"/>
    <w:basedOn w:val="51"/>
    <w:link w:val="46"/>
    <w:qFormat/>
    <w:uiPriority w:val="99"/>
    <w:rPr>
      <w:rFonts w:ascii="Cambria" w:hAnsi="Cambria" w:eastAsia="方正小标宋_GBK" w:cs="Times New Roman"/>
      <w:b/>
      <w:bCs/>
      <w:kern w:val="0"/>
      <w:sz w:val="44"/>
      <w:szCs w:val="32"/>
    </w:rPr>
  </w:style>
  <w:style w:type="character" w:customStyle="1" w:styleId="82">
    <w:name w:val="正文文本 字符"/>
    <w:basedOn w:val="51"/>
    <w:link w:val="19"/>
    <w:semiHidden/>
    <w:qFormat/>
    <w:uiPriority w:val="99"/>
    <w:rPr>
      <w:rFonts w:ascii="Times New Roman" w:hAnsi="Times New Roman" w:eastAsia="宋体" w:cs="Times New Roman"/>
      <w:sz w:val="24"/>
      <w:szCs w:val="24"/>
    </w:rPr>
  </w:style>
  <w:style w:type="character" w:customStyle="1" w:styleId="83">
    <w:name w:val="正文文本缩进 字符"/>
    <w:basedOn w:val="51"/>
    <w:link w:val="21"/>
    <w:semiHidden/>
    <w:qFormat/>
    <w:uiPriority w:val="99"/>
    <w:rPr>
      <w:rFonts w:ascii="仿宋_GB2312" w:hAnsi="Times New Roman" w:eastAsia="仿宋_GB2312" w:cs="Times New Roman"/>
      <w:sz w:val="32"/>
      <w:szCs w:val="20"/>
    </w:rPr>
  </w:style>
  <w:style w:type="character" w:customStyle="1" w:styleId="84">
    <w:name w:val="副标题 字符"/>
    <w:basedOn w:val="51"/>
    <w:link w:val="36"/>
    <w:qFormat/>
    <w:uiPriority w:val="99"/>
    <w:rPr>
      <w:rFonts w:ascii="Cambria" w:hAnsi="Cambria" w:eastAsia="宋体" w:cs="Times New Roman"/>
      <w:i/>
      <w:iCs/>
      <w:color w:val="4F81BD"/>
      <w:spacing w:val="15"/>
      <w:kern w:val="0"/>
      <w:sz w:val="20"/>
      <w:szCs w:val="20"/>
    </w:rPr>
  </w:style>
  <w:style w:type="character" w:customStyle="1" w:styleId="85">
    <w:name w:val="日期 字符"/>
    <w:basedOn w:val="51"/>
    <w:link w:val="28"/>
    <w:semiHidden/>
    <w:qFormat/>
    <w:uiPriority w:val="99"/>
    <w:rPr>
      <w:rFonts w:ascii="宋体" w:hAnsi="Courier New" w:eastAsia="宋体" w:cs="Courier New"/>
      <w:szCs w:val="21"/>
    </w:rPr>
  </w:style>
  <w:style w:type="character" w:customStyle="1" w:styleId="86">
    <w:name w:val="正文文本 2 字符"/>
    <w:basedOn w:val="51"/>
    <w:link w:val="42"/>
    <w:semiHidden/>
    <w:qFormat/>
    <w:uiPriority w:val="99"/>
    <w:rPr>
      <w:rFonts w:ascii="Times New Roman" w:hAnsi="Times New Roman" w:eastAsia="宋体" w:cs="Times New Roman"/>
      <w:szCs w:val="24"/>
    </w:rPr>
  </w:style>
  <w:style w:type="character" w:customStyle="1" w:styleId="87">
    <w:name w:val="正文文本 3 字符"/>
    <w:basedOn w:val="51"/>
    <w:link w:val="18"/>
    <w:semiHidden/>
    <w:qFormat/>
    <w:uiPriority w:val="99"/>
    <w:rPr>
      <w:rFonts w:ascii="Times New Roman" w:hAnsi="Times New Roman" w:eastAsia="宋体" w:cs="Times New Roman"/>
      <w:b/>
      <w:bCs/>
      <w:sz w:val="24"/>
      <w:szCs w:val="24"/>
    </w:rPr>
  </w:style>
  <w:style w:type="character" w:customStyle="1" w:styleId="88">
    <w:name w:val="正文文本缩进 2 字符"/>
    <w:basedOn w:val="51"/>
    <w:link w:val="29"/>
    <w:semiHidden/>
    <w:qFormat/>
    <w:uiPriority w:val="99"/>
    <w:rPr>
      <w:rFonts w:ascii="Times New Roman" w:hAnsi="Times New Roman" w:eastAsia="宋体" w:cs="Times New Roman"/>
      <w:sz w:val="32"/>
      <w:szCs w:val="20"/>
    </w:rPr>
  </w:style>
  <w:style w:type="character" w:customStyle="1" w:styleId="89">
    <w:name w:val="正文文本缩进 3 字符"/>
    <w:basedOn w:val="51"/>
    <w:link w:val="40"/>
    <w:semiHidden/>
    <w:qFormat/>
    <w:uiPriority w:val="99"/>
    <w:rPr>
      <w:rFonts w:ascii="Times New Roman" w:hAnsi="Times New Roman" w:eastAsia="宋体" w:cs="Times New Roman"/>
      <w:sz w:val="16"/>
      <w:szCs w:val="16"/>
    </w:rPr>
  </w:style>
  <w:style w:type="character" w:customStyle="1" w:styleId="90">
    <w:name w:val="文档结构图 字符"/>
    <w:basedOn w:val="51"/>
    <w:link w:val="16"/>
    <w:semiHidden/>
    <w:qFormat/>
    <w:uiPriority w:val="99"/>
    <w:rPr>
      <w:rFonts w:ascii="Times New Roman" w:hAnsi="Times New Roman" w:eastAsia="宋体" w:cs="Times New Roman"/>
      <w:szCs w:val="24"/>
      <w:shd w:val="clear" w:color="auto" w:fill="000080"/>
    </w:rPr>
  </w:style>
  <w:style w:type="character" w:customStyle="1" w:styleId="91">
    <w:name w:val="纯文本 字符1"/>
    <w:link w:val="26"/>
    <w:semiHidden/>
    <w:qFormat/>
    <w:locked/>
    <w:uiPriority w:val="0"/>
    <w:rPr>
      <w:rFonts w:ascii="宋体" w:hAnsi="Courier New" w:eastAsia="宋体" w:cs="Courier New"/>
      <w:szCs w:val="21"/>
    </w:rPr>
  </w:style>
  <w:style w:type="character" w:customStyle="1" w:styleId="92">
    <w:name w:val="纯文本 字符"/>
    <w:basedOn w:val="51"/>
    <w:semiHidden/>
    <w:qFormat/>
    <w:uiPriority w:val="0"/>
    <w:rPr>
      <w:rFonts w:hAnsi="Courier New" w:cs="Courier New" w:asciiTheme="minorEastAsia"/>
    </w:rPr>
  </w:style>
  <w:style w:type="character" w:customStyle="1" w:styleId="93">
    <w:name w:val="批注主题 字符"/>
    <w:basedOn w:val="77"/>
    <w:link w:val="47"/>
    <w:semiHidden/>
    <w:qFormat/>
    <w:uiPriority w:val="99"/>
    <w:rPr>
      <w:rFonts w:ascii="Times New Roman" w:hAnsi="Times New Roman" w:eastAsia="宋体" w:cs="Times New Roman"/>
      <w:b/>
      <w:bCs/>
      <w:szCs w:val="24"/>
    </w:rPr>
  </w:style>
  <w:style w:type="character" w:customStyle="1" w:styleId="94">
    <w:name w:val="批注框文本 字符"/>
    <w:basedOn w:val="51"/>
    <w:link w:val="31"/>
    <w:semiHidden/>
    <w:qFormat/>
    <w:uiPriority w:val="99"/>
    <w:rPr>
      <w:rFonts w:ascii="Times New Roman" w:hAnsi="Times New Roman" w:eastAsia="宋体" w:cs="Times New Roman"/>
      <w:sz w:val="18"/>
      <w:szCs w:val="18"/>
    </w:rPr>
  </w:style>
  <w:style w:type="character" w:customStyle="1" w:styleId="95">
    <w:name w:val="列表段落 字符"/>
    <w:link w:val="96"/>
    <w:qFormat/>
    <w:locked/>
    <w:uiPriority w:val="0"/>
    <w:rPr>
      <w:szCs w:val="24"/>
    </w:rPr>
  </w:style>
  <w:style w:type="paragraph" w:styleId="96">
    <w:name w:val="List Paragraph"/>
    <w:basedOn w:val="1"/>
    <w:link w:val="95"/>
    <w:qFormat/>
    <w:uiPriority w:val="0"/>
    <w:pPr>
      <w:ind w:firstLine="420" w:firstLineChars="200"/>
    </w:pPr>
    <w:rPr>
      <w:szCs w:val="24"/>
    </w:rPr>
  </w:style>
  <w:style w:type="paragraph" w:customStyle="1" w:styleId="97">
    <w:name w:val="列表段落1"/>
    <w:basedOn w:val="1"/>
    <w:next w:val="96"/>
    <w:qFormat/>
    <w:uiPriority w:val="0"/>
    <w:pPr>
      <w:spacing w:line="400" w:lineRule="exact"/>
      <w:ind w:firstLine="420" w:firstLineChars="200"/>
    </w:pPr>
    <w:rPr>
      <w:szCs w:val="24"/>
    </w:rPr>
  </w:style>
  <w:style w:type="character" w:customStyle="1" w:styleId="98">
    <w:name w:val="GTA标题5 Char"/>
    <w:link w:val="99"/>
    <w:qFormat/>
    <w:locked/>
    <w:uiPriority w:val="0"/>
    <w:rPr>
      <w:rFonts w:ascii="Arial" w:hAnsi="Arial" w:eastAsia="楷体_GB2312" w:cs="Arial"/>
      <w:b/>
      <w:bCs/>
      <w:szCs w:val="21"/>
    </w:rPr>
  </w:style>
  <w:style w:type="paragraph" w:customStyle="1" w:styleId="99">
    <w:name w:val="GTA标题5"/>
    <w:basedOn w:val="6"/>
    <w:link w:val="98"/>
    <w:qFormat/>
    <w:uiPriority w:val="0"/>
    <w:pPr>
      <w:tabs>
        <w:tab w:val="left" w:pos="360"/>
      </w:tabs>
      <w:spacing w:before="0" w:beforeLines="75" w:after="0" w:afterLines="50" w:line="360" w:lineRule="auto"/>
      <w:ind w:left="360" w:hanging="360"/>
    </w:pPr>
    <w:rPr>
      <w:rFonts w:ascii="Arial" w:hAnsi="Arial" w:eastAsia="楷体_GB2312" w:cs="Arial"/>
      <w:bCs/>
      <w:sz w:val="21"/>
      <w:szCs w:val="21"/>
    </w:rPr>
  </w:style>
  <w:style w:type="character" w:customStyle="1" w:styleId="100">
    <w:name w:val="GTA标题2 Char Char"/>
    <w:link w:val="101"/>
    <w:qFormat/>
    <w:locked/>
    <w:uiPriority w:val="0"/>
    <w:rPr>
      <w:rFonts w:ascii="Arial" w:hAnsi="Arial" w:eastAsia="黑体" w:cs="Arial"/>
      <w:b/>
      <w:bCs/>
      <w:color w:val="000000"/>
      <w:sz w:val="30"/>
      <w:szCs w:val="30"/>
    </w:rPr>
  </w:style>
  <w:style w:type="paragraph" w:customStyle="1" w:styleId="101">
    <w:name w:val="GTA标题2"/>
    <w:basedOn w:val="2"/>
    <w:link w:val="100"/>
    <w:qFormat/>
    <w:uiPriority w:val="0"/>
    <w:pPr>
      <w:tabs>
        <w:tab w:val="left" w:pos="840"/>
      </w:tabs>
      <w:adjustRightInd w:val="0"/>
      <w:snapToGrid w:val="0"/>
      <w:spacing w:before="0" w:beforeLines="175" w:after="0" w:afterLines="150" w:line="420" w:lineRule="auto"/>
      <w:ind w:left="840"/>
    </w:pPr>
    <w:rPr>
      <w:rFonts w:cs="Arial"/>
      <w:color w:val="000000"/>
      <w:sz w:val="30"/>
      <w:szCs w:val="30"/>
    </w:rPr>
  </w:style>
  <w:style w:type="character" w:customStyle="1" w:styleId="102">
    <w:name w:val="GTA正文-1 Char"/>
    <w:link w:val="103"/>
    <w:qFormat/>
    <w:locked/>
    <w:uiPriority w:val="0"/>
    <w:rPr>
      <w:rFonts w:ascii="Arial" w:hAnsi="Arial" w:cs="Arial"/>
    </w:rPr>
  </w:style>
  <w:style w:type="paragraph" w:customStyle="1" w:styleId="103">
    <w:name w:val="GTA正文-1"/>
    <w:basedOn w:val="1"/>
    <w:link w:val="102"/>
    <w:qFormat/>
    <w:uiPriority w:val="0"/>
    <w:pPr>
      <w:spacing w:beforeLines="50" w:afterLines="50" w:line="480" w:lineRule="exact"/>
      <w:ind w:firstLine="200" w:firstLineChars="200"/>
    </w:pPr>
    <w:rPr>
      <w:rFonts w:ascii="Arial" w:hAnsi="Arial" w:cs="Arial"/>
    </w:rPr>
  </w:style>
  <w:style w:type="character" w:customStyle="1" w:styleId="104">
    <w:name w:val="GTA标题1 Char"/>
    <w:link w:val="105"/>
    <w:qFormat/>
    <w:locked/>
    <w:uiPriority w:val="0"/>
    <w:rPr>
      <w:rFonts w:ascii="Arial" w:hAnsi="Arial" w:eastAsia="黑体" w:cs="Arial"/>
      <w:bCs/>
      <w:kern w:val="44"/>
      <w:sz w:val="44"/>
      <w:szCs w:val="44"/>
    </w:rPr>
  </w:style>
  <w:style w:type="paragraph" w:customStyle="1" w:styleId="105">
    <w:name w:val="GTA标题1"/>
    <w:basedOn w:val="3"/>
    <w:link w:val="104"/>
    <w:qFormat/>
    <w:uiPriority w:val="0"/>
    <w:pPr>
      <w:tabs>
        <w:tab w:val="left" w:pos="360"/>
      </w:tabs>
      <w:spacing w:before="0" w:beforeLines="200" w:after="0" w:afterLines="150" w:line="480" w:lineRule="auto"/>
      <w:ind w:left="360" w:hanging="360"/>
      <w:jc w:val="both"/>
    </w:pPr>
    <w:rPr>
      <w:rFonts w:ascii="Arial" w:hAnsi="Arial" w:eastAsia="黑体" w:cs="Arial"/>
      <w:b w:val="0"/>
    </w:rPr>
  </w:style>
  <w:style w:type="character" w:customStyle="1" w:styleId="106">
    <w:name w:val="GTA标题3 Char Char"/>
    <w:link w:val="107"/>
    <w:qFormat/>
    <w:locked/>
    <w:uiPriority w:val="0"/>
    <w:rPr>
      <w:rFonts w:ascii="Arial" w:hAnsi="Arial" w:eastAsia="黑体" w:cs="Arial"/>
      <w:b/>
      <w:bCs/>
      <w:color w:val="000000"/>
      <w:lang w:val="zh-CN"/>
    </w:rPr>
  </w:style>
  <w:style w:type="paragraph" w:customStyle="1" w:styleId="107">
    <w:name w:val="GTA标题3"/>
    <w:basedOn w:val="4"/>
    <w:link w:val="106"/>
    <w:qFormat/>
    <w:uiPriority w:val="0"/>
    <w:pPr>
      <w:tabs>
        <w:tab w:val="left" w:pos="1260"/>
      </w:tabs>
      <w:adjustRightInd w:val="0"/>
      <w:snapToGrid w:val="0"/>
      <w:spacing w:before="0" w:beforeLines="150" w:after="0" w:afterLines="125" w:line="360" w:lineRule="auto"/>
      <w:ind w:left="1260" w:hanging="420"/>
    </w:pPr>
    <w:rPr>
      <w:rFonts w:ascii="Arial" w:hAnsi="Arial" w:eastAsia="黑体" w:cs="Arial"/>
      <w:color w:val="000000"/>
      <w:sz w:val="21"/>
      <w:szCs w:val="22"/>
      <w:lang w:val="zh-CN"/>
    </w:rPr>
  </w:style>
  <w:style w:type="character" w:customStyle="1" w:styleId="108">
    <w:name w:val="图注1 Char"/>
    <w:link w:val="109"/>
    <w:qFormat/>
    <w:locked/>
    <w:uiPriority w:val="0"/>
    <w:rPr>
      <w:rFonts w:ascii="Cambria" w:hAnsi="Cambria"/>
    </w:rPr>
  </w:style>
  <w:style w:type="paragraph" w:customStyle="1" w:styleId="109">
    <w:name w:val="图注1"/>
    <w:basedOn w:val="1"/>
    <w:link w:val="108"/>
    <w:qFormat/>
    <w:uiPriority w:val="0"/>
    <w:pPr>
      <w:tabs>
        <w:tab w:val="left" w:pos="1140"/>
      </w:tabs>
      <w:spacing w:afterLines="20" w:line="300" w:lineRule="auto"/>
      <w:ind w:left="1140" w:hanging="360" w:firstLineChars="200"/>
      <w:jc w:val="center"/>
    </w:pPr>
    <w:rPr>
      <w:rFonts w:ascii="Cambria" w:hAnsi="Cambria"/>
    </w:rPr>
  </w:style>
  <w:style w:type="character" w:customStyle="1" w:styleId="110">
    <w:name w:val="GTA标题4 Char Char"/>
    <w:link w:val="111"/>
    <w:qFormat/>
    <w:locked/>
    <w:uiPriority w:val="0"/>
    <w:rPr>
      <w:rFonts w:ascii="Arial" w:hAnsi="Arial" w:eastAsia="仿宋_GB2312" w:cs="Arial"/>
      <w:b/>
      <w:bCs/>
      <w:color w:val="0070C0"/>
    </w:rPr>
  </w:style>
  <w:style w:type="paragraph" w:customStyle="1" w:styleId="111">
    <w:name w:val="GTA标题4"/>
    <w:basedOn w:val="5"/>
    <w:link w:val="110"/>
    <w:qFormat/>
    <w:uiPriority w:val="0"/>
    <w:pPr>
      <w:tabs>
        <w:tab w:val="left" w:pos="1680"/>
      </w:tabs>
      <w:adjustRightInd w:val="0"/>
      <w:snapToGrid w:val="0"/>
      <w:spacing w:before="0" w:beforeLines="100" w:after="0" w:afterLines="75" w:line="360" w:lineRule="auto"/>
      <w:ind w:left="1680"/>
    </w:pPr>
    <w:rPr>
      <w:rFonts w:eastAsia="仿宋_GB2312" w:cs="Arial"/>
      <w:color w:val="0070C0"/>
      <w:sz w:val="21"/>
      <w:szCs w:val="22"/>
    </w:rPr>
  </w:style>
  <w:style w:type="character" w:customStyle="1" w:styleId="112">
    <w:name w:val="无间隔字符"/>
    <w:link w:val="113"/>
    <w:qFormat/>
    <w:locked/>
    <w:uiPriority w:val="99"/>
    <w:rPr>
      <w:rFonts w:ascii="Cambria" w:hAnsi="Cambria"/>
    </w:rPr>
  </w:style>
  <w:style w:type="paragraph" w:customStyle="1" w:styleId="113">
    <w:name w:val="无间隔1"/>
    <w:link w:val="112"/>
    <w:qFormat/>
    <w:uiPriority w:val="99"/>
    <w:pPr>
      <w:widowControl w:val="0"/>
      <w:spacing w:line="400" w:lineRule="exact"/>
      <w:ind w:firstLine="200" w:firstLineChars="200"/>
      <w:jc w:val="both"/>
    </w:pPr>
    <w:rPr>
      <w:rFonts w:ascii="Cambria" w:hAnsi="Cambria" w:eastAsiaTheme="minorEastAsia" w:cstheme="minorBidi"/>
      <w:kern w:val="2"/>
      <w:sz w:val="21"/>
      <w:szCs w:val="22"/>
      <w:lang w:val="en-US" w:eastAsia="zh-CN" w:bidi="ar-SA"/>
    </w:rPr>
  </w:style>
  <w:style w:type="character" w:customStyle="1" w:styleId="114">
    <w:name w:val="GTA正文-2 Char"/>
    <w:link w:val="115"/>
    <w:qFormat/>
    <w:locked/>
    <w:uiPriority w:val="0"/>
    <w:rPr>
      <w:rFonts w:ascii="Arial" w:hAnsi="Arial" w:eastAsia="华文细黑" w:cs="Arial"/>
    </w:rPr>
  </w:style>
  <w:style w:type="paragraph" w:customStyle="1" w:styleId="115">
    <w:name w:val="GTA正文-2"/>
    <w:basedOn w:val="103"/>
    <w:link w:val="114"/>
    <w:qFormat/>
    <w:uiPriority w:val="0"/>
    <w:pPr>
      <w:snapToGrid w:val="0"/>
      <w:spacing w:line="360" w:lineRule="auto"/>
      <w:ind w:firstLine="480"/>
    </w:pPr>
    <w:rPr>
      <w:rFonts w:eastAsia="华文细黑"/>
    </w:rPr>
  </w:style>
  <w:style w:type="character" w:customStyle="1" w:styleId="116">
    <w:name w:val="03 Char"/>
    <w:link w:val="117"/>
    <w:qFormat/>
    <w:locked/>
    <w:uiPriority w:val="0"/>
    <w:rPr>
      <w:rFonts w:ascii="仿宋_GB2312" w:eastAsia="仿宋_GB2312"/>
      <w:b/>
      <w:sz w:val="28"/>
    </w:rPr>
  </w:style>
  <w:style w:type="paragraph" w:customStyle="1" w:styleId="117">
    <w:name w:val="03"/>
    <w:basedOn w:val="1"/>
    <w:link w:val="116"/>
    <w:qFormat/>
    <w:uiPriority w:val="0"/>
    <w:pPr>
      <w:adjustRightInd w:val="0"/>
      <w:snapToGrid w:val="0"/>
      <w:spacing w:line="440" w:lineRule="exact"/>
      <w:ind w:firstLine="424" w:firstLineChars="151"/>
    </w:pPr>
    <w:rPr>
      <w:rFonts w:ascii="仿宋_GB2312" w:eastAsia="仿宋_GB2312"/>
      <w:b/>
      <w:sz w:val="28"/>
    </w:rPr>
  </w:style>
  <w:style w:type="character" w:customStyle="1" w:styleId="118">
    <w:name w:val="1ji Char"/>
    <w:link w:val="119"/>
    <w:qFormat/>
    <w:locked/>
    <w:uiPriority w:val="0"/>
    <w:rPr>
      <w:rFonts w:ascii="宋体" w:hAnsi="宋体" w:eastAsia="仿宋_GB2312"/>
      <w:b/>
      <w:bCs/>
      <w:kern w:val="44"/>
      <w:sz w:val="36"/>
      <w:szCs w:val="44"/>
    </w:rPr>
  </w:style>
  <w:style w:type="paragraph" w:customStyle="1" w:styleId="119">
    <w:name w:val="1ji"/>
    <w:basedOn w:val="3"/>
    <w:link w:val="118"/>
    <w:qFormat/>
    <w:uiPriority w:val="0"/>
    <w:pPr>
      <w:keepLines w:val="0"/>
      <w:widowControl/>
      <w:spacing w:before="0" w:after="0" w:line="240" w:lineRule="auto"/>
    </w:pPr>
    <w:rPr>
      <w:rFonts w:ascii="宋体" w:hAnsi="宋体" w:cstheme="minorBidi"/>
      <w:sz w:val="36"/>
    </w:rPr>
  </w:style>
  <w:style w:type="character" w:customStyle="1" w:styleId="120">
    <w:name w:val="浅色网格 - 强调文字颜色 3 Char"/>
    <w:link w:val="121"/>
    <w:qFormat/>
    <w:locked/>
    <w:uiPriority w:val="0"/>
    <w:rPr>
      <w:rFonts w:ascii="Calibri" w:hAnsi="Calibri" w:cs="Calibri"/>
    </w:rPr>
  </w:style>
  <w:style w:type="paragraph" w:customStyle="1" w:styleId="121">
    <w:name w:val="浅色网格 - 强调文字颜色 31"/>
    <w:basedOn w:val="1"/>
    <w:link w:val="120"/>
    <w:qFormat/>
    <w:uiPriority w:val="0"/>
    <w:pPr>
      <w:spacing w:line="400" w:lineRule="exact"/>
      <w:ind w:firstLine="420" w:firstLineChars="200"/>
    </w:pPr>
    <w:rPr>
      <w:rFonts w:ascii="Calibri" w:hAnsi="Calibri" w:cs="Calibri"/>
    </w:rPr>
  </w:style>
  <w:style w:type="character" w:customStyle="1" w:styleId="122">
    <w:name w:val="List Paragraph Char"/>
    <w:link w:val="123"/>
    <w:qFormat/>
    <w:locked/>
    <w:uiPriority w:val="0"/>
    <w:rPr>
      <w:rFonts w:ascii="Calibri" w:hAnsi="Calibri" w:cs="Calibri"/>
    </w:rPr>
  </w:style>
  <w:style w:type="paragraph" w:customStyle="1" w:styleId="123">
    <w:name w:val="列出段落1"/>
    <w:basedOn w:val="1"/>
    <w:link w:val="122"/>
    <w:qFormat/>
    <w:uiPriority w:val="0"/>
    <w:pPr>
      <w:spacing w:line="400" w:lineRule="exact"/>
      <w:ind w:firstLine="420" w:firstLineChars="200"/>
    </w:pPr>
    <w:rPr>
      <w:rFonts w:ascii="Calibri" w:hAnsi="Calibri" w:cs="Calibri"/>
    </w:rPr>
  </w:style>
  <w:style w:type="character" w:customStyle="1" w:styleId="124">
    <w:name w:val="明显引用字符"/>
    <w:link w:val="125"/>
    <w:qFormat/>
    <w:locked/>
    <w:uiPriority w:val="0"/>
    <w:rPr>
      <w:rFonts w:ascii="Arial" w:hAnsi="Arial" w:cs="Arial"/>
      <w:b/>
      <w:bCs/>
      <w:i/>
      <w:iCs/>
      <w:color w:val="4F81BD"/>
    </w:rPr>
  </w:style>
  <w:style w:type="paragraph" w:customStyle="1" w:styleId="125">
    <w:name w:val="明显引用1"/>
    <w:basedOn w:val="1"/>
    <w:next w:val="1"/>
    <w:link w:val="124"/>
    <w:qFormat/>
    <w:uiPriority w:val="0"/>
    <w:pPr>
      <w:pBdr>
        <w:bottom w:val="single" w:color="4F81BD" w:sz="4" w:space="4"/>
      </w:pBdr>
      <w:spacing w:before="200" w:line="360" w:lineRule="auto"/>
      <w:ind w:left="936" w:right="936" w:firstLine="200" w:firstLineChars="200"/>
      <w:jc w:val="left"/>
    </w:pPr>
    <w:rPr>
      <w:rFonts w:ascii="Arial" w:hAnsi="Arial" w:cs="Arial"/>
      <w:b/>
      <w:bCs/>
      <w:i/>
      <w:iCs/>
      <w:color w:val="4F81BD"/>
    </w:rPr>
  </w:style>
  <w:style w:type="character" w:customStyle="1" w:styleId="126">
    <w:name w:val="OK Char1"/>
    <w:link w:val="127"/>
    <w:qFormat/>
    <w:locked/>
    <w:uiPriority w:val="0"/>
    <w:rPr>
      <w:rFonts w:ascii="宋体" w:hAnsi="宋体" w:eastAsia="宋体"/>
      <w:bCs/>
    </w:rPr>
  </w:style>
  <w:style w:type="paragraph" w:customStyle="1" w:styleId="127">
    <w:name w:val="OK"/>
    <w:basedOn w:val="1"/>
    <w:link w:val="126"/>
    <w:qFormat/>
    <w:uiPriority w:val="0"/>
    <w:pPr>
      <w:spacing w:line="400" w:lineRule="exact"/>
      <w:ind w:firstLine="200" w:firstLineChars="200"/>
      <w:jc w:val="left"/>
    </w:pPr>
    <w:rPr>
      <w:rFonts w:ascii="宋体" w:hAnsi="宋体" w:eastAsia="宋体"/>
      <w:bCs/>
    </w:rPr>
  </w:style>
  <w:style w:type="paragraph" w:customStyle="1" w:styleId="128">
    <w:name w:val="xl145"/>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29">
    <w:name w:val="xl92"/>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30">
    <w:name w:val="5 Char Char Char 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1">
    <w:name w:val="xl64"/>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32">
    <w:name w:val="p0"/>
    <w:basedOn w:val="1"/>
    <w:qFormat/>
    <w:uiPriority w:val="99"/>
    <w:pPr>
      <w:widowControl/>
      <w:spacing w:line="400" w:lineRule="exact"/>
      <w:ind w:firstLine="200" w:firstLineChars="200"/>
      <w:jc w:val="left"/>
    </w:pPr>
    <w:rPr>
      <w:rFonts w:ascii="Times New Roman" w:hAnsi="Times New Roman" w:eastAsia="宋体" w:cs="Times New Roman"/>
      <w:kern w:val="0"/>
      <w:sz w:val="20"/>
      <w:szCs w:val="20"/>
    </w:rPr>
  </w:style>
  <w:style w:type="paragraph" w:customStyle="1" w:styleId="133">
    <w:name w:val="样式 标题 2 + 宋体"/>
    <w:basedOn w:val="2"/>
    <w:qFormat/>
    <w:uiPriority w:val="99"/>
    <w:pPr>
      <w:jc w:val="center"/>
    </w:pPr>
    <w:rPr>
      <w:rFonts w:ascii="宋体" w:hAnsi="宋体" w:eastAsia="宋体"/>
      <w:kern w:val="0"/>
    </w:rPr>
  </w:style>
  <w:style w:type="paragraph" w:customStyle="1" w:styleId="134">
    <w:name w:val="Char Char Char Char Char Char Char"/>
    <w:basedOn w:val="1"/>
    <w:qFormat/>
    <w:uiPriority w:val="99"/>
    <w:pPr>
      <w:spacing w:line="400" w:lineRule="exact"/>
      <w:ind w:firstLine="200" w:firstLineChars="200"/>
    </w:pPr>
    <w:rPr>
      <w:rFonts w:ascii="Times New Roman" w:hAnsi="Times New Roman" w:eastAsia="宋体" w:cs="Times New Roman"/>
      <w:szCs w:val="24"/>
    </w:rPr>
  </w:style>
  <w:style w:type="paragraph" w:customStyle="1" w:styleId="135">
    <w:name w:val="xl14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136">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37">
    <w:name w:val="Char Char1 Char Char Char Char"/>
    <w:basedOn w:val="16"/>
    <w:qFormat/>
    <w:uiPriority w:val="99"/>
    <w:rPr>
      <w:rFonts w:ascii="Tahoma" w:hAnsi="Tahoma"/>
      <w:sz w:val="24"/>
    </w:rPr>
  </w:style>
  <w:style w:type="paragraph" w:customStyle="1" w:styleId="138">
    <w:name w:val="xl116"/>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139">
    <w:name w:val="文档正文"/>
    <w:basedOn w:val="1"/>
    <w:qFormat/>
    <w:uiPriority w:val="99"/>
    <w:pPr>
      <w:autoSpaceDE w:val="0"/>
      <w:autoSpaceDN w:val="0"/>
      <w:adjustRightInd w:val="0"/>
      <w:spacing w:line="240" w:lineRule="atLeast"/>
      <w:ind w:firstLine="567" w:firstLineChars="200"/>
    </w:pPr>
    <w:rPr>
      <w:rFonts w:ascii="Arial Narrow" w:hAnsi="Arial Narrow" w:eastAsia="宋体" w:cs="Arial"/>
      <w:sz w:val="24"/>
      <w:szCs w:val="24"/>
      <w:lang w:val="zh-CN"/>
    </w:rPr>
  </w:style>
  <w:style w:type="paragraph" w:customStyle="1" w:styleId="140">
    <w:name w:val="表格文字"/>
    <w:basedOn w:val="1"/>
    <w:qFormat/>
    <w:uiPriority w:val="99"/>
    <w:pPr>
      <w:spacing w:before="25" w:after="25" w:line="400" w:lineRule="exact"/>
      <w:ind w:firstLine="200" w:firstLineChars="200"/>
      <w:jc w:val="left"/>
    </w:pPr>
    <w:rPr>
      <w:rFonts w:ascii="Times New Roman" w:hAnsi="Times New Roman" w:eastAsia="宋体" w:cs="Times New Roman"/>
      <w:bCs/>
      <w:spacing w:val="10"/>
      <w:kern w:val="0"/>
      <w:sz w:val="24"/>
      <w:szCs w:val="20"/>
    </w:rPr>
  </w:style>
  <w:style w:type="paragraph" w:customStyle="1" w:styleId="141">
    <w:name w:val="xl94"/>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42">
    <w:name w:val="msonormalcxspmiddle"/>
    <w:basedOn w:val="1"/>
    <w:qFormat/>
    <w:uiPriority w:val="99"/>
    <w:pPr>
      <w:widowControl/>
      <w:spacing w:line="315" w:lineRule="atLeast"/>
      <w:ind w:firstLine="200" w:firstLineChars="200"/>
      <w:jc w:val="left"/>
    </w:pPr>
    <w:rPr>
      <w:rFonts w:ascii="inherit" w:hAnsi="inherit" w:eastAsia="微软雅黑" w:cs="宋体"/>
      <w:color w:val="323232"/>
      <w:kern w:val="0"/>
      <w:sz w:val="18"/>
      <w:szCs w:val="18"/>
    </w:rPr>
  </w:style>
  <w:style w:type="paragraph" w:customStyle="1" w:styleId="143">
    <w:name w:val="pic-info"/>
    <w:basedOn w:val="1"/>
    <w:qFormat/>
    <w:uiPriority w:val="99"/>
    <w:pPr>
      <w:widowControl/>
      <w:spacing w:before="100" w:beforeAutospacing="1" w:after="100" w:afterAutospacing="1" w:line="480" w:lineRule="exact"/>
      <w:ind w:firstLine="200" w:firstLineChars="200"/>
      <w:jc w:val="left"/>
    </w:pPr>
    <w:rPr>
      <w:rFonts w:ascii="宋体" w:hAnsi="宋体" w:eastAsia="微软雅黑" w:cs="宋体"/>
      <w:kern w:val="0"/>
      <w:sz w:val="24"/>
      <w:szCs w:val="24"/>
    </w:rPr>
  </w:style>
  <w:style w:type="paragraph" w:customStyle="1" w:styleId="144">
    <w:name w:val="xl111"/>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45">
    <w:name w:val="xl7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2"/>
    </w:rPr>
  </w:style>
  <w:style w:type="paragraph" w:customStyle="1" w:styleId="146">
    <w:name w:val="xl2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Times New Roman" w:hAnsi="Times New Roman" w:eastAsia="宋体" w:cs="Times New Roman"/>
      <w:kern w:val="0"/>
      <w:szCs w:val="21"/>
    </w:rPr>
  </w:style>
  <w:style w:type="paragraph" w:customStyle="1" w:styleId="147">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48">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49">
    <w:name w:val="xl8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0">
    <w:name w:val="Char Char Char Char Char Char Char Char Char Char"/>
    <w:basedOn w:val="1"/>
    <w:qFormat/>
    <w:uiPriority w:val="99"/>
    <w:pPr>
      <w:tabs>
        <w:tab w:val="left" w:pos="360"/>
      </w:tabs>
      <w:spacing w:line="400" w:lineRule="exact"/>
      <w:ind w:left="360" w:hanging="360" w:hangingChars="200"/>
    </w:pPr>
    <w:rPr>
      <w:rFonts w:ascii="Times New Roman" w:hAnsi="Times New Roman" w:eastAsia="宋体" w:cs="Times New Roman"/>
      <w:szCs w:val="20"/>
    </w:rPr>
  </w:style>
  <w:style w:type="paragraph" w:customStyle="1" w:styleId="151">
    <w:name w:val="表内文字"/>
    <w:basedOn w:val="1"/>
    <w:qFormat/>
    <w:uiPriority w:val="99"/>
    <w:pPr>
      <w:snapToGrid w:val="0"/>
      <w:spacing w:before="50" w:after="50" w:line="400" w:lineRule="exact"/>
      <w:ind w:firstLine="200" w:firstLineChars="200"/>
      <w:jc w:val="center"/>
    </w:pPr>
    <w:rPr>
      <w:rFonts w:ascii="仿宋_GB2312" w:hAnsi="宋体" w:eastAsia="仿宋_GB2312" w:cs="Times New Roman"/>
      <w:b/>
      <w:color w:val="000000"/>
      <w:sz w:val="32"/>
      <w:szCs w:val="32"/>
    </w:rPr>
  </w:style>
  <w:style w:type="paragraph" w:customStyle="1" w:styleId="152">
    <w:name w:val="xl7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153">
    <w:name w:val="Default"/>
    <w:qFormat/>
    <w:uiPriority w:val="99"/>
    <w:pPr>
      <w:widowControl w:val="0"/>
      <w:autoSpaceDE w:val="0"/>
      <w:autoSpaceDN w:val="0"/>
      <w:adjustRightInd w:val="0"/>
      <w:spacing w:line="400" w:lineRule="exact"/>
      <w:ind w:firstLine="200" w:firstLineChars="200"/>
      <w:jc w:val="both"/>
    </w:pPr>
    <w:rPr>
      <w:rFonts w:ascii="宋体" w:hAnsi="Calibri" w:eastAsia="宋体" w:cs="宋体"/>
      <w:color w:val="000000"/>
      <w:kern w:val="0"/>
      <w:sz w:val="24"/>
      <w:szCs w:val="24"/>
      <w:lang w:val="en-US" w:eastAsia="zh-CN" w:bidi="ar-SA"/>
    </w:rPr>
  </w:style>
  <w:style w:type="paragraph" w:customStyle="1" w:styleId="154">
    <w:name w:val="xl12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color w:val="000000"/>
      <w:kern w:val="0"/>
      <w:szCs w:val="21"/>
    </w:rPr>
  </w:style>
  <w:style w:type="paragraph" w:customStyle="1" w:styleId="155">
    <w:name w:val="xl12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6">
    <w:name w:val="Char Char Char1 Char"/>
    <w:basedOn w:val="1"/>
    <w:qFormat/>
    <w:uiPriority w:val="99"/>
    <w:pPr>
      <w:spacing w:line="400" w:lineRule="exact"/>
      <w:ind w:firstLine="200" w:firstLineChars="200"/>
    </w:pPr>
    <w:rPr>
      <w:rFonts w:ascii="Calibri" w:hAnsi="Calibri" w:eastAsia="宋体" w:cs="Times New Roman"/>
    </w:rPr>
  </w:style>
  <w:style w:type="paragraph" w:customStyle="1" w:styleId="157">
    <w:name w:val="xl10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58">
    <w:name w:val="xl7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159">
    <w:name w:val="Char"/>
    <w:basedOn w:val="16"/>
    <w:qFormat/>
    <w:uiPriority w:val="99"/>
    <w:pPr>
      <w:widowControl/>
      <w:ind w:firstLine="454"/>
      <w:jc w:val="left"/>
    </w:pPr>
    <w:rPr>
      <w:rFonts w:ascii="Tahoma" w:hAnsi="Tahoma" w:cs="宋体"/>
      <w:kern w:val="0"/>
      <w:sz w:val="24"/>
      <w:szCs w:val="20"/>
    </w:rPr>
  </w:style>
  <w:style w:type="paragraph" w:customStyle="1" w:styleId="160">
    <w:name w:val="xl75"/>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1">
    <w:name w:val="_Style 2"/>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2">
    <w:name w:val="xl11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3">
    <w:name w:val="xl8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64">
    <w:name w:val="xl107"/>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65">
    <w:name w:val="Char Char Char"/>
    <w:basedOn w:val="1"/>
    <w:qFormat/>
    <w:uiPriority w:val="99"/>
    <w:pPr>
      <w:widowControl/>
      <w:spacing w:after="160" w:line="240" w:lineRule="exact"/>
      <w:ind w:firstLine="200" w:firstLineChars="200"/>
      <w:jc w:val="left"/>
    </w:pPr>
    <w:rPr>
      <w:rFonts w:ascii="Verdana" w:hAnsi="Verdana" w:eastAsia="宋体" w:cs="Times New Roman"/>
      <w:kern w:val="0"/>
      <w:sz w:val="20"/>
      <w:szCs w:val="20"/>
      <w:lang w:eastAsia="en-US"/>
    </w:rPr>
  </w:style>
  <w:style w:type="paragraph" w:customStyle="1" w:styleId="166">
    <w:name w:val="List Paragraph1"/>
    <w:basedOn w:val="1"/>
    <w:qFormat/>
    <w:uiPriority w:val="99"/>
    <w:pPr>
      <w:spacing w:line="400" w:lineRule="exact"/>
      <w:ind w:firstLine="420" w:firstLineChars="200"/>
    </w:pPr>
    <w:rPr>
      <w:rFonts w:ascii="Times New Roman" w:hAnsi="Times New Roman" w:eastAsia="宋体" w:cs="Times New Roman"/>
      <w:szCs w:val="24"/>
    </w:rPr>
  </w:style>
  <w:style w:type="paragraph" w:customStyle="1" w:styleId="167">
    <w:name w:val="xl95"/>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68">
    <w:name w:val="xl65"/>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69">
    <w:name w:val="默认段落字体 Para Char Char Char Char Char Char Char Char Char1 Char Char Char Char"/>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0">
    <w:name w:val="投标文件1"/>
    <w:basedOn w:val="3"/>
    <w:qFormat/>
    <w:uiPriority w:val="99"/>
    <w:pPr>
      <w:jc w:val="both"/>
    </w:pPr>
    <w:rPr>
      <w:rFonts w:eastAsia="方正小标宋简体"/>
      <w:b w:val="0"/>
      <w:sz w:val="32"/>
      <w:szCs w:val="21"/>
    </w:rPr>
  </w:style>
  <w:style w:type="paragraph" w:customStyle="1" w:styleId="171">
    <w:name w:val="Char4"/>
    <w:basedOn w:val="1"/>
    <w:qFormat/>
    <w:uiPriority w:val="99"/>
    <w:pPr>
      <w:spacing w:line="400" w:lineRule="exact"/>
      <w:ind w:firstLine="200" w:firstLineChars="200"/>
    </w:pPr>
    <w:rPr>
      <w:rFonts w:ascii="Tahoma" w:hAnsi="Tahoma" w:eastAsia="宋体" w:cs="Times New Roman"/>
      <w:sz w:val="24"/>
      <w:szCs w:val="20"/>
    </w:rPr>
  </w:style>
  <w:style w:type="paragraph" w:customStyle="1" w:styleId="172">
    <w:name w:val="xl90"/>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73">
    <w:name w:val="样式2"/>
    <w:basedOn w:val="5"/>
    <w:qFormat/>
    <w:uiPriority w:val="99"/>
    <w:rPr>
      <w:rFonts w:ascii="仿宋_GB2312" w:hAnsi="宋体" w:eastAsia="仿宋_GB2312" w:cs="宋体"/>
      <w:kern w:val="0"/>
      <w:sz w:val="24"/>
    </w:rPr>
  </w:style>
  <w:style w:type="paragraph" w:customStyle="1" w:styleId="174">
    <w:name w:val="xl12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75">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18"/>
      <w:szCs w:val="18"/>
    </w:rPr>
  </w:style>
  <w:style w:type="paragraph" w:customStyle="1" w:styleId="176">
    <w:name w:val="xl97"/>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77">
    <w:name w:val="xl6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78">
    <w:name w:val="正文段"/>
    <w:basedOn w:val="1"/>
    <w:qFormat/>
    <w:uiPriority w:val="99"/>
    <w:pPr>
      <w:widowControl/>
      <w:snapToGrid w:val="0"/>
      <w:spacing w:afterLines="50" w:line="400" w:lineRule="exact"/>
      <w:ind w:firstLine="200" w:firstLineChars="200"/>
    </w:pPr>
    <w:rPr>
      <w:rFonts w:ascii="Times New Roman" w:hAnsi="Times New Roman" w:eastAsia="宋体" w:cs="Times New Roman"/>
      <w:kern w:val="0"/>
      <w:sz w:val="24"/>
      <w:szCs w:val="20"/>
    </w:rPr>
  </w:style>
  <w:style w:type="paragraph" w:customStyle="1" w:styleId="179">
    <w:name w:val="xl121"/>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180">
    <w:name w:val="xl93"/>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181">
    <w:name w:val="pa-5"/>
    <w:basedOn w:val="1"/>
    <w:qFormat/>
    <w:uiPriority w:val="99"/>
    <w:pPr>
      <w:widowControl/>
      <w:spacing w:before="150" w:after="150" w:line="400" w:lineRule="exact"/>
      <w:ind w:firstLine="200" w:firstLineChars="200"/>
      <w:jc w:val="left"/>
    </w:pPr>
    <w:rPr>
      <w:rFonts w:ascii="宋体" w:hAnsi="宋体" w:eastAsia="宋体" w:cs="宋体"/>
      <w:kern w:val="0"/>
      <w:sz w:val="24"/>
      <w:szCs w:val="24"/>
    </w:rPr>
  </w:style>
  <w:style w:type="paragraph" w:customStyle="1" w:styleId="182">
    <w:name w:val="xl103"/>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183">
    <w:name w:val="font9"/>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184">
    <w:name w:val="Char Char Char Char"/>
    <w:basedOn w:val="1"/>
    <w:qFormat/>
    <w:uiPriority w:val="99"/>
    <w:pPr>
      <w:widowControl/>
      <w:spacing w:after="160" w:line="240" w:lineRule="exact"/>
      <w:ind w:firstLine="200" w:firstLineChars="200"/>
      <w:jc w:val="left"/>
    </w:pPr>
    <w:rPr>
      <w:rFonts w:ascii="Verdana" w:hAnsi="Verdana" w:eastAsia="仿宋_GB2312" w:cs="Times New Roman"/>
      <w:kern w:val="0"/>
      <w:sz w:val="24"/>
      <w:szCs w:val="20"/>
      <w:lang w:eastAsia="en-US"/>
    </w:rPr>
  </w:style>
  <w:style w:type="paragraph" w:customStyle="1" w:styleId="185">
    <w:name w:val="xl13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186">
    <w:name w:val="unnamed1"/>
    <w:basedOn w:val="1"/>
    <w:qFormat/>
    <w:uiPriority w:val="99"/>
    <w:pPr>
      <w:widowControl/>
      <w:spacing w:before="100" w:beforeAutospacing="1" w:after="100" w:afterAutospacing="1" w:line="288" w:lineRule="auto"/>
      <w:ind w:firstLine="200" w:firstLineChars="200"/>
      <w:jc w:val="left"/>
    </w:pPr>
    <w:rPr>
      <w:rFonts w:ascii="宋体" w:hAnsi="宋体" w:eastAsia="宋体" w:cs="Times New Roman"/>
      <w:kern w:val="0"/>
      <w:szCs w:val="21"/>
    </w:rPr>
  </w:style>
  <w:style w:type="paragraph" w:customStyle="1" w:styleId="187">
    <w:name w:val="font10"/>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kern w:val="0"/>
      <w:sz w:val="20"/>
      <w:szCs w:val="20"/>
    </w:rPr>
  </w:style>
  <w:style w:type="paragraph" w:customStyle="1" w:styleId="188">
    <w:name w:val="样式 标题 1 + 小二"/>
    <w:basedOn w:val="3"/>
    <w:qFormat/>
    <w:uiPriority w:val="99"/>
  </w:style>
  <w:style w:type="paragraph" w:customStyle="1" w:styleId="189">
    <w:name w:val="普通(网站)1"/>
    <w:basedOn w:val="1"/>
    <w:qFormat/>
    <w:uiPriority w:val="99"/>
    <w:pPr>
      <w:widowControl/>
      <w:snapToGrid w:val="0"/>
      <w:spacing w:before="100" w:beforeAutospacing="1" w:after="100" w:afterAutospacing="1" w:line="300" w:lineRule="auto"/>
      <w:ind w:firstLine="200" w:firstLineChars="200"/>
      <w:jc w:val="left"/>
    </w:pPr>
    <w:rPr>
      <w:rFonts w:ascii="宋体" w:hAnsi="宋体" w:eastAsia="微软雅黑" w:cs="Times New Roman"/>
      <w:sz w:val="24"/>
    </w:rPr>
  </w:style>
  <w:style w:type="paragraph" w:customStyle="1" w:styleId="190">
    <w:name w:val="xl11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191">
    <w:name w:val="投标文件"/>
    <w:basedOn w:val="45"/>
    <w:qFormat/>
    <w:uiPriority w:val="99"/>
  </w:style>
  <w:style w:type="paragraph" w:customStyle="1" w:styleId="192">
    <w:name w:val="xl8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193">
    <w:name w:val="1"/>
    <w:basedOn w:val="1"/>
    <w:next w:val="26"/>
    <w:qFormat/>
    <w:uiPriority w:val="99"/>
    <w:pPr>
      <w:spacing w:line="400" w:lineRule="exact"/>
      <w:ind w:firstLine="200" w:firstLineChars="200"/>
    </w:pPr>
    <w:rPr>
      <w:rFonts w:ascii="宋体" w:hAnsi="Courier New" w:eastAsia="宋体" w:cs="Times New Roman"/>
      <w:szCs w:val="20"/>
    </w:rPr>
  </w:style>
  <w:style w:type="paragraph" w:customStyle="1" w:styleId="194">
    <w:name w:val="xl110"/>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195">
    <w:name w:val="样式 标题 3 + 四号"/>
    <w:basedOn w:val="4"/>
    <w:qFormat/>
    <w:uiPriority w:val="99"/>
    <w:pPr>
      <w:jc w:val="center"/>
    </w:pPr>
    <w:rPr>
      <w:rFonts w:ascii="Times New Roman" w:hAnsi="Times New Roman" w:cs="Times New Roman"/>
      <w:kern w:val="0"/>
      <w:sz w:val="28"/>
    </w:rPr>
  </w:style>
  <w:style w:type="paragraph" w:customStyle="1" w:styleId="196">
    <w:name w:val="gta-1"/>
    <w:basedOn w:val="1"/>
    <w:qFormat/>
    <w:uiPriority w:val="99"/>
    <w:pPr>
      <w:widowControl/>
      <w:spacing w:before="100" w:beforeAutospacing="1" w:after="100" w:afterAutospacing="1" w:line="360" w:lineRule="auto"/>
      <w:ind w:firstLine="200" w:firstLineChars="200"/>
      <w:jc w:val="left"/>
    </w:pPr>
    <w:rPr>
      <w:rFonts w:ascii="宋体" w:hAnsi="宋体" w:eastAsia="宋体" w:cs="宋体"/>
      <w:kern w:val="0"/>
      <w:sz w:val="24"/>
      <w:szCs w:val="24"/>
    </w:rPr>
  </w:style>
  <w:style w:type="paragraph" w:customStyle="1" w:styleId="197">
    <w:name w:val="xl7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4"/>
      <w:szCs w:val="24"/>
    </w:rPr>
  </w:style>
  <w:style w:type="paragraph" w:customStyle="1" w:styleId="198">
    <w:name w:val="默认段落字体 Para Char Char Char Char Char Char Char Char Char Char Char Char Char Char Char Char Char Char Char"/>
    <w:basedOn w:val="1"/>
    <w:qFormat/>
    <w:uiPriority w:val="99"/>
    <w:pPr>
      <w:spacing w:line="400" w:lineRule="exact"/>
      <w:ind w:firstLine="200" w:firstLineChars="200"/>
    </w:pPr>
    <w:rPr>
      <w:rFonts w:ascii="Calibri" w:hAnsi="Calibri" w:eastAsia="宋体" w:cs="Times New Roman"/>
    </w:rPr>
  </w:style>
  <w:style w:type="paragraph" w:customStyle="1" w:styleId="199">
    <w:name w:val="xl115"/>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00">
    <w:name w:val="xl8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2"/>
    </w:rPr>
  </w:style>
  <w:style w:type="paragraph" w:customStyle="1" w:styleId="201">
    <w:name w:val="font8"/>
    <w:basedOn w:val="1"/>
    <w:qFormat/>
    <w:uiPriority w:val="99"/>
    <w:pPr>
      <w:widowControl/>
      <w:spacing w:before="100" w:beforeAutospacing="1" w:after="100" w:afterAutospacing="1" w:line="400" w:lineRule="exact"/>
      <w:ind w:firstLine="200" w:firstLineChars="200"/>
      <w:jc w:val="left"/>
    </w:pPr>
    <w:rPr>
      <w:rFonts w:ascii="Times New Roman" w:hAnsi="Times New Roman" w:eastAsia="宋体" w:cs="Times New Roman"/>
      <w:color w:val="000000"/>
      <w:kern w:val="0"/>
      <w:sz w:val="22"/>
    </w:rPr>
  </w:style>
  <w:style w:type="paragraph" w:customStyle="1" w:styleId="202">
    <w:name w:val="xl129"/>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03">
    <w:name w:val="font5"/>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18"/>
      <w:szCs w:val="18"/>
    </w:rPr>
  </w:style>
  <w:style w:type="paragraph" w:customStyle="1" w:styleId="204">
    <w:name w:val="xl120"/>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5">
    <w:name w:val="font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06">
    <w:name w:val="xl6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7">
    <w:name w:val="font7"/>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08">
    <w:name w:val="xl98"/>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09">
    <w:name w:val="xl6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0">
    <w:name w:val="xl6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11">
    <w:name w:val="xl6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2">
    <w:name w:val="Char Char Char Char Char Char Char Char"/>
    <w:basedOn w:val="1"/>
    <w:qFormat/>
    <w:uiPriority w:val="99"/>
    <w:pPr>
      <w:widowControl/>
      <w:spacing w:line="240" w:lineRule="exact"/>
      <w:ind w:firstLine="200" w:firstLineChars="200"/>
      <w:jc w:val="left"/>
    </w:pPr>
    <w:rPr>
      <w:rFonts w:ascii="Verdana" w:hAnsi="Verdana" w:eastAsia="宋体" w:cs="Times New Roman"/>
      <w:kern w:val="0"/>
      <w:sz w:val="20"/>
      <w:szCs w:val="20"/>
      <w:lang w:eastAsia="en-US"/>
    </w:rPr>
  </w:style>
  <w:style w:type="paragraph" w:customStyle="1" w:styleId="213">
    <w:name w:val="xl7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4">
    <w:name w:val="xl144"/>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5">
    <w:name w:val="xl126"/>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16">
    <w:name w:val="xl7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Times New Roman" w:hAnsi="Times New Roman" w:eastAsia="宋体" w:cs="Times New Roman"/>
      <w:kern w:val="0"/>
      <w:szCs w:val="21"/>
    </w:rPr>
  </w:style>
  <w:style w:type="paragraph" w:customStyle="1" w:styleId="217">
    <w:name w:val="xl13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18">
    <w:name w:val="xl122"/>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19">
    <w:name w:val="xl73"/>
    <w:basedOn w:val="1"/>
    <w:qFormat/>
    <w:uiPriority w:val="99"/>
    <w:pPr>
      <w:widowControl/>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20">
    <w:name w:val="xl13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21">
    <w:name w:val="xl123"/>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22">
    <w:name w:val="xl100"/>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23">
    <w:name w:val="xl74"/>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24">
    <w:name w:val="xl79"/>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5">
    <w:name w:val="xl8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26">
    <w:name w:val="浅色网格 - 强调文字颜色 32"/>
    <w:basedOn w:val="1"/>
    <w:qFormat/>
    <w:uiPriority w:val="99"/>
    <w:pPr>
      <w:spacing w:line="400" w:lineRule="exact"/>
      <w:ind w:firstLine="420" w:firstLineChars="200"/>
    </w:pPr>
    <w:rPr>
      <w:rFonts w:ascii="Calibri" w:hAnsi="Calibri" w:eastAsia="宋体" w:cs="Times New Roman"/>
    </w:rPr>
  </w:style>
  <w:style w:type="paragraph" w:customStyle="1" w:styleId="227">
    <w:name w:val="xl10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28">
    <w:name w:val="xl8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pPr>
    <w:rPr>
      <w:rFonts w:ascii="宋体" w:hAnsi="宋体" w:eastAsia="宋体" w:cs="宋体"/>
      <w:kern w:val="0"/>
      <w:szCs w:val="21"/>
    </w:rPr>
  </w:style>
  <w:style w:type="paragraph" w:customStyle="1" w:styleId="229">
    <w:name w:val="xl136"/>
    <w:basedOn w:val="1"/>
    <w:qFormat/>
    <w:uiPriority w:val="99"/>
    <w:pPr>
      <w:widowControl/>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0">
    <w:name w:val="xl14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b/>
      <w:bCs/>
      <w:color w:val="FF0000"/>
      <w:kern w:val="0"/>
      <w:szCs w:val="21"/>
    </w:rPr>
  </w:style>
  <w:style w:type="paragraph" w:customStyle="1" w:styleId="231">
    <w:name w:val="xl85"/>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2">
    <w:name w:val="TOC 标题1"/>
    <w:basedOn w:val="3"/>
    <w:next w:val="1"/>
    <w:qFormat/>
    <w:uiPriority w:val="99"/>
    <w:pPr>
      <w:widowControl/>
      <w:tabs>
        <w:tab w:val="left" w:pos="360"/>
      </w:tabs>
      <w:spacing w:before="480" w:after="0" w:line="276" w:lineRule="auto"/>
      <w:ind w:left="360" w:hanging="360"/>
      <w:jc w:val="left"/>
      <w:outlineLvl w:val="9"/>
    </w:pPr>
    <w:rPr>
      <w:rFonts w:ascii="Cambria" w:hAnsi="Cambria" w:eastAsia="宋体"/>
      <w:color w:val="365F91"/>
      <w:kern w:val="0"/>
      <w:sz w:val="28"/>
      <w:szCs w:val="28"/>
    </w:rPr>
  </w:style>
  <w:style w:type="paragraph" w:customStyle="1" w:styleId="233">
    <w:name w:val="xl86"/>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34">
    <w:name w:val="正文 New New New New"/>
    <w:qFormat/>
    <w:uiPriority w:val="99"/>
    <w:pPr>
      <w:widowControl w:val="0"/>
      <w:spacing w:line="400" w:lineRule="exact"/>
      <w:ind w:firstLine="200" w:firstLineChars="200"/>
      <w:jc w:val="both"/>
    </w:pPr>
    <w:rPr>
      <w:rFonts w:ascii="Times New Roman" w:hAnsi="Times New Roman" w:eastAsia="宋体" w:cs="Times New Roman"/>
      <w:kern w:val="0"/>
      <w:sz w:val="20"/>
      <w:szCs w:val="24"/>
      <w:lang w:val="en-US" w:eastAsia="zh-CN" w:bidi="ar-SA"/>
    </w:rPr>
  </w:style>
  <w:style w:type="paragraph" w:customStyle="1" w:styleId="235">
    <w:name w:val="xl146"/>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24"/>
      <w:szCs w:val="24"/>
    </w:rPr>
  </w:style>
  <w:style w:type="paragraph" w:customStyle="1" w:styleId="236">
    <w:name w:val="xl117"/>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20"/>
      <w:szCs w:val="20"/>
    </w:rPr>
  </w:style>
  <w:style w:type="paragraph" w:customStyle="1" w:styleId="237">
    <w:name w:val="xl87"/>
    <w:basedOn w:val="1"/>
    <w:qFormat/>
    <w:uiPriority w:val="99"/>
    <w:pPr>
      <w:widowControl/>
      <w:pBdr>
        <w:bottom w:val="single" w:color="auto" w:sz="8" w:space="0"/>
      </w:pBdr>
      <w:spacing w:before="100" w:beforeAutospacing="1" w:after="100" w:afterAutospacing="1" w:line="400" w:lineRule="exact"/>
      <w:ind w:firstLine="200" w:firstLineChars="200"/>
      <w:jc w:val="left"/>
    </w:pPr>
    <w:rPr>
      <w:rFonts w:ascii="宋体" w:hAnsi="宋体" w:eastAsia="宋体" w:cs="宋体"/>
      <w:kern w:val="0"/>
      <w:szCs w:val="21"/>
    </w:rPr>
  </w:style>
  <w:style w:type="paragraph" w:customStyle="1" w:styleId="238">
    <w:name w:val="xl131"/>
    <w:basedOn w:val="1"/>
    <w:qFormat/>
    <w:uiPriority w:val="99"/>
    <w:pPr>
      <w:widowControl/>
      <w:pBdr>
        <w:top w:val="single" w:color="auto" w:sz="4" w:space="0"/>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39">
    <w:name w:val="xl112"/>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FF0000"/>
      <w:kern w:val="0"/>
      <w:szCs w:val="21"/>
    </w:rPr>
  </w:style>
  <w:style w:type="paragraph" w:customStyle="1" w:styleId="240">
    <w:name w:val="xl88"/>
    <w:basedOn w:val="1"/>
    <w:qFormat/>
    <w:uiPriority w:val="99"/>
    <w:pPr>
      <w:widowControl/>
      <w:pBdr>
        <w:top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1">
    <w:name w:val="xl91"/>
    <w:basedOn w:val="1"/>
    <w:qFormat/>
    <w:uiPriority w:val="99"/>
    <w:pPr>
      <w:widowControl/>
      <w:pBdr>
        <w:top w:val="single" w:color="auto" w:sz="8" w:space="0"/>
        <w:bottom w:val="single" w:color="auto" w:sz="8"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2">
    <w:name w:val="xl119"/>
    <w:basedOn w:val="1"/>
    <w:qFormat/>
    <w:uiPriority w:val="99"/>
    <w:pPr>
      <w:widowControl/>
      <w:pBdr>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3">
    <w:name w:val="xl96"/>
    <w:basedOn w:val="1"/>
    <w:qFormat/>
    <w:uiPriority w:val="99"/>
    <w:pPr>
      <w:widowControl/>
      <w:spacing w:before="100" w:beforeAutospacing="1" w:after="100" w:afterAutospacing="1" w:line="400" w:lineRule="exact"/>
      <w:ind w:firstLine="200" w:firstLineChars="200"/>
      <w:jc w:val="left"/>
    </w:pPr>
    <w:rPr>
      <w:rFonts w:ascii="宋体" w:hAnsi="宋体" w:eastAsia="宋体" w:cs="宋体"/>
      <w:kern w:val="0"/>
      <w:sz w:val="20"/>
      <w:szCs w:val="20"/>
    </w:rPr>
  </w:style>
  <w:style w:type="paragraph" w:customStyle="1" w:styleId="244">
    <w:name w:val="xl137"/>
    <w:basedOn w:val="1"/>
    <w:qFormat/>
    <w:uiPriority w:val="99"/>
    <w:pPr>
      <w:widowControl/>
      <w:pBdr>
        <w:left w:val="single" w:color="auto" w:sz="4" w:space="0"/>
        <w:bottom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45">
    <w:name w:val="xl99"/>
    <w:basedOn w:val="1"/>
    <w:qFormat/>
    <w:uiPriority w:val="99"/>
    <w:pPr>
      <w:widowControl/>
      <w:pBdr>
        <w:top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46">
    <w:name w:val="xl10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Cs w:val="21"/>
    </w:rPr>
  </w:style>
  <w:style w:type="paragraph" w:customStyle="1" w:styleId="247">
    <w:name w:val="列表段落2"/>
    <w:basedOn w:val="1"/>
    <w:qFormat/>
    <w:uiPriority w:val="99"/>
    <w:pPr>
      <w:spacing w:line="400" w:lineRule="exact"/>
      <w:ind w:firstLine="420" w:firstLineChars="200"/>
    </w:pPr>
    <w:rPr>
      <w:rFonts w:ascii="Calibri" w:hAnsi="Calibri" w:eastAsia="宋体" w:cs="Times New Roman"/>
    </w:rPr>
  </w:style>
  <w:style w:type="paragraph" w:customStyle="1" w:styleId="248">
    <w:name w:val="xl104"/>
    <w:basedOn w:val="1"/>
    <w:qFormat/>
    <w:uiPriority w:val="99"/>
    <w:pPr>
      <w:widowControl/>
      <w:pBdr>
        <w:bottom w:val="single" w:color="auto" w:sz="4" w:space="0"/>
      </w:pBdr>
      <w:spacing w:before="100" w:beforeAutospacing="1" w:after="100" w:afterAutospacing="1" w:line="400" w:lineRule="exact"/>
      <w:ind w:firstLine="200" w:firstLineChars="200"/>
      <w:jc w:val="left"/>
    </w:pPr>
    <w:rPr>
      <w:rFonts w:ascii="宋体" w:hAnsi="宋体" w:eastAsia="宋体" w:cs="宋体"/>
      <w:kern w:val="0"/>
      <w:sz w:val="24"/>
      <w:szCs w:val="24"/>
    </w:rPr>
  </w:style>
  <w:style w:type="paragraph" w:customStyle="1" w:styleId="249">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0">
    <w:name w:val="xl14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 w:val="18"/>
      <w:szCs w:val="18"/>
    </w:rPr>
  </w:style>
  <w:style w:type="paragraph" w:customStyle="1" w:styleId="251">
    <w:name w:val="xl109"/>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Cs w:val="21"/>
    </w:rPr>
  </w:style>
  <w:style w:type="paragraph" w:customStyle="1" w:styleId="252">
    <w:name w:val="xl13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line="400" w:lineRule="exact"/>
      <w:ind w:firstLine="200" w:firstLineChars="200"/>
      <w:jc w:val="left"/>
    </w:pPr>
    <w:rPr>
      <w:rFonts w:ascii="宋体" w:hAnsi="宋体" w:eastAsia="宋体" w:cs="宋体"/>
      <w:color w:val="000000"/>
      <w:kern w:val="0"/>
      <w:sz w:val="20"/>
      <w:szCs w:val="20"/>
    </w:rPr>
  </w:style>
  <w:style w:type="paragraph" w:customStyle="1" w:styleId="253">
    <w:name w:val="xl118"/>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kern w:val="0"/>
      <w:szCs w:val="21"/>
    </w:rPr>
  </w:style>
  <w:style w:type="paragraph" w:customStyle="1" w:styleId="254">
    <w:name w:val="标书0927"/>
    <w:basedOn w:val="3"/>
    <w:qFormat/>
    <w:uiPriority w:val="99"/>
    <w:pPr>
      <w:tabs>
        <w:tab w:val="left" w:pos="780"/>
      </w:tabs>
      <w:spacing w:before="0" w:after="0" w:line="360" w:lineRule="auto"/>
      <w:ind w:left="780" w:hanging="420"/>
      <w:jc w:val="both"/>
    </w:pPr>
    <w:rPr>
      <w:rFonts w:ascii="宋体" w:eastAsia="宋体"/>
      <w:sz w:val="32"/>
      <w:szCs w:val="32"/>
    </w:rPr>
  </w:style>
  <w:style w:type="paragraph" w:customStyle="1" w:styleId="255">
    <w:name w:val="xl134"/>
    <w:basedOn w:val="1"/>
    <w:qFormat/>
    <w:uiPriority w:val="99"/>
    <w:pPr>
      <w:widowControl/>
      <w:pBdr>
        <w:left w:val="single" w:color="auto" w:sz="4" w:space="0"/>
        <w:bottom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6">
    <w:name w:val="xl143"/>
    <w:basedOn w:val="1"/>
    <w:qFormat/>
    <w:uiPriority w:val="99"/>
    <w:pPr>
      <w:widowControl/>
      <w:pBdr>
        <w:top w:val="single" w:color="auto" w:sz="4" w:space="0"/>
        <w:left w:val="single" w:color="auto" w:sz="4" w:space="0"/>
        <w:right w:val="single" w:color="auto" w:sz="4" w:space="0"/>
      </w:pBdr>
      <w:spacing w:before="100" w:beforeAutospacing="1" w:after="100" w:afterAutospacing="1" w:line="400" w:lineRule="exact"/>
      <w:ind w:firstLine="200" w:firstLineChars="200"/>
      <w:jc w:val="center"/>
    </w:pPr>
    <w:rPr>
      <w:rFonts w:ascii="宋体" w:hAnsi="宋体" w:eastAsia="宋体" w:cs="宋体"/>
      <w:color w:val="000000"/>
      <w:kern w:val="0"/>
      <w:sz w:val="18"/>
      <w:szCs w:val="18"/>
    </w:rPr>
  </w:style>
  <w:style w:type="paragraph" w:customStyle="1" w:styleId="257">
    <w:name w:val="p18"/>
    <w:basedOn w:val="1"/>
    <w:qFormat/>
    <w:uiPriority w:val="99"/>
    <w:pPr>
      <w:widowControl/>
    </w:pPr>
    <w:rPr>
      <w:rFonts w:ascii="宋体" w:hAnsi="宋体" w:eastAsia="宋体" w:cs="宋体"/>
      <w:kern w:val="0"/>
      <w:szCs w:val="21"/>
    </w:rPr>
  </w:style>
  <w:style w:type="paragraph" w:customStyle="1" w:styleId="258">
    <w:name w:val="custom_unionstyle"/>
    <w:basedOn w:val="1"/>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259">
    <w:name w:val="目录标题 字符"/>
    <w:link w:val="260"/>
    <w:qFormat/>
    <w:locked/>
    <w:uiPriority w:val="0"/>
    <w:rPr>
      <w:rFonts w:ascii="方正小标宋_GBK" w:eastAsia="方正小标宋_GBK"/>
      <w:b/>
      <w:sz w:val="24"/>
      <w:szCs w:val="24"/>
    </w:rPr>
  </w:style>
  <w:style w:type="paragraph" w:customStyle="1" w:styleId="260">
    <w:name w:val="目录标题"/>
    <w:link w:val="259"/>
    <w:qFormat/>
    <w:uiPriority w:val="0"/>
    <w:pPr>
      <w:tabs>
        <w:tab w:val="right" w:leader="dot" w:pos="9683"/>
      </w:tabs>
      <w:spacing w:line="360" w:lineRule="auto"/>
    </w:pPr>
    <w:rPr>
      <w:rFonts w:ascii="方正小标宋_GBK" w:eastAsia="方正小标宋_GBK" w:hAnsiTheme="minorHAnsi" w:cstheme="minorBidi"/>
      <w:b/>
      <w:kern w:val="2"/>
      <w:sz w:val="24"/>
      <w:szCs w:val="24"/>
      <w:lang w:val="en-US" w:eastAsia="zh-CN" w:bidi="ar-SA"/>
    </w:rPr>
  </w:style>
  <w:style w:type="paragraph" w:customStyle="1" w:styleId="261">
    <w:name w:val="_Style 8"/>
    <w:basedOn w:val="16"/>
    <w:qFormat/>
    <w:uiPriority w:val="99"/>
    <w:pPr>
      <w:widowControl/>
      <w:spacing w:line="240" w:lineRule="auto"/>
      <w:ind w:firstLine="454" w:firstLineChars="0"/>
      <w:jc w:val="left"/>
    </w:pPr>
  </w:style>
  <w:style w:type="character" w:customStyle="1" w:styleId="262">
    <w:name w:val="Heading 1 Char"/>
    <w:qFormat/>
    <w:locked/>
    <w:uiPriority w:val="0"/>
    <w:rPr>
      <w:rFonts w:hint="default" w:ascii="Arial" w:hAnsi="Arial" w:eastAsia="宋体" w:cs="Arial"/>
      <w:b/>
      <w:bCs/>
      <w:kern w:val="44"/>
      <w:sz w:val="28"/>
      <w:szCs w:val="44"/>
      <w:lang w:val="zh-CN" w:eastAsia="zh-CN" w:bidi="ar-SA"/>
    </w:rPr>
  </w:style>
  <w:style w:type="character" w:customStyle="1" w:styleId="263">
    <w:name w:val="headline-content"/>
    <w:qFormat/>
    <w:uiPriority w:val="0"/>
  </w:style>
  <w:style w:type="character" w:customStyle="1" w:styleId="264">
    <w:name w:val="Char Char20"/>
    <w:qFormat/>
    <w:locked/>
    <w:uiPriority w:val="0"/>
    <w:rPr>
      <w:rFonts w:hint="eastAsia" w:ascii="微软雅黑" w:hAnsi="微软雅黑" w:eastAsia="微软雅黑"/>
      <w:b/>
      <w:bCs/>
      <w:szCs w:val="32"/>
      <w:lang w:bidi="ar-SA"/>
    </w:rPr>
  </w:style>
  <w:style w:type="character" w:customStyle="1" w:styleId="265">
    <w:name w:val="Char Char13"/>
    <w:qFormat/>
    <w:locked/>
    <w:uiPriority w:val="0"/>
    <w:rPr>
      <w:rFonts w:hint="eastAsia" w:ascii="微软雅黑" w:hAnsi="微软雅黑" w:eastAsia="微软雅黑"/>
      <w:b/>
      <w:bCs/>
      <w:lang w:bidi="ar-SA"/>
    </w:rPr>
  </w:style>
  <w:style w:type="character" w:customStyle="1" w:styleId="266">
    <w:name w:val="ca-102"/>
    <w:qFormat/>
    <w:uiPriority w:val="0"/>
  </w:style>
  <w:style w:type="character" w:customStyle="1" w:styleId="267">
    <w:name w:val="style31"/>
    <w:qFormat/>
    <w:uiPriority w:val="0"/>
    <w:rPr>
      <w:b/>
      <w:bCs/>
      <w:color w:val="FFFFFF"/>
    </w:rPr>
  </w:style>
  <w:style w:type="character" w:customStyle="1" w:styleId="268">
    <w:name w:val="列出段落字符"/>
    <w:qFormat/>
    <w:locked/>
    <w:uiPriority w:val="0"/>
    <w:rPr>
      <w:rFonts w:hint="default" w:ascii="Calibri" w:hAnsi="Calibri" w:eastAsia="宋体" w:cs="黑体"/>
      <w:kern w:val="2"/>
      <w:sz w:val="24"/>
      <w:szCs w:val="24"/>
      <w:lang w:val="en-US" w:eastAsia="zh-CN" w:bidi="ar-SA"/>
    </w:rPr>
  </w:style>
  <w:style w:type="character" w:customStyle="1" w:styleId="269">
    <w:name w:val="font21"/>
    <w:qFormat/>
    <w:uiPriority w:val="0"/>
    <w:rPr>
      <w:rFonts w:hint="eastAsia" w:ascii="宋体" w:hAnsi="宋体" w:eastAsia="宋体" w:cs="宋体"/>
      <w:color w:val="000000"/>
      <w:sz w:val="20"/>
      <w:szCs w:val="20"/>
      <w:u w:val="none"/>
    </w:rPr>
  </w:style>
  <w:style w:type="character" w:customStyle="1" w:styleId="270">
    <w:name w:val="Char Char21"/>
    <w:qFormat/>
    <w:locked/>
    <w:uiPriority w:val="0"/>
    <w:rPr>
      <w:rFonts w:hint="default" w:ascii="Arial" w:hAnsi="Arial" w:eastAsia="微软雅黑" w:cs="Arial"/>
      <w:b/>
      <w:sz w:val="28"/>
      <w:szCs w:val="28"/>
      <w:lang w:bidi="ar-SA"/>
    </w:rPr>
  </w:style>
  <w:style w:type="character" w:customStyle="1" w:styleId="271">
    <w:name w:val="Char Char6"/>
    <w:qFormat/>
    <w:locked/>
    <w:uiPriority w:val="0"/>
    <w:rPr>
      <w:sz w:val="18"/>
      <w:szCs w:val="18"/>
      <w:lang w:bidi="ar-SA"/>
    </w:rPr>
  </w:style>
  <w:style w:type="character" w:customStyle="1" w:styleId="272">
    <w:name w:val="普通文字 Char Char3"/>
    <w:qFormat/>
    <w:locked/>
    <w:uiPriority w:val="0"/>
    <w:rPr>
      <w:rFonts w:hint="eastAsia" w:ascii="宋体" w:hAnsi="Courier New" w:eastAsia="宋体" w:cs="Courier New"/>
      <w:kern w:val="2"/>
      <w:sz w:val="21"/>
      <w:szCs w:val="21"/>
      <w:lang w:val="en-US" w:eastAsia="zh-CN" w:bidi="ar-SA"/>
    </w:rPr>
  </w:style>
  <w:style w:type="character" w:customStyle="1" w:styleId="273">
    <w:name w:val="ca-1"/>
    <w:qFormat/>
    <w:uiPriority w:val="0"/>
  </w:style>
  <w:style w:type="character" w:customStyle="1" w:styleId="274">
    <w:name w:val="Char Char1"/>
    <w:qFormat/>
    <w:uiPriority w:val="0"/>
    <w:rPr>
      <w:rFonts w:hint="eastAsia" w:ascii="宋体" w:hAnsi="宋体" w:eastAsia="宋体"/>
      <w:kern w:val="2"/>
      <w:sz w:val="18"/>
      <w:szCs w:val="18"/>
      <w:lang w:val="en-US" w:eastAsia="zh-CN" w:bidi="ar-SA"/>
    </w:rPr>
  </w:style>
  <w:style w:type="character" w:customStyle="1" w:styleId="275">
    <w:name w:val="font41"/>
    <w:qFormat/>
    <w:uiPriority w:val="0"/>
    <w:rPr>
      <w:rFonts w:hint="default" w:ascii="Bosch Office Sans" w:hAnsi="Bosch Office Sans" w:cs="Bosch Office Sans"/>
      <w:color w:val="000000"/>
      <w:sz w:val="20"/>
      <w:szCs w:val="20"/>
      <w:u w:val="none"/>
    </w:rPr>
  </w:style>
  <w:style w:type="character" w:customStyle="1" w:styleId="276">
    <w:name w:val="highlight1"/>
    <w:qFormat/>
    <w:uiPriority w:val="0"/>
    <w:rPr>
      <w:color w:val="DB4F33"/>
    </w:rPr>
  </w:style>
  <w:style w:type="character" w:customStyle="1" w:styleId="277">
    <w:name w:val="char"/>
    <w:qFormat/>
    <w:uiPriority w:val="0"/>
  </w:style>
  <w:style w:type="character" w:customStyle="1" w:styleId="278">
    <w:name w:val="ca-2"/>
    <w:qFormat/>
    <w:uiPriority w:val="0"/>
  </w:style>
  <w:style w:type="character" w:customStyle="1" w:styleId="279">
    <w:name w:val="明显引用 Char1"/>
    <w:qFormat/>
    <w:uiPriority w:val="0"/>
    <w:rPr>
      <w:rFonts w:hint="default" w:ascii="Times New Roman" w:hAnsi="Times New Roman" w:eastAsia="微软雅黑" w:cs="Times New Roman"/>
      <w:b/>
      <w:bCs/>
      <w:i/>
      <w:iCs/>
      <w:color w:val="4F81BD"/>
      <w:sz w:val="24"/>
      <w:szCs w:val="24"/>
    </w:rPr>
  </w:style>
  <w:style w:type="character" w:customStyle="1" w:styleId="280">
    <w:name w:val="GTA标题3 Char"/>
    <w:qFormat/>
    <w:uiPriority w:val="0"/>
    <w:rPr>
      <w:rFonts w:hint="default" w:ascii="Arial" w:hAnsi="Arial" w:eastAsia="黑体" w:cs="Arial"/>
      <w:bCs/>
      <w:kern w:val="2"/>
      <w:sz w:val="24"/>
      <w:szCs w:val="24"/>
    </w:rPr>
  </w:style>
  <w:style w:type="character" w:customStyle="1" w:styleId="281">
    <w:name w:val="txet31"/>
    <w:qFormat/>
    <w:uiPriority w:val="0"/>
    <w:rPr>
      <w:rFonts w:hint="default" w:ascii="Times New Roman" w:hAnsi="Times New Roman" w:cs="Times New Roman"/>
      <w:color w:val="333333"/>
      <w:sz w:val="18"/>
      <w:szCs w:val="18"/>
      <w:u w:val="none"/>
    </w:rPr>
  </w:style>
  <w:style w:type="character" w:customStyle="1" w:styleId="282">
    <w:name w:val="GTA标题2 Char"/>
    <w:qFormat/>
    <w:uiPriority w:val="0"/>
    <w:rPr>
      <w:rFonts w:hint="default" w:ascii="Arial" w:hAnsi="Arial" w:eastAsia="黑体" w:cs="Arial"/>
      <w:bCs/>
      <w:kern w:val="2"/>
      <w:sz w:val="30"/>
      <w:szCs w:val="30"/>
    </w:rPr>
  </w:style>
  <w:style w:type="character" w:customStyle="1" w:styleId="283">
    <w:name w:val="Char Char22"/>
    <w:qFormat/>
    <w:locked/>
    <w:uiPriority w:val="0"/>
    <w:rPr>
      <w:rFonts w:hint="eastAsia" w:ascii="微软雅黑" w:hAnsi="微软雅黑" w:eastAsia="微软雅黑"/>
      <w:b/>
      <w:bCs/>
      <w:kern w:val="44"/>
      <w:sz w:val="36"/>
      <w:szCs w:val="36"/>
      <w:lang w:bidi="ar-SA"/>
    </w:rPr>
  </w:style>
  <w:style w:type="character" w:customStyle="1" w:styleId="284">
    <w:name w:val="Header Char"/>
    <w:qFormat/>
    <w:locked/>
    <w:uiPriority w:val="0"/>
    <w:rPr>
      <w:rFonts w:hint="default" w:ascii="Cambria" w:hAnsi="Cambria" w:eastAsia="宋体"/>
      <w:kern w:val="2"/>
      <w:sz w:val="18"/>
      <w:szCs w:val="18"/>
      <w:lang w:val="en-US" w:eastAsia="zh-CN" w:bidi="ar-SA"/>
    </w:rPr>
  </w:style>
  <w:style w:type="character" w:customStyle="1" w:styleId="285">
    <w:name w:val="con"/>
    <w:qFormat/>
    <w:uiPriority w:val="0"/>
  </w:style>
  <w:style w:type="character" w:customStyle="1" w:styleId="286">
    <w:name w:val="apple-style-span"/>
    <w:qFormat/>
    <w:uiPriority w:val="0"/>
  </w:style>
  <w:style w:type="character" w:customStyle="1" w:styleId="287">
    <w:name w:val="GTA正文-2 Char Char"/>
    <w:qFormat/>
    <w:locked/>
    <w:uiPriority w:val="0"/>
    <w:rPr>
      <w:rFonts w:hint="default" w:ascii="Arial" w:hAnsi="Arial" w:eastAsia="微软雅黑" w:cs="Arial"/>
      <w:sz w:val="24"/>
    </w:rPr>
  </w:style>
  <w:style w:type="character" w:customStyle="1" w:styleId="288">
    <w:name w:val="Heading 3 Char"/>
    <w:qFormat/>
    <w:locked/>
    <w:uiPriority w:val="0"/>
    <w:rPr>
      <w:rFonts w:hint="default" w:ascii="Cambria" w:hAnsi="Cambria" w:eastAsia="宋体"/>
      <w:b/>
      <w:bCs/>
      <w:kern w:val="2"/>
      <w:sz w:val="24"/>
      <w:szCs w:val="32"/>
      <w:lang w:val="en-US" w:eastAsia="zh-CN" w:bidi="ar-SA"/>
    </w:rPr>
  </w:style>
  <w:style w:type="character" w:customStyle="1" w:styleId="289">
    <w:name w:val="书籍标题1"/>
    <w:qFormat/>
    <w:uiPriority w:val="0"/>
    <w:rPr>
      <w:b/>
      <w:bCs/>
      <w:smallCaps/>
      <w:spacing w:val="5"/>
    </w:rPr>
  </w:style>
  <w:style w:type="character" w:customStyle="1" w:styleId="290">
    <w:name w:val="apple-converted-space"/>
    <w:qFormat/>
    <w:uiPriority w:val="0"/>
  </w:style>
  <w:style w:type="character" w:customStyle="1" w:styleId="291">
    <w:name w:val="批注文字 Char1"/>
    <w:qFormat/>
    <w:uiPriority w:val="0"/>
    <w:rPr>
      <w:kern w:val="2"/>
      <w:sz w:val="21"/>
      <w:szCs w:val="24"/>
    </w:rPr>
  </w:style>
  <w:style w:type="character" w:customStyle="1" w:styleId="292">
    <w:name w:val="font51"/>
    <w:qFormat/>
    <w:uiPriority w:val="0"/>
    <w:rPr>
      <w:rFonts w:hint="default" w:ascii="Bosch Office Sans" w:hAnsi="Bosch Office Sans" w:cs="Bosch Office Sans"/>
      <w:color w:val="000000"/>
      <w:sz w:val="20"/>
      <w:szCs w:val="20"/>
      <w:u w:val="none"/>
    </w:rPr>
  </w:style>
  <w:style w:type="character" w:customStyle="1" w:styleId="293">
    <w:name w:val="明显引用字符1"/>
    <w:qFormat/>
    <w:uiPriority w:val="0"/>
    <w:rPr>
      <w:rFonts w:hint="default" w:ascii="Times New Roman" w:hAnsi="Times New Roman" w:eastAsia="微软雅黑" w:cs="Times New Roman"/>
      <w:i/>
      <w:iCs/>
      <w:color w:val="5B9BD5"/>
    </w:rPr>
  </w:style>
  <w:style w:type="character" w:customStyle="1" w:styleId="294">
    <w:name w:val="GTA标题4 Char"/>
    <w:qFormat/>
    <w:uiPriority w:val="0"/>
    <w:rPr>
      <w:rFonts w:hint="default" w:ascii="Arial" w:hAnsi="Arial" w:eastAsia="仿宋_GB2312" w:cs="Arial"/>
      <w:b/>
      <w:bCs/>
      <w:kern w:val="2"/>
      <w:sz w:val="24"/>
      <w:szCs w:val="24"/>
    </w:rPr>
  </w:style>
  <w:style w:type="character" w:customStyle="1" w:styleId="295">
    <w:name w:val="font31"/>
    <w:qFormat/>
    <w:uiPriority w:val="0"/>
    <w:rPr>
      <w:rFonts w:hint="eastAsia" w:ascii="宋体" w:hAnsi="宋体" w:eastAsia="宋体" w:cs="宋体"/>
      <w:color w:val="000000"/>
      <w:sz w:val="20"/>
      <w:szCs w:val="20"/>
      <w:u w:val="none"/>
    </w:rPr>
  </w:style>
  <w:style w:type="character" w:customStyle="1" w:styleId="296">
    <w:name w:val="普通文字 Char Char1"/>
    <w:qFormat/>
    <w:locked/>
    <w:uiPriority w:val="0"/>
    <w:rPr>
      <w:rFonts w:hint="eastAsia" w:ascii="宋体" w:hAnsi="Courier New" w:eastAsia="宋体" w:cs="Courier New"/>
      <w:kern w:val="2"/>
      <w:sz w:val="21"/>
      <w:szCs w:val="21"/>
      <w:lang w:val="en-US" w:eastAsia="zh-CN" w:bidi="ar-SA"/>
    </w:rPr>
  </w:style>
  <w:style w:type="character" w:customStyle="1" w:styleId="297">
    <w:name w:val="Char Char8"/>
    <w:qFormat/>
    <w:locked/>
    <w:uiPriority w:val="0"/>
    <w:rPr>
      <w:rFonts w:hint="eastAsia" w:ascii="宋体" w:hAnsi="宋体" w:eastAsia="宋体"/>
      <w:kern w:val="2"/>
      <w:sz w:val="21"/>
      <w:szCs w:val="24"/>
      <w:lang w:val="en-US" w:eastAsia="zh-CN" w:bidi="ar-SA"/>
    </w:rPr>
  </w:style>
  <w:style w:type="character" w:customStyle="1" w:styleId="298">
    <w:name w:val="Char Char3"/>
    <w:qFormat/>
    <w:locked/>
    <w:uiPriority w:val="0"/>
    <w:rPr>
      <w:sz w:val="18"/>
      <w:szCs w:val="18"/>
      <w:lang w:bidi="ar-SA"/>
    </w:rPr>
  </w:style>
  <w:style w:type="character" w:customStyle="1" w:styleId="299">
    <w:name w:val="ca-92"/>
    <w:qFormat/>
    <w:uiPriority w:val="0"/>
  </w:style>
  <w:style w:type="character" w:customStyle="1" w:styleId="300">
    <w:name w:val="Footer Char"/>
    <w:qFormat/>
    <w:locked/>
    <w:uiPriority w:val="0"/>
    <w:rPr>
      <w:rFonts w:hint="default" w:ascii="Cambria" w:hAnsi="Cambria" w:eastAsia="宋体"/>
      <w:kern w:val="2"/>
      <w:sz w:val="18"/>
      <w:szCs w:val="18"/>
      <w:lang w:val="en-US" w:eastAsia="zh-CN" w:bidi="ar-SA"/>
    </w:rPr>
  </w:style>
  <w:style w:type="character" w:customStyle="1" w:styleId="301">
    <w:name w:val="Char Char4"/>
    <w:qFormat/>
    <w:uiPriority w:val="0"/>
    <w:rPr>
      <w:rFonts w:hint="eastAsia" w:ascii="宋体" w:hAnsi="宋体" w:eastAsia="宋体"/>
      <w:kern w:val="2"/>
      <w:sz w:val="21"/>
      <w:szCs w:val="24"/>
      <w:lang w:val="en-US" w:eastAsia="zh-CN" w:bidi="ar-SA"/>
    </w:rPr>
  </w:style>
  <w:style w:type="character" w:customStyle="1" w:styleId="302">
    <w:name w:val="ca-72"/>
    <w:qFormat/>
    <w:uiPriority w:val="0"/>
  </w:style>
  <w:style w:type="character" w:customStyle="1" w:styleId="303">
    <w:name w:val="特点1"/>
    <w:qFormat/>
    <w:uiPriority w:val="0"/>
  </w:style>
  <w:style w:type="character" w:customStyle="1" w:styleId="304">
    <w:name w:val="GTA正文-1 Char Char"/>
    <w:qFormat/>
    <w:locked/>
    <w:uiPriority w:val="0"/>
    <w:rPr>
      <w:rFonts w:hint="default" w:ascii="Arial" w:hAnsi="Arial" w:eastAsia="微软雅黑" w:cs="Arial"/>
      <w:sz w:val="24"/>
    </w:rPr>
  </w:style>
  <w:style w:type="character" w:customStyle="1" w:styleId="305">
    <w:name w:val="明显强调1"/>
    <w:qFormat/>
    <w:uiPriority w:val="0"/>
    <w:rPr>
      <w:b/>
      <w:bCs/>
      <w:i/>
      <w:iCs/>
      <w:color w:val="4F81BD"/>
    </w:rPr>
  </w:style>
  <w:style w:type="character" w:customStyle="1" w:styleId="306">
    <w:name w:val="Char Char5"/>
    <w:qFormat/>
    <w:locked/>
    <w:uiPriority w:val="0"/>
    <w:rPr>
      <w:rFonts w:hint="eastAsia" w:ascii="宋体" w:hAnsi="宋体" w:eastAsia="宋体"/>
      <w:sz w:val="18"/>
      <w:szCs w:val="18"/>
      <w:lang w:bidi="ar-SA"/>
    </w:rPr>
  </w:style>
  <w:style w:type="character" w:customStyle="1" w:styleId="307">
    <w:name w:val="Char Char19"/>
    <w:qFormat/>
    <w:locked/>
    <w:uiPriority w:val="0"/>
    <w:rPr>
      <w:rFonts w:hint="default" w:ascii="Arial" w:hAnsi="Arial" w:eastAsia="微软雅黑" w:cs="Arial"/>
      <w:b/>
      <w:bCs/>
      <w:color w:val="0070C0"/>
      <w:szCs w:val="28"/>
      <w:lang w:bidi="ar-SA"/>
    </w:rPr>
  </w:style>
  <w:style w:type="character" w:customStyle="1" w:styleId="308">
    <w:name w:val="Char Char2"/>
    <w:qFormat/>
    <w:locked/>
    <w:uiPriority w:val="0"/>
    <w:rPr>
      <w:rFonts w:hint="default" w:ascii="Calibri" w:hAnsi="Calibri" w:eastAsia="宋体" w:cs="黑体"/>
      <w:kern w:val="2"/>
      <w:sz w:val="24"/>
      <w:szCs w:val="24"/>
      <w:lang w:val="en-US" w:eastAsia="zh-CN" w:bidi="ar-SA"/>
    </w:rPr>
  </w:style>
  <w:style w:type="character" w:customStyle="1" w:styleId="309">
    <w:name w:val="Heading 2 Char"/>
    <w:qFormat/>
    <w:locked/>
    <w:uiPriority w:val="0"/>
    <w:rPr>
      <w:rFonts w:hint="default" w:ascii="Calibri" w:hAnsi="Calibri" w:eastAsia="宋体" w:cs="Calibri"/>
      <w:b/>
      <w:bCs/>
      <w:kern w:val="2"/>
      <w:sz w:val="24"/>
      <w:szCs w:val="32"/>
      <w:lang w:val="en-US" w:eastAsia="zh-CN" w:bidi="ar-SA"/>
    </w:rPr>
  </w:style>
  <w:style w:type="character" w:customStyle="1" w:styleId="310">
    <w:name w:val="st1"/>
    <w:qFormat/>
    <w:uiPriority w:val="0"/>
  </w:style>
  <w:style w:type="character" w:customStyle="1" w:styleId="311">
    <w:name w:val="font11"/>
    <w:qFormat/>
    <w:uiPriority w:val="0"/>
    <w:rPr>
      <w:rFonts w:hint="eastAsia" w:ascii="宋体" w:hAnsi="宋体" w:eastAsia="宋体" w:cs="宋体"/>
      <w:color w:val="000000"/>
      <w:sz w:val="20"/>
      <w:szCs w:val="20"/>
      <w:u w:val="none"/>
    </w:rPr>
  </w:style>
  <w:style w:type="character" w:customStyle="1" w:styleId="312">
    <w:name w:val="纯文本 Char"/>
    <w:qFormat/>
    <w:uiPriority w:val="0"/>
    <w:rPr>
      <w:rFonts w:hint="eastAsia" w:ascii="宋体" w:hAnsi="Courier New" w:eastAsia="宋体"/>
    </w:rPr>
  </w:style>
  <w:style w:type="character" w:customStyle="1" w:styleId="313">
    <w:name w:val="纯文本 Char2"/>
    <w:qFormat/>
    <w:uiPriority w:val="0"/>
    <w:rPr>
      <w:rFonts w:hint="eastAsia" w:ascii="宋体" w:hAnsi="Courier New" w:eastAsia="宋体" w:cs="Courier New"/>
      <w:kern w:val="2"/>
      <w:sz w:val="21"/>
      <w:szCs w:val="21"/>
      <w:lang w:val="en-US" w:eastAsia="zh-CN" w:bidi="ar-SA"/>
    </w:rPr>
  </w:style>
  <w:style w:type="character" w:customStyle="1" w:styleId="314">
    <w:name w:val="列出段落 Char"/>
    <w:qFormat/>
    <w:locked/>
    <w:uiPriority w:val="0"/>
    <w:rPr>
      <w:kern w:val="2"/>
      <w:sz w:val="21"/>
      <w:szCs w:val="22"/>
    </w:rPr>
  </w:style>
  <w:style w:type="character" w:customStyle="1" w:styleId="315">
    <w:name w:val="纯文本 Char3"/>
    <w:qFormat/>
    <w:uiPriority w:val="0"/>
    <w:rPr>
      <w:rFonts w:hint="eastAsia" w:ascii="宋体" w:hAnsi="Courier New" w:eastAsia="宋体" w:cs="Courier New"/>
      <w:kern w:val="2"/>
      <w:sz w:val="21"/>
      <w:szCs w:val="21"/>
      <w:lang w:val="en-US" w:eastAsia="zh-CN" w:bidi="ar-SA"/>
    </w:rPr>
  </w:style>
  <w:style w:type="table" w:customStyle="1" w:styleId="316">
    <w:name w:val="网格型2"/>
    <w:basedOn w:val="48"/>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71</Pages>
  <Words>41427</Words>
  <Characters>43819</Characters>
  <Lines>263</Lines>
  <Paragraphs>74</Paragraphs>
  <TotalTime>68</TotalTime>
  <ScaleCrop>false</ScaleCrop>
  <LinksUpToDate>false</LinksUpToDate>
  <CharactersWithSpaces>47288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2024-07-27T19:57:00Z</dcterms:created>
  <dc:creator>Qian Huang</dc:creator>
  <cp:lastModifiedBy>Lenovo</cp:lastModifiedBy>
  <cp:lastPrinted>2026-04-21T23:09:00Z</cp:lastPrinted>
  <dcterms:modified xsi:type="dcterms:W3CDTF">2026-04-22T01:40:13Z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4B2C215B4DA645409BD39E13CC9E0BE5</vt:lpwstr>
  </property>
  <property fmtid="{D5CDD505-2E9C-101B-9397-08002B2CF9AE}" pid="4" name="KSOTemplateDocerSaveRecord">
    <vt:lpwstr>eyJoZGlkIjoiODk0ODQxMzA4MmE5N2ZmZWVlN2RiNjExYjljNjI3OGIiLCJ1c2VySWQiOiI0MjgyNjAzMzYifQ==</vt:lpwstr>
  </property>
</Properties>
</file>